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F9E0" w14:textId="754914CA" w:rsidR="00F77B2E" w:rsidRPr="009713BF" w:rsidRDefault="005D56DB" w:rsidP="0084158A">
      <w:pPr>
        <w:jc w:val="center"/>
      </w:pPr>
      <w:r w:rsidRPr="009713BF">
        <w:rPr>
          <w:b/>
        </w:rPr>
        <w:t xml:space="preserve">THE EFFECT OF THE SOCIAL HEALTH AUTHORITY (SHA) ON HEALTH FACILITIES AND PUBLIC HEALTH SERVICE DELIVERY IN </w:t>
      </w:r>
      <w:r w:rsidR="00B070F2" w:rsidRPr="009713BF">
        <w:rPr>
          <w:b/>
        </w:rPr>
        <w:t>NAVAKHOLO SUB-COUNTY, KAKAMEGA COUNTY</w:t>
      </w:r>
      <w:r w:rsidR="00C26CE6" w:rsidRPr="009713BF">
        <w:rPr>
          <w:b/>
        </w:rPr>
        <w:t>,</w:t>
      </w:r>
      <w:r w:rsidR="00CF5839" w:rsidRPr="009713BF">
        <w:rPr>
          <w:b/>
        </w:rPr>
        <w:t xml:space="preserve"> </w:t>
      </w:r>
      <w:r w:rsidR="00C26CE6" w:rsidRPr="009713BF">
        <w:rPr>
          <w:b/>
        </w:rPr>
        <w:t>KENYA</w:t>
      </w:r>
      <w:r w:rsidRPr="009713BF">
        <w:t>.</w:t>
      </w:r>
    </w:p>
    <w:p w14:paraId="5AC3CC68" w14:textId="561E714D" w:rsidR="002D3B9D" w:rsidRDefault="00556A18" w:rsidP="002D3B9D">
      <w:r w:rsidRPr="009713BF">
        <w:rPr>
          <w:rStyle w:val="FootnoteReference"/>
        </w:rPr>
        <w:footnoteReference w:id="1"/>
      </w:r>
      <w:r w:rsidRPr="009713BF">
        <w:t/>
      </w:r>
      <w:r w:rsidR="005E4ABC">
        <w:t xml:space="preserve"/>
      </w:r>
      <w:r w:rsidR="00AE26B8" w:rsidRPr="005E4ABC">
        <w:rPr>
          <w:vertAlign w:val="superscript"/>
        </w:rPr>
        <w:t/>
      </w:r>
      <w:r w:rsidR="005E4ABC">
        <w:t xml:space="preserve"/>
      </w:r>
      <w:r w:rsidR="00881260">
        <w:t xml:space="preserve"/>
      </w:r>
      <w:r w:rsidR="002C20E4">
        <w:t/>
      </w:r>
      <w:r w:rsidR="002D3B9D">
        <w:t xml:space="preserve"/>
      </w:r>
      <w:r w:rsidR="00881260">
        <w:t/>
      </w:r>
      <w:r w:rsidR="002C20E4">
        <w:t xml:space="preserve"/>
      </w:r>
      <w:bookmarkStart w:id="0" w:name="_GoBack"/>
      <w:bookmarkEnd w:id="0"/>
      <w:r w:rsidR="002C20E4">
        <w:t/>
      </w:r>
      <w:r w:rsidR="00EB79F5">
        <w:t/>
      </w:r>
      <w:r w:rsidR="005E4ABC">
        <w:t xml:space="preserve"/>
      </w:r>
      <w:r w:rsidR="00EB79F5">
        <w:t/>
      </w:r>
    </w:p>
    <w:p w14:paraId="3081160C" w14:textId="248587F3" w:rsidR="00EB79F5" w:rsidRPr="002D3B9D" w:rsidRDefault="00EB79F5" w:rsidP="002D3B9D">
      <w:r w:rsidRPr="00091187">
        <w:rPr>
          <w:i/>
          <w:vertAlign w:val="superscript"/>
        </w:rPr>
        <w:t/>
      </w:r>
      <w:r w:rsidRPr="00091187">
        <w:rPr>
          <w:i/>
        </w:rPr>
        <w:t/>
      </w:r>
    </w:p>
    <w:p w14:paraId="63379B94" w14:textId="77777777" w:rsidR="00EB79F5" w:rsidRPr="00091187" w:rsidRDefault="00EB79F5" w:rsidP="00EB79F5">
      <w:pPr>
        <w:pStyle w:val="Affiliation"/>
        <w:rPr>
          <w:i/>
          <w:sz w:val="24"/>
          <w:szCs w:val="24"/>
        </w:rPr>
      </w:pPr>
      <w:r w:rsidRPr="00091187">
        <w:rPr>
          <w:i/>
          <w:sz w:val="24"/>
          <w:szCs w:val="24"/>
        </w:rPr>
        <w:t/>
      </w:r>
    </w:p>
    <w:p w14:paraId="3A9783A1" w14:textId="50678E11" w:rsidR="00AE26B8" w:rsidRPr="005E4ABC" w:rsidRDefault="00EB79F5" w:rsidP="005E4ABC">
      <w:pPr>
        <w:pStyle w:val="Affiliation"/>
        <w:jc w:val="left"/>
        <w:rPr>
          <w:i/>
          <w:sz w:val="24"/>
          <w:szCs w:val="24"/>
        </w:rPr>
      </w:pPr>
      <w:r w:rsidRPr="00091187">
        <w:rPr>
          <w:i/>
          <w:sz w:val="24"/>
          <w:szCs w:val="24"/>
          <w:vertAlign w:val="superscript"/>
        </w:rPr>
        <w:t/>
      </w:r>
      <w:r w:rsidR="008C6AA1" w:rsidRPr="00091187">
        <w:rPr>
          <w:i/>
          <w:sz w:val="24"/>
          <w:szCs w:val="24"/>
          <w:vertAlign w:val="superscript"/>
        </w:rPr>
        <w:t/>
      </w:r>
      <w:r w:rsidR="008C6AA1" w:rsidRPr="00091187">
        <w:rPr>
          <w:i/>
          <w:sz w:val="24"/>
          <w:szCs w:val="24"/>
        </w:rPr>
        <w:t xml:space="preserve"/>
      </w:r>
      <w:r w:rsidR="008C6AA1">
        <w:rPr>
          <w:i/>
          <w:sz w:val="24"/>
          <w:szCs w:val="24"/>
        </w:rPr>
        <w:t/>
      </w:r>
      <w:r w:rsidR="00881260">
        <w:rPr>
          <w:i/>
          <w:sz w:val="24"/>
          <w:szCs w:val="24"/>
        </w:rPr>
        <w:t xml:space="preserve"/>
      </w:r>
      <w:r w:rsidRPr="00091187">
        <w:rPr>
          <w:i/>
          <w:sz w:val="24"/>
          <w:szCs w:val="24"/>
        </w:rPr>
        <w:t/>
      </w:r>
    </w:p>
    <w:p w14:paraId="7E1EE746" w14:textId="77777777" w:rsidR="00B80B48" w:rsidRDefault="00556A18">
      <w:pPr>
        <w:pStyle w:val="Heading2"/>
      </w:pPr>
      <w:r w:rsidRPr="009713BF">
        <w:t>Abstract</w:t>
      </w:r>
    </w:p>
    <w:p w14:paraId="46B029E1" w14:textId="344475E3" w:rsidR="00423540" w:rsidRPr="000D1144" w:rsidRDefault="00423540" w:rsidP="005E6204">
      <w:pPr>
        <w:spacing w:after="0"/>
        <w:jc w:val="both"/>
      </w:pPr>
      <w:r w:rsidRPr="000D1144">
        <w:t>Health financing reforms play a critical role in advancing Universal Health Coverage (UHC) and strengthenin</w:t>
      </w:r>
      <w:r w:rsidR="005B3E8C">
        <w:t xml:space="preserve">g healthcare systems. In Kenya, the shift </w:t>
      </w:r>
      <w:r w:rsidR="00E24464">
        <w:t>from National</w:t>
      </w:r>
      <w:r w:rsidR="005B3E8C">
        <w:t xml:space="preserve"> Hospital Insurance Fund (NHIF) systems to </w:t>
      </w:r>
      <w:r w:rsidRPr="000D1144">
        <w:t>the establishment of the Social Health Authority (SHA) under the Social Health Insurance Act, 2023 marked a significant transition in health financing aimed at improving access to healthcare services, financial protection, and quality of care. However, concerns regarding the implementation of SHA and its implications for health service delivery have emerged across public</w:t>
      </w:r>
      <w:r w:rsidR="00677060">
        <w:t xml:space="preserve"> healthcare </w:t>
      </w:r>
      <w:r w:rsidR="00EF3032">
        <w:t>facilities. Technical interoperability, data migration accuracy, system downtime, registration bottlenecks, real-time biometric integration challenges, and database schema incompatibilities encountered during the legacy data migration process, among other issues, have posed significant challenges.</w:t>
      </w:r>
      <w:r w:rsidR="00EF3032" w:rsidRPr="000D1144">
        <w:t xml:space="preserve"> This</w:t>
      </w:r>
      <w:r w:rsidRPr="000D1144">
        <w:t xml:space="preserve"> study examined the influence of SHA implementation on healthcare service delivery in public hospitals within Navakholo Sub-County, Kakamega County, Kenya.</w:t>
      </w:r>
    </w:p>
    <w:p w14:paraId="6F4368CA" w14:textId="61833BF8" w:rsidR="00423540" w:rsidRPr="000D1144" w:rsidRDefault="00423540" w:rsidP="005E6204">
      <w:pPr>
        <w:spacing w:after="0"/>
        <w:jc w:val="both"/>
      </w:pPr>
      <w:r w:rsidRPr="000D1144">
        <w:t>This study specifically assessed the influence of SHA on resource availability, quality of health service delivery, patient access and utilization, operational efficiency, and implementation challenges. Guided by Health Systems Theory and Public Finance Theory, the study adopted a descriptive survey research design util</w:t>
      </w:r>
      <w:r w:rsidR="006D4890">
        <w:t xml:space="preserve">izing a mixed-methods </w:t>
      </w:r>
      <w:r w:rsidR="00A85527">
        <w:t>approach.</w:t>
      </w:r>
      <w:r w:rsidR="00A85527" w:rsidRPr="000D1144">
        <w:t xml:space="preserve"> The</w:t>
      </w:r>
      <w:r w:rsidRPr="000D1144">
        <w:t xml:space="preserve"> target population comprised 1,938 healthcare workers and patients drawn from public hospitals within Navakholo Sub-County</w:t>
      </w:r>
      <w:r w:rsidR="00F77B2E">
        <w:t>,</w:t>
      </w:r>
      <w:r w:rsidR="00FF6E00">
        <w:t xml:space="preserve"> </w:t>
      </w:r>
      <w:r w:rsidR="00F77B2E">
        <w:t>Kakamega County, Kenya</w:t>
      </w:r>
      <w:r w:rsidRPr="000D1144">
        <w:t xml:space="preserve">. </w:t>
      </w:r>
      <w:r w:rsidRPr="00F77B2E">
        <w:t>A sample of 485 respondents was selected through stratified, systematic, and purposive sampling techniques</w:t>
      </w:r>
      <w:r w:rsidRPr="000D1144">
        <w:t>. Data were collected using structured questionnaires and open-ended questions, while secondary information was obtained from policy documents and relevant literature.</w:t>
      </w:r>
    </w:p>
    <w:p w14:paraId="0817F53D" w14:textId="2E3BF56C" w:rsidR="00423540" w:rsidRPr="003E5CE4" w:rsidRDefault="00423540" w:rsidP="005E6204">
      <w:pPr>
        <w:spacing w:after="0"/>
        <w:jc w:val="both"/>
      </w:pPr>
      <w:r w:rsidRPr="003E5CE4">
        <w:t>A total of 401 questionnaires were successfully completed and returned, yielding a response rate of 82.6%. Quantitative data were analyzed using descriptive statistics and Multivariate Analysis of Variance (MANOVA), while qualitative d</w:t>
      </w:r>
      <w:r w:rsidR="006D4890" w:rsidRPr="003E5CE4">
        <w:t xml:space="preserve">ata were analyzed </w:t>
      </w:r>
      <w:r w:rsidR="00C64876" w:rsidRPr="003E5CE4">
        <w:t>thematically.</w:t>
      </w:r>
      <w:r w:rsidR="003E5CE4">
        <w:t xml:space="preserve"> </w:t>
      </w:r>
      <w:r w:rsidRPr="003E5CE4">
        <w:t xml:space="preserve">MANOVA results showed no statistically significant differences in healthcare service delivery outcomes across hospital levels, Pillai’s </w:t>
      </w:r>
      <w:r w:rsidRPr="003E5CE4">
        <w:lastRenderedPageBreak/>
        <w:t xml:space="preserve">Trace V = </w:t>
      </w:r>
      <w:r w:rsidR="00F77B2E">
        <w:t>0</w:t>
      </w:r>
      <w:r w:rsidRPr="003E5CE4">
        <w:t xml:space="preserve">.030, </w:t>
      </w:r>
      <w:r w:rsidR="00D1549B" w:rsidRPr="003E5CE4">
        <w:t>F (</w:t>
      </w:r>
      <w:r w:rsidRPr="003E5CE4">
        <w:t>15</w:t>
      </w:r>
      <w:r w:rsidR="00D1549B" w:rsidRPr="003E5CE4">
        <w:t>, 1185</w:t>
      </w:r>
      <w:r w:rsidRPr="003E5CE4">
        <w:t xml:space="preserve">) = 0.797, p = </w:t>
      </w:r>
      <w:r w:rsidR="00F77B2E">
        <w:t>0</w:t>
      </w:r>
      <w:r w:rsidRPr="003E5CE4">
        <w:t>.683, suggesting relatively uniform experiences of SHA implementation across facility categories.</w:t>
      </w:r>
    </w:p>
    <w:p w14:paraId="1A27CF59" w14:textId="77777777" w:rsidR="00423540" w:rsidRPr="003E5CE4" w:rsidRDefault="00423540" w:rsidP="005E6204">
      <w:pPr>
        <w:spacing w:after="0"/>
        <w:jc w:val="both"/>
      </w:pPr>
      <w:r w:rsidRPr="003E5CE4">
        <w:t>Qualitative findings revealed persistent shortages of medicines, medical supplies, and equipment, declining quality of healthcare services, reduced utilization of public health facilities, inadequate staffing, low staff morale, delayed reimbursements, weak coordination mechanisms, and governance inefficiencies. These challenges were perceived to undermine the effectiveness of SHA implementation and constrain improvements in healthcare service delivery.</w:t>
      </w:r>
    </w:p>
    <w:p w14:paraId="044A46ED" w14:textId="174719B5" w:rsidR="00423540" w:rsidRDefault="00423540" w:rsidP="005E6204">
      <w:pPr>
        <w:spacing w:after="0"/>
        <w:jc w:val="both"/>
      </w:pPr>
      <w:r w:rsidRPr="003E5CE4">
        <w:t>The study concludes that although SHA has introduced important reforms in health financing and strategic purchasing, its implementation in Navakholo Sub-County</w:t>
      </w:r>
      <w:r w:rsidR="00FF6E00" w:rsidRPr="00FF6E00">
        <w:t xml:space="preserve"> </w:t>
      </w:r>
      <w:r w:rsidR="00FF6E00">
        <w:t>Kakamega County, Kenya</w:t>
      </w:r>
      <w:r w:rsidRPr="003E5CE4">
        <w:t xml:space="preserve"> remains constrained by administrative, financial, and operational challenges. Strengthening financial accountability systems, improving coordination between stakeholders, enhancing administrative capacity, ensuring timely reimbursements, and addressing resource shortages are necessary to improve healthcare service delivery and realize the intended objectives of SHA and Universal Health Coverage in Kenya.</w:t>
      </w:r>
    </w:p>
    <w:p w14:paraId="6A343835" w14:textId="77777777" w:rsidR="00AD4D2D" w:rsidRPr="003E5CE4" w:rsidRDefault="00AD4D2D" w:rsidP="00873A3A">
      <w:pPr>
        <w:spacing w:after="0"/>
        <w:jc w:val="both"/>
      </w:pPr>
    </w:p>
    <w:p w14:paraId="57427A99" w14:textId="56BA693D" w:rsidR="005C1346" w:rsidRPr="00C827E6" w:rsidRDefault="00423540" w:rsidP="00C728CD">
      <w:pPr>
        <w:spacing w:after="0"/>
        <w:jc w:val="both"/>
        <w:rPr>
          <w:b/>
        </w:rPr>
      </w:pPr>
      <w:r w:rsidRPr="00C827E6">
        <w:rPr>
          <w:b/>
          <w:i/>
        </w:rPr>
        <w:t>Keywords</w:t>
      </w:r>
      <w:r w:rsidRPr="00C827E6">
        <w:rPr>
          <w:b/>
        </w:rPr>
        <w:t xml:space="preserve">: </w:t>
      </w:r>
      <w:r w:rsidRPr="005E6204">
        <w:rPr>
          <w:b/>
        </w:rPr>
        <w:t>Social Health Authority, health financing reforms, healthcare service delivery, Universal Health Co</w:t>
      </w:r>
      <w:r w:rsidR="00C827E6" w:rsidRPr="005E6204">
        <w:rPr>
          <w:b/>
        </w:rPr>
        <w:t>verage, public hospitals.</w:t>
      </w:r>
    </w:p>
    <w:p w14:paraId="66DC7047" w14:textId="77777777" w:rsidR="00B80B48" w:rsidRPr="009713BF" w:rsidRDefault="00556A18">
      <w:pPr>
        <w:pStyle w:val="Heading2"/>
      </w:pPr>
      <w:r w:rsidRPr="009713BF">
        <w:t>Background of the Study</w:t>
      </w:r>
    </w:p>
    <w:p w14:paraId="2310B8DA" w14:textId="55836BE5" w:rsidR="00DE68CC" w:rsidRDefault="00556A18">
      <w:pPr>
        <w:pStyle w:val="NormalWeb"/>
        <w:spacing w:line="360" w:lineRule="auto"/>
        <w:jc w:val="both"/>
      </w:pPr>
      <w:r w:rsidRPr="009713BF">
        <w:t xml:space="preserve">Health financing reforms remain central to improving access, equity, quality, and financial protection in health systems globally. In pursuit of Universal Health Coverage (UHC), many countries have restructured their health financing arrangements to reduce out-of-pocket expenditure and strengthen </w:t>
      </w:r>
      <w:r w:rsidR="005E6204">
        <w:t>public sector service delivery</w:t>
      </w:r>
      <w:r w:rsidR="003D62C5" w:rsidRPr="009713BF">
        <w:t>(</w:t>
      </w:r>
      <w:r w:rsidR="00FE6D15" w:rsidRPr="009713BF">
        <w:fldChar w:fldCharType="begin"/>
      </w:r>
      <w:r w:rsidR="004A3E82" w:rsidRPr="009713BF">
        <w:instrText xml:space="preserve"> ADDIN ZOTERO_ITEM CSL_CITATION {"citationID":"AgCRLhVL","properties":{"unsorted":false,"formattedCitation":"(Organization, 2023, 2023)","plainCitation":"(Organization, 2023, 2023)","dontUpdate":true,"noteIndex":0},"citationItems":[{"id":6395,"uris":["http://zotero.org/users/11139207/items/BQIPJQ9Z"],"itemData":{"id":6395,"type":"book","publisher":"World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Health"}],"accessed":{"date-parts":[["2026",5,5]]},"issued":{"date-parts":[["2023"]]}}}],"schema":"https://github.com/citation-style-language/schema/raw/master/csl-citation.json"} </w:instrText>
      </w:r>
      <w:r w:rsidR="00FE6D15" w:rsidRPr="009713BF">
        <w:fldChar w:fldCharType="separate"/>
      </w:r>
      <w:r w:rsidR="003D62C5" w:rsidRPr="009713BF">
        <w:t>Organization,</w:t>
      </w:r>
      <w:r w:rsidR="0097067C">
        <w:t xml:space="preserve"> </w:t>
      </w:r>
      <w:r w:rsidR="00FE6D15" w:rsidRPr="009713BF">
        <w:t>2023</w:t>
      </w:r>
      <w:r w:rsidR="00EF3032">
        <w:t>;</w:t>
      </w:r>
      <w:r w:rsidR="00EF3032" w:rsidRPr="00EF3032">
        <w:t xml:space="preserve"> </w:t>
      </w:r>
      <w:r w:rsidR="00EF3032">
        <w:t>T</w:t>
      </w:r>
      <w:r w:rsidR="00EF3032" w:rsidRPr="000D1144">
        <w:t>he Social Health Insurance Act, 2023</w:t>
      </w:r>
      <w:r w:rsidR="00FE6D15" w:rsidRPr="009713BF">
        <w:t>)</w:t>
      </w:r>
      <w:r w:rsidR="00FE6D15" w:rsidRPr="009713BF">
        <w:fldChar w:fldCharType="end"/>
      </w:r>
      <w:r w:rsidRPr="009713BF">
        <w:t>.</w:t>
      </w:r>
      <w:r w:rsidR="00492226" w:rsidRPr="009713BF">
        <w:t>Thi</w:t>
      </w:r>
      <w:r w:rsidR="00F2035D" w:rsidRPr="009713BF">
        <w:t>s study examined the effect of initial rollout c</w:t>
      </w:r>
      <w:r w:rsidR="00492226" w:rsidRPr="009713BF">
        <w:t>halleng</w:t>
      </w:r>
      <w:r w:rsidR="00F2035D" w:rsidRPr="009713BF">
        <w:t>es and structural system design the social health a</w:t>
      </w:r>
      <w:r w:rsidR="00492226" w:rsidRPr="009713BF">
        <w:t>uthority (SHA) on health facilities and public health service delivery in Kakamega County hospitals, Kenya</w:t>
      </w:r>
      <w:r w:rsidR="008A5695" w:rsidRPr="009713BF">
        <w:t xml:space="preserve"> with specific reference to Navakholo Sub-county</w:t>
      </w:r>
      <w:r w:rsidR="00BC7578" w:rsidRPr="009713BF">
        <w:t xml:space="preserve"> for the </w:t>
      </w:r>
      <w:r w:rsidR="00847431" w:rsidRPr="009713BF">
        <w:t xml:space="preserve">last two and half years. </w:t>
      </w:r>
    </w:p>
    <w:p w14:paraId="31CC4EE7" w14:textId="5AB4588C" w:rsidR="00B80B48" w:rsidRPr="009713BF" w:rsidRDefault="00847431">
      <w:pPr>
        <w:pStyle w:val="NormalWeb"/>
        <w:spacing w:line="360" w:lineRule="auto"/>
        <w:jc w:val="both"/>
      </w:pPr>
      <w:r w:rsidRPr="009713BF">
        <w:t>In</w:t>
      </w:r>
      <w:r w:rsidR="00556A18" w:rsidRPr="009713BF">
        <w:t xml:space="preserve"> Kenya, the enactment of the Social Health Insurance Act, 2023 led to the establishment of the Social Health Authority (SHA), replacing the National Hospital Insurance Fund (NHIF). The SHA is mandated to manage public health insurance schemes, mobilize resources, and enhance equitable access to quality health services for all Kenyans </w:t>
      </w:r>
      <w:r w:rsidR="00135B3E" w:rsidRPr="009713BF">
        <w:fldChar w:fldCharType="begin"/>
      </w:r>
      <w:r w:rsidR="004A3E82" w:rsidRPr="009713BF">
        <w:instrText xml:space="preserve"> ADDIN ZOTERO_ITEM CSL_CITATION {"citationID":"BnPGw5rI","properties":{"unsorted":false,"formattedCitation":"(Kariuki &amp; Koori, 2025, 2025)","plainCitation":"(Kariuki &amp; Koori, 2025, 2025)","dontUpdate":true,"noteIndex":0},"citationItems":[{"id":6396,"uris":["http://zotero.org/users/11139207/items/I4RR7XVN"],"itemData":{"id":6396,"type":"thesis","genre":"PhD Thesis","publisher":"Kenyatta University","source":"Google Scholar","title":"Health Insurance Schemes Financing and the Healthcare Insurance Uptake in Kenya","URL":"https://ir-library.ku.ac.ke/server/api/core/bitstreams/37ba7085-d73b-4731-ac9c-1f9439740f0f/content","author":[{"family":"Kariuki","given":"Nicholas Wachira"},{"family":"Koori","given":"Jeremiah"}],"accessed":{"date-parts":[["2026",5,5]]},"issued":{"date-parts":[["2025"]]}}},{"id":6396,"uris":["http://zotero.org/users/11139207/items/I4RR7XVN"],"itemData":{"id":6396,"type":"thesis","genre":"PhD Thesis","publisher":"Kenyatta University","source":"Google Scholar","title":"Health Insurance Schemes Financing and the Healthcare Insurance Uptake in Kenya","URL":"https://ir-library.ku.ac.ke/server/api/core/bitstreams/37ba7085-d73b-4731-ac9c-1f9439740f0f/content","author":[{"family":"Kariuki","given":"Nicholas Wachira"},{"family":"Koori","given":"Jeremiah"}],"accessed":{"date-parts":[["2026",5,5]]},"issued":{"date-parts":[["2025"]]}}}],"schema":"https://github.com/citation-style-language/schema/raw/master/csl-citation.json"} </w:instrText>
      </w:r>
      <w:r w:rsidR="00135B3E" w:rsidRPr="009713BF">
        <w:fldChar w:fldCharType="separate"/>
      </w:r>
      <w:r w:rsidR="0097067C">
        <w:t xml:space="preserve">(Kariuki and Koori, </w:t>
      </w:r>
      <w:r w:rsidR="00135B3E" w:rsidRPr="009713BF">
        <w:t>2025</w:t>
      </w:r>
      <w:r w:rsidR="00135B3E" w:rsidRPr="009713BF">
        <w:fldChar w:fldCharType="end"/>
      </w:r>
      <w:r w:rsidR="00414128">
        <w:t>;</w:t>
      </w:r>
      <w:r w:rsidR="00135B3E" w:rsidRPr="009713BF">
        <w:fldChar w:fldCharType="begin"/>
      </w:r>
      <w:r w:rsidR="004A3E82" w:rsidRPr="009713BF">
        <w:instrText xml:space="preserve"> ADDIN ZOTERO_ITEM CSL_CITATION {"citationID":"Qr2Rp0DK","properties":{"unsorted":false,"formattedCitation":"(Rotich, 2025, 2025)","plainCitation":"(Rotich, 2025, 2025)","dontUpdate":true,"noteIndex":0},"citationItems":[{"id":6398,"uris":["http://zotero.org/users/11139207/items/QWY43ZQZ"],"itemData":{"id":6398,"type":"thesis","genre":"PhD Thesis","publisher":"Kisii University","source":"Google Scholar","title":"Effect of Strategic Planning Practices on Performance of Selected National Health Insurance Fund Branches in Western Kenya Region","URL":"http://repository.kisiiuniversity.ac.ke:8080/xmlui/handle/123456789/9966","author":[{"family":"Rotich","given":"Herman Kimaiyo"}],"accessed":{"date-parts":[["2026",5,5]]},"issued":{"date-parts":[["2025"]]}}},{"id":6398,"uris":["http://zotero.org/users/11139207/items/QWY43ZQZ"],"itemData":{"id":6398,"type":"thesis","genre":"PhD Thesis","publisher":"Kisii University","source":"Google Scholar","title":"Effect of Strategic Planning Practices on Performance of Selected National Health Insurance Fund Branches in Western Kenya Region","URL":"http://repository.kisiiuniversity.ac.ke:8080/xmlui/handle/123456789/9966","author":[{"family":"Rotich","given":"Herman Kimaiyo"}],"accessed":{"date-parts":[["2026",5,5]]},"issued":{"date-parts":[["2025"]]}}}],"schema":"https://github.com/citation-style-language/schema/raw/master/csl-citation.json"} </w:instrText>
      </w:r>
      <w:r w:rsidR="00135B3E" w:rsidRPr="009713BF">
        <w:fldChar w:fldCharType="separate"/>
      </w:r>
      <w:r w:rsidR="00135B3E" w:rsidRPr="009713BF">
        <w:t>Rotich, 2025)</w:t>
      </w:r>
      <w:r w:rsidR="00135B3E" w:rsidRPr="009713BF">
        <w:fldChar w:fldCharType="end"/>
      </w:r>
      <w:r w:rsidR="00414128">
        <w:t>.</w:t>
      </w:r>
      <w:r w:rsidR="00556A18" w:rsidRPr="009713BF">
        <w:t xml:space="preserve">The reform seeks to address </w:t>
      </w:r>
      <w:r w:rsidR="00556A18" w:rsidRPr="009713BF">
        <w:lastRenderedPageBreak/>
        <w:t xml:space="preserve">persistent challenges in health financing, including inefficiencies, inequities in access, and financial barriers to </w:t>
      </w:r>
      <w:r w:rsidR="007B2735" w:rsidRPr="009713BF">
        <w:t>care. However</w:t>
      </w:r>
      <w:r w:rsidR="00871D4A" w:rsidRPr="009713BF">
        <w:t>,</w:t>
      </w:r>
      <w:r w:rsidR="007B2735" w:rsidRPr="009713BF">
        <w:t xml:space="preserve"> evidence reveals that </w:t>
      </w:r>
      <w:r w:rsidR="00E60291" w:rsidRPr="009713BF">
        <w:t xml:space="preserve">the </w:t>
      </w:r>
      <w:r w:rsidR="008F249E" w:rsidRPr="009713BF">
        <w:rPr>
          <w:bCs/>
        </w:rPr>
        <w:t>transition p</w:t>
      </w:r>
      <w:r w:rsidR="00E60291" w:rsidRPr="009713BF">
        <w:rPr>
          <w:bCs/>
        </w:rPr>
        <w:t>hase</w:t>
      </w:r>
      <w:r w:rsidR="007B2735" w:rsidRPr="009713BF">
        <w:t xml:space="preserve"> is full </w:t>
      </w:r>
      <w:r w:rsidR="008F249E" w:rsidRPr="009713BF">
        <w:t>of i</w:t>
      </w:r>
      <w:r w:rsidR="00C21192" w:rsidRPr="009713BF">
        <w:t>nitial</w:t>
      </w:r>
      <w:r w:rsidR="008F249E" w:rsidRPr="009713BF">
        <w:t xml:space="preserve"> rollout c</w:t>
      </w:r>
      <w:r w:rsidR="007B2735" w:rsidRPr="009713BF">
        <w:t>halle</w:t>
      </w:r>
      <w:r w:rsidR="008F249E" w:rsidRPr="009713BF">
        <w:t>nges and structural system d</w:t>
      </w:r>
      <w:r w:rsidR="007B2735" w:rsidRPr="009713BF">
        <w:t>esign</w:t>
      </w:r>
      <w:r w:rsidR="008F249E" w:rsidRPr="009713BF">
        <w:t xml:space="preserve"> that </w:t>
      </w:r>
      <w:r w:rsidR="00F242E4" w:rsidRPr="009713BF">
        <w:t xml:space="preserve">a lot of financial malpractices </w:t>
      </w:r>
      <w:r w:rsidR="00507760" w:rsidRPr="009713BF">
        <w:t>(</w:t>
      </w:r>
      <w:r w:rsidR="00F242E4" w:rsidRPr="009713BF">
        <w:fldChar w:fldCharType="begin"/>
      </w:r>
      <w:r w:rsidR="00FE6D15" w:rsidRPr="009713BF">
        <w:instrText xml:space="preserve"> ADDIN ZOTERO_ITEM CSL_CITATION {"citationID":"xou8BHen","properties":{"unsorted":false,"formattedCitation":"(Kabia et al., 2019, 2019)","plainCitation":"(Kabia et al., 2019, 2019)","dontUpdate":true,"noteIndex":0},"citationItems":[{"id":6393,"uris":["http://zotero.org/users/11139207/items/DBQYRU7P"],"itemData":{"id":6393,"type":"article-journal","container-title":"International Journal for Equity in Health","DOI":"10.1186/s12939-019-1006-2","ISSN":"1475-9276","issue":"1","journalAbbreviation":"Int J Equity Health","language":"en","page":"98","source":"DOI.org (Crossref)","title":"“We are called the et cetera”: experiences of the poor with health financing reforms that target them in Kenya","title-short":"“We are called the et cetera”","volume":"18","author":[{"family":"Kabia","given":"Evelyn"},{"family":"Mbau","given":"Rahab"},{"family":"Oyando","given":"Robinson"},{"family":"Oduor","given":"Clement"},{"family":"Bigogo","given":"Godfrey"},{"family":"Khagayi","given":"Sammy"},{"family":"Barasa","given":"Edwine"}],"issued":{"date-parts":[["2019",12]]}}},{"id":6393,"uris":["http://zotero.org/users/11139207/items/DBQYRU7P"],"itemData":{"id":6393,"type":"article-journal","container-title":"International Journal for Equity in Health","DOI":"10.1186/s12939-019-1006-2","ISSN":"1475-9276","issue":"1","journalAbbreviation":"Int J Equity Health","language":"en","page":"98","source":"DOI.org (Crossref)","title":"“We are called the et cetera”: experiences of the poor with health financing reforms that target them in Kenya","title-short":"“We are called the et cetera”","volume":"18","author":[{"family":"Kabia","given":"Evelyn"},{"family":"Mbau","given":"Rahab"},{"family":"Oyando","given":"Robinson"},{"family":"Oduor","given":"Clement"},{"family":"Bigogo","given":"Godfrey"},{"family":"Khagayi","given":"Sammy"},{"family":"Barasa","given":"Edwine"}],"issued":{"date-parts":[["2019",12]]}}}],"schema":"https://github.com/citation-style-language/schema/raw/master/csl-citation.json"} </w:instrText>
      </w:r>
      <w:r w:rsidR="00F242E4" w:rsidRPr="009713BF">
        <w:fldChar w:fldCharType="separate"/>
      </w:r>
      <w:r w:rsidR="009F7812" w:rsidRPr="009713BF">
        <w:t xml:space="preserve">Kabia </w:t>
      </w:r>
      <w:r w:rsidR="009F7812" w:rsidRPr="0097067C">
        <w:rPr>
          <w:i/>
        </w:rPr>
        <w:t>et al</w:t>
      </w:r>
      <w:r w:rsidR="009F7812" w:rsidRPr="009713BF">
        <w:t>.,</w:t>
      </w:r>
      <w:r w:rsidR="00F242E4" w:rsidRPr="009713BF">
        <w:t xml:space="preserve"> 2019</w:t>
      </w:r>
      <w:r w:rsidR="00F242E4" w:rsidRPr="009713BF">
        <w:fldChar w:fldCharType="end"/>
      </w:r>
      <w:r w:rsidR="005C4D28" w:rsidRPr="009713BF">
        <w:t xml:space="preserve">; </w:t>
      </w:r>
      <w:r w:rsidR="005C4D28" w:rsidRPr="009713BF">
        <w:fldChar w:fldCharType="begin"/>
      </w:r>
      <w:r w:rsidR="004A3E82" w:rsidRPr="009713BF">
        <w:instrText xml:space="preserve"> ADDIN ZOTERO_ITEM CSL_CITATION {"citationID":"TKGpahWp","properties":{"unsorted":false,"formattedCitation":"(Rotich, 2025, 2025)","plainCitation":"(Rotich, 2025, 2025)","dontUpdate":true,"noteIndex":0},"citationItems":[{"id":6398,"uris":["http://zotero.org/users/11139207/items/QWY43ZQZ"],"itemData":{"id":6398,"type":"thesis","genre":"PhD Thesis","publisher":"Kisii University","source":"Google Scholar","title":"Effect of Strategic Planning Practices on Performance of Selected National Health Insurance Fund Branches in Western Kenya Region","URL":"http://repository.kisiiuniversity.ac.ke:8080/xmlui/handle/123456789/9966","author":[{"family":"Rotich","given":"Herman Kimaiyo"}],"accessed":{"date-parts":[["2026",5,5]]},"issued":{"date-parts":[["2025"]]}}},{"id":6398,"uris":["http://zotero.org/users/11139207/items/QWY43ZQZ"],"itemData":{"id":6398,"type":"thesis","genre":"PhD Thesis","publisher":"Kisii University","source":"Google Scholar","title":"Effect of Strategic Planning Practices on Performance of Selected National Health Insurance Fund Branches in Western Kenya Region","URL":"http://repository.kisiiuniversity.ac.ke:8080/xmlui/handle/123456789/9966","author":[{"family":"Rotich","given":"Herman Kimaiyo"}],"accessed":{"date-parts":[["2026",5,5]]},"issued":{"date-parts":[["2025"]]}}}],"schema":"https://github.com/citation-style-language/schema/raw/master/csl-citation.json"} </w:instrText>
      </w:r>
      <w:r w:rsidR="005C4D28" w:rsidRPr="009713BF">
        <w:fldChar w:fldCharType="separate"/>
      </w:r>
      <w:r w:rsidR="005C4D28" w:rsidRPr="009713BF">
        <w:t>Rotich, 2025)</w:t>
      </w:r>
      <w:r w:rsidR="005C4D28" w:rsidRPr="009713BF">
        <w:fldChar w:fldCharType="end"/>
      </w:r>
      <w:r w:rsidR="007B2735" w:rsidRPr="009713BF">
        <w:t>.</w:t>
      </w:r>
    </w:p>
    <w:p w14:paraId="610FF52D" w14:textId="77777777" w:rsidR="00D1325D" w:rsidRDefault="00556A18">
      <w:pPr>
        <w:pStyle w:val="NormalWeb"/>
        <w:spacing w:line="360" w:lineRule="auto"/>
        <w:jc w:val="both"/>
      </w:pPr>
      <w:r w:rsidRPr="009713BF">
        <w:t xml:space="preserve">Public health services comprise organized programs, policies, and activities aimed at promoting population health, preventing disease, and ensuring access to essential services. These services depend on delivery systems responsible for implementing health interventions within communities and health facilities </w:t>
      </w:r>
      <w:r w:rsidR="005D2C78" w:rsidRPr="009713BF">
        <w:fldChar w:fldCharType="begin"/>
      </w:r>
      <w:r w:rsidR="000C6BE0" w:rsidRPr="009713BF">
        <w:instrText xml:space="preserve"> ADDIN ZOTERO_ITEM CSL_CITATION {"citationID":"SEQ3RtXI","properties":{"unsorted":false,"formattedCitation":"(Kagwanja et al., 2026, 2026)","plainCitation":"(Kagwanja et al., 2026, 2026)","dontUpdate":true,"noteIndex":0},"citationItems":[{"id":6405,"uris":["http://zotero.org/users/11139207/items/NSQBM7A8"],"itemData":{"id":6405,"type":"article-journal","container-title":"Health Policy and Planning","issue":"4","page":"627–639","publisher":"Oxford University Press UK","source":"Google Scholar","title":"Understanding what factors influence community health worker involvement in hypertension service delivery in Kenya: applying a community health system lens","title-short":"Understanding what factors influence community health worker involvement in hypertension service delivery in Kenya","volume":"41","author":[{"family":"Kagwanja","given":"Nancy"},{"family":"Oyando","given":"Robinson"},{"family":"Hassan","given":"Syreen"},{"family":"Diallo","given":"Brahima A."},{"family":"Badjie","given":"Jainaba"},{"family":"Lucinde","given":"Ruth"},{"family":"Mumba","given":"Noni"},{"family":"Kinyanjui","given":"Sam"},{"family":"Perel","given":"Pablo"},{"family":"Etyang","given":"Anthony"}],"issued":{"date-parts":[["2026"]]}}},{"id":6405,"uris":["http://zotero.org/users/11139207/items/NSQBM7A8"],"itemData":{"id":6405,"type":"article-journal","container-title":"Health Policy and Planning","issue":"4","page":"627–639","publisher":"Oxford University Press UK","source":"Google Scholar","title":"Understanding what factors influence community health worker involvement in hypertension service delivery in Kenya: applying a community health system lens","title-short":"Understanding what factors influence community health worker involvement in hypertension service delivery in Kenya","volume":"41","author":[{"family":"Kagwanja","given":"Nancy"},{"family":"Oyando","given":"Robinson"},{"family":"Hassan","given":"Syreen"},{"family":"Diallo","given":"Brahima A."},{"family":"Badjie","given":"Jainaba"},{"family":"Lucinde","given":"Ruth"},{"family":"Mumba","given":"Noni"},{"family":"Kinyanjui","given":"Sam"},{"family":"Perel","given":"Pablo"},{"family":"Etyang","given":"Anthony"}],"issued":{"date-parts":[["2026"]]}}}],"schema":"https://github.com/citation-style-language/schema/raw/master/csl-citation.json"} </w:instrText>
      </w:r>
      <w:r w:rsidR="005D2C78" w:rsidRPr="009713BF">
        <w:fldChar w:fldCharType="separate"/>
      </w:r>
      <w:r w:rsidR="005D2C78" w:rsidRPr="009713BF">
        <w:t>(Kagwanja et al., 2026)</w:t>
      </w:r>
      <w:r w:rsidR="005D2C78" w:rsidRPr="009713BF">
        <w:fldChar w:fldCharType="end"/>
      </w:r>
      <w:r w:rsidRPr="009713BF">
        <w:t xml:space="preserve">. </w:t>
      </w:r>
    </w:p>
    <w:p w14:paraId="05FBB81B" w14:textId="3C3DB788" w:rsidR="00B80B48" w:rsidRPr="009713BF" w:rsidRDefault="00556A18">
      <w:pPr>
        <w:pStyle w:val="NormalWeb"/>
        <w:spacing w:line="360" w:lineRule="auto"/>
        <w:jc w:val="both"/>
      </w:pPr>
      <w:r w:rsidRPr="009713BF">
        <w:t xml:space="preserve">The effectiveness of a public health system is influenced by the density of institutions involved, their coordination capacity, and the governance structures guiding service provision </w:t>
      </w:r>
      <w:r w:rsidR="00081396" w:rsidRPr="009713BF">
        <w:fldChar w:fldCharType="begin"/>
      </w:r>
      <w:r w:rsidR="004A3E82" w:rsidRPr="009713BF">
        <w:instrText xml:space="preserve"> ADDIN ZOTERO_ITEM CSL_CITATION {"citationID":"lIEbyVjl","properties":{"unsorted":false,"formattedCitation":"(Kazungu, 2025, 2025)","plainCitation":"(Kazungu, 2025, 2025)","dontUpdate":true,"noteIndex":0},"citationItems":[{"id":6406,"uris":["http://zotero.org/users/11139207/items/VI8S9LR2"],"itemData":{"id":6406,"type":"thesis","genre":"PhD Thesis","publisher":"The Open University","source":"Google Scholar","title":"Whom to buy from: Examining NHIF members’ preferences and the inequities in the distribution of and access to NHIF-contracted facilities in Kenya","title-short":"Whom to buy from","URL":"https://oro.open.ac.uk/104185/","author":[{"family":"Kazungu","given":"Jacob"}],"accessed":{"date-parts":[["2026",5,5]]},"issued":{"date-parts":[["2025"]]}}},{"id":6406,"uris":["http://zotero.org/users/11139207/items/VI8S9LR2"],"itemData":{"id":6406,"type":"thesis","genre":"PhD Thesis","publisher":"The Open University","source":"Google Scholar","title":"Whom to buy from: Examining NHIF members’ preferences and the inequities in the distribution of and access to NHIF-contracted facilities in Kenya","title-short":"Whom to buy from","URL":"https://oro.open.ac.uk/104185/","author":[{"family":"Kazungu","given":"Jacob"}],"accessed":{"date-parts":[["2026",5,5]]},"issued":{"date-parts":[["2025"]]}}}],"schema":"https://github.com/citation-style-language/schema/raw/master/csl-citation.json"} </w:instrText>
      </w:r>
      <w:r w:rsidR="00081396" w:rsidRPr="009713BF">
        <w:fldChar w:fldCharType="separate"/>
      </w:r>
      <w:r w:rsidR="00081396" w:rsidRPr="009713BF">
        <w:t>(Kazungu, 2025)</w:t>
      </w:r>
      <w:r w:rsidR="00081396" w:rsidRPr="009713BF">
        <w:fldChar w:fldCharType="end"/>
      </w:r>
      <w:r w:rsidRPr="009713BF">
        <w:t xml:space="preserve">. Variations in how public health services are organized and delivered across regions often result in disparities in access, quality, and health outcomes </w:t>
      </w:r>
      <w:r w:rsidR="00D17311" w:rsidRPr="009713BF">
        <w:fldChar w:fldCharType="begin"/>
      </w:r>
      <w:r w:rsidR="004A3E82" w:rsidRPr="009713BF">
        <w:instrText xml:space="preserve"> ADDIN ZOTERO_ITEM CSL_CITATION {"citationID":"JzfdsjUj","properties":{"unsorted":false,"formattedCitation":"(OUMA, 2024, 2024)","plainCitation":"(OUMA, 2024, 2024)","dontUpdate":true,"noteIndex":0},"citationItems":[{"id":6402,"uris":["http://zotero.org/users/11139207/items/DSCUFAXD"],"itemData":{"id":6402,"type":"article-journal","source":"Google Scholar","title":"SCIENCE IN COMMUNITY HEALTH AND DEVELOPMENT","URL":"https://www.gluk.ac.ke/downloads/Beatrice_Atieno_Ouma_Thesis.pdf","author":[{"family":"OUMA","given":"BEATRICE ATIENO"}],"accessed":{"date-parts":[["2026",5,5]]},"issued":{"date-parts":[["2024"]]}}},{"id":6402,"uris":["http://zotero.org/users/11139207/items/DSCUFAXD"],"itemData":{"id":6402,"type":"article-journal","source":"Google Scholar","title":"SCIENCE IN COMMUNITY HEALTH AND DEVELOPMENT","URL":"https://www.gluk.ac.ke/downloads/Beatrice_Atieno_Ouma_Thesis.pdf","author":[{"family":"OUMA","given":"BEATRICE ATIENO"}],"accessed":{"date-parts":[["2026",5,5]]},"issued":{"date-parts":[["2024"]]}}}],"schema":"https://github.com/citation-style-language/schema/raw/master/csl-citation.json"} </w:instrText>
      </w:r>
      <w:r w:rsidR="00D17311" w:rsidRPr="009713BF">
        <w:fldChar w:fldCharType="separate"/>
      </w:r>
      <w:r w:rsidR="00D17311" w:rsidRPr="009713BF">
        <w:t>(O</w:t>
      </w:r>
      <w:r w:rsidR="005D2C78" w:rsidRPr="009713BF">
        <w:t>uma</w:t>
      </w:r>
      <w:r w:rsidR="00D17311" w:rsidRPr="009713BF">
        <w:t>, 2024</w:t>
      </w:r>
      <w:r w:rsidR="00D17311" w:rsidRPr="009713BF">
        <w:fldChar w:fldCharType="end"/>
      </w:r>
      <w:r w:rsidR="00D17311" w:rsidRPr="009713BF">
        <w:t>;</w:t>
      </w:r>
      <w:r w:rsidR="000C6BE0" w:rsidRPr="009713BF">
        <w:t xml:space="preserve"> </w:t>
      </w:r>
      <w:r w:rsidR="00D17311" w:rsidRPr="009713BF">
        <w:fldChar w:fldCharType="begin"/>
      </w:r>
      <w:r w:rsidR="004A3E82" w:rsidRPr="009713BF">
        <w:instrText xml:space="preserve"> ADDIN ZOTERO_ITEM CSL_CITATION {"citationID":"GWXtbsgF","properties":{"unsorted":false,"formattedCitation":"(OGWENGO, 2024, 2024)","plainCitation":"(OGWENGO, 2024, 2024)","dontUpdate":true,"noteIndex":0},"citationItems":[{"id":6404,"uris":["http://zotero.org/users/11139207/items/KAD3JCC5"],"itemData":{"id":6404,"type":"thesis","genre":"PhD Thesis","publisher":"Kabarak University","source":"Google Scholar","title":"STRATEGIC INITIATIVES ON UNIVERSAL HEALTH COVERAGE PROGRAM’S PERFORMANCE IN KENYA","author":[{"family":"OGWENGO","given":"KENNEDY ONGOYE"}],"issued":{"date-parts":[["2024"]]}}},{"id":6404,"uris":["http://zotero.org/users/11139207/items/KAD3JCC5"],"itemData":{"id":6404,"type":"thesis","genre":"PhD Thesis","publisher":"Kabarak University","source":"Google Scholar","title":"STRATEGIC INITIATIVES ON UNIVERSAL HEALTH COVERAGE PROGRAM’S PERFORMANCE IN KENYA","author":[{"family":"OGWENGO","given":"KENNEDY ONGOYE"}],"issued":{"date-parts":[["2024"]]}}}],"schema":"https://github.com/citation-style-language/schema/raw/master/csl-citation.json"} </w:instrText>
      </w:r>
      <w:r w:rsidR="00D17311" w:rsidRPr="009713BF">
        <w:fldChar w:fldCharType="separate"/>
      </w:r>
      <w:r w:rsidR="00D17311" w:rsidRPr="009713BF">
        <w:t>Ogwengo, 2024)</w:t>
      </w:r>
      <w:r w:rsidR="00D17311" w:rsidRPr="009713BF">
        <w:fldChar w:fldCharType="end"/>
      </w:r>
      <w:r w:rsidR="006A4111" w:rsidRPr="009713BF">
        <w:t>.</w:t>
      </w:r>
      <w:r w:rsidRPr="009713BF">
        <w:t xml:space="preserve"> In Kenya, devolution under the Constitution of 2010 transferred health service delivery to county governments, creating a multi-level governance structure where national policies such as SHA must be implemented at county level </w:t>
      </w:r>
      <w:r w:rsidR="00D17311" w:rsidRPr="009713BF">
        <w:fldChar w:fldCharType="begin"/>
      </w:r>
      <w:r w:rsidR="000C6BE0" w:rsidRPr="009713BF">
        <w:instrText xml:space="preserve"> ADDIN ZOTERO_ITEM CSL_CITATION {"citationID":"7t2n4Bxo","properties":{"unsorted":false,"formattedCitation":"(Kagwanja et al., 2026, 2026)","plainCitation":"(Kagwanja et al., 2026, 2026)","dontUpdate":true,"noteIndex":0},"citationItems":[{"id":6405,"uris":["http://zotero.org/users/11139207/items/NSQBM7A8"],"itemData":{"id":6405,"type":"article-journal","container-title":"Health Policy and Planning","issue":"4","page":"627–639","publisher":"Oxford University Press UK","source":"Google Scholar","title":"Understanding what factors influence community health worker involvement in hypertension service delivery in Kenya: applying a community health system lens","title-short":"Understanding what factors influence community health worker involvement in hypertension service delivery in Kenya","volume":"41","author":[{"family":"Kagwanja","given":"Nancy"},{"family":"Oyando","given":"Robinson"},{"family":"Hassan","given":"Syreen"},{"family":"Diallo","given":"Brahima A."},{"family":"Badjie","given":"Jainaba"},{"family":"Lucinde","given":"Ruth"},{"family":"Mumba","given":"Noni"},{"family":"Kinyanjui","given":"Sam"},{"family":"Perel","given":"Pablo"},{"family":"Etyang","given":"Anthony"}],"issued":{"date-parts":[["2026"]]}}},{"id":6405,"uris":["http://zotero.org/users/11139207/items/NSQBM7A8"],"itemData":{"id":6405,"type":"article-journal","container-title":"Health Policy and Planning","issue":"4","page":"627–639","publisher":"Oxford University Press UK","source":"Google Scholar","title":"Understanding what factors influence community health worker involvement in hypertension service delivery in Kenya: applying a community health system lens","title-short":"Understanding what factors influence community health worker involvement in hypertension service delivery in Kenya","volume":"41","author":[{"family":"Kagwanja","given":"Nancy"},{"family":"Oyando","given":"Robinson"},{"family":"Hassan","given":"Syreen"},{"family":"Diallo","given":"Brahima A."},{"family":"Badjie","given":"Jainaba"},{"family":"Lucinde","given":"Ruth"},{"family":"Mumba","given":"Noni"},{"family":"Kinyanjui","given":"Sam"},{"family":"Perel","given":"Pablo"},{"family":"Etyang","given":"Anthony"}],"issued":{"date-parts":[["2026"]]}}}],"schema":"https://github.com/citation-style-language/schema/raw/master/csl-citation.json"} </w:instrText>
      </w:r>
      <w:r w:rsidR="00D17311" w:rsidRPr="009713BF">
        <w:fldChar w:fldCharType="separate"/>
      </w:r>
      <w:r w:rsidR="005D2C78" w:rsidRPr="009713BF">
        <w:t xml:space="preserve">(Kagwanja </w:t>
      </w:r>
      <w:r w:rsidR="005D2C78" w:rsidRPr="00D97FAD">
        <w:rPr>
          <w:i/>
        </w:rPr>
        <w:t>et al</w:t>
      </w:r>
      <w:r w:rsidR="005D2C78" w:rsidRPr="009713BF">
        <w:t>.</w:t>
      </w:r>
      <w:r w:rsidR="00D17311" w:rsidRPr="009713BF">
        <w:t>, 2026)</w:t>
      </w:r>
      <w:r w:rsidR="00D17311" w:rsidRPr="009713BF">
        <w:fldChar w:fldCharType="end"/>
      </w:r>
      <w:r w:rsidR="00CF4043" w:rsidRPr="009713BF">
        <w:rPr>
          <w:color w:val="FF0000"/>
        </w:rPr>
        <w:t>.</w:t>
      </w:r>
    </w:p>
    <w:p w14:paraId="357F29D0" w14:textId="77777777" w:rsidR="009550D8" w:rsidRDefault="00556A18" w:rsidP="002720A7">
      <w:pPr>
        <w:pStyle w:val="NormalWeb"/>
        <w:spacing w:line="360" w:lineRule="auto"/>
        <w:jc w:val="both"/>
      </w:pPr>
      <w:r w:rsidRPr="009713BF">
        <w:t xml:space="preserve">The complexity of intergovernmental and inter-organizational arrangements in Kenya’s health sector has historically complicated efforts to harmonize financing, accountability, and service delivery </w:t>
      </w:r>
      <w:r w:rsidR="000C6BE0" w:rsidRPr="009713BF">
        <w:fldChar w:fldCharType="begin"/>
      </w:r>
      <w:r w:rsidR="004A3E82" w:rsidRPr="009713BF">
        <w:instrText xml:space="preserve"> ADDIN ZOTERO_ITEM CSL_CITATION {"citationID":"cqupePFm","properties":{"unsorted":false,"formattedCitation":"(Kagwanja et al., 2026b, 2026b)","plainCitation":"(Kagwanja et al., 2026b, 2026b)","dontUpdate":true,"noteIndex":0},"citationItems":[{"id":6408,"uris":["http://zotero.org/users/11139207/items/T8KBQBL7"],"itemData":{"id":6408,"type":"article-journal","container-title":"Health Policy and Planning","issue":"4","page":"627–639","publisher":"Oxford University Press UK","source":"Google Scholar","title":"Understanding what factors influence community health worker involvement in hypertension service delivery in Kenya: applying a community health system lens","title-short":"Understanding what factors influence community health worker involvement in hypertension service delivery in Kenya","volume":"41","author":[{"family":"Kagwanja","given":"Nancy"},{"family":"Oyando","given":"Robinson"},{"family":"Hassan","given":"Syreen"},{"family":"Diallo","given":"Brahima A."},{"family":"Badjie","given":"Jainaba"},{"family":"Lucinde","given":"Ruth"},{"family":"Mumba","given":"Noni"},{"family":"Kinyanjui","given":"Sam"},{"family":"Perel","given":"Pablo"},{"family":"Etyang","given":"Anthony"}],"issued":{"date-parts":[["2026"]]}}},{"id":6408,"uris":["http://zotero.org/users/11139207/items/T8KBQBL7"],"itemData":{"id":6408,"type":"article-journal","container-title":"Health Policy and Planning","issue":"4","page":"627–639","publisher":"Oxford University Press UK","source":"Google Scholar","title":"Understanding what factors influence community health worker involvement in hypertension service delivery in Kenya: applying a community health system lens","title-short":"Understanding what factors influence community health worker involvement in hypertension service delivery in Kenya","volume":"41","author":[{"family":"Kagwanja","given":"Nancy"},{"family":"Oyando","given":"Robinson"},{"family":"Hassan","given":"Syreen"},{"family":"Diallo","given":"Brahima A."},{"family":"Badjie","given":"Jainaba"},{"family":"Lucinde","given":"Ruth"},{"family":"Mumba","given":"Noni"},{"family":"Kinyanjui","given":"Sam"},{"family":"Perel","given":"Pablo"},{"family":"Etyang","given":"Anthony"}],"issued":{"date-parts":[["2026"]]}}}],"schema":"https://github.com/citation-style-language/schema/raw/master/csl-citation.json"} </w:instrText>
      </w:r>
      <w:r w:rsidR="000C6BE0" w:rsidRPr="009713BF">
        <w:fldChar w:fldCharType="separate"/>
      </w:r>
      <w:r w:rsidR="005B4B96" w:rsidRPr="009713BF">
        <w:t xml:space="preserve">(Kagwanja </w:t>
      </w:r>
      <w:r w:rsidR="005B4B96" w:rsidRPr="00D97FAD">
        <w:rPr>
          <w:i/>
        </w:rPr>
        <w:t>et al</w:t>
      </w:r>
      <w:r w:rsidR="005B4B96" w:rsidRPr="009713BF">
        <w:t xml:space="preserve">., </w:t>
      </w:r>
      <w:r w:rsidR="000C6BE0" w:rsidRPr="009713BF">
        <w:t>2026)</w:t>
      </w:r>
      <w:r w:rsidR="000C6BE0" w:rsidRPr="009713BF">
        <w:fldChar w:fldCharType="end"/>
      </w:r>
      <w:r w:rsidRPr="009713BF">
        <w:t xml:space="preserve">. Public health activities, like other public goods, often require strong governmental coordination because private incentives alone may not ensure equitable provision </w:t>
      </w:r>
      <w:r w:rsidR="000C6BE0" w:rsidRPr="009713BF">
        <w:fldChar w:fldCharType="begin"/>
      </w:r>
      <w:r w:rsidR="004A3E82" w:rsidRPr="009713BF">
        <w:instrText xml:space="preserve"> ADDIN ZOTERO_ITEM CSL_CITATION {"citationID":"UEAdG7oE","properties":{"unsorted":false,"formattedCitation":"(Kazungu, 2025, 2025)","plainCitation":"(Kazungu, 2025, 2025)","dontUpdate":true,"noteIndex":0},"citationItems":[{"id":6406,"uris":["http://zotero.org/users/11139207/items/VI8S9LR2"],"itemData":{"id":6406,"type":"thesis","genre":"PhD Thesis","publisher":"The Open University","source":"Google Scholar","title":"Whom to buy from: Examining NHIF members’ preferences and the inequities in the distribution of and access to NHIF-contracted facilities in Kenya","title-short":"Whom to buy from","URL":"https://oro.open.ac.uk/104185/","author":[{"family":"Kazungu","given":"Jacob"}],"accessed":{"date-parts":[["2026",5,5]]},"issued":{"date-parts":[["2025"]]}}},{"id":6406,"uris":["http://zotero.org/users/11139207/items/VI8S9LR2"],"itemData":{"id":6406,"type":"thesis","genre":"PhD Thesis","publisher":"The Open University","source":"Google Scholar","title":"Whom to buy from: Examining NHIF members’ preferences and the inequities in the distribution of and access to NHIF-contracted facilities in Kenya","title-short":"Whom to buy from","URL":"https://oro.open.ac.uk/104185/","author":[{"family":"Kazungu","given":"Jacob"}],"accessed":{"date-parts":[["2026",5,5]]},"issued":{"date-parts":[["2025"]]}}}],"schema":"https://github.com/citation-style-language/schema/raw/master/csl-citation.json"} </w:instrText>
      </w:r>
      <w:r w:rsidR="000C6BE0" w:rsidRPr="009713BF">
        <w:fldChar w:fldCharType="separate"/>
      </w:r>
      <w:r w:rsidR="000C6BE0" w:rsidRPr="009713BF">
        <w:t>(Kazungu, 2025)</w:t>
      </w:r>
      <w:r w:rsidR="000C6BE0" w:rsidRPr="009713BF">
        <w:fldChar w:fldCharType="end"/>
      </w:r>
      <w:r w:rsidRPr="009713BF">
        <w:t xml:space="preserve">. Government agencies are therefore expected not only to finance services but also to coordinate stakeholders, minimize duplication, and enhance accountability mechanisms. </w:t>
      </w:r>
    </w:p>
    <w:p w14:paraId="24D2A287" w14:textId="1CC69FD4" w:rsidR="00B80B48" w:rsidRPr="009713BF" w:rsidRDefault="00556A18" w:rsidP="002720A7">
      <w:pPr>
        <w:pStyle w:val="NormalWeb"/>
        <w:spacing w:line="360" w:lineRule="auto"/>
        <w:jc w:val="both"/>
      </w:pPr>
      <w:r w:rsidRPr="009713BF">
        <w:lastRenderedPageBreak/>
        <w:t>Effective financial management systems are essential in ensuring that allocated resources reach health facilities and are utilized efficien</w:t>
      </w:r>
      <w:r w:rsidR="005E4ABC">
        <w:t>tly to improve service delivery</w:t>
      </w:r>
      <w:r w:rsidR="00BB3BC1">
        <w:t xml:space="preserve"> </w:t>
      </w:r>
      <w:r w:rsidR="000C6BE0" w:rsidRPr="009713BF">
        <w:fldChar w:fldCharType="begin"/>
      </w:r>
      <w:r w:rsidR="00563398" w:rsidRPr="009713BF">
        <w:instrText xml:space="preserve"> ADDIN ZOTERO_ITEM CSL_CITATION {"citationID":"yGPRfBUj","properties":{"unsorted":false,"formattedCitation":"(E. Barasa et al., 2021, 2021)","plainCitation":"(E. Barasa et al., 2021, 2021)","dontUpdate":true,"noteIndex":0},"citationItems":[{"id":6410,"uris":["http://zotero.org/users/11139207/items/XG2SQUX5"],"itemData":{"id":6410,"type":"article-journal","abstract":"Abstract\n            \n              Background\n              Improving health system efficiency is a key strategy to increase health system performance and accelerate progress towards Universal Health Coverage. In 2013, Kenya transitioned into a devolved system of government granting county governments autonomy over budgets and priorities. We assessed the level and determinants of technical efficiency of the 47 county health systems in Kenya.\n            \n            \n              Methods\n              We carried out a two-stage data envelopment analysis (DEA) using Simar and Wilson’s double bootstrap method using data from all the 47 counties in Kenya. In the first stage, we derived the bootstrapped DEA scores using an output orientation. We used three input variables (Public county health expenditure, Private county health expenditure, number of healthcare facilities), and one outcome variable (Disability Adjusted Life Years) using 2018 data. In the second stage, the bias corrected technical inefficiency scores were regressed against 14 exogenous factors using a bootstrapped truncated regression.\n            \n            \n              Results\n              The mean bias-corrected technical efficiency score of the 47 counties was 69.72% (95% CI 66.41–73.01%), indicating that on average, county health systems could increase their outputs by 30.28% at the same level of inputs. County technical efficiency scores ranged from 42.69% (95% CI 38.11–45.26%) to 91.99% (95% CI 83.78–98.95%). Higher HIV prevalence was associated with greater technical inefficiency of county health systems, while higher population density, county absorption of development budgets, and quality of care provided by healthcare facilities were associated with lower county health system inefficiency.\n            \n            \n              Conclusions\n              The findings from this analysis highlight the need for county health departments to consider ways to improve the efficiency of county health systems. Approaches could include prioritizing resources to interventions that will reduce high chronic disease burden, filling structural quality gaps, implementing interventions to improve process quality, identifying the challenges to absorption rates and reforming public finance management systems to enhance their efficiency.","container-title":"Cost Effectiveness and Resource Allocation","DOI":"10.1186/s12962-021-00332-1","ISSN":"1478-7547","issue":"1","journalAbbreviation":"Cost Eff Resour Alloc","language":"en","page":"78","source":"DOI.org (Crossref)","title":"Level and determinants of county health system technical efficiency in Kenya: two stage data envelopment analysis","title-short":"Level and determinants of county health system technical efficiency in Kenya","volume":"19","author":[{"family":"Barasa","given":"Edwine"},{"family":"Musiega","given":"Anita"},{"family":"Hanson","given":"Kara"},{"family":"Nyawira","given":"Lizah"},{"family":"Mulwa","given":"Andrew"},{"family":"Molyneux","given":"Sassy"},{"family":"Maina","given":"Isabel"},{"family":"Tsofa","given":"Benjamin"},{"family":"Normand","given":"Charles"},{"family":"Jemutai","given":"Julie"}],"issued":{"date-parts":[["2021",12]]}}},{"id":6410,"uris":["http://zotero.org/users/11139207/items/XG2SQUX5"],"itemData":{"id":6410,"type":"article-journal","abstract":"Abstract\n            \n              Background\n              Improving health system efficiency is a key strategy to increase health system performance and accelerate progress towards Universal Health Coverage. In 2013, Kenya transitioned into a devolved system of government granting county governments autonomy over budgets and priorities. We assessed the level and determinants of technical efficiency of the 47 county health systems in Kenya.\n            \n            \n              Methods\n              We carried out a two-stage data envelopment analysis (DEA) using Simar and Wilson’s double bootstrap method using data from all the 47 counties in Kenya. In the first stage, we derived the bootstrapped DEA scores using an output orientation. We used three input variables (Public county health expenditure, Private county health expenditure, number of healthcare facilities), and one outcome variable (Disability Adjusted Life Years) using 2018 data. In the second stage, the bias corrected technical inefficiency scores were regressed against 14 exogenous factors using a bootstrapped truncated regression.\n            \n            \n              Results\n              The mean bias-corrected technical efficiency score of the 47 counties was 69.72% (95% CI 66.41–73.01%), indicating that on average, county health systems could increase their outputs by 30.28% at the same level of inputs. County technical efficiency scores ranged from 42.69% (95% CI 38.11–45.26%) to 91.99% (95% CI 83.78–98.95%). Higher HIV prevalence was associated with greater technical inefficiency of county health systems, while higher population density, county absorption of development budgets, and quality of care provided by healthcare facilities were associated with lower county health system inefficiency.\n            \n            \n              Conclusions\n              The findings from this analysis highlight the need for county health departments to consider ways to improve the efficiency of county health systems. Approaches could include prioritizing resources to interventions that will reduce high chronic disease burden, filling structural quality gaps, implementing interventions to improve process quality, identifying the challenges to absorption rates and reforming public finance management systems to enhance their efficiency.","container-title":"Cost Effectiveness and Resource Allocation","DOI":"10.1186/s12962-021-00332-1","ISSN":"1478-7547","issue":"1","journalAbbreviation":"Cost Eff Resour Alloc","language":"en","page":"78","source":"DOI.org (Crossref)","title":"Level and determinants of county health system technical efficiency in Kenya: two stage data envelopment analysis","title-short":"Level and determinants of county health system technical efficiency in Kenya","volume":"19","author":[{"family":"Barasa","given":"Edwine"},{"family":"Musiega","given":"Anita"},{"family":"Hanson","given":"Kara"},{"family":"Nyawira","given":"Lizah"},{"family":"Mulwa","given":"Andrew"},{"family":"Molyneux","given":"Sassy"},{"family":"Maina","given":"Isabel"},{"family":"Tsofa","given":"Benjamin"},{"family":"Normand","given":"Charles"},{"family":"Jemutai","given":"Julie"}],"issued":{"date-parts":[["2021",12]]}}}],"schema":"https://github.com/citation-style-language/schema/raw/master/csl-citation.json"} </w:instrText>
      </w:r>
      <w:r w:rsidR="000C6BE0" w:rsidRPr="009713BF">
        <w:fldChar w:fldCharType="separate"/>
      </w:r>
      <w:r w:rsidR="005E4ABC">
        <w:t>(</w:t>
      </w:r>
      <w:r w:rsidR="000C6BE0" w:rsidRPr="009713BF">
        <w:t xml:space="preserve">Barasa </w:t>
      </w:r>
      <w:r w:rsidR="000C6BE0" w:rsidRPr="00D97FAD">
        <w:rPr>
          <w:i/>
        </w:rPr>
        <w:t>et al</w:t>
      </w:r>
      <w:r w:rsidR="000C6BE0" w:rsidRPr="009713BF">
        <w:t>., 2021)</w:t>
      </w:r>
      <w:r w:rsidR="000C6BE0" w:rsidRPr="009713BF">
        <w:fldChar w:fldCharType="end"/>
      </w:r>
      <w:r w:rsidRPr="009713BF">
        <w:t>. Weak accountability, delayed reimbursements, and bureaucratic inefficiencies have previously constrained service provision under NHIF, affecting facility liquidity and quality of care (</w:t>
      </w:r>
      <w:r w:rsidR="000C6BE0" w:rsidRPr="009713BF">
        <w:fldChar w:fldCharType="begin"/>
      </w:r>
      <w:r w:rsidR="004A3E82" w:rsidRPr="009713BF">
        <w:instrText xml:space="preserve"> ADDIN ZOTERO_ITEM CSL_CITATION {"citationID":"GyBsLdlC","properties":{"unsorted":false,"formattedCitation":"(N. N. Barasa &amp; Kadian Wanyama, 2025, 2025)","plainCitation":"(N. N. Barasa &amp; Kadian Wanyama, 2025, 2025)","dontUpdate":true,"noteIndex":0},"citationItems":[{"id":6412,"uris":["http://zotero.org/users/11139207/items/QWYGZFUM"],"itemData":{"id":6412,"type":"article-journal","source":"Google Scholar","title":"Influence of Process Alignment on Organization Performance of Public Health Facilities in Busia County, Kenya","URL":"https://www.easpublisher.com/media/features_articles/EASJEBM_89_312-326c.pdf","author":[{"family":"Barasa","given":"Nancy Nekesa"},{"family":"Kadian Wanyama","given":"Dr Sylvia Chebet Sirai"}],"accessed":{"date-parts":[["2026",5,5]]},"issued":{"date-parts":[["2025"]]}}},{"id":6412,"uris":["http://zotero.org/users/11139207/items/QWYGZFUM"],"itemData":{"id":6412,"type":"article-journal","source":"Google Scholar","title":"Influence of Process Alignment on Organization Performance of Public Health Facilities in Busia County, Kenya","URL":"https://www.easpublisher.com/media/features_articles/EASJEBM_89_312-326c.pdf","author":[{"family":"Barasa","given":"Nancy Nekesa"},{"family":"Kadian Wanyama","given":"Dr Sylvia Chebet Sirai"}],"accessed":{"date-parts":[["2026",5,5]]},"issued":{"date-parts":[["2025"]]}}}],"schema":"https://github.com/citation-style-language/schema/raw/master/csl-citation.json"} </w:instrText>
      </w:r>
      <w:r w:rsidR="000C6BE0" w:rsidRPr="009713BF">
        <w:fldChar w:fldCharType="separate"/>
      </w:r>
      <w:r w:rsidR="00156F00">
        <w:t>Barasa and</w:t>
      </w:r>
      <w:r w:rsidR="000C6BE0" w:rsidRPr="009713BF">
        <w:t xml:space="preserve"> Kadian Wanyama, 2025</w:t>
      </w:r>
      <w:r w:rsidR="000C6BE0" w:rsidRPr="009713BF">
        <w:fldChar w:fldCharType="end"/>
      </w:r>
      <w:r w:rsidR="000C6BE0" w:rsidRPr="009713BF">
        <w:t xml:space="preserve">; </w:t>
      </w:r>
      <w:r w:rsidR="000C6BE0" w:rsidRPr="009713BF">
        <w:fldChar w:fldCharType="begin"/>
      </w:r>
      <w:r w:rsidR="004A3E82" w:rsidRPr="009713BF">
        <w:instrText xml:space="preserve"> ADDIN ZOTERO_ITEM CSL_CITATION {"citationID":"L8KQRNEv","properties":{"unsorted":false,"formattedCitation":"(Mbau et al., 2022, 2022)","plainCitation":"(Mbau et al., 2022, 2022)","dontUpdate":true,"noteIndex":0},"citationItems":[{"id":6414,"uris":["http://zotero.org/users/11139207/items/SCAMH53I"],"itemData":{"id":6414,"type":"article-journal","container-title":"Applied health economics and health policy","issue":"2","page":"205","source":"Google Scholar","title":"Analysing the efficiency of health systems: a systematic review of the literature","title-short":"Analysing the efficiency of health systems","volume":"21","author":[{"family":"Mbau","given":"Rahab"},{"family":"Musiega","given":"Anita"},{"family":"Nyawira","given":"Lizah"},{"family":"Tsofa","given":"Benjamin"},{"family":"Mulwa","given":"Andrew"},{"family":"Molyneux","given":"Sassy"},{"family":"Maina","given":"Isabel"},{"family":"Jemutai","given":"Julie"},{"family":"Normand","given":"Charles"},{"family":"Hanson","given":"Kara"}],"issued":{"date-parts":[["2022"]]}}},{"id":6414,"uris":["http://zotero.org/users/11139207/items/SCAMH53I"],"itemData":{"id":6414,"type":"article-journal","container-title":"Applied health economics and health policy","issue":"2","page":"205","source":"Google Scholar","title":"Analysing the efficiency of health systems: a systematic review of the literature","title-short":"Analysing the efficiency of health systems","volume":"21","author":[{"family":"Mbau","given":"Rahab"},{"family":"Musiega","given":"Anita"},{"family":"Nyawira","given":"Lizah"},{"family":"Tsofa","given":"Benjamin"},{"family":"Mulwa","given":"Andrew"},{"family":"Molyneux","given":"Sassy"},{"family":"Maina","given":"Isabel"},{"family":"Jemutai","given":"Julie"},{"family":"Normand","given":"Charles"},{"family":"Hanson","given":"Kara"}],"issued":{"date-parts":[["2022"]]}}}],"schema":"https://github.com/citation-style-language/schema/raw/master/csl-citation.json"} </w:instrText>
      </w:r>
      <w:r w:rsidR="000C6BE0" w:rsidRPr="009713BF">
        <w:fldChar w:fldCharType="separate"/>
      </w:r>
      <w:r w:rsidR="000C6BE0" w:rsidRPr="009713BF">
        <w:t xml:space="preserve">Mbau </w:t>
      </w:r>
      <w:r w:rsidR="000C6BE0" w:rsidRPr="00D97FAD">
        <w:rPr>
          <w:i/>
        </w:rPr>
        <w:t>et al</w:t>
      </w:r>
      <w:r w:rsidR="000C6BE0" w:rsidRPr="009713BF">
        <w:t>., 2022)</w:t>
      </w:r>
      <w:r w:rsidR="000C6BE0" w:rsidRPr="009713BF">
        <w:fldChar w:fldCharType="end"/>
      </w:r>
      <w:r w:rsidRPr="009713BF">
        <w:t>.</w:t>
      </w:r>
    </w:p>
    <w:p w14:paraId="708DA9C7" w14:textId="1636BC78" w:rsidR="00BB3BC1" w:rsidRDefault="00556A18">
      <w:pPr>
        <w:pStyle w:val="NormalWeb"/>
        <w:spacing w:line="360" w:lineRule="auto"/>
        <w:jc w:val="both"/>
      </w:pPr>
      <w:r w:rsidRPr="009713BF">
        <w:t xml:space="preserve">Across sub-Saharan Africa, economic constraints and limited fiscal space have hindered the ability of governments to provide adequately equipped facilities and comprehensive service coverage </w:t>
      </w:r>
      <w:r w:rsidR="002647ED" w:rsidRPr="009713BF">
        <w:fldChar w:fldCharType="begin"/>
      </w:r>
      <w:r w:rsidR="004A3E82" w:rsidRPr="009713BF">
        <w:instrText xml:space="preserve"> ADDIN ZOTERO_ITEM CSL_CITATION {"citationID":"2gWW68nH","properties":{"unsorted":false,"formattedCitation":"(Rotich, 2025, 2025)","plainCitation":"(Rotich, 2025, 2025)","dontUpdate":true,"noteIndex":0},"citationItems":[{"id":6398,"uris":["http://zotero.org/users/11139207/items/QWY43ZQZ"],"itemData":{"id":6398,"type":"thesis","genre":"PhD Thesis","publisher":"Kisii University","source":"Google Scholar","title":"Effect of Strategic Planning Practices on Performance of Selected National Health Insurance Fund Branches in Western Kenya Region","URL":"http://repository.kisiiuniversity.ac.ke:8080/xmlui/handle/123456789/9966","author":[{"family":"Rotich","given":"Herman Kimaiyo"}],"accessed":{"date-parts":[["2026",5,5]]},"issued":{"date-parts":[["2025"]]}}},{"id":6398,"uris":["http://zotero.org/users/11139207/items/QWY43ZQZ"],"itemData":{"id":6398,"type":"thesis","genre":"PhD Thesis","publisher":"Kisii University","source":"Google Scholar","title":"Effect of Strategic Planning Practices on Performance of Selected National Health Insurance Fund Branches in Western Kenya Region","URL":"http://repository.kisiiuniversity.ac.ke:8080/xmlui/handle/123456789/9966","author":[{"family":"Rotich","given":"Herman Kimaiyo"}],"accessed":{"date-parts":[["2026",5,5]]},"issued":{"date-parts":[["2025"]]}}}],"schema":"https://github.com/citation-style-language/schema/raw/master/csl-citation.json"} </w:instrText>
      </w:r>
      <w:r w:rsidR="002647ED" w:rsidRPr="009713BF">
        <w:fldChar w:fldCharType="separate"/>
      </w:r>
      <w:r w:rsidR="002647ED" w:rsidRPr="009713BF">
        <w:t>(Rotich, 2025</w:t>
      </w:r>
      <w:r w:rsidR="002647ED" w:rsidRPr="009713BF">
        <w:fldChar w:fldCharType="end"/>
      </w:r>
      <w:r w:rsidR="002647ED" w:rsidRPr="009713BF">
        <w:t xml:space="preserve">; </w:t>
      </w:r>
      <w:r w:rsidR="002647ED" w:rsidRPr="009713BF">
        <w:fldChar w:fldCharType="begin"/>
      </w:r>
      <w:r w:rsidR="002647ED" w:rsidRPr="009713BF">
        <w:instrText xml:space="preserve"> ADDIN ZOTERO_ITEM CSL_CITATION {"citationID":"skRrIqj4","properties":{"unsorted":false,"formattedCitation":"(Organization, 2023, 2023)","plainCitation":"(Organization, 2023, 2023)","dontUpdate":true,"noteIndex":0},"citationItems":[{"id":6395,"uris":["http://zotero.org/users/11139207/items/BQIPJQ9Z"],"itemData":{"id":6395,"type":"book","publisher":"World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Health"}],"accessed":{"date-parts":[["2026",5,5]]},"issued":{"date-parts":[["2023"]]}}}],"schema":"https://github.com/citation-style-language/schema/raw/master/csl-citation.json"} </w:instrText>
      </w:r>
      <w:r w:rsidR="002647ED" w:rsidRPr="009713BF">
        <w:fldChar w:fldCharType="separate"/>
      </w:r>
      <w:r w:rsidR="002647ED" w:rsidRPr="009713BF">
        <w:t>Organization, 2023</w:t>
      </w:r>
      <w:r w:rsidR="002647ED" w:rsidRPr="009713BF">
        <w:fldChar w:fldCharType="end"/>
      </w:r>
      <w:r w:rsidR="00EF3032">
        <w:t>).</w:t>
      </w:r>
      <w:r w:rsidRPr="009713BF">
        <w:t xml:space="preserve">Kenya’s health sector has faced challenges including rising operational costs, inefficient resource utilization, and centralized decision-making in financing, inequitable information systems, and inadequate management capacity at decentralized levels </w:t>
      </w:r>
      <w:r w:rsidR="002647ED" w:rsidRPr="009713BF">
        <w:fldChar w:fldCharType="begin"/>
      </w:r>
      <w:r w:rsidR="004A3E82" w:rsidRPr="009713BF">
        <w:instrText xml:space="preserve"> ADDIN ZOTERO_ITEM CSL_CITATION {"citationID":"Db8ksZoO","properties":{"unsorted":false,"formattedCitation":"(Ndung\\uc0\\u8217{}u, 2025, 2025)","plainCitation":"(Ndung’u, 2025, 2025)","dontUpdate":true,"noteIndex":0},"citationItems":[{"id":6416,"uris":["http://zotero.org/users/11139207/items/35FU8Q8Y"],"itemData":{"id":6416,"type":"thesis","genre":"PhD Thesis","publisher":"UoEm","source":"Google Scholar","title":"Entrepreneurial Supply Chain Practices, Healthcare Financing and Performance of Public Hospitals in Kenya","URL":"https://repository.embuni.ac.ke/items/87226e88-f47f-4a8a-8573-f83f5f210074","author":[{"family":"Ndung'u","given":"Hellen Njeri"}],"accessed":{"date-parts":[["2026",5,5]]},"issued":{"date-parts":[["2025"]]}}},{"id":6416,"uris":["http://zotero.org/users/11139207/items/35FU8Q8Y"],"itemData":{"id":6416,"type":"thesis","genre":"PhD Thesis","publisher":"UoEm","source":"Google Scholar","title":"Entrepreneurial Supply Chain Practices, Healthcare Financing and Performance of Public Hospitals in Kenya","URL":"https://repository.embuni.ac.ke/items/87226e88-f47f-4a8a-8573-f83f5f210074","author":[{"family":"Ndung'u","given":"Hellen Njeri"}],"accessed":{"date-parts":[["2026",5,5]]},"issued":{"date-parts":[["2025"]]}}}],"schema":"https://github.com/citation-style-language/schema/raw/master/csl-citation.json"} </w:instrText>
      </w:r>
      <w:r w:rsidR="002647ED" w:rsidRPr="009713BF">
        <w:fldChar w:fldCharType="separate"/>
      </w:r>
      <w:r w:rsidR="002647ED" w:rsidRPr="009713BF">
        <w:t>(Ndung’u, 2025</w:t>
      </w:r>
      <w:r w:rsidR="002647ED" w:rsidRPr="009713BF">
        <w:fldChar w:fldCharType="end"/>
      </w:r>
      <w:r w:rsidR="002647ED" w:rsidRPr="009713BF">
        <w:t>;</w:t>
      </w:r>
      <w:r w:rsidR="00D97FAD">
        <w:t xml:space="preserve"> </w:t>
      </w:r>
      <w:r w:rsidR="00FF67C9" w:rsidRPr="009713BF">
        <w:fldChar w:fldCharType="begin"/>
      </w:r>
      <w:r w:rsidR="004A3E82" w:rsidRPr="009713BF">
        <w:instrText xml:space="preserve"> ADDIN ZOTERO_ITEM CSL_CITATION {"citationID":"momSc34e","properties":{"unsorted":false,"formattedCitation":"(Katsenga, 2025, 2025)","plainCitation":"(Katsenga, 2025, 2025)","dontUpdate":true,"noteIndex":0},"citationItems":[{"id":6400,"uris":["http://zotero.org/users/11139207/items/7M2RLMMJ"],"itemData":{"id":6400,"type":"thesis","genre":"PhD Thesis","publisher":"Kenyatta University","source":"Google Scholar","title":"Strategy Implementation Practices and Perfomance National Health Insurance Fund, Nairobi City County, Kenya","URL":"https://ir-library.ku.ac.ke/bitstreams/d6c2b6be-6721-4036-b2dc-b0d0c17171fa/download","author":[{"family":"Katsenga","given":"Ivy Dzame"}],"accessed":{"date-parts":[["2026",5,5]]},"issued":{"date-parts":[["2025"]]}}},{"id":6400,"uris":["http://zotero.org/users/11139207/items/7M2RLMMJ"],"itemData":{"id":6400,"type":"thesis","genre":"PhD Thesis","publisher":"Kenyatta University","source":"Google Scholar","title":"Strategy Implementation Practices and Perfomance National Health Insurance Fund, Nairobi City County, Kenya","URL":"https://ir-library.ku.ac.ke/bitstreams/d6c2b6be-6721-4036-b2dc-b0d0c17171fa/download","author":[{"family":"Katsenga","given":"Ivy Dzame"}],"accessed":{"date-parts":[["2026",5,5]]},"issued":{"date-parts":[["2025"]]}}}],"schema":"https://github.com/citation-style-language/schema/raw/master/csl-citation.json"} </w:instrText>
      </w:r>
      <w:r w:rsidR="00FF67C9" w:rsidRPr="009713BF">
        <w:fldChar w:fldCharType="separate"/>
      </w:r>
      <w:r w:rsidR="00FF67C9" w:rsidRPr="009713BF">
        <w:t>Katsenga, 2025)</w:t>
      </w:r>
      <w:r w:rsidR="00FF67C9" w:rsidRPr="009713BF">
        <w:fldChar w:fldCharType="end"/>
      </w:r>
      <w:r w:rsidR="00314FAA" w:rsidRPr="009713BF">
        <w:t>.</w:t>
      </w:r>
    </w:p>
    <w:p w14:paraId="3FB1C9CB" w14:textId="3347D1CE" w:rsidR="009C32D4" w:rsidRPr="009713BF" w:rsidRDefault="00556A18">
      <w:pPr>
        <w:pStyle w:val="NormalWeb"/>
        <w:spacing w:line="360" w:lineRule="auto"/>
        <w:jc w:val="both"/>
      </w:pPr>
      <w:r w:rsidRPr="009713BF">
        <w:t>These constraints have contributed to variations in service quality and patien</w:t>
      </w:r>
      <w:r w:rsidR="001E7F9A">
        <w:t xml:space="preserve">t satisfaction across </w:t>
      </w:r>
      <w:r w:rsidR="009476E0">
        <w:t>counties.</w:t>
      </w:r>
      <w:r w:rsidR="009476E0" w:rsidRPr="009713BF">
        <w:t xml:space="preserve"> Evidence</w:t>
      </w:r>
      <w:r w:rsidRPr="009713BF">
        <w:t xml:space="preserve"> shows that quality of care significantly influences patient satisfaction, service utilization, and pub</w:t>
      </w:r>
      <w:r w:rsidR="00D97FAD">
        <w:t>lic trust in health facilities World Health Organization (</w:t>
      </w:r>
      <w:r w:rsidRPr="009713BF">
        <w:t>WHO, 2022). Poor service experiences can lead to reduced utilization of public facilities and increased reliance on private or alternative providers.</w:t>
      </w:r>
    </w:p>
    <w:p w14:paraId="229745CB" w14:textId="0FAF91AE" w:rsidR="00B80B48" w:rsidRPr="009713BF" w:rsidRDefault="00556A18">
      <w:pPr>
        <w:pStyle w:val="NormalWeb"/>
        <w:spacing w:line="360" w:lineRule="auto"/>
        <w:jc w:val="both"/>
      </w:pPr>
      <w:r w:rsidRPr="009713BF">
        <w:t>In Kenya, socio-economic inequalities continue to affect access to healthcare, with vulnerable populations experiencing higher financial risk and lower service utilization (</w:t>
      </w:r>
      <w:r w:rsidR="00FF67C9" w:rsidRPr="009713BF">
        <w:fldChar w:fldCharType="begin"/>
      </w:r>
      <w:r w:rsidR="00563398" w:rsidRPr="009713BF">
        <w:instrText xml:space="preserve"> ADDIN ZOTERO_ITEM CSL_CITATION {"citationID":"xgWgPagD","properties":{"unsorted":false,"formattedCitation":"(E. Barasa et al., 2021, 2021)","plainCitation":"(E. Barasa et al., 2021, 2021)","dontUpdate":true,"noteIndex":0},"citationItems":[{"id":6410,"uris":["http://zotero.org/users/11139207/items/XG2SQUX5"],"itemData":{"id":6410,"type":"article-journal","abstract":"Abstract\n            \n              Background\n              Improving health system efficiency is a key strategy to increase health system performance and accelerate progress towards Universal Health Coverage. In 2013, Kenya transitioned into a devolved system of government granting county governments autonomy over budgets and priorities. We assessed the level and determinants of technical efficiency of the 47 county health systems in Kenya.\n            \n            \n              Methods\n              We carried out a two-stage data envelopment analysis (DEA) using Simar and Wilson’s double bootstrap method using data from all the 47 counties in Kenya. In the first stage, we derived the bootstrapped DEA scores using an output orientation. We used three input variables (Public county health expenditure, Private county health expenditure, number of healthcare facilities), and one outcome variable (Disability Adjusted Life Years) using 2018 data. In the second stage, the bias corrected technical inefficiency scores were regressed against 14 exogenous factors using a bootstrapped truncated regression.\n            \n            \n              Results\n              The mean bias-corrected technical efficiency score of the 47 counties was 69.72% (95% CI 66.41–73.01%), indicating that on average, county health systems could increase their outputs by 30.28% at the same level of inputs. County technical efficiency scores ranged from 42.69% (95% CI 38.11–45.26%) to 91.99% (95% CI 83.78–98.95%). Higher HIV prevalence was associated with greater technical inefficiency of county health systems, while higher population density, county absorption of development budgets, and quality of care provided by healthcare facilities were associated with lower county health system inefficiency.\n            \n            \n              Conclusions\n              The findings from this analysis highlight the need for county health departments to consider ways to improve the efficiency of county health systems. Approaches could include prioritizing resources to interventions that will reduce high chronic disease burden, filling structural quality gaps, implementing interventions to improve process quality, identifying the challenges to absorption rates and reforming public finance management systems to enhance their efficiency.","container-title":"Cost Effectiveness and Resource Allocation","DOI":"10.1186/s12962-021-00332-1","ISSN":"1478-7547","issue":"1","journalAbbreviation":"Cost Eff Resour Alloc","language":"en","page":"78","source":"DOI.org (Crossref)","title":"Level and determinants of county health system technical efficiency in Kenya: two stage data envelopment analysis","title-short":"Level and determinants of county health system technical efficiency in Kenya","volume":"19","author":[{"family":"Barasa","given":"Edwine"},{"family":"Musiega","given":"Anita"},{"family":"Hanson","given":"Kara"},{"family":"Nyawira","given":"Lizah"},{"family":"Mulwa","given":"Andrew"},{"family":"Molyneux","given":"Sassy"},{"family":"Maina","given":"Isabel"},{"family":"Tsofa","given":"Benjamin"},{"family":"Normand","given":"Charles"},{"family":"Jemutai","given":"Julie"}],"issued":{"date-parts":[["2021",12]]}}},{"id":6410,"uris":["http://zotero.org/users/11139207/items/XG2SQUX5"],"itemData":{"id":6410,"type":"article-journal","abstract":"Abstract\n            \n              Background\n              Improving health system efficiency is a key strategy to increase health system performance and accelerate progress towards Universal Health Coverage. In 2013, Kenya transitioned into a devolved system of government granting county governments autonomy over budgets and priorities. We assessed the level and determinants of technical efficiency of the 47 county health systems in Kenya.\n            \n            \n              Methods\n              We carried out a two-stage data envelopment analysis (DEA) using Simar and Wilson’s double bootstrap method using data from all the 47 counties in Kenya. In the first stage, we derived the bootstrapped DEA scores using an output orientation. We used three input variables (Public county health expenditure, Private county health expenditure, number of healthcare facilities), and one outcome variable (Disability Adjusted Life Years) using 2018 data. In the second stage, the bias corrected technical inefficiency scores were regressed against 14 exogenous factors using a bootstrapped truncated regression.\n            \n            \n              Results\n              The mean bias-corrected technical efficiency score of the 47 counties was 69.72% (95% CI 66.41–73.01%), indicating that on average, county health systems could increase their outputs by 30.28% at the same level of inputs. County technical efficiency scores ranged from 42.69% (95% CI 38.11–45.26%) to 91.99% (95% CI 83.78–98.95%). Higher HIV prevalence was associated with greater technical inefficiency of county health systems, while higher population density, county absorption of development budgets, and quality of care provided by healthcare facilities were associated with lower county health system inefficiency.\n            \n            \n              Conclusions\n              The findings from this analysis highlight the need for county health departments to consider ways to improve the efficiency of county health systems. Approaches could include prioritizing resources to interventions that will reduce high chronic disease burden, filling structural quality gaps, implementing interventions to improve process quality, identifying the challenges to absorption rates and reforming public finance management systems to enhance their efficiency.","container-title":"Cost Effectiveness and Resource Allocation","DOI":"10.1186/s12962-021-00332-1","ISSN":"1478-7547","issue":"1","journalAbbreviation":"Cost Eff Resour Alloc","language":"en","page":"78","source":"DOI.org (Crossref)","title":"Level and determinants of county health system technical efficiency in Kenya: two stage data envelopment analysis","title-short":"Level and determinants of county health system technical efficiency in Kenya","volume":"19","author":[{"family":"Barasa","given":"Edwine"},{"family":"Musiega","given":"Anita"},{"family":"Hanson","given":"Kara"},{"family":"Nyawira","given":"Lizah"},{"family":"Mulwa","given":"Andrew"},{"family":"Molyneux","given":"Sassy"},{"family":"Maina","given":"Isabel"},{"family":"Tsofa","given":"Benjamin"},{"family":"Normand","given":"Charles"},{"family":"Jemutai","given":"Julie"}],"issued":{"date-parts":[["2021",12]]}}}],"schema":"https://github.com/citation-style-language/schema/raw/master/csl-citation.json"} </w:instrText>
      </w:r>
      <w:r w:rsidR="00FF67C9" w:rsidRPr="009713BF">
        <w:fldChar w:fldCharType="separate"/>
      </w:r>
      <w:r w:rsidR="005B4B96" w:rsidRPr="009713BF">
        <w:t xml:space="preserve">Barasa </w:t>
      </w:r>
      <w:r w:rsidR="005B4B96" w:rsidRPr="00D97FAD">
        <w:rPr>
          <w:i/>
        </w:rPr>
        <w:t>et al</w:t>
      </w:r>
      <w:r w:rsidR="005B4B96" w:rsidRPr="009713BF">
        <w:t>., 2021</w:t>
      </w:r>
      <w:r w:rsidR="00FF67C9" w:rsidRPr="009713BF">
        <w:t>)</w:t>
      </w:r>
      <w:r w:rsidR="00FF67C9" w:rsidRPr="009713BF">
        <w:fldChar w:fldCharType="end"/>
      </w:r>
      <w:r w:rsidR="00FF67C9" w:rsidRPr="009713BF">
        <w:t>.</w:t>
      </w:r>
      <w:r w:rsidR="0084158A">
        <w:t xml:space="preserve"> </w:t>
      </w:r>
      <w:r w:rsidRPr="009713BF">
        <w:t>By introducing contributory and government-subsidized scheme</w:t>
      </w:r>
      <w:r w:rsidR="00222E99" w:rsidRPr="009713BF">
        <w:t>s under SHA, the government aimed</w:t>
      </w:r>
      <w:r w:rsidRPr="009713BF">
        <w:t xml:space="preserve"> to enhance equity and protect households from catastrophic health expenditures</w:t>
      </w:r>
      <w:r w:rsidR="00222E99" w:rsidRPr="009713BF">
        <w:t xml:space="preserve"> which is not the case in the current scenario</w:t>
      </w:r>
      <w:r w:rsidRPr="009713BF">
        <w:t>.</w:t>
      </w:r>
    </w:p>
    <w:p w14:paraId="2935AF45" w14:textId="103792BB" w:rsidR="00D4739E" w:rsidRDefault="00556A18">
      <w:pPr>
        <w:pStyle w:val="NormalWeb"/>
        <w:spacing w:line="360" w:lineRule="auto"/>
        <w:jc w:val="both"/>
      </w:pPr>
      <w:r w:rsidRPr="009713BF">
        <w:lastRenderedPageBreak/>
        <w:t>The integration of heal</w:t>
      </w:r>
      <w:r w:rsidR="00716934">
        <w:t>th financing reforms such as</w:t>
      </w:r>
      <w:r w:rsidR="00716934" w:rsidRPr="00716934">
        <w:t xml:space="preserve"> </w:t>
      </w:r>
      <w:r w:rsidR="00716934" w:rsidRPr="009713BF">
        <w:t>the Social Health Authority</w:t>
      </w:r>
      <w:r w:rsidRPr="009713BF">
        <w:t xml:space="preserve"> within devolved county systems presents both opportunities and challenges. Potential benefits include improved pooling of resources, timely reimbursement to facilities, better procurement of medicines and supplies, an</w:t>
      </w:r>
      <w:r w:rsidR="00281D4A" w:rsidRPr="009713BF">
        <w:t xml:space="preserve">d enhanced service </w:t>
      </w:r>
      <w:r w:rsidR="00314FAA" w:rsidRPr="009713BF">
        <w:t>utilization. However</w:t>
      </w:r>
      <w:r w:rsidRPr="009713BF">
        <w:t xml:space="preserve">, coordination challenges, administrative costs, and transitional implementation issues may affect facility performance and service delivery outcomes </w:t>
      </w:r>
      <w:r w:rsidR="00FF67C9" w:rsidRPr="009713BF">
        <w:fldChar w:fldCharType="begin"/>
      </w:r>
      <w:r w:rsidR="004A3E82" w:rsidRPr="009713BF">
        <w:instrText xml:space="preserve"> ADDIN ZOTERO_ITEM CSL_CITATION {"citationID":"zMjhszWU","properties":{"unsorted":false,"formattedCitation":"(Ndung\\uc0\\u8217{}u, 2025, 2025)","plainCitation":"(Ndung’u, 2025, 2025)","dontUpdate":true,"noteIndex":0},"citationItems":[{"id":6416,"uris":["http://zotero.org/users/11139207/items/35FU8Q8Y"],"itemData":{"id":6416,"type":"thesis","genre":"PhD Thesis","publisher":"UoEm","source":"Google Scholar","title":"Entrepreneurial Supply Chain Practices, Healthcare Financing and Performance of Public Hospitals in Kenya","URL":"https://repository.embuni.ac.ke/items/87226e88-f47f-4a8a-8573-f83f5f210074","author":[{"family":"Ndung'u","given":"Hellen Njeri"}],"accessed":{"date-parts":[["2026",5,5]]},"issued":{"date-parts":[["2025"]]}}},{"id":6416,"uris":["http://zotero.org/users/11139207/items/35FU8Q8Y"],"itemData":{"id":6416,"type":"thesis","genre":"PhD Thesis","publisher":"UoEm","source":"Google Scholar","title":"Entrepreneurial Supply Chain Practices, Healthcare Financing and Performance of Public Hospitals in Kenya","URL":"https://repository.embuni.ac.ke/items/87226e88-f47f-4a8a-8573-f83f5f210074","author":[{"family":"Ndung'u","given":"Hellen Njeri"}],"accessed":{"date-parts":[["2026",5,5]]},"issued":{"date-parts":[["2025"]]}}}],"schema":"https://github.com/citation-style-language/schema/raw/master/csl-citation.json"} </w:instrText>
      </w:r>
      <w:r w:rsidR="00FF67C9" w:rsidRPr="009713BF">
        <w:fldChar w:fldCharType="separate"/>
      </w:r>
      <w:r w:rsidR="00FF67C9" w:rsidRPr="009713BF">
        <w:t>(Ndung’u, 2025)</w:t>
      </w:r>
      <w:r w:rsidR="00FF67C9" w:rsidRPr="009713BF">
        <w:fldChar w:fldCharType="end"/>
      </w:r>
      <w:r w:rsidRPr="009713BF">
        <w:rPr>
          <w:color w:val="FF0000"/>
        </w:rPr>
        <w:t>.</w:t>
      </w:r>
      <w:r w:rsidRPr="009713BF">
        <w:t xml:space="preserve"> </w:t>
      </w:r>
    </w:p>
    <w:p w14:paraId="63ADD0D4" w14:textId="77777777" w:rsidR="00D4739E" w:rsidRDefault="00556A18">
      <w:pPr>
        <w:pStyle w:val="NormalWeb"/>
        <w:spacing w:line="360" w:lineRule="auto"/>
        <w:jc w:val="both"/>
      </w:pPr>
      <w:r w:rsidRPr="009713BF">
        <w:t>Since county hospitals form the backbone of referral and specialized services, assessing how SHA influences their operational capacity, financial stability, patient flow, and quality of care is critical.</w:t>
      </w:r>
      <w:r w:rsidR="00D4739E">
        <w:t xml:space="preserve"> </w:t>
      </w:r>
      <w:r w:rsidRPr="009713BF">
        <w:t xml:space="preserve">Kakamega County, like many counties in Kenya, operates a network of public hospitals that serve both urban and rural populations. The county’s health facilities depend heavily on government allocations and insurance reimbursements to finance operations, procure essential medicines, and maintain infrastructure. </w:t>
      </w:r>
    </w:p>
    <w:p w14:paraId="32FE61A5" w14:textId="4DF720AD" w:rsidR="00B80B48" w:rsidRPr="009713BF" w:rsidRDefault="00556A18">
      <w:pPr>
        <w:pStyle w:val="NormalWeb"/>
        <w:spacing w:line="360" w:lineRule="auto"/>
        <w:jc w:val="both"/>
      </w:pPr>
      <w:r w:rsidRPr="009713BF">
        <w:t xml:space="preserve">Variations in the rollout and implementation of </w:t>
      </w:r>
      <w:r w:rsidR="00DF1FF6">
        <w:t>Social Health Authority</w:t>
      </w:r>
      <w:r w:rsidRPr="009713BF">
        <w:t xml:space="preserve"> across counties raise important questions regarding its actual impact on health facilities and public health service delivery at the local level. Despite national optimism about the reform, empirical evidence on </w:t>
      </w:r>
      <w:r w:rsidR="00716934">
        <w:t>Social Health Authority</w:t>
      </w:r>
      <w:r w:rsidRPr="009713BF">
        <w:t>’s effects at county hospital level remains limited</w:t>
      </w:r>
      <w:r w:rsidR="00FF67C9" w:rsidRPr="009713BF">
        <w:t xml:space="preserve"> </w:t>
      </w:r>
      <w:r w:rsidR="00FF67C9" w:rsidRPr="009713BF">
        <w:fldChar w:fldCharType="begin"/>
      </w:r>
      <w:r w:rsidR="004A3E82" w:rsidRPr="009713BF">
        <w:instrText xml:space="preserve"> ADDIN ZOTERO_ITEM CSL_CITATION {"citationID":"PcLwxZQq","properties":{"unsorted":false,"formattedCitation":"(Rotich, 2025, 2025)","plainCitation":"(Rotich, 2025, 2025)","dontUpdate":true,"noteIndex":0},"citationItems":[{"id":6398,"uris":["http://zotero.org/users/11139207/items/QWY43ZQZ"],"itemData":{"id":6398,"type":"thesis","genre":"PhD Thesis","publisher":"Kisii University","source":"Google Scholar","title":"Effect of Strategic Planning Practices on Performance of Selected National Health Insurance Fund Branches in Western Kenya Region","URL":"http://repository.kisiiuniversity.ac.ke:8080/xmlui/handle/123456789/9966","author":[{"family":"Rotich","given":"Herman Kimaiyo"}],"accessed":{"date-parts":[["2026",5,5]]},"issued":{"date-parts":[["2025"]]}}},{"id":6398,"uris":["http://zotero.org/users/11139207/items/QWY43ZQZ"],"itemData":{"id":6398,"type":"thesis","genre":"PhD Thesis","publisher":"Kisii University","source":"Google Scholar","title":"Effect of Strategic Planning Practices on Performance of Selected National Health Insurance Fund Branches in Western Kenya Region","URL":"http://repository.kisiiuniversity.ac.ke:8080/xmlui/handle/123456789/9966","author":[{"family":"Rotich","given":"Herman Kimaiyo"}],"accessed":{"date-parts":[["2026",5,5]]},"issued":{"date-parts":[["2025"]]}}}],"schema":"https://github.com/citation-style-language/schema/raw/master/csl-citation.json"} </w:instrText>
      </w:r>
      <w:r w:rsidR="00FF67C9" w:rsidRPr="009713BF">
        <w:fldChar w:fldCharType="separate"/>
      </w:r>
      <w:r w:rsidR="00FF67C9" w:rsidRPr="009713BF">
        <w:t>(Rotich, 2025)</w:t>
      </w:r>
      <w:r w:rsidR="00FF67C9" w:rsidRPr="009713BF">
        <w:fldChar w:fldCharType="end"/>
      </w:r>
      <w:r w:rsidRPr="009713BF">
        <w:t>.</w:t>
      </w:r>
    </w:p>
    <w:p w14:paraId="63F4D38D" w14:textId="59DCDDB5" w:rsidR="00B80B48" w:rsidRPr="009713BF" w:rsidRDefault="008761A9">
      <w:pPr>
        <w:pStyle w:val="NormalWeb"/>
        <w:spacing w:line="360" w:lineRule="auto"/>
        <w:jc w:val="both"/>
      </w:pPr>
      <w:r w:rsidRPr="009713BF">
        <w:t xml:space="preserve">This study therefore examined the effect of initial rollout challenges and structural system design of Social Health Authority on health facilities and public health service delivery in </w:t>
      </w:r>
      <w:r w:rsidR="007634EC" w:rsidRPr="009713BF">
        <w:t xml:space="preserve">Navakholo Sub-County, </w:t>
      </w:r>
      <w:r w:rsidR="00E4532C" w:rsidRPr="009713BF">
        <w:t>Kakamega County</w:t>
      </w:r>
      <w:r w:rsidRPr="009713BF">
        <w:t xml:space="preserve">, Kenya </w:t>
      </w:r>
      <w:r w:rsidR="00434264" w:rsidRPr="009713BF">
        <w:t>which was rolled out in October 2024</w:t>
      </w:r>
      <w:r w:rsidRPr="009713BF">
        <w:t>.</w:t>
      </w:r>
      <w:r w:rsidR="0048340B" w:rsidRPr="009713BF">
        <w:t xml:space="preserve"> </w:t>
      </w:r>
      <w:r w:rsidR="00556A18" w:rsidRPr="009713BF">
        <w:t>By evaluating changes in financial flows, resource availability, service utilization, and quality indicato</w:t>
      </w:r>
      <w:r w:rsidR="00716934">
        <w:t xml:space="preserve">rs since the introduction of </w:t>
      </w:r>
      <w:r w:rsidR="00716934" w:rsidRPr="00716934">
        <w:t xml:space="preserve"> </w:t>
      </w:r>
      <w:r w:rsidR="00716934" w:rsidRPr="009713BF">
        <w:t>the Social Health Authority</w:t>
      </w:r>
      <w:r w:rsidR="00556A18" w:rsidRPr="009713BF">
        <w:t>, the study will contribute to evidence-based policy decisions aimed at strengthening Kenya’s progress toward Universal Health Coverage</w:t>
      </w:r>
      <w:r w:rsidR="00314FAA" w:rsidRPr="009713BF">
        <w:t xml:space="preserve"> </w:t>
      </w:r>
      <w:r w:rsidR="00FF67C9" w:rsidRPr="009713BF">
        <w:fldChar w:fldCharType="begin"/>
      </w:r>
      <w:r w:rsidR="004A3E82" w:rsidRPr="009713BF">
        <w:instrText xml:space="preserve"> ADDIN ZOTERO_ITEM CSL_CITATION {"citationID":"agYF2Oe5","properties":{"unsorted":false,"formattedCitation":"(N. N. Barasa &amp; Kadian Wanyama, 2025, 2025; OGWENGO, 2024, 2024)","plainCitation":"(N. N. Barasa &amp; Kadian Wanyama, 2025, 2025; OGWENGO, 2024, 2024)","dontUpdate":true,"noteIndex":0},"citationItems":[{"id":6412,"uris":["http://zotero.org/users/11139207/items/QWYGZFUM"],"itemData":{"id":6412,"type":"article-journal","source":"Google Scholar","title":"Influence of Process Alignment on Organization Performance of Public Health Facilities in Busia County, Kenya","URL":"https://www.easpublisher.com/media/features_articles/EASJEBM_89_312-326c.pdf","author":[{"family":"Barasa","given":"Nancy Nekesa"},{"family":"Kadian Wanyama","given":"Dr Sylvia Chebet Sirai"}],"accessed":{"date-parts":[["2026",5,5]]},"issued":{"date-parts":[["2025"]]}}},{"id":6412,"uris":["http://zotero.org/users/11139207/items/QWYGZFUM"],"itemData":{"id":6412,"type":"article-journal","source":"Google Scholar","title":"Influence of Process Alignment on Organization Performance of Public Health Facilities in Busia County, Kenya","URL":"https://www.easpublisher.com/media/features_articles/EASJEBM_89_312-326c.pdf","author":[{"family":"Barasa","given":"Nancy Nekesa"},{"family":"Kadian Wanyama","given":"Dr Sylvia Chebet Sirai"}],"accessed":{"date-parts":[["2026",5,5]]},"issued":{"date-parts":[["2025"]]}}},{"id":6404,"uris":["http://zotero.org/users/11139207/items/KAD3JCC5"],"itemData":{"id":6404,"type":"thesis","genre":"PhD Thesis","publisher":"Kabarak University","source":"Google Scholar","title":"STRATEGIC INITIATIVES ON UNIVERSAL HEALTH COVERAGE PROGRAM’S PERFORMANCE IN KENYA","author":[{"family":"OGWENGO","given":"KENNEDY ONGOYE"}],"issued":{"date-parts":[["2024"]]}}},{"id":6404,"uris":["http://zotero.org/users/11139207/items/KAD3JCC5"],"itemData":{"id":6404,"type":"thesis","genre":"PhD Thesis","publisher":"Kabarak University","source":"Google Scholar","title":"STRATEGIC INITIATIVES ON UNIVERSAL HEALTH COVERAGE PROGRAM’S PERFORMANCE IN KENYA","author":[{"family":"OGWENGO","given":"KENNEDY ONGOYE"}],"issued":{"date-parts":[["2024"]]}}}],"schema":"https://github.com/citation-style-language/schema/raw/master/csl-citation.json"} </w:instrText>
      </w:r>
      <w:r w:rsidR="00FF67C9" w:rsidRPr="009713BF">
        <w:fldChar w:fldCharType="separate"/>
      </w:r>
      <w:r w:rsidR="00551E80">
        <w:t>(</w:t>
      </w:r>
      <w:r w:rsidR="005830BB">
        <w:t>Barasa and</w:t>
      </w:r>
      <w:r w:rsidR="0084158A">
        <w:t xml:space="preserve"> </w:t>
      </w:r>
      <w:r w:rsidR="00FF67C9" w:rsidRPr="009713BF">
        <w:t>Wanyama, 2025; Ogwengo, 2024)</w:t>
      </w:r>
      <w:r w:rsidR="00FF67C9" w:rsidRPr="009713BF">
        <w:fldChar w:fldCharType="end"/>
      </w:r>
      <w:r w:rsidR="00556A18" w:rsidRPr="009713BF">
        <w:t>.</w:t>
      </w:r>
    </w:p>
    <w:p w14:paraId="5AEF5508" w14:textId="3C30257E" w:rsidR="00551E80" w:rsidRDefault="00434264">
      <w:pPr>
        <w:pStyle w:val="NormalWeb"/>
        <w:spacing w:line="360" w:lineRule="auto"/>
        <w:jc w:val="both"/>
      </w:pPr>
      <w:r w:rsidRPr="009713BF">
        <w:lastRenderedPageBreak/>
        <w:t>One critical rese</w:t>
      </w:r>
      <w:r w:rsidR="00D4739E">
        <w:t>arch gap arises from the</w:t>
      </w:r>
      <w:r w:rsidR="00D4739E" w:rsidRPr="00D4739E">
        <w:t xml:space="preserve"> </w:t>
      </w:r>
      <w:r w:rsidR="00D4739E">
        <w:t>recentness</w:t>
      </w:r>
      <w:r w:rsidRPr="009713BF">
        <w:rPr>
          <w:rStyle w:val="Strong"/>
        </w:rPr>
        <w:t xml:space="preserve"> </w:t>
      </w:r>
      <w:r w:rsidRPr="009713BF">
        <w:t>of t</w:t>
      </w:r>
      <w:r w:rsidR="00F52B93">
        <w:t>he Social Health Authority</w:t>
      </w:r>
      <w:r w:rsidRPr="009713BF">
        <w:t xml:space="preserve">, which was only rolled out in October 2024. Existing empirical studies on health financing reforms in Kenya largely focus on the former </w:t>
      </w:r>
      <w:r w:rsidRPr="009713BF">
        <w:rPr>
          <w:rStyle w:val="whitespace-normal"/>
        </w:rPr>
        <w:t>National Hospital Insurance Fund</w:t>
      </w:r>
      <w:r w:rsidRPr="009713BF">
        <w:t xml:space="preserve"> (NHIF) and earlier universal health coverage (UHC) pilot programs, generating findings based on systems that are structurally and operationally different from </w:t>
      </w:r>
      <w:r w:rsidR="00F52B93">
        <w:t>the Social Health Authority</w:t>
      </w:r>
      <w:r w:rsidRPr="009713BF">
        <w:t xml:space="preserve">. </w:t>
      </w:r>
    </w:p>
    <w:p w14:paraId="024CCD13" w14:textId="12F505C8" w:rsidR="001B145E" w:rsidRDefault="00434264">
      <w:pPr>
        <w:pStyle w:val="NormalWeb"/>
        <w:spacing w:line="360" w:lineRule="auto"/>
        <w:jc w:val="both"/>
      </w:pPr>
      <w:r w:rsidRPr="009713BF">
        <w:t xml:space="preserve">While these studies provide valuable baseline insights on financing and service delivery, they do not capture the unique design features, digital integration, and benefit structure introduced under </w:t>
      </w:r>
      <w:r w:rsidR="00716934">
        <w:t>the Social Health Authority</w:t>
      </w:r>
      <w:r w:rsidRPr="009713BF">
        <w:t>. As a result, there is limited empirical evidence assess</w:t>
      </w:r>
      <w:r w:rsidR="00716934">
        <w:t>ing the real-time effects of</w:t>
      </w:r>
      <w:r w:rsidR="00716934" w:rsidRPr="00716934">
        <w:t xml:space="preserve"> </w:t>
      </w:r>
      <w:r w:rsidR="00716934" w:rsidRPr="009713BF">
        <w:t>the Social Health Authority</w:t>
      </w:r>
      <w:r w:rsidRPr="009713BF">
        <w:t xml:space="preserve"> on health facility performance and public health service delivery, particularly at sub-county levels such as </w:t>
      </w:r>
      <w:r w:rsidR="003C3495" w:rsidRPr="009713BF">
        <w:t>Navakholo.</w:t>
      </w:r>
    </w:p>
    <w:p w14:paraId="4264B58B" w14:textId="6653E0FC" w:rsidR="00434264" w:rsidRPr="009713BF" w:rsidRDefault="003C3495">
      <w:pPr>
        <w:pStyle w:val="NormalWeb"/>
        <w:spacing w:line="360" w:lineRule="auto"/>
        <w:jc w:val="both"/>
      </w:pPr>
      <w:r w:rsidRPr="009713BF">
        <w:t>This</w:t>
      </w:r>
      <w:r w:rsidR="00434264" w:rsidRPr="009713BF">
        <w:t xml:space="preserve"> creates a temporal and contextual gap, as conclusions drawn from pre-</w:t>
      </w:r>
      <w:r w:rsidR="00716934" w:rsidRPr="00716934">
        <w:t xml:space="preserve"> </w:t>
      </w:r>
      <w:r w:rsidR="00716934">
        <w:t>the Social Health Authority</w:t>
      </w:r>
      <w:r w:rsidR="00434264" w:rsidRPr="009713BF">
        <w:t xml:space="preserve"> systems may not accurately reflect the current realities under the new framework. Therefore, there is a need for contemporary, context-specific studies that evaluate how SHA is influencing service efficiency, accessibility, and quality of care in the evolving Kenyan health system. This gap further connects to the need to examine implementation dynamics and institutional readiness, which remain underex</w:t>
      </w:r>
      <w:r w:rsidR="00716934">
        <w:t>plored in the early phase of</w:t>
      </w:r>
      <w:r w:rsidR="00716934" w:rsidRPr="00716934">
        <w:t xml:space="preserve"> </w:t>
      </w:r>
      <w:r w:rsidR="00716934" w:rsidRPr="009713BF">
        <w:t>the Social Health Authority</w:t>
      </w:r>
      <w:r w:rsidR="00434264" w:rsidRPr="009713BF">
        <w:t xml:space="preserve"> rollout.</w:t>
      </w:r>
    </w:p>
    <w:p w14:paraId="2C956FDC" w14:textId="77777777" w:rsidR="00B80B48" w:rsidRPr="009713BF" w:rsidRDefault="00556A18">
      <w:pPr>
        <w:pStyle w:val="Heading1"/>
        <w:spacing w:before="39" w:line="480" w:lineRule="auto"/>
        <w:jc w:val="both"/>
        <w:rPr>
          <w:color w:val="auto"/>
          <w:spacing w:val="-2"/>
          <w:sz w:val="24"/>
          <w:szCs w:val="24"/>
        </w:rPr>
      </w:pPr>
      <w:r w:rsidRPr="009713BF">
        <w:rPr>
          <w:color w:val="auto"/>
          <w:sz w:val="24"/>
          <w:szCs w:val="24"/>
        </w:rPr>
        <w:t>Statement</w:t>
      </w:r>
      <w:r w:rsidRPr="009713BF">
        <w:rPr>
          <w:color w:val="auto"/>
          <w:spacing w:val="-9"/>
          <w:sz w:val="24"/>
          <w:szCs w:val="24"/>
        </w:rPr>
        <w:t xml:space="preserve"> </w:t>
      </w:r>
      <w:r w:rsidRPr="009713BF">
        <w:rPr>
          <w:color w:val="auto"/>
          <w:sz w:val="24"/>
          <w:szCs w:val="24"/>
        </w:rPr>
        <w:t>of</w:t>
      </w:r>
      <w:r w:rsidRPr="009713BF">
        <w:rPr>
          <w:color w:val="auto"/>
          <w:spacing w:val="-9"/>
          <w:sz w:val="24"/>
          <w:szCs w:val="24"/>
        </w:rPr>
        <w:t xml:space="preserve"> </w:t>
      </w:r>
      <w:r w:rsidRPr="009713BF">
        <w:rPr>
          <w:color w:val="auto"/>
          <w:sz w:val="24"/>
          <w:szCs w:val="24"/>
        </w:rPr>
        <w:t>the</w:t>
      </w:r>
      <w:r w:rsidRPr="009713BF">
        <w:rPr>
          <w:color w:val="auto"/>
          <w:spacing w:val="-8"/>
          <w:sz w:val="24"/>
          <w:szCs w:val="24"/>
        </w:rPr>
        <w:t xml:space="preserve"> </w:t>
      </w:r>
      <w:r w:rsidRPr="009713BF">
        <w:rPr>
          <w:color w:val="auto"/>
          <w:spacing w:val="-2"/>
          <w:sz w:val="24"/>
          <w:szCs w:val="24"/>
        </w:rPr>
        <w:t>Problem</w:t>
      </w:r>
    </w:p>
    <w:p w14:paraId="7BF12701" w14:textId="4DD534B7" w:rsidR="00B80B48" w:rsidRPr="009713BF" w:rsidRDefault="00742E48" w:rsidP="000A6BB7">
      <w:pPr>
        <w:pStyle w:val="NormalWeb"/>
        <w:spacing w:line="360" w:lineRule="auto"/>
        <w:jc w:val="both"/>
      </w:pPr>
      <w:r>
        <w:t xml:space="preserve">The transition from the National Hospital Insurance Fund (NHIF) to the Social Health Authority (SHA) has been accompanied by several technical challenges, including interoperability issues, data migration inaccuracies, system downtime, registration bottlenecks, real-time biometric integration difficulties, and database schema mismatches during the legacy data migration process, among other </w:t>
      </w:r>
      <w:r>
        <w:lastRenderedPageBreak/>
        <w:t>operational constraints.</w:t>
      </w:r>
      <w:r w:rsidRPr="009713BF">
        <w:t xml:space="preserve"> The</w:t>
      </w:r>
      <w:r w:rsidR="00556A18" w:rsidRPr="009713BF">
        <w:t xml:space="preserve"> introduction of the Social Health Authority (SHA) under the Social Health Insurance Act, 2023 marked a major reform in Kenya’s health financing architecture, with the intention of improving equity, efficiency, financial protection, and quality of care (Government of Kenya (</w:t>
      </w:r>
      <w:r w:rsidR="008750CC" w:rsidRPr="009713BF">
        <w:fldChar w:fldCharType="begin"/>
      </w:r>
      <w:r w:rsidR="003054C7" w:rsidRPr="009713BF">
        <w:instrText xml:space="preserve"> ADDIN ZOTERO_ITEM CSL_CITATION {"citationID":"fgBB9xo0","properties":{"unsorted":false,"formattedCitation":"(Organization, 2023, 2023)","plainCitation":"(Organization, 2023, 2023)","dontUpdate":true,"noteIndex":0},"citationItems":[{"id":6395,"uris":["http://zotero.org/users/11139207/items/BQIPJQ9Z"],"itemData":{"id":6395,"type":"book","publisher":"World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Health"}],"accessed":{"date-parts":[["2026",5,5]]},"issued":{"date-parts":[["2023"]]}}}],"schema":"https://github.com/citation-style-language/schema/raw/master/csl-citation.json"} </w:instrText>
      </w:r>
      <w:r w:rsidR="008750CC" w:rsidRPr="009713BF">
        <w:fldChar w:fldCharType="separate"/>
      </w:r>
      <w:r w:rsidR="008750CC" w:rsidRPr="009713BF">
        <w:t>Organization, 2023</w:t>
      </w:r>
      <w:r w:rsidR="008750CC" w:rsidRPr="009713BF">
        <w:fldChar w:fldCharType="end"/>
      </w:r>
      <w:r w:rsidR="008750CC" w:rsidRPr="009713BF">
        <w:t>)</w:t>
      </w:r>
      <w:r w:rsidR="00556A18" w:rsidRPr="009713BF">
        <w:t>. By replacing the National Hospital Insurance Fund (NHIF), SHA is expected to streamline resource mobilization, enhance pooling mechanisms, and ensure timely reimbursement to health facilities. However, health financing reforms often produce varied outcomes at sub-national levels, particularly within decentralized systems such as Kenya’s county-based health structure (</w:t>
      </w:r>
      <w:r w:rsidR="005830BB">
        <w:t>Barasa and</w:t>
      </w:r>
      <w:r w:rsidR="008750CC" w:rsidRPr="009713BF">
        <w:t xml:space="preserve"> Wanyama, 2025)</w:t>
      </w:r>
      <w:r w:rsidR="00556A18" w:rsidRPr="009713BF">
        <w:t xml:space="preserve">. Despite the scale and significance of this reform, there is limited empirical evidence on how </w:t>
      </w:r>
      <w:r w:rsidR="00716934">
        <w:t>the Social Health Authority</w:t>
      </w:r>
      <w:r w:rsidR="00556A18" w:rsidRPr="009713BF">
        <w:t xml:space="preserve"> has affected health facility operations and public health service delivery at the county level</w:t>
      </w:r>
      <w:r w:rsidR="00C0373D" w:rsidRPr="009713BF">
        <w:t xml:space="preserve"> and sub- County level</w:t>
      </w:r>
      <w:r w:rsidR="00556A18" w:rsidRPr="009713BF">
        <w:t>.</w:t>
      </w:r>
    </w:p>
    <w:p w14:paraId="6D725AA1" w14:textId="7A82F457" w:rsidR="00B80B48" w:rsidRPr="009713BF" w:rsidRDefault="00556A18" w:rsidP="00935BA0">
      <w:pPr>
        <w:pStyle w:val="NormalWeb"/>
        <w:spacing w:line="360" w:lineRule="auto"/>
        <w:jc w:val="both"/>
      </w:pPr>
      <w:r w:rsidRPr="009713BF">
        <w:t>Existing studies in Kenya have largely focused on determinants of health service utilization, including cost of care, quality of services, availability of resources, patient satisfaction, and equity in service provision (</w:t>
      </w:r>
      <w:r w:rsidR="008750CC" w:rsidRPr="009713BF">
        <w:t xml:space="preserve">Barasa </w:t>
      </w:r>
      <w:r w:rsidR="008750CC" w:rsidRPr="005830BB">
        <w:rPr>
          <w:i/>
        </w:rPr>
        <w:t>et al</w:t>
      </w:r>
      <w:r w:rsidR="008750CC" w:rsidRPr="009713BF">
        <w:t xml:space="preserve">., 2021; </w:t>
      </w:r>
      <w:r w:rsidR="008750CC" w:rsidRPr="009713BF">
        <w:fldChar w:fldCharType="begin"/>
      </w:r>
      <w:r w:rsidR="003054C7" w:rsidRPr="009713BF">
        <w:instrText xml:space="preserve"> ADDIN ZOTERO_ITEM CSL_CITATION {"citationID":"p4PfUVFQ","properties":{"unsorted":false,"formattedCitation":"(Organization, 2023, 2023)","plainCitation":"(Organization, 2023, 2023)","dontUpdate":true,"noteIndex":0},"citationItems":[{"id":6395,"uris":["http://zotero.org/users/11139207/items/BQIPJQ9Z"],"itemData":{"id":6395,"type":"book","publisher":"World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Health"}],"accessed":{"date-parts":[["2026",5,5]]},"issued":{"date-parts":[["2023"]]}}}],"schema":"https://github.com/citation-style-language/schema/raw/master/csl-citation.json"} </w:instrText>
      </w:r>
      <w:r w:rsidR="008750CC" w:rsidRPr="009713BF">
        <w:fldChar w:fldCharType="separate"/>
      </w:r>
      <w:r w:rsidR="008750CC" w:rsidRPr="009713BF">
        <w:t>Organization, 2023</w:t>
      </w:r>
      <w:r w:rsidR="008750CC" w:rsidRPr="009713BF">
        <w:fldChar w:fldCharType="end"/>
      </w:r>
      <w:r w:rsidRPr="009713BF">
        <w:t>). Other research has examined broader challenges in county health systems, such as delayed reimbursements, financial management inefficiencies, and resource constraints (</w:t>
      </w:r>
      <w:r w:rsidR="005830BB">
        <w:t>Barasa and</w:t>
      </w:r>
      <w:r w:rsidR="008750CC" w:rsidRPr="009713BF">
        <w:t xml:space="preserve"> Wanyama, 2025).</w:t>
      </w:r>
      <w:r w:rsidRPr="009713BF">
        <w:t>While these studies provide important insights into health system performance, they do not specifically examine the institutional and operational effects of the newly established Social Health Authority on public hospitals.</w:t>
      </w:r>
    </w:p>
    <w:p w14:paraId="570BC9B3" w14:textId="0CE4ABCA" w:rsidR="00B80B48" w:rsidRPr="009713BF" w:rsidRDefault="00556A18" w:rsidP="009C150A">
      <w:pPr>
        <w:pStyle w:val="NormalWeb"/>
        <w:spacing w:line="360" w:lineRule="auto"/>
        <w:jc w:val="both"/>
      </w:pPr>
      <w:r w:rsidRPr="009713BF">
        <w:t xml:space="preserve">Kakamega County hospitals, like other county facilities, rely significantly on government allocations and insurance reimbursements to sustain service delivery. Inadequate or delayed financing, limited infrastructure, and workforce shortages continue to affect service quality and patient outcomes </w:t>
      </w:r>
      <w:r w:rsidR="00B3769D" w:rsidRPr="009713BF">
        <w:t xml:space="preserve">(Government of Kenya </w:t>
      </w:r>
      <w:r w:rsidRPr="009713BF">
        <w:t>(</w:t>
      </w:r>
      <w:r w:rsidR="00461E16" w:rsidRPr="009713BF">
        <w:fldChar w:fldCharType="begin"/>
      </w:r>
      <w:r w:rsidR="003054C7" w:rsidRPr="009713BF">
        <w:instrText xml:space="preserve"> ADDIN ZOTERO_ITEM CSL_CITATION {"citationID":"50yJNQfC","properties":{"unsorted":false,"formattedCitation":"(Organization, 2023, 2023)","plainCitation":"(Organization, 2023, 2023)","dontUpdate":true,"noteIndex":0},"citationItems":[{"id":6395,"uris":["http://zotero.org/users/11139207/items/BQIPJQ9Z"],"itemData":{"id":6395,"type":"book","publisher":"World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Health"}],"accessed":{"date-parts":[["2026",5,5]]},"issued":{"date-parts":[["2023"]]}}},{"id":6395,"uris":["http://zotero.org/users/11139207/items/BQIPJQ9Z"],"itemData":{"id":6395,"type":"book","publisher":"World Health Organization","source":"Google Scholar","title":"WHO health workforce support and safeguards list 2023","URL":"https://books.google.com/books?hl=en&amp;lr=&amp;id=34wOEQAAQBAJ&amp;oi=fnd&amp;pg=PP3&amp;dq=World+Health+Organization+(WHO),+2023)++on+social+health+authority+on+health+facilities+and+public+health+service+delivery+&amp;ots=DlwJs3PZXN&amp;sig=9rpbNvLROxynFzqlSlnFGz6V5ns","author":[{"family":"Organization","given":"World Health"}],"accessed":{"date-parts":[["2026",5,5]]},"issued":{"date-parts":[["2023"]]}}}],"schema":"https://github.com/citation-style-language/schema/raw/master/csl-citation.json"} </w:instrText>
      </w:r>
      <w:r w:rsidR="00461E16" w:rsidRPr="009713BF">
        <w:fldChar w:fldCharType="separate"/>
      </w:r>
      <w:r w:rsidR="00461E16" w:rsidRPr="009713BF">
        <w:t>Organization, 2023</w:t>
      </w:r>
      <w:r w:rsidR="00461E16" w:rsidRPr="009713BF">
        <w:fldChar w:fldCharType="end"/>
      </w:r>
      <w:r w:rsidRPr="009713BF">
        <w:t>). With</w:t>
      </w:r>
      <w:r w:rsidR="00B4507A">
        <w:t>out empirical assessment of</w:t>
      </w:r>
      <w:r w:rsidR="00B4507A" w:rsidRPr="00B4507A">
        <w:t xml:space="preserve"> </w:t>
      </w:r>
      <w:r w:rsidR="00B4507A" w:rsidRPr="009713BF">
        <w:t xml:space="preserve">the Social Health Authority </w:t>
      </w:r>
      <w:r w:rsidRPr="009713BF">
        <w:t xml:space="preserve">s influence on resource availability, service utilization, and quality of care at the county hospital level, policymakers and administrators lack context-specific </w:t>
      </w:r>
      <w:r w:rsidRPr="009713BF">
        <w:lastRenderedPageBreak/>
        <w:t>evidence to guide resource allocation, strengthen accountability mechanisms, and refine implementation strategies.</w:t>
      </w:r>
    </w:p>
    <w:p w14:paraId="7A45B190" w14:textId="30098F29" w:rsidR="00B80B48" w:rsidRPr="009713BF" w:rsidRDefault="00556A18" w:rsidP="009C150A">
      <w:pPr>
        <w:pStyle w:val="NormalWeb"/>
        <w:spacing w:line="360" w:lineRule="auto"/>
        <w:jc w:val="both"/>
      </w:pPr>
      <w:r w:rsidRPr="009713BF">
        <w:t>Therefore, this study seeks to address this knowledge gap by examining the effect of t</w:t>
      </w:r>
      <w:r w:rsidR="00B4507A">
        <w:t>he Social Health Authority</w:t>
      </w:r>
      <w:r w:rsidRPr="009713BF">
        <w:t xml:space="preserve"> on health facilities and public health service delivery in </w:t>
      </w:r>
      <w:r w:rsidR="009E7F06" w:rsidRPr="009713BF">
        <w:t>Navakholo Sub-County</w:t>
      </w:r>
      <w:r w:rsidR="00842050" w:rsidRPr="009713BF">
        <w:t xml:space="preserve"> hospitals</w:t>
      </w:r>
      <w:r w:rsidR="009E7F06" w:rsidRPr="009713BF">
        <w:t>, Kakamega County,</w:t>
      </w:r>
      <w:r w:rsidRPr="009713BF">
        <w:t xml:space="preserve"> Kenya. The findings will contribute to evidence-based decision-making and inform ongoing health financing reforms aimed at achieving Universal Health Coverage.</w:t>
      </w:r>
    </w:p>
    <w:p w14:paraId="5EB9E3D6" w14:textId="77777777" w:rsidR="00B80B48" w:rsidRPr="009713BF" w:rsidRDefault="00556A18">
      <w:pPr>
        <w:pStyle w:val="Heading1"/>
        <w:spacing w:before="39" w:line="480" w:lineRule="auto"/>
        <w:jc w:val="both"/>
        <w:rPr>
          <w:color w:val="auto"/>
          <w:spacing w:val="-4"/>
          <w:sz w:val="24"/>
          <w:szCs w:val="24"/>
        </w:rPr>
      </w:pPr>
      <w:r w:rsidRPr="009713BF">
        <w:rPr>
          <w:color w:val="auto"/>
          <w:sz w:val="24"/>
          <w:szCs w:val="24"/>
        </w:rPr>
        <w:t>Objective</w:t>
      </w:r>
      <w:r w:rsidRPr="009713BF">
        <w:rPr>
          <w:color w:val="auto"/>
          <w:spacing w:val="-8"/>
          <w:sz w:val="24"/>
          <w:szCs w:val="24"/>
        </w:rPr>
        <w:t xml:space="preserve"> </w:t>
      </w:r>
      <w:r w:rsidRPr="009713BF">
        <w:rPr>
          <w:color w:val="auto"/>
          <w:sz w:val="24"/>
          <w:szCs w:val="24"/>
        </w:rPr>
        <w:t>of</w:t>
      </w:r>
      <w:r w:rsidRPr="009713BF">
        <w:rPr>
          <w:color w:val="auto"/>
          <w:spacing w:val="-10"/>
          <w:sz w:val="24"/>
          <w:szCs w:val="24"/>
        </w:rPr>
        <w:t xml:space="preserve"> </w:t>
      </w:r>
      <w:r w:rsidRPr="009713BF">
        <w:rPr>
          <w:color w:val="auto"/>
          <w:sz w:val="24"/>
          <w:szCs w:val="24"/>
        </w:rPr>
        <w:t>the</w:t>
      </w:r>
      <w:r w:rsidRPr="009713BF">
        <w:rPr>
          <w:color w:val="auto"/>
          <w:spacing w:val="-8"/>
          <w:sz w:val="24"/>
          <w:szCs w:val="24"/>
        </w:rPr>
        <w:t xml:space="preserve"> </w:t>
      </w:r>
      <w:r w:rsidRPr="009713BF">
        <w:rPr>
          <w:color w:val="auto"/>
          <w:spacing w:val="-4"/>
          <w:sz w:val="24"/>
          <w:szCs w:val="24"/>
        </w:rPr>
        <w:t>Study</w:t>
      </w:r>
    </w:p>
    <w:p w14:paraId="1C6672C5" w14:textId="77777777" w:rsidR="00B80B48" w:rsidRPr="009713BF" w:rsidRDefault="00556A18">
      <w:pPr>
        <w:spacing w:line="360" w:lineRule="auto"/>
      </w:pPr>
      <w:r w:rsidRPr="009713BF">
        <w:t>To examin</w:t>
      </w:r>
      <w:r w:rsidR="008D2B58" w:rsidRPr="009713BF">
        <w:t>e the effect</w:t>
      </w:r>
      <w:r w:rsidRPr="009713BF">
        <w:t xml:space="preserve"> of the Social Health Authority (SHA) on health facilities and public health service delivery in </w:t>
      </w:r>
      <w:r w:rsidR="00637784" w:rsidRPr="009713BF">
        <w:t>Navakholo Sub-County hospitals, Kakamega County</w:t>
      </w:r>
      <w:r w:rsidRPr="009713BF">
        <w:t>.</w:t>
      </w:r>
    </w:p>
    <w:p w14:paraId="214DA3DE" w14:textId="77777777" w:rsidR="00B80B48" w:rsidRPr="009713BF" w:rsidRDefault="00556A18">
      <w:pPr>
        <w:spacing w:before="100" w:beforeAutospacing="1" w:after="100" w:afterAutospacing="1" w:line="360" w:lineRule="auto"/>
      </w:pPr>
      <w:r w:rsidRPr="009713BF">
        <w:rPr>
          <w:b/>
          <w:bCs/>
        </w:rPr>
        <w:t>Specific Objectives of the study</w:t>
      </w:r>
    </w:p>
    <w:p w14:paraId="4CB4F570" w14:textId="0F640D23" w:rsidR="00FE6404" w:rsidRPr="00CD4D59" w:rsidRDefault="00FE6404" w:rsidP="00FE6404">
      <w:pPr>
        <w:numPr>
          <w:ilvl w:val="0"/>
          <w:numId w:val="1"/>
        </w:numPr>
        <w:spacing w:before="100" w:beforeAutospacing="1" w:after="100" w:afterAutospacing="1" w:line="360" w:lineRule="auto"/>
      </w:pPr>
      <w:r w:rsidRPr="00CD4D59">
        <w:t>To assess the availability of healthcare resources (staff, equipment, and medicines) in public hospitals implementing t</w:t>
      </w:r>
      <w:r w:rsidR="00CD4D59">
        <w:t>he Social Health Authority</w:t>
      </w:r>
      <w:r w:rsidRPr="00CD4D59">
        <w:t xml:space="preserve"> in Navakholo Sub-County, Kakamega County.</w:t>
      </w:r>
    </w:p>
    <w:p w14:paraId="553898A9" w14:textId="4446FEF6" w:rsidR="00FE6404" w:rsidRPr="00CD4D59" w:rsidRDefault="00FE6404" w:rsidP="00FE6404">
      <w:pPr>
        <w:numPr>
          <w:ilvl w:val="0"/>
          <w:numId w:val="1"/>
        </w:numPr>
        <w:spacing w:before="100" w:beforeAutospacing="1" w:after="100" w:afterAutospacing="1" w:line="360" w:lineRule="auto"/>
      </w:pPr>
      <w:r w:rsidRPr="00CD4D59">
        <w:t>To evaluate the quality of health service delivery in public hospitals implementing t</w:t>
      </w:r>
      <w:r w:rsidR="00CD4D59">
        <w:t>he Social Health Authority</w:t>
      </w:r>
      <w:r w:rsidRPr="00CD4D59">
        <w:t xml:space="preserve"> in Navakholo Sub-County, Kakamega County.</w:t>
      </w:r>
    </w:p>
    <w:p w14:paraId="77457677" w14:textId="61BA6CA5" w:rsidR="00FE6404" w:rsidRPr="00CD4D59" w:rsidRDefault="00FE6404" w:rsidP="00FE6404">
      <w:pPr>
        <w:numPr>
          <w:ilvl w:val="0"/>
          <w:numId w:val="1"/>
        </w:numPr>
        <w:spacing w:before="100" w:beforeAutospacing="1" w:after="100" w:afterAutospacing="1" w:line="360" w:lineRule="auto"/>
      </w:pPr>
      <w:r w:rsidRPr="00CD4D59">
        <w:t>To examine patient access to and utilization of health services in public hospitals implementing t</w:t>
      </w:r>
      <w:r w:rsidR="00CD4D59">
        <w:t>he Social Health Authority</w:t>
      </w:r>
      <w:r w:rsidRPr="00CD4D59">
        <w:t xml:space="preserve"> in Navakholo Sub-County, Kakamega County.</w:t>
      </w:r>
    </w:p>
    <w:p w14:paraId="2E6A750C" w14:textId="7DB53234" w:rsidR="00B80B48" w:rsidRPr="00CD4D59" w:rsidRDefault="00FE6404" w:rsidP="00FE6404">
      <w:pPr>
        <w:numPr>
          <w:ilvl w:val="0"/>
          <w:numId w:val="1"/>
        </w:numPr>
        <w:spacing w:before="100" w:beforeAutospacing="1" w:after="100" w:afterAutospacing="1" w:line="360" w:lineRule="auto"/>
      </w:pPr>
      <w:r w:rsidRPr="00CD4D59">
        <w:t>To assess the institutional and implementation challenges associated with the implementation of th</w:t>
      </w:r>
      <w:r w:rsidR="00CD4D59">
        <w:t xml:space="preserve">e Social Health Authority </w:t>
      </w:r>
      <w:r w:rsidRPr="00CD4D59">
        <w:t>in public hospitals in Navakholo Sub-County, Kakamega County.</w:t>
      </w:r>
    </w:p>
    <w:p w14:paraId="3D611976" w14:textId="3B2E2321" w:rsidR="005854E8" w:rsidRPr="00CD4D59" w:rsidRDefault="005854E8" w:rsidP="00FE6404">
      <w:pPr>
        <w:numPr>
          <w:ilvl w:val="0"/>
          <w:numId w:val="1"/>
        </w:numPr>
        <w:spacing w:before="100" w:beforeAutospacing="1" w:after="100" w:afterAutospacing="1" w:line="360" w:lineRule="auto"/>
      </w:pPr>
      <w:r w:rsidRPr="00CD4D59">
        <w:t xml:space="preserve">To determine whether resource availability, quality of health service delivery, patient access and utilization, operational efficiency, and </w:t>
      </w:r>
      <w:r w:rsidRPr="00CD4D59">
        <w:lastRenderedPageBreak/>
        <w:t>implementation challenges differ significantly across hospital levels (Level 3, Level 4, Level 5, and Level 6) in Navakholo Sub-County, Kakamega County.</w:t>
      </w:r>
    </w:p>
    <w:p w14:paraId="6ED6DA28" w14:textId="77777777" w:rsidR="00B80B48" w:rsidRPr="009713BF" w:rsidRDefault="00556A18">
      <w:pPr>
        <w:pStyle w:val="Heading3"/>
        <w:spacing w:line="480" w:lineRule="auto"/>
        <w:jc w:val="both"/>
        <w:rPr>
          <w:rFonts w:eastAsiaTheme="minorHAnsi"/>
        </w:rPr>
      </w:pPr>
      <w:bookmarkStart w:id="1" w:name="_Toc207875439"/>
      <w:r w:rsidRPr="009713BF">
        <w:rPr>
          <w:rFonts w:eastAsiaTheme="minorHAnsi"/>
        </w:rPr>
        <w:t>Study Hypothes</w:t>
      </w:r>
      <w:bookmarkEnd w:id="1"/>
      <w:r w:rsidRPr="009713BF">
        <w:rPr>
          <w:rFonts w:eastAsiaTheme="minorHAnsi"/>
        </w:rPr>
        <w:t>is</w:t>
      </w:r>
    </w:p>
    <w:p w14:paraId="437C2605" w14:textId="77777777" w:rsidR="00B80B48" w:rsidRPr="009713BF" w:rsidRDefault="00556A18" w:rsidP="00E85DB1">
      <w:pPr>
        <w:spacing w:after="100" w:afterAutospacing="1" w:line="360" w:lineRule="auto"/>
      </w:pPr>
      <w:r w:rsidRPr="009713BF">
        <w:t>The study was guided by the following null hypothesis;</w:t>
      </w:r>
    </w:p>
    <w:p w14:paraId="7B6CEE8D" w14:textId="77777777" w:rsidR="0077744A" w:rsidRPr="00CD4D59" w:rsidRDefault="0077744A" w:rsidP="00E85DB1">
      <w:pPr>
        <w:pStyle w:val="isselectedend"/>
        <w:numPr>
          <w:ilvl w:val="0"/>
          <w:numId w:val="8"/>
        </w:numPr>
        <w:spacing w:line="360" w:lineRule="auto"/>
      </w:pPr>
      <w:r w:rsidRPr="00CD4D59">
        <w:rPr>
          <w:rStyle w:val="Strong"/>
        </w:rPr>
        <w:t>H₀₁:</w:t>
      </w:r>
      <w:r w:rsidRPr="00CD4D59">
        <w:t xml:space="preserve"> There is no statistically significant difference in resource availability (staff, equipment, and medicines) among Level 3, Level 4, Level 5, and Level 6 hospitals in Navakholo Sub-County, Kakamega County.</w:t>
      </w:r>
    </w:p>
    <w:p w14:paraId="1D08A105" w14:textId="77777777" w:rsidR="0077744A" w:rsidRPr="00CD4D59" w:rsidRDefault="0077744A" w:rsidP="00E85DB1">
      <w:pPr>
        <w:pStyle w:val="isselectedend"/>
        <w:numPr>
          <w:ilvl w:val="0"/>
          <w:numId w:val="8"/>
        </w:numPr>
        <w:spacing w:line="360" w:lineRule="auto"/>
      </w:pPr>
      <w:r w:rsidRPr="00CD4D59">
        <w:rPr>
          <w:rStyle w:val="Strong"/>
        </w:rPr>
        <w:t>H₀₂:</w:t>
      </w:r>
      <w:r w:rsidRPr="00CD4D59">
        <w:t xml:space="preserve"> There is no statistically significant difference in the quality of health service delivery among Level 3, Level 4, Level 5, and Level 6 hospitals in Navakholo Sub-County, Kakamega County.</w:t>
      </w:r>
    </w:p>
    <w:p w14:paraId="6F15F1CA" w14:textId="74068080" w:rsidR="0077744A" w:rsidRPr="00CD4D59" w:rsidRDefault="0077744A" w:rsidP="00E85DB1">
      <w:pPr>
        <w:pStyle w:val="isselectedend"/>
        <w:numPr>
          <w:ilvl w:val="0"/>
          <w:numId w:val="8"/>
        </w:numPr>
        <w:spacing w:line="360" w:lineRule="auto"/>
      </w:pPr>
      <w:r w:rsidRPr="00CD4D59">
        <w:rPr>
          <w:rStyle w:val="Strong"/>
        </w:rPr>
        <w:t>H₀₃:</w:t>
      </w:r>
      <w:r w:rsidRPr="00CD4D59">
        <w:t xml:space="preserve"> There is no statistically significant difference in patient access to and utilization of health services among Level 3, Level 4, Level 5, and Level 6 hospitals in Navakholo Sub-County, Kakamega County.</w:t>
      </w:r>
    </w:p>
    <w:p w14:paraId="05CEC42E" w14:textId="09FBFFCE" w:rsidR="0077744A" w:rsidRPr="00CD4D59" w:rsidRDefault="005854E8" w:rsidP="0077744A">
      <w:pPr>
        <w:pStyle w:val="isselectedend"/>
        <w:numPr>
          <w:ilvl w:val="0"/>
          <w:numId w:val="8"/>
        </w:numPr>
        <w:spacing w:line="360" w:lineRule="auto"/>
      </w:pPr>
      <w:r w:rsidRPr="00CD4D59">
        <w:rPr>
          <w:rStyle w:val="Strong"/>
        </w:rPr>
        <w:t>H₀₄:</w:t>
      </w:r>
      <w:r w:rsidRPr="00CD4D59">
        <w:t xml:space="preserve"> There is no statistically significant difference in institutional and implementation challenges among Level 3, Level 4, Level 5, and Level 6 hospitals in Navakholo Sub-County, Kakamega County.</w:t>
      </w:r>
    </w:p>
    <w:p w14:paraId="75CAA34C" w14:textId="0868A296" w:rsidR="00B80B48" w:rsidRPr="009713BF" w:rsidRDefault="003C23C9">
      <w:pPr>
        <w:pStyle w:val="Heading1"/>
        <w:spacing w:before="39" w:line="480" w:lineRule="auto"/>
        <w:jc w:val="both"/>
        <w:rPr>
          <w:color w:val="auto"/>
          <w:spacing w:val="-2"/>
          <w:sz w:val="24"/>
          <w:szCs w:val="24"/>
        </w:rPr>
      </w:pPr>
      <w:r>
        <w:rPr>
          <w:color w:val="auto"/>
          <w:sz w:val="24"/>
          <w:szCs w:val="24"/>
        </w:rPr>
        <w:t xml:space="preserve"> </w:t>
      </w:r>
      <w:r w:rsidR="00556A18" w:rsidRPr="009713BF">
        <w:rPr>
          <w:color w:val="auto"/>
          <w:sz w:val="24"/>
          <w:szCs w:val="24"/>
        </w:rPr>
        <w:t>LITERATURE</w:t>
      </w:r>
      <w:r w:rsidR="00556A18" w:rsidRPr="009713BF">
        <w:rPr>
          <w:spacing w:val="-13"/>
          <w:sz w:val="24"/>
          <w:szCs w:val="24"/>
        </w:rPr>
        <w:t xml:space="preserve"> </w:t>
      </w:r>
      <w:r w:rsidR="00556A18" w:rsidRPr="009713BF">
        <w:rPr>
          <w:color w:val="auto"/>
          <w:spacing w:val="-2"/>
          <w:sz w:val="24"/>
          <w:szCs w:val="24"/>
        </w:rPr>
        <w:t>REVIEW</w:t>
      </w:r>
    </w:p>
    <w:p w14:paraId="79E79E68" w14:textId="6D564DBE" w:rsidR="00B80B48" w:rsidRPr="009713BF" w:rsidRDefault="00492226" w:rsidP="0010562C">
      <w:pPr>
        <w:spacing w:line="360" w:lineRule="auto"/>
        <w:jc w:val="both"/>
      </w:pPr>
      <w:r w:rsidRPr="009713BF">
        <w:t>This study examined the effect of Initial Rollout Challenges and Structural System Design t</w:t>
      </w:r>
      <w:r w:rsidR="008839BA">
        <w:t>he Social Health Authority</w:t>
      </w:r>
      <w:r w:rsidRPr="009713BF">
        <w:t xml:space="preserve"> on health facilities and public health service delivery in </w:t>
      </w:r>
      <w:r w:rsidR="0002452D" w:rsidRPr="009713BF">
        <w:t xml:space="preserve">Navakholo Sub-County </w:t>
      </w:r>
      <w:r w:rsidR="00602F7B" w:rsidRPr="009713BF">
        <w:t>Kakamega County</w:t>
      </w:r>
      <w:r w:rsidRPr="009713BF">
        <w:t xml:space="preserve">, </w:t>
      </w:r>
      <w:r w:rsidR="00FA0685" w:rsidRPr="009713BF">
        <w:t xml:space="preserve">Kenya. </w:t>
      </w:r>
      <w:r w:rsidR="00782E45">
        <w:t xml:space="preserve">The migration from the National Hospital Insurance Fund (NHIF) to the Social Health Authority (SHA) has encountered significant technical and operational challenges, including interoperability limitations, data migration fidelity issues, system downtime, registration bottlenecks, real-time biometric integration problems, and database schema mismatches during the transfer of legacy data. </w:t>
      </w:r>
      <w:r w:rsidR="000415DB" w:rsidRPr="009713BF">
        <w:t xml:space="preserve">Existing empirical studies on </w:t>
      </w:r>
      <w:r w:rsidR="000415DB" w:rsidRPr="009713BF">
        <w:lastRenderedPageBreak/>
        <w:t xml:space="preserve">health financing reforms in Kenya largely focus on the former </w:t>
      </w:r>
      <w:r w:rsidR="000415DB" w:rsidRPr="009713BF">
        <w:rPr>
          <w:rStyle w:val="whitespace-normal"/>
        </w:rPr>
        <w:t>National Hospital Insurance Fund</w:t>
      </w:r>
      <w:r w:rsidR="000415DB" w:rsidRPr="009713BF">
        <w:t xml:space="preserve"> (NHIF) and earlier universal health coverage (UHC) pilot programs, generating findings based on systems that are structurally and operationally different from </w:t>
      </w:r>
      <w:r w:rsidR="008839BA">
        <w:t>Social Health Authority</w:t>
      </w:r>
      <w:r w:rsidR="008839BA" w:rsidRPr="009713BF">
        <w:t xml:space="preserve"> </w:t>
      </w:r>
      <w:r w:rsidR="008839BA">
        <w:t>(</w:t>
      </w:r>
      <w:r w:rsidR="000415DB" w:rsidRPr="009713BF">
        <w:t>SHA</w:t>
      </w:r>
      <w:r w:rsidR="008839BA">
        <w:t>)</w:t>
      </w:r>
      <w:r w:rsidR="000415DB" w:rsidRPr="009713BF">
        <w:t xml:space="preserve">.This </w:t>
      </w:r>
      <w:r w:rsidR="00556A18" w:rsidRPr="009713BF">
        <w:t xml:space="preserve">section presents a review of relevant literature structured around the study’s objective to examine the effect of the Social Health Authority (SHA) on health facilities and public health service delivery in </w:t>
      </w:r>
      <w:r w:rsidR="00007330" w:rsidRPr="009713BF">
        <w:t>Navakholo Sub-County</w:t>
      </w:r>
      <w:r w:rsidR="00776579" w:rsidRPr="009713BF">
        <w:t xml:space="preserve"> hospitals</w:t>
      </w:r>
      <w:r w:rsidR="00007330" w:rsidRPr="009713BF">
        <w:t xml:space="preserve"> Kakamega </w:t>
      </w:r>
      <w:r w:rsidR="008839BA" w:rsidRPr="009713BF">
        <w:t>County</w:t>
      </w:r>
      <w:r w:rsidR="008839BA">
        <w:t>.</w:t>
      </w:r>
      <w:r w:rsidR="008839BA" w:rsidRPr="0010562C">
        <w:t xml:space="preserve"> The</w:t>
      </w:r>
      <w:r w:rsidR="00556A18" w:rsidRPr="0010562C">
        <w:t xml:space="preserve"> study variable</w:t>
      </w:r>
      <w:r w:rsidR="00556A18" w:rsidRPr="009713BF">
        <w:t xml:space="preserve"> encompasses Social Health Authority as the independent variable and public health service delivery as the dependent variable. Based on this review of the literature, the research identifies gaps in the present body of knowledge, synthesizes previous research findings, and establishes the groundwork for an empirical inquiry of the literature.</w:t>
      </w:r>
    </w:p>
    <w:p w14:paraId="45B4E91A" w14:textId="23E2DF92" w:rsidR="00B80B48" w:rsidRPr="009713BF" w:rsidRDefault="008D31D7">
      <w:pPr>
        <w:pStyle w:val="Heading1"/>
        <w:spacing w:before="39" w:line="480" w:lineRule="auto"/>
        <w:jc w:val="both"/>
        <w:rPr>
          <w:sz w:val="24"/>
          <w:szCs w:val="24"/>
        </w:rPr>
      </w:pPr>
      <w:r w:rsidRPr="009713BF">
        <w:rPr>
          <w:sz w:val="24"/>
          <w:szCs w:val="24"/>
        </w:rPr>
        <w:t>Theoretical</w:t>
      </w:r>
      <w:r w:rsidR="00556A18" w:rsidRPr="009713BF">
        <w:rPr>
          <w:sz w:val="24"/>
          <w:szCs w:val="24"/>
        </w:rPr>
        <w:t xml:space="preserve"> Framework</w:t>
      </w:r>
    </w:p>
    <w:p w14:paraId="485F64E2" w14:textId="77777777" w:rsidR="00B80B48" w:rsidRPr="009713BF" w:rsidRDefault="00556A18">
      <w:pPr>
        <w:tabs>
          <w:tab w:val="left" w:pos="1005"/>
        </w:tabs>
        <w:spacing w:line="360" w:lineRule="auto"/>
        <w:jc w:val="both"/>
      </w:pPr>
      <w:r w:rsidRPr="009713BF">
        <w:t>Social health authority significantly shapes the public health service delivery by determining access to health resources, effective satisfaction, and supportive institutional systems. Equitable taxation, gender-responsive budgeting, and targeted financial programs enhance women’s participation in economic and decision-making processes.</w:t>
      </w:r>
    </w:p>
    <w:p w14:paraId="0EAE1529" w14:textId="77777777" w:rsidR="00B80B48" w:rsidRPr="009713BF" w:rsidRDefault="00556A18">
      <w:pPr>
        <w:pStyle w:val="NormalWeb"/>
        <w:spacing w:line="360" w:lineRule="auto"/>
        <w:jc w:val="both"/>
      </w:pPr>
      <w:r w:rsidRPr="009713BF">
        <w:t xml:space="preserve">This study was anchored in </w:t>
      </w:r>
      <w:r w:rsidRPr="009713BF">
        <w:rPr>
          <w:rStyle w:val="Strong"/>
          <w:b w:val="0"/>
        </w:rPr>
        <w:t>Health Systems Theory</w:t>
      </w:r>
      <w:r w:rsidRPr="009713BF">
        <w:t xml:space="preserve"> and </w:t>
      </w:r>
      <w:r w:rsidRPr="009713BF">
        <w:rPr>
          <w:rStyle w:val="Strong"/>
          <w:b w:val="0"/>
        </w:rPr>
        <w:t>Public Finance Theory</w:t>
      </w:r>
      <w:r w:rsidRPr="009713BF">
        <w:t>, which together explain how health financing reforms influence service delivery outcomes within decent</w:t>
      </w:r>
      <w:r w:rsidR="00D32146" w:rsidRPr="009713BF">
        <w:t>ralized health systems. Health systems t</w:t>
      </w:r>
      <w:r w:rsidRPr="009713BF">
        <w:t xml:space="preserve">heory posits that health system performance depends on the interaction of core building blocks financing, service delivery, health workforce, medical products and technologies, information systems, and governance </w:t>
      </w:r>
      <w:r w:rsidR="00166625" w:rsidRPr="009713BF">
        <w:t xml:space="preserve">(World Health Organization, </w:t>
      </w:r>
      <w:r w:rsidR="003054C7" w:rsidRPr="009713BF">
        <w:t>20</w:t>
      </w:r>
      <w:r w:rsidR="00166625" w:rsidRPr="009713BF">
        <w:t>23</w:t>
      </w:r>
      <w:r w:rsidRPr="009713BF">
        <w:t>). Reforms in health financing structures, such as the establishment of the Social Health Authority (SHA), are therefore expected to influence health facility functionality and public health service delivery by altering resource flows, accountability mechanisms, and incentive structures.</w:t>
      </w:r>
    </w:p>
    <w:p w14:paraId="476E7E51" w14:textId="77777777" w:rsidR="00B80B48" w:rsidRPr="009713BF" w:rsidRDefault="00556A18">
      <w:pPr>
        <w:pStyle w:val="NormalWeb"/>
        <w:spacing w:line="360" w:lineRule="auto"/>
        <w:jc w:val="both"/>
      </w:pPr>
      <w:r w:rsidRPr="009713BF">
        <w:lastRenderedPageBreak/>
        <w:t>The creation of SHA under the Social Health Insurance Act, 2023 represents a restructuring of Kenya’s health financing framework, shifting toward improved pooling of funds, strategic purchasing, and enhanced financial protection. According to Public Finance Theory, efficient allocation and equitable distribution of public resources improve service provision, particularly in sectors characterized by market failure such as healthcare. In this context, SHA functions as a centralized purchaser and financier, with the potential to improve the availability of medical resources (staff, equipment, medicines), enhance quality of care, and increase patient access and utilization of services within county hospitals.</w:t>
      </w:r>
    </w:p>
    <w:p w14:paraId="74F0BAA5" w14:textId="02B9875C" w:rsidR="00B80B48" w:rsidRPr="009713BF" w:rsidRDefault="00556A18">
      <w:pPr>
        <w:pStyle w:val="NormalWeb"/>
        <w:spacing w:line="360" w:lineRule="auto"/>
        <w:jc w:val="both"/>
      </w:pPr>
      <w:r w:rsidRPr="009713BF">
        <w:t xml:space="preserve">The </w:t>
      </w:r>
      <w:r w:rsidRPr="009713BF">
        <w:rPr>
          <w:rStyle w:val="Strong"/>
          <w:b w:val="0"/>
        </w:rPr>
        <w:t>independent variable</w:t>
      </w:r>
      <w:r w:rsidRPr="009713BF">
        <w:t xml:space="preserve"> in this study is the implementation of the Social Health Authority (SHA), operationalized through indicators such as reimbursement mechanisms, funding adequacy, strategic purchasing practices, and financial accountability systems. The </w:t>
      </w:r>
      <w:r w:rsidRPr="009713BF">
        <w:rPr>
          <w:rStyle w:val="Strong"/>
          <w:b w:val="0"/>
        </w:rPr>
        <w:t>dependent variable</w:t>
      </w:r>
      <w:r w:rsidRPr="009713BF">
        <w:t xml:space="preserve"> is public health service delivery in </w:t>
      </w:r>
      <w:r w:rsidR="00573502" w:rsidRPr="009713BF">
        <w:t>Navakholo Sub-county hospitals, Kakamega County</w:t>
      </w:r>
      <w:r w:rsidRPr="009713BF">
        <w:t xml:space="preserve">, measured through resource availability, quality of healthcare services, patient access and utilization, and operational </w:t>
      </w:r>
      <w:r w:rsidR="008123AB" w:rsidRPr="009713BF">
        <w:t>efficiency. Institutional</w:t>
      </w:r>
      <w:r w:rsidR="00B3769D">
        <w:t xml:space="preserve"> and implementation challenges </w:t>
      </w:r>
      <w:r w:rsidRPr="009713BF">
        <w:t xml:space="preserve">e.g., delays in reimbursement, administrative </w:t>
      </w:r>
      <w:r w:rsidR="00B3769D">
        <w:t>capacity, and coordination gaps</w:t>
      </w:r>
      <w:r w:rsidRPr="009713BF">
        <w:t xml:space="preserve"> are treated as intervening factors that may influence the strength and direction of the relationship.</w:t>
      </w:r>
    </w:p>
    <w:p w14:paraId="5235483F" w14:textId="77777777" w:rsidR="00B80B48" w:rsidRPr="009713BF" w:rsidRDefault="00556A18">
      <w:pPr>
        <w:pStyle w:val="NormalWeb"/>
        <w:spacing w:line="360" w:lineRule="auto"/>
        <w:jc w:val="both"/>
      </w:pPr>
      <w:r w:rsidRPr="009713BF">
        <w:t>Theoretically, effective implementation of SHA should strengthen financial flows to health facilities, reduce inefficiencies, improve service quality, and enhance equitable access to healthcare. Conversely, weaknesses in governance or financial management may limit these expected gains. This framework therefore provides a structured lens for examining how health financing reform through SHA affects health facility performance and public health service deli</w:t>
      </w:r>
      <w:r w:rsidR="00A53B2E" w:rsidRPr="009713BF">
        <w:t>very outcomes in</w:t>
      </w:r>
      <w:r w:rsidRPr="009713BF">
        <w:t xml:space="preserve"> </w:t>
      </w:r>
      <w:r w:rsidR="00822225" w:rsidRPr="009713BF">
        <w:t xml:space="preserve">Navakholo Sub-County </w:t>
      </w:r>
      <w:r w:rsidRPr="009713BF">
        <w:t>hospitals</w:t>
      </w:r>
      <w:r w:rsidR="00A53B2E" w:rsidRPr="009713BF">
        <w:t>, Kakamega County</w:t>
      </w:r>
      <w:r w:rsidRPr="009713BF">
        <w:t>.</w:t>
      </w:r>
    </w:p>
    <w:p w14:paraId="55F9BFAB" w14:textId="27B3FA60" w:rsidR="0074408F" w:rsidRPr="009713BF" w:rsidRDefault="00680CEF">
      <w:pPr>
        <w:pStyle w:val="NormalWeb"/>
        <w:spacing w:line="360" w:lineRule="auto"/>
        <w:jc w:val="both"/>
        <w:rPr>
          <w:b/>
        </w:rPr>
      </w:pPr>
      <w:r w:rsidRPr="009713BF">
        <w:rPr>
          <w:b/>
        </w:rPr>
        <w:t xml:space="preserve"> Empirical</w:t>
      </w:r>
      <w:r w:rsidR="00F84D65" w:rsidRPr="009713BF">
        <w:rPr>
          <w:b/>
        </w:rPr>
        <w:t xml:space="preserve"> Literature Review </w:t>
      </w:r>
    </w:p>
    <w:p w14:paraId="0C27E560" w14:textId="77777777" w:rsidR="00CD4D59" w:rsidRDefault="00F84D65">
      <w:pPr>
        <w:pStyle w:val="NormalWeb"/>
        <w:spacing w:line="360" w:lineRule="auto"/>
        <w:jc w:val="both"/>
      </w:pPr>
      <w:r w:rsidRPr="009713BF">
        <w:lastRenderedPageBreak/>
        <w:t xml:space="preserve">This study examined the effects of initial rollout challenges and the structural system design of the Social Health Authority (SHA) on health facilities and public health service delivery in Navakholo Sub-County hospitals, Kakamega County, Kenya. This section reviews empirical studies on social health financing reforms and their influence on health facilities and public health </w:t>
      </w:r>
      <w:r w:rsidR="00112C10">
        <w:t xml:space="preserve">service </w:t>
      </w:r>
      <w:r w:rsidR="00F67D6B">
        <w:t>delivery.</w:t>
      </w:r>
      <w:r w:rsidR="00F67D6B" w:rsidRPr="009713BF">
        <w:t xml:space="preserve"> The</w:t>
      </w:r>
      <w:r w:rsidRPr="009713BF">
        <w:t xml:space="preserve"> review is organized around key variables relevant to the current study, health financing (SHA implementation), human resources for health, availability of drugs and medical supplies, infrastructure and equipment, service accessibility and utilization, and quality of care. </w:t>
      </w:r>
    </w:p>
    <w:p w14:paraId="149FDF7F" w14:textId="71973836" w:rsidR="00613F62" w:rsidRPr="00CD4D59" w:rsidRDefault="00F84D65">
      <w:pPr>
        <w:pStyle w:val="NormalWeb"/>
        <w:spacing w:line="360" w:lineRule="auto"/>
        <w:jc w:val="both"/>
      </w:pPr>
      <w:r w:rsidRPr="009713BF">
        <w:rPr>
          <w:b/>
        </w:rPr>
        <w:t xml:space="preserve"> Social Health Financing Reforms and Service Delivery </w:t>
      </w:r>
    </w:p>
    <w:p w14:paraId="544DC2BC" w14:textId="77777777" w:rsidR="007C0C91" w:rsidRPr="009713BF" w:rsidRDefault="007C0C91" w:rsidP="007C0C91">
      <w:pPr>
        <w:spacing w:line="360" w:lineRule="auto"/>
        <w:jc w:val="both"/>
      </w:pPr>
      <w:r w:rsidRPr="009713BF">
        <w:t xml:space="preserve">A review of empirical literature reveals a contextual and micro-level implementation gap in understanding how social health financing reforms translate into actual service delivery outcomes within decentralized health systems. </w:t>
      </w:r>
    </w:p>
    <w:p w14:paraId="46347798" w14:textId="7F5E8E53" w:rsidR="007C0C91" w:rsidRPr="009713BF" w:rsidRDefault="007C0C91" w:rsidP="007C0C91">
      <w:pPr>
        <w:spacing w:line="360" w:lineRule="auto"/>
        <w:jc w:val="both"/>
      </w:pPr>
      <w:r w:rsidRPr="009713BF">
        <w:t xml:space="preserve">Globally, reforms toward Universal Health Coverage (UHC) have consistently been associated with improved access to care, enhanced financial risk protection, and increased utilization of health services. For example, Barasa </w:t>
      </w:r>
      <w:r w:rsidRPr="005830BB">
        <w:rPr>
          <w:i/>
        </w:rPr>
        <w:t>et al</w:t>
      </w:r>
      <w:r w:rsidRPr="009713BF">
        <w:t>. (2021) found that health insurance expansion in low</w:t>
      </w:r>
      <w:r w:rsidR="00A363AB">
        <w:t xml:space="preserve"> </w:t>
      </w:r>
      <w:r w:rsidRPr="009713BF">
        <w:t>- and</w:t>
      </w:r>
      <w:r w:rsidR="00A363AB">
        <w:t xml:space="preserve"> middle-income countries</w:t>
      </w:r>
      <w:r w:rsidRPr="009713BF">
        <w:t xml:space="preserve"> significantly improved outpatient utilization and reduced catastrophic health expenditure, although improvements in service quality remained constrained by persistent supply-side limitations. </w:t>
      </w:r>
    </w:p>
    <w:p w14:paraId="65DCDF21" w14:textId="77777777" w:rsidR="007C0C91" w:rsidRPr="009713BF" w:rsidRDefault="007C0C91" w:rsidP="007C0C91">
      <w:pPr>
        <w:spacing w:line="360" w:lineRule="auto"/>
        <w:jc w:val="both"/>
      </w:pPr>
      <w:r w:rsidRPr="009713BF">
        <w:t xml:space="preserve">Similarly, the World Health Organization (2023) reports that strategic purchasing mechanisms under social health insurance systems enhance provider accountability, efficiency, and equity when supported by appropriate provider payment mechanisms. </w:t>
      </w:r>
    </w:p>
    <w:p w14:paraId="6568D7D1" w14:textId="77777777" w:rsidR="007C0C91" w:rsidRPr="009713BF" w:rsidRDefault="007C0C91" w:rsidP="007C0C91">
      <w:pPr>
        <w:spacing w:line="360" w:lineRule="auto"/>
        <w:jc w:val="both"/>
      </w:pPr>
      <w:r w:rsidRPr="009713BF">
        <w:t xml:space="preserve">Additional evidence from </w:t>
      </w:r>
      <w:r w:rsidR="004A3E82" w:rsidRPr="009713BF">
        <w:fldChar w:fldCharType="begin"/>
      </w:r>
      <w:r w:rsidR="004A3E82" w:rsidRPr="009713BF">
        <w:instrText xml:space="preserve"> ADDIN ZOTERO_ITEM CSL_CITATION {"citationID":"9LwmQypx","properties":{"unsorted":false,"formattedCitation":"(E. W. Barasa et al., 2017, 2017)","plainCitation":"(E. W. Barasa et al., 2017, 2017)","noteIndex":0},"citationItems":[{"id":6448,"uris":["http://zotero.org/users/11139207/items/N8YGPCZ8"],"itemData":{"id":6448,"type":"article-journal","container-title":"Population","source":"Google Scholar","title":"Extending voluntary health insurance to the informal sector","URL":"https://www.academia.edu/download/94807738/pdf.pdf","author":[{"family":"Barasa","given":"Edwine W."},{"family":"Mwaura","given":"Njeri"},{"family":"Rogo","given":"Khama"},{"family":"Andrawes","given":"Ledia"}],"accessed":{"date-parts":[["2026",5,5]]},"issued":{"date-parts":[["2017"]]}}},{"id":6448,"uris":["http://zotero.org/users/11139207/items/N8YGPCZ8"],"itemData":{"id":6448,"type":"article-journal","container-title":"Population","source":"Google Scholar","title":"Extending voluntary health insurance to the informal sector","URL":"https://www.academia.edu/download/94807738/pdf.pdf","author":[{"family":"Barasa","given":"Edwine W."},{"family":"Mwaura","given":"Njeri"},{"family":"Rogo","given":"Khama"},{"family":"Andrawes","given":"Ledia"}],"accessed":{"date-parts":[["2026",5,5]]},"issued":{"date-parts":[["2017"]]}}}],"schema":"https://github.com/citation-style-language/schema/raw/master/csl-citation.json"} </w:instrText>
      </w:r>
      <w:r w:rsidR="004A3E82" w:rsidRPr="009713BF">
        <w:fldChar w:fldCharType="separate"/>
      </w:r>
      <w:r w:rsidR="004A3E82" w:rsidRPr="009713BF">
        <w:t xml:space="preserve">Barasa </w:t>
      </w:r>
      <w:r w:rsidR="004A3E82" w:rsidRPr="00135058">
        <w:rPr>
          <w:i/>
        </w:rPr>
        <w:t>et al.</w:t>
      </w:r>
      <w:r w:rsidR="004A3E82" w:rsidRPr="009713BF">
        <w:t>(2017)</w:t>
      </w:r>
      <w:r w:rsidR="004A3E82" w:rsidRPr="009713BF">
        <w:fldChar w:fldCharType="end"/>
      </w:r>
      <w:r w:rsidRPr="009713BF">
        <w:t xml:space="preserve"> and </w:t>
      </w:r>
      <w:r w:rsidR="004A3E82" w:rsidRPr="009713BF">
        <w:fldChar w:fldCharType="begin"/>
      </w:r>
      <w:r w:rsidR="004A3E82" w:rsidRPr="009713BF">
        <w:instrText xml:space="preserve"> ADDIN ZOTERO_ITEM CSL_CITATION {"citationID":"nbWQxff8","properties":{"unsorted":false,"formattedCitation":"(Gabani et al., 2023, 2023)","plainCitation":"(Gabani et al., 2023, 2023)","noteIndex":0},"citationItems":[{"id":6450,"uris":["http://zotero.org/users/11139207/items/H9L8BX7I"],"itemData":{"id":6450,"type":"article-journal","abstract":"Abstract\n            \n              Several low‐ and middle‐income countries are considering health financing system reforms to accelerate progress toward universal health coverage (UHC). However, empirical evidence of the effect of health financing systems on health system outcomes is scarce, partly because it is difficult to quantitatively capture the ‘health financing system’. We assign country‐year observations to one of three health financing systems (i.e., predominantly out‐of‐pocket, social health insurance (SHI) or government‐financed), using clustering based on out‐of‐pocket, contributory SHI and non‐contributory government expenditure, as a percentage of total health expenditures. We then estimate the effect of these different systems on health system outcomes, using fixed effects regressions. We find that transitions from OOP‐dominant to government‐financed systems improved most outcomes more than did transitions to SHI systems. Transitions to government financing increases life expectancy (+1.3 years,\n              p\n               &lt; 0.05) and reduces under‐5 mortality (−8.7%,\n              p\n               &lt; 0.05) and catastrophic health expenditure incidence (−3.3 percentage points,\n              p\n               &lt; 0.05). Results are robust to several sensitivity tests. It is more likely that increases in non‐contributory government financing rather than SHI financing improve health system outcomes. Notable reasons include SHI's higher implementation costs and more limited coverage. These results may raise a warning for policymakers considering SHI reforms to reach UHC.","container-title":"Health Economics","DOI":"10.1002/hec.4635","ISSN":"1057-9230, 1099-1050","issue":"3","journalAbbreviation":"Health Economics","language":"en","page":"574-619","source":"DOI.org (Crossref)","title":"The effect of health financing systems on health system outcomes: A cross‐country panel analysis","title-short":"The effect of health financing systems on health system outcomes","volume":"32","author":[{"family":"Gabani","given":"Jacopo"},{"family":"Mazumdar","given":"Sumit"},{"family":"Suhrcke","given":"Marc"}],"issued":{"date-parts":[["2023",3]]}}},{"id":6450,"uris":["http://zotero.org/users/11139207/items/H9L8BX7I"],"itemData":{"id":6450,"type":"article-journal","abstract":"Abstract\n            \n              Several low‐ and middle‐income countries are considering health financing system reforms to accelerate progress toward universal health coverage (UHC). However, empirical evidence of the effect of health financing systems on health system outcomes is scarce, partly because it is difficult to quantitatively capture the ‘health financing system’. We assign country‐year observations to one of three health financing systems (i.e., predominantly out‐of‐pocket, social health insurance (SHI) or government‐financed), using clustering based on out‐of‐pocket, contributory SHI and non‐contributory government expenditure, as a percentage of total health expenditures. We then estimate the effect of these different systems on health system outcomes, using fixed effects regressions. We find that transitions from OOP‐dominant to government‐financed systems improved most outcomes more than did transitions to SHI systems. Transitions to government financing increases life expectancy (+1.3 years,\n              p\n               &lt; 0.05) and reduces under‐5 mortality (−8.7%,\n              p\n               &lt; 0.05) and catastrophic health expenditure incidence (−3.3 percentage points,\n              p\n               &lt; 0.05). Results are robust to several sensitivity tests. It is more likely that increases in non‐contributory government financing rather than SHI financing improve health system outcomes. Notable reasons include SHI's higher implementation costs and more limited coverage. These results may raise a warning for policymakers considering SHI reforms to reach UHC.","container-title":"Health Economics","DOI":"10.1002/hec.4635","ISSN":"1057-9230, 1099-1050","issue":"3","journalAbbreviation":"Health Economics","language":"en","page":"574-619","source":"DOI.org (Crossref)","title":"The effect of health financing systems on health system outcomes: A cross‐country panel analysis","title-short":"The effect of health financing systems on health system outcomes","volume":"32","author":[{"family":"Gabani","given":"Jacopo"},{"family":"Mazumdar","given":"Sumit"},{"family":"Suhrcke","given":"Marc"}],"issued":{"date-parts":[["2023",3]]}}}],"schema":"https://github.com/citation-style-language/schema/raw/master/csl-citation.json"} </w:instrText>
      </w:r>
      <w:r w:rsidR="004A3E82" w:rsidRPr="009713BF">
        <w:fldChar w:fldCharType="separate"/>
      </w:r>
      <w:r w:rsidR="004A3E82" w:rsidRPr="009713BF">
        <w:t xml:space="preserve">Gabani </w:t>
      </w:r>
      <w:r w:rsidR="004A3E82" w:rsidRPr="00135058">
        <w:rPr>
          <w:i/>
        </w:rPr>
        <w:t>et al</w:t>
      </w:r>
      <w:r w:rsidR="004A3E82" w:rsidRPr="009713BF">
        <w:t>. (2023)</w:t>
      </w:r>
      <w:r w:rsidR="004A3E82" w:rsidRPr="009713BF">
        <w:fldChar w:fldCharType="end"/>
      </w:r>
      <w:r w:rsidRPr="009713BF">
        <w:t xml:space="preserve"> further confirms that while insurance expansion improves financial protection and utilization, the effectiveness of such reforms is highly dependent on institutional </w:t>
      </w:r>
      <w:r w:rsidRPr="009713BF">
        <w:lastRenderedPageBreak/>
        <w:t>design and implementation context. However, these studies are largely conducted at macro or national levels and therefore fail to capture localized implementation dynamics, particularly within devolved health systems in sub-Saharan Africa, where governance, capacity, and resource distribution vary significantly across regions.</w:t>
      </w:r>
    </w:p>
    <w:p w14:paraId="022C5D2C" w14:textId="0512DAAA" w:rsidR="007C0C91" w:rsidRPr="009713BF" w:rsidRDefault="007C0C91" w:rsidP="007C0C91">
      <w:pPr>
        <w:spacing w:line="360" w:lineRule="auto"/>
        <w:jc w:val="both"/>
      </w:pPr>
      <w:r w:rsidRPr="009713BF">
        <w:t>In the Kenyan context, the transition from the National Hospital Insurance Fund (NHIF) to the Soci</w:t>
      </w:r>
      <w:r w:rsidR="00BE632D">
        <w:t xml:space="preserve">al Health Authority </w:t>
      </w:r>
      <w:r w:rsidRPr="009713BF">
        <w:t xml:space="preserve"> under the Social Health Insurance Act (2023) represents a major structural reform aimed at strengthening UHC through enhanced risk pooling and provider payment mechanisms such as capitation and Di</w:t>
      </w:r>
      <w:r w:rsidR="00135058">
        <w:t>agnosis-Related Groups (Josiah and</w:t>
      </w:r>
      <w:r w:rsidRPr="009713BF">
        <w:t xml:space="preserve"> Otieno, 2024). </w:t>
      </w:r>
    </w:p>
    <w:p w14:paraId="7AFF1834" w14:textId="435A95C8" w:rsidR="007C0C91" w:rsidRPr="009713BF" w:rsidRDefault="007C0C91" w:rsidP="007C0C91">
      <w:pPr>
        <w:spacing w:line="360" w:lineRule="auto"/>
        <w:jc w:val="both"/>
      </w:pPr>
      <w:r w:rsidRPr="009713BF">
        <w:t xml:space="preserve">Evidence from earlier studies on NHIF </w:t>
      </w:r>
      <w:r w:rsidR="00F13947" w:rsidRPr="009713BF">
        <w:t>for example</w:t>
      </w:r>
      <w:r w:rsidRPr="009713BF">
        <w:t xml:space="preserve">, </w:t>
      </w:r>
      <w:r w:rsidR="00F13947" w:rsidRPr="009713BF">
        <w:t>(</w:t>
      </w:r>
      <w:r w:rsidR="00F13947" w:rsidRPr="009713BF">
        <w:fldChar w:fldCharType="begin"/>
      </w:r>
      <w:r w:rsidR="00F13947" w:rsidRPr="009713BF">
        <w:instrText xml:space="preserve"> ADDIN ZOTERO_ITEM CSL_CITATION {"citationID":"SPHocWJj","properties":{"unsorted":false,"formattedCitation":"(E. Barasa, Mathauer, et al., 2021, 2021)","plainCitation":"(E. Barasa, Mathauer, et al., 2021, 2021)","noteIndex":0},"citationItems":[{"id":6429,"uris":["http://zotero.org/users/11139207/items/QUX3IPLT"],"itemData":{"id":6429,"type":"article-journal","container-title":"Health policy and planning","issue":"6","page":"861–868","publisher":"Oxford University Press","source":"Google Scholar","title":"How do healthcare providers respond to multiple funding flows? A conceptual framework and options to align them","title-short":"How do healthcare providers respond to multiple funding flows?","volume":"36","author":[{"family":"Barasa","given":"Edwine"},{"family":"Mathauer","given":"Inke"},{"family":"Kabia","given":"Evelyn"},{"family":"Ezumah","given":"Nkoli"},{"family":"Mbau","given":"Rahab"},{"family":"Honda","given":"Ayako"},{"family":"Dkhimi","given":"Fahdi"},{"family":"Onwujekwe","given":"Obinna"},{"family":"Phuong","given":"Hoang Thi"},{"family":"Hanson","given":"Kara"}],"issued":{"date-parts":[["2021"]]}}},{"id":6429,"uris":["http://zotero.org/users/11139207/items/QUX3IPLT"],"itemData":{"id":6429,"type":"article-journal","container-title":"Health policy and planning","issue":"6","page":"861–868","publisher":"Oxford University Press","source":"Google Scholar","title":"How do healthcare providers respond to multiple funding flows? A conceptual framework and options to align them","title-short":"How do healthcare providers respond to multiple funding flows?","volume":"36","author":[{"family":"Barasa","given":"Edwine"},{"family":"Mathauer","given":"Inke"},{"family":"Kabia","given":"Evelyn"},{"family":"Ezumah","given":"Nkoli"},{"family":"Mbau","given":"Rahab"},{"family":"Honda","given":"Ayako"},{"family":"Dkhimi","given":"Fahdi"},{"family":"Onwujekwe","given":"Obinna"},{"family":"Phuong","given":"Hoang Thi"},{"family":"Hanson","given":"Kara"}],"issued":{"date-parts":[["2021"]]}}}],"schema":"https://github.com/citation-style-language/schema/raw/master/csl-citation.json"} </w:instrText>
      </w:r>
      <w:r w:rsidR="00F13947" w:rsidRPr="009713BF">
        <w:fldChar w:fldCharType="separate"/>
      </w:r>
      <w:r w:rsidR="00135058">
        <w:t>Barasa</w:t>
      </w:r>
      <w:r w:rsidR="00F13947" w:rsidRPr="009713BF">
        <w:t xml:space="preserve">, </w:t>
      </w:r>
      <w:r w:rsidR="00F13947" w:rsidRPr="00135058">
        <w:rPr>
          <w:i/>
        </w:rPr>
        <w:t>et al.</w:t>
      </w:r>
      <w:r w:rsidR="00F13947" w:rsidRPr="009713BF">
        <w:t>, 2021</w:t>
      </w:r>
      <w:r w:rsidR="00F13947" w:rsidRPr="009713BF">
        <w:fldChar w:fldCharType="end"/>
      </w:r>
      <w:r w:rsidRPr="009713BF">
        <w:t xml:space="preserve">; </w:t>
      </w:r>
      <w:r w:rsidR="00F13947" w:rsidRPr="009713BF">
        <w:fldChar w:fldCharType="begin"/>
      </w:r>
      <w:r w:rsidR="00F13947" w:rsidRPr="009713BF">
        <w:instrText xml:space="preserve"> ADDIN ZOTERO_ITEM CSL_CITATION {"citationID":"BoFrc4xh","properties":{"unsorted":false,"formattedCitation":"(Mbau et al., 2022, 2022)","plainCitation":"(Mbau et al., 2022, 2022)","noteIndex":0},"citationItems":[{"id":6414,"uris":["http://zotero.org/users/11139207/items/SCAMH53I"],"itemData":{"id":6414,"type":"article-journal","container-title":"Applied health economics and health policy","issue":"2","page":"205","source":"Google Scholar","title":"Analysing the efficiency of health systems: a systematic review of the literature","title-short":"Analysing the efficiency of health systems","volume":"21","author":[{"family":"Mbau","given":"Rahab"},{"family":"Musiega","given":"Anita"},{"family":"Nyawira","given":"Lizah"},{"family":"Tsofa","given":"Benjamin"},{"family":"Mulwa","given":"Andrew"},{"family":"Molyneux","given":"Sassy"},{"family":"Maina","given":"Isabel"},{"family":"Jemutai","given":"Julie"},{"family":"Normand","given":"Charles"},{"family":"Hanson","given":"Kara"}],"issued":{"date-parts":[["2022"]]}}},{"id":6414,"uris":["http://zotero.org/users/11139207/items/SCAMH53I"],"itemData":{"id":6414,"type":"article-journal","container-title":"Applied health economics and health policy","issue":"2","page":"205","source":"Google Scholar","title":"Analysing the efficiency of health systems: a systematic review of the literature","title-short":"Analysing the efficiency of health systems","volume":"21","author":[{"family":"Mbau","given":"Rahab"},{"family":"Musiega","given":"Anita"},{"family":"Nyawira","given":"Lizah"},{"family":"Tsofa","given":"Benjamin"},{"family":"Mulwa","given":"Andrew"},{"family":"Molyneux","given":"Sassy"},{"family":"Maina","given":"Isabel"},{"family":"Jemutai","given":"Julie"},{"family":"Normand","given":"Charles"},{"family":"Hanson","given":"Kara"}],"issued":{"date-parts":[["2022"]]}}}],"schema":"https://github.com/citation-style-language/schema/raw/master/csl-citation.json"} </w:instrText>
      </w:r>
      <w:r w:rsidR="00F13947" w:rsidRPr="009713BF">
        <w:fldChar w:fldCharType="separate"/>
      </w:r>
      <w:r w:rsidR="00F13947" w:rsidRPr="009713BF">
        <w:t>Mbau et al., 2022</w:t>
      </w:r>
      <w:r w:rsidR="00F13947" w:rsidRPr="009713BF">
        <w:fldChar w:fldCharType="end"/>
      </w:r>
      <w:r w:rsidRPr="009713BF">
        <w:t>) indicates that while insurance schemes improved financial access, challenges such as delayed reimbursements, inefficiencies in claims processing, and weak accountability mechanisms limited their impact on service delivery. Furthermor</w:t>
      </w:r>
      <w:r w:rsidR="00F13947" w:rsidRPr="009713BF">
        <w:t xml:space="preserve">e, international studies </w:t>
      </w:r>
      <w:r w:rsidR="00F13947" w:rsidRPr="009713BF">
        <w:fldChar w:fldCharType="begin"/>
      </w:r>
      <w:r w:rsidR="00F13947" w:rsidRPr="009713BF">
        <w:instrText xml:space="preserve"> ADDIN ZOTERO_ITEM CSL_CITATION {"citationID":"4grYTha9","properties":{"unsorted":false,"formattedCitation":"(Cashin et al., 2017, 2017)","plainCitation":"(Cashin et al., 2017, 2017)","noteIndex":0},"citationItems":[{"id":6454,"uris":["http://zotero.org/users/11139207/items/SAIY5YQ6"],"itemData":{"id":6454,"type":"book","collection-number":"WHO/HIS/HGF/HFWorkingPaper/17.4","publisher":"World Health Organization","source":"Google Scholar","title":"Aligning public financial management and health financing: sustaining progress toward universal health coverage","title-short":"Aligning public financial management and health financing","URL":"https://iris.who.int/bitstream/handle/10665/254680/?sequence=1","author":[{"family":"Cashin","given":"Cheryl"},{"family":"Bloom","given":"Danielle"},{"family":"Sparkes","given":"Susan"},{"family":"Barroy","given":"Hélène"},{"family":"Kutzin","given":"Joseph"},{"family":"O'Dougherty","given":"Sheila"},{"family":"Organization","given":"World Health"}],"accessed":{"date-parts":[["2026",5,5]]},"issued":{"date-parts":[["2017"]]}}},{"id":6454,"uris":["http://zotero.org/users/11139207/items/SAIY5YQ6"],"itemData":{"id":6454,"type":"book","collection-number":"WHO/HIS/HGF/HFWorkingPaper/17.4","publisher":"World Health Organization","source":"Google Scholar","title":"Aligning public financial management and health financing: sustaining progress toward universal health coverage","title-short":"Aligning public financial management and health financing","URL":"https://iris.who.int/bitstream/handle/10665/254680/?sequence=1","author":[{"family":"Cashin","given":"Cheryl"},{"family":"Bloom","given":"Danielle"},{"family":"Sparkes","given":"Susan"},{"family":"Barroy","given":"Hélène"},{"family":"Kutzin","given":"Joseph"},{"family":"O'Dougherty","given":"Sheila"},{"family":"Organization","given":"World Health"}],"accessed":{"date-parts":[["2026",5,5]]},"issued":{"date-parts":[["2017"]]}}}],"schema":"https://github.com/citation-style-language/schema/raw/master/csl-citation.json"} </w:instrText>
      </w:r>
      <w:r w:rsidR="00F13947" w:rsidRPr="009713BF">
        <w:fldChar w:fldCharType="separate"/>
      </w:r>
      <w:r w:rsidR="00F13947" w:rsidRPr="009713BF">
        <w:t xml:space="preserve">Cashin </w:t>
      </w:r>
      <w:r w:rsidR="00F13947" w:rsidRPr="00135058">
        <w:rPr>
          <w:i/>
        </w:rPr>
        <w:t>et al.</w:t>
      </w:r>
      <w:r w:rsidR="00F13947" w:rsidRPr="009713BF">
        <w:t xml:space="preserve"> (2017)</w:t>
      </w:r>
      <w:r w:rsidR="00F13947" w:rsidRPr="009713BF">
        <w:fldChar w:fldCharType="end"/>
      </w:r>
      <w:r w:rsidRPr="009713BF">
        <w:t xml:space="preserve"> emphasize that provider payment reforms only improve service delivery when they are effectively implemented and aligned with facility-level incentives. </w:t>
      </w:r>
    </w:p>
    <w:p w14:paraId="27507E14" w14:textId="335E0DD9" w:rsidR="007C0C91" w:rsidRPr="009713BF" w:rsidRDefault="007C0C91" w:rsidP="007C0C91">
      <w:pPr>
        <w:spacing w:line="360" w:lineRule="auto"/>
        <w:jc w:val="both"/>
      </w:pPr>
      <w:r w:rsidRPr="009713BF">
        <w:t xml:space="preserve">Despite these insights, there remains limited empirical evidence on how the ongoing transition to </w:t>
      </w:r>
      <w:r w:rsidR="00BE632D" w:rsidRPr="009713BF">
        <w:t>Soci</w:t>
      </w:r>
      <w:r w:rsidR="00BE632D">
        <w:t>al Health Authority</w:t>
      </w:r>
      <w:r w:rsidRPr="009713BF">
        <w:t xml:space="preserve"> is influencing service delivery at sub-county health facility levels, particularly in counties such as Kakamega. More importantly, the early rollout challenges, operational bottlenecks, and structural design implications of </w:t>
      </w:r>
      <w:r w:rsidR="00BE632D" w:rsidRPr="009713BF">
        <w:t>Soci</w:t>
      </w:r>
      <w:r w:rsidR="00BE632D">
        <w:t>al Health Authority</w:t>
      </w:r>
      <w:r w:rsidRPr="009713BF">
        <w:t xml:space="preserve"> have not been sufficiently examined in empirical studies, creating uncertainty regarding whether the anticipated gains in efficiency, equity, and quality are being realized in practice.</w:t>
      </w:r>
    </w:p>
    <w:p w14:paraId="07E0D4A4" w14:textId="41A2EACE" w:rsidR="00CD4D59" w:rsidRDefault="007C0C91" w:rsidP="00CD4D59">
      <w:pPr>
        <w:spacing w:line="360" w:lineRule="auto"/>
        <w:jc w:val="both"/>
      </w:pPr>
      <w:r w:rsidRPr="009713BF">
        <w:t xml:space="preserve">Therefore, although global and national literature provides substantial theoretical and policy-level support for social health financing reforms, it inadequately addresses the practical, facility-level implications and real-time implementation experiences of such reforms within devolved county health systems. This highlights a critical need for context-specific, empirical investigation into how </w:t>
      </w:r>
      <w:r w:rsidR="00BE632D" w:rsidRPr="009713BF">
        <w:t>Soci</w:t>
      </w:r>
      <w:r w:rsidR="00BE632D">
        <w:t xml:space="preserve">al Health </w:t>
      </w:r>
      <w:r w:rsidR="00BE632D">
        <w:lastRenderedPageBreak/>
        <w:t>Authority</w:t>
      </w:r>
      <w:r w:rsidRPr="009713BF">
        <w:t xml:space="preserve"> influences service delivery outcomes in specific localities such as Navakholo Sub-County. Consequently, having established the gap in understanding the localized effects of financing reforms, the next strand of literature interrogates how these reforms influence key service delivery inputs, particularly human resources for health, which are fundamental in determining the effectiveness, responsiveness, and overall per</w:t>
      </w:r>
      <w:r w:rsidR="00CD4D59">
        <w:t>formance of healthcare systems.</w:t>
      </w:r>
    </w:p>
    <w:p w14:paraId="12C3D437" w14:textId="574A5039" w:rsidR="00613F62" w:rsidRPr="00CD4D59" w:rsidRDefault="00F84D65" w:rsidP="00CD4D59">
      <w:pPr>
        <w:spacing w:line="360" w:lineRule="auto"/>
        <w:jc w:val="both"/>
      </w:pPr>
      <w:r w:rsidRPr="009713BF">
        <w:rPr>
          <w:b/>
        </w:rPr>
        <w:t xml:space="preserve">Health Financing and Human Resources for Health </w:t>
      </w:r>
    </w:p>
    <w:p w14:paraId="60218537" w14:textId="4C3EC8E9" w:rsidR="005A6DAD" w:rsidRDefault="005E5B94" w:rsidP="007C0C91">
      <w:pPr>
        <w:spacing w:line="360" w:lineRule="auto"/>
        <w:jc w:val="both"/>
      </w:pPr>
      <w:r w:rsidRPr="009713BF">
        <w:t>Health financing is a critical determinant of healthcare worker motivation, retention, and performance, which in turn direct</w:t>
      </w:r>
      <w:r w:rsidR="00EA34B9">
        <w:t>ly influences service delivery. Since</w:t>
      </w:r>
      <w:r>
        <w:t xml:space="preserve"> the introduction of SHA, there has been financial vulnerabilities of empanelled facilities waiting for back-payments.</w:t>
      </w:r>
      <w:r w:rsidR="00EA34B9" w:rsidRPr="00EA34B9">
        <w:t xml:space="preserve"> </w:t>
      </w:r>
      <w:r w:rsidR="00EA34B9">
        <w:t xml:space="preserve">This has directly led to the disruption of the capitation and reimbursement </w:t>
      </w:r>
      <w:r w:rsidR="005A6DAD">
        <w:t>workflow. Detailing</w:t>
      </w:r>
      <w:r w:rsidR="00EA34B9">
        <w:t xml:space="preserve"> the delayed payments to healthcare facilities inadvertently leading to the emergence of 'silent copayments' (where patients are forced to purchase out-of-pocket pharmaceuticals), undermining the central tenets of Universal Health Coverage (UHC).</w:t>
      </w:r>
      <w:r w:rsidRPr="009713BF">
        <w:t xml:space="preserve"> </w:t>
      </w:r>
    </w:p>
    <w:p w14:paraId="0919D187" w14:textId="77777777" w:rsidR="0036514F" w:rsidRDefault="00EA34B9" w:rsidP="007C0C91">
      <w:pPr>
        <w:spacing w:line="360" w:lineRule="auto"/>
        <w:jc w:val="both"/>
      </w:pPr>
      <w:r>
        <w:t xml:space="preserve">Empirical studies demonstrate that health financing reforms significantly influence health workforce motivation, retention, and service delivery. According to the World Health Organization (2006), reliable and timely financing mechanisms are essential for maintaining an effective health workforce, as delays in provider payments reduce staff morale, compromise service quality, and weaken health system performance. </w:t>
      </w:r>
    </w:p>
    <w:p w14:paraId="7FF70CB7" w14:textId="77777777" w:rsidR="0036514F" w:rsidRDefault="00EA34B9" w:rsidP="007C0C91">
      <w:pPr>
        <w:spacing w:line="360" w:lineRule="auto"/>
        <w:jc w:val="both"/>
      </w:pPr>
      <w:r>
        <w:t xml:space="preserve">Similarly, the World Health Organization (2016) emphasizes that sustainable financing is a prerequisite for retaining skilled healthcare workers and ensuring continuity of essential health services. In many low- and middle-income countries, delayed reimbursements to healthcare providers have resulted in financial strain on health facilities, interruptions in service delivery, and increased out-of-pocket expenditures for patients, thereby undermining progress toward Universal Health Coverage (Cashin et al., 2017). </w:t>
      </w:r>
    </w:p>
    <w:p w14:paraId="15A4E35C" w14:textId="43AFB653" w:rsidR="005E5B94" w:rsidRDefault="00EA34B9" w:rsidP="007C0C91">
      <w:pPr>
        <w:spacing w:line="360" w:lineRule="auto"/>
        <w:jc w:val="both"/>
      </w:pPr>
      <w:r>
        <w:lastRenderedPageBreak/>
        <w:t>However, these studies primarily focus on general health financing reforms and workforce outcomes without specifically examining the transition from the National Hospital Insurance Fund (NHIF) to the Social Health Authority (SHA) in Kenya. Consequently, an empirical gap exists regarding how the implementation of SHA has affected healthcare workers' welfare, motivation, and service delivery through delayed reimbursements and disruptions in capitation and payment systems.</w:t>
      </w:r>
    </w:p>
    <w:p w14:paraId="121EEF0C" w14:textId="115E1829" w:rsidR="00FC3701" w:rsidRPr="00FC3701" w:rsidRDefault="002B757E" w:rsidP="00FC3701">
      <w:pPr>
        <w:spacing w:line="360" w:lineRule="auto"/>
        <w:jc w:val="both"/>
      </w:pPr>
      <w:r>
        <w:t xml:space="preserve">The transition from the National Hospital Insurance Fund (NHIF) to the Social Health Authority (SHA) has been accompanied by significant implementation challenges, particularly in information and communication technology (ICT) services, which have affected healthcare financing and service delivery in Kenya. </w:t>
      </w:r>
      <w:r w:rsidR="00E918BF">
        <w:t>Rural communities experience disproportionate barriers to digital registration, particularly among low-income and informal-sector households that lack reliable connectivity and adequate self-registration infrastructure.</w:t>
      </w:r>
      <w:r w:rsidR="00E918BF" w:rsidRPr="00FC3701">
        <w:t xml:space="preserve"> A</w:t>
      </w:r>
      <w:r w:rsidR="00FC3701" w:rsidRPr="00FC3701">
        <w:t xml:space="preserve"> policy brief by the Collaboration on International ICT Policy for East and Southern Africa found that the transition was characterized by digital infrastructure constraints, delayed facility empanelment, inadequate training of healthcare workers, and weak interoperability between digital health systems. These challenges disrupted healthcare delivery and limited access to services, particularly for vulnerable populations, demonstrating that health financing reforms require adequate technological and institutional preparedness to achieve Universal Health Coverage (UHC). </w:t>
      </w:r>
    </w:p>
    <w:p w14:paraId="47C54EA4" w14:textId="1CC3414D" w:rsidR="00FC3701" w:rsidRPr="00FC3701" w:rsidRDefault="00FC3701" w:rsidP="00FC3701">
      <w:pPr>
        <w:spacing w:line="360" w:lineRule="auto"/>
        <w:jc w:val="both"/>
      </w:pPr>
      <w:r w:rsidRPr="00FC3701">
        <w:t>Similarly, the Ministry of Health acknowledged that the migration from NHIF to SHA resulted in delays in reimbursing healthcare providers due to the verification and reconciliat</w:t>
      </w:r>
      <w:r w:rsidR="00F227DF">
        <w:t xml:space="preserve">ion of outstanding NHIF </w:t>
      </w:r>
      <w:r w:rsidR="00993958">
        <w:t>claims.</w:t>
      </w:r>
      <w:r w:rsidR="00993958" w:rsidRPr="00FC3701">
        <w:t xml:space="preserve"> The</w:t>
      </w:r>
      <w:r w:rsidRPr="00FC3701">
        <w:t xml:space="preserve"> Ministry reported that healthcare facilities experienced financial constraints while awaiting verification of pending claims, prompting extensive audits, provider training, and improvements in claims management systems to enhance reimbursement efficiency. </w:t>
      </w:r>
    </w:p>
    <w:p w14:paraId="7766B4A7" w14:textId="790B03CB" w:rsidR="00FC3701" w:rsidRPr="00FC3701" w:rsidRDefault="00FC3701" w:rsidP="00FC3701">
      <w:pPr>
        <w:spacing w:line="360" w:lineRule="auto"/>
        <w:jc w:val="both"/>
      </w:pPr>
      <w:r w:rsidRPr="00FC3701">
        <w:t xml:space="preserve">Further evidence is provided by the Institute of Economic Affairs, which observed that despite SHA being introduced to strengthen Universal Health Coverage, </w:t>
      </w:r>
      <w:r w:rsidRPr="00FC3701">
        <w:lastRenderedPageBreak/>
        <w:t xml:space="preserve">delayed provider payments, reduced reimbursement rates, and increased out-of-pocket spending by </w:t>
      </w:r>
      <w:r w:rsidR="00F227DF" w:rsidRPr="00FC3701">
        <w:t>patient’s</w:t>
      </w:r>
      <w:r w:rsidRPr="00FC3701">
        <w:t xml:space="preserve"> undermined access to healthcare services. The report noted that many healthcare facilities experienced financial instability, forcing patients to purchase medicines privately despite being insured, thereby compromising the objectives of financial risk protection under UHC. </w:t>
      </w:r>
    </w:p>
    <w:p w14:paraId="3A2D6B05" w14:textId="77777777" w:rsidR="00FC3701" w:rsidRPr="00FC3701" w:rsidRDefault="00FC3701" w:rsidP="00FC3701">
      <w:pPr>
        <w:spacing w:line="360" w:lineRule="auto"/>
        <w:jc w:val="both"/>
      </w:pPr>
      <w:r w:rsidRPr="00FC3701">
        <w:t xml:space="preserve">An implementation assessment of the Social Health Insurance Fund (SHIF) further established that provider reimbursement delays, fragmented digital infrastructure, registration challenges, and inadequate communication with healthcare providers disrupted continuity of care during the 2024–2025 transition period. The study concluded that unless provider payment systems and digital platforms are strengthened, the new financing model risks reproducing many of the weaknesses previously experienced under NHIF. </w:t>
      </w:r>
    </w:p>
    <w:p w14:paraId="73430DA7" w14:textId="293360DD" w:rsidR="00FC3701" w:rsidRDefault="00FC3701" w:rsidP="007C0C91">
      <w:pPr>
        <w:spacing w:line="360" w:lineRule="auto"/>
        <w:jc w:val="both"/>
      </w:pPr>
      <w:r w:rsidRPr="00FC3701">
        <w:t>Although these recent Kenyan studies document delayed reimbursements, provider payment challenges, digital infrastructure limitations, and disruptions experienced during the t</w:t>
      </w:r>
      <w:r w:rsidR="004F3F6B">
        <w:t xml:space="preserve">ransition from NHIF to SHA, </w:t>
      </w:r>
      <w:r w:rsidR="004F3F6B" w:rsidRPr="00FC3701">
        <w:t>primarily</w:t>
      </w:r>
      <w:r w:rsidRPr="00FC3701">
        <w:t xml:space="preserve"> focus on policy implementation</w:t>
      </w:r>
      <w:r w:rsidR="0098490D">
        <w:t xml:space="preserve"> and health system performance.</w:t>
      </w:r>
      <w:r w:rsidRPr="00FC3701">
        <w:t>There remains limited empirical evidence examining how these financing reforms directly influence healthcare workers' motivation, job satisfaction, retention, and service delivery outcomes within county health facilities. This study therefore seeks to bridge this empirical gap by examining the relationship between social health financing reforms under SHA and human resource outcomes in Kenya's health sector.</w:t>
      </w:r>
    </w:p>
    <w:p w14:paraId="08861E06" w14:textId="00322B88" w:rsidR="007C0C91" w:rsidRPr="009713BF" w:rsidRDefault="007C0C91" w:rsidP="007C0C91">
      <w:pPr>
        <w:spacing w:line="360" w:lineRule="auto"/>
        <w:jc w:val="both"/>
      </w:pPr>
      <w:r w:rsidRPr="009713BF">
        <w:t>Further empirical evidence underscores the role of strategic purchasing in influencing health workforce behavior, yet reveals limitation</w:t>
      </w:r>
      <w:r w:rsidR="00135058">
        <w:t>s in existing analyses. Barasa</w:t>
      </w:r>
      <w:r w:rsidRPr="009713BF">
        <w:t xml:space="preserve"> </w:t>
      </w:r>
      <w:r w:rsidRPr="00135058">
        <w:rPr>
          <w:i/>
        </w:rPr>
        <w:t>et al.</w:t>
      </w:r>
      <w:r w:rsidRPr="009713BF">
        <w:t xml:space="preserve"> (2021) argue that provider payment mechanisms, including capitation and performance-based financing, can incentivize efficiency, accountability, and improved service provision when reimbursements are timely and adequate. Similarly, studies by </w:t>
      </w:r>
      <w:r w:rsidR="008657A0" w:rsidRPr="009713BF">
        <w:fldChar w:fldCharType="begin"/>
      </w:r>
      <w:r w:rsidR="008657A0" w:rsidRPr="009713BF">
        <w:instrText xml:space="preserve"> ADDIN ZOTERO_ITEM CSL_CITATION {"citationID":"gkXnccw3","properties":{"unsorted":false,"formattedCitation":"(Feldhaus &amp; Mathauer, 2018, 2018)","plainCitation":"(Feldhaus &amp; Mathauer, 2018, 2018)","noteIndex":0},"citationItems":[{"id":6455,"uris":["http://zotero.org/users/11139207/items/RELYAPKJ"],"itemData":{"id":6455,"type":"article-journal","container-title":"BMC Health Services Research","DOI":"10.1186/s12913-018-3779-1","ISSN":"1472-6963","issue":"1","journalAbbreviation":"BMC Health Serv Res","language":"en","page":"996","source":"DOI.org (Crossref)","title":"Effects of mixed provider payment systems and aligned cost sharing practices on expenditure growth management, efficiency, and equity: a structured review of the literature","title-short":"Effects of mixed provider payment systems and aligned cost sharing practices on expenditure growth management, efficiency, and equity","volume":"18","author":[{"family":"Feldhaus","given":"Isabelle"},{"family":"Mathauer","given":"Inke"}],"issued":{"date-parts":[["2018",12]]}}},{"id":6455,"uris":["http://zotero.org/users/11139207/items/RELYAPKJ"],"itemData":{"id":6455,"type":"article-journal","container-title":"BMC Health Services Research","DOI":"10.1186/s12913-018-3779-1","ISSN":"1472-6963","issue":"1","journalAbbreviation":"BMC Health Serv Res","language":"en","page":"996","source":"DOI.org (Crossref)","title":"Effects of mixed provider payment systems and aligned cost sharing practices on expenditure growth management, efficiency, and equity: a structured review of the literature","title-short":"Effects of mixed provider payment systems and aligned cost sharing practices on expenditure growth management, efficiency, and equity","volume":"18","author":[{"family":"Feldhaus","given":"Isabelle"},{"family":"Mathauer","given":"Inke"}],"issued":{"date-parts":[["2018",12]]}}}],"schema":"https://github.com/citation-style-language/schema/raw/master/csl-citation.json"} </w:instrText>
      </w:r>
      <w:r w:rsidR="008657A0" w:rsidRPr="009713BF">
        <w:fldChar w:fldCharType="separate"/>
      </w:r>
      <w:r w:rsidR="008657A0" w:rsidRPr="009713BF">
        <w:t>Feldhaus and Mathauer (2018)</w:t>
      </w:r>
      <w:r w:rsidR="008657A0" w:rsidRPr="009713BF">
        <w:fldChar w:fldCharType="end"/>
      </w:r>
      <w:r w:rsidR="00135058">
        <w:t>,</w:t>
      </w:r>
      <w:r w:rsidRPr="009713BF">
        <w:t xml:space="preserve"> and </w:t>
      </w:r>
      <w:r w:rsidR="008657A0" w:rsidRPr="009713BF">
        <w:fldChar w:fldCharType="begin"/>
      </w:r>
      <w:r w:rsidR="008657A0" w:rsidRPr="009713BF">
        <w:instrText xml:space="preserve"> ADDIN ZOTERO_ITEM CSL_CITATION {"citationID":"nTfqXymn","properties":{"unsorted":false,"formattedCitation":"(Kutzin et al., 2017, 2017)","plainCitation":"(Kutzin et al., 2017, 2017)","noteIndex":0},"citationItems":[{"id":6457,"uris":["http://zotero.org/users/11139207/items/C6VZSPFZ"],"itemData":{"id":6457,"type":"book","publisher":"World Health Organization","source":"Google Scholar","title":"Developing a national health financing strategy: a reference guide","title-short":"Developing a national health financing strategy","URL":"https://iris.who.int/bitstream/handle/10665/254757/9789241512107-eng.pdf","author":[{"family":"Kutzin","given":"Joseph"},{"family":"Witter","given":"Sophie"},{"family":"Jowett","given":"Matthew"},{"family":"Bayarsaikhan","given":"Dorjsuren"},{"family":"Organization","given":"World Health"}],"accessed":{"date-parts":[["2026",5,5]]},"issued":{"date-parts":[["2017"]]}}},{"id":6457,"uris":["http://zotero.org/users/11139207/items/C6VZSPFZ"],"itemData":{"id":6457,"type":"book","publisher":"World Health Organization","source":"Google Scholar","title":"Developing a national health financing strategy: a reference guide","title-short":"Developing a national health financing strategy","URL":"https://iris.who.int/bitstream/handle/10665/254757/9789241512107-eng.pdf","author":[{"family":"Kutzin","given":"Joseph"},{"family":"Witter","given":"Sophie"},{"family":"Jowett","given":"Matthew"},{"family":"Bayarsaikhan","given":"Dorjsuren"},{"family":"Organization","given":"World Health"}],"accessed":{"date-parts":[["2026",5,5]]},"issued":{"date-parts":[["2017"]]}}}],"schema":"https://github.com/citation-style-language/schema/raw/master/csl-citation.json"} </w:instrText>
      </w:r>
      <w:r w:rsidR="008657A0" w:rsidRPr="009713BF">
        <w:fldChar w:fldCharType="separate"/>
      </w:r>
      <w:r w:rsidR="008657A0" w:rsidRPr="009713BF">
        <w:t xml:space="preserve">Kutzin </w:t>
      </w:r>
      <w:r w:rsidR="008657A0" w:rsidRPr="00135058">
        <w:rPr>
          <w:i/>
        </w:rPr>
        <w:t>et al.</w:t>
      </w:r>
      <w:r w:rsidR="008657A0" w:rsidRPr="009713BF">
        <w:t xml:space="preserve"> (2017)</w:t>
      </w:r>
      <w:r w:rsidR="008657A0" w:rsidRPr="009713BF">
        <w:fldChar w:fldCharType="end"/>
      </w:r>
      <w:r w:rsidRPr="009713BF">
        <w:t xml:space="preserve"> emphasize that well-designed payment systems align provider incentives with </w:t>
      </w:r>
      <w:r w:rsidRPr="009713BF">
        <w:lastRenderedPageBreak/>
        <w:t xml:space="preserve">health system goals, thereby enhancing workforce productivity. In the Kenyan context, Barasa </w:t>
      </w:r>
      <w:r w:rsidRPr="00135058">
        <w:rPr>
          <w:i/>
        </w:rPr>
        <w:t>et al.</w:t>
      </w:r>
      <w:r w:rsidRPr="009713BF">
        <w:t xml:space="preserve"> (2021) observed that delays in NHIF reimbursements negatively affected staff morale, leading to reduced service quality and inefficiencies in public facilities. Additional evidence from </w:t>
      </w:r>
      <w:r w:rsidR="008657A0" w:rsidRPr="009713BF">
        <w:fldChar w:fldCharType="begin"/>
      </w:r>
      <w:r w:rsidR="008657A0" w:rsidRPr="009713BF">
        <w:instrText xml:space="preserve"> ADDIN ZOTERO_ITEM CSL_CITATION {"citationID":"GqUuchzK","properties":{"unsorted":false,"formattedCitation":"(Nyawira et al., 2022, 2022)","plainCitation":"(Nyawira et al., 2022, 2022)","noteIndex":0},"citationItems":[{"id":6426,"uris":["http://zotero.org/users/11139207/items/B9QNG67U"],"itemData":{"id":6426,"type":"article-journal","abstract":"Human resources for health consume a substantial share of healthcare resources and determine the efficiency and overall performance of health systems. Under Kenya’s devolved governance, human resources for health are managed by county governments. The aim of this study was to examine how the management of human resources for health influences the efficiency of county health systems in Kenya.","container-title":"BMC Health Services Research","DOI":"10.1186/s12913-022-08432-1","ISSN":"1472-6963","issue":"1","journalAbbreviation":"BMC Health Serv Res","language":"en","page":"1046","source":"Springer Link","title":"Management of human resources for health: implications for health systems efficiency in Kenya","title-short":"Management of human resources for health","volume":"22","author":[{"family":"Nyawira","given":"Lizah"},{"family":"Tsofa","given":"Benjamin"},{"family":"Musiega","given":"Anita"},{"family":"Munywoki","given":"Joshua"},{"family":"Njuguna","given":"Rebecca G."},{"family":"Hanson","given":"Kara"},{"family":"Mulwa","given":"Andrew"},{"family":"Molyneux","given":"Sassy"},{"family":"Maina","given":"Isabel"},{"family":"Normand","given":"Charles"},{"family":"Jemutai","given":"Julie"},{"family":"Barasa","given":"Edwine"}],"issued":{"date-parts":[["2022",8,16]]}}},{"id":6426,"uris":["http://zotero.org/users/11139207/items/B9QNG67U"],"itemData":{"id":6426,"type":"article-journal","abstract":"Human resources for health consume a substantial share of healthcare resources and determine the efficiency and overall performance of health systems. Under Kenya’s devolved governance, human resources for health are managed by county governments. The aim of this study was to examine how the management of human resources for health influences the efficiency of county health systems in Kenya.","container-title":"BMC Health Services Research","DOI":"10.1186/s12913-022-08432-1","ISSN":"1472-6963","issue":"1","journalAbbreviation":"BMC Health Serv Res","language":"en","page":"1046","source":"Springer Link","title":"Management of human resources for health: implications for health systems efficiency in Kenya","title-short":"Management of human resources for health","volume":"22","author":[{"family":"Nyawira","given":"Lizah"},{"family":"Tsofa","given":"Benjamin"},{"family":"Musiega","given":"Anita"},{"family":"Munywoki","given":"Joshua"},{"family":"Njuguna","given":"Rebecca G."},{"family":"Hanson","given":"Kara"},{"family":"Mulwa","given":"Andrew"},{"family":"Molyneux","given":"Sassy"},{"family":"Maina","given":"Isabel"},{"family":"Normand","given":"Charles"},{"family":"Jemutai","given":"Julie"},{"family":"Barasa","given":"Edwine"}],"issued":{"date-parts":[["2022",8,16]]}}}],"schema":"https://github.com/citation-style-language/schema/raw/master/csl-citation.json"} </w:instrText>
      </w:r>
      <w:r w:rsidR="008657A0" w:rsidRPr="009713BF">
        <w:fldChar w:fldCharType="separate"/>
      </w:r>
      <w:r w:rsidR="008657A0" w:rsidRPr="009713BF">
        <w:t xml:space="preserve">Nyawira </w:t>
      </w:r>
      <w:r w:rsidR="008657A0" w:rsidRPr="00135058">
        <w:rPr>
          <w:i/>
        </w:rPr>
        <w:t>et al</w:t>
      </w:r>
      <w:r w:rsidR="008657A0" w:rsidRPr="009713BF">
        <w:t>. (2022)</w:t>
      </w:r>
      <w:r w:rsidR="008657A0" w:rsidRPr="009713BF">
        <w:fldChar w:fldCharType="end"/>
      </w:r>
      <w:r w:rsidRPr="009713BF">
        <w:t xml:space="preserve"> indicates that financial uncertainty and weak incentive structures under devolved systems have contributed to demotivation and inconsistent performance among healthcare workers. While these studies highlight the importance of financing structures, they largely focus on NHIF and generalized financing challenges, with limited attention to the transition to </w:t>
      </w:r>
      <w:r w:rsidR="009E348D" w:rsidRPr="009713BF">
        <w:t>Soci</w:t>
      </w:r>
      <w:r w:rsidR="009E348D">
        <w:t>al Health Authority</w:t>
      </w:r>
      <w:r w:rsidRPr="009713BF">
        <w:t xml:space="preserve"> and its implications for workforce outcomes at decentralized levels.</w:t>
      </w:r>
    </w:p>
    <w:p w14:paraId="1C3A8D25" w14:textId="163BDDD3" w:rsidR="007C0C91" w:rsidRPr="009713BF" w:rsidRDefault="007C0C91" w:rsidP="007C0C91">
      <w:pPr>
        <w:spacing w:line="360" w:lineRule="auto"/>
        <w:jc w:val="both"/>
      </w:pPr>
      <w:r w:rsidRPr="009713BF">
        <w:t xml:space="preserve">Therefore, despite substantial evidence linking health financing to human resource performance, there remains a significant gap in empirical research examining how ongoing social health financing reforms, particularly </w:t>
      </w:r>
      <w:r w:rsidR="009E348D" w:rsidRPr="009713BF">
        <w:t>Soci</w:t>
      </w:r>
      <w:r w:rsidR="009E348D">
        <w:t>al Health Authority</w:t>
      </w:r>
      <w:r w:rsidRPr="009713BF">
        <w:t xml:space="preserve">, influence healthcare worker motivation, retention, and productivity at the facility level. This gap is especially pronounced in sub-county settings such as Navakholo, where contextual factors such as resource constraints, administrative capacity, and implementation challenges may shape reform outcomes differently. Addressing this gap is critical for understanding whether </w:t>
      </w:r>
      <w:r w:rsidR="009E348D" w:rsidRPr="009713BF">
        <w:t>Soci</w:t>
      </w:r>
      <w:r w:rsidR="009E348D">
        <w:t>al Health Authority</w:t>
      </w:r>
      <w:r w:rsidRPr="009713BF">
        <w:t xml:space="preserve"> reforms can effectively strengthen the health workforce and improve service delivery. Consequently, having identified the gap in human resource outcomes, the next strand of literature examines how health financing reforms influence other essential service delivery inputs, particularly the availability of drugs and medical supplies, which are equally vital for effective healthcare provision.</w:t>
      </w:r>
    </w:p>
    <w:p w14:paraId="0D458A6E" w14:textId="58F480D5" w:rsidR="00E87A93" w:rsidRPr="009713BF" w:rsidRDefault="00F84D65">
      <w:pPr>
        <w:pStyle w:val="NormalWeb"/>
        <w:spacing w:line="360" w:lineRule="auto"/>
        <w:jc w:val="both"/>
        <w:rPr>
          <w:b/>
        </w:rPr>
      </w:pPr>
      <w:r w:rsidRPr="009713BF">
        <w:rPr>
          <w:b/>
        </w:rPr>
        <w:t xml:space="preserve">Financing and Availability of Drugs and Medical Supplies </w:t>
      </w:r>
    </w:p>
    <w:p w14:paraId="3FDC441A" w14:textId="77777777" w:rsidR="007C0C91" w:rsidRPr="009713BF" w:rsidRDefault="007C0C91" w:rsidP="007C0C91">
      <w:pPr>
        <w:spacing w:line="360" w:lineRule="auto"/>
        <w:jc w:val="both"/>
      </w:pPr>
      <w:r w:rsidRPr="009713BF">
        <w:t xml:space="preserve">A critical review of empirical literature reveals a persistent supply-side gap in understanding how social health financing reforms influence the availability and consistency of drugs and medical supplies at the facility level. Adequate financing is widely recognized as a prerequisite for efficient pharmaceutical procurement and </w:t>
      </w:r>
      <w:r w:rsidRPr="009713BF">
        <w:lastRenderedPageBreak/>
        <w:t xml:space="preserve">distribution systems. For instance, Mutua (2013), in a study at Maragua District Hospital, identified financial constraints and bureaucratic procurement processes as key drivers of inconsistent pharmaceutical supplies, concluding that funding bottlenecks and rigid legal frameworks significantly hinder procurement efficiency. </w:t>
      </w:r>
    </w:p>
    <w:p w14:paraId="002D5E62" w14:textId="6280EC63" w:rsidR="007C0C91" w:rsidRPr="009713BF" w:rsidRDefault="007C0C91" w:rsidP="007C0C91">
      <w:pPr>
        <w:spacing w:line="360" w:lineRule="auto"/>
        <w:jc w:val="both"/>
      </w:pPr>
      <w:r w:rsidRPr="009713BF">
        <w:t xml:space="preserve">Similarly, </w:t>
      </w:r>
      <w:r w:rsidR="008657A0" w:rsidRPr="009713BF">
        <w:fldChar w:fldCharType="begin"/>
      </w:r>
      <w:r w:rsidR="008657A0" w:rsidRPr="009713BF">
        <w:instrText xml:space="preserve"> ADDIN ZOTERO_ITEM CSL_CITATION {"citationID":"JOeIqVEZ","properties":{"unsorted":false,"formattedCitation":"(Herrera-Ramirez et al., 2026, 2026)","plainCitation":"(Herrera-Ramirez et al., 2026, 2026)","noteIndex":0},"citationItems":[{"id":6458,"uris":["http://zotero.org/users/11139207/items/CAPQQIH8"],"itemData":{"id":6458,"type":"article-journal","container-title":"International Journal of Public Health","page":"1608754","source":"Google Scholar","title":"Access to Essential Medicines in Low-and Middle-Income Countries: A Systematic Review of Barriers and Facilitators","title-short":"Access to Essential Medicines in Low-and Middle-Income Countries","volume":"71","author":[{"family":"Herrera-Ramirez","given":"Israel"},{"family":"Orozco-Nuñez","given":"Emanuel"},{"family":"Guerra","given":"Germán"},{"family":"Dreser-Mansilla","given":"Anahi"},{"family":"Molina-Salazar","given":"Raul Enrique"}],"issued":{"date-parts":[["2026"]]}}},{"id":6458,"uris":["http://zotero.org/users/11139207/items/CAPQQIH8"],"itemData":{"id":6458,"type":"article-journal","container-title":"International Journal of Public Health","page":"1608754","source":"Google Scholar","title":"Access to Essential Medicines in Low-and Middle-Income Countries: A Systematic Review of Barriers and Facilitators","title-short":"Access to Essential Medicines in Low-and Middle-Income Countries","volume":"71","author":[{"family":"Herrera-Ramirez","given":"Israel"},{"family":"Orozco-Nuñez","given":"Emanuel"},{"family":"Guerra","given":"Germán"},{"family":"Dreser-Mansilla","given":"Anahi"},{"family":"Molina-Salazar","given":"Raul Enrique"}],"issued":{"date-parts":[["2026"]]}}}],"schema":"https://github.com/citation-style-language/schema/raw/master/csl-citation.json"} </w:instrText>
      </w:r>
      <w:r w:rsidR="008657A0" w:rsidRPr="009713BF">
        <w:fldChar w:fldCharType="separate"/>
      </w:r>
      <w:r w:rsidR="008657A0" w:rsidRPr="009713BF">
        <w:t xml:space="preserve">Herrera-Ramirez </w:t>
      </w:r>
      <w:r w:rsidR="008657A0" w:rsidRPr="00135058">
        <w:rPr>
          <w:i/>
        </w:rPr>
        <w:t>et al.</w:t>
      </w:r>
      <w:r w:rsidR="008657A0" w:rsidRPr="009713BF">
        <w:t xml:space="preserve"> (2026)</w:t>
      </w:r>
      <w:r w:rsidR="008657A0" w:rsidRPr="009713BF">
        <w:fldChar w:fldCharType="end"/>
      </w:r>
      <w:r w:rsidR="00135058">
        <w:t>,</w:t>
      </w:r>
      <w:r w:rsidR="00B3769D">
        <w:t xml:space="preserve"> </w:t>
      </w:r>
      <w:r w:rsidRPr="009713BF">
        <w:t>demonstrate that weak financing arrangements and fragmented supply chains in low- and</w:t>
      </w:r>
      <w:r w:rsidR="00135058">
        <w:t xml:space="preserve"> middle-income countries</w:t>
      </w:r>
      <w:r w:rsidRPr="009713BF">
        <w:t xml:space="preserve"> contribute to frequent stock-outs and inequitable access to essential medicines. While these studies underscore the importance of financing in ensuring medicine availability, they are largely situated in pre-reform contexts and do not explicitly examine how structured social health insurance reforms such as t</w:t>
      </w:r>
      <w:r w:rsidR="009E348D">
        <w:t xml:space="preserve">he Social Health </w:t>
      </w:r>
      <w:r w:rsidR="00414128">
        <w:t xml:space="preserve">Authority </w:t>
      </w:r>
      <w:r w:rsidR="00414128" w:rsidRPr="009713BF">
        <w:t>reshape</w:t>
      </w:r>
      <w:r w:rsidRPr="009713BF">
        <w:t xml:space="preserve"> procurement systems and supply chain performance. This creates a conceptual gap in linking modern financing reforms to pharmaceutical availability within devolved health systems.</w:t>
      </w:r>
    </w:p>
    <w:p w14:paraId="678A8D45" w14:textId="18783C4F" w:rsidR="007C0C91" w:rsidRPr="009713BF" w:rsidRDefault="007C0C91" w:rsidP="007C0C91">
      <w:pPr>
        <w:spacing w:line="360" w:lineRule="auto"/>
        <w:jc w:val="both"/>
      </w:pPr>
      <w:r w:rsidRPr="009713BF">
        <w:t xml:space="preserve">Further empirical evidence points to a methodological and contextual gap in assessing the efficiency of health systems and their implications for drug availability under financing reforms. Mbau </w:t>
      </w:r>
      <w:r w:rsidRPr="00135058">
        <w:rPr>
          <w:i/>
        </w:rPr>
        <w:t>et al.</w:t>
      </w:r>
      <w:r w:rsidRPr="009713BF">
        <w:t xml:space="preserve"> (2022), through a systematic review of 131 studies, found that most research on health system efficiency is concentrated in high- and middle-income countries and primarily utilizes quantitative approaches, with limited application of mixed methods and minimal focus on LMIC contexts. The review also highlights that existing studies often assess efficiency at national or facility levels without adequately integrating supply chain performance indicators such as drug availability. Complementing this, Nyawira </w:t>
      </w:r>
      <w:r w:rsidRPr="00135058">
        <w:rPr>
          <w:i/>
        </w:rPr>
        <w:t>et al.</w:t>
      </w:r>
      <w:r w:rsidRPr="009713BF">
        <w:t xml:space="preserve"> (2022) found that inadequate funding, delayed salaries, and weak human resource management negatively affect health system efficiency in Kenyan counties, indirectly disrupting procurement and supply processes. In addition, evidence from </w:t>
      </w:r>
      <w:r w:rsidR="00FB4880" w:rsidRPr="009713BF">
        <w:fldChar w:fldCharType="begin"/>
      </w:r>
      <w:r w:rsidR="00FB4880" w:rsidRPr="009713BF">
        <w:instrText xml:space="preserve"> ADDIN ZOTERO_ITEM CSL_CITATION {"citationID":"dPEPmidn","properties":{"unsorted":false,"formattedCitation":"(Yenet et al., 2023, 2023)","plainCitation":"(Yenet et al., 2023, 2023)","noteIndex":0},"citationItems":[{"id":6459,"uris":["http://zotero.org/users/11139207/items/IG67C2C4"],"itemData":{"id":6459,"type":"article-journal","container-title":"ClinicoEconomics and Outcomes Research","DOI":"10.2147/CEOR.S413546","ISSN":"1178-6981","journalAbbreviation":"CEOR","language":"en","license":"https://creativecommons.org/licenses/by-nc/3.0/","page":"443-458","source":"DOI.org (Crossref)","title":"Challenges to the Availability and Affordability of Essential Medicines in African Countries: A Scoping Review","title-short":"Challenges to the Availability and Affordability of Essential Medicines in African Countries","volume":"Volume 15","author":[{"family":"Yenet","given":"Aderaw"},{"family":"Nibret","given":"Getinet"},{"family":"Tegegne","given":"Bantayehu Addis"}],"issued":{"date-parts":[["2023",6]]}}},{"id":6459,"uris":["http://zotero.org/users/11139207/items/IG67C2C4"],"itemData":{"id":6459,"type":"article-journal","container-title":"ClinicoEconomics and Outcomes Research","DOI":"10.2147/CEOR.S413546","ISSN":"1178-6981","journalAbbreviation":"CEOR","language":"en","license":"https://creativecommons.org/licenses/by-nc/3.0/","page":"443-458","source":"DOI.org (Crossref)","title":"Challenges to the Availability and Affordability of Essential Medicines in African Countries: A Scoping Review","title-short":"Challenges to the Availability and Affordability of Essential Medicines in African Countries","volume":"Volume 15","author":[{"family":"Yenet","given":"Aderaw"},{"family":"Nibret","given":"Getinet"},{"family":"Tegegne","given":"Bantayehu Addis"}],"issued":{"date-parts":[["2023",6]]}}}],"schema":"https://github.com/citation-style-language/schema/raw/master/csl-citation.json"} </w:instrText>
      </w:r>
      <w:r w:rsidR="00FB4880" w:rsidRPr="009713BF">
        <w:fldChar w:fldCharType="separate"/>
      </w:r>
      <w:r w:rsidR="004B46E4" w:rsidRPr="009713BF">
        <w:t xml:space="preserve">Yenet </w:t>
      </w:r>
      <w:r w:rsidR="004B46E4" w:rsidRPr="00135058">
        <w:rPr>
          <w:i/>
        </w:rPr>
        <w:t>et al.</w:t>
      </w:r>
      <w:r w:rsidR="004B46E4" w:rsidRPr="009713BF">
        <w:t xml:space="preserve"> (</w:t>
      </w:r>
      <w:r w:rsidR="00FB4880" w:rsidRPr="009713BF">
        <w:t>2023)</w:t>
      </w:r>
      <w:r w:rsidR="00FB4880" w:rsidRPr="009713BF">
        <w:fldChar w:fldCharType="end"/>
      </w:r>
      <w:r w:rsidRPr="009713BF">
        <w:t xml:space="preserve"> indicates that inefficient financing and governance systems in LMICs significantly limit access to essential medicines despite increased health spending. These findings suggest that while financing reforms may increase resource flows, their translation into improved pharmaceutical availability depends on systemic efficiency, </w:t>
      </w:r>
      <w:r w:rsidRPr="009713BF">
        <w:lastRenderedPageBreak/>
        <w:t xml:space="preserve">governance, and implementation capacity, which remain underexplored in the context of ongoing reforms such as </w:t>
      </w:r>
      <w:r w:rsidR="00A60D21" w:rsidRPr="009713BF">
        <w:t>the Social Health Authority</w:t>
      </w:r>
      <w:r w:rsidRPr="009713BF">
        <w:t>.</w:t>
      </w:r>
    </w:p>
    <w:p w14:paraId="495A8EB2" w14:textId="466CCCB0" w:rsidR="007C0C91" w:rsidRPr="009713BF" w:rsidRDefault="007C0C91" w:rsidP="007C0C91">
      <w:pPr>
        <w:spacing w:line="360" w:lineRule="auto"/>
        <w:jc w:val="both"/>
      </w:pPr>
      <w:r w:rsidRPr="009713BF">
        <w:t>In the Kenyan context, recent policy reports (Ministry of Health, 2024) indicate that SHA reforms aim to strengthen pooled procurement mechanisms and streamline provider reimbursement systems to reduce stock-outs in public hospitals. International evidence from the World Health Organization (2023) further supports that performance-based reimbursement under social health insurance can improve the availability of essential medicines. However, there is limited empirical evidence validating whether these anticipated improvements are being realized at the sub-county health facility level, particularly in regions such as Navakholo Sub-County, Kakamega County. Moreover, existing studies such as Ochieng’ (2021)</w:t>
      </w:r>
      <w:r w:rsidR="00135058">
        <w:t>,</w:t>
      </w:r>
      <w:r w:rsidRPr="009713BF">
        <w:t xml:space="preserve"> highlight persistent challenges including underfunding, bureaucratic inefficiencies, and shortages of essential drugs, yet do not explicitly examine the role of emerging financing reforms like </w:t>
      </w:r>
      <w:r w:rsidR="00A60D21" w:rsidRPr="009713BF">
        <w:t>the Social Health Authority</w:t>
      </w:r>
      <w:r w:rsidRPr="009713BF">
        <w:t xml:space="preserve"> in addressing these issues. This reveals a significant policy-practice gap in understanding whether financing reforms effectively translate into improved supply chain outcomes in decentralized health systems.</w:t>
      </w:r>
    </w:p>
    <w:p w14:paraId="322129D7" w14:textId="20A3862F" w:rsidR="007C0C91" w:rsidRPr="009713BF" w:rsidRDefault="007C0C91" w:rsidP="007C0C91">
      <w:pPr>
        <w:spacing w:line="360" w:lineRule="auto"/>
        <w:jc w:val="both"/>
      </w:pPr>
      <w:r w:rsidRPr="009713BF">
        <w:t>Therefore, although literature establishes a strong theoretical linkage between financing and pharmaceutical availability, it inadequately captures the real-time, facility-level effects of social health financing reforms on d</w:t>
      </w:r>
      <w:r w:rsidR="00135058">
        <w:t xml:space="preserve">rug and medical supply </w:t>
      </w:r>
      <w:r w:rsidR="00B3769D">
        <w:t>systems.</w:t>
      </w:r>
      <w:r w:rsidR="00B3769D" w:rsidRPr="009713BF">
        <w:t xml:space="preserve"> This</w:t>
      </w:r>
      <w:r w:rsidRPr="009713BF">
        <w:t xml:space="preserve"> underscores the need for context-specific empirical investigation to determine whether SHA reforms are mitigating stock-outs, improving procurement efficiency, and enhancing equitable distribution of medical supplies in public health facilities. Consequently, having identified the gap in financing and pharmaceutical supply systems, the next strand of literature examines how these financing reforms influence broader structural determinants of service delivery, particularly infrastructure, equipment availability, and overall quality of care, which are critical for achieving effective and responsive healthcare systems.</w:t>
      </w:r>
    </w:p>
    <w:p w14:paraId="3D4EFB84" w14:textId="7D5F40DC" w:rsidR="00A96756" w:rsidRPr="009713BF" w:rsidRDefault="00F84D65" w:rsidP="00A96756">
      <w:pPr>
        <w:pStyle w:val="NormalWeb"/>
        <w:spacing w:line="360" w:lineRule="auto"/>
        <w:rPr>
          <w:b/>
        </w:rPr>
      </w:pPr>
      <w:r w:rsidRPr="009713BF">
        <w:rPr>
          <w:b/>
        </w:rPr>
        <w:lastRenderedPageBreak/>
        <w:t xml:space="preserve">Accessibility, Utilization, and Equity in Service Delivery Health financing reforms influence service utilization and equity. </w:t>
      </w:r>
    </w:p>
    <w:p w14:paraId="1A13CBB3" w14:textId="2FE87493" w:rsidR="00A52A30" w:rsidRPr="009713BF" w:rsidRDefault="00A52A30" w:rsidP="00A52A30">
      <w:pPr>
        <w:spacing w:line="360" w:lineRule="auto"/>
        <w:jc w:val="both"/>
      </w:pPr>
      <w:r w:rsidRPr="009713BF">
        <w:t>A review of empirical literature reveals a policy–practice and micro-level gap in understanding how social health financing reforms influence accessibility, utilization, and equity in service delivery within decentralized health systems. Existing studies demonstrate that non-financial factors such as governance, participation, and socio-cultural dynamics play a significant role in shaping healthcare utilization. For instance, Okello (2025)</w:t>
      </w:r>
      <w:r w:rsidR="00135058">
        <w:t>,</w:t>
      </w:r>
      <w:r w:rsidRPr="009713BF">
        <w:t xml:space="preserve"> found that public participation mechanisms including public hearings, pu</w:t>
      </w:r>
      <w:r w:rsidR="009E348D">
        <w:t>blic-private partnerships</w:t>
      </w:r>
      <w:r w:rsidRPr="009713BF">
        <w:t>, and public awareness significantly improve the implementation of primary healthcare projects in Homa Bay County by enhancing transparency, community engagement, and service innovation. Similarly, Mohamed (2020)</w:t>
      </w:r>
      <w:r w:rsidR="00135058">
        <w:t>,</w:t>
      </w:r>
      <w:r w:rsidRPr="009713BF">
        <w:t xml:space="preserve"> established that utilization of hospital delivery services in Garissa County is influenced by factors such as prior experience, perceived quality of care, socio-cultural norms, and availability of medical supplies. While these studies provide important insights into determinants of service utilization, they largely underemphasize the role of structured health financing reforms, such as social health insurance, in shaping access and equity outcomes. This creates a conceptual gap in linking demand-side and socio-cultural factors with financing-driven reforms in healthcare systems.</w:t>
      </w:r>
    </w:p>
    <w:p w14:paraId="047A5637" w14:textId="0FD18BCF" w:rsidR="00A52A30" w:rsidRPr="009713BF" w:rsidRDefault="00A52A30" w:rsidP="00A52A30">
      <w:pPr>
        <w:spacing w:line="360" w:lineRule="auto"/>
        <w:jc w:val="both"/>
      </w:pPr>
      <w:r w:rsidRPr="009713BF">
        <w:t>Further empirical evidence highlights the role of social health financing in improving access and utilization, yet reveals limitations in contextual application. Barasa et al. (2021) found that UHC reforms in Kenya led to increased outpatient utilization, particularly among previously uninsured populations, while the World Bank (2022)</w:t>
      </w:r>
      <w:r w:rsidR="00135058">
        <w:t>,</w:t>
      </w:r>
      <w:r w:rsidRPr="009713BF">
        <w:t xml:space="preserve"> reports that social health insurance expansion reduces financial barriers and enhances health-seeking behavior among vulnerable groups. Additional global studies, such as </w:t>
      </w:r>
      <w:r w:rsidR="00B2259C" w:rsidRPr="009713BF">
        <w:fldChar w:fldCharType="begin"/>
      </w:r>
      <w:r w:rsidR="00B2259C" w:rsidRPr="009713BF">
        <w:instrText xml:space="preserve"> ADDIN ZOTERO_ITEM CSL_CITATION {"citationID":"qHta84kK","properties":{"unsorted":false,"formattedCitation":"(Wagstaff et al., 2019, 2019)","plainCitation":"(Wagstaff et al., 2019, 2019)","noteIndex":0},"citationItems":[{"id":6461,"uris":["http://zotero.org/users/11139207/items/RDEFNBRS"],"itemData":{"id":6461,"type":"article-journal","publisher":"World Bank Group Washington, DC","source":"Google Scholar","title":"Out-of-pocket expenditures on health: a global stocktake","title-short":"Out-of-pocket expenditures on health","URL":"https://documents1.worldbank.org/curated/en/957021560345728146/pdf/Out-of-Pocket-Expenditures-on-Health-A-Global-Stocktake.pdf","author":[{"family":"Wagstaff","given":"Adam"},{"family":"Eozenou","given":"Patrick"},{"family":"Smitz","given":"Marc"},{"family":"Wagstaff","given":"Adam"}],"accessed":{"date-parts":[["2026",5,5]]},"issued":{"date-parts":[["2019"]]}}},{"id":6461,"uris":["http://zotero.org/users/11139207/items/RDEFNBRS"],"itemData":{"id":6461,"type":"article-journal","publisher":"World Bank Group Washington, DC","source":"Google Scholar","title":"Out-of-pocket expenditures on health: a global stocktake","title-short":"Out-of-pocket expenditures on health","URL":"https://documents1.worldbank.org/curated/en/957021560345728146/pdf/Out-of-Pocket-Expenditures-on-Health-A-Global-Stocktake.pdf","author":[{"family":"Wagstaff","given":"Adam"},{"family":"Eozenou","given":"Patrick"},{"family":"Smitz","given":"Marc"},{"family":"Wagstaff","given":"Adam"}],"accessed":{"date-parts":[["2026",5,5]]},"issued":{"date-parts":[["2019"]]}}}],"schema":"https://github.com/citation-style-language/schema/raw/master/csl-citation.json"} </w:instrText>
      </w:r>
      <w:r w:rsidR="00B2259C" w:rsidRPr="009713BF">
        <w:fldChar w:fldCharType="separate"/>
      </w:r>
      <w:r w:rsidR="00B2259C" w:rsidRPr="009713BF">
        <w:t xml:space="preserve">Wagstaff </w:t>
      </w:r>
      <w:r w:rsidR="00B2259C" w:rsidRPr="00135058">
        <w:rPr>
          <w:i/>
        </w:rPr>
        <w:t>et al.</w:t>
      </w:r>
      <w:r w:rsidR="00B2259C" w:rsidRPr="009713BF">
        <w:t xml:space="preserve"> (2019)</w:t>
      </w:r>
      <w:r w:rsidR="00B2259C" w:rsidRPr="009713BF">
        <w:fldChar w:fldCharType="end"/>
      </w:r>
      <w:r w:rsidRPr="009713BF">
        <w:t xml:space="preserve">, confirm that health insurance schemes improve equity by increasing access to services and reducing out-of-pocket expenditures. However, these studies predominantly focus on aggregate utilization </w:t>
      </w:r>
      <w:r w:rsidRPr="009713BF">
        <w:lastRenderedPageBreak/>
        <w:t>outcomes and financial protection, with limited attention to service delivery experiences at the facility level, including waiting times, quality of care, and patient satisfaction. Moreover, they do not sufficiently examine how financing reforms interact with systemic and contextual factors such as infrastructure, staffing, and administrative efficiency to influence equitable access in devolved health systems.</w:t>
      </w:r>
    </w:p>
    <w:p w14:paraId="644A3AB2" w14:textId="04029CD6" w:rsidR="00A52A30" w:rsidRPr="009713BF" w:rsidRDefault="00A52A30" w:rsidP="00A52A30">
      <w:pPr>
        <w:spacing w:line="360" w:lineRule="auto"/>
        <w:jc w:val="both"/>
      </w:pPr>
      <w:r w:rsidRPr="009713BF">
        <w:t>In the Kenyan context, the introduction of t</w:t>
      </w:r>
      <w:r w:rsidR="009E348D">
        <w:t>he Social Health Authority</w:t>
      </w:r>
      <w:r w:rsidRPr="009713BF">
        <w:t xml:space="preserve"> is expected to enhance equity by expanding population coverage and reducing financial barriers to healthcare. Nevertheless, there remains limited empirical evidence on how </w:t>
      </w:r>
      <w:r w:rsidR="009E348D" w:rsidRPr="009713BF">
        <w:t>Soci</w:t>
      </w:r>
      <w:r w:rsidR="009E348D">
        <w:t>al Health Authority</w:t>
      </w:r>
      <w:r w:rsidRPr="009713BF">
        <w:t xml:space="preserve"> reforms translate into improved accessibility, utilization patterns, and equity outcomes at the sub-county level, particularly in regions such as Navakholo Sub-County, Kakamega County. Existing studies have largely focused on national-level outcomes or pre-reform financing mechanisms (e.g., NHIF), with minimal attention to the early implementation phase, operational challenges, and real-time service delivery experiences under </w:t>
      </w:r>
      <w:r w:rsidR="00A60D21" w:rsidRPr="009713BF">
        <w:t xml:space="preserve">the Social Health </w:t>
      </w:r>
      <w:r w:rsidR="00135058" w:rsidRPr="009713BF">
        <w:t>Authority</w:t>
      </w:r>
      <w:r w:rsidR="00135058">
        <w:t>.</w:t>
      </w:r>
      <w:r w:rsidR="00135058" w:rsidRPr="009713BF">
        <w:t xml:space="preserve"> This</w:t>
      </w:r>
      <w:r w:rsidRPr="009713BF">
        <w:t xml:space="preserve"> reveals a significant contextual and experiential gap in understanding whether increased financial coverage leads to improved patient experiences, reduced waiting times, and equitable access across different population groups.</w:t>
      </w:r>
    </w:p>
    <w:p w14:paraId="0EBA99C8" w14:textId="186502C0" w:rsidR="00A52A30" w:rsidRPr="009713BF" w:rsidRDefault="00A52A30" w:rsidP="00A52A30">
      <w:pPr>
        <w:spacing w:line="360" w:lineRule="auto"/>
        <w:jc w:val="both"/>
      </w:pPr>
      <w:r w:rsidRPr="009713BF">
        <w:t xml:space="preserve">Therefore, while the literature confirms that social health financing reforms can improve utilization and reduce financial barriers, it inadequately captures the lived realities of access and equity at the facility level within decentralized systems. This underscores the need for context-specific empirical research to assess how </w:t>
      </w:r>
      <w:r w:rsidR="009E348D" w:rsidRPr="009713BF">
        <w:t>Soci</w:t>
      </w:r>
      <w:r w:rsidR="009E348D">
        <w:t>al Health Authority</w:t>
      </w:r>
      <w:r w:rsidRPr="009713BF">
        <w:t xml:space="preserve"> influences not only utilization rates but also the quality, timeliness, and equity of service deliv</w:t>
      </w:r>
      <w:r w:rsidR="009E348D">
        <w:t xml:space="preserve">ery in local health </w:t>
      </w:r>
      <w:r w:rsidR="001E55E0">
        <w:t>facilities.</w:t>
      </w:r>
      <w:r w:rsidR="001E55E0" w:rsidRPr="009713BF">
        <w:t xml:space="preserve"> Consequently</w:t>
      </w:r>
      <w:r w:rsidRPr="009713BF">
        <w:t>, having established the gap in accessibility, utilization, and equity, the subsequent strand of literature examines how these financing reforms interact with quality of care dimensions to shape overall health system performance and patient satisfaction.</w:t>
      </w:r>
    </w:p>
    <w:p w14:paraId="27AA3C57" w14:textId="5155C182" w:rsidR="00911777" w:rsidRPr="009713BF" w:rsidRDefault="001F273D" w:rsidP="00911777">
      <w:pPr>
        <w:spacing w:line="360" w:lineRule="auto"/>
        <w:jc w:val="both"/>
        <w:rPr>
          <w:b/>
        </w:rPr>
      </w:pPr>
      <w:r w:rsidRPr="009713BF">
        <w:rPr>
          <w:b/>
        </w:rPr>
        <w:t>Empirical</w:t>
      </w:r>
      <w:r w:rsidR="00911777" w:rsidRPr="009713BF">
        <w:rPr>
          <w:b/>
        </w:rPr>
        <w:t xml:space="preserve"> Gaps</w:t>
      </w:r>
    </w:p>
    <w:p w14:paraId="6D015768" w14:textId="77777777" w:rsidR="00A121FC" w:rsidRDefault="0073780D" w:rsidP="00A21925">
      <w:pPr>
        <w:spacing w:line="360" w:lineRule="auto"/>
        <w:jc w:val="both"/>
      </w:pPr>
      <w:r w:rsidRPr="009713BF">
        <w:lastRenderedPageBreak/>
        <w:t>A critical review of empirical literature reveals a contextual and implementation gap regarding the effect of t</w:t>
      </w:r>
      <w:r w:rsidR="009E348D">
        <w:t>he Social Health Authority</w:t>
      </w:r>
      <w:r w:rsidRPr="009713BF">
        <w:t xml:space="preserve"> on health facility performance and public health service delivery at the sub-county level in Kenya. Existing gl</w:t>
      </w:r>
      <w:r w:rsidR="009E348D">
        <w:t xml:space="preserve">obal and national studies </w:t>
      </w:r>
      <w:r w:rsidRPr="009713BF">
        <w:t xml:space="preserve">Barasa </w:t>
      </w:r>
      <w:r w:rsidRPr="00135058">
        <w:rPr>
          <w:i/>
        </w:rPr>
        <w:t>et al</w:t>
      </w:r>
      <w:r w:rsidR="009E348D">
        <w:t>.</w:t>
      </w:r>
      <w:r w:rsidRPr="009713BF">
        <w:t xml:space="preserve"> </w:t>
      </w:r>
      <w:r w:rsidR="009E348D">
        <w:t>(</w:t>
      </w:r>
      <w:r w:rsidRPr="009713BF">
        <w:t>2021</w:t>
      </w:r>
      <w:r w:rsidR="009E348D">
        <w:t>) and WHO</w:t>
      </w:r>
      <w:r w:rsidRPr="009713BF">
        <w:t xml:space="preserve"> </w:t>
      </w:r>
      <w:r w:rsidR="009E348D">
        <w:t>(</w:t>
      </w:r>
      <w:r w:rsidRPr="009713BF">
        <w:t>2023)</w:t>
      </w:r>
      <w:r w:rsidR="009E348D">
        <w:t>,</w:t>
      </w:r>
      <w:r w:rsidRPr="009713BF">
        <w:t xml:space="preserve"> largely focus on broad outcomes of social health insurance reforms such as increased utilization and reduced catastrophic expenditure. While these studies provide valuable macro-level insights, they do not offer context-specific empirical evidence on how SHA reforms are functioning within decentralized health systems such as Navakholo Sub-County in Kakamega County. </w:t>
      </w:r>
    </w:p>
    <w:p w14:paraId="48D98F4D" w14:textId="67831D0D" w:rsidR="0073780D" w:rsidRPr="009713BF" w:rsidRDefault="0073780D" w:rsidP="00A21925">
      <w:pPr>
        <w:spacing w:line="360" w:lineRule="auto"/>
        <w:jc w:val="both"/>
      </w:pPr>
      <w:r w:rsidRPr="009713BF">
        <w:t>This limits understanding of how structural design and rollout challenges of SHA influence real service delivery co</w:t>
      </w:r>
      <w:r w:rsidR="00135058">
        <w:t xml:space="preserve">nditions at the facility </w:t>
      </w:r>
      <w:r w:rsidR="00B3769D">
        <w:t>level.</w:t>
      </w:r>
      <w:r w:rsidR="00B3769D" w:rsidRPr="009713BF">
        <w:t xml:space="preserve"> Therefore</w:t>
      </w:r>
      <w:r w:rsidRPr="009713BF">
        <w:t>, the current study addresses this gap by examining SHA implementation within a localized county context, thereby generating context-sensitive evidence. Building on this contextual limitation, a related gap emerges in the linkage between health financing reforms and human resource outcomes.</w:t>
      </w:r>
    </w:p>
    <w:p w14:paraId="5D5B5191" w14:textId="4B0B13FF" w:rsidR="0073780D" w:rsidRPr="009713BF" w:rsidRDefault="0073780D" w:rsidP="00A21925">
      <w:pPr>
        <w:spacing w:line="360" w:lineRule="auto"/>
        <w:jc w:val="both"/>
      </w:pPr>
      <w:r w:rsidRPr="009713BF">
        <w:t xml:space="preserve">Despite evidence that health financing influences workforce motivation and retention, there exists a conceptual and empirical gap in linking structured insurance reforms such as </w:t>
      </w:r>
      <w:r w:rsidR="00A121FC" w:rsidRPr="009713BF">
        <w:t>Soci</w:t>
      </w:r>
      <w:r w:rsidR="00A121FC">
        <w:t>al Health Authority</w:t>
      </w:r>
      <w:r w:rsidRPr="009713BF">
        <w:t xml:space="preserve"> to human resource performance in Kenyan health facilities. Similarly, Mathauer et al. (2021)</w:t>
      </w:r>
      <w:r w:rsidR="00135058">
        <w:t>,</w:t>
      </w:r>
      <w:r w:rsidRPr="009713BF">
        <w:t xml:space="preserve"> and Barasa et al. (2021)</w:t>
      </w:r>
      <w:r w:rsidR="00135058">
        <w:t>,</w:t>
      </w:r>
      <w:r w:rsidRPr="009713BF">
        <w:t xml:space="preserve"> highlight the importance of provider payment mechanisms but focus largely on NHIF and generalized systems without empirically assessing the transition to </w:t>
      </w:r>
      <w:r w:rsidR="00A60D21" w:rsidRPr="009713BF">
        <w:t xml:space="preserve">the Social Health Authority. </w:t>
      </w:r>
      <w:r w:rsidRPr="009713BF">
        <w:t xml:space="preserve">Consequently, there is insufficient evidence on whether </w:t>
      </w:r>
      <w:r w:rsidR="00CD12A1" w:rsidRPr="009713BF">
        <w:t>Soci</w:t>
      </w:r>
      <w:r w:rsidR="00CD12A1">
        <w:t>al Health Authority</w:t>
      </w:r>
      <w:r w:rsidRPr="009713BF">
        <w:t>’s pr</w:t>
      </w:r>
      <w:r w:rsidR="00135058">
        <w:t>ovider payment mechanisms such as capitation and drugs</w:t>
      </w:r>
      <w:r w:rsidRPr="009713BF">
        <w:t xml:space="preserve"> translate into improved staff motivation, retention, and productivity at the facility level. This study fills this gap by directly linking </w:t>
      </w:r>
      <w:r w:rsidR="00A60D21" w:rsidRPr="009713BF">
        <w:t>the Social Health Authority</w:t>
      </w:r>
      <w:r w:rsidRPr="009713BF">
        <w:t xml:space="preserve"> financing structures to human resource performance in Navakholo Sub-County hospitals</w:t>
      </w:r>
      <w:r w:rsidR="00135058">
        <w:t xml:space="preserve"> in Kakamega County</w:t>
      </w:r>
      <w:r w:rsidRPr="009713BF">
        <w:t>. In addition to human resources, another critical gap is evident in the area of pharmaceutical availability and supply chain efficiency under health financing reforms.</w:t>
      </w:r>
    </w:p>
    <w:p w14:paraId="1355044A" w14:textId="06B4C289" w:rsidR="0073780D" w:rsidRPr="009713BF" w:rsidRDefault="0073780D" w:rsidP="00A21925">
      <w:pPr>
        <w:spacing w:line="360" w:lineRule="auto"/>
        <w:jc w:val="both"/>
      </w:pPr>
      <w:r w:rsidRPr="009713BF">
        <w:lastRenderedPageBreak/>
        <w:t>A significant methodological and geographical gap exists in understanding how financing reforms influence the availability of drugs and medical supplies, particularly in low-resource county settings. Studies such as Mutua (2013) identify procurement inefficiencies and financial bottlenecks but are limited to pre-</w:t>
      </w:r>
      <w:r w:rsidR="00CD12A1" w:rsidRPr="00CD12A1">
        <w:t xml:space="preserve"> </w:t>
      </w:r>
      <w:r w:rsidR="00CD12A1" w:rsidRPr="009713BF">
        <w:t>Soci</w:t>
      </w:r>
      <w:r w:rsidR="00CD12A1">
        <w:t>al Health Authority</w:t>
      </w:r>
      <w:r w:rsidRPr="009713BF">
        <w:t xml:space="preserve"> contexts and single-facility analyses. Likewise, Mbau </w:t>
      </w:r>
      <w:r w:rsidRPr="00681722">
        <w:rPr>
          <w:i/>
        </w:rPr>
        <w:t>et al.</w:t>
      </w:r>
      <w:r w:rsidRPr="009713BF">
        <w:t xml:space="preserve"> (2022) highlight global inefficiencies in health systems but note the dominance of studies from high- and middle-income countries and the lack of mixed-methods approaches in LMICs. Although policy reports (WHO, 2023) suggest that pooled procurement under SHA may reduce stock-outs, there is no empirical validation at the county or sub-county level. Therefore, this study addresses this gap by assessing how </w:t>
      </w:r>
      <w:r w:rsidR="005144BA" w:rsidRPr="009713BF">
        <w:t>Soci</w:t>
      </w:r>
      <w:r w:rsidR="005144BA">
        <w:t>al Health Authority</w:t>
      </w:r>
      <w:r w:rsidRPr="009713BF">
        <w:t xml:space="preserve"> financing reforms affect the consistency of drug and medical supply availabilit</w:t>
      </w:r>
      <w:r w:rsidR="00681722">
        <w:t>y in Kakamega County hospitals.</w:t>
      </w:r>
      <w:r w:rsidR="00681722" w:rsidRPr="009713BF">
        <w:t xml:space="preserve"> Closely</w:t>
      </w:r>
      <w:r w:rsidRPr="009713BF">
        <w:t xml:space="preserve"> related to supply-side constraints is the gap in infrastructure and service quality under financing reforms.</w:t>
      </w:r>
    </w:p>
    <w:p w14:paraId="3F9251D7" w14:textId="775B5A82" w:rsidR="0073780D" w:rsidRPr="009713BF" w:rsidRDefault="0073780D" w:rsidP="00A21925">
      <w:pPr>
        <w:spacing w:line="360" w:lineRule="auto"/>
        <w:jc w:val="both"/>
      </w:pPr>
      <w:r w:rsidRPr="009713BF">
        <w:t xml:space="preserve">There is also a </w:t>
      </w:r>
      <w:r w:rsidR="00911777" w:rsidRPr="009713BF">
        <w:t>sectorial</w:t>
      </w:r>
      <w:r w:rsidRPr="009713BF">
        <w:t xml:space="preserve"> and comparative gap in the literature concerning infrastructure, equipment, and service quality in relati</w:t>
      </w:r>
      <w:r w:rsidR="00A60D21">
        <w:t>on to financing reforms like</w:t>
      </w:r>
      <w:r w:rsidR="00A60D21" w:rsidRPr="00A60D21">
        <w:t xml:space="preserve"> </w:t>
      </w:r>
      <w:r w:rsidR="00A60D21" w:rsidRPr="009713BF">
        <w:t>the Social Health Authority</w:t>
      </w:r>
      <w:r w:rsidR="00681722">
        <w:t>. Existing studies for example</w:t>
      </w:r>
      <w:r w:rsidRPr="009713BF">
        <w:t xml:space="preserve">, </w:t>
      </w:r>
      <w:r w:rsidR="00911777" w:rsidRPr="009713BF">
        <w:t>(</w:t>
      </w:r>
      <w:r w:rsidRPr="009713BF">
        <w:t>Akacho, 2014; Amondi, 2025) identify infrastructure deficiencies and disparities in service quality between public and private hospitals but do not explicitly link these outcomes to health financing reforms. Moreover, cross-country studies such as Mbiku (2023)</w:t>
      </w:r>
      <w:r w:rsidR="00B3769D">
        <w:t>,</w:t>
      </w:r>
      <w:r w:rsidRPr="009713BF">
        <w:t xml:space="preserve"> provide insights into service delivery determinants but lack specificity to Kenya’s evolving </w:t>
      </w:r>
      <w:r w:rsidR="00A60D21" w:rsidRPr="009713BF">
        <w:t>the Social Health Authority</w:t>
      </w:r>
      <w:r w:rsidRPr="009713BF">
        <w:t xml:space="preserve"> framework. As such, it remains unclear whether improved financial flows under SHA translate into tangible improvements in infrastructure, equipment availability, and overall quality of care in public facilities. This study bridges this gap by examining the direct influence of </w:t>
      </w:r>
      <w:r w:rsidR="00A60D21" w:rsidRPr="009713BF">
        <w:t>the Social Health Authority</w:t>
      </w:r>
      <w:r w:rsidRPr="009713BF">
        <w:t xml:space="preserve"> on these service delivery components in Navakholo Sub-County. Beyond quality and infrastructure, another important gap exists in accessibility an</w:t>
      </w:r>
      <w:r w:rsidR="00A60D21">
        <w:t>d utilization outcomes under</w:t>
      </w:r>
      <w:r w:rsidR="00A60D21" w:rsidRPr="00A60D21">
        <w:t xml:space="preserve"> </w:t>
      </w:r>
      <w:r w:rsidR="00A60D21" w:rsidRPr="009713BF">
        <w:t>the Social Health Authority</w:t>
      </w:r>
      <w:r w:rsidRPr="009713BF">
        <w:t xml:space="preserve"> reforms.</w:t>
      </w:r>
    </w:p>
    <w:p w14:paraId="6B5A7F77" w14:textId="20950602" w:rsidR="0073780D" w:rsidRPr="009713BF" w:rsidRDefault="0073780D" w:rsidP="00A21925">
      <w:pPr>
        <w:spacing w:line="360" w:lineRule="auto"/>
        <w:jc w:val="both"/>
      </w:pPr>
      <w:r w:rsidRPr="009713BF">
        <w:t xml:space="preserve">Finally, the literature reveals a policy-practice gap in understanding how </w:t>
      </w:r>
      <w:r w:rsidR="00A60D21" w:rsidRPr="009713BF">
        <w:t>the Social Health Authority</w:t>
      </w:r>
      <w:r w:rsidRPr="009713BF">
        <w:t xml:space="preserve"> influences accessibility, utilization, and equity in healthcare </w:t>
      </w:r>
      <w:r w:rsidRPr="009713BF">
        <w:lastRenderedPageBreak/>
        <w:t>delivery at the grassroots level. While studies such as Okello (2025)</w:t>
      </w:r>
      <w:r w:rsidR="00681722">
        <w:t>,</w:t>
      </w:r>
      <w:r w:rsidRPr="009713BF">
        <w:t xml:space="preserve"> and Mohamed (2020)</w:t>
      </w:r>
      <w:r w:rsidR="00681722">
        <w:t>,</w:t>
      </w:r>
      <w:r w:rsidRPr="009713BF">
        <w:t xml:space="preserve"> identify determinants of healthcare utilization</w:t>
      </w:r>
      <w:r w:rsidR="00911777" w:rsidRPr="009713BF">
        <w:t xml:space="preserve"> </w:t>
      </w:r>
      <w:r w:rsidRPr="009713BF">
        <w:t>including public participation and socio-cultural factors</w:t>
      </w:r>
      <w:r w:rsidR="00911777" w:rsidRPr="009713BF">
        <w:t xml:space="preserve"> </w:t>
      </w:r>
      <w:r w:rsidRPr="009713BF">
        <w:t xml:space="preserve">they do not incorporate the role of structured financing reforms like </w:t>
      </w:r>
      <w:r w:rsidR="00A60D21" w:rsidRPr="009713BF">
        <w:t>the Social Health Authority</w:t>
      </w:r>
      <w:r w:rsidRPr="009713BF">
        <w:t xml:space="preserve">. Additionally, national and global reports (World Bank, 2022; Barasa </w:t>
      </w:r>
      <w:r w:rsidRPr="00681722">
        <w:rPr>
          <w:i/>
        </w:rPr>
        <w:t>et al</w:t>
      </w:r>
      <w:r w:rsidRPr="009713BF">
        <w:t xml:space="preserve">., 2021) emphasize increased utilization under UHC but fail to capture micro-level service delivery experiences, such as waiting times, patient satisfaction, and equity across population groups within specific counties. Therefore, there is limited empirical evidence on whether SHA effectively improves equitable access and utilization in marginalized sub-counties like Navakholo. This study addresses this gap by evaluating how </w:t>
      </w:r>
      <w:r w:rsidR="005144BA" w:rsidRPr="009713BF">
        <w:t>Soci</w:t>
      </w:r>
      <w:r w:rsidR="005144BA">
        <w:t xml:space="preserve">al Health </w:t>
      </w:r>
      <w:r w:rsidR="001E55E0">
        <w:t xml:space="preserve">Authority </w:t>
      </w:r>
      <w:r w:rsidR="001E55E0" w:rsidRPr="009713BF">
        <w:t>affects</w:t>
      </w:r>
      <w:r w:rsidRPr="009713BF">
        <w:t xml:space="preserve"> service accessibility, utilization patterns, and patient experiences at the facility level.</w:t>
      </w:r>
    </w:p>
    <w:p w14:paraId="09D8FAAF" w14:textId="77777777" w:rsidR="0073780D" w:rsidRPr="009713BF" w:rsidRDefault="0073780D" w:rsidP="00A21925">
      <w:pPr>
        <w:spacing w:line="360" w:lineRule="auto"/>
        <w:jc w:val="both"/>
      </w:pPr>
      <w:r w:rsidRPr="009713BF">
        <w:t>Overall, these interconnected gaps</w:t>
      </w:r>
      <w:r w:rsidR="00911777" w:rsidRPr="009713BF">
        <w:t xml:space="preserve"> </w:t>
      </w:r>
      <w:r w:rsidRPr="009713BF">
        <w:t xml:space="preserve">contextual, conceptual, methodological, </w:t>
      </w:r>
      <w:r w:rsidR="00911777" w:rsidRPr="009713BF">
        <w:t>sectorial</w:t>
      </w:r>
      <w:r w:rsidRPr="009713BF">
        <w:t>, and policy-practice</w:t>
      </w:r>
      <w:r w:rsidR="00911777" w:rsidRPr="009713BF">
        <w:t xml:space="preserve"> </w:t>
      </w:r>
      <w:r w:rsidRPr="009713BF">
        <w:t>underscore the necessity of this study in providing comprehensive, localized, and empirically grounded evidence on the effect of the Social Health Authority on health facilities and public health service delivery in Navakholo Sub-County, Kakamega County, Kenya.</w:t>
      </w:r>
    </w:p>
    <w:p w14:paraId="6415C830" w14:textId="77777777" w:rsidR="00B80B48" w:rsidRPr="009713BF" w:rsidRDefault="00556A18">
      <w:pPr>
        <w:pStyle w:val="Heading2"/>
        <w:spacing w:before="0"/>
      </w:pPr>
      <w:r w:rsidRPr="009713BF">
        <w:t>Conceptual Framework</w:t>
      </w:r>
    </w:p>
    <w:p w14:paraId="32ADD79E" w14:textId="77777777" w:rsidR="00B80B48" w:rsidRDefault="00556A18">
      <w:pPr>
        <w:spacing w:line="360" w:lineRule="auto"/>
        <w:jc w:val="both"/>
      </w:pPr>
      <w:r w:rsidRPr="009713BF">
        <w:t>The current study was guided by the following conceptual framework, which explains the interrelationship between the variables. A conceptual framework is a scheme of variables a researcher operationalizes in order to achieve the set objectives (Oso &amp; Onen 2005).</w:t>
      </w:r>
    </w:p>
    <w:p w14:paraId="5D8D36FE" w14:textId="77777777" w:rsidR="0098792C" w:rsidRPr="009713BF" w:rsidRDefault="0098792C">
      <w:pPr>
        <w:spacing w:line="360" w:lineRule="auto"/>
        <w:jc w:val="both"/>
      </w:pPr>
    </w:p>
    <w:p w14:paraId="3F7EABD3" w14:textId="63D7FD3B" w:rsidR="00B80B48" w:rsidRPr="009713BF" w:rsidRDefault="00556A18">
      <w:pPr>
        <w:rPr>
          <w:b/>
        </w:rPr>
      </w:pPr>
      <w:r w:rsidRPr="009713BF">
        <w:rPr>
          <w:b/>
          <w:noProof/>
        </w:rPr>
        <mc:AlternateContent>
          <mc:Choice Requires="wps">
            <w:drawing>
              <wp:anchor distT="0" distB="0" distL="114300" distR="114300" simplePos="0" relativeHeight="251661312" behindDoc="0" locked="0" layoutInCell="1" allowOverlap="1" wp14:anchorId="0B9EF57B" wp14:editId="64BE1E9F">
                <wp:simplePos x="0" y="0"/>
                <wp:positionH relativeFrom="margin">
                  <wp:posOffset>-1057275</wp:posOffset>
                </wp:positionH>
                <wp:positionV relativeFrom="paragraph">
                  <wp:posOffset>302895</wp:posOffset>
                </wp:positionV>
                <wp:extent cx="2800350" cy="2066925"/>
                <wp:effectExtent l="0" t="0" r="19050"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066925"/>
                        </a:xfrm>
                        <a:prstGeom prst="roundRect">
                          <a:avLst>
                            <a:gd name="adj" fmla="val 16667"/>
                          </a:avLst>
                        </a:prstGeom>
                        <a:solidFill>
                          <a:srgbClr val="FFFFFF"/>
                        </a:solidFill>
                        <a:ln w="9525">
                          <a:solidFill>
                            <a:srgbClr val="000000"/>
                          </a:solidFill>
                          <a:round/>
                        </a:ln>
                      </wps:spPr>
                      <wps:txbx>
                        <w:txbxContent>
                          <w:p w14:paraId="3A69C1E8" w14:textId="77777777" w:rsidR="00DF41AA" w:rsidRDefault="00DF41AA">
                            <w:pPr>
                              <w:rPr>
                                <w:b/>
                              </w:rPr>
                            </w:pPr>
                            <w:r>
                              <w:rPr>
                                <w:b/>
                              </w:rPr>
                              <w:t xml:space="preserve">     Social Health Authority</w:t>
                            </w:r>
                          </w:p>
                          <w:p w14:paraId="0640B641" w14:textId="77777777" w:rsidR="00DF41AA" w:rsidRPr="00585513" w:rsidRDefault="00DF41AA" w:rsidP="00585513">
                            <w:pPr>
                              <w:numPr>
                                <w:ilvl w:val="0"/>
                                <w:numId w:val="3"/>
                              </w:numPr>
                              <w:spacing w:before="100" w:beforeAutospacing="1" w:after="0"/>
                              <w:rPr>
                                <w:sz w:val="20"/>
                                <w:szCs w:val="20"/>
                              </w:rPr>
                            </w:pPr>
                            <w:r w:rsidRPr="00585513">
                              <w:rPr>
                                <w:sz w:val="20"/>
                                <w:szCs w:val="20"/>
                              </w:rPr>
                              <w:t>Health financing allocation to facilities</w:t>
                            </w:r>
                          </w:p>
                          <w:p w14:paraId="7B9C8E56" w14:textId="77777777" w:rsidR="00DF41AA" w:rsidRPr="00585513" w:rsidRDefault="00DF41AA" w:rsidP="00585513">
                            <w:pPr>
                              <w:numPr>
                                <w:ilvl w:val="0"/>
                                <w:numId w:val="3"/>
                              </w:numPr>
                              <w:spacing w:before="100" w:beforeAutospacing="1" w:after="0"/>
                              <w:rPr>
                                <w:sz w:val="20"/>
                                <w:szCs w:val="20"/>
                              </w:rPr>
                            </w:pPr>
                            <w:r w:rsidRPr="00585513">
                              <w:rPr>
                                <w:sz w:val="20"/>
                                <w:szCs w:val="20"/>
                              </w:rPr>
                              <w:t>Timeliness of reimbursements</w:t>
                            </w:r>
                          </w:p>
                          <w:p w14:paraId="400D7852" w14:textId="77777777" w:rsidR="00DF41AA" w:rsidRPr="00585513" w:rsidRDefault="00DF41AA" w:rsidP="00585513">
                            <w:pPr>
                              <w:numPr>
                                <w:ilvl w:val="0"/>
                                <w:numId w:val="3"/>
                              </w:numPr>
                              <w:spacing w:before="100" w:beforeAutospacing="1" w:after="0"/>
                              <w:rPr>
                                <w:sz w:val="20"/>
                                <w:szCs w:val="20"/>
                              </w:rPr>
                            </w:pPr>
                            <w:r w:rsidRPr="00585513">
                              <w:rPr>
                                <w:sz w:val="20"/>
                                <w:szCs w:val="20"/>
                              </w:rPr>
                              <w:t>Provider payment mechanisms (capitation, DRGs)</w:t>
                            </w:r>
                          </w:p>
                          <w:p w14:paraId="5FCDBE06" w14:textId="77777777" w:rsidR="00DF41AA" w:rsidRPr="00585513" w:rsidRDefault="00DF41AA" w:rsidP="00585513">
                            <w:pPr>
                              <w:numPr>
                                <w:ilvl w:val="0"/>
                                <w:numId w:val="3"/>
                              </w:numPr>
                              <w:spacing w:before="100" w:beforeAutospacing="1" w:after="0"/>
                              <w:rPr>
                                <w:sz w:val="20"/>
                                <w:szCs w:val="20"/>
                              </w:rPr>
                            </w:pPr>
                            <w:r w:rsidRPr="00585513">
                              <w:rPr>
                                <w:sz w:val="20"/>
                                <w:szCs w:val="20"/>
                              </w:rPr>
                              <w:t>Risk pooling and financial protection</w:t>
                            </w:r>
                          </w:p>
                          <w:p w14:paraId="72FFDD05" w14:textId="77777777" w:rsidR="00DF41AA" w:rsidRPr="00585513" w:rsidRDefault="00DF41AA" w:rsidP="00585513">
                            <w:pPr>
                              <w:numPr>
                                <w:ilvl w:val="0"/>
                                <w:numId w:val="3"/>
                              </w:numPr>
                              <w:spacing w:before="100" w:beforeAutospacing="1" w:after="0"/>
                              <w:rPr>
                                <w:sz w:val="20"/>
                                <w:szCs w:val="20"/>
                              </w:rPr>
                            </w:pPr>
                            <w:r w:rsidRPr="00585513">
                              <w:rPr>
                                <w:sz w:val="20"/>
                                <w:szCs w:val="20"/>
                              </w:rPr>
                              <w:t>Strategic purchasing of health services</w:t>
                            </w:r>
                          </w:p>
                          <w:p w14:paraId="5CCEF7C9" w14:textId="77777777" w:rsidR="00DF41AA" w:rsidRDefault="00DF41AA">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9EF57B" id="Rounded Rectangle 5" o:spid="_x0000_s1026" style="position:absolute;margin-left:-83.25pt;margin-top:23.85pt;width:220.5pt;height:16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">
                <v:textbox>
                  <w:txbxContent>
                    <w:p w14:paraId="3A69C1E8" w14:textId="77777777" w:rsidR="00DF41AA" w:rsidRDefault="00DF41AA">
                      <w:pPr>
                        <w:rPr>
                          <w:b/>
                        </w:rPr>
                      </w:pPr>
                      <w:r>
                        <w:rPr>
                          <w:b/>
                        </w:rPr>
                        <w:t xml:space="preserve">     Social Health Authority</w:t>
                      </w:r>
                    </w:p>
                    <w:p w14:paraId="0640B641" w14:textId="77777777" w:rsidR="00DF41AA" w:rsidRPr="00585513" w:rsidRDefault="00DF41AA" w:rsidP="00585513">
                      <w:pPr>
                        <w:numPr>
                          <w:ilvl w:val="0"/>
                          <w:numId w:val="3"/>
                        </w:numPr>
                        <w:spacing w:before="100" w:beforeAutospacing="1" w:after="0"/>
                        <w:rPr>
                          <w:sz w:val="20"/>
                          <w:szCs w:val="20"/>
                        </w:rPr>
                      </w:pPr>
                      <w:r w:rsidRPr="00585513">
                        <w:rPr>
                          <w:sz w:val="20"/>
                          <w:szCs w:val="20"/>
                        </w:rPr>
                        <w:t>Health financing allocation to facilities</w:t>
                      </w:r>
                    </w:p>
                    <w:p w14:paraId="7B9C8E56" w14:textId="77777777" w:rsidR="00DF41AA" w:rsidRPr="00585513" w:rsidRDefault="00DF41AA" w:rsidP="00585513">
                      <w:pPr>
                        <w:numPr>
                          <w:ilvl w:val="0"/>
                          <w:numId w:val="3"/>
                        </w:numPr>
                        <w:spacing w:before="100" w:beforeAutospacing="1" w:after="0"/>
                        <w:rPr>
                          <w:sz w:val="20"/>
                          <w:szCs w:val="20"/>
                        </w:rPr>
                      </w:pPr>
                      <w:r w:rsidRPr="00585513">
                        <w:rPr>
                          <w:sz w:val="20"/>
                          <w:szCs w:val="20"/>
                        </w:rPr>
                        <w:t>Timeliness of reimbursements</w:t>
                      </w:r>
                    </w:p>
                    <w:p w14:paraId="400D7852" w14:textId="77777777" w:rsidR="00DF41AA" w:rsidRPr="00585513" w:rsidRDefault="00DF41AA" w:rsidP="00585513">
                      <w:pPr>
                        <w:numPr>
                          <w:ilvl w:val="0"/>
                          <w:numId w:val="3"/>
                        </w:numPr>
                        <w:spacing w:before="100" w:beforeAutospacing="1" w:after="0"/>
                        <w:rPr>
                          <w:sz w:val="20"/>
                          <w:szCs w:val="20"/>
                        </w:rPr>
                      </w:pPr>
                      <w:r w:rsidRPr="00585513">
                        <w:rPr>
                          <w:sz w:val="20"/>
                          <w:szCs w:val="20"/>
                        </w:rPr>
                        <w:t>Provider payment mechanisms (capitation, DRGs)</w:t>
                      </w:r>
                    </w:p>
                    <w:p w14:paraId="5FCDBE06" w14:textId="77777777" w:rsidR="00DF41AA" w:rsidRPr="00585513" w:rsidRDefault="00DF41AA" w:rsidP="00585513">
                      <w:pPr>
                        <w:numPr>
                          <w:ilvl w:val="0"/>
                          <w:numId w:val="3"/>
                        </w:numPr>
                        <w:spacing w:before="100" w:beforeAutospacing="1" w:after="0"/>
                        <w:rPr>
                          <w:sz w:val="20"/>
                          <w:szCs w:val="20"/>
                        </w:rPr>
                      </w:pPr>
                      <w:r w:rsidRPr="00585513">
                        <w:rPr>
                          <w:sz w:val="20"/>
                          <w:szCs w:val="20"/>
                        </w:rPr>
                        <w:t>Risk pooling and financial protection</w:t>
                      </w:r>
                    </w:p>
                    <w:p w14:paraId="72FFDD05" w14:textId="77777777" w:rsidR="00DF41AA" w:rsidRPr="00585513" w:rsidRDefault="00DF41AA" w:rsidP="00585513">
                      <w:pPr>
                        <w:numPr>
                          <w:ilvl w:val="0"/>
                          <w:numId w:val="3"/>
                        </w:numPr>
                        <w:spacing w:before="100" w:beforeAutospacing="1" w:after="0"/>
                        <w:rPr>
                          <w:sz w:val="20"/>
                          <w:szCs w:val="20"/>
                        </w:rPr>
                      </w:pPr>
                      <w:r w:rsidRPr="00585513">
                        <w:rPr>
                          <w:sz w:val="20"/>
                          <w:szCs w:val="20"/>
                        </w:rPr>
                        <w:t>Strategic purchasing of health services</w:t>
                      </w:r>
                    </w:p>
                    <w:p w14:paraId="5CCEF7C9" w14:textId="77777777" w:rsidR="00DF41AA" w:rsidRDefault="00DF41AA">
                      <w:pPr>
                        <w:rPr>
                          <w:b/>
                        </w:rPr>
                      </w:pPr>
                    </w:p>
                  </w:txbxContent>
                </v:textbox>
                <w10:wrap anchorx="margin"/>
              </v:roundrect>
            </w:pict>
          </mc:Fallback>
        </mc:AlternateContent>
      </w:r>
      <w:r w:rsidRPr="009713BF">
        <w:rPr>
          <w:b/>
        </w:rPr>
        <w:t xml:space="preserve">                    Independent variable</w:t>
      </w:r>
      <w:r w:rsidR="00E27B10">
        <w:rPr>
          <w:b/>
        </w:rPr>
        <w:t xml:space="preserve">             Dependent Variable</w:t>
      </w:r>
    </w:p>
    <w:p w14:paraId="79929816" w14:textId="24A15375" w:rsidR="00B80B48" w:rsidRPr="009713BF" w:rsidRDefault="00A02317">
      <w:pPr>
        <w:rPr>
          <w:b/>
        </w:rPr>
      </w:pPr>
      <w:r w:rsidRPr="009713BF">
        <w:rPr>
          <w:b/>
          <w:noProof/>
        </w:rPr>
        <mc:AlternateContent>
          <mc:Choice Requires="wps">
            <w:drawing>
              <wp:anchor distT="0" distB="0" distL="114300" distR="114300" simplePos="0" relativeHeight="251662336" behindDoc="0" locked="0" layoutInCell="1" allowOverlap="1" wp14:anchorId="5C231649" wp14:editId="033D1855">
                <wp:simplePos x="0" y="0"/>
                <wp:positionH relativeFrom="margin">
                  <wp:posOffset>2476500</wp:posOffset>
                </wp:positionH>
                <wp:positionV relativeFrom="paragraph">
                  <wp:posOffset>3810</wp:posOffset>
                </wp:positionV>
                <wp:extent cx="3190875" cy="2771775"/>
                <wp:effectExtent l="0" t="0" r="28575" b="2857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2771775"/>
                        </a:xfrm>
                        <a:prstGeom prst="roundRect">
                          <a:avLst>
                            <a:gd name="adj" fmla="val 16667"/>
                          </a:avLst>
                        </a:prstGeom>
                        <a:solidFill>
                          <a:srgbClr val="FFFFFF"/>
                        </a:solidFill>
                        <a:ln w="9525">
                          <a:solidFill>
                            <a:srgbClr val="000000"/>
                          </a:solidFill>
                          <a:round/>
                        </a:ln>
                      </wps:spPr>
                      <wps:txbx>
                        <w:txbxContent>
                          <w:p w14:paraId="4E860FD1" w14:textId="77777777" w:rsidR="00DF41AA" w:rsidRDefault="00DF41AA" w:rsidP="00A02317">
                            <w:pPr>
                              <w:spacing w:before="100" w:beforeAutospacing="1" w:after="100" w:afterAutospacing="1"/>
                              <w:ind w:right="1012"/>
                              <w:outlineLvl w:val="2"/>
                              <w:rPr>
                                <w:b/>
                                <w:bCs/>
                              </w:rPr>
                            </w:pPr>
                            <w:r>
                              <w:rPr>
                                <w:b/>
                                <w:bCs/>
                              </w:rPr>
                              <w:t>Health Facilities and Public Health Service Delivery</w:t>
                            </w:r>
                          </w:p>
                          <w:p w14:paraId="0819ABF5"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Availability of drugs and medical supplies</w:t>
                            </w:r>
                          </w:p>
                          <w:p w14:paraId="5BE6801D"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Availability of medical equipment and infrastructure</w:t>
                            </w:r>
                          </w:p>
                          <w:p w14:paraId="34CDB586"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Staffing levels and workforce motivation</w:t>
                            </w:r>
                          </w:p>
                          <w:p w14:paraId="52B9991D"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Accessibility and affordability of services</w:t>
                            </w:r>
                          </w:p>
                          <w:p w14:paraId="3533D9A8"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Waiting time</w:t>
                            </w:r>
                          </w:p>
                          <w:p w14:paraId="2131DFFE"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Quality of care</w:t>
                            </w:r>
                          </w:p>
                          <w:p w14:paraId="116AE493"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Patient satisfaction</w:t>
                            </w:r>
                          </w:p>
                          <w:p w14:paraId="4CCF91F3"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Service utilization rates</w:t>
                            </w:r>
                          </w:p>
                          <w:p w14:paraId="521EFA1B" w14:textId="77777777" w:rsidR="00DF41AA" w:rsidRDefault="00DF41AA" w:rsidP="00A02317">
                            <w:pPr>
                              <w:ind w:right="1012"/>
                              <w:rPr>
                                <w:b/>
                              </w:rPr>
                            </w:pPr>
                          </w:p>
                          <w:p w14:paraId="096DCE0E" w14:textId="77777777" w:rsidR="00DF41AA" w:rsidRDefault="00DF41AA" w:rsidP="00A02317">
                            <w:pPr>
                              <w:spacing w:after="0"/>
                              <w:ind w:right="1012"/>
                              <w:jc w:val="both"/>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231649" id="Rounded Rectangle 10" o:spid="_x0000_s1027" style="position:absolute;margin-left:195pt;margin-top:.3pt;width:251.25pt;height:21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">
                <v:textbox>
                  <w:txbxContent>
                    <w:p w14:paraId="4E860FD1" w14:textId="77777777" w:rsidR="00DF41AA" w:rsidRDefault="00DF41AA" w:rsidP="00A02317">
                      <w:pPr>
                        <w:spacing w:before="100" w:beforeAutospacing="1" w:after="100" w:afterAutospacing="1"/>
                        <w:ind w:right="1012"/>
                        <w:outlineLvl w:val="2"/>
                        <w:rPr>
                          <w:b/>
                          <w:bCs/>
                        </w:rPr>
                      </w:pPr>
                      <w:r>
                        <w:rPr>
                          <w:b/>
                          <w:bCs/>
                        </w:rPr>
                        <w:t>Health Facilities and Public Health Service Delivery</w:t>
                      </w:r>
                    </w:p>
                    <w:p w14:paraId="0819ABF5"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Availability of drugs and medical supplies</w:t>
                      </w:r>
                    </w:p>
                    <w:p w14:paraId="5BE6801D"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Availability of medical equipment and infrastructure</w:t>
                      </w:r>
                    </w:p>
                    <w:p w14:paraId="34CDB586"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Staffing levels and workforce motivation</w:t>
                      </w:r>
                    </w:p>
                    <w:p w14:paraId="52B9991D"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Accessibility and affordability of services</w:t>
                      </w:r>
                    </w:p>
                    <w:p w14:paraId="3533D9A8"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Waiting time</w:t>
                      </w:r>
                    </w:p>
                    <w:p w14:paraId="2131DFFE"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Quality of care</w:t>
                      </w:r>
                    </w:p>
                    <w:p w14:paraId="116AE493"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Patient satisfaction</w:t>
                      </w:r>
                    </w:p>
                    <w:p w14:paraId="4CCF91F3" w14:textId="77777777" w:rsidR="00DF41AA" w:rsidRPr="00585513" w:rsidRDefault="00DF41AA" w:rsidP="00585513">
                      <w:pPr>
                        <w:numPr>
                          <w:ilvl w:val="0"/>
                          <w:numId w:val="4"/>
                        </w:numPr>
                        <w:spacing w:before="100" w:beforeAutospacing="1" w:after="0"/>
                        <w:ind w:right="1012"/>
                        <w:rPr>
                          <w:sz w:val="20"/>
                          <w:szCs w:val="20"/>
                        </w:rPr>
                      </w:pPr>
                      <w:r w:rsidRPr="00585513">
                        <w:rPr>
                          <w:sz w:val="20"/>
                          <w:szCs w:val="20"/>
                        </w:rPr>
                        <w:t>Service utilization rates</w:t>
                      </w:r>
                    </w:p>
                    <w:p w14:paraId="521EFA1B" w14:textId="77777777" w:rsidR="00DF41AA" w:rsidRDefault="00DF41AA" w:rsidP="00A02317">
                      <w:pPr>
                        <w:ind w:right="1012"/>
                        <w:rPr>
                          <w:b/>
                        </w:rPr>
                      </w:pPr>
                    </w:p>
                    <w:p w14:paraId="096DCE0E" w14:textId="77777777" w:rsidR="00DF41AA" w:rsidRDefault="00DF41AA" w:rsidP="00A02317">
                      <w:pPr>
                        <w:spacing w:after="0"/>
                        <w:ind w:right="1012"/>
                        <w:jc w:val="both"/>
                        <w:rPr>
                          <w:sz w:val="20"/>
                          <w:szCs w:val="20"/>
                        </w:rPr>
                      </w:pPr>
                    </w:p>
                  </w:txbxContent>
                </v:textbox>
                <w10:wrap anchorx="margin"/>
              </v:roundrect>
            </w:pict>
          </mc:Fallback>
        </mc:AlternateContent>
      </w:r>
      <w:r w:rsidR="00556A18" w:rsidRPr="009713BF">
        <w:rPr>
          <w:b/>
        </w:rPr>
        <w:t xml:space="preserve">                                                                                        Dependent variable</w:t>
      </w:r>
    </w:p>
    <w:p w14:paraId="07E18D6A" w14:textId="62565254" w:rsidR="00B80B48" w:rsidRPr="009713BF" w:rsidRDefault="00B80B48">
      <w:pPr>
        <w:rPr>
          <w:b/>
        </w:rPr>
      </w:pPr>
    </w:p>
    <w:p w14:paraId="72FAD413" w14:textId="77777777" w:rsidR="00B80B48" w:rsidRPr="009713BF" w:rsidRDefault="00B80B48">
      <w:pPr>
        <w:rPr>
          <w:b/>
        </w:rPr>
      </w:pPr>
    </w:p>
    <w:p w14:paraId="1BA6E26D" w14:textId="760D903A" w:rsidR="00B80B48" w:rsidRPr="009713BF" w:rsidRDefault="00B80B48">
      <w:pPr>
        <w:rPr>
          <w:b/>
        </w:rPr>
      </w:pPr>
    </w:p>
    <w:p w14:paraId="6C493D72" w14:textId="060C7207" w:rsidR="00B80B48" w:rsidRPr="009713BF" w:rsidRDefault="000224A6">
      <w:pPr>
        <w:rPr>
          <w:b/>
        </w:rPr>
      </w:pPr>
      <w:r>
        <w:rPr>
          <w:b/>
          <w:noProof/>
        </w:rPr>
        <mc:AlternateContent>
          <mc:Choice Requires="wps">
            <w:drawing>
              <wp:anchor distT="0" distB="0" distL="114300" distR="114300" simplePos="0" relativeHeight="251663360" behindDoc="0" locked="0" layoutInCell="1" allowOverlap="1" wp14:anchorId="267F1FAE" wp14:editId="607C66CD">
                <wp:simplePos x="0" y="0"/>
                <wp:positionH relativeFrom="column">
                  <wp:posOffset>1743075</wp:posOffset>
                </wp:positionH>
                <wp:positionV relativeFrom="paragraph">
                  <wp:posOffset>59690</wp:posOffset>
                </wp:positionV>
                <wp:extent cx="771525"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771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388F2E7" id="_x0000_t32" coordsize="21600,21600" o:spt="32" o:oned="t" path="m,l21600,21600e" filled="f">
                <v:path arrowok="t" fillok="f" o:connecttype="none"/>
                <o:lock v:ext="edit" shapetype="t"/>
              </v:shapetype>
              <v:shape id="Straight Arrow Connector 1" o:spid="_x0000_s1026" type="#_x0000_t32" style="position:absolute;margin-left:137.25pt;margin-top:4.7pt;width:60.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" strokecolor="#5b9bd5 [3204]" strokeweight=".5pt">
                <v:stroke endarrow="block" joinstyle="miter"/>
              </v:shape>
            </w:pict>
          </mc:Fallback>
        </mc:AlternateContent>
      </w:r>
    </w:p>
    <w:p w14:paraId="50C7340D" w14:textId="77777777" w:rsidR="00B80B48" w:rsidRPr="009713BF" w:rsidRDefault="00B80B48">
      <w:pPr>
        <w:rPr>
          <w:b/>
        </w:rPr>
      </w:pPr>
    </w:p>
    <w:p w14:paraId="0524B776" w14:textId="77777777" w:rsidR="00B80B48" w:rsidRPr="009713BF" w:rsidRDefault="00B80B48">
      <w:pPr>
        <w:rPr>
          <w:b/>
        </w:rPr>
      </w:pPr>
    </w:p>
    <w:p w14:paraId="6C9ECA15" w14:textId="77777777" w:rsidR="00B80B48" w:rsidRPr="009713BF" w:rsidRDefault="00556A18">
      <w:pPr>
        <w:tabs>
          <w:tab w:val="left" w:pos="2940"/>
        </w:tabs>
      </w:pPr>
      <w:r w:rsidRPr="009713BF">
        <w:tab/>
      </w:r>
    </w:p>
    <w:p w14:paraId="22BB8BE1" w14:textId="77777777" w:rsidR="00B80B48" w:rsidRPr="009713BF" w:rsidRDefault="00556A18">
      <w:pPr>
        <w:rPr>
          <w:b/>
        </w:rPr>
      </w:pPr>
      <w:r w:rsidRPr="009713BF">
        <w:t xml:space="preserve">                                                                                                                                                                   </w:t>
      </w:r>
    </w:p>
    <w:p w14:paraId="0FF20125" w14:textId="77777777" w:rsidR="00B80B48" w:rsidRPr="009713BF" w:rsidRDefault="00B80B48">
      <w:pPr>
        <w:rPr>
          <w:b/>
        </w:rPr>
      </w:pPr>
    </w:p>
    <w:p w14:paraId="5222AA14" w14:textId="77777777" w:rsidR="00345402" w:rsidRPr="009713BF" w:rsidRDefault="00345402">
      <w:pPr>
        <w:rPr>
          <w:b/>
        </w:rPr>
      </w:pPr>
    </w:p>
    <w:p w14:paraId="194E41E4" w14:textId="77777777" w:rsidR="0079340A" w:rsidRDefault="0079340A">
      <w:pPr>
        <w:rPr>
          <w:b/>
        </w:rPr>
      </w:pPr>
    </w:p>
    <w:p w14:paraId="7AF0274A" w14:textId="279ADD2A" w:rsidR="000E38D2" w:rsidRPr="009713BF" w:rsidRDefault="00556A18" w:rsidP="00D932CB">
      <w:pPr>
        <w:rPr>
          <w:b/>
        </w:rPr>
      </w:pPr>
      <w:r w:rsidRPr="009713BF">
        <w:rPr>
          <w:b/>
        </w:rPr>
        <w:t xml:space="preserve">Figure1.1: Conceptual Framework        </w:t>
      </w:r>
    </w:p>
    <w:p w14:paraId="6A2046E1" w14:textId="77777777" w:rsidR="00B80B48" w:rsidRPr="009713BF" w:rsidRDefault="000E38D2" w:rsidP="000E38D2">
      <w:pPr>
        <w:spacing w:before="56"/>
        <w:jc w:val="both"/>
        <w:rPr>
          <w:b/>
          <w:spacing w:val="-2"/>
        </w:rPr>
      </w:pPr>
      <w:r w:rsidRPr="009713BF">
        <w:rPr>
          <w:b/>
        </w:rPr>
        <w:t>Review</w:t>
      </w:r>
      <w:r w:rsidRPr="009713BF">
        <w:rPr>
          <w:spacing w:val="-8"/>
        </w:rPr>
        <w:t xml:space="preserve"> </w:t>
      </w:r>
      <w:r w:rsidRPr="009713BF">
        <w:rPr>
          <w:b/>
        </w:rPr>
        <w:t>of</w:t>
      </w:r>
      <w:r w:rsidRPr="009713BF">
        <w:rPr>
          <w:spacing w:val="-11"/>
        </w:rPr>
        <w:t xml:space="preserve"> </w:t>
      </w:r>
      <w:r w:rsidRPr="009713BF">
        <w:rPr>
          <w:b/>
        </w:rPr>
        <w:t>study</w:t>
      </w:r>
      <w:r w:rsidRPr="009713BF">
        <w:rPr>
          <w:spacing w:val="-9"/>
        </w:rPr>
        <w:t xml:space="preserve"> </w:t>
      </w:r>
      <w:r w:rsidRPr="009713BF">
        <w:rPr>
          <w:b/>
          <w:spacing w:val="-2"/>
        </w:rPr>
        <w:t>variable</w:t>
      </w:r>
    </w:p>
    <w:p w14:paraId="734C0F76" w14:textId="77777777" w:rsidR="00B80B48" w:rsidRPr="009713BF" w:rsidRDefault="00556A18">
      <w:pPr>
        <w:pStyle w:val="NormalWeb"/>
        <w:spacing w:line="360" w:lineRule="auto"/>
        <w:jc w:val="both"/>
      </w:pPr>
      <w:r w:rsidRPr="009713BF">
        <w:t>Figure 1 is a diagrammatic representation of the conceptual framework. It presents the relationship between the independent and dependent variables. According to Mugenda and Mugenda (2003), a variable is a measurable characteristic that assumes different values among subjects. The independent variable is the variable that the researcher manipulates or examines to determine its influence, while the dependent variable reflects the outcome resulting from that influence.</w:t>
      </w:r>
    </w:p>
    <w:p w14:paraId="47FA0705" w14:textId="312A9A7D" w:rsidR="00B80B48" w:rsidRPr="009713BF" w:rsidRDefault="00556A18">
      <w:pPr>
        <w:pStyle w:val="NormalWeb"/>
        <w:spacing w:line="360" w:lineRule="auto"/>
        <w:jc w:val="both"/>
      </w:pPr>
      <w:r w:rsidRPr="009713BF">
        <w:t xml:space="preserve">In this study, the independent variable is the </w:t>
      </w:r>
      <w:r w:rsidRPr="009713BF">
        <w:rPr>
          <w:rStyle w:val="Strong"/>
          <w:b w:val="0"/>
        </w:rPr>
        <w:t>Soci</w:t>
      </w:r>
      <w:r w:rsidR="005144BA">
        <w:rPr>
          <w:rStyle w:val="Strong"/>
          <w:b w:val="0"/>
        </w:rPr>
        <w:t>al Health Authority</w:t>
      </w:r>
      <w:r w:rsidRPr="009713BF">
        <w:t xml:space="preserve">, operationalized through financing allocation, reimbursement mechanisms, risk pooling, and strategic purchasing systems. The dependent variable </w:t>
      </w:r>
      <w:r w:rsidRPr="009713BF">
        <w:rPr>
          <w:b/>
        </w:rPr>
        <w:t xml:space="preserve">is </w:t>
      </w:r>
      <w:r w:rsidRPr="009713BF">
        <w:rPr>
          <w:rStyle w:val="Strong"/>
          <w:b w:val="0"/>
        </w:rPr>
        <w:t>health facilities performance and public health service delivery in Kakamega County hospitals</w:t>
      </w:r>
      <w:r w:rsidRPr="009713BF">
        <w:rPr>
          <w:b/>
        </w:rPr>
        <w:t>,</w:t>
      </w:r>
      <w:r w:rsidRPr="009713BF">
        <w:t xml:space="preserve"> measured in terms of drug availability, staffing levels, infrastructure, accessibility, service quality, patient satisfaction, and service utilization. The framework assumes that effective implementation of </w:t>
      </w:r>
      <w:r w:rsidR="006D44BD" w:rsidRPr="009713BF">
        <w:t>Soci</w:t>
      </w:r>
      <w:r w:rsidR="006D44BD">
        <w:t>al Health Authority</w:t>
      </w:r>
      <w:r w:rsidRPr="009713BF">
        <w:t xml:space="preserve"> improves financial flows to hospitals, which in turn enhances facility capacity and ultimately improves public health service delivery outcomes.</w:t>
      </w:r>
    </w:p>
    <w:p w14:paraId="5DEC2D0C" w14:textId="61ED8745" w:rsidR="00B80B48" w:rsidRPr="009713BF" w:rsidRDefault="00556A18">
      <w:pPr>
        <w:spacing w:before="56"/>
        <w:jc w:val="both"/>
        <w:rPr>
          <w:b/>
          <w:spacing w:val="-2"/>
        </w:rPr>
      </w:pPr>
      <w:r w:rsidRPr="009713BF">
        <w:rPr>
          <w:b/>
          <w:bCs/>
          <w:color w:val="000000"/>
        </w:rPr>
        <w:t>RESEARCH METHODOLOGY</w:t>
      </w:r>
    </w:p>
    <w:p w14:paraId="48890438" w14:textId="706B433F" w:rsidR="00B80B48" w:rsidRPr="009713BF" w:rsidRDefault="00556A18">
      <w:pPr>
        <w:pStyle w:val="Heading3"/>
      </w:pPr>
      <w:r w:rsidRPr="009713BF">
        <w:t>Research Design</w:t>
      </w:r>
    </w:p>
    <w:p w14:paraId="4B73B089" w14:textId="27F7932B" w:rsidR="00B80B48" w:rsidRPr="009713BF" w:rsidRDefault="00556A18">
      <w:pPr>
        <w:pStyle w:val="NormalWeb"/>
        <w:spacing w:line="360" w:lineRule="auto"/>
        <w:jc w:val="both"/>
      </w:pPr>
      <w:r w:rsidRPr="009713BF">
        <w:lastRenderedPageBreak/>
        <w:t xml:space="preserve">The study adopted a </w:t>
      </w:r>
      <w:r w:rsidRPr="009713BF">
        <w:rPr>
          <w:rStyle w:val="Strong"/>
          <w:b w:val="0"/>
        </w:rPr>
        <w:t>descriptive survey research design</w:t>
      </w:r>
      <w:r w:rsidRPr="009713BF">
        <w:t xml:space="preserve"> using a </w:t>
      </w:r>
      <w:r w:rsidRPr="009713BF">
        <w:rPr>
          <w:rStyle w:val="Strong"/>
          <w:b w:val="0"/>
        </w:rPr>
        <w:t>mixed-methods approach</w:t>
      </w:r>
      <w:r w:rsidRPr="009713BF">
        <w:t xml:space="preserve"> that integrated quantitative and qualitative techniques to examine the </w:t>
      </w:r>
      <w:r w:rsidRPr="009713BF">
        <w:rPr>
          <w:rStyle w:val="Emphasis"/>
          <w:i w:val="0"/>
        </w:rPr>
        <w:t>effect of t</w:t>
      </w:r>
      <w:r w:rsidR="00CE0BEB">
        <w:rPr>
          <w:rStyle w:val="Emphasis"/>
          <w:i w:val="0"/>
        </w:rPr>
        <w:t>he Social Health Authority</w:t>
      </w:r>
      <w:r w:rsidRPr="009713BF">
        <w:rPr>
          <w:rStyle w:val="Emphasis"/>
          <w:i w:val="0"/>
        </w:rPr>
        <w:t xml:space="preserve"> on Health Facilities and Public Health Service Delivery in </w:t>
      </w:r>
      <w:r w:rsidR="006B333B" w:rsidRPr="009713BF">
        <w:rPr>
          <w:rStyle w:val="Emphasis"/>
          <w:i w:val="0"/>
        </w:rPr>
        <w:t xml:space="preserve">Navakholo Sub- County hospitals, Kakamega </w:t>
      </w:r>
      <w:r w:rsidR="004917F5" w:rsidRPr="009713BF">
        <w:rPr>
          <w:rStyle w:val="Emphasis"/>
          <w:i w:val="0"/>
        </w:rPr>
        <w:t>County</w:t>
      </w:r>
      <w:r w:rsidR="004917F5">
        <w:t>.</w:t>
      </w:r>
      <w:r w:rsidR="004917F5" w:rsidRPr="009713BF">
        <w:t xml:space="preserve"> The</w:t>
      </w:r>
      <w:r w:rsidRPr="009713BF">
        <w:t xml:space="preserve"> descriptive survey design was appropriate because it enabled the researcher to collect data from a large population and describe existing conditions regarding </w:t>
      </w:r>
      <w:r w:rsidR="00A60D21" w:rsidRPr="009713BF">
        <w:t>the Social Health Authority</w:t>
      </w:r>
      <w:r w:rsidRPr="009713BF">
        <w:t xml:space="preserve"> implementation and its influenc</w:t>
      </w:r>
      <w:r w:rsidR="006B333B" w:rsidRPr="009713BF">
        <w:t xml:space="preserve">e on service delivery </w:t>
      </w:r>
      <w:r w:rsidR="00440A8C" w:rsidRPr="009713BF">
        <w:t>outcomes. The</w:t>
      </w:r>
      <w:r w:rsidRPr="009713BF">
        <w:t xml:space="preserve"> mixed-methods approach allowed quantitative data to establish statistical relationships while qualitative data provided contextual explanations to enrich interpretation of findings.</w:t>
      </w:r>
    </w:p>
    <w:p w14:paraId="30484998" w14:textId="5DFFB847" w:rsidR="00B80B48" w:rsidRPr="009713BF" w:rsidRDefault="00556A18">
      <w:pPr>
        <w:pStyle w:val="Heading3"/>
      </w:pPr>
      <w:r w:rsidRPr="009713BF">
        <w:t>Target Population</w:t>
      </w:r>
    </w:p>
    <w:p w14:paraId="603C0D2E" w14:textId="70C33BBF" w:rsidR="00B80B48" w:rsidRPr="009713BF" w:rsidRDefault="00556A18">
      <w:pPr>
        <w:pStyle w:val="NormalWeb"/>
        <w:spacing w:line="360" w:lineRule="auto"/>
        <w:jc w:val="both"/>
      </w:pPr>
      <w:r w:rsidRPr="009713BF">
        <w:t xml:space="preserve">The target population comprised </w:t>
      </w:r>
      <w:r w:rsidRPr="009713BF">
        <w:rPr>
          <w:rStyle w:val="Strong"/>
          <w:b w:val="0"/>
        </w:rPr>
        <w:t>1,938 respondents</w:t>
      </w:r>
      <w:r w:rsidRPr="009713BF">
        <w:t xml:space="preserve"> drawn from Navakholo Sub- County hospital</w:t>
      </w:r>
      <w:r w:rsidR="00EC59A0">
        <w:t>,</w:t>
      </w:r>
      <w:r w:rsidR="00F727EE">
        <w:t xml:space="preserve"> </w:t>
      </w:r>
      <w:r w:rsidR="00EC59A0">
        <w:t>Kakamega County, Kenya.</w:t>
      </w:r>
      <w:r w:rsidR="00EC59A0" w:rsidRPr="009713BF">
        <w:t xml:space="preserve"> The</w:t>
      </w:r>
      <w:r w:rsidRPr="009713BF">
        <w:t xml:space="preserve"> population included </w:t>
      </w:r>
      <w:r w:rsidR="006B333B" w:rsidRPr="009713BF">
        <w:t xml:space="preserve">patients, </w:t>
      </w:r>
      <w:r w:rsidRPr="009713BF">
        <w:t xml:space="preserve">hospital administrators, health workers, and relevant staff involved in service delivery and </w:t>
      </w:r>
      <w:r w:rsidR="00A60D21" w:rsidRPr="009713BF">
        <w:t>the Social Health Authority</w:t>
      </w:r>
      <w:r w:rsidRPr="009713BF">
        <w:t xml:space="preserve"> implementation.</w:t>
      </w:r>
    </w:p>
    <w:p w14:paraId="7AD28A0E" w14:textId="364D6751" w:rsidR="00B80B48" w:rsidRPr="009713BF" w:rsidRDefault="00556A18">
      <w:pPr>
        <w:pStyle w:val="Heading3"/>
      </w:pPr>
      <w:r w:rsidRPr="009713BF">
        <w:t>Sample Size and Sampling Techniques</w:t>
      </w:r>
    </w:p>
    <w:p w14:paraId="7A072DF3" w14:textId="54D7AAE0" w:rsidR="00B80B48" w:rsidRPr="009713BF" w:rsidRDefault="00556A18">
      <w:pPr>
        <w:pStyle w:val="NormalWeb"/>
        <w:spacing w:line="360" w:lineRule="auto"/>
        <w:jc w:val="both"/>
      </w:pPr>
      <w:r w:rsidRPr="009713BF">
        <w:t xml:space="preserve">A sample of </w:t>
      </w:r>
      <w:r w:rsidRPr="009713BF">
        <w:rPr>
          <w:rStyle w:val="Strong"/>
          <w:b w:val="0"/>
        </w:rPr>
        <w:t>485 respondents</w:t>
      </w:r>
      <w:r w:rsidRPr="009713BF">
        <w:rPr>
          <w:b/>
        </w:rPr>
        <w:t xml:space="preserve"> </w:t>
      </w:r>
      <w:r w:rsidRPr="009713BF">
        <w:t>was selected using the Mugenda and Mugenda (1999) sample size determination formula. The study employed</w:t>
      </w:r>
      <w:r w:rsidRPr="009713BF">
        <w:rPr>
          <w:rStyle w:val="Strong"/>
        </w:rPr>
        <w:t xml:space="preserve"> </w:t>
      </w:r>
      <w:r w:rsidRPr="009713BF">
        <w:rPr>
          <w:rStyle w:val="Strong"/>
          <w:b w:val="0"/>
        </w:rPr>
        <w:t>stratified sampling</w:t>
      </w:r>
      <w:r w:rsidRPr="009713BF">
        <w:t xml:space="preserve"> to categorize respondent</w:t>
      </w:r>
      <w:r w:rsidR="00F727EE">
        <w:t>s into relevant sub-groups</w:t>
      </w:r>
      <w:r w:rsidR="004B510C" w:rsidRPr="009713BF">
        <w:t xml:space="preserve"> patients</w:t>
      </w:r>
      <w:r w:rsidR="00055272" w:rsidRPr="009713BF">
        <w:t>,</w:t>
      </w:r>
      <w:r w:rsidRPr="009713BF">
        <w:t xml:space="preserve"> administrators</w:t>
      </w:r>
      <w:r w:rsidR="00F727EE">
        <w:t>, clinicians, and support staff.</w:t>
      </w:r>
      <w:r w:rsidRPr="009713BF">
        <w:t xml:space="preserve"> </w:t>
      </w:r>
      <w:r w:rsidRPr="009713BF">
        <w:rPr>
          <w:rStyle w:val="Strong"/>
          <w:b w:val="0"/>
        </w:rPr>
        <w:t>Systematic sampling</w:t>
      </w:r>
      <w:r w:rsidRPr="009713BF">
        <w:t xml:space="preserve"> </w:t>
      </w:r>
      <w:r w:rsidR="00297BCD" w:rsidRPr="009713BF">
        <w:t xml:space="preserve">was utilized </w:t>
      </w:r>
      <w:r w:rsidRPr="009713BF">
        <w:t xml:space="preserve">to select respondents within strata and </w:t>
      </w:r>
      <w:r w:rsidRPr="009713BF">
        <w:rPr>
          <w:rStyle w:val="Strong"/>
          <w:b w:val="0"/>
        </w:rPr>
        <w:t>Purposive sampling</w:t>
      </w:r>
      <w:r w:rsidRPr="009713BF">
        <w:t xml:space="preserve"> to select key </w:t>
      </w:r>
      <w:r w:rsidR="00483264">
        <w:t>informants with knowledge of</w:t>
      </w:r>
      <w:r w:rsidR="00483264" w:rsidRPr="00483264">
        <w:t xml:space="preserve"> </w:t>
      </w:r>
      <w:r w:rsidR="00483264" w:rsidRPr="009713BF">
        <w:t>the Social Health Authority</w:t>
      </w:r>
      <w:r w:rsidRPr="009713BF">
        <w:t xml:space="preserve"> implementation. This combination ensured representativeness and inclusion of information-rich participants.</w:t>
      </w:r>
    </w:p>
    <w:p w14:paraId="007AAEA7" w14:textId="52815B00" w:rsidR="00B80B48" w:rsidRPr="009713BF" w:rsidRDefault="00556A18" w:rsidP="00CD4D59">
      <w:pPr>
        <w:pStyle w:val="Heading3"/>
      </w:pPr>
      <w:r w:rsidRPr="009713BF">
        <w:t>Data Collection Instruments</w:t>
      </w:r>
    </w:p>
    <w:p w14:paraId="7D8AFB61" w14:textId="30E384C6" w:rsidR="00B80B48" w:rsidRPr="009713BF" w:rsidRDefault="00556A18">
      <w:pPr>
        <w:pStyle w:val="NormalWeb"/>
        <w:spacing w:line="360" w:lineRule="auto"/>
        <w:jc w:val="both"/>
      </w:pPr>
      <w:r w:rsidRPr="009713BF">
        <w:t xml:space="preserve">Primary data were collected using a </w:t>
      </w:r>
      <w:r w:rsidRPr="009713BF">
        <w:rPr>
          <w:rStyle w:val="Strong"/>
          <w:b w:val="0"/>
        </w:rPr>
        <w:t>semi-structured questionnaire</w:t>
      </w:r>
      <w:r w:rsidRPr="009713BF">
        <w:t xml:space="preserve"> consisting of </w:t>
      </w:r>
      <w:r w:rsidRPr="009713BF">
        <w:rPr>
          <w:rStyle w:val="Strong"/>
          <w:b w:val="0"/>
        </w:rPr>
        <w:t>Closed-ended questions</w:t>
      </w:r>
      <w:r w:rsidRPr="009713BF">
        <w:t xml:space="preserve"> measured on a five-point Likert scale (1 = Strongly </w:t>
      </w:r>
      <w:r w:rsidRPr="009713BF">
        <w:lastRenderedPageBreak/>
        <w:t xml:space="preserve">Disagree, 2 = Disagree, 3 = Neutral, 4 = Agree, 5 = Strongly Agree) and </w:t>
      </w:r>
      <w:r w:rsidRPr="009713BF">
        <w:rPr>
          <w:rStyle w:val="Strong"/>
          <w:b w:val="0"/>
        </w:rPr>
        <w:t>Open-ended questions</w:t>
      </w:r>
      <w:r w:rsidRPr="009713BF">
        <w:t xml:space="preserve"> to capture qualitative insights. The questionnaire was administered using the </w:t>
      </w:r>
      <w:r w:rsidRPr="009713BF">
        <w:rPr>
          <w:rStyle w:val="Strong"/>
          <w:b w:val="0"/>
        </w:rPr>
        <w:t>drop-and-pick-later method</w:t>
      </w:r>
      <w:r w:rsidRPr="009713BF">
        <w:rPr>
          <w:b/>
        </w:rPr>
        <w:t>,</w:t>
      </w:r>
      <w:r w:rsidRPr="009713BF">
        <w:t xml:space="preserve"> which allowed respondents adequate time t</w:t>
      </w:r>
      <w:r w:rsidR="00571F9E">
        <w:t>o provide thoughtful responses.</w:t>
      </w:r>
      <w:r w:rsidR="00571F9E" w:rsidRPr="009713BF">
        <w:t xml:space="preserve"> The</w:t>
      </w:r>
      <w:r w:rsidRPr="009713BF">
        <w:t xml:space="preserve"> instrument was selected because it allows collection of data from large populations simultaneously, ensures standardized responses, is cost-effective and easy to administer and lastly it encourages honest responses due to respondent privacy. Secondary data were obtained from journals, policy documents, reports, and official government publications related to </w:t>
      </w:r>
      <w:r w:rsidR="00483264" w:rsidRPr="009713BF">
        <w:t>the Social Health Authority</w:t>
      </w:r>
      <w:r w:rsidRPr="009713BF">
        <w:t xml:space="preserve"> and health service delivery.</w:t>
      </w:r>
    </w:p>
    <w:p w14:paraId="57DAB9B7" w14:textId="0776679F" w:rsidR="00B80B48" w:rsidRPr="009713BF" w:rsidRDefault="00556A18">
      <w:pPr>
        <w:pStyle w:val="Heading3"/>
      </w:pPr>
      <w:r w:rsidRPr="009713BF">
        <w:t>Data Analysis</w:t>
      </w:r>
    </w:p>
    <w:p w14:paraId="5056F95E" w14:textId="29CEEB55" w:rsidR="00571F9E" w:rsidRDefault="00556A18" w:rsidP="00571F9E">
      <w:pPr>
        <w:pStyle w:val="NormalWeb"/>
        <w:spacing w:line="360" w:lineRule="auto"/>
        <w:jc w:val="both"/>
      </w:pPr>
      <w:r w:rsidRPr="009713BF">
        <w:t xml:space="preserve">Data were analyzed using </w:t>
      </w:r>
      <w:r w:rsidRPr="009713BF">
        <w:rPr>
          <w:rStyle w:val="Strong"/>
          <w:b w:val="0"/>
        </w:rPr>
        <w:t>SPSS version 26</w:t>
      </w:r>
      <w:r w:rsidR="00571F9E">
        <w:t>.</w:t>
      </w:r>
      <w:r w:rsidRPr="009713BF">
        <w:t>De</w:t>
      </w:r>
      <w:r w:rsidR="00571F9E">
        <w:t>scriptive statistics including means, standard deviations, frequencies and p</w:t>
      </w:r>
      <w:r w:rsidRPr="009713BF">
        <w:t xml:space="preserve">ercentages were used to summarize demographic characteristics and variable </w:t>
      </w:r>
      <w:r w:rsidR="00571F9E" w:rsidRPr="009713BF">
        <w:t>distributions. Inferential</w:t>
      </w:r>
      <w:r w:rsidRPr="009713BF">
        <w:t xml:space="preserve"> statistics were used to determine whether t</w:t>
      </w:r>
      <w:r w:rsidR="00CE0BEB">
        <w:t>he Social Health Authority</w:t>
      </w:r>
      <w:r w:rsidRPr="009713BF">
        <w:t xml:space="preserve">, treated as a continuous independent variable, had a statistically significant effect on health facility performance and public health service delivery in Kakamega County </w:t>
      </w:r>
      <w:r w:rsidR="002A72EF">
        <w:t>hospitals.</w:t>
      </w:r>
      <w:r w:rsidR="002A72EF" w:rsidRPr="009713BF">
        <w:t xml:space="preserve"> Because</w:t>
      </w:r>
      <w:r w:rsidRPr="009713BF">
        <w:t xml:space="preserve"> the study examined </w:t>
      </w:r>
      <w:r w:rsidR="0014425F">
        <w:t>five</w:t>
      </w:r>
      <w:r w:rsidRPr="009713BF">
        <w:t xml:space="preserve"> related dependent variables simultaneously, a multivariate statist</w:t>
      </w:r>
      <w:r w:rsidR="00571F9E">
        <w:t>ical technique was appropriate.</w:t>
      </w:r>
    </w:p>
    <w:p w14:paraId="069C582E" w14:textId="0343FCAA" w:rsidR="00571F9E" w:rsidRDefault="00556A18" w:rsidP="00571F9E">
      <w:pPr>
        <w:pStyle w:val="NormalWeb"/>
        <w:spacing w:line="360" w:lineRule="auto"/>
        <w:jc w:val="both"/>
        <w:rPr>
          <w:color w:val="00B050"/>
        </w:rPr>
      </w:pPr>
      <w:r w:rsidRPr="009713BF">
        <w:t xml:space="preserve">The study employed </w:t>
      </w:r>
      <w:r w:rsidR="00DE1334" w:rsidRPr="00571F9E">
        <w:t>one</w:t>
      </w:r>
      <w:r w:rsidR="00D527DE" w:rsidRPr="00571F9E">
        <w:t xml:space="preserve"> way </w:t>
      </w:r>
      <w:r w:rsidRPr="00571F9E">
        <w:rPr>
          <w:rStyle w:val="Strong"/>
          <w:b w:val="0"/>
        </w:rPr>
        <w:t>Multivariate Analysis of Variance (MANOVA)</w:t>
      </w:r>
      <w:r w:rsidRPr="00571F9E">
        <w:t xml:space="preserve"> </w:t>
      </w:r>
      <w:r w:rsidRPr="009713BF">
        <w:t xml:space="preserve">to test the effect of </w:t>
      </w:r>
      <w:r w:rsidR="00D85C21" w:rsidRPr="009713BF">
        <w:t>the Social Health Authority</w:t>
      </w:r>
      <w:r w:rsidRPr="009713BF">
        <w:t xml:space="preserve"> on the </w:t>
      </w:r>
      <w:r w:rsidR="00255699" w:rsidRPr="00571F9E">
        <w:t xml:space="preserve">five </w:t>
      </w:r>
      <w:r w:rsidRPr="00571F9E">
        <w:t xml:space="preserve">dependent variables </w:t>
      </w:r>
      <w:r w:rsidRPr="009713BF">
        <w:t xml:space="preserve">simultaneously. MANOVA was appropriate because the study had one independent variable </w:t>
      </w:r>
      <w:r w:rsidR="00D85C21" w:rsidRPr="009713BF">
        <w:t xml:space="preserve">the Social Health Authority </w:t>
      </w:r>
      <w:r w:rsidRPr="009713BF">
        <w:t xml:space="preserve">and </w:t>
      </w:r>
      <w:r w:rsidR="00255699" w:rsidRPr="00571F9E">
        <w:t>five</w:t>
      </w:r>
      <w:r w:rsidRPr="00571F9E">
        <w:t xml:space="preserve"> related dependent variables (</w:t>
      </w:r>
      <w:r w:rsidR="00255699" w:rsidRPr="00571F9E">
        <w:t>Resource Availability, Quality of Service Delivery, Patient Access &amp; Utilization, Operational Efficiency, and Institutional &amp; Implementation Challenges</w:t>
      </w:r>
      <w:r w:rsidRPr="00571F9E">
        <w:t>.</w:t>
      </w:r>
      <w:r w:rsidR="00AF4CB8" w:rsidRPr="00571F9E">
        <w:t xml:space="preserve"> </w:t>
      </w:r>
    </w:p>
    <w:p w14:paraId="2BA891BA" w14:textId="36EF7EBB" w:rsidR="00B80B48" w:rsidRPr="009713BF" w:rsidRDefault="00556A18" w:rsidP="00571F9E">
      <w:pPr>
        <w:pStyle w:val="NormalWeb"/>
        <w:spacing w:line="360" w:lineRule="auto"/>
        <w:jc w:val="both"/>
      </w:pPr>
      <w:r w:rsidRPr="009713BF">
        <w:t xml:space="preserve">The </w:t>
      </w:r>
      <w:r w:rsidR="00AF4CB8">
        <w:t>five</w:t>
      </w:r>
      <w:r w:rsidRPr="009713BF">
        <w:t xml:space="preserve"> outcomes are conceptually and empirically related since improved facility performance is expected to influence the quality and effectiveness of public health </w:t>
      </w:r>
      <w:r w:rsidRPr="009713BF">
        <w:lastRenderedPageBreak/>
        <w:t xml:space="preserve">service delivery. </w:t>
      </w:r>
      <w:r w:rsidR="00514344" w:rsidRPr="009713BF">
        <w:t>Analyzing them together provided</w:t>
      </w:r>
      <w:r w:rsidRPr="009713BF">
        <w:t xml:space="preserve"> a more comprehensive understanding of </w:t>
      </w:r>
      <w:r w:rsidR="00D85C21" w:rsidRPr="009713BF">
        <w:t>the Social Health Authority</w:t>
      </w:r>
      <w:r w:rsidRPr="009713BF">
        <w:t>’s overall impact on service outcomes.</w:t>
      </w:r>
    </w:p>
    <w:p w14:paraId="7CEB4763" w14:textId="6B7E8129" w:rsidR="00B80B48" w:rsidRPr="009713BF" w:rsidRDefault="00556A18">
      <w:pPr>
        <w:pStyle w:val="NormalWeb"/>
        <w:spacing w:line="360" w:lineRule="auto"/>
        <w:jc w:val="both"/>
      </w:pPr>
      <w:r w:rsidRPr="009713BF">
        <w:t xml:space="preserve">MANOVA was preferred over conducting separate ANOVAs because it controls Type I error inflation that would arise from conducting multiple ANOVAs independently. It also accounts for the correlation between the dependent variables. Lastly it determines whether </w:t>
      </w:r>
      <w:r w:rsidR="00CE0BEB" w:rsidRPr="009713BF">
        <w:t>Soci</w:t>
      </w:r>
      <w:r w:rsidR="00CE0BEB">
        <w:t>al Health Authority</w:t>
      </w:r>
      <w:r w:rsidRPr="009713BF">
        <w:t xml:space="preserve"> has a combined multivariate effect on health service outcomes.</w:t>
      </w:r>
    </w:p>
    <w:p w14:paraId="691E915B" w14:textId="77777777" w:rsidR="00B80B48" w:rsidRPr="009713BF" w:rsidRDefault="00556A18">
      <w:pPr>
        <w:pStyle w:val="NormalWeb"/>
        <w:spacing w:line="360" w:lineRule="auto"/>
        <w:jc w:val="both"/>
      </w:pPr>
      <w:r w:rsidRPr="009713BF">
        <w:t xml:space="preserve">The multivariate test statistics (such as Wilks’ Lambda, Pillai’s Trace, Hotelling’s Trace, or Roy’s Largest Root) were examined to determine the overall significance of the model. A significance level of </w:t>
      </w:r>
      <w:r w:rsidRPr="00232FA8">
        <w:rPr>
          <w:rStyle w:val="Strong"/>
          <w:b w:val="0"/>
        </w:rPr>
        <w:t>p &lt; 0.05</w:t>
      </w:r>
      <w:r w:rsidRPr="009713BF">
        <w:t xml:space="preserve"> was adopted. If the MANOVA results were statistically significant (p &lt; 0.05), the study proceeded with separate univariate ANOVAs as post-hoc analyses to determine which dependent variable(s) contributed to the significant multivariate effect. This step helped establish whether SHA significantly influenced health facility performance, Public health service delivery, or both variables independently.</w:t>
      </w:r>
    </w:p>
    <w:p w14:paraId="2DE98FB5" w14:textId="08E2FB49" w:rsidR="00B80B48" w:rsidRPr="009713BF" w:rsidRDefault="00556A18" w:rsidP="00042C5E">
      <w:pPr>
        <w:pStyle w:val="NormalWeb"/>
        <w:spacing w:line="360" w:lineRule="auto"/>
        <w:jc w:val="both"/>
      </w:pPr>
      <w:r w:rsidRPr="009713BF">
        <w:t xml:space="preserve">To determine the strength and practical significance of the relationships, effect sizes (e.g., Partial Eta Squared) were reported. Partial Eta Squared values were interpreted to assess the magnitude of </w:t>
      </w:r>
      <w:r w:rsidR="00D85C21" w:rsidRPr="009713BF">
        <w:t>the Social Health Authority</w:t>
      </w:r>
      <w:r w:rsidRPr="009713BF">
        <w:t xml:space="preserve">’s influence on each dependent variable (small, medium, or large effect), beyond mere statistical </w:t>
      </w:r>
      <w:r w:rsidR="002A72EF" w:rsidRPr="009713BF">
        <w:t>si</w:t>
      </w:r>
      <w:r w:rsidR="002A72EF">
        <w:t>gnificance.</w:t>
      </w:r>
      <w:r w:rsidR="002A72EF" w:rsidRPr="009713BF">
        <w:t xml:space="preserve"> Overall</w:t>
      </w:r>
      <w:r w:rsidRPr="009713BF">
        <w:t xml:space="preserve">, the use of MANOVA enhanced the robustness of the inferential analysis by providing a holistic assessment of </w:t>
      </w:r>
      <w:r w:rsidR="00D85C21" w:rsidRPr="009713BF">
        <w:t xml:space="preserve">the Social Health </w:t>
      </w:r>
      <w:r w:rsidR="00042C5E" w:rsidRPr="009713BF">
        <w:t>Authority’s</w:t>
      </w:r>
      <w:r w:rsidRPr="009713BF">
        <w:t xml:space="preserve"> impact on both operational performance and public health service delivery outcomes.</w:t>
      </w:r>
    </w:p>
    <w:p w14:paraId="743ADEA7" w14:textId="77777777" w:rsidR="00B80B48" w:rsidRPr="009713BF" w:rsidRDefault="00556A18">
      <w:pPr>
        <w:pStyle w:val="NormalWeb"/>
        <w:spacing w:line="360" w:lineRule="auto"/>
        <w:jc w:val="both"/>
      </w:pPr>
      <w:r w:rsidRPr="009713BF">
        <w:t>Qualitative data from open-ended questions were analyzed using thematic analysis. Responses were coded according to emerging themes aligned with the study objectives and presented in narrative form to support quantitative findings.</w:t>
      </w:r>
    </w:p>
    <w:p w14:paraId="600054DA" w14:textId="5B3F2984" w:rsidR="00B80B48" w:rsidRPr="009713BF" w:rsidRDefault="00556A18">
      <w:pPr>
        <w:pStyle w:val="Heading3"/>
      </w:pPr>
      <w:r w:rsidRPr="009713BF">
        <w:lastRenderedPageBreak/>
        <w:t>Ethical Considerations</w:t>
      </w:r>
    </w:p>
    <w:p w14:paraId="07C42450" w14:textId="61FF1A52" w:rsidR="00B80B48" w:rsidRPr="009713BF" w:rsidRDefault="00556A18">
      <w:pPr>
        <w:pStyle w:val="NormalWeb"/>
        <w:spacing w:line="360" w:lineRule="auto"/>
        <w:jc w:val="both"/>
      </w:pPr>
      <w:r w:rsidRPr="009713BF">
        <w:t>The study observed ethic</w:t>
      </w:r>
      <w:r w:rsidR="00042C5E">
        <w:t>al research standards including approval from NACOSTI,</w:t>
      </w:r>
      <w:r w:rsidRPr="009713BF">
        <w:rPr>
          <w:rStyle w:val="Strong"/>
        </w:rPr>
        <w:t xml:space="preserve"> </w:t>
      </w:r>
      <w:r w:rsidR="00042C5E">
        <w:t>i</w:t>
      </w:r>
      <w:r w:rsidRPr="009713BF">
        <w:t>nf</w:t>
      </w:r>
      <w:r w:rsidR="00042C5E">
        <w:t xml:space="preserve">ormed consent from respondent’s, </w:t>
      </w:r>
      <w:r w:rsidRPr="009713BF">
        <w:t>V</w:t>
      </w:r>
      <w:r w:rsidR="00042C5E">
        <w:t>oluntary participation, Confidentiality and anonymity</w:t>
      </w:r>
      <w:r w:rsidRPr="009713BF">
        <w:t xml:space="preserve"> and Use of data strictly for academic purposes.</w:t>
      </w:r>
    </w:p>
    <w:p w14:paraId="0AB1C0DF" w14:textId="28424D46" w:rsidR="00B80B48" w:rsidRPr="009713BF" w:rsidRDefault="00556A18">
      <w:pPr>
        <w:pStyle w:val="NormalWeb"/>
        <w:spacing w:line="360" w:lineRule="auto"/>
        <w:jc w:val="both"/>
        <w:rPr>
          <w:b/>
        </w:rPr>
      </w:pPr>
      <w:r w:rsidRPr="009713BF">
        <w:rPr>
          <w:b/>
        </w:rPr>
        <w:t>Diagnostic Tests of Assumptions</w:t>
      </w:r>
    </w:p>
    <w:p w14:paraId="6040DA24" w14:textId="1AE05FF7" w:rsidR="008E1E7D" w:rsidRPr="000D3DA3" w:rsidRDefault="00556A18">
      <w:pPr>
        <w:spacing w:before="120" w:line="360" w:lineRule="auto"/>
        <w:jc w:val="both"/>
        <w:rPr>
          <w:color w:val="00B050"/>
        </w:rPr>
      </w:pPr>
      <w:r w:rsidRPr="009713BF">
        <w:t>Before conducting MANOVA, it is essential to verify that the dataset satisfies the statistical assumptions that underpin the validity of multivariate analyses. Failure to meet these assumptions may result in biased estimates, inflated Type I error rates, or misl</w:t>
      </w:r>
      <w:r w:rsidR="00B3769D">
        <w:t>eading conclusions (Tabachnick and</w:t>
      </w:r>
      <w:r w:rsidRPr="009713BF">
        <w:t xml:space="preserve"> Fidell, 2019; Field, 2018). </w:t>
      </w:r>
      <w:r w:rsidR="00042C5E">
        <w:t>To verify the underlying statistical assumptions, diagnostic tests were carried out, including Box's M Test for homogeneity of variance-covariance matrices, multicollinearity assessment, and Levene's test for equality of variances.</w:t>
      </w:r>
    </w:p>
    <w:p w14:paraId="32FD7A96" w14:textId="26BC9890" w:rsidR="008E1E7D" w:rsidRPr="00DF41AA" w:rsidRDefault="00DF41AA" w:rsidP="00DF41AA">
      <w:pPr>
        <w:pStyle w:val="BodyText"/>
        <w:spacing w:before="38" w:line="480" w:lineRule="auto"/>
        <w:rPr>
          <w:rFonts w:ascii="Times New Roman" w:hAnsi="Times New Roman" w:cs="Times New Roman"/>
          <w:b/>
          <w:spacing w:val="-2"/>
          <w:sz w:val="24"/>
          <w:szCs w:val="24"/>
        </w:rPr>
      </w:pPr>
      <w:r>
        <w:rPr>
          <w:b/>
        </w:rPr>
        <w:t xml:space="preserve"> </w:t>
      </w:r>
      <w:r w:rsidRPr="002267E1">
        <w:rPr>
          <w:rFonts w:ascii="Times New Roman" w:hAnsi="Times New Roman" w:cs="Times New Roman"/>
          <w:b/>
          <w:sz w:val="24"/>
          <w:szCs w:val="24"/>
        </w:rPr>
        <w:t>FINDINGS</w:t>
      </w:r>
      <w:r w:rsidRPr="002267E1">
        <w:rPr>
          <w:rFonts w:ascii="Times New Roman" w:hAnsi="Times New Roman" w:cs="Times New Roman"/>
          <w:b/>
          <w:spacing w:val="-11"/>
          <w:sz w:val="24"/>
          <w:szCs w:val="24"/>
        </w:rPr>
        <w:t xml:space="preserve"> </w:t>
      </w:r>
      <w:r w:rsidRPr="002267E1">
        <w:rPr>
          <w:rFonts w:ascii="Times New Roman" w:hAnsi="Times New Roman" w:cs="Times New Roman"/>
          <w:b/>
          <w:sz w:val="24"/>
          <w:szCs w:val="24"/>
        </w:rPr>
        <w:t>AND</w:t>
      </w:r>
      <w:r w:rsidRPr="002267E1">
        <w:rPr>
          <w:rFonts w:ascii="Times New Roman" w:hAnsi="Times New Roman" w:cs="Times New Roman"/>
          <w:b/>
          <w:spacing w:val="-10"/>
          <w:sz w:val="24"/>
          <w:szCs w:val="24"/>
        </w:rPr>
        <w:t xml:space="preserve"> </w:t>
      </w:r>
      <w:r w:rsidRPr="002267E1">
        <w:rPr>
          <w:rFonts w:ascii="Times New Roman" w:hAnsi="Times New Roman" w:cs="Times New Roman"/>
          <w:b/>
          <w:spacing w:val="-2"/>
          <w:sz w:val="24"/>
          <w:szCs w:val="24"/>
        </w:rPr>
        <w:t>DISCUSSIONS</w:t>
      </w:r>
    </w:p>
    <w:p w14:paraId="4154885C" w14:textId="6F2DE506" w:rsidR="00B80B48" w:rsidRPr="009713BF" w:rsidRDefault="00556A18">
      <w:pPr>
        <w:pStyle w:val="Heading3"/>
        <w:spacing w:line="360" w:lineRule="auto"/>
      </w:pPr>
      <w:r w:rsidRPr="009713BF">
        <w:t>Response Rate</w:t>
      </w:r>
    </w:p>
    <w:p w14:paraId="2CA6BFD0" w14:textId="717C5DD2" w:rsidR="006D493D" w:rsidRPr="009713BF" w:rsidRDefault="00556A18" w:rsidP="00B2259C">
      <w:pPr>
        <w:spacing w:before="120" w:line="360" w:lineRule="auto"/>
        <w:jc w:val="both"/>
      </w:pPr>
      <w:r w:rsidRPr="009713BF">
        <w:t>A total of 485 questionnaires were distributed using stratified, systematic, and purposive sampling techniques across Navakholo Sub-County Hospital. Of these, 4</w:t>
      </w:r>
      <w:r w:rsidR="008A5C99" w:rsidRPr="009713BF">
        <w:t>01</w:t>
      </w:r>
      <w:r w:rsidRPr="009713BF">
        <w:t xml:space="preserve"> were properly completed and returned, yielding a response rate of </w:t>
      </w:r>
      <w:r w:rsidR="00547D65" w:rsidRPr="009713BF">
        <w:t>82</w:t>
      </w:r>
      <w:r w:rsidRPr="009713BF">
        <w:t>.</w:t>
      </w:r>
      <w:r w:rsidR="00547D65" w:rsidRPr="009713BF">
        <w:t>6</w:t>
      </w:r>
      <w:r w:rsidRPr="009713BF">
        <w:t>%. This exceeds the 70% minimum threshold recommended by Mugenda and Mugenda (1999) and Babbie (2013), thereby supporting the validity and generalizability of the study findings.</w:t>
      </w:r>
    </w:p>
    <w:p w14:paraId="4B282804" w14:textId="4C26D77C" w:rsidR="006D493D" w:rsidRPr="00F03080" w:rsidRDefault="00585513" w:rsidP="00862B03">
      <w:pPr>
        <w:spacing w:before="120" w:after="100" w:afterAutospacing="1" w:line="360" w:lineRule="auto"/>
        <w:jc w:val="both"/>
        <w:rPr>
          <w:b/>
        </w:rPr>
      </w:pPr>
      <w:r w:rsidRPr="00F03080">
        <w:rPr>
          <w:b/>
        </w:rPr>
        <w:t xml:space="preserve"> Participants’</w:t>
      </w:r>
      <w:r w:rsidR="006D493D" w:rsidRPr="00F03080">
        <w:rPr>
          <w:b/>
        </w:rPr>
        <w:t xml:space="preserve"> Demographics </w:t>
      </w:r>
    </w:p>
    <w:p w14:paraId="252B1BBA" w14:textId="3CDFE659" w:rsidR="00D336ED" w:rsidRPr="00F03080" w:rsidRDefault="00D336ED" w:rsidP="00862B03">
      <w:pPr>
        <w:spacing w:after="100" w:afterAutospacing="1" w:line="360" w:lineRule="auto"/>
        <w:jc w:val="both"/>
      </w:pPr>
      <w:r w:rsidRPr="00F03080">
        <w:t xml:space="preserve">Table 1 presents the demographic characteristics of the respondents. The largest age group was 21–25 years (19.7%, n = 79), followed by respondents aged 31–35 years (18.0%, n = 72). Participants aged 18–20 years and 35–40 years each accounted for 17.7% (n = 71), while those aged over 40 years constituted the smallest proportion </w:t>
      </w:r>
      <w:r w:rsidRPr="00F03080">
        <w:lastRenderedPageBreak/>
        <w:t>(13.7%, n = 55). Regarding marital status, single respondents formed the largest group (28.4%, n = 114), followed by widowed respondents (25.9%, n = 104). Married and divorced participants represented 22.9% (n = 92) and 22.7% (n = 9</w:t>
      </w:r>
      <w:r w:rsidR="00585513">
        <w:t>1) of the sample, respectively.</w:t>
      </w:r>
    </w:p>
    <w:p w14:paraId="215FE855" w14:textId="77777777" w:rsidR="002A72EF" w:rsidRDefault="00D336ED" w:rsidP="00DE03D2">
      <w:pPr>
        <w:spacing w:after="100" w:afterAutospacing="1" w:line="360" w:lineRule="auto"/>
        <w:jc w:val="both"/>
      </w:pPr>
      <w:r w:rsidRPr="00F03080">
        <w:t xml:space="preserve">The sample was almost equally distributed by gender, with males accounting for 50.1% (n = 201) and females 49.9% (n = 200). In terms of educational attainment, postgraduate and secondary education levels each represented 21.9% (n = 88) of respondents. University graduates accounted for 20.0% (n = 80), while those with tertiary and primary education represented 18.5% (n = 74) and 17.7% (n = 71), respectively. </w:t>
      </w:r>
    </w:p>
    <w:p w14:paraId="3CD9C8E5" w14:textId="7760C0E5" w:rsidR="00D336ED" w:rsidRPr="00F03080" w:rsidRDefault="00D336ED" w:rsidP="00DE03D2">
      <w:pPr>
        <w:spacing w:after="100" w:afterAutospacing="1" w:line="360" w:lineRule="auto"/>
        <w:jc w:val="both"/>
      </w:pPr>
      <w:r w:rsidRPr="00F03080">
        <w:t>For employment status, part-time employees constituted the largest proportion of respondents (23.4%, n = 94), followed by those in other employment categories (21.9%, n = 88) and permanent employment (20.9%, n = 84). Contract and temporary employees accounted for 17.2% (n = 69) and 16.5% (n = 66), respectively. Regarding hospital level, the highest proportion of respondents worked in Level 5 hospitals (27.4%, n = 110), followed by Level 6 hospitals (25.4%, n = 102). Respondents from Level 4 and Level 3 hospitals represented 24.2% (n = 97) and 22.9% (n = 92) of the sample, respectively.</w:t>
      </w:r>
    </w:p>
    <w:p w14:paraId="1973A52A" w14:textId="1885BFBB" w:rsidR="00BD45FD" w:rsidRPr="00F03080" w:rsidRDefault="00BD45FD" w:rsidP="00862B03">
      <w:pPr>
        <w:pStyle w:val="Caption"/>
        <w:keepNext/>
        <w:jc w:val="both"/>
        <w:rPr>
          <w:color w:val="auto"/>
        </w:rPr>
      </w:pPr>
      <w:r w:rsidRPr="00F03080">
        <w:rPr>
          <w:color w:val="auto"/>
        </w:rPr>
        <w:t xml:space="preserve">Table </w:t>
      </w:r>
      <w:r w:rsidRPr="00F03080">
        <w:rPr>
          <w:color w:val="auto"/>
        </w:rPr>
        <w:fldChar w:fldCharType="begin"/>
      </w:r>
      <w:r w:rsidRPr="00F03080">
        <w:rPr>
          <w:color w:val="auto"/>
        </w:rPr>
        <w:instrText xml:space="preserve"> SEQ Table \* ARABIC </w:instrText>
      </w:r>
      <w:r w:rsidRPr="00F03080">
        <w:rPr>
          <w:color w:val="auto"/>
        </w:rPr>
        <w:fldChar w:fldCharType="separate"/>
      </w:r>
      <w:r w:rsidR="00365C2F" w:rsidRPr="00F03080">
        <w:rPr>
          <w:noProof/>
          <w:color w:val="auto"/>
        </w:rPr>
        <w:t>1</w:t>
      </w:r>
      <w:r w:rsidRPr="00F03080">
        <w:rPr>
          <w:color w:val="auto"/>
        </w:rPr>
        <w:fldChar w:fldCharType="end"/>
      </w:r>
      <w:r w:rsidR="00B82D88" w:rsidRPr="00F03080">
        <w:rPr>
          <w:color w:val="auto"/>
        </w:rPr>
        <w:t xml:space="preserve">: Participants’ Demographic Data </w:t>
      </w:r>
    </w:p>
    <w:tbl>
      <w:tblPr>
        <w:tblStyle w:val="TableGrid"/>
        <w:tblW w:w="8484" w:type="dxa"/>
        <w:tblLook w:val="04A0" w:firstRow="1" w:lastRow="0" w:firstColumn="1" w:lastColumn="0" w:noHBand="0" w:noVBand="1"/>
      </w:tblPr>
      <w:tblGrid>
        <w:gridCol w:w="3740"/>
        <w:gridCol w:w="2589"/>
        <w:gridCol w:w="1024"/>
        <w:gridCol w:w="1131"/>
      </w:tblGrid>
      <w:tr w:rsidR="001B534A" w:rsidRPr="00F03080" w14:paraId="2BC97CCB" w14:textId="77777777" w:rsidTr="00997F38">
        <w:trPr>
          <w:trHeight w:val="377"/>
        </w:trPr>
        <w:tc>
          <w:tcPr>
            <w:tcW w:w="0" w:type="auto"/>
            <w:hideMark/>
          </w:tcPr>
          <w:p w14:paraId="0C78FFDE" w14:textId="77777777" w:rsidR="00BD45FD" w:rsidRPr="00F03080" w:rsidRDefault="00BD45FD" w:rsidP="00862B03">
            <w:r w:rsidRPr="00F03080">
              <w:t>Variable</w:t>
            </w:r>
          </w:p>
        </w:tc>
        <w:tc>
          <w:tcPr>
            <w:tcW w:w="0" w:type="auto"/>
            <w:hideMark/>
          </w:tcPr>
          <w:p w14:paraId="18FCAA7D" w14:textId="77777777" w:rsidR="00BD45FD" w:rsidRPr="00F03080" w:rsidRDefault="00BD45FD" w:rsidP="00862B03">
            <w:r w:rsidRPr="00F03080">
              <w:t>Category</w:t>
            </w:r>
          </w:p>
        </w:tc>
        <w:tc>
          <w:tcPr>
            <w:tcW w:w="0" w:type="auto"/>
            <w:hideMark/>
          </w:tcPr>
          <w:p w14:paraId="302531C9" w14:textId="77777777" w:rsidR="00BD45FD" w:rsidRPr="00F03080" w:rsidRDefault="00BD45FD" w:rsidP="00862B03">
            <w:r w:rsidRPr="00F03080">
              <w:t>n</w:t>
            </w:r>
          </w:p>
        </w:tc>
        <w:tc>
          <w:tcPr>
            <w:tcW w:w="0" w:type="auto"/>
            <w:hideMark/>
          </w:tcPr>
          <w:p w14:paraId="1DF3C496" w14:textId="77777777" w:rsidR="00BD45FD" w:rsidRPr="00F03080" w:rsidRDefault="00BD45FD" w:rsidP="00862B03">
            <w:r w:rsidRPr="00F03080">
              <w:t>%</w:t>
            </w:r>
          </w:p>
        </w:tc>
      </w:tr>
      <w:tr w:rsidR="001B534A" w:rsidRPr="00F03080" w14:paraId="0695C200" w14:textId="77777777" w:rsidTr="00997F38">
        <w:trPr>
          <w:trHeight w:val="377"/>
        </w:trPr>
        <w:tc>
          <w:tcPr>
            <w:tcW w:w="0" w:type="auto"/>
            <w:hideMark/>
          </w:tcPr>
          <w:p w14:paraId="6BC54A77" w14:textId="77777777" w:rsidR="00BD45FD" w:rsidRPr="00F03080" w:rsidRDefault="00BD45FD" w:rsidP="00862B03">
            <w:r w:rsidRPr="00F03080">
              <w:t>Age (years)</w:t>
            </w:r>
          </w:p>
        </w:tc>
        <w:tc>
          <w:tcPr>
            <w:tcW w:w="0" w:type="auto"/>
            <w:hideMark/>
          </w:tcPr>
          <w:p w14:paraId="0AC6A574" w14:textId="77777777" w:rsidR="00BD45FD" w:rsidRPr="00F03080" w:rsidRDefault="00BD45FD" w:rsidP="00862B03">
            <w:r w:rsidRPr="00F03080">
              <w:t>18–20</w:t>
            </w:r>
          </w:p>
        </w:tc>
        <w:tc>
          <w:tcPr>
            <w:tcW w:w="0" w:type="auto"/>
            <w:hideMark/>
          </w:tcPr>
          <w:p w14:paraId="01C60E1D" w14:textId="77777777" w:rsidR="00BD45FD" w:rsidRPr="00F03080" w:rsidRDefault="00BD45FD" w:rsidP="00862B03">
            <w:r w:rsidRPr="00F03080">
              <w:t>71</w:t>
            </w:r>
          </w:p>
        </w:tc>
        <w:tc>
          <w:tcPr>
            <w:tcW w:w="0" w:type="auto"/>
            <w:hideMark/>
          </w:tcPr>
          <w:p w14:paraId="26182024" w14:textId="77777777" w:rsidR="00BD45FD" w:rsidRPr="00F03080" w:rsidRDefault="00BD45FD" w:rsidP="00862B03">
            <w:r w:rsidRPr="00F03080">
              <w:t>17.7</w:t>
            </w:r>
          </w:p>
        </w:tc>
      </w:tr>
      <w:tr w:rsidR="001B534A" w:rsidRPr="00F03080" w14:paraId="7D3B4CF5" w14:textId="77777777" w:rsidTr="00997F38">
        <w:trPr>
          <w:trHeight w:val="377"/>
        </w:trPr>
        <w:tc>
          <w:tcPr>
            <w:tcW w:w="0" w:type="auto"/>
            <w:hideMark/>
          </w:tcPr>
          <w:p w14:paraId="3A4037F7" w14:textId="77777777" w:rsidR="00BD45FD" w:rsidRPr="00F03080" w:rsidRDefault="00BD45FD" w:rsidP="00862B03"/>
        </w:tc>
        <w:tc>
          <w:tcPr>
            <w:tcW w:w="0" w:type="auto"/>
            <w:hideMark/>
          </w:tcPr>
          <w:p w14:paraId="4CAFE0E3" w14:textId="77777777" w:rsidR="00BD45FD" w:rsidRPr="00F03080" w:rsidRDefault="00BD45FD" w:rsidP="00862B03">
            <w:r w:rsidRPr="00F03080">
              <w:t>21–25</w:t>
            </w:r>
          </w:p>
        </w:tc>
        <w:tc>
          <w:tcPr>
            <w:tcW w:w="0" w:type="auto"/>
            <w:hideMark/>
          </w:tcPr>
          <w:p w14:paraId="12533C5C" w14:textId="77777777" w:rsidR="00BD45FD" w:rsidRPr="00F03080" w:rsidRDefault="00BD45FD" w:rsidP="00862B03">
            <w:r w:rsidRPr="00F03080">
              <w:t>79</w:t>
            </w:r>
          </w:p>
        </w:tc>
        <w:tc>
          <w:tcPr>
            <w:tcW w:w="0" w:type="auto"/>
            <w:hideMark/>
          </w:tcPr>
          <w:p w14:paraId="1E3F4B5F" w14:textId="77777777" w:rsidR="00BD45FD" w:rsidRPr="00F03080" w:rsidRDefault="00BD45FD" w:rsidP="00862B03">
            <w:r w:rsidRPr="00F03080">
              <w:t>19.7</w:t>
            </w:r>
          </w:p>
        </w:tc>
      </w:tr>
      <w:tr w:rsidR="001B534A" w:rsidRPr="00F03080" w14:paraId="16FF6C36" w14:textId="77777777" w:rsidTr="00997F38">
        <w:trPr>
          <w:trHeight w:val="377"/>
        </w:trPr>
        <w:tc>
          <w:tcPr>
            <w:tcW w:w="0" w:type="auto"/>
            <w:hideMark/>
          </w:tcPr>
          <w:p w14:paraId="67043DD9" w14:textId="77777777" w:rsidR="00BD45FD" w:rsidRPr="00F03080" w:rsidRDefault="00BD45FD" w:rsidP="00862B03"/>
        </w:tc>
        <w:tc>
          <w:tcPr>
            <w:tcW w:w="0" w:type="auto"/>
            <w:hideMark/>
          </w:tcPr>
          <w:p w14:paraId="28C5AEEF" w14:textId="77777777" w:rsidR="00BD45FD" w:rsidRPr="00F03080" w:rsidRDefault="00BD45FD" w:rsidP="00862B03">
            <w:r w:rsidRPr="00F03080">
              <w:t>26–30</w:t>
            </w:r>
          </w:p>
        </w:tc>
        <w:tc>
          <w:tcPr>
            <w:tcW w:w="0" w:type="auto"/>
            <w:hideMark/>
          </w:tcPr>
          <w:p w14:paraId="42D4DF64" w14:textId="77777777" w:rsidR="00BD45FD" w:rsidRPr="00F03080" w:rsidRDefault="00BD45FD" w:rsidP="00862B03">
            <w:r w:rsidRPr="00F03080">
              <w:t>53</w:t>
            </w:r>
          </w:p>
        </w:tc>
        <w:tc>
          <w:tcPr>
            <w:tcW w:w="0" w:type="auto"/>
            <w:hideMark/>
          </w:tcPr>
          <w:p w14:paraId="7B8ACDA0" w14:textId="77777777" w:rsidR="00BD45FD" w:rsidRPr="00F03080" w:rsidRDefault="00BD45FD" w:rsidP="00862B03">
            <w:r w:rsidRPr="00F03080">
              <w:t>13.2</w:t>
            </w:r>
          </w:p>
        </w:tc>
      </w:tr>
      <w:tr w:rsidR="001B534A" w:rsidRPr="00F03080" w14:paraId="19B095A9" w14:textId="77777777" w:rsidTr="00997F38">
        <w:trPr>
          <w:trHeight w:val="377"/>
        </w:trPr>
        <w:tc>
          <w:tcPr>
            <w:tcW w:w="0" w:type="auto"/>
            <w:hideMark/>
          </w:tcPr>
          <w:p w14:paraId="5FE71B79" w14:textId="77777777" w:rsidR="00BD45FD" w:rsidRPr="00F03080" w:rsidRDefault="00BD45FD" w:rsidP="00862B03"/>
        </w:tc>
        <w:tc>
          <w:tcPr>
            <w:tcW w:w="0" w:type="auto"/>
            <w:hideMark/>
          </w:tcPr>
          <w:p w14:paraId="4015D237" w14:textId="77777777" w:rsidR="00BD45FD" w:rsidRPr="00F03080" w:rsidRDefault="00BD45FD" w:rsidP="00862B03">
            <w:r w:rsidRPr="00F03080">
              <w:t>31–35</w:t>
            </w:r>
          </w:p>
        </w:tc>
        <w:tc>
          <w:tcPr>
            <w:tcW w:w="0" w:type="auto"/>
            <w:hideMark/>
          </w:tcPr>
          <w:p w14:paraId="202E58FB" w14:textId="77777777" w:rsidR="00BD45FD" w:rsidRPr="00F03080" w:rsidRDefault="00BD45FD" w:rsidP="00862B03">
            <w:r w:rsidRPr="00F03080">
              <w:t>72</w:t>
            </w:r>
          </w:p>
        </w:tc>
        <w:tc>
          <w:tcPr>
            <w:tcW w:w="0" w:type="auto"/>
            <w:hideMark/>
          </w:tcPr>
          <w:p w14:paraId="2D185639" w14:textId="77777777" w:rsidR="00BD45FD" w:rsidRPr="00F03080" w:rsidRDefault="00BD45FD" w:rsidP="00862B03">
            <w:r w:rsidRPr="00F03080">
              <w:t>18.0</w:t>
            </w:r>
          </w:p>
        </w:tc>
      </w:tr>
      <w:tr w:rsidR="001B534A" w:rsidRPr="00F03080" w14:paraId="3FB44CB5" w14:textId="77777777" w:rsidTr="00997F38">
        <w:trPr>
          <w:trHeight w:val="377"/>
        </w:trPr>
        <w:tc>
          <w:tcPr>
            <w:tcW w:w="0" w:type="auto"/>
            <w:hideMark/>
          </w:tcPr>
          <w:p w14:paraId="266A3CC7" w14:textId="77777777" w:rsidR="00BD45FD" w:rsidRPr="00F03080" w:rsidRDefault="00BD45FD" w:rsidP="00862B03"/>
        </w:tc>
        <w:tc>
          <w:tcPr>
            <w:tcW w:w="0" w:type="auto"/>
            <w:hideMark/>
          </w:tcPr>
          <w:p w14:paraId="54AA639A" w14:textId="1E816E9F" w:rsidR="00BD45FD" w:rsidRPr="00C375DC" w:rsidRDefault="00BD45FD" w:rsidP="00862B03">
            <w:r w:rsidRPr="00C375DC">
              <w:t>3</w:t>
            </w:r>
            <w:r w:rsidR="00D176E1" w:rsidRPr="00C375DC">
              <w:t>6</w:t>
            </w:r>
            <w:r w:rsidRPr="00C375DC">
              <w:t>–40</w:t>
            </w:r>
          </w:p>
        </w:tc>
        <w:tc>
          <w:tcPr>
            <w:tcW w:w="0" w:type="auto"/>
            <w:hideMark/>
          </w:tcPr>
          <w:p w14:paraId="27BBE576" w14:textId="77777777" w:rsidR="00BD45FD" w:rsidRPr="00C375DC" w:rsidRDefault="00BD45FD" w:rsidP="00862B03">
            <w:r w:rsidRPr="00C375DC">
              <w:t>71</w:t>
            </w:r>
          </w:p>
        </w:tc>
        <w:tc>
          <w:tcPr>
            <w:tcW w:w="0" w:type="auto"/>
            <w:hideMark/>
          </w:tcPr>
          <w:p w14:paraId="6E5EA386" w14:textId="77777777" w:rsidR="00BD45FD" w:rsidRPr="00C375DC" w:rsidRDefault="00BD45FD" w:rsidP="00862B03">
            <w:r w:rsidRPr="00C375DC">
              <w:t>17.7</w:t>
            </w:r>
          </w:p>
        </w:tc>
      </w:tr>
      <w:tr w:rsidR="001B534A" w:rsidRPr="00F03080" w14:paraId="61B5343C" w14:textId="77777777" w:rsidTr="00997F38">
        <w:trPr>
          <w:trHeight w:val="377"/>
        </w:trPr>
        <w:tc>
          <w:tcPr>
            <w:tcW w:w="0" w:type="auto"/>
            <w:hideMark/>
          </w:tcPr>
          <w:p w14:paraId="02EF8D81" w14:textId="77777777" w:rsidR="00BD45FD" w:rsidRPr="00F03080" w:rsidRDefault="00BD45FD" w:rsidP="00862B03"/>
        </w:tc>
        <w:tc>
          <w:tcPr>
            <w:tcW w:w="0" w:type="auto"/>
            <w:hideMark/>
          </w:tcPr>
          <w:p w14:paraId="3B1447DC" w14:textId="77777777" w:rsidR="00BD45FD" w:rsidRPr="00F03080" w:rsidRDefault="00BD45FD" w:rsidP="00862B03">
            <w:r w:rsidRPr="00F03080">
              <w:t>&gt;40</w:t>
            </w:r>
          </w:p>
        </w:tc>
        <w:tc>
          <w:tcPr>
            <w:tcW w:w="0" w:type="auto"/>
            <w:hideMark/>
          </w:tcPr>
          <w:p w14:paraId="14158D08" w14:textId="77777777" w:rsidR="00BD45FD" w:rsidRPr="00F03080" w:rsidRDefault="00BD45FD" w:rsidP="00862B03">
            <w:r w:rsidRPr="00F03080">
              <w:t>55</w:t>
            </w:r>
          </w:p>
        </w:tc>
        <w:tc>
          <w:tcPr>
            <w:tcW w:w="0" w:type="auto"/>
            <w:hideMark/>
          </w:tcPr>
          <w:p w14:paraId="19D028AD" w14:textId="77777777" w:rsidR="00BD45FD" w:rsidRPr="00F03080" w:rsidRDefault="00BD45FD" w:rsidP="00862B03">
            <w:r w:rsidRPr="00F03080">
              <w:t>13.7</w:t>
            </w:r>
          </w:p>
        </w:tc>
      </w:tr>
      <w:tr w:rsidR="001B534A" w:rsidRPr="00F03080" w14:paraId="4E9FABEA" w14:textId="77777777" w:rsidTr="00997F38">
        <w:trPr>
          <w:trHeight w:val="377"/>
        </w:trPr>
        <w:tc>
          <w:tcPr>
            <w:tcW w:w="0" w:type="auto"/>
            <w:hideMark/>
          </w:tcPr>
          <w:p w14:paraId="7FA1D542" w14:textId="77777777" w:rsidR="00BD45FD" w:rsidRPr="00F03080" w:rsidRDefault="00BD45FD" w:rsidP="00862B03">
            <w:r w:rsidRPr="00F03080">
              <w:t>Marital Status</w:t>
            </w:r>
          </w:p>
        </w:tc>
        <w:tc>
          <w:tcPr>
            <w:tcW w:w="0" w:type="auto"/>
            <w:hideMark/>
          </w:tcPr>
          <w:p w14:paraId="7E7F41A7" w14:textId="77777777" w:rsidR="00BD45FD" w:rsidRPr="00F03080" w:rsidRDefault="00BD45FD" w:rsidP="00862B03">
            <w:r w:rsidRPr="00F03080">
              <w:t>Single</w:t>
            </w:r>
          </w:p>
        </w:tc>
        <w:tc>
          <w:tcPr>
            <w:tcW w:w="0" w:type="auto"/>
            <w:hideMark/>
          </w:tcPr>
          <w:p w14:paraId="7306AD75" w14:textId="77777777" w:rsidR="00BD45FD" w:rsidRPr="00F03080" w:rsidRDefault="00BD45FD" w:rsidP="00862B03">
            <w:r w:rsidRPr="00F03080">
              <w:t>114</w:t>
            </w:r>
          </w:p>
        </w:tc>
        <w:tc>
          <w:tcPr>
            <w:tcW w:w="0" w:type="auto"/>
            <w:hideMark/>
          </w:tcPr>
          <w:p w14:paraId="62396334" w14:textId="77777777" w:rsidR="00BD45FD" w:rsidRPr="00F03080" w:rsidRDefault="00BD45FD" w:rsidP="00862B03">
            <w:r w:rsidRPr="00F03080">
              <w:t>28.4</w:t>
            </w:r>
          </w:p>
        </w:tc>
      </w:tr>
      <w:tr w:rsidR="001B534A" w:rsidRPr="00F03080" w14:paraId="47DEE8FE" w14:textId="77777777" w:rsidTr="00997F38">
        <w:trPr>
          <w:trHeight w:val="377"/>
        </w:trPr>
        <w:tc>
          <w:tcPr>
            <w:tcW w:w="0" w:type="auto"/>
            <w:hideMark/>
          </w:tcPr>
          <w:p w14:paraId="5E930AAB" w14:textId="77777777" w:rsidR="00BD45FD" w:rsidRPr="00F03080" w:rsidRDefault="00BD45FD" w:rsidP="00862B03"/>
        </w:tc>
        <w:tc>
          <w:tcPr>
            <w:tcW w:w="0" w:type="auto"/>
            <w:hideMark/>
          </w:tcPr>
          <w:p w14:paraId="4A0D3A15" w14:textId="77777777" w:rsidR="00BD45FD" w:rsidRPr="00F03080" w:rsidRDefault="00BD45FD" w:rsidP="00862B03">
            <w:r w:rsidRPr="00F03080">
              <w:t>Married</w:t>
            </w:r>
          </w:p>
        </w:tc>
        <w:tc>
          <w:tcPr>
            <w:tcW w:w="0" w:type="auto"/>
            <w:hideMark/>
          </w:tcPr>
          <w:p w14:paraId="787A0A0C" w14:textId="77777777" w:rsidR="00BD45FD" w:rsidRPr="00F03080" w:rsidRDefault="00BD45FD" w:rsidP="00862B03">
            <w:r w:rsidRPr="00F03080">
              <w:t>92</w:t>
            </w:r>
          </w:p>
        </w:tc>
        <w:tc>
          <w:tcPr>
            <w:tcW w:w="0" w:type="auto"/>
            <w:hideMark/>
          </w:tcPr>
          <w:p w14:paraId="7CE06711" w14:textId="77777777" w:rsidR="00BD45FD" w:rsidRPr="00F03080" w:rsidRDefault="00BD45FD" w:rsidP="00862B03">
            <w:r w:rsidRPr="00F03080">
              <w:t>22.9</w:t>
            </w:r>
          </w:p>
        </w:tc>
      </w:tr>
      <w:tr w:rsidR="001B534A" w:rsidRPr="00F03080" w14:paraId="234EDF24" w14:textId="77777777" w:rsidTr="00997F38">
        <w:trPr>
          <w:trHeight w:val="377"/>
        </w:trPr>
        <w:tc>
          <w:tcPr>
            <w:tcW w:w="0" w:type="auto"/>
            <w:hideMark/>
          </w:tcPr>
          <w:p w14:paraId="4D9D2ED1" w14:textId="77777777" w:rsidR="00BD45FD" w:rsidRPr="00F03080" w:rsidRDefault="00BD45FD" w:rsidP="00862B03"/>
        </w:tc>
        <w:tc>
          <w:tcPr>
            <w:tcW w:w="0" w:type="auto"/>
            <w:hideMark/>
          </w:tcPr>
          <w:p w14:paraId="2219D9E6" w14:textId="77777777" w:rsidR="00BD45FD" w:rsidRPr="00F03080" w:rsidRDefault="00BD45FD" w:rsidP="00862B03">
            <w:r w:rsidRPr="00F03080">
              <w:t>Divorced</w:t>
            </w:r>
          </w:p>
        </w:tc>
        <w:tc>
          <w:tcPr>
            <w:tcW w:w="0" w:type="auto"/>
            <w:hideMark/>
          </w:tcPr>
          <w:p w14:paraId="54C91B74" w14:textId="77777777" w:rsidR="00BD45FD" w:rsidRPr="00F03080" w:rsidRDefault="00BD45FD" w:rsidP="00862B03">
            <w:r w:rsidRPr="00F03080">
              <w:t>91</w:t>
            </w:r>
          </w:p>
        </w:tc>
        <w:tc>
          <w:tcPr>
            <w:tcW w:w="0" w:type="auto"/>
            <w:hideMark/>
          </w:tcPr>
          <w:p w14:paraId="422F153F" w14:textId="77777777" w:rsidR="00BD45FD" w:rsidRPr="00F03080" w:rsidRDefault="00BD45FD" w:rsidP="00862B03">
            <w:r w:rsidRPr="00F03080">
              <w:t>22.7</w:t>
            </w:r>
          </w:p>
        </w:tc>
      </w:tr>
      <w:tr w:rsidR="001B534A" w:rsidRPr="00F03080" w14:paraId="71D8DFEA" w14:textId="77777777" w:rsidTr="00997F38">
        <w:trPr>
          <w:trHeight w:val="391"/>
        </w:trPr>
        <w:tc>
          <w:tcPr>
            <w:tcW w:w="0" w:type="auto"/>
            <w:hideMark/>
          </w:tcPr>
          <w:p w14:paraId="23D325F9" w14:textId="77777777" w:rsidR="00BD45FD" w:rsidRPr="00F03080" w:rsidRDefault="00BD45FD" w:rsidP="00862B03"/>
        </w:tc>
        <w:tc>
          <w:tcPr>
            <w:tcW w:w="0" w:type="auto"/>
            <w:hideMark/>
          </w:tcPr>
          <w:p w14:paraId="76647647" w14:textId="77777777" w:rsidR="00BD45FD" w:rsidRPr="00F03080" w:rsidRDefault="00BD45FD" w:rsidP="00862B03">
            <w:r w:rsidRPr="00F03080">
              <w:t>Widowed</w:t>
            </w:r>
          </w:p>
        </w:tc>
        <w:tc>
          <w:tcPr>
            <w:tcW w:w="0" w:type="auto"/>
            <w:hideMark/>
          </w:tcPr>
          <w:p w14:paraId="071A842C" w14:textId="77777777" w:rsidR="00BD45FD" w:rsidRPr="00F03080" w:rsidRDefault="00BD45FD" w:rsidP="00862B03">
            <w:r w:rsidRPr="00F03080">
              <w:t>104</w:t>
            </w:r>
          </w:p>
        </w:tc>
        <w:tc>
          <w:tcPr>
            <w:tcW w:w="0" w:type="auto"/>
            <w:hideMark/>
          </w:tcPr>
          <w:p w14:paraId="1F4D418F" w14:textId="77777777" w:rsidR="00BD45FD" w:rsidRPr="00F03080" w:rsidRDefault="00BD45FD" w:rsidP="00862B03">
            <w:r w:rsidRPr="00F03080">
              <w:t>25.9</w:t>
            </w:r>
          </w:p>
        </w:tc>
      </w:tr>
      <w:tr w:rsidR="001B534A" w:rsidRPr="00F03080" w14:paraId="77CD6F4B" w14:textId="77777777" w:rsidTr="00997F38">
        <w:trPr>
          <w:trHeight w:val="377"/>
        </w:trPr>
        <w:tc>
          <w:tcPr>
            <w:tcW w:w="0" w:type="auto"/>
            <w:hideMark/>
          </w:tcPr>
          <w:p w14:paraId="28131376" w14:textId="77777777" w:rsidR="00BD45FD" w:rsidRPr="00F03080" w:rsidRDefault="00BD45FD" w:rsidP="00862B03">
            <w:r w:rsidRPr="00F03080">
              <w:t>Gender</w:t>
            </w:r>
          </w:p>
        </w:tc>
        <w:tc>
          <w:tcPr>
            <w:tcW w:w="0" w:type="auto"/>
            <w:hideMark/>
          </w:tcPr>
          <w:p w14:paraId="7EDE6EA7" w14:textId="77777777" w:rsidR="00BD45FD" w:rsidRPr="00F03080" w:rsidRDefault="00BD45FD" w:rsidP="00862B03">
            <w:r w:rsidRPr="00F03080">
              <w:t>Male</w:t>
            </w:r>
          </w:p>
        </w:tc>
        <w:tc>
          <w:tcPr>
            <w:tcW w:w="0" w:type="auto"/>
            <w:hideMark/>
          </w:tcPr>
          <w:p w14:paraId="3648063D" w14:textId="77777777" w:rsidR="00BD45FD" w:rsidRPr="00F03080" w:rsidRDefault="00BD45FD" w:rsidP="00862B03">
            <w:r w:rsidRPr="00F03080">
              <w:t>201</w:t>
            </w:r>
          </w:p>
        </w:tc>
        <w:tc>
          <w:tcPr>
            <w:tcW w:w="0" w:type="auto"/>
            <w:hideMark/>
          </w:tcPr>
          <w:p w14:paraId="04241886" w14:textId="77777777" w:rsidR="00BD45FD" w:rsidRPr="00F03080" w:rsidRDefault="00BD45FD" w:rsidP="00862B03">
            <w:r w:rsidRPr="00F03080">
              <w:t>50.1</w:t>
            </w:r>
          </w:p>
        </w:tc>
      </w:tr>
      <w:tr w:rsidR="001B534A" w:rsidRPr="00F03080" w14:paraId="55547C4A" w14:textId="77777777" w:rsidTr="00997F38">
        <w:trPr>
          <w:trHeight w:val="377"/>
        </w:trPr>
        <w:tc>
          <w:tcPr>
            <w:tcW w:w="0" w:type="auto"/>
            <w:hideMark/>
          </w:tcPr>
          <w:p w14:paraId="1F338D4E" w14:textId="77777777" w:rsidR="00BD45FD" w:rsidRPr="00F03080" w:rsidRDefault="00BD45FD" w:rsidP="00862B03"/>
        </w:tc>
        <w:tc>
          <w:tcPr>
            <w:tcW w:w="0" w:type="auto"/>
            <w:hideMark/>
          </w:tcPr>
          <w:p w14:paraId="17C0A2F5" w14:textId="77777777" w:rsidR="00BD45FD" w:rsidRPr="00F03080" w:rsidRDefault="00BD45FD" w:rsidP="00862B03">
            <w:r w:rsidRPr="00F03080">
              <w:t>Female</w:t>
            </w:r>
          </w:p>
        </w:tc>
        <w:tc>
          <w:tcPr>
            <w:tcW w:w="0" w:type="auto"/>
            <w:hideMark/>
          </w:tcPr>
          <w:p w14:paraId="54385EA1" w14:textId="77777777" w:rsidR="00BD45FD" w:rsidRPr="00F03080" w:rsidRDefault="00BD45FD" w:rsidP="00862B03">
            <w:r w:rsidRPr="00F03080">
              <w:t>200</w:t>
            </w:r>
          </w:p>
        </w:tc>
        <w:tc>
          <w:tcPr>
            <w:tcW w:w="0" w:type="auto"/>
            <w:hideMark/>
          </w:tcPr>
          <w:p w14:paraId="11932739" w14:textId="77777777" w:rsidR="00BD45FD" w:rsidRPr="00F03080" w:rsidRDefault="00BD45FD" w:rsidP="00862B03">
            <w:r w:rsidRPr="00F03080">
              <w:t>49.9</w:t>
            </w:r>
          </w:p>
        </w:tc>
      </w:tr>
      <w:tr w:rsidR="001B534A" w:rsidRPr="00F03080" w14:paraId="648E7EA8" w14:textId="77777777" w:rsidTr="00997F38">
        <w:trPr>
          <w:trHeight w:val="377"/>
        </w:trPr>
        <w:tc>
          <w:tcPr>
            <w:tcW w:w="0" w:type="auto"/>
            <w:hideMark/>
          </w:tcPr>
          <w:p w14:paraId="253100C5" w14:textId="77777777" w:rsidR="00BD45FD" w:rsidRPr="00F03080" w:rsidRDefault="00BD45FD" w:rsidP="00862B03">
            <w:r w:rsidRPr="00F03080">
              <w:t>Education Level</w:t>
            </w:r>
          </w:p>
        </w:tc>
        <w:tc>
          <w:tcPr>
            <w:tcW w:w="0" w:type="auto"/>
            <w:hideMark/>
          </w:tcPr>
          <w:p w14:paraId="63F74FE5" w14:textId="77777777" w:rsidR="00BD45FD" w:rsidRPr="00F03080" w:rsidRDefault="00BD45FD" w:rsidP="00862B03">
            <w:r w:rsidRPr="00F03080">
              <w:t>Primary</w:t>
            </w:r>
          </w:p>
        </w:tc>
        <w:tc>
          <w:tcPr>
            <w:tcW w:w="0" w:type="auto"/>
            <w:hideMark/>
          </w:tcPr>
          <w:p w14:paraId="21C0E53A" w14:textId="77777777" w:rsidR="00BD45FD" w:rsidRPr="00F03080" w:rsidRDefault="00BD45FD" w:rsidP="00862B03">
            <w:r w:rsidRPr="00F03080">
              <w:t>71</w:t>
            </w:r>
          </w:p>
        </w:tc>
        <w:tc>
          <w:tcPr>
            <w:tcW w:w="0" w:type="auto"/>
            <w:hideMark/>
          </w:tcPr>
          <w:p w14:paraId="00269E2B" w14:textId="77777777" w:rsidR="00BD45FD" w:rsidRPr="00F03080" w:rsidRDefault="00BD45FD" w:rsidP="00862B03">
            <w:r w:rsidRPr="00F03080">
              <w:t>17.7</w:t>
            </w:r>
          </w:p>
        </w:tc>
      </w:tr>
      <w:tr w:rsidR="001B534A" w:rsidRPr="00F03080" w14:paraId="0E63DB9D" w14:textId="77777777" w:rsidTr="00997F38">
        <w:trPr>
          <w:trHeight w:val="377"/>
        </w:trPr>
        <w:tc>
          <w:tcPr>
            <w:tcW w:w="0" w:type="auto"/>
            <w:hideMark/>
          </w:tcPr>
          <w:p w14:paraId="499DE539" w14:textId="77777777" w:rsidR="00BD45FD" w:rsidRPr="00F03080" w:rsidRDefault="00BD45FD" w:rsidP="00862B03"/>
        </w:tc>
        <w:tc>
          <w:tcPr>
            <w:tcW w:w="0" w:type="auto"/>
            <w:hideMark/>
          </w:tcPr>
          <w:p w14:paraId="496F9D0A" w14:textId="77777777" w:rsidR="00BD45FD" w:rsidRPr="00F03080" w:rsidRDefault="00BD45FD" w:rsidP="00862B03">
            <w:r w:rsidRPr="00F03080">
              <w:t>Secondary</w:t>
            </w:r>
          </w:p>
        </w:tc>
        <w:tc>
          <w:tcPr>
            <w:tcW w:w="0" w:type="auto"/>
            <w:hideMark/>
          </w:tcPr>
          <w:p w14:paraId="59E86099" w14:textId="77777777" w:rsidR="00BD45FD" w:rsidRPr="00F03080" w:rsidRDefault="00BD45FD" w:rsidP="00862B03">
            <w:r w:rsidRPr="00F03080">
              <w:t>88</w:t>
            </w:r>
          </w:p>
        </w:tc>
        <w:tc>
          <w:tcPr>
            <w:tcW w:w="0" w:type="auto"/>
            <w:hideMark/>
          </w:tcPr>
          <w:p w14:paraId="42CEB0DD" w14:textId="77777777" w:rsidR="00BD45FD" w:rsidRPr="00F03080" w:rsidRDefault="00BD45FD" w:rsidP="00862B03">
            <w:r w:rsidRPr="00F03080">
              <w:t>21.9</w:t>
            </w:r>
          </w:p>
        </w:tc>
      </w:tr>
      <w:tr w:rsidR="001B534A" w:rsidRPr="00F03080" w14:paraId="395BB541" w14:textId="77777777" w:rsidTr="00997F38">
        <w:trPr>
          <w:trHeight w:val="377"/>
        </w:trPr>
        <w:tc>
          <w:tcPr>
            <w:tcW w:w="0" w:type="auto"/>
            <w:hideMark/>
          </w:tcPr>
          <w:p w14:paraId="27ECDAE5" w14:textId="77777777" w:rsidR="00BD45FD" w:rsidRPr="00F03080" w:rsidRDefault="00BD45FD" w:rsidP="00862B03"/>
        </w:tc>
        <w:tc>
          <w:tcPr>
            <w:tcW w:w="0" w:type="auto"/>
            <w:hideMark/>
          </w:tcPr>
          <w:p w14:paraId="44965A42" w14:textId="77777777" w:rsidR="00BD45FD" w:rsidRPr="00F03080" w:rsidRDefault="00BD45FD" w:rsidP="00862B03">
            <w:r w:rsidRPr="00F03080">
              <w:t>Tertiary</w:t>
            </w:r>
          </w:p>
        </w:tc>
        <w:tc>
          <w:tcPr>
            <w:tcW w:w="0" w:type="auto"/>
            <w:hideMark/>
          </w:tcPr>
          <w:p w14:paraId="5711725D" w14:textId="77777777" w:rsidR="00BD45FD" w:rsidRPr="00F03080" w:rsidRDefault="00BD45FD" w:rsidP="00862B03">
            <w:r w:rsidRPr="00F03080">
              <w:t>74</w:t>
            </w:r>
          </w:p>
        </w:tc>
        <w:tc>
          <w:tcPr>
            <w:tcW w:w="0" w:type="auto"/>
            <w:hideMark/>
          </w:tcPr>
          <w:p w14:paraId="535D3233" w14:textId="77777777" w:rsidR="00BD45FD" w:rsidRPr="00F03080" w:rsidRDefault="00BD45FD" w:rsidP="00862B03">
            <w:r w:rsidRPr="00F03080">
              <w:t>18.5</w:t>
            </w:r>
          </w:p>
        </w:tc>
      </w:tr>
      <w:tr w:rsidR="001B534A" w:rsidRPr="00F03080" w14:paraId="3974D003" w14:textId="77777777" w:rsidTr="00997F38">
        <w:trPr>
          <w:trHeight w:val="377"/>
        </w:trPr>
        <w:tc>
          <w:tcPr>
            <w:tcW w:w="0" w:type="auto"/>
            <w:hideMark/>
          </w:tcPr>
          <w:p w14:paraId="0E455994" w14:textId="77777777" w:rsidR="00BD45FD" w:rsidRPr="00F03080" w:rsidRDefault="00BD45FD" w:rsidP="00862B03"/>
        </w:tc>
        <w:tc>
          <w:tcPr>
            <w:tcW w:w="0" w:type="auto"/>
            <w:hideMark/>
          </w:tcPr>
          <w:p w14:paraId="158A49E0" w14:textId="77777777" w:rsidR="00BD45FD" w:rsidRPr="00F03080" w:rsidRDefault="00BD45FD" w:rsidP="00862B03">
            <w:r w:rsidRPr="00F03080">
              <w:t>University</w:t>
            </w:r>
          </w:p>
        </w:tc>
        <w:tc>
          <w:tcPr>
            <w:tcW w:w="0" w:type="auto"/>
            <w:hideMark/>
          </w:tcPr>
          <w:p w14:paraId="7540D84F" w14:textId="77777777" w:rsidR="00BD45FD" w:rsidRPr="00F03080" w:rsidRDefault="00BD45FD" w:rsidP="00862B03">
            <w:r w:rsidRPr="00F03080">
              <w:t>80</w:t>
            </w:r>
          </w:p>
        </w:tc>
        <w:tc>
          <w:tcPr>
            <w:tcW w:w="0" w:type="auto"/>
            <w:hideMark/>
          </w:tcPr>
          <w:p w14:paraId="53B748E8" w14:textId="77777777" w:rsidR="00BD45FD" w:rsidRPr="00F03080" w:rsidRDefault="00BD45FD" w:rsidP="00862B03">
            <w:r w:rsidRPr="00F03080">
              <w:t>20.0</w:t>
            </w:r>
          </w:p>
        </w:tc>
      </w:tr>
      <w:tr w:rsidR="001B534A" w:rsidRPr="00F03080" w14:paraId="2CC2A35B" w14:textId="77777777" w:rsidTr="00997F38">
        <w:trPr>
          <w:trHeight w:val="377"/>
        </w:trPr>
        <w:tc>
          <w:tcPr>
            <w:tcW w:w="0" w:type="auto"/>
            <w:hideMark/>
          </w:tcPr>
          <w:p w14:paraId="515CD3DD" w14:textId="77777777" w:rsidR="00BD45FD" w:rsidRPr="00F03080" w:rsidRDefault="00BD45FD" w:rsidP="00862B03"/>
        </w:tc>
        <w:tc>
          <w:tcPr>
            <w:tcW w:w="0" w:type="auto"/>
            <w:hideMark/>
          </w:tcPr>
          <w:p w14:paraId="713897C7" w14:textId="77777777" w:rsidR="00BD45FD" w:rsidRPr="00F03080" w:rsidRDefault="00BD45FD" w:rsidP="00862B03">
            <w:r w:rsidRPr="00F03080">
              <w:t>Postgraduate</w:t>
            </w:r>
          </w:p>
        </w:tc>
        <w:tc>
          <w:tcPr>
            <w:tcW w:w="0" w:type="auto"/>
            <w:hideMark/>
          </w:tcPr>
          <w:p w14:paraId="2323ACF9" w14:textId="77777777" w:rsidR="00BD45FD" w:rsidRPr="00F03080" w:rsidRDefault="00BD45FD" w:rsidP="00862B03">
            <w:r w:rsidRPr="00F03080">
              <w:t>88</w:t>
            </w:r>
          </w:p>
        </w:tc>
        <w:tc>
          <w:tcPr>
            <w:tcW w:w="0" w:type="auto"/>
            <w:hideMark/>
          </w:tcPr>
          <w:p w14:paraId="2AAF93B7" w14:textId="77777777" w:rsidR="00BD45FD" w:rsidRPr="00F03080" w:rsidRDefault="00BD45FD" w:rsidP="00862B03">
            <w:r w:rsidRPr="00F03080">
              <w:t>21.9</w:t>
            </w:r>
          </w:p>
        </w:tc>
      </w:tr>
      <w:tr w:rsidR="001B534A" w:rsidRPr="00F03080" w14:paraId="4779DF5D" w14:textId="77777777" w:rsidTr="00997F38">
        <w:trPr>
          <w:trHeight w:val="377"/>
        </w:trPr>
        <w:tc>
          <w:tcPr>
            <w:tcW w:w="0" w:type="auto"/>
            <w:hideMark/>
          </w:tcPr>
          <w:p w14:paraId="4201A5A9" w14:textId="77777777" w:rsidR="00BD45FD" w:rsidRPr="00F03080" w:rsidRDefault="00BD45FD" w:rsidP="00862B03">
            <w:r w:rsidRPr="00F03080">
              <w:t>Employment Status</w:t>
            </w:r>
          </w:p>
        </w:tc>
        <w:tc>
          <w:tcPr>
            <w:tcW w:w="0" w:type="auto"/>
            <w:hideMark/>
          </w:tcPr>
          <w:p w14:paraId="543D28CC" w14:textId="77777777" w:rsidR="00BD45FD" w:rsidRPr="00F03080" w:rsidRDefault="00BD45FD" w:rsidP="00862B03">
            <w:r w:rsidRPr="00F03080">
              <w:t>Permanent</w:t>
            </w:r>
          </w:p>
        </w:tc>
        <w:tc>
          <w:tcPr>
            <w:tcW w:w="0" w:type="auto"/>
            <w:hideMark/>
          </w:tcPr>
          <w:p w14:paraId="4953033C" w14:textId="77777777" w:rsidR="00BD45FD" w:rsidRPr="00F03080" w:rsidRDefault="00BD45FD" w:rsidP="00862B03">
            <w:r w:rsidRPr="00F03080">
              <w:t>84</w:t>
            </w:r>
          </w:p>
        </w:tc>
        <w:tc>
          <w:tcPr>
            <w:tcW w:w="0" w:type="auto"/>
            <w:hideMark/>
          </w:tcPr>
          <w:p w14:paraId="10AFE892" w14:textId="77777777" w:rsidR="00BD45FD" w:rsidRPr="00F03080" w:rsidRDefault="00BD45FD" w:rsidP="00862B03">
            <w:r w:rsidRPr="00F03080">
              <w:t>20.9</w:t>
            </w:r>
          </w:p>
        </w:tc>
      </w:tr>
      <w:tr w:rsidR="001B534A" w:rsidRPr="00F03080" w14:paraId="2C03F9A7" w14:textId="77777777" w:rsidTr="00997F38">
        <w:trPr>
          <w:trHeight w:val="377"/>
        </w:trPr>
        <w:tc>
          <w:tcPr>
            <w:tcW w:w="0" w:type="auto"/>
            <w:hideMark/>
          </w:tcPr>
          <w:p w14:paraId="297AC0B6" w14:textId="77777777" w:rsidR="00BD45FD" w:rsidRPr="00F03080" w:rsidRDefault="00BD45FD" w:rsidP="00862B03"/>
        </w:tc>
        <w:tc>
          <w:tcPr>
            <w:tcW w:w="0" w:type="auto"/>
            <w:hideMark/>
          </w:tcPr>
          <w:p w14:paraId="653FDC5C" w14:textId="77777777" w:rsidR="00BD45FD" w:rsidRPr="00F03080" w:rsidRDefault="00BD45FD" w:rsidP="00862B03">
            <w:r w:rsidRPr="00F03080">
              <w:t>Temporary</w:t>
            </w:r>
          </w:p>
        </w:tc>
        <w:tc>
          <w:tcPr>
            <w:tcW w:w="0" w:type="auto"/>
            <w:hideMark/>
          </w:tcPr>
          <w:p w14:paraId="5DF591E2" w14:textId="77777777" w:rsidR="00BD45FD" w:rsidRPr="00F03080" w:rsidRDefault="00BD45FD" w:rsidP="00862B03">
            <w:r w:rsidRPr="00F03080">
              <w:t>66</w:t>
            </w:r>
          </w:p>
        </w:tc>
        <w:tc>
          <w:tcPr>
            <w:tcW w:w="0" w:type="auto"/>
            <w:hideMark/>
          </w:tcPr>
          <w:p w14:paraId="30EA6A7D" w14:textId="77777777" w:rsidR="00BD45FD" w:rsidRPr="00F03080" w:rsidRDefault="00BD45FD" w:rsidP="00862B03">
            <w:r w:rsidRPr="00F03080">
              <w:t>16.5</w:t>
            </w:r>
          </w:p>
        </w:tc>
      </w:tr>
      <w:tr w:rsidR="001B534A" w:rsidRPr="00F03080" w14:paraId="75EF3F35" w14:textId="77777777" w:rsidTr="00997F38">
        <w:trPr>
          <w:trHeight w:val="377"/>
        </w:trPr>
        <w:tc>
          <w:tcPr>
            <w:tcW w:w="0" w:type="auto"/>
            <w:hideMark/>
          </w:tcPr>
          <w:p w14:paraId="2F8D5702" w14:textId="77777777" w:rsidR="00BD45FD" w:rsidRPr="00F03080" w:rsidRDefault="00BD45FD" w:rsidP="00862B03"/>
        </w:tc>
        <w:tc>
          <w:tcPr>
            <w:tcW w:w="0" w:type="auto"/>
            <w:hideMark/>
          </w:tcPr>
          <w:p w14:paraId="5C4FAB4F" w14:textId="77777777" w:rsidR="00BD45FD" w:rsidRPr="00F03080" w:rsidRDefault="00BD45FD" w:rsidP="00862B03">
            <w:r w:rsidRPr="00F03080">
              <w:t>Part-time</w:t>
            </w:r>
          </w:p>
        </w:tc>
        <w:tc>
          <w:tcPr>
            <w:tcW w:w="0" w:type="auto"/>
            <w:hideMark/>
          </w:tcPr>
          <w:p w14:paraId="776BEFC1" w14:textId="77777777" w:rsidR="00BD45FD" w:rsidRPr="00F03080" w:rsidRDefault="00BD45FD" w:rsidP="00862B03">
            <w:r w:rsidRPr="00F03080">
              <w:t>94</w:t>
            </w:r>
          </w:p>
        </w:tc>
        <w:tc>
          <w:tcPr>
            <w:tcW w:w="0" w:type="auto"/>
            <w:hideMark/>
          </w:tcPr>
          <w:p w14:paraId="02D9BB33" w14:textId="77777777" w:rsidR="00BD45FD" w:rsidRPr="00F03080" w:rsidRDefault="00BD45FD" w:rsidP="00862B03">
            <w:r w:rsidRPr="00F03080">
              <w:t>23.4</w:t>
            </w:r>
          </w:p>
        </w:tc>
      </w:tr>
      <w:tr w:rsidR="001B534A" w:rsidRPr="00F03080" w14:paraId="443F2701" w14:textId="77777777" w:rsidTr="00997F38">
        <w:trPr>
          <w:trHeight w:val="377"/>
        </w:trPr>
        <w:tc>
          <w:tcPr>
            <w:tcW w:w="0" w:type="auto"/>
            <w:hideMark/>
          </w:tcPr>
          <w:p w14:paraId="7658D07C" w14:textId="77777777" w:rsidR="00BD45FD" w:rsidRPr="00F03080" w:rsidRDefault="00BD45FD" w:rsidP="00862B03"/>
        </w:tc>
        <w:tc>
          <w:tcPr>
            <w:tcW w:w="0" w:type="auto"/>
            <w:hideMark/>
          </w:tcPr>
          <w:p w14:paraId="48431C1C" w14:textId="77777777" w:rsidR="00BD45FD" w:rsidRPr="00F03080" w:rsidRDefault="00BD45FD" w:rsidP="00862B03">
            <w:r w:rsidRPr="00F03080">
              <w:t>Contract</w:t>
            </w:r>
          </w:p>
        </w:tc>
        <w:tc>
          <w:tcPr>
            <w:tcW w:w="0" w:type="auto"/>
            <w:hideMark/>
          </w:tcPr>
          <w:p w14:paraId="519A29C6" w14:textId="77777777" w:rsidR="00BD45FD" w:rsidRPr="00F03080" w:rsidRDefault="00BD45FD" w:rsidP="00862B03">
            <w:r w:rsidRPr="00F03080">
              <w:t>69</w:t>
            </w:r>
          </w:p>
        </w:tc>
        <w:tc>
          <w:tcPr>
            <w:tcW w:w="0" w:type="auto"/>
            <w:hideMark/>
          </w:tcPr>
          <w:p w14:paraId="22417556" w14:textId="77777777" w:rsidR="00BD45FD" w:rsidRPr="00F03080" w:rsidRDefault="00BD45FD" w:rsidP="00862B03">
            <w:r w:rsidRPr="00F03080">
              <w:t>17.2</w:t>
            </w:r>
          </w:p>
        </w:tc>
      </w:tr>
      <w:tr w:rsidR="001B534A" w:rsidRPr="00F03080" w14:paraId="69BD5B43" w14:textId="77777777" w:rsidTr="00997F38">
        <w:trPr>
          <w:trHeight w:val="377"/>
        </w:trPr>
        <w:tc>
          <w:tcPr>
            <w:tcW w:w="0" w:type="auto"/>
            <w:hideMark/>
          </w:tcPr>
          <w:p w14:paraId="45C82522" w14:textId="77777777" w:rsidR="00BD45FD" w:rsidRPr="00F03080" w:rsidRDefault="00BD45FD" w:rsidP="00862B03"/>
        </w:tc>
        <w:tc>
          <w:tcPr>
            <w:tcW w:w="0" w:type="auto"/>
            <w:hideMark/>
          </w:tcPr>
          <w:p w14:paraId="2A45660A" w14:textId="77777777" w:rsidR="00BD45FD" w:rsidRPr="00F03080" w:rsidRDefault="00BD45FD" w:rsidP="00862B03">
            <w:r w:rsidRPr="00F03080">
              <w:t>Other</w:t>
            </w:r>
          </w:p>
        </w:tc>
        <w:tc>
          <w:tcPr>
            <w:tcW w:w="0" w:type="auto"/>
            <w:hideMark/>
          </w:tcPr>
          <w:p w14:paraId="43685B8F" w14:textId="77777777" w:rsidR="00BD45FD" w:rsidRPr="00F03080" w:rsidRDefault="00BD45FD" w:rsidP="00862B03">
            <w:r w:rsidRPr="00F03080">
              <w:t>88</w:t>
            </w:r>
          </w:p>
        </w:tc>
        <w:tc>
          <w:tcPr>
            <w:tcW w:w="0" w:type="auto"/>
            <w:hideMark/>
          </w:tcPr>
          <w:p w14:paraId="158D5332" w14:textId="77777777" w:rsidR="00BD45FD" w:rsidRPr="00F03080" w:rsidRDefault="00BD45FD" w:rsidP="00862B03">
            <w:r w:rsidRPr="00F03080">
              <w:t>21.9</w:t>
            </w:r>
          </w:p>
        </w:tc>
      </w:tr>
      <w:tr w:rsidR="001B534A" w:rsidRPr="00F03080" w14:paraId="18329A90" w14:textId="77777777" w:rsidTr="00997F38">
        <w:trPr>
          <w:trHeight w:val="377"/>
        </w:trPr>
        <w:tc>
          <w:tcPr>
            <w:tcW w:w="0" w:type="auto"/>
            <w:hideMark/>
          </w:tcPr>
          <w:p w14:paraId="2062F8BA" w14:textId="77777777" w:rsidR="00BD45FD" w:rsidRPr="00F03080" w:rsidRDefault="00BD45FD" w:rsidP="00862B03">
            <w:r w:rsidRPr="00F03080">
              <w:t>Hospital Level</w:t>
            </w:r>
          </w:p>
        </w:tc>
        <w:tc>
          <w:tcPr>
            <w:tcW w:w="0" w:type="auto"/>
            <w:hideMark/>
          </w:tcPr>
          <w:p w14:paraId="0FECB3D1" w14:textId="77777777" w:rsidR="00BD45FD" w:rsidRPr="00F03080" w:rsidRDefault="00BD45FD" w:rsidP="00862B03">
            <w:r w:rsidRPr="00F03080">
              <w:t>Level 3</w:t>
            </w:r>
          </w:p>
        </w:tc>
        <w:tc>
          <w:tcPr>
            <w:tcW w:w="0" w:type="auto"/>
            <w:hideMark/>
          </w:tcPr>
          <w:p w14:paraId="06BB0DE7" w14:textId="77777777" w:rsidR="00BD45FD" w:rsidRPr="00F03080" w:rsidRDefault="00BD45FD" w:rsidP="00862B03">
            <w:r w:rsidRPr="00F03080">
              <w:t>92</w:t>
            </w:r>
          </w:p>
        </w:tc>
        <w:tc>
          <w:tcPr>
            <w:tcW w:w="0" w:type="auto"/>
            <w:hideMark/>
          </w:tcPr>
          <w:p w14:paraId="51111A81" w14:textId="77777777" w:rsidR="00BD45FD" w:rsidRPr="00F03080" w:rsidRDefault="00BD45FD" w:rsidP="00862B03">
            <w:r w:rsidRPr="00F03080">
              <w:t>22.9</w:t>
            </w:r>
          </w:p>
        </w:tc>
      </w:tr>
      <w:tr w:rsidR="001B534A" w:rsidRPr="00F03080" w14:paraId="2FD57D52" w14:textId="77777777" w:rsidTr="00997F38">
        <w:trPr>
          <w:trHeight w:val="377"/>
        </w:trPr>
        <w:tc>
          <w:tcPr>
            <w:tcW w:w="0" w:type="auto"/>
            <w:hideMark/>
          </w:tcPr>
          <w:p w14:paraId="686035AA" w14:textId="77777777" w:rsidR="00BD45FD" w:rsidRPr="00F03080" w:rsidRDefault="00BD45FD" w:rsidP="00862B03"/>
        </w:tc>
        <w:tc>
          <w:tcPr>
            <w:tcW w:w="0" w:type="auto"/>
            <w:hideMark/>
          </w:tcPr>
          <w:p w14:paraId="4DF7B32B" w14:textId="77777777" w:rsidR="00BD45FD" w:rsidRPr="00F03080" w:rsidRDefault="00BD45FD" w:rsidP="00862B03">
            <w:r w:rsidRPr="00F03080">
              <w:t>Level 4</w:t>
            </w:r>
          </w:p>
        </w:tc>
        <w:tc>
          <w:tcPr>
            <w:tcW w:w="0" w:type="auto"/>
            <w:hideMark/>
          </w:tcPr>
          <w:p w14:paraId="32A14E7D" w14:textId="77777777" w:rsidR="00BD45FD" w:rsidRPr="00F03080" w:rsidRDefault="00BD45FD" w:rsidP="00862B03">
            <w:r w:rsidRPr="00F03080">
              <w:t>97</w:t>
            </w:r>
          </w:p>
        </w:tc>
        <w:tc>
          <w:tcPr>
            <w:tcW w:w="0" w:type="auto"/>
            <w:hideMark/>
          </w:tcPr>
          <w:p w14:paraId="714CF164" w14:textId="77777777" w:rsidR="00BD45FD" w:rsidRPr="00F03080" w:rsidRDefault="00BD45FD" w:rsidP="00862B03">
            <w:r w:rsidRPr="00F03080">
              <w:t>24.2</w:t>
            </w:r>
          </w:p>
        </w:tc>
      </w:tr>
      <w:tr w:rsidR="001B534A" w:rsidRPr="00F03080" w14:paraId="605F8E29" w14:textId="77777777" w:rsidTr="00997F38">
        <w:trPr>
          <w:trHeight w:val="377"/>
        </w:trPr>
        <w:tc>
          <w:tcPr>
            <w:tcW w:w="0" w:type="auto"/>
            <w:hideMark/>
          </w:tcPr>
          <w:p w14:paraId="2C356D29" w14:textId="77777777" w:rsidR="00BD45FD" w:rsidRPr="00F03080" w:rsidRDefault="00BD45FD" w:rsidP="00862B03"/>
        </w:tc>
        <w:tc>
          <w:tcPr>
            <w:tcW w:w="0" w:type="auto"/>
            <w:hideMark/>
          </w:tcPr>
          <w:p w14:paraId="18A9847B" w14:textId="77777777" w:rsidR="00BD45FD" w:rsidRPr="00F03080" w:rsidRDefault="00BD45FD" w:rsidP="00862B03">
            <w:r w:rsidRPr="00F03080">
              <w:t>Level 5</w:t>
            </w:r>
          </w:p>
        </w:tc>
        <w:tc>
          <w:tcPr>
            <w:tcW w:w="0" w:type="auto"/>
            <w:hideMark/>
          </w:tcPr>
          <w:p w14:paraId="3A4C1A35" w14:textId="77777777" w:rsidR="00BD45FD" w:rsidRPr="00F03080" w:rsidRDefault="00BD45FD" w:rsidP="00862B03">
            <w:r w:rsidRPr="00F03080">
              <w:t>110</w:t>
            </w:r>
          </w:p>
        </w:tc>
        <w:tc>
          <w:tcPr>
            <w:tcW w:w="0" w:type="auto"/>
            <w:hideMark/>
          </w:tcPr>
          <w:p w14:paraId="14962D96" w14:textId="77777777" w:rsidR="00BD45FD" w:rsidRPr="00F03080" w:rsidRDefault="00BD45FD" w:rsidP="00862B03">
            <w:r w:rsidRPr="00F03080">
              <w:t>27.4</w:t>
            </w:r>
          </w:p>
        </w:tc>
      </w:tr>
      <w:tr w:rsidR="001B534A" w:rsidRPr="00F03080" w14:paraId="17D31FB2" w14:textId="77777777" w:rsidTr="00997F38">
        <w:trPr>
          <w:trHeight w:val="377"/>
        </w:trPr>
        <w:tc>
          <w:tcPr>
            <w:tcW w:w="0" w:type="auto"/>
            <w:hideMark/>
          </w:tcPr>
          <w:p w14:paraId="4CDD9D5A" w14:textId="77777777" w:rsidR="00BD45FD" w:rsidRPr="00F03080" w:rsidRDefault="00BD45FD" w:rsidP="00862B03"/>
        </w:tc>
        <w:tc>
          <w:tcPr>
            <w:tcW w:w="0" w:type="auto"/>
            <w:hideMark/>
          </w:tcPr>
          <w:p w14:paraId="6CEA5318" w14:textId="77777777" w:rsidR="00BD45FD" w:rsidRPr="00F03080" w:rsidRDefault="00BD45FD" w:rsidP="00862B03">
            <w:r w:rsidRPr="00F03080">
              <w:t>Level 6</w:t>
            </w:r>
          </w:p>
        </w:tc>
        <w:tc>
          <w:tcPr>
            <w:tcW w:w="0" w:type="auto"/>
            <w:hideMark/>
          </w:tcPr>
          <w:p w14:paraId="7482B1E8" w14:textId="77777777" w:rsidR="00BD45FD" w:rsidRPr="00F03080" w:rsidRDefault="00BD45FD" w:rsidP="00862B03">
            <w:r w:rsidRPr="00F03080">
              <w:t>102</w:t>
            </w:r>
          </w:p>
        </w:tc>
        <w:tc>
          <w:tcPr>
            <w:tcW w:w="0" w:type="auto"/>
            <w:hideMark/>
          </w:tcPr>
          <w:p w14:paraId="54F00A97" w14:textId="77777777" w:rsidR="00BD45FD" w:rsidRPr="00F03080" w:rsidRDefault="00BD45FD" w:rsidP="00862B03">
            <w:r w:rsidRPr="00F03080">
              <w:t>25.4</w:t>
            </w:r>
          </w:p>
        </w:tc>
      </w:tr>
    </w:tbl>
    <w:p w14:paraId="67BD260D" w14:textId="1579D3B7" w:rsidR="00BD45FD" w:rsidRPr="00F03080" w:rsidRDefault="00BD45FD" w:rsidP="00862B03">
      <w:pPr>
        <w:spacing w:before="120" w:line="360" w:lineRule="auto"/>
        <w:jc w:val="both"/>
        <w:rPr>
          <w:b/>
        </w:rPr>
      </w:pPr>
    </w:p>
    <w:p w14:paraId="35C97CD5" w14:textId="7EE2C9BF" w:rsidR="006D493D" w:rsidRPr="00F03080" w:rsidRDefault="00D85C21" w:rsidP="00862B03">
      <w:pPr>
        <w:spacing w:before="120" w:line="360" w:lineRule="auto"/>
        <w:jc w:val="both"/>
        <w:rPr>
          <w:b/>
          <w:bCs/>
        </w:rPr>
      </w:pPr>
      <w:r>
        <w:rPr>
          <w:b/>
          <w:bCs/>
        </w:rPr>
        <w:t xml:space="preserve">Implementation of </w:t>
      </w:r>
      <w:r w:rsidRPr="00D85C21">
        <w:t>the</w:t>
      </w:r>
      <w:r w:rsidRPr="00D85C21">
        <w:rPr>
          <w:b/>
        </w:rPr>
        <w:t xml:space="preserve"> Social Health Authority</w:t>
      </w:r>
      <w:r w:rsidRPr="00D85C21">
        <w:rPr>
          <w:b/>
          <w:bCs/>
        </w:rPr>
        <w:t xml:space="preserve"> </w:t>
      </w:r>
      <w:r>
        <w:rPr>
          <w:b/>
          <w:bCs/>
        </w:rPr>
        <w:t>(</w:t>
      </w:r>
      <w:r w:rsidRPr="00F03080">
        <w:rPr>
          <w:b/>
          <w:bCs/>
        </w:rPr>
        <w:t>SHA</w:t>
      </w:r>
      <w:r>
        <w:rPr>
          <w:b/>
          <w:bCs/>
        </w:rPr>
        <w:t>)</w:t>
      </w:r>
    </w:p>
    <w:p w14:paraId="6042BD32" w14:textId="77777777" w:rsidR="00F6002E" w:rsidRPr="00F03080" w:rsidRDefault="00F6002E" w:rsidP="00862B03">
      <w:pPr>
        <w:spacing w:after="100" w:afterAutospacing="1" w:line="360" w:lineRule="auto"/>
        <w:jc w:val="both"/>
      </w:pPr>
      <w:r w:rsidRPr="00F03080">
        <w:t>Table 2 presents the descriptive statistics for the Social Health Authority (SHA) attributes. Reimbursement mechanisms recorded the highest mean score (M = 2.50, SD = 0.51), indicating that respondents generally had moderately positive perceptions regarding the effectiveness of reimbursement processes within the healthcare system. The scores ranged from 1.0 to 4.0, suggesting variation in respondents' experiences across healthcare facilities.</w:t>
      </w:r>
    </w:p>
    <w:p w14:paraId="589D796A" w14:textId="319CCF02" w:rsidR="00F6002E" w:rsidRPr="00F03080" w:rsidRDefault="00F6002E" w:rsidP="00862B03">
      <w:pPr>
        <w:spacing w:after="100" w:afterAutospacing="1" w:line="360" w:lineRule="auto"/>
        <w:jc w:val="both"/>
      </w:pPr>
      <w:r w:rsidRPr="00F03080">
        <w:lastRenderedPageBreak/>
        <w:t>Strategic purchasing practices had a mean score of 2.34 (SD = 0.56), indicating moderate implementation of strategic purchasing approaches. The relatively low standard deviation suggests that respondents held fairly similar views regarding the extent to which these practices were applied. Funding adequacy recorded a mean score of 2.25 (SD = 0.46), suggesting that respondents perceived available funding as only moderately adequate for supporting healthcare services. The narrow spread of responses indicates a relatively consistent assessment among participants.</w:t>
      </w:r>
    </w:p>
    <w:p w14:paraId="7D6471C2" w14:textId="3B552553" w:rsidR="00C375DC" w:rsidRPr="00C375DC" w:rsidRDefault="00F6002E" w:rsidP="00CD4D59">
      <w:pPr>
        <w:spacing w:after="100" w:afterAutospacing="1" w:line="360" w:lineRule="auto"/>
        <w:jc w:val="both"/>
      </w:pPr>
      <w:r w:rsidRPr="00F03080">
        <w:t>Financial accountability systems had the lowest mean score (M = 2.11, SD = 0.61), implying comparatively weaker perceptions of financial accountability mechanisms. The higher standard deviation relative to the other variables indicates greater variability in respondents’ views concerning accountabili</w:t>
      </w:r>
      <w:r w:rsidR="00DE03D2">
        <w:t>ty practices across facilities.</w:t>
      </w:r>
    </w:p>
    <w:p w14:paraId="42FEDBF6" w14:textId="36CDA054" w:rsidR="00604DFB" w:rsidRPr="00F03080" w:rsidRDefault="00236CA7" w:rsidP="00C375DC">
      <w:pPr>
        <w:pStyle w:val="Caption"/>
        <w:keepNext/>
        <w:spacing w:line="276" w:lineRule="auto"/>
        <w:jc w:val="both"/>
        <w:rPr>
          <w:color w:val="auto"/>
        </w:rPr>
      </w:pPr>
      <w:r w:rsidRPr="00F03080">
        <w:rPr>
          <w:color w:val="auto"/>
        </w:rPr>
        <w:t xml:space="preserve">Table </w:t>
      </w:r>
      <w:r w:rsidRPr="00F03080">
        <w:rPr>
          <w:color w:val="auto"/>
        </w:rPr>
        <w:fldChar w:fldCharType="begin"/>
      </w:r>
      <w:r w:rsidRPr="00F03080">
        <w:rPr>
          <w:color w:val="auto"/>
        </w:rPr>
        <w:instrText xml:space="preserve"> SEQ Table \* ARABIC </w:instrText>
      </w:r>
      <w:r w:rsidRPr="00F03080">
        <w:rPr>
          <w:color w:val="auto"/>
        </w:rPr>
        <w:fldChar w:fldCharType="separate"/>
      </w:r>
      <w:r w:rsidR="00365C2F" w:rsidRPr="00F03080">
        <w:rPr>
          <w:noProof/>
          <w:color w:val="auto"/>
        </w:rPr>
        <w:t>2</w:t>
      </w:r>
      <w:r w:rsidRPr="00F03080">
        <w:rPr>
          <w:color w:val="auto"/>
        </w:rPr>
        <w:fldChar w:fldCharType="end"/>
      </w:r>
      <w:r w:rsidR="00C375DC">
        <w:rPr>
          <w:color w:val="auto"/>
        </w:rPr>
        <w:t>:</w:t>
      </w:r>
      <w:r w:rsidR="00C375DC" w:rsidRPr="00F03080">
        <w:rPr>
          <w:color w:val="auto"/>
        </w:rPr>
        <w:t xml:space="preserve"> Descriptive</w:t>
      </w:r>
      <w:r w:rsidRPr="00F03080">
        <w:rPr>
          <w:color w:val="auto"/>
        </w:rPr>
        <w:t xml:space="preserve"> Statistics for Social Health Authority (SHA) Implementation (N = 401)</w:t>
      </w:r>
    </w:p>
    <w:tbl>
      <w:tblPr>
        <w:tblStyle w:val="TableGrid"/>
        <w:tblW w:w="8075" w:type="dxa"/>
        <w:tblLook w:val="04A0" w:firstRow="1" w:lastRow="0" w:firstColumn="1" w:lastColumn="0" w:noHBand="0" w:noVBand="1"/>
      </w:tblPr>
      <w:tblGrid>
        <w:gridCol w:w="3539"/>
        <w:gridCol w:w="709"/>
        <w:gridCol w:w="1177"/>
        <w:gridCol w:w="1233"/>
        <w:gridCol w:w="708"/>
        <w:gridCol w:w="709"/>
      </w:tblGrid>
      <w:tr w:rsidR="00824DAD" w:rsidRPr="00F03080" w14:paraId="0992A921" w14:textId="77777777" w:rsidTr="00B16CA2">
        <w:trPr>
          <w:trHeight w:val="398"/>
        </w:trPr>
        <w:tc>
          <w:tcPr>
            <w:tcW w:w="3539" w:type="dxa"/>
            <w:hideMark/>
          </w:tcPr>
          <w:p w14:paraId="499E62E5" w14:textId="77777777" w:rsidR="00604DFB" w:rsidRPr="00F03080" w:rsidRDefault="00604DFB" w:rsidP="00862B03">
            <w:r w:rsidRPr="00F03080">
              <w:t>Variable</w:t>
            </w:r>
          </w:p>
        </w:tc>
        <w:tc>
          <w:tcPr>
            <w:tcW w:w="709" w:type="dxa"/>
            <w:hideMark/>
          </w:tcPr>
          <w:p w14:paraId="5C44C2DB" w14:textId="77777777" w:rsidR="00604DFB" w:rsidRPr="00F03080" w:rsidRDefault="00604DFB" w:rsidP="00862B03">
            <w:r w:rsidRPr="00F03080">
              <w:t>N</w:t>
            </w:r>
          </w:p>
        </w:tc>
        <w:tc>
          <w:tcPr>
            <w:tcW w:w="1177" w:type="dxa"/>
            <w:hideMark/>
          </w:tcPr>
          <w:p w14:paraId="54F43954" w14:textId="77777777" w:rsidR="00604DFB" w:rsidRPr="00F03080" w:rsidRDefault="00604DFB" w:rsidP="00862B03">
            <w:r w:rsidRPr="00F03080">
              <w:t>Minimum</w:t>
            </w:r>
          </w:p>
        </w:tc>
        <w:tc>
          <w:tcPr>
            <w:tcW w:w="1233" w:type="dxa"/>
            <w:hideMark/>
          </w:tcPr>
          <w:p w14:paraId="38482954" w14:textId="77777777" w:rsidR="00604DFB" w:rsidRPr="00F03080" w:rsidRDefault="00604DFB" w:rsidP="00862B03">
            <w:r w:rsidRPr="00F03080">
              <w:t>Maximum</w:t>
            </w:r>
          </w:p>
        </w:tc>
        <w:tc>
          <w:tcPr>
            <w:tcW w:w="708" w:type="dxa"/>
            <w:hideMark/>
          </w:tcPr>
          <w:p w14:paraId="43663EE0" w14:textId="77777777" w:rsidR="00604DFB" w:rsidRPr="00F03080" w:rsidRDefault="00604DFB" w:rsidP="00862B03">
            <w:r w:rsidRPr="00F03080">
              <w:t>M</w:t>
            </w:r>
          </w:p>
        </w:tc>
        <w:tc>
          <w:tcPr>
            <w:tcW w:w="709" w:type="dxa"/>
            <w:hideMark/>
          </w:tcPr>
          <w:p w14:paraId="4486FC87" w14:textId="77777777" w:rsidR="00604DFB" w:rsidRPr="00F03080" w:rsidRDefault="00604DFB" w:rsidP="00862B03">
            <w:r w:rsidRPr="00F03080">
              <w:t>SD</w:t>
            </w:r>
          </w:p>
        </w:tc>
      </w:tr>
      <w:tr w:rsidR="00824DAD" w:rsidRPr="00F03080" w14:paraId="4CF20BE4" w14:textId="77777777" w:rsidTr="00B16CA2">
        <w:trPr>
          <w:trHeight w:val="398"/>
        </w:trPr>
        <w:tc>
          <w:tcPr>
            <w:tcW w:w="3539" w:type="dxa"/>
            <w:hideMark/>
          </w:tcPr>
          <w:p w14:paraId="5A6F018C" w14:textId="77777777" w:rsidR="00604DFB" w:rsidRPr="00F03080" w:rsidRDefault="00604DFB" w:rsidP="00862B03">
            <w:r w:rsidRPr="00F03080">
              <w:t>Reimbursement Mechanisms</w:t>
            </w:r>
          </w:p>
        </w:tc>
        <w:tc>
          <w:tcPr>
            <w:tcW w:w="709" w:type="dxa"/>
            <w:hideMark/>
          </w:tcPr>
          <w:p w14:paraId="6F9B384A" w14:textId="77777777" w:rsidR="00604DFB" w:rsidRPr="00F03080" w:rsidRDefault="00604DFB" w:rsidP="00862B03">
            <w:r w:rsidRPr="00F03080">
              <w:t>401</w:t>
            </w:r>
          </w:p>
        </w:tc>
        <w:tc>
          <w:tcPr>
            <w:tcW w:w="1177" w:type="dxa"/>
            <w:hideMark/>
          </w:tcPr>
          <w:p w14:paraId="30CB6652" w14:textId="77777777" w:rsidR="00604DFB" w:rsidRPr="00F03080" w:rsidRDefault="00604DFB" w:rsidP="00862B03">
            <w:r w:rsidRPr="00F03080">
              <w:t>1.0</w:t>
            </w:r>
          </w:p>
        </w:tc>
        <w:tc>
          <w:tcPr>
            <w:tcW w:w="1233" w:type="dxa"/>
            <w:hideMark/>
          </w:tcPr>
          <w:p w14:paraId="06211FF3" w14:textId="77777777" w:rsidR="00604DFB" w:rsidRPr="00F03080" w:rsidRDefault="00604DFB" w:rsidP="00862B03">
            <w:r w:rsidRPr="00F03080">
              <w:t>4.0</w:t>
            </w:r>
          </w:p>
        </w:tc>
        <w:tc>
          <w:tcPr>
            <w:tcW w:w="708" w:type="dxa"/>
            <w:hideMark/>
          </w:tcPr>
          <w:p w14:paraId="3FD35DAE" w14:textId="77777777" w:rsidR="00604DFB" w:rsidRPr="00F03080" w:rsidRDefault="00604DFB" w:rsidP="00862B03">
            <w:r w:rsidRPr="00F03080">
              <w:t>2.50</w:t>
            </w:r>
          </w:p>
        </w:tc>
        <w:tc>
          <w:tcPr>
            <w:tcW w:w="709" w:type="dxa"/>
            <w:hideMark/>
          </w:tcPr>
          <w:p w14:paraId="2ABDC317" w14:textId="77777777" w:rsidR="00604DFB" w:rsidRPr="00F03080" w:rsidRDefault="00604DFB" w:rsidP="00862B03">
            <w:r w:rsidRPr="00F03080">
              <w:t>0.51</w:t>
            </w:r>
          </w:p>
        </w:tc>
      </w:tr>
      <w:tr w:rsidR="00824DAD" w:rsidRPr="00F03080" w14:paraId="5AE027F2" w14:textId="77777777" w:rsidTr="00B16CA2">
        <w:trPr>
          <w:trHeight w:val="398"/>
        </w:trPr>
        <w:tc>
          <w:tcPr>
            <w:tcW w:w="3539" w:type="dxa"/>
            <w:hideMark/>
          </w:tcPr>
          <w:p w14:paraId="7CBF0F0E" w14:textId="77777777" w:rsidR="00604DFB" w:rsidRPr="00F03080" w:rsidRDefault="00604DFB" w:rsidP="00862B03">
            <w:r w:rsidRPr="00F03080">
              <w:t>Funding Adequacy</w:t>
            </w:r>
          </w:p>
        </w:tc>
        <w:tc>
          <w:tcPr>
            <w:tcW w:w="709" w:type="dxa"/>
            <w:hideMark/>
          </w:tcPr>
          <w:p w14:paraId="48B17523" w14:textId="77777777" w:rsidR="00604DFB" w:rsidRPr="00F03080" w:rsidRDefault="00604DFB" w:rsidP="00862B03">
            <w:r w:rsidRPr="00F03080">
              <w:t>401</w:t>
            </w:r>
          </w:p>
        </w:tc>
        <w:tc>
          <w:tcPr>
            <w:tcW w:w="1177" w:type="dxa"/>
            <w:hideMark/>
          </w:tcPr>
          <w:p w14:paraId="5AE78CAA" w14:textId="77777777" w:rsidR="00604DFB" w:rsidRPr="00F03080" w:rsidRDefault="00604DFB" w:rsidP="00862B03">
            <w:r w:rsidRPr="00F03080">
              <w:t>1.3</w:t>
            </w:r>
          </w:p>
        </w:tc>
        <w:tc>
          <w:tcPr>
            <w:tcW w:w="1233" w:type="dxa"/>
            <w:hideMark/>
          </w:tcPr>
          <w:p w14:paraId="000C4482" w14:textId="77777777" w:rsidR="00604DFB" w:rsidRPr="00F03080" w:rsidRDefault="00604DFB" w:rsidP="00862B03">
            <w:r w:rsidRPr="00F03080">
              <w:t>3.8</w:t>
            </w:r>
          </w:p>
        </w:tc>
        <w:tc>
          <w:tcPr>
            <w:tcW w:w="708" w:type="dxa"/>
            <w:hideMark/>
          </w:tcPr>
          <w:p w14:paraId="71ACCE2B" w14:textId="77777777" w:rsidR="00604DFB" w:rsidRPr="00F03080" w:rsidRDefault="00604DFB" w:rsidP="00862B03">
            <w:r w:rsidRPr="00F03080">
              <w:t>2.25</w:t>
            </w:r>
          </w:p>
        </w:tc>
        <w:tc>
          <w:tcPr>
            <w:tcW w:w="709" w:type="dxa"/>
            <w:hideMark/>
          </w:tcPr>
          <w:p w14:paraId="0D6E4881" w14:textId="77777777" w:rsidR="00604DFB" w:rsidRPr="00F03080" w:rsidRDefault="00604DFB" w:rsidP="00862B03">
            <w:r w:rsidRPr="00F03080">
              <w:t>0.46</w:t>
            </w:r>
          </w:p>
        </w:tc>
      </w:tr>
      <w:tr w:rsidR="00824DAD" w:rsidRPr="00F03080" w14:paraId="40E915E6" w14:textId="77777777" w:rsidTr="00B16CA2">
        <w:trPr>
          <w:trHeight w:val="398"/>
        </w:trPr>
        <w:tc>
          <w:tcPr>
            <w:tcW w:w="3539" w:type="dxa"/>
            <w:hideMark/>
          </w:tcPr>
          <w:p w14:paraId="646959C3" w14:textId="77777777" w:rsidR="00604DFB" w:rsidRPr="00F03080" w:rsidRDefault="00604DFB" w:rsidP="00862B03">
            <w:r w:rsidRPr="00F03080">
              <w:t>Strategic Purchasing Practices</w:t>
            </w:r>
          </w:p>
        </w:tc>
        <w:tc>
          <w:tcPr>
            <w:tcW w:w="709" w:type="dxa"/>
            <w:hideMark/>
          </w:tcPr>
          <w:p w14:paraId="38A5686E" w14:textId="77777777" w:rsidR="00604DFB" w:rsidRPr="00F03080" w:rsidRDefault="00604DFB" w:rsidP="00862B03">
            <w:r w:rsidRPr="00F03080">
              <w:t>401</w:t>
            </w:r>
          </w:p>
        </w:tc>
        <w:tc>
          <w:tcPr>
            <w:tcW w:w="1177" w:type="dxa"/>
            <w:hideMark/>
          </w:tcPr>
          <w:p w14:paraId="3CA40E97" w14:textId="77777777" w:rsidR="00604DFB" w:rsidRPr="00F03080" w:rsidRDefault="00604DFB" w:rsidP="00862B03">
            <w:r w:rsidRPr="00F03080">
              <w:t>1.3</w:t>
            </w:r>
          </w:p>
        </w:tc>
        <w:tc>
          <w:tcPr>
            <w:tcW w:w="1233" w:type="dxa"/>
            <w:hideMark/>
          </w:tcPr>
          <w:p w14:paraId="7CD08D65" w14:textId="77777777" w:rsidR="00604DFB" w:rsidRPr="00F03080" w:rsidRDefault="00604DFB" w:rsidP="00862B03">
            <w:r w:rsidRPr="00F03080">
              <w:t>4.0</w:t>
            </w:r>
          </w:p>
        </w:tc>
        <w:tc>
          <w:tcPr>
            <w:tcW w:w="708" w:type="dxa"/>
            <w:hideMark/>
          </w:tcPr>
          <w:p w14:paraId="67CD5406" w14:textId="77777777" w:rsidR="00604DFB" w:rsidRPr="00F03080" w:rsidRDefault="00604DFB" w:rsidP="00862B03">
            <w:r w:rsidRPr="00F03080">
              <w:t>2.34</w:t>
            </w:r>
          </w:p>
        </w:tc>
        <w:tc>
          <w:tcPr>
            <w:tcW w:w="709" w:type="dxa"/>
            <w:hideMark/>
          </w:tcPr>
          <w:p w14:paraId="4B1D5F98" w14:textId="77777777" w:rsidR="00604DFB" w:rsidRPr="00F03080" w:rsidRDefault="00604DFB" w:rsidP="00862B03">
            <w:r w:rsidRPr="00F03080">
              <w:t>0.56</w:t>
            </w:r>
          </w:p>
        </w:tc>
      </w:tr>
      <w:tr w:rsidR="00824DAD" w:rsidRPr="00F03080" w14:paraId="2320F90B" w14:textId="77777777" w:rsidTr="00B16CA2">
        <w:trPr>
          <w:trHeight w:val="398"/>
        </w:trPr>
        <w:tc>
          <w:tcPr>
            <w:tcW w:w="3539" w:type="dxa"/>
            <w:hideMark/>
          </w:tcPr>
          <w:p w14:paraId="48F9DD90" w14:textId="77777777" w:rsidR="00604DFB" w:rsidRPr="00F03080" w:rsidRDefault="00604DFB" w:rsidP="00862B03">
            <w:r w:rsidRPr="00F03080">
              <w:t>Financial Accountability Systems</w:t>
            </w:r>
          </w:p>
        </w:tc>
        <w:tc>
          <w:tcPr>
            <w:tcW w:w="709" w:type="dxa"/>
            <w:hideMark/>
          </w:tcPr>
          <w:p w14:paraId="34B5C251" w14:textId="77777777" w:rsidR="00604DFB" w:rsidRPr="00F03080" w:rsidRDefault="00604DFB" w:rsidP="00862B03">
            <w:r w:rsidRPr="00F03080">
              <w:t>401</w:t>
            </w:r>
          </w:p>
        </w:tc>
        <w:tc>
          <w:tcPr>
            <w:tcW w:w="1177" w:type="dxa"/>
            <w:hideMark/>
          </w:tcPr>
          <w:p w14:paraId="3BEC7192" w14:textId="77777777" w:rsidR="00604DFB" w:rsidRPr="00F03080" w:rsidRDefault="00604DFB" w:rsidP="00862B03">
            <w:r w:rsidRPr="00F03080">
              <w:t>1.0</w:t>
            </w:r>
          </w:p>
        </w:tc>
        <w:tc>
          <w:tcPr>
            <w:tcW w:w="1233" w:type="dxa"/>
            <w:hideMark/>
          </w:tcPr>
          <w:p w14:paraId="78CDC733" w14:textId="77777777" w:rsidR="00604DFB" w:rsidRPr="00F03080" w:rsidRDefault="00604DFB" w:rsidP="00862B03">
            <w:r w:rsidRPr="00F03080">
              <w:t>4.0</w:t>
            </w:r>
          </w:p>
        </w:tc>
        <w:tc>
          <w:tcPr>
            <w:tcW w:w="708" w:type="dxa"/>
            <w:hideMark/>
          </w:tcPr>
          <w:p w14:paraId="095FF594" w14:textId="77777777" w:rsidR="00604DFB" w:rsidRPr="00F03080" w:rsidRDefault="00604DFB" w:rsidP="00862B03">
            <w:r w:rsidRPr="00F03080">
              <w:t>2.11</w:t>
            </w:r>
          </w:p>
        </w:tc>
        <w:tc>
          <w:tcPr>
            <w:tcW w:w="709" w:type="dxa"/>
            <w:hideMark/>
          </w:tcPr>
          <w:p w14:paraId="415CE098" w14:textId="77777777" w:rsidR="00604DFB" w:rsidRPr="00F03080" w:rsidRDefault="00604DFB" w:rsidP="00862B03">
            <w:r w:rsidRPr="00F03080">
              <w:t>0.61</w:t>
            </w:r>
          </w:p>
        </w:tc>
      </w:tr>
    </w:tbl>
    <w:p w14:paraId="47F8066E" w14:textId="02F112DC" w:rsidR="00236CA7" w:rsidRPr="00F03080" w:rsidRDefault="005335B5" w:rsidP="008E0394">
      <w:pPr>
        <w:spacing w:before="120" w:after="0" w:line="360" w:lineRule="auto"/>
        <w:jc w:val="both"/>
      </w:pPr>
      <w:r w:rsidRPr="00F03080">
        <w:rPr>
          <w:rStyle w:val="Emphasis"/>
        </w:rPr>
        <w:t>Note.</w:t>
      </w:r>
      <w:r w:rsidRPr="00F03080">
        <w:t xml:space="preserve"> M = Mean; SD = Standard Deviation. Scores were measured on a </w:t>
      </w:r>
      <w:r w:rsidR="00FC21BE" w:rsidRPr="005D4A4D">
        <w:t>five</w:t>
      </w:r>
      <w:r w:rsidRPr="005D4A4D">
        <w:t xml:space="preserve">-point </w:t>
      </w:r>
      <w:r w:rsidRPr="00F03080">
        <w:t>Likert scale, with higher scores indicating more positive perceptions of the respective SHA implementation.</w:t>
      </w:r>
    </w:p>
    <w:p w14:paraId="0291AAD4" w14:textId="434C1DF6" w:rsidR="003E4472" w:rsidRPr="00F03080" w:rsidRDefault="00585513" w:rsidP="00862B03">
      <w:pPr>
        <w:spacing w:before="120" w:line="360" w:lineRule="auto"/>
        <w:jc w:val="both"/>
        <w:rPr>
          <w:b/>
        </w:rPr>
      </w:pPr>
      <w:r w:rsidRPr="00F03080">
        <w:rPr>
          <w:b/>
        </w:rPr>
        <w:t>Impacts</w:t>
      </w:r>
      <w:r w:rsidR="003E4472" w:rsidRPr="00F03080">
        <w:rPr>
          <w:b/>
        </w:rPr>
        <w:t xml:space="preserve"> of </w:t>
      </w:r>
      <w:r w:rsidR="00B7330B" w:rsidRPr="00D85C21">
        <w:t>the</w:t>
      </w:r>
      <w:r w:rsidR="00B7330B" w:rsidRPr="00D85C21">
        <w:rPr>
          <w:b/>
        </w:rPr>
        <w:t xml:space="preserve"> Social Health Authority</w:t>
      </w:r>
      <w:r w:rsidR="00A16ED1" w:rsidRPr="00A16ED1">
        <w:t xml:space="preserve"> </w:t>
      </w:r>
      <w:r w:rsidR="00A16ED1" w:rsidRPr="00CE6853">
        <w:rPr>
          <w:b/>
        </w:rPr>
        <w:t>on the quality of health services offered in Navakholo Sub-County, Kakamega County</w:t>
      </w:r>
      <w:r w:rsidR="00CE6853" w:rsidRPr="00CE6853">
        <w:rPr>
          <w:b/>
        </w:rPr>
        <w:t>.</w:t>
      </w:r>
    </w:p>
    <w:p w14:paraId="1F9881DC" w14:textId="31AF0F39" w:rsidR="009B7BFB" w:rsidRPr="00F03080" w:rsidRDefault="009B7BFB" w:rsidP="00A16ED1">
      <w:pPr>
        <w:spacing w:after="100" w:afterAutospacing="1" w:line="360" w:lineRule="auto"/>
        <w:jc w:val="both"/>
      </w:pPr>
      <w:r w:rsidRPr="00F03080">
        <w:t>Table 3 presents the descriptive statistics for the healthcare service delivery outcome variables. Patient access and utilization recorded the highest me</w:t>
      </w:r>
      <w:r w:rsidR="00DE03D2">
        <w:t>an score (M = 2.25, SD = 0.46),</w:t>
      </w:r>
      <w:r w:rsidR="00DE03D2" w:rsidRPr="00F03080">
        <w:t xml:space="preserve"> suggesting</w:t>
      </w:r>
      <w:r w:rsidRPr="00F03080">
        <w:t xml:space="preserve"> that respondents generally perceived moderate </w:t>
      </w:r>
      <w:r w:rsidRPr="00F03080">
        <w:lastRenderedPageBreak/>
        <w:t>improvements in patients’ ability to access and utilize healthcare services. The scores ranged from 1.2 to 4.2, indicating some variation in respondents’ experiences.</w:t>
      </w:r>
    </w:p>
    <w:p w14:paraId="116D278D" w14:textId="77777777" w:rsidR="00C375DC" w:rsidRDefault="009B7BFB" w:rsidP="00A16ED1">
      <w:pPr>
        <w:spacing w:after="100" w:afterAutospacing="1" w:line="360" w:lineRule="auto"/>
        <w:jc w:val="both"/>
      </w:pPr>
      <w:r w:rsidRPr="00F03080">
        <w:t>Resource availability had a mean score of 2.16 (SD = 0.45), indicating moderately positive perceptions regarding the availability of healthcare resources such as personnel, equipment, and medical supplies. The relatively low standard deviation suggests that respondents had similar views on resource availability across healthcare facilities.</w:t>
      </w:r>
      <w:r w:rsidR="001B021C" w:rsidRPr="00F03080">
        <w:t xml:space="preserve"> </w:t>
      </w:r>
      <w:r w:rsidRPr="00F03080">
        <w:t xml:space="preserve">Quality of health service delivery recorded a mean score of 2.15 (SD = 0.47), reflecting moderate perceptions of the quality of services provided. </w:t>
      </w:r>
    </w:p>
    <w:p w14:paraId="1370168C" w14:textId="58995102" w:rsidR="00413959" w:rsidRPr="00F03080" w:rsidRDefault="009B7BFB" w:rsidP="00A16ED1">
      <w:pPr>
        <w:spacing w:after="100" w:afterAutospacing="1" w:line="360" w:lineRule="auto"/>
        <w:jc w:val="both"/>
      </w:pPr>
      <w:r w:rsidRPr="00F03080">
        <w:t>The results indicate</w:t>
      </w:r>
      <w:r w:rsidR="00C375DC">
        <w:t>d</w:t>
      </w:r>
      <w:r w:rsidRPr="00F03080">
        <w:t xml:space="preserve"> that while respondents generally viewed service quality positively, there remains room for improvement.</w:t>
      </w:r>
      <w:r w:rsidR="001B021C" w:rsidRPr="00F03080">
        <w:t xml:space="preserve"> </w:t>
      </w:r>
      <w:r w:rsidRPr="00F03080">
        <w:t>Operational efficiency had the lowest mean score among the service delivery outcomes (M = 2.09, SD = 0.62). The relatively higher standard deviation indicates greater variation in respondents’ perceptions of efficiency across healthcare facilities. This suggests that operational processes and service management practices may differ considerably between institutions.</w:t>
      </w:r>
    </w:p>
    <w:p w14:paraId="34AFCE26" w14:textId="41E1E68F" w:rsidR="00413959" w:rsidRPr="00F03080" w:rsidRDefault="00413959" w:rsidP="00862B03">
      <w:pPr>
        <w:jc w:val="both"/>
        <w:rPr>
          <w:b/>
        </w:rPr>
      </w:pPr>
      <w:r w:rsidRPr="00F03080">
        <w:rPr>
          <w:b/>
        </w:rPr>
        <w:t xml:space="preserve">Table </w:t>
      </w:r>
      <w:r w:rsidRPr="00F03080">
        <w:rPr>
          <w:b/>
        </w:rPr>
        <w:fldChar w:fldCharType="begin"/>
      </w:r>
      <w:r w:rsidRPr="00F03080">
        <w:rPr>
          <w:b/>
        </w:rPr>
        <w:instrText xml:space="preserve"> SEQ Table \* ARABIC </w:instrText>
      </w:r>
      <w:r w:rsidRPr="00F03080">
        <w:rPr>
          <w:b/>
        </w:rPr>
        <w:fldChar w:fldCharType="separate"/>
      </w:r>
      <w:r w:rsidR="00365C2F" w:rsidRPr="00F03080">
        <w:rPr>
          <w:b/>
          <w:noProof/>
        </w:rPr>
        <w:t>3</w:t>
      </w:r>
      <w:r w:rsidRPr="00F03080">
        <w:rPr>
          <w:b/>
        </w:rPr>
        <w:fldChar w:fldCharType="end"/>
      </w:r>
    </w:p>
    <w:tbl>
      <w:tblPr>
        <w:tblStyle w:val="TableGrid"/>
        <w:tblW w:w="8217" w:type="dxa"/>
        <w:tblLook w:val="04A0" w:firstRow="1" w:lastRow="0" w:firstColumn="1" w:lastColumn="0" w:noHBand="0" w:noVBand="1"/>
      </w:tblPr>
      <w:tblGrid>
        <w:gridCol w:w="3681"/>
        <w:gridCol w:w="576"/>
        <w:gridCol w:w="1267"/>
        <w:gridCol w:w="1283"/>
        <w:gridCol w:w="701"/>
        <w:gridCol w:w="709"/>
      </w:tblGrid>
      <w:tr w:rsidR="00B16CA2" w:rsidRPr="00F03080" w14:paraId="76EAF809" w14:textId="77777777" w:rsidTr="00B16CA2">
        <w:trPr>
          <w:divId w:val="654648041"/>
          <w:trHeight w:val="269"/>
        </w:trPr>
        <w:tc>
          <w:tcPr>
            <w:tcW w:w="3681" w:type="dxa"/>
            <w:hideMark/>
          </w:tcPr>
          <w:p w14:paraId="78A5792E" w14:textId="77777777" w:rsidR="00413959" w:rsidRPr="00F03080" w:rsidRDefault="00413959" w:rsidP="00862B03">
            <w:pPr>
              <w:spacing w:after="0"/>
              <w:rPr>
                <w:b/>
                <w:bCs/>
              </w:rPr>
            </w:pPr>
            <w:r w:rsidRPr="00F03080">
              <w:rPr>
                <w:b/>
                <w:bCs/>
              </w:rPr>
              <w:t>Variable</w:t>
            </w:r>
          </w:p>
        </w:tc>
        <w:tc>
          <w:tcPr>
            <w:tcW w:w="576" w:type="dxa"/>
            <w:hideMark/>
          </w:tcPr>
          <w:p w14:paraId="7F26DBB5" w14:textId="77777777" w:rsidR="00413959" w:rsidRPr="00F03080" w:rsidRDefault="00413959" w:rsidP="00862B03">
            <w:pPr>
              <w:spacing w:after="0"/>
              <w:rPr>
                <w:b/>
                <w:bCs/>
              </w:rPr>
            </w:pPr>
            <w:r w:rsidRPr="00F03080">
              <w:rPr>
                <w:b/>
                <w:bCs/>
              </w:rPr>
              <w:t>N</w:t>
            </w:r>
          </w:p>
        </w:tc>
        <w:tc>
          <w:tcPr>
            <w:tcW w:w="1267" w:type="dxa"/>
            <w:hideMark/>
          </w:tcPr>
          <w:p w14:paraId="10C7B4A7" w14:textId="77777777" w:rsidR="00413959" w:rsidRPr="00F03080" w:rsidRDefault="00413959" w:rsidP="00862B03">
            <w:pPr>
              <w:spacing w:after="0"/>
              <w:rPr>
                <w:b/>
                <w:bCs/>
              </w:rPr>
            </w:pPr>
            <w:r w:rsidRPr="00F03080">
              <w:rPr>
                <w:b/>
                <w:bCs/>
              </w:rPr>
              <w:t>Minimum</w:t>
            </w:r>
          </w:p>
        </w:tc>
        <w:tc>
          <w:tcPr>
            <w:tcW w:w="1283" w:type="dxa"/>
            <w:hideMark/>
          </w:tcPr>
          <w:p w14:paraId="586A34EC" w14:textId="77777777" w:rsidR="00413959" w:rsidRPr="00F03080" w:rsidRDefault="00413959" w:rsidP="00862B03">
            <w:pPr>
              <w:spacing w:after="0"/>
              <w:rPr>
                <w:b/>
                <w:bCs/>
              </w:rPr>
            </w:pPr>
            <w:r w:rsidRPr="00F03080">
              <w:rPr>
                <w:b/>
                <w:bCs/>
              </w:rPr>
              <w:t>Maximum</w:t>
            </w:r>
          </w:p>
        </w:tc>
        <w:tc>
          <w:tcPr>
            <w:tcW w:w="701" w:type="dxa"/>
            <w:hideMark/>
          </w:tcPr>
          <w:p w14:paraId="7D7D1BCB" w14:textId="77777777" w:rsidR="00413959" w:rsidRPr="00F03080" w:rsidRDefault="00413959" w:rsidP="00862B03">
            <w:pPr>
              <w:spacing w:after="0"/>
              <w:rPr>
                <w:b/>
                <w:bCs/>
              </w:rPr>
            </w:pPr>
            <w:r w:rsidRPr="00F03080">
              <w:rPr>
                <w:b/>
                <w:bCs/>
              </w:rPr>
              <w:t>M</w:t>
            </w:r>
          </w:p>
        </w:tc>
        <w:tc>
          <w:tcPr>
            <w:tcW w:w="709" w:type="dxa"/>
            <w:hideMark/>
          </w:tcPr>
          <w:p w14:paraId="43A047B0" w14:textId="77777777" w:rsidR="00413959" w:rsidRPr="00F03080" w:rsidRDefault="00413959" w:rsidP="00862B03">
            <w:pPr>
              <w:spacing w:after="0"/>
              <w:rPr>
                <w:b/>
                <w:bCs/>
              </w:rPr>
            </w:pPr>
            <w:r w:rsidRPr="00F03080">
              <w:rPr>
                <w:b/>
                <w:bCs/>
              </w:rPr>
              <w:t>SD</w:t>
            </w:r>
          </w:p>
        </w:tc>
      </w:tr>
      <w:tr w:rsidR="00B16CA2" w:rsidRPr="00F03080" w14:paraId="1260DD37" w14:textId="77777777" w:rsidTr="00B16CA2">
        <w:trPr>
          <w:divId w:val="654648041"/>
          <w:trHeight w:val="269"/>
        </w:trPr>
        <w:tc>
          <w:tcPr>
            <w:tcW w:w="3681" w:type="dxa"/>
            <w:hideMark/>
          </w:tcPr>
          <w:p w14:paraId="2F3A6DF4" w14:textId="77777777" w:rsidR="00413959" w:rsidRPr="00F03080" w:rsidRDefault="00413959" w:rsidP="00862B03">
            <w:pPr>
              <w:spacing w:after="0"/>
            </w:pPr>
            <w:r w:rsidRPr="00F03080">
              <w:t>Resource Availability</w:t>
            </w:r>
          </w:p>
        </w:tc>
        <w:tc>
          <w:tcPr>
            <w:tcW w:w="576" w:type="dxa"/>
            <w:hideMark/>
          </w:tcPr>
          <w:p w14:paraId="6F98E6B4" w14:textId="77777777" w:rsidR="00413959" w:rsidRPr="00F03080" w:rsidRDefault="00413959" w:rsidP="00862B03">
            <w:pPr>
              <w:spacing w:after="0"/>
            </w:pPr>
            <w:r w:rsidRPr="00F03080">
              <w:t>401</w:t>
            </w:r>
          </w:p>
        </w:tc>
        <w:tc>
          <w:tcPr>
            <w:tcW w:w="1267" w:type="dxa"/>
            <w:hideMark/>
          </w:tcPr>
          <w:p w14:paraId="57D78904" w14:textId="77777777" w:rsidR="00413959" w:rsidRPr="00F03080" w:rsidRDefault="00413959" w:rsidP="00862B03">
            <w:pPr>
              <w:spacing w:after="0"/>
            </w:pPr>
            <w:r w:rsidRPr="00F03080">
              <w:t>1.2</w:t>
            </w:r>
          </w:p>
        </w:tc>
        <w:tc>
          <w:tcPr>
            <w:tcW w:w="1283" w:type="dxa"/>
            <w:hideMark/>
          </w:tcPr>
          <w:p w14:paraId="02B04196" w14:textId="77777777" w:rsidR="00413959" w:rsidRPr="00F03080" w:rsidRDefault="00413959" w:rsidP="00862B03">
            <w:pPr>
              <w:spacing w:after="0"/>
            </w:pPr>
            <w:r w:rsidRPr="00F03080">
              <w:t>3.8</w:t>
            </w:r>
          </w:p>
        </w:tc>
        <w:tc>
          <w:tcPr>
            <w:tcW w:w="701" w:type="dxa"/>
            <w:hideMark/>
          </w:tcPr>
          <w:p w14:paraId="3ED0D6E2" w14:textId="77777777" w:rsidR="00413959" w:rsidRPr="00F03080" w:rsidRDefault="00413959" w:rsidP="00862B03">
            <w:pPr>
              <w:spacing w:after="0"/>
            </w:pPr>
            <w:r w:rsidRPr="00F03080">
              <w:t>2.16</w:t>
            </w:r>
          </w:p>
        </w:tc>
        <w:tc>
          <w:tcPr>
            <w:tcW w:w="709" w:type="dxa"/>
            <w:hideMark/>
          </w:tcPr>
          <w:p w14:paraId="6CD06934" w14:textId="77777777" w:rsidR="00413959" w:rsidRPr="00F03080" w:rsidRDefault="00413959" w:rsidP="00862B03">
            <w:pPr>
              <w:spacing w:after="0"/>
            </w:pPr>
            <w:r w:rsidRPr="00F03080">
              <w:t>0.45</w:t>
            </w:r>
          </w:p>
        </w:tc>
      </w:tr>
      <w:tr w:rsidR="00B16CA2" w:rsidRPr="00F03080" w14:paraId="41A4AEC7" w14:textId="77777777" w:rsidTr="00B16CA2">
        <w:trPr>
          <w:divId w:val="654648041"/>
          <w:trHeight w:val="269"/>
        </w:trPr>
        <w:tc>
          <w:tcPr>
            <w:tcW w:w="3681" w:type="dxa"/>
            <w:hideMark/>
          </w:tcPr>
          <w:p w14:paraId="29133B0F" w14:textId="77777777" w:rsidR="00413959" w:rsidRPr="00F03080" w:rsidRDefault="00413959" w:rsidP="00862B03">
            <w:pPr>
              <w:spacing w:after="0"/>
            </w:pPr>
            <w:r w:rsidRPr="00F03080">
              <w:t>Quality of Health Service Delivery</w:t>
            </w:r>
          </w:p>
        </w:tc>
        <w:tc>
          <w:tcPr>
            <w:tcW w:w="576" w:type="dxa"/>
            <w:hideMark/>
          </w:tcPr>
          <w:p w14:paraId="61CD6B24" w14:textId="77777777" w:rsidR="00413959" w:rsidRPr="00F03080" w:rsidRDefault="00413959" w:rsidP="00862B03">
            <w:pPr>
              <w:spacing w:after="0"/>
            </w:pPr>
            <w:r w:rsidRPr="00F03080">
              <w:t>401</w:t>
            </w:r>
          </w:p>
        </w:tc>
        <w:tc>
          <w:tcPr>
            <w:tcW w:w="1267" w:type="dxa"/>
            <w:hideMark/>
          </w:tcPr>
          <w:p w14:paraId="209422DD" w14:textId="77777777" w:rsidR="00413959" w:rsidRPr="00F03080" w:rsidRDefault="00413959" w:rsidP="00862B03">
            <w:pPr>
              <w:spacing w:after="0"/>
            </w:pPr>
            <w:r w:rsidRPr="00F03080">
              <w:t>1.0</w:t>
            </w:r>
          </w:p>
        </w:tc>
        <w:tc>
          <w:tcPr>
            <w:tcW w:w="1283" w:type="dxa"/>
            <w:hideMark/>
          </w:tcPr>
          <w:p w14:paraId="6E0A4981" w14:textId="77777777" w:rsidR="00413959" w:rsidRPr="00F03080" w:rsidRDefault="00413959" w:rsidP="00862B03">
            <w:pPr>
              <w:spacing w:after="0"/>
            </w:pPr>
            <w:r w:rsidRPr="00F03080">
              <w:t>3.8</w:t>
            </w:r>
          </w:p>
        </w:tc>
        <w:tc>
          <w:tcPr>
            <w:tcW w:w="701" w:type="dxa"/>
            <w:hideMark/>
          </w:tcPr>
          <w:p w14:paraId="1BB2D62C" w14:textId="77777777" w:rsidR="00413959" w:rsidRPr="00F03080" w:rsidRDefault="00413959" w:rsidP="00862B03">
            <w:pPr>
              <w:spacing w:after="0"/>
            </w:pPr>
            <w:r w:rsidRPr="00F03080">
              <w:t>2.15</w:t>
            </w:r>
          </w:p>
        </w:tc>
        <w:tc>
          <w:tcPr>
            <w:tcW w:w="709" w:type="dxa"/>
            <w:hideMark/>
          </w:tcPr>
          <w:p w14:paraId="36CF16A6" w14:textId="77777777" w:rsidR="00413959" w:rsidRPr="00F03080" w:rsidRDefault="00413959" w:rsidP="00862B03">
            <w:pPr>
              <w:spacing w:after="0"/>
            </w:pPr>
            <w:r w:rsidRPr="00F03080">
              <w:t>0.47</w:t>
            </w:r>
          </w:p>
        </w:tc>
      </w:tr>
      <w:tr w:rsidR="00B16CA2" w:rsidRPr="00F03080" w14:paraId="6A1F440D" w14:textId="77777777" w:rsidTr="00B16CA2">
        <w:trPr>
          <w:divId w:val="654648041"/>
          <w:trHeight w:val="269"/>
        </w:trPr>
        <w:tc>
          <w:tcPr>
            <w:tcW w:w="3681" w:type="dxa"/>
            <w:hideMark/>
          </w:tcPr>
          <w:p w14:paraId="65D1E547" w14:textId="77777777" w:rsidR="00413959" w:rsidRPr="00F03080" w:rsidRDefault="00413959" w:rsidP="00862B03">
            <w:pPr>
              <w:spacing w:after="0"/>
            </w:pPr>
            <w:r w:rsidRPr="00F03080">
              <w:t>Patient Access and Utilization</w:t>
            </w:r>
          </w:p>
        </w:tc>
        <w:tc>
          <w:tcPr>
            <w:tcW w:w="576" w:type="dxa"/>
            <w:hideMark/>
          </w:tcPr>
          <w:p w14:paraId="4055BE98" w14:textId="77777777" w:rsidR="00413959" w:rsidRPr="00F03080" w:rsidRDefault="00413959" w:rsidP="00862B03">
            <w:pPr>
              <w:spacing w:after="0"/>
            </w:pPr>
            <w:r w:rsidRPr="00F03080">
              <w:t>401</w:t>
            </w:r>
          </w:p>
        </w:tc>
        <w:tc>
          <w:tcPr>
            <w:tcW w:w="1267" w:type="dxa"/>
            <w:hideMark/>
          </w:tcPr>
          <w:p w14:paraId="347D92FA" w14:textId="77777777" w:rsidR="00413959" w:rsidRPr="00F03080" w:rsidRDefault="00413959" w:rsidP="00862B03">
            <w:pPr>
              <w:spacing w:after="0"/>
            </w:pPr>
            <w:r w:rsidRPr="00F03080">
              <w:t>1.2</w:t>
            </w:r>
          </w:p>
        </w:tc>
        <w:tc>
          <w:tcPr>
            <w:tcW w:w="1283" w:type="dxa"/>
            <w:hideMark/>
          </w:tcPr>
          <w:p w14:paraId="507C5EC8" w14:textId="77777777" w:rsidR="00413959" w:rsidRPr="00F03080" w:rsidRDefault="00413959" w:rsidP="00862B03">
            <w:pPr>
              <w:spacing w:after="0"/>
            </w:pPr>
            <w:r w:rsidRPr="00F03080">
              <w:t>4.2</w:t>
            </w:r>
          </w:p>
        </w:tc>
        <w:tc>
          <w:tcPr>
            <w:tcW w:w="701" w:type="dxa"/>
            <w:hideMark/>
          </w:tcPr>
          <w:p w14:paraId="4E4CEFF4" w14:textId="77777777" w:rsidR="00413959" w:rsidRPr="00F03080" w:rsidRDefault="00413959" w:rsidP="00862B03">
            <w:pPr>
              <w:spacing w:after="0"/>
            </w:pPr>
            <w:r w:rsidRPr="00F03080">
              <w:t>2.25</w:t>
            </w:r>
          </w:p>
        </w:tc>
        <w:tc>
          <w:tcPr>
            <w:tcW w:w="709" w:type="dxa"/>
            <w:hideMark/>
          </w:tcPr>
          <w:p w14:paraId="789E408C" w14:textId="77777777" w:rsidR="00413959" w:rsidRPr="00F03080" w:rsidRDefault="00413959" w:rsidP="00862B03">
            <w:pPr>
              <w:spacing w:after="0"/>
            </w:pPr>
            <w:r w:rsidRPr="00F03080">
              <w:t>0.46</w:t>
            </w:r>
          </w:p>
        </w:tc>
      </w:tr>
      <w:tr w:rsidR="00B16CA2" w:rsidRPr="00F03080" w14:paraId="7427C4A4" w14:textId="77777777" w:rsidTr="00B16CA2">
        <w:trPr>
          <w:divId w:val="654648041"/>
          <w:trHeight w:val="269"/>
        </w:trPr>
        <w:tc>
          <w:tcPr>
            <w:tcW w:w="3681" w:type="dxa"/>
            <w:hideMark/>
          </w:tcPr>
          <w:p w14:paraId="4C82970A" w14:textId="77777777" w:rsidR="00413959" w:rsidRPr="00F03080" w:rsidRDefault="00413959" w:rsidP="00862B03">
            <w:pPr>
              <w:spacing w:after="0"/>
            </w:pPr>
            <w:r w:rsidRPr="00F03080">
              <w:t>Operational Efficiency</w:t>
            </w:r>
          </w:p>
        </w:tc>
        <w:tc>
          <w:tcPr>
            <w:tcW w:w="576" w:type="dxa"/>
            <w:hideMark/>
          </w:tcPr>
          <w:p w14:paraId="48E93F30" w14:textId="77777777" w:rsidR="00413959" w:rsidRPr="00F03080" w:rsidRDefault="00413959" w:rsidP="00862B03">
            <w:pPr>
              <w:spacing w:after="0"/>
            </w:pPr>
            <w:r w:rsidRPr="00F03080">
              <w:t>401</w:t>
            </w:r>
          </w:p>
        </w:tc>
        <w:tc>
          <w:tcPr>
            <w:tcW w:w="1267" w:type="dxa"/>
            <w:hideMark/>
          </w:tcPr>
          <w:p w14:paraId="3729E523" w14:textId="77777777" w:rsidR="00413959" w:rsidRPr="00F03080" w:rsidRDefault="00413959" w:rsidP="00862B03">
            <w:pPr>
              <w:spacing w:after="0"/>
            </w:pPr>
            <w:r w:rsidRPr="00F03080">
              <w:t>1.0</w:t>
            </w:r>
          </w:p>
        </w:tc>
        <w:tc>
          <w:tcPr>
            <w:tcW w:w="1283" w:type="dxa"/>
            <w:hideMark/>
          </w:tcPr>
          <w:p w14:paraId="5D483B3E" w14:textId="77777777" w:rsidR="00413959" w:rsidRPr="00F03080" w:rsidRDefault="00413959" w:rsidP="00862B03">
            <w:pPr>
              <w:spacing w:after="0"/>
            </w:pPr>
            <w:r w:rsidRPr="00F03080">
              <w:t>4.0</w:t>
            </w:r>
          </w:p>
        </w:tc>
        <w:tc>
          <w:tcPr>
            <w:tcW w:w="701" w:type="dxa"/>
            <w:hideMark/>
          </w:tcPr>
          <w:p w14:paraId="371596F6" w14:textId="77777777" w:rsidR="00413959" w:rsidRPr="00F03080" w:rsidRDefault="00413959" w:rsidP="00862B03">
            <w:pPr>
              <w:spacing w:after="0"/>
            </w:pPr>
            <w:r w:rsidRPr="00F03080">
              <w:t>2.09</w:t>
            </w:r>
          </w:p>
        </w:tc>
        <w:tc>
          <w:tcPr>
            <w:tcW w:w="709" w:type="dxa"/>
            <w:hideMark/>
          </w:tcPr>
          <w:p w14:paraId="524D2240" w14:textId="77777777" w:rsidR="00413959" w:rsidRPr="00F03080" w:rsidRDefault="00413959" w:rsidP="00862B03">
            <w:pPr>
              <w:spacing w:after="0"/>
            </w:pPr>
            <w:r w:rsidRPr="00F03080">
              <w:t>0.62</w:t>
            </w:r>
          </w:p>
        </w:tc>
      </w:tr>
      <w:tr w:rsidR="003322A6" w:rsidRPr="00F03080" w14:paraId="0CD45166" w14:textId="77777777" w:rsidTr="00B16CA2">
        <w:trPr>
          <w:divId w:val="654648041"/>
          <w:trHeight w:val="269"/>
        </w:trPr>
        <w:tc>
          <w:tcPr>
            <w:tcW w:w="3681" w:type="dxa"/>
          </w:tcPr>
          <w:p w14:paraId="48A0E494" w14:textId="02D80B14" w:rsidR="003322A6" w:rsidRPr="00C375DC" w:rsidRDefault="003322A6" w:rsidP="003322A6">
            <w:pPr>
              <w:spacing w:after="0"/>
            </w:pPr>
            <w:r w:rsidRPr="00C375DC">
              <w:t>SHA Implementation Challenges</w:t>
            </w:r>
          </w:p>
        </w:tc>
        <w:tc>
          <w:tcPr>
            <w:tcW w:w="576" w:type="dxa"/>
          </w:tcPr>
          <w:p w14:paraId="5F6DE3B2" w14:textId="352DB005" w:rsidR="003322A6" w:rsidRPr="00C375DC" w:rsidRDefault="003322A6" w:rsidP="003322A6">
            <w:pPr>
              <w:spacing w:after="0"/>
            </w:pPr>
            <w:r w:rsidRPr="00C375DC">
              <w:t>401</w:t>
            </w:r>
          </w:p>
        </w:tc>
        <w:tc>
          <w:tcPr>
            <w:tcW w:w="1267" w:type="dxa"/>
          </w:tcPr>
          <w:p w14:paraId="15C50D04" w14:textId="34C67AAC" w:rsidR="003322A6" w:rsidRPr="00C375DC" w:rsidRDefault="003322A6" w:rsidP="003322A6">
            <w:pPr>
              <w:spacing w:after="0"/>
            </w:pPr>
            <w:r w:rsidRPr="00C375DC">
              <w:t>1.2</w:t>
            </w:r>
          </w:p>
        </w:tc>
        <w:tc>
          <w:tcPr>
            <w:tcW w:w="1283" w:type="dxa"/>
          </w:tcPr>
          <w:p w14:paraId="439114C4" w14:textId="3D5CF492" w:rsidR="003322A6" w:rsidRPr="00C375DC" w:rsidRDefault="003322A6" w:rsidP="003322A6">
            <w:pPr>
              <w:spacing w:after="0"/>
            </w:pPr>
            <w:r w:rsidRPr="00C375DC">
              <w:t>3.8</w:t>
            </w:r>
          </w:p>
        </w:tc>
        <w:tc>
          <w:tcPr>
            <w:tcW w:w="701" w:type="dxa"/>
          </w:tcPr>
          <w:p w14:paraId="2FD67387" w14:textId="321F67F2" w:rsidR="003322A6" w:rsidRPr="00C375DC" w:rsidRDefault="003322A6" w:rsidP="003322A6">
            <w:pPr>
              <w:spacing w:after="0"/>
            </w:pPr>
            <w:r w:rsidRPr="00C375DC">
              <w:t>2.68</w:t>
            </w:r>
          </w:p>
        </w:tc>
        <w:tc>
          <w:tcPr>
            <w:tcW w:w="709" w:type="dxa"/>
          </w:tcPr>
          <w:p w14:paraId="511AD117" w14:textId="79E37FC2" w:rsidR="003322A6" w:rsidRPr="00C375DC" w:rsidRDefault="003322A6" w:rsidP="003322A6">
            <w:pPr>
              <w:spacing w:after="0"/>
            </w:pPr>
            <w:r w:rsidRPr="00C375DC">
              <w:t>0.47</w:t>
            </w:r>
          </w:p>
        </w:tc>
      </w:tr>
    </w:tbl>
    <w:p w14:paraId="137EA6CC" w14:textId="23949BAE" w:rsidR="008E5E65" w:rsidRPr="00F03080" w:rsidRDefault="008E5E65" w:rsidP="00862B03">
      <w:pPr>
        <w:pStyle w:val="NormalWeb"/>
        <w:jc w:val="both"/>
      </w:pPr>
      <w:r w:rsidRPr="00F03080">
        <w:rPr>
          <w:rStyle w:val="Emphasis"/>
        </w:rPr>
        <w:t>Note.</w:t>
      </w:r>
      <w:r w:rsidRPr="00F03080">
        <w:t xml:space="preserve"> M = Mean; SD = Standard Deviation. Higher scores indicate more favorable perceptions of healthcare service delivery outcomes.</w:t>
      </w:r>
    </w:p>
    <w:p w14:paraId="621E9FC9" w14:textId="15090840" w:rsidR="00413959" w:rsidRPr="00F03080" w:rsidRDefault="00585513" w:rsidP="00862B03">
      <w:pPr>
        <w:spacing w:before="120" w:line="360" w:lineRule="auto"/>
        <w:jc w:val="both"/>
        <w:rPr>
          <w:b/>
        </w:rPr>
      </w:pPr>
      <w:r w:rsidRPr="00F03080">
        <w:rPr>
          <w:b/>
        </w:rPr>
        <w:t>SHA</w:t>
      </w:r>
      <w:r w:rsidR="004304C3" w:rsidRPr="00F03080">
        <w:rPr>
          <w:b/>
        </w:rPr>
        <w:t xml:space="preserve"> Implementation Challenges </w:t>
      </w:r>
    </w:p>
    <w:p w14:paraId="783C575D" w14:textId="01616A95" w:rsidR="005C5009" w:rsidRPr="00F03080" w:rsidRDefault="005C5009" w:rsidP="00A16ED1">
      <w:pPr>
        <w:spacing w:after="100" w:afterAutospacing="1" w:line="360" w:lineRule="auto"/>
        <w:jc w:val="both"/>
      </w:pPr>
      <w:r w:rsidRPr="00F03080">
        <w:t xml:space="preserve">Table 4 presents respondents' perceptions regarding implementation challenges associated with the Social Health Authority (SHA). Most respondents disagreed that reimbursement delays affect hospital service delivery, with 42.8% (n = 172) </w:t>
      </w:r>
      <w:r w:rsidRPr="00F03080">
        <w:lastRenderedPageBreak/>
        <w:t>disagreeing and 32.1% (n = 129) strongly disagreeing. Only 5.7% (n = 23) agreed or strongly agreed with the statement. Similarly, a majority of respondents indicated that hospitals lack adequate administrative capacity to implement SHA policies, as 44.3% (n = 178) disagreed and 26.4% (n = 106) strongly disagreed that sufficient administrative capacity exists. Only 10.2% (n = 41) agreed or strongly agreed.</w:t>
      </w:r>
    </w:p>
    <w:p w14:paraId="547D9D22" w14:textId="5AF28D71" w:rsidR="005C5009" w:rsidRPr="00F03080" w:rsidRDefault="005C5009" w:rsidP="00A16ED1">
      <w:pPr>
        <w:spacing w:after="100" w:afterAutospacing="1" w:line="360" w:lineRule="auto"/>
        <w:jc w:val="both"/>
      </w:pPr>
      <w:r w:rsidRPr="00F03080">
        <w:t xml:space="preserve">Regarding coordination between </w:t>
      </w:r>
      <w:r w:rsidR="00B7330B" w:rsidRPr="00D85C21">
        <w:t>the</w:t>
      </w:r>
      <w:r w:rsidR="00B7330B" w:rsidRPr="00D85C21">
        <w:rPr>
          <w:b/>
        </w:rPr>
        <w:t xml:space="preserve"> </w:t>
      </w:r>
      <w:r w:rsidR="00B7330B" w:rsidRPr="00B7330B">
        <w:t>Social Health Authority</w:t>
      </w:r>
      <w:r w:rsidRPr="00F03080">
        <w:t xml:space="preserve"> and county hospitals, 58.7% (n = 236) of respondents disagreed or strongly disagreed that coordination is effective, while 32.6% (n = 131) remained neutral. Only 8.5% (n = 34) agreed that coordination was effective. Most respondents also disagreed that </w:t>
      </w:r>
      <w:r w:rsidR="00B7330B" w:rsidRPr="00D85C21">
        <w:t>the</w:t>
      </w:r>
      <w:r w:rsidR="00B7330B" w:rsidRPr="00D85C21">
        <w:rPr>
          <w:b/>
        </w:rPr>
        <w:t xml:space="preserve"> </w:t>
      </w:r>
      <w:r w:rsidR="00B7330B" w:rsidRPr="00B7330B">
        <w:t>Social Health Authority</w:t>
      </w:r>
      <w:r w:rsidRPr="00B7330B">
        <w:t xml:space="preserve"> </w:t>
      </w:r>
      <w:r w:rsidRPr="00F03080">
        <w:t>policy guidelines are clear and consistent. Specifically, 36.6% (n = 147) disagreed and 31.3% (n = 126) strongly disagreed, compared to only 10.4% (n = 42) who agreed or strongly agreed. Finally, respondents generally disagreed that implementation challenges weaken the impact of SHA on service delivery. A combined 68.2% (n = 274) disagreed or strongly disagreed with this statement, while 11.2% (n = 45) agreed or strongly agreed.</w:t>
      </w:r>
    </w:p>
    <w:p w14:paraId="5F4A8421" w14:textId="15681685" w:rsidR="004304C3" w:rsidRPr="00F03080" w:rsidRDefault="004304C3" w:rsidP="00862B03">
      <w:pPr>
        <w:pStyle w:val="Caption"/>
        <w:keepNext/>
        <w:jc w:val="both"/>
        <w:rPr>
          <w:color w:val="auto"/>
        </w:rPr>
      </w:pPr>
      <w:r w:rsidRPr="00F03080">
        <w:rPr>
          <w:color w:val="auto"/>
        </w:rPr>
        <w:t xml:space="preserve">Table </w:t>
      </w:r>
      <w:r w:rsidRPr="00F03080">
        <w:rPr>
          <w:color w:val="auto"/>
        </w:rPr>
        <w:fldChar w:fldCharType="begin"/>
      </w:r>
      <w:r w:rsidRPr="00F03080">
        <w:rPr>
          <w:color w:val="auto"/>
        </w:rPr>
        <w:instrText xml:space="preserve"> SEQ Table \* ARABIC </w:instrText>
      </w:r>
      <w:r w:rsidRPr="00F03080">
        <w:rPr>
          <w:color w:val="auto"/>
        </w:rPr>
        <w:fldChar w:fldCharType="separate"/>
      </w:r>
      <w:r w:rsidR="00365C2F" w:rsidRPr="00F03080">
        <w:rPr>
          <w:noProof/>
          <w:color w:val="auto"/>
        </w:rPr>
        <w:t>4</w:t>
      </w:r>
      <w:r w:rsidRPr="00F03080">
        <w:rPr>
          <w:color w:val="auto"/>
        </w:rPr>
        <w:fldChar w:fldCharType="end"/>
      </w:r>
      <w:r w:rsidRPr="00F03080">
        <w:rPr>
          <w:color w:val="auto"/>
        </w:rPr>
        <w:t>: Respondents’ Perceptions of Implementation Challenges Affecting SHA Implementation (N = 401)</w:t>
      </w:r>
    </w:p>
    <w:tbl>
      <w:tblPr>
        <w:tblStyle w:val="TableGrid"/>
        <w:tblW w:w="8930" w:type="dxa"/>
        <w:tblLook w:val="04A0" w:firstRow="1" w:lastRow="0" w:firstColumn="1" w:lastColumn="0" w:noHBand="0" w:noVBand="1"/>
      </w:tblPr>
      <w:tblGrid>
        <w:gridCol w:w="3925"/>
        <w:gridCol w:w="1147"/>
        <w:gridCol w:w="1036"/>
        <w:gridCol w:w="1036"/>
        <w:gridCol w:w="855"/>
        <w:gridCol w:w="931"/>
      </w:tblGrid>
      <w:tr w:rsidR="002D55A1" w:rsidRPr="00F03080" w14:paraId="1C20E0FD" w14:textId="77777777" w:rsidTr="00E13811">
        <w:trPr>
          <w:trHeight w:val="657"/>
        </w:trPr>
        <w:tc>
          <w:tcPr>
            <w:tcW w:w="3926" w:type="dxa"/>
            <w:hideMark/>
          </w:tcPr>
          <w:p w14:paraId="6B514E6A" w14:textId="77777777" w:rsidR="004304C3" w:rsidRPr="00F03080" w:rsidRDefault="004304C3" w:rsidP="006403A2">
            <w:pPr>
              <w:spacing w:after="0"/>
            </w:pPr>
            <w:r w:rsidRPr="00F03080">
              <w:t>Statement</w:t>
            </w:r>
          </w:p>
        </w:tc>
        <w:tc>
          <w:tcPr>
            <w:tcW w:w="1147" w:type="dxa"/>
            <w:hideMark/>
          </w:tcPr>
          <w:p w14:paraId="293A284D" w14:textId="77777777" w:rsidR="004304C3" w:rsidRPr="00F03080" w:rsidRDefault="004304C3" w:rsidP="006403A2">
            <w:pPr>
              <w:spacing w:after="0"/>
            </w:pPr>
            <w:r w:rsidRPr="00F03080">
              <w:t>SD n (%)</w:t>
            </w:r>
          </w:p>
        </w:tc>
        <w:tc>
          <w:tcPr>
            <w:tcW w:w="0" w:type="auto"/>
            <w:hideMark/>
          </w:tcPr>
          <w:p w14:paraId="3728EC1D" w14:textId="77777777" w:rsidR="004304C3" w:rsidRPr="00F03080" w:rsidRDefault="004304C3" w:rsidP="006403A2">
            <w:pPr>
              <w:spacing w:after="0"/>
            </w:pPr>
            <w:r w:rsidRPr="00F03080">
              <w:t>D n (%)</w:t>
            </w:r>
          </w:p>
        </w:tc>
        <w:tc>
          <w:tcPr>
            <w:tcW w:w="0" w:type="auto"/>
            <w:hideMark/>
          </w:tcPr>
          <w:p w14:paraId="37F6DBB8" w14:textId="77777777" w:rsidR="004304C3" w:rsidRPr="00F03080" w:rsidRDefault="004304C3" w:rsidP="006403A2">
            <w:pPr>
              <w:spacing w:after="0"/>
            </w:pPr>
            <w:r w:rsidRPr="00F03080">
              <w:t>N n (%)</w:t>
            </w:r>
          </w:p>
        </w:tc>
        <w:tc>
          <w:tcPr>
            <w:tcW w:w="0" w:type="auto"/>
            <w:hideMark/>
          </w:tcPr>
          <w:p w14:paraId="1457EAC1" w14:textId="77777777" w:rsidR="004304C3" w:rsidRPr="00F03080" w:rsidRDefault="004304C3" w:rsidP="006403A2">
            <w:pPr>
              <w:spacing w:after="0"/>
            </w:pPr>
            <w:r w:rsidRPr="00F03080">
              <w:t>A n (%)</w:t>
            </w:r>
          </w:p>
        </w:tc>
        <w:tc>
          <w:tcPr>
            <w:tcW w:w="0" w:type="auto"/>
            <w:hideMark/>
          </w:tcPr>
          <w:p w14:paraId="0BD5977A" w14:textId="77777777" w:rsidR="004304C3" w:rsidRPr="00F03080" w:rsidRDefault="004304C3" w:rsidP="006403A2">
            <w:pPr>
              <w:spacing w:after="0"/>
            </w:pPr>
            <w:r w:rsidRPr="00F03080">
              <w:t>SA n (%)</w:t>
            </w:r>
          </w:p>
        </w:tc>
      </w:tr>
      <w:tr w:rsidR="002D55A1" w:rsidRPr="00F03080" w14:paraId="3D3E9DAF" w14:textId="77777777" w:rsidTr="00E13811">
        <w:trPr>
          <w:trHeight w:val="672"/>
        </w:trPr>
        <w:tc>
          <w:tcPr>
            <w:tcW w:w="3926" w:type="dxa"/>
            <w:hideMark/>
          </w:tcPr>
          <w:p w14:paraId="34641032" w14:textId="77777777" w:rsidR="004304C3" w:rsidRPr="00F03080" w:rsidRDefault="004304C3" w:rsidP="006403A2">
            <w:pPr>
              <w:spacing w:after="0"/>
              <w:jc w:val="left"/>
            </w:pPr>
            <w:r w:rsidRPr="00F03080">
              <w:t>Reimbursement delays affect hospital service delivery</w:t>
            </w:r>
          </w:p>
        </w:tc>
        <w:tc>
          <w:tcPr>
            <w:tcW w:w="1147" w:type="dxa"/>
            <w:hideMark/>
          </w:tcPr>
          <w:p w14:paraId="7DCE102C" w14:textId="77777777" w:rsidR="004304C3" w:rsidRPr="00F03080" w:rsidRDefault="004304C3" w:rsidP="006403A2">
            <w:pPr>
              <w:spacing w:after="0"/>
            </w:pPr>
            <w:r w:rsidRPr="00F03080">
              <w:t>129 (32.1)</w:t>
            </w:r>
          </w:p>
        </w:tc>
        <w:tc>
          <w:tcPr>
            <w:tcW w:w="0" w:type="auto"/>
            <w:hideMark/>
          </w:tcPr>
          <w:p w14:paraId="654F6929" w14:textId="77777777" w:rsidR="004304C3" w:rsidRPr="00F03080" w:rsidRDefault="004304C3" w:rsidP="006403A2">
            <w:pPr>
              <w:spacing w:after="0"/>
            </w:pPr>
            <w:r w:rsidRPr="00F03080">
              <w:t>172 (42.8)</w:t>
            </w:r>
          </w:p>
        </w:tc>
        <w:tc>
          <w:tcPr>
            <w:tcW w:w="0" w:type="auto"/>
            <w:hideMark/>
          </w:tcPr>
          <w:p w14:paraId="3282296E" w14:textId="77777777" w:rsidR="004304C3" w:rsidRPr="00F03080" w:rsidRDefault="004304C3" w:rsidP="006403A2">
            <w:pPr>
              <w:spacing w:after="0"/>
            </w:pPr>
            <w:r w:rsidRPr="00F03080">
              <w:t>77 (19.2)</w:t>
            </w:r>
          </w:p>
        </w:tc>
        <w:tc>
          <w:tcPr>
            <w:tcW w:w="0" w:type="auto"/>
            <w:hideMark/>
          </w:tcPr>
          <w:p w14:paraId="467C2B24" w14:textId="77777777" w:rsidR="004304C3" w:rsidRPr="00F03080" w:rsidRDefault="004304C3" w:rsidP="006403A2">
            <w:pPr>
              <w:spacing w:after="0"/>
            </w:pPr>
            <w:r w:rsidRPr="00F03080">
              <w:t>16 (4.0)</w:t>
            </w:r>
          </w:p>
        </w:tc>
        <w:tc>
          <w:tcPr>
            <w:tcW w:w="0" w:type="auto"/>
            <w:hideMark/>
          </w:tcPr>
          <w:p w14:paraId="248FD72D" w14:textId="77777777" w:rsidR="004304C3" w:rsidRPr="00F03080" w:rsidRDefault="004304C3" w:rsidP="006403A2">
            <w:pPr>
              <w:spacing w:after="0"/>
            </w:pPr>
            <w:r w:rsidRPr="00F03080">
              <w:t>7 (1.7)</w:t>
            </w:r>
          </w:p>
        </w:tc>
      </w:tr>
      <w:tr w:rsidR="002D55A1" w:rsidRPr="00F03080" w14:paraId="5ACDD390" w14:textId="77777777" w:rsidTr="00E13811">
        <w:trPr>
          <w:trHeight w:val="941"/>
        </w:trPr>
        <w:tc>
          <w:tcPr>
            <w:tcW w:w="3926" w:type="dxa"/>
            <w:hideMark/>
          </w:tcPr>
          <w:p w14:paraId="26340F3A" w14:textId="77777777" w:rsidR="004304C3" w:rsidRPr="00F03080" w:rsidRDefault="004304C3" w:rsidP="006403A2">
            <w:pPr>
              <w:spacing w:after="0"/>
              <w:jc w:val="left"/>
            </w:pPr>
            <w:r w:rsidRPr="00F03080">
              <w:t>The hospital has adequate administrative capacity to implement SHA policies</w:t>
            </w:r>
          </w:p>
        </w:tc>
        <w:tc>
          <w:tcPr>
            <w:tcW w:w="1147" w:type="dxa"/>
            <w:hideMark/>
          </w:tcPr>
          <w:p w14:paraId="3638F6F1" w14:textId="77777777" w:rsidR="004304C3" w:rsidRPr="00F03080" w:rsidRDefault="004304C3" w:rsidP="006403A2">
            <w:pPr>
              <w:spacing w:after="0"/>
            </w:pPr>
            <w:r w:rsidRPr="00F03080">
              <w:t>106 (26.4)</w:t>
            </w:r>
          </w:p>
        </w:tc>
        <w:tc>
          <w:tcPr>
            <w:tcW w:w="0" w:type="auto"/>
            <w:hideMark/>
          </w:tcPr>
          <w:p w14:paraId="42665158" w14:textId="77777777" w:rsidR="004304C3" w:rsidRPr="00F03080" w:rsidRDefault="004304C3" w:rsidP="006403A2">
            <w:pPr>
              <w:spacing w:after="0"/>
            </w:pPr>
            <w:r w:rsidRPr="00F03080">
              <w:t>178 (44.3)</w:t>
            </w:r>
          </w:p>
        </w:tc>
        <w:tc>
          <w:tcPr>
            <w:tcW w:w="0" w:type="auto"/>
            <w:hideMark/>
          </w:tcPr>
          <w:p w14:paraId="6A4B75FB" w14:textId="77777777" w:rsidR="004304C3" w:rsidRPr="00F03080" w:rsidRDefault="004304C3" w:rsidP="006403A2">
            <w:pPr>
              <w:spacing w:after="0"/>
            </w:pPr>
            <w:r w:rsidRPr="00F03080">
              <w:t>76 (18.9)</w:t>
            </w:r>
          </w:p>
        </w:tc>
        <w:tc>
          <w:tcPr>
            <w:tcW w:w="0" w:type="auto"/>
            <w:hideMark/>
          </w:tcPr>
          <w:p w14:paraId="6BFA164B" w14:textId="77777777" w:rsidR="004304C3" w:rsidRPr="00F03080" w:rsidRDefault="004304C3" w:rsidP="006403A2">
            <w:pPr>
              <w:spacing w:after="0"/>
            </w:pPr>
            <w:r w:rsidRPr="00F03080">
              <w:t>24 (6.0)</w:t>
            </w:r>
          </w:p>
        </w:tc>
        <w:tc>
          <w:tcPr>
            <w:tcW w:w="0" w:type="auto"/>
            <w:hideMark/>
          </w:tcPr>
          <w:p w14:paraId="74361B9A" w14:textId="77777777" w:rsidR="004304C3" w:rsidRPr="00F03080" w:rsidRDefault="004304C3" w:rsidP="006403A2">
            <w:pPr>
              <w:spacing w:after="0"/>
            </w:pPr>
            <w:r w:rsidRPr="00F03080">
              <w:t>17 (4.2)</w:t>
            </w:r>
          </w:p>
        </w:tc>
      </w:tr>
      <w:tr w:rsidR="002D55A1" w:rsidRPr="00F03080" w14:paraId="7D44C9AB" w14:textId="77777777" w:rsidTr="00E13811">
        <w:trPr>
          <w:trHeight w:val="657"/>
        </w:trPr>
        <w:tc>
          <w:tcPr>
            <w:tcW w:w="3926" w:type="dxa"/>
            <w:hideMark/>
          </w:tcPr>
          <w:p w14:paraId="253A1574" w14:textId="77777777" w:rsidR="004304C3" w:rsidRPr="00F03080" w:rsidRDefault="004304C3" w:rsidP="006403A2">
            <w:pPr>
              <w:spacing w:after="0"/>
              <w:jc w:val="left"/>
            </w:pPr>
            <w:r w:rsidRPr="00F03080">
              <w:t>Coordination between SHA and county hospitals is effective</w:t>
            </w:r>
          </w:p>
        </w:tc>
        <w:tc>
          <w:tcPr>
            <w:tcW w:w="1147" w:type="dxa"/>
            <w:hideMark/>
          </w:tcPr>
          <w:p w14:paraId="4055CA53" w14:textId="77777777" w:rsidR="004304C3" w:rsidRPr="00F03080" w:rsidRDefault="004304C3" w:rsidP="006403A2">
            <w:pPr>
              <w:spacing w:after="0"/>
            </w:pPr>
            <w:r w:rsidRPr="00F03080">
              <w:t>75 (18.7)</w:t>
            </w:r>
          </w:p>
        </w:tc>
        <w:tc>
          <w:tcPr>
            <w:tcW w:w="0" w:type="auto"/>
            <w:hideMark/>
          </w:tcPr>
          <w:p w14:paraId="363F9B0F" w14:textId="77777777" w:rsidR="004304C3" w:rsidRPr="00F03080" w:rsidRDefault="004304C3" w:rsidP="006403A2">
            <w:pPr>
              <w:spacing w:after="0"/>
            </w:pPr>
            <w:r w:rsidRPr="00F03080">
              <w:t>161 (40.0)</w:t>
            </w:r>
          </w:p>
        </w:tc>
        <w:tc>
          <w:tcPr>
            <w:tcW w:w="0" w:type="auto"/>
            <w:hideMark/>
          </w:tcPr>
          <w:p w14:paraId="412C5E2C" w14:textId="77777777" w:rsidR="004304C3" w:rsidRPr="00F03080" w:rsidRDefault="004304C3" w:rsidP="006403A2">
            <w:pPr>
              <w:spacing w:after="0"/>
            </w:pPr>
            <w:r w:rsidRPr="00F03080">
              <w:t>131 (32.6)</w:t>
            </w:r>
          </w:p>
        </w:tc>
        <w:tc>
          <w:tcPr>
            <w:tcW w:w="0" w:type="auto"/>
            <w:hideMark/>
          </w:tcPr>
          <w:p w14:paraId="5E25A203" w14:textId="77777777" w:rsidR="004304C3" w:rsidRPr="00F03080" w:rsidRDefault="004304C3" w:rsidP="006403A2">
            <w:pPr>
              <w:spacing w:after="0"/>
            </w:pPr>
            <w:r w:rsidRPr="00F03080">
              <w:t>34 (8.5)</w:t>
            </w:r>
          </w:p>
        </w:tc>
        <w:tc>
          <w:tcPr>
            <w:tcW w:w="0" w:type="auto"/>
            <w:hideMark/>
          </w:tcPr>
          <w:p w14:paraId="64C539BC" w14:textId="77777777" w:rsidR="004304C3" w:rsidRPr="00F03080" w:rsidRDefault="004304C3" w:rsidP="006403A2">
            <w:pPr>
              <w:spacing w:after="0"/>
            </w:pPr>
            <w:r w:rsidRPr="00F03080">
              <w:t>0 (0.0)</w:t>
            </w:r>
          </w:p>
        </w:tc>
      </w:tr>
      <w:tr w:rsidR="002D55A1" w:rsidRPr="00F03080" w14:paraId="64B45F5B" w14:textId="77777777" w:rsidTr="00E13811">
        <w:trPr>
          <w:trHeight w:val="672"/>
        </w:trPr>
        <w:tc>
          <w:tcPr>
            <w:tcW w:w="3926" w:type="dxa"/>
            <w:hideMark/>
          </w:tcPr>
          <w:p w14:paraId="52F9A64C" w14:textId="77777777" w:rsidR="004304C3" w:rsidRPr="00F03080" w:rsidRDefault="004304C3" w:rsidP="006403A2">
            <w:pPr>
              <w:spacing w:after="0"/>
            </w:pPr>
            <w:r w:rsidRPr="00F03080">
              <w:t>Policy guidelines from SHA are clear and consistent</w:t>
            </w:r>
          </w:p>
        </w:tc>
        <w:tc>
          <w:tcPr>
            <w:tcW w:w="1147" w:type="dxa"/>
            <w:hideMark/>
          </w:tcPr>
          <w:p w14:paraId="4E6D9124" w14:textId="77777777" w:rsidR="004304C3" w:rsidRPr="00F03080" w:rsidRDefault="004304C3" w:rsidP="006403A2">
            <w:pPr>
              <w:spacing w:after="0"/>
            </w:pPr>
            <w:r w:rsidRPr="00F03080">
              <w:t>126 (31.3)</w:t>
            </w:r>
          </w:p>
        </w:tc>
        <w:tc>
          <w:tcPr>
            <w:tcW w:w="0" w:type="auto"/>
            <w:hideMark/>
          </w:tcPr>
          <w:p w14:paraId="5C66029E" w14:textId="77777777" w:rsidR="004304C3" w:rsidRPr="00F03080" w:rsidRDefault="004304C3" w:rsidP="006403A2">
            <w:pPr>
              <w:spacing w:after="0"/>
            </w:pPr>
            <w:r w:rsidRPr="00F03080">
              <w:t>147 (36.6)</w:t>
            </w:r>
          </w:p>
        </w:tc>
        <w:tc>
          <w:tcPr>
            <w:tcW w:w="0" w:type="auto"/>
            <w:hideMark/>
          </w:tcPr>
          <w:p w14:paraId="507F60DB" w14:textId="77777777" w:rsidR="004304C3" w:rsidRPr="00F03080" w:rsidRDefault="004304C3" w:rsidP="006403A2">
            <w:pPr>
              <w:spacing w:after="0"/>
            </w:pPr>
            <w:r w:rsidRPr="00F03080">
              <w:t>86 (21.4)</w:t>
            </w:r>
          </w:p>
        </w:tc>
        <w:tc>
          <w:tcPr>
            <w:tcW w:w="0" w:type="auto"/>
            <w:hideMark/>
          </w:tcPr>
          <w:p w14:paraId="41B39C42" w14:textId="77777777" w:rsidR="004304C3" w:rsidRPr="00F03080" w:rsidRDefault="004304C3" w:rsidP="006403A2">
            <w:pPr>
              <w:spacing w:after="0"/>
            </w:pPr>
            <w:r w:rsidRPr="00F03080">
              <w:t>29 (7.2)</w:t>
            </w:r>
          </w:p>
        </w:tc>
        <w:tc>
          <w:tcPr>
            <w:tcW w:w="0" w:type="auto"/>
            <w:hideMark/>
          </w:tcPr>
          <w:p w14:paraId="227E5CA1" w14:textId="77777777" w:rsidR="004304C3" w:rsidRPr="00F03080" w:rsidRDefault="004304C3" w:rsidP="006403A2">
            <w:pPr>
              <w:spacing w:after="0"/>
            </w:pPr>
            <w:r w:rsidRPr="00F03080">
              <w:t>13 (3.2)</w:t>
            </w:r>
          </w:p>
        </w:tc>
      </w:tr>
      <w:tr w:rsidR="002D55A1" w:rsidRPr="00F03080" w14:paraId="219EAC73" w14:textId="77777777" w:rsidTr="00E13811">
        <w:trPr>
          <w:trHeight w:val="571"/>
        </w:trPr>
        <w:tc>
          <w:tcPr>
            <w:tcW w:w="3926" w:type="dxa"/>
            <w:hideMark/>
          </w:tcPr>
          <w:p w14:paraId="76BB2236" w14:textId="77777777" w:rsidR="004304C3" w:rsidRPr="00F03080" w:rsidRDefault="004304C3" w:rsidP="006403A2">
            <w:pPr>
              <w:spacing w:after="0"/>
              <w:jc w:val="left"/>
            </w:pPr>
            <w:r w:rsidRPr="00F03080">
              <w:t>Implementation challenges weaken the impact of SHA on service delivery</w:t>
            </w:r>
          </w:p>
        </w:tc>
        <w:tc>
          <w:tcPr>
            <w:tcW w:w="1147" w:type="dxa"/>
            <w:hideMark/>
          </w:tcPr>
          <w:p w14:paraId="041C7100" w14:textId="77777777" w:rsidR="004304C3" w:rsidRPr="00F03080" w:rsidRDefault="004304C3" w:rsidP="006403A2">
            <w:pPr>
              <w:spacing w:after="0"/>
            </w:pPr>
            <w:r w:rsidRPr="00F03080">
              <w:t>115 (28.6)</w:t>
            </w:r>
          </w:p>
        </w:tc>
        <w:tc>
          <w:tcPr>
            <w:tcW w:w="0" w:type="auto"/>
            <w:hideMark/>
          </w:tcPr>
          <w:p w14:paraId="5227B862" w14:textId="77777777" w:rsidR="004304C3" w:rsidRPr="00F03080" w:rsidRDefault="004304C3" w:rsidP="006403A2">
            <w:pPr>
              <w:spacing w:after="0"/>
            </w:pPr>
            <w:r w:rsidRPr="00F03080">
              <w:t>159 (39.6)</w:t>
            </w:r>
          </w:p>
        </w:tc>
        <w:tc>
          <w:tcPr>
            <w:tcW w:w="0" w:type="auto"/>
            <w:hideMark/>
          </w:tcPr>
          <w:p w14:paraId="58D967F5" w14:textId="77777777" w:rsidR="004304C3" w:rsidRPr="00F03080" w:rsidRDefault="004304C3" w:rsidP="006403A2">
            <w:pPr>
              <w:spacing w:after="0"/>
            </w:pPr>
            <w:r w:rsidRPr="00F03080">
              <w:t>82 (20.4)</w:t>
            </w:r>
          </w:p>
        </w:tc>
        <w:tc>
          <w:tcPr>
            <w:tcW w:w="0" w:type="auto"/>
            <w:hideMark/>
          </w:tcPr>
          <w:p w14:paraId="27761279" w14:textId="77777777" w:rsidR="004304C3" w:rsidRPr="00F03080" w:rsidRDefault="004304C3" w:rsidP="006403A2">
            <w:pPr>
              <w:spacing w:after="0"/>
            </w:pPr>
            <w:r w:rsidRPr="00F03080">
              <w:t>33 (8.2)</w:t>
            </w:r>
          </w:p>
        </w:tc>
        <w:tc>
          <w:tcPr>
            <w:tcW w:w="0" w:type="auto"/>
            <w:hideMark/>
          </w:tcPr>
          <w:p w14:paraId="77AF7815" w14:textId="77777777" w:rsidR="004304C3" w:rsidRPr="00F03080" w:rsidRDefault="004304C3" w:rsidP="006403A2">
            <w:pPr>
              <w:spacing w:after="0"/>
            </w:pPr>
            <w:r w:rsidRPr="00F03080">
              <w:t>12 (3.0)</w:t>
            </w:r>
          </w:p>
        </w:tc>
      </w:tr>
    </w:tbl>
    <w:p w14:paraId="096B48DC" w14:textId="698EC845" w:rsidR="004304C3" w:rsidRPr="00F03080" w:rsidRDefault="004304C3" w:rsidP="00862B03">
      <w:pPr>
        <w:spacing w:before="120" w:line="360" w:lineRule="auto"/>
        <w:jc w:val="both"/>
      </w:pPr>
      <w:r w:rsidRPr="00F03080">
        <w:rPr>
          <w:rStyle w:val="Emphasis"/>
        </w:rPr>
        <w:lastRenderedPageBreak/>
        <w:t>Note.</w:t>
      </w:r>
      <w:r w:rsidRPr="00F03080">
        <w:t xml:space="preserve"> SD = Strongly Disagree; D = Disagree; N = Neutral; A = Agree; SA = Strongly Agree.</w:t>
      </w:r>
    </w:p>
    <w:p w14:paraId="25A5F7C7" w14:textId="168E4550" w:rsidR="00871637" w:rsidRPr="00F03080" w:rsidRDefault="00C91A02" w:rsidP="00862B03">
      <w:pPr>
        <w:spacing w:before="120" w:line="360" w:lineRule="auto"/>
        <w:jc w:val="both"/>
        <w:rPr>
          <w:b/>
        </w:rPr>
      </w:pPr>
      <w:r w:rsidRPr="00F03080">
        <w:rPr>
          <w:b/>
        </w:rPr>
        <w:t xml:space="preserve">MANOVA Analysis </w:t>
      </w:r>
    </w:p>
    <w:p w14:paraId="1D37667D" w14:textId="6AE9B53F" w:rsidR="0076205B" w:rsidRPr="00F03080" w:rsidRDefault="0076205B" w:rsidP="00A16ED1">
      <w:pPr>
        <w:spacing w:after="100" w:afterAutospacing="1" w:line="360" w:lineRule="auto"/>
        <w:jc w:val="both"/>
      </w:pPr>
      <w:r w:rsidRPr="00F03080">
        <w:t>A one-way MANOVA was conducted to determine whether healthcare outcomes differed significantly across hospital levels (Level 3, Level 4, Level 5, and Level 6)</w:t>
      </w:r>
      <w:r w:rsidR="00EB38AA" w:rsidRPr="00F03080">
        <w:t xml:space="preserve"> (see Table 5)</w:t>
      </w:r>
      <w:r w:rsidRPr="00F03080">
        <w:t>. Preliminary assumption tests indicated that the data met the required conditions for MANOVA. Box’s Test of Equality of Covariance Matrices was not significant (p = .593), suggesting that the covariance matrices were equal across groups. Similarly, Levene’s tests for all dependent variables were non-significant (p &gt; .05), indicating homogeneity of variances.</w:t>
      </w:r>
      <w:r w:rsidR="0088476F" w:rsidRPr="006403A2">
        <w:t>The multivariate test using Pillai’s Trace indicated no statistically significant effect of Hospital Level on the combined dependent variables (Pillai’s Trace = .030, F = .797, p = .683). This suggests that differences in hospital levels did not significantly influence the combined outcome variables. Multic</w:t>
      </w:r>
      <w:r w:rsidR="006403A2" w:rsidRPr="006403A2">
        <w:t>ollinearity was assessed using C</w:t>
      </w:r>
      <w:r w:rsidR="0088476F" w:rsidRPr="006403A2">
        <w:t>ollinearity diagnostics based on eigenvalues, condition indices, and variance proportions. The results indicated that the highest condition index was 21.592, which su</w:t>
      </w:r>
      <w:r w:rsidR="006403A2" w:rsidRPr="006403A2">
        <w:t>ggests moderate but not severe M</w:t>
      </w:r>
      <w:r w:rsidR="0088476F" w:rsidRPr="006403A2">
        <w:t>ulticollinearity. Examination of variance proportions showed that no two or more predictor variables had high variance proportions (≥0.50) on the s</w:t>
      </w:r>
      <w:r w:rsidR="006403A2" w:rsidRPr="006403A2">
        <w:t>ame dimension, indicating that M</w:t>
      </w:r>
      <w:r w:rsidR="0088476F" w:rsidRPr="006403A2">
        <w:t>ulticollinearity was not severe enough to distort the regression estimates. Therefore</w:t>
      </w:r>
      <w:r w:rsidR="006403A2" w:rsidRPr="006403A2">
        <w:t>, the assumption of no serious M</w:t>
      </w:r>
      <w:r w:rsidR="0088476F" w:rsidRPr="006403A2">
        <w:t>ulticollinearity was considered satisfied.</w:t>
      </w:r>
    </w:p>
    <w:p w14:paraId="12B7AB40" w14:textId="693EBCBB" w:rsidR="0076205B" w:rsidRPr="00F03080" w:rsidRDefault="0076205B" w:rsidP="00A16ED1">
      <w:pPr>
        <w:spacing w:after="100" w:afterAutospacing="1" w:line="360" w:lineRule="auto"/>
        <w:jc w:val="both"/>
      </w:pPr>
      <w:r w:rsidRPr="00F03080">
        <w:t xml:space="preserve">The multivariate results showed that hospital level did not have a statistically significant effect on the combined dependent variables. Using Pillai’s Trace, there was no significant difference across hospital levels, V = .030, </w:t>
      </w:r>
      <w:r w:rsidR="005D4A4D" w:rsidRPr="00F03080">
        <w:t>F (</w:t>
      </w:r>
      <w:r w:rsidRPr="00F03080">
        <w:t>15, 1185) = 0.797, p = .683, partial η² = .010. All other multivariate tests (Wilks’ Lambda, Hotelling’s Trace, and Roy’s Largest Root) also confirmed the same conclusion.</w:t>
      </w:r>
    </w:p>
    <w:p w14:paraId="2CB8707C" w14:textId="50AF760D" w:rsidR="00E51947" w:rsidRPr="00F03080" w:rsidRDefault="0076205B" w:rsidP="00A16ED1">
      <w:pPr>
        <w:spacing w:after="100" w:afterAutospacing="1" w:line="360" w:lineRule="auto"/>
        <w:jc w:val="both"/>
      </w:pPr>
      <w:r w:rsidRPr="00F03080">
        <w:lastRenderedPageBreak/>
        <w:t>Although slight differences were observed in mean scores across hospital levels, these differences were minimal. For example, patient access and utilization was slightly higher in Level 4 hospitals (M = 2.33), while operational efficiency was slightly higher in Level 5 hospitals (M = 2.14). Institutional and implementation challenges were relatively simi</w:t>
      </w:r>
      <w:r w:rsidR="00CF1038">
        <w:t>lar across all hospital levels.</w:t>
      </w:r>
    </w:p>
    <w:p w14:paraId="2DDDD6CC" w14:textId="0775100A" w:rsidR="00E51947" w:rsidRPr="00F03080" w:rsidRDefault="00E51947" w:rsidP="00862B03">
      <w:pPr>
        <w:pStyle w:val="Caption"/>
        <w:keepNext/>
        <w:jc w:val="both"/>
        <w:rPr>
          <w:color w:val="auto"/>
        </w:rPr>
      </w:pPr>
      <w:r w:rsidRPr="00F03080">
        <w:rPr>
          <w:color w:val="auto"/>
        </w:rPr>
        <w:t xml:space="preserve">Table </w:t>
      </w:r>
      <w:r w:rsidRPr="00F03080">
        <w:rPr>
          <w:color w:val="auto"/>
        </w:rPr>
        <w:fldChar w:fldCharType="begin"/>
      </w:r>
      <w:r w:rsidRPr="00F03080">
        <w:rPr>
          <w:color w:val="auto"/>
        </w:rPr>
        <w:instrText xml:space="preserve"> SEQ Table \* ARABIC </w:instrText>
      </w:r>
      <w:r w:rsidRPr="00F03080">
        <w:rPr>
          <w:color w:val="auto"/>
        </w:rPr>
        <w:fldChar w:fldCharType="separate"/>
      </w:r>
      <w:r w:rsidR="00365C2F" w:rsidRPr="00F03080">
        <w:rPr>
          <w:noProof/>
          <w:color w:val="auto"/>
        </w:rPr>
        <w:t>5</w:t>
      </w:r>
      <w:r w:rsidRPr="00F03080">
        <w:rPr>
          <w:color w:val="auto"/>
        </w:rPr>
        <w:fldChar w:fldCharType="end"/>
      </w:r>
      <w:r w:rsidR="001A7A75" w:rsidRPr="00F03080">
        <w:rPr>
          <w:color w:val="auto"/>
        </w:rPr>
        <w:t xml:space="preserve"> MANOVA Results for Hospital Level Differences in Healthcare Outcomes (N = 401)</w:t>
      </w:r>
    </w:p>
    <w:p w14:paraId="30F512C5" w14:textId="4BCB3FC8" w:rsidR="00372363" w:rsidRPr="00F03080" w:rsidRDefault="00372363" w:rsidP="00862B03">
      <w:pPr>
        <w:jc w:val="both"/>
        <w:rPr>
          <w:b/>
        </w:rPr>
      </w:pPr>
      <w:r w:rsidRPr="00F03080">
        <w:rPr>
          <w:b/>
        </w:rPr>
        <w:t>Descriptive Statistics by Hospital Level</w:t>
      </w:r>
    </w:p>
    <w:tbl>
      <w:tblPr>
        <w:tblStyle w:val="TableGrid"/>
        <w:tblW w:w="7508" w:type="dxa"/>
        <w:tblLook w:val="04A0" w:firstRow="1" w:lastRow="0" w:firstColumn="1" w:lastColumn="0" w:noHBand="0" w:noVBand="1"/>
      </w:tblPr>
      <w:tblGrid>
        <w:gridCol w:w="3256"/>
        <w:gridCol w:w="1134"/>
        <w:gridCol w:w="992"/>
        <w:gridCol w:w="1134"/>
        <w:gridCol w:w="992"/>
      </w:tblGrid>
      <w:tr w:rsidR="007E4164" w:rsidRPr="00F03080" w14:paraId="0CCDC6B5" w14:textId="77777777" w:rsidTr="00B16CA2">
        <w:trPr>
          <w:trHeight w:val="326"/>
        </w:trPr>
        <w:tc>
          <w:tcPr>
            <w:tcW w:w="3256" w:type="dxa"/>
            <w:hideMark/>
          </w:tcPr>
          <w:p w14:paraId="3C766B55" w14:textId="77777777" w:rsidR="00E51947" w:rsidRPr="00F03080" w:rsidRDefault="00E51947" w:rsidP="00862B03">
            <w:r w:rsidRPr="00F03080">
              <w:t>Outcome</w:t>
            </w:r>
          </w:p>
        </w:tc>
        <w:tc>
          <w:tcPr>
            <w:tcW w:w="1134" w:type="dxa"/>
            <w:hideMark/>
          </w:tcPr>
          <w:p w14:paraId="26006409" w14:textId="77777777" w:rsidR="00E51947" w:rsidRPr="00F03080" w:rsidRDefault="00E51947" w:rsidP="00862B03">
            <w:r w:rsidRPr="00F03080">
              <w:t>Level 3</w:t>
            </w:r>
          </w:p>
        </w:tc>
        <w:tc>
          <w:tcPr>
            <w:tcW w:w="992" w:type="dxa"/>
            <w:hideMark/>
          </w:tcPr>
          <w:p w14:paraId="780A8409" w14:textId="77777777" w:rsidR="00E51947" w:rsidRPr="00F03080" w:rsidRDefault="00E51947" w:rsidP="00862B03">
            <w:r w:rsidRPr="00F03080">
              <w:t>Level 4</w:t>
            </w:r>
          </w:p>
        </w:tc>
        <w:tc>
          <w:tcPr>
            <w:tcW w:w="1134" w:type="dxa"/>
            <w:hideMark/>
          </w:tcPr>
          <w:p w14:paraId="46783425" w14:textId="77777777" w:rsidR="00E51947" w:rsidRPr="00F03080" w:rsidRDefault="00E51947" w:rsidP="00862B03">
            <w:r w:rsidRPr="00F03080">
              <w:t>Level 5</w:t>
            </w:r>
          </w:p>
        </w:tc>
        <w:tc>
          <w:tcPr>
            <w:tcW w:w="992" w:type="dxa"/>
            <w:hideMark/>
          </w:tcPr>
          <w:p w14:paraId="0C75586B" w14:textId="77777777" w:rsidR="00E51947" w:rsidRPr="00F03080" w:rsidRDefault="00E51947" w:rsidP="00862B03">
            <w:r w:rsidRPr="00F03080">
              <w:t>Level 6</w:t>
            </w:r>
          </w:p>
        </w:tc>
      </w:tr>
      <w:tr w:rsidR="007E4164" w:rsidRPr="00F03080" w14:paraId="778ADAC7" w14:textId="77777777" w:rsidTr="00B16CA2">
        <w:trPr>
          <w:trHeight w:val="326"/>
        </w:trPr>
        <w:tc>
          <w:tcPr>
            <w:tcW w:w="3256" w:type="dxa"/>
            <w:hideMark/>
          </w:tcPr>
          <w:p w14:paraId="4D4CCC52" w14:textId="77777777" w:rsidR="00E51947" w:rsidRPr="00F03080" w:rsidRDefault="00E51947" w:rsidP="00862B03">
            <w:r w:rsidRPr="00F03080">
              <w:t>Resource Availability</w:t>
            </w:r>
          </w:p>
        </w:tc>
        <w:tc>
          <w:tcPr>
            <w:tcW w:w="1134" w:type="dxa"/>
            <w:hideMark/>
          </w:tcPr>
          <w:p w14:paraId="164732F8" w14:textId="77777777" w:rsidR="00E51947" w:rsidRPr="00F03080" w:rsidRDefault="00E51947" w:rsidP="00862B03">
            <w:r w:rsidRPr="00F03080">
              <w:t>2.12</w:t>
            </w:r>
          </w:p>
        </w:tc>
        <w:tc>
          <w:tcPr>
            <w:tcW w:w="992" w:type="dxa"/>
            <w:hideMark/>
          </w:tcPr>
          <w:p w14:paraId="447B0B04" w14:textId="77777777" w:rsidR="00E51947" w:rsidRPr="00F03080" w:rsidRDefault="00E51947" w:rsidP="00862B03">
            <w:r w:rsidRPr="00F03080">
              <w:t>2.16</w:t>
            </w:r>
          </w:p>
        </w:tc>
        <w:tc>
          <w:tcPr>
            <w:tcW w:w="1134" w:type="dxa"/>
            <w:hideMark/>
          </w:tcPr>
          <w:p w14:paraId="3F6277C3" w14:textId="77777777" w:rsidR="00E51947" w:rsidRPr="00F03080" w:rsidRDefault="00E51947" w:rsidP="00862B03">
            <w:r w:rsidRPr="00F03080">
              <w:t>2.18</w:t>
            </w:r>
          </w:p>
        </w:tc>
        <w:tc>
          <w:tcPr>
            <w:tcW w:w="992" w:type="dxa"/>
            <w:hideMark/>
          </w:tcPr>
          <w:p w14:paraId="3F994F7A" w14:textId="77777777" w:rsidR="00E51947" w:rsidRPr="00F03080" w:rsidRDefault="00E51947" w:rsidP="00862B03">
            <w:r w:rsidRPr="00F03080">
              <w:t>2.18</w:t>
            </w:r>
          </w:p>
        </w:tc>
      </w:tr>
      <w:tr w:rsidR="007E4164" w:rsidRPr="00F03080" w14:paraId="25954C34" w14:textId="77777777" w:rsidTr="00B16CA2">
        <w:trPr>
          <w:trHeight w:val="326"/>
        </w:trPr>
        <w:tc>
          <w:tcPr>
            <w:tcW w:w="3256" w:type="dxa"/>
            <w:hideMark/>
          </w:tcPr>
          <w:p w14:paraId="24F7EDDE" w14:textId="77777777" w:rsidR="00E51947" w:rsidRPr="00F03080" w:rsidRDefault="00E51947" w:rsidP="00862B03">
            <w:r w:rsidRPr="00F03080">
              <w:t>Quality of Service Delivery</w:t>
            </w:r>
          </w:p>
        </w:tc>
        <w:tc>
          <w:tcPr>
            <w:tcW w:w="1134" w:type="dxa"/>
            <w:hideMark/>
          </w:tcPr>
          <w:p w14:paraId="566D34F0" w14:textId="77777777" w:rsidR="00E51947" w:rsidRPr="00F03080" w:rsidRDefault="00E51947" w:rsidP="00862B03">
            <w:r w:rsidRPr="00F03080">
              <w:t>2.13</w:t>
            </w:r>
          </w:p>
        </w:tc>
        <w:tc>
          <w:tcPr>
            <w:tcW w:w="992" w:type="dxa"/>
            <w:hideMark/>
          </w:tcPr>
          <w:p w14:paraId="3694CC7B" w14:textId="77777777" w:rsidR="00E51947" w:rsidRPr="00F03080" w:rsidRDefault="00E51947" w:rsidP="00862B03">
            <w:r w:rsidRPr="00F03080">
              <w:t>2.19</w:t>
            </w:r>
          </w:p>
        </w:tc>
        <w:tc>
          <w:tcPr>
            <w:tcW w:w="1134" w:type="dxa"/>
            <w:hideMark/>
          </w:tcPr>
          <w:p w14:paraId="057556BD" w14:textId="77777777" w:rsidR="00E51947" w:rsidRPr="00F03080" w:rsidRDefault="00E51947" w:rsidP="00862B03">
            <w:r w:rsidRPr="00F03080">
              <w:t>2.10</w:t>
            </w:r>
          </w:p>
        </w:tc>
        <w:tc>
          <w:tcPr>
            <w:tcW w:w="992" w:type="dxa"/>
            <w:hideMark/>
          </w:tcPr>
          <w:p w14:paraId="018D5227" w14:textId="77777777" w:rsidR="00E51947" w:rsidRPr="00F03080" w:rsidRDefault="00E51947" w:rsidP="00862B03">
            <w:r w:rsidRPr="00F03080">
              <w:t>2.17</w:t>
            </w:r>
          </w:p>
        </w:tc>
      </w:tr>
      <w:tr w:rsidR="007E4164" w:rsidRPr="00F03080" w14:paraId="402DC71B" w14:textId="77777777" w:rsidTr="00B16CA2">
        <w:trPr>
          <w:trHeight w:val="326"/>
        </w:trPr>
        <w:tc>
          <w:tcPr>
            <w:tcW w:w="3256" w:type="dxa"/>
            <w:hideMark/>
          </w:tcPr>
          <w:p w14:paraId="6B993CE8" w14:textId="77777777" w:rsidR="00E51947" w:rsidRPr="00F03080" w:rsidRDefault="00E51947" w:rsidP="00862B03">
            <w:r w:rsidRPr="00F03080">
              <w:t>Patient Access &amp; Utilization</w:t>
            </w:r>
          </w:p>
        </w:tc>
        <w:tc>
          <w:tcPr>
            <w:tcW w:w="1134" w:type="dxa"/>
            <w:hideMark/>
          </w:tcPr>
          <w:p w14:paraId="70C289B3" w14:textId="77777777" w:rsidR="00E51947" w:rsidRPr="00F03080" w:rsidRDefault="00E51947" w:rsidP="00862B03">
            <w:r w:rsidRPr="00F03080">
              <w:t>2.29</w:t>
            </w:r>
          </w:p>
        </w:tc>
        <w:tc>
          <w:tcPr>
            <w:tcW w:w="992" w:type="dxa"/>
            <w:hideMark/>
          </w:tcPr>
          <w:p w14:paraId="72299288" w14:textId="77777777" w:rsidR="00E51947" w:rsidRPr="00F03080" w:rsidRDefault="00E51947" w:rsidP="00862B03">
            <w:r w:rsidRPr="00F03080">
              <w:t>2.33</w:t>
            </w:r>
          </w:p>
        </w:tc>
        <w:tc>
          <w:tcPr>
            <w:tcW w:w="1134" w:type="dxa"/>
            <w:hideMark/>
          </w:tcPr>
          <w:p w14:paraId="3FE76B02" w14:textId="77777777" w:rsidR="00E51947" w:rsidRPr="00F03080" w:rsidRDefault="00E51947" w:rsidP="00862B03">
            <w:r w:rsidRPr="00F03080">
              <w:t>2.19</w:t>
            </w:r>
          </w:p>
        </w:tc>
        <w:tc>
          <w:tcPr>
            <w:tcW w:w="992" w:type="dxa"/>
            <w:hideMark/>
          </w:tcPr>
          <w:p w14:paraId="2C011274" w14:textId="77777777" w:rsidR="00E51947" w:rsidRPr="00F03080" w:rsidRDefault="00E51947" w:rsidP="00862B03">
            <w:r w:rsidRPr="00F03080">
              <w:t>2.19</w:t>
            </w:r>
          </w:p>
        </w:tc>
      </w:tr>
      <w:tr w:rsidR="007E4164" w:rsidRPr="00F03080" w14:paraId="36CB4FD1" w14:textId="77777777" w:rsidTr="00B16CA2">
        <w:trPr>
          <w:trHeight w:val="326"/>
        </w:trPr>
        <w:tc>
          <w:tcPr>
            <w:tcW w:w="3256" w:type="dxa"/>
            <w:hideMark/>
          </w:tcPr>
          <w:p w14:paraId="373C1DEB" w14:textId="77777777" w:rsidR="00E51947" w:rsidRPr="00F03080" w:rsidRDefault="00E51947" w:rsidP="00862B03">
            <w:r w:rsidRPr="00F03080">
              <w:t>Operational Efficiency</w:t>
            </w:r>
          </w:p>
        </w:tc>
        <w:tc>
          <w:tcPr>
            <w:tcW w:w="1134" w:type="dxa"/>
            <w:hideMark/>
          </w:tcPr>
          <w:p w14:paraId="18548250" w14:textId="77777777" w:rsidR="00E51947" w:rsidRPr="00F03080" w:rsidRDefault="00E51947" w:rsidP="00862B03">
            <w:r w:rsidRPr="00F03080">
              <w:t>2.06</w:t>
            </w:r>
          </w:p>
        </w:tc>
        <w:tc>
          <w:tcPr>
            <w:tcW w:w="992" w:type="dxa"/>
            <w:hideMark/>
          </w:tcPr>
          <w:p w14:paraId="7D17E48A" w14:textId="77777777" w:rsidR="00E51947" w:rsidRPr="00F03080" w:rsidRDefault="00E51947" w:rsidP="00862B03">
            <w:r w:rsidRPr="00F03080">
              <w:t>2.11</w:t>
            </w:r>
          </w:p>
        </w:tc>
        <w:tc>
          <w:tcPr>
            <w:tcW w:w="1134" w:type="dxa"/>
            <w:hideMark/>
          </w:tcPr>
          <w:p w14:paraId="18A78C27" w14:textId="77777777" w:rsidR="00E51947" w:rsidRPr="00F03080" w:rsidRDefault="00E51947" w:rsidP="00862B03">
            <w:r w:rsidRPr="00F03080">
              <w:t>2.14</w:t>
            </w:r>
          </w:p>
        </w:tc>
        <w:tc>
          <w:tcPr>
            <w:tcW w:w="992" w:type="dxa"/>
            <w:hideMark/>
          </w:tcPr>
          <w:p w14:paraId="6EB87E1F" w14:textId="77777777" w:rsidR="00E51947" w:rsidRPr="00F03080" w:rsidRDefault="00E51947" w:rsidP="00862B03">
            <w:r w:rsidRPr="00F03080">
              <w:t>2.05</w:t>
            </w:r>
          </w:p>
        </w:tc>
      </w:tr>
      <w:tr w:rsidR="007E4164" w:rsidRPr="00F03080" w14:paraId="1DB7C3C3" w14:textId="77777777" w:rsidTr="00B16CA2">
        <w:trPr>
          <w:trHeight w:val="326"/>
        </w:trPr>
        <w:tc>
          <w:tcPr>
            <w:tcW w:w="3256" w:type="dxa"/>
            <w:hideMark/>
          </w:tcPr>
          <w:p w14:paraId="30C1D5C6" w14:textId="77777777" w:rsidR="00E51947" w:rsidRPr="00F03080" w:rsidRDefault="00E51947" w:rsidP="00862B03">
            <w:r w:rsidRPr="00F03080">
              <w:t>Institutional Challenges</w:t>
            </w:r>
          </w:p>
        </w:tc>
        <w:tc>
          <w:tcPr>
            <w:tcW w:w="1134" w:type="dxa"/>
            <w:hideMark/>
          </w:tcPr>
          <w:p w14:paraId="1732E666" w14:textId="77777777" w:rsidR="00E51947" w:rsidRPr="00F03080" w:rsidRDefault="00E51947" w:rsidP="00862B03">
            <w:r w:rsidRPr="00F03080">
              <w:t>2.67</w:t>
            </w:r>
          </w:p>
        </w:tc>
        <w:tc>
          <w:tcPr>
            <w:tcW w:w="992" w:type="dxa"/>
            <w:hideMark/>
          </w:tcPr>
          <w:p w14:paraId="16BD85E3" w14:textId="77777777" w:rsidR="00E51947" w:rsidRPr="00F03080" w:rsidRDefault="00E51947" w:rsidP="00862B03">
            <w:r w:rsidRPr="00F03080">
              <w:t>2.70</w:t>
            </w:r>
          </w:p>
        </w:tc>
        <w:tc>
          <w:tcPr>
            <w:tcW w:w="1134" w:type="dxa"/>
            <w:hideMark/>
          </w:tcPr>
          <w:p w14:paraId="7FC61D18" w14:textId="77777777" w:rsidR="00E51947" w:rsidRPr="00F03080" w:rsidRDefault="00E51947" w:rsidP="00862B03">
            <w:r w:rsidRPr="00F03080">
              <w:t>2.71</w:t>
            </w:r>
          </w:p>
        </w:tc>
        <w:tc>
          <w:tcPr>
            <w:tcW w:w="992" w:type="dxa"/>
            <w:hideMark/>
          </w:tcPr>
          <w:p w14:paraId="6E57146E" w14:textId="77777777" w:rsidR="00E51947" w:rsidRPr="00F03080" w:rsidRDefault="00E51947" w:rsidP="00862B03">
            <w:r w:rsidRPr="00F03080">
              <w:t>2.66</w:t>
            </w:r>
          </w:p>
        </w:tc>
      </w:tr>
    </w:tbl>
    <w:p w14:paraId="73A7E796" w14:textId="3ED3F44D" w:rsidR="00E51947" w:rsidRPr="00F03080" w:rsidRDefault="00E51947" w:rsidP="00862B03">
      <w:pPr>
        <w:spacing w:before="120" w:line="360" w:lineRule="auto"/>
        <w:jc w:val="both"/>
      </w:pPr>
    </w:p>
    <w:p w14:paraId="6E35D92E" w14:textId="3C9050B5" w:rsidR="00DA399B" w:rsidRPr="00F03080" w:rsidRDefault="00DA399B" w:rsidP="00862B03">
      <w:pPr>
        <w:pStyle w:val="Caption"/>
        <w:keepNext/>
        <w:jc w:val="both"/>
        <w:rPr>
          <w:color w:val="auto"/>
        </w:rPr>
      </w:pPr>
      <w:r w:rsidRPr="00F03080">
        <w:rPr>
          <w:color w:val="auto"/>
        </w:rPr>
        <w:t xml:space="preserve">Table </w:t>
      </w:r>
      <w:r w:rsidRPr="00F03080">
        <w:rPr>
          <w:color w:val="auto"/>
        </w:rPr>
        <w:fldChar w:fldCharType="begin"/>
      </w:r>
      <w:r w:rsidRPr="00F03080">
        <w:rPr>
          <w:color w:val="auto"/>
        </w:rPr>
        <w:instrText xml:space="preserve"> SEQ Table \* ARABIC </w:instrText>
      </w:r>
      <w:r w:rsidRPr="00F03080">
        <w:rPr>
          <w:color w:val="auto"/>
        </w:rPr>
        <w:fldChar w:fldCharType="separate"/>
      </w:r>
      <w:r w:rsidR="00365C2F" w:rsidRPr="00F03080">
        <w:rPr>
          <w:noProof/>
          <w:color w:val="auto"/>
        </w:rPr>
        <w:t>6</w:t>
      </w:r>
      <w:r w:rsidRPr="00F03080">
        <w:rPr>
          <w:color w:val="auto"/>
        </w:rPr>
        <w:fldChar w:fldCharType="end"/>
      </w:r>
      <w:r w:rsidR="00372363" w:rsidRPr="00F03080">
        <w:rPr>
          <w:color w:val="auto"/>
        </w:rPr>
        <w:t xml:space="preserve"> Levene’s Test of Equality of Error Variances</w:t>
      </w:r>
    </w:p>
    <w:tbl>
      <w:tblPr>
        <w:tblStyle w:val="TableGrid"/>
        <w:tblW w:w="7508" w:type="dxa"/>
        <w:tblLook w:val="04A0" w:firstRow="1" w:lastRow="0" w:firstColumn="1" w:lastColumn="0" w:noHBand="0" w:noVBand="1"/>
      </w:tblPr>
      <w:tblGrid>
        <w:gridCol w:w="4390"/>
        <w:gridCol w:w="992"/>
        <w:gridCol w:w="709"/>
        <w:gridCol w:w="708"/>
        <w:gridCol w:w="709"/>
      </w:tblGrid>
      <w:tr w:rsidR="007E4164" w:rsidRPr="00F03080" w14:paraId="36941F9E" w14:textId="77777777" w:rsidTr="00B16CA2">
        <w:trPr>
          <w:trHeight w:val="289"/>
        </w:trPr>
        <w:tc>
          <w:tcPr>
            <w:tcW w:w="4390" w:type="dxa"/>
            <w:hideMark/>
          </w:tcPr>
          <w:p w14:paraId="1A99D167" w14:textId="77777777" w:rsidR="00DA399B" w:rsidRPr="00F03080" w:rsidRDefault="00DA399B" w:rsidP="00862B03">
            <w:r w:rsidRPr="00F03080">
              <w:t>Outcome Variable</w:t>
            </w:r>
          </w:p>
        </w:tc>
        <w:tc>
          <w:tcPr>
            <w:tcW w:w="992" w:type="dxa"/>
            <w:hideMark/>
          </w:tcPr>
          <w:p w14:paraId="1A03263A" w14:textId="77777777" w:rsidR="00DA399B" w:rsidRPr="00F03080" w:rsidRDefault="00DA399B" w:rsidP="00862B03">
            <w:r w:rsidRPr="00F03080">
              <w:t>F</w:t>
            </w:r>
          </w:p>
        </w:tc>
        <w:tc>
          <w:tcPr>
            <w:tcW w:w="709" w:type="dxa"/>
            <w:hideMark/>
          </w:tcPr>
          <w:p w14:paraId="05DE2F54" w14:textId="77777777" w:rsidR="00DA399B" w:rsidRPr="00F03080" w:rsidRDefault="00DA399B" w:rsidP="00862B03">
            <w:r w:rsidRPr="00F03080">
              <w:t>df1</w:t>
            </w:r>
          </w:p>
        </w:tc>
        <w:tc>
          <w:tcPr>
            <w:tcW w:w="708" w:type="dxa"/>
            <w:hideMark/>
          </w:tcPr>
          <w:p w14:paraId="37CA5C18" w14:textId="77777777" w:rsidR="00DA399B" w:rsidRPr="00F03080" w:rsidRDefault="00DA399B" w:rsidP="00862B03">
            <w:r w:rsidRPr="00F03080">
              <w:t>df2</w:t>
            </w:r>
          </w:p>
        </w:tc>
        <w:tc>
          <w:tcPr>
            <w:tcW w:w="709" w:type="dxa"/>
            <w:hideMark/>
          </w:tcPr>
          <w:p w14:paraId="693BCF7F" w14:textId="77777777" w:rsidR="00DA399B" w:rsidRPr="00F03080" w:rsidRDefault="00DA399B" w:rsidP="00862B03">
            <w:r w:rsidRPr="00F03080">
              <w:t>p</w:t>
            </w:r>
          </w:p>
        </w:tc>
      </w:tr>
      <w:tr w:rsidR="007E4164" w:rsidRPr="00F03080" w14:paraId="380ADA9D" w14:textId="77777777" w:rsidTr="00B16CA2">
        <w:trPr>
          <w:trHeight w:val="289"/>
        </w:trPr>
        <w:tc>
          <w:tcPr>
            <w:tcW w:w="4390" w:type="dxa"/>
            <w:hideMark/>
          </w:tcPr>
          <w:p w14:paraId="6B8DBA20" w14:textId="77777777" w:rsidR="00DA399B" w:rsidRPr="00F03080" w:rsidRDefault="00DA399B" w:rsidP="00862B03">
            <w:r w:rsidRPr="00F03080">
              <w:t>Resource Availability</w:t>
            </w:r>
          </w:p>
        </w:tc>
        <w:tc>
          <w:tcPr>
            <w:tcW w:w="992" w:type="dxa"/>
            <w:hideMark/>
          </w:tcPr>
          <w:p w14:paraId="372A53A3" w14:textId="77777777" w:rsidR="00DA399B" w:rsidRPr="00F03080" w:rsidRDefault="00DA399B" w:rsidP="00862B03">
            <w:r w:rsidRPr="00F03080">
              <w:t>0.663</w:t>
            </w:r>
          </w:p>
        </w:tc>
        <w:tc>
          <w:tcPr>
            <w:tcW w:w="709" w:type="dxa"/>
            <w:hideMark/>
          </w:tcPr>
          <w:p w14:paraId="6DD77159" w14:textId="77777777" w:rsidR="00DA399B" w:rsidRPr="00F03080" w:rsidRDefault="00DA399B" w:rsidP="00862B03">
            <w:r w:rsidRPr="00F03080">
              <w:t>3</w:t>
            </w:r>
          </w:p>
        </w:tc>
        <w:tc>
          <w:tcPr>
            <w:tcW w:w="708" w:type="dxa"/>
            <w:hideMark/>
          </w:tcPr>
          <w:p w14:paraId="7D245B10" w14:textId="77777777" w:rsidR="00DA399B" w:rsidRPr="00F03080" w:rsidRDefault="00DA399B" w:rsidP="00862B03">
            <w:r w:rsidRPr="00F03080">
              <w:t>397</w:t>
            </w:r>
          </w:p>
        </w:tc>
        <w:tc>
          <w:tcPr>
            <w:tcW w:w="709" w:type="dxa"/>
            <w:hideMark/>
          </w:tcPr>
          <w:p w14:paraId="76C67F34" w14:textId="77777777" w:rsidR="00DA399B" w:rsidRPr="00F03080" w:rsidRDefault="00DA399B" w:rsidP="00862B03">
            <w:r w:rsidRPr="00F03080">
              <w:t>.575</w:t>
            </w:r>
          </w:p>
        </w:tc>
      </w:tr>
      <w:tr w:rsidR="007E4164" w:rsidRPr="00F03080" w14:paraId="2022E357" w14:textId="77777777" w:rsidTr="00B16CA2">
        <w:trPr>
          <w:trHeight w:val="289"/>
        </w:trPr>
        <w:tc>
          <w:tcPr>
            <w:tcW w:w="4390" w:type="dxa"/>
            <w:hideMark/>
          </w:tcPr>
          <w:p w14:paraId="13718218" w14:textId="77777777" w:rsidR="00DA399B" w:rsidRPr="00F03080" w:rsidRDefault="00DA399B" w:rsidP="00862B03">
            <w:r w:rsidRPr="00F03080">
              <w:t>Quality of Health Service Delivery</w:t>
            </w:r>
          </w:p>
        </w:tc>
        <w:tc>
          <w:tcPr>
            <w:tcW w:w="992" w:type="dxa"/>
            <w:hideMark/>
          </w:tcPr>
          <w:p w14:paraId="04988A05" w14:textId="77777777" w:rsidR="00DA399B" w:rsidRPr="00F03080" w:rsidRDefault="00DA399B" w:rsidP="00862B03">
            <w:r w:rsidRPr="00F03080">
              <w:t>0.325</w:t>
            </w:r>
          </w:p>
        </w:tc>
        <w:tc>
          <w:tcPr>
            <w:tcW w:w="709" w:type="dxa"/>
            <w:hideMark/>
          </w:tcPr>
          <w:p w14:paraId="6AF3973D" w14:textId="77777777" w:rsidR="00DA399B" w:rsidRPr="00F03080" w:rsidRDefault="00DA399B" w:rsidP="00862B03">
            <w:r w:rsidRPr="00F03080">
              <w:t>3</w:t>
            </w:r>
          </w:p>
        </w:tc>
        <w:tc>
          <w:tcPr>
            <w:tcW w:w="708" w:type="dxa"/>
            <w:hideMark/>
          </w:tcPr>
          <w:p w14:paraId="1DFDEC8F" w14:textId="77777777" w:rsidR="00DA399B" w:rsidRPr="00F03080" w:rsidRDefault="00DA399B" w:rsidP="00862B03">
            <w:r w:rsidRPr="00F03080">
              <w:t>397</w:t>
            </w:r>
          </w:p>
        </w:tc>
        <w:tc>
          <w:tcPr>
            <w:tcW w:w="709" w:type="dxa"/>
            <w:hideMark/>
          </w:tcPr>
          <w:p w14:paraId="3168E4EB" w14:textId="77777777" w:rsidR="00DA399B" w:rsidRPr="00F03080" w:rsidRDefault="00DA399B" w:rsidP="00862B03">
            <w:r w:rsidRPr="00F03080">
              <w:t>.807</w:t>
            </w:r>
          </w:p>
        </w:tc>
      </w:tr>
      <w:tr w:rsidR="007E4164" w:rsidRPr="00F03080" w14:paraId="417E86A8" w14:textId="77777777" w:rsidTr="00B16CA2">
        <w:trPr>
          <w:trHeight w:val="289"/>
        </w:trPr>
        <w:tc>
          <w:tcPr>
            <w:tcW w:w="4390" w:type="dxa"/>
            <w:hideMark/>
          </w:tcPr>
          <w:p w14:paraId="75783D85" w14:textId="77777777" w:rsidR="00DA399B" w:rsidRPr="00F03080" w:rsidRDefault="00DA399B" w:rsidP="00862B03">
            <w:r w:rsidRPr="00F03080">
              <w:t>Patient Access &amp; Utilization</w:t>
            </w:r>
          </w:p>
        </w:tc>
        <w:tc>
          <w:tcPr>
            <w:tcW w:w="992" w:type="dxa"/>
            <w:hideMark/>
          </w:tcPr>
          <w:p w14:paraId="20DD0B02" w14:textId="77777777" w:rsidR="00DA399B" w:rsidRPr="00F03080" w:rsidRDefault="00DA399B" w:rsidP="00862B03">
            <w:r w:rsidRPr="00F03080">
              <w:t>2.415</w:t>
            </w:r>
          </w:p>
        </w:tc>
        <w:tc>
          <w:tcPr>
            <w:tcW w:w="709" w:type="dxa"/>
            <w:hideMark/>
          </w:tcPr>
          <w:p w14:paraId="5AFC1096" w14:textId="77777777" w:rsidR="00DA399B" w:rsidRPr="00F03080" w:rsidRDefault="00DA399B" w:rsidP="00862B03">
            <w:r w:rsidRPr="00F03080">
              <w:t>3</w:t>
            </w:r>
          </w:p>
        </w:tc>
        <w:tc>
          <w:tcPr>
            <w:tcW w:w="708" w:type="dxa"/>
            <w:hideMark/>
          </w:tcPr>
          <w:p w14:paraId="13152190" w14:textId="77777777" w:rsidR="00DA399B" w:rsidRPr="00F03080" w:rsidRDefault="00DA399B" w:rsidP="00862B03">
            <w:r w:rsidRPr="00F03080">
              <w:t>397</w:t>
            </w:r>
          </w:p>
        </w:tc>
        <w:tc>
          <w:tcPr>
            <w:tcW w:w="709" w:type="dxa"/>
            <w:hideMark/>
          </w:tcPr>
          <w:p w14:paraId="2CB54756" w14:textId="77777777" w:rsidR="00DA399B" w:rsidRPr="00F03080" w:rsidRDefault="00DA399B" w:rsidP="00862B03">
            <w:r w:rsidRPr="00F03080">
              <w:t>.066</w:t>
            </w:r>
          </w:p>
        </w:tc>
      </w:tr>
      <w:tr w:rsidR="007E4164" w:rsidRPr="00F03080" w14:paraId="1A648941" w14:textId="77777777" w:rsidTr="00B16CA2">
        <w:trPr>
          <w:trHeight w:val="289"/>
        </w:trPr>
        <w:tc>
          <w:tcPr>
            <w:tcW w:w="4390" w:type="dxa"/>
            <w:hideMark/>
          </w:tcPr>
          <w:p w14:paraId="2E00C1C2" w14:textId="77777777" w:rsidR="00DA399B" w:rsidRPr="00F03080" w:rsidRDefault="00DA399B" w:rsidP="00862B03">
            <w:r w:rsidRPr="00F03080">
              <w:t>Operational Efficiency</w:t>
            </w:r>
          </w:p>
        </w:tc>
        <w:tc>
          <w:tcPr>
            <w:tcW w:w="992" w:type="dxa"/>
            <w:hideMark/>
          </w:tcPr>
          <w:p w14:paraId="6E160A70" w14:textId="77777777" w:rsidR="00DA399B" w:rsidRPr="00F03080" w:rsidRDefault="00DA399B" w:rsidP="00862B03">
            <w:r w:rsidRPr="00F03080">
              <w:t>0.136</w:t>
            </w:r>
          </w:p>
        </w:tc>
        <w:tc>
          <w:tcPr>
            <w:tcW w:w="709" w:type="dxa"/>
            <w:hideMark/>
          </w:tcPr>
          <w:p w14:paraId="5E9B5828" w14:textId="77777777" w:rsidR="00DA399B" w:rsidRPr="00F03080" w:rsidRDefault="00DA399B" w:rsidP="00862B03">
            <w:r w:rsidRPr="00F03080">
              <w:t>3</w:t>
            </w:r>
          </w:p>
        </w:tc>
        <w:tc>
          <w:tcPr>
            <w:tcW w:w="708" w:type="dxa"/>
            <w:hideMark/>
          </w:tcPr>
          <w:p w14:paraId="0891DEE9" w14:textId="77777777" w:rsidR="00DA399B" w:rsidRPr="00F03080" w:rsidRDefault="00DA399B" w:rsidP="00862B03">
            <w:r w:rsidRPr="00F03080">
              <w:t>397</w:t>
            </w:r>
          </w:p>
        </w:tc>
        <w:tc>
          <w:tcPr>
            <w:tcW w:w="709" w:type="dxa"/>
            <w:hideMark/>
          </w:tcPr>
          <w:p w14:paraId="5F214518" w14:textId="77777777" w:rsidR="00DA399B" w:rsidRPr="00F03080" w:rsidRDefault="00DA399B" w:rsidP="00862B03">
            <w:r w:rsidRPr="00F03080">
              <w:t>.938</w:t>
            </w:r>
          </w:p>
        </w:tc>
      </w:tr>
      <w:tr w:rsidR="007E4164" w:rsidRPr="00F03080" w14:paraId="41FEFCD2" w14:textId="77777777" w:rsidTr="00B16CA2">
        <w:trPr>
          <w:trHeight w:val="289"/>
        </w:trPr>
        <w:tc>
          <w:tcPr>
            <w:tcW w:w="4390" w:type="dxa"/>
            <w:hideMark/>
          </w:tcPr>
          <w:p w14:paraId="1DF24CCB" w14:textId="77777777" w:rsidR="00DA399B" w:rsidRPr="00F03080" w:rsidRDefault="00DA399B" w:rsidP="00862B03">
            <w:r w:rsidRPr="00F03080">
              <w:t>Institutional &amp; Implementation Challenges</w:t>
            </w:r>
          </w:p>
        </w:tc>
        <w:tc>
          <w:tcPr>
            <w:tcW w:w="992" w:type="dxa"/>
            <w:hideMark/>
          </w:tcPr>
          <w:p w14:paraId="7378DAD7" w14:textId="77777777" w:rsidR="00DA399B" w:rsidRPr="00F03080" w:rsidRDefault="00DA399B" w:rsidP="00862B03">
            <w:r w:rsidRPr="00F03080">
              <w:t>0.293</w:t>
            </w:r>
          </w:p>
        </w:tc>
        <w:tc>
          <w:tcPr>
            <w:tcW w:w="709" w:type="dxa"/>
            <w:hideMark/>
          </w:tcPr>
          <w:p w14:paraId="7E7054CD" w14:textId="77777777" w:rsidR="00DA399B" w:rsidRPr="00F03080" w:rsidRDefault="00DA399B" w:rsidP="00862B03">
            <w:r w:rsidRPr="00F03080">
              <w:t>3</w:t>
            </w:r>
          </w:p>
        </w:tc>
        <w:tc>
          <w:tcPr>
            <w:tcW w:w="708" w:type="dxa"/>
            <w:hideMark/>
          </w:tcPr>
          <w:p w14:paraId="36722F7D" w14:textId="77777777" w:rsidR="00DA399B" w:rsidRPr="00F03080" w:rsidRDefault="00DA399B" w:rsidP="00862B03">
            <w:r w:rsidRPr="00F03080">
              <w:t>397</w:t>
            </w:r>
          </w:p>
        </w:tc>
        <w:tc>
          <w:tcPr>
            <w:tcW w:w="709" w:type="dxa"/>
            <w:hideMark/>
          </w:tcPr>
          <w:p w14:paraId="5594A15B" w14:textId="77777777" w:rsidR="00DA399B" w:rsidRPr="00F03080" w:rsidRDefault="00DA399B" w:rsidP="00862B03">
            <w:r w:rsidRPr="00F03080">
              <w:t>.831</w:t>
            </w:r>
          </w:p>
        </w:tc>
      </w:tr>
    </w:tbl>
    <w:p w14:paraId="1D73217E" w14:textId="5F7B6691" w:rsidR="00365C2F" w:rsidRDefault="00372363" w:rsidP="00862B03">
      <w:pPr>
        <w:pStyle w:val="Caption"/>
        <w:keepNext/>
        <w:jc w:val="both"/>
        <w:rPr>
          <w:color w:val="auto"/>
        </w:rPr>
      </w:pPr>
      <w:r w:rsidRPr="00F03080">
        <w:rPr>
          <w:color w:val="auto"/>
        </w:rPr>
        <w:t>Multivariate Test of Hospital Level</w:t>
      </w:r>
    </w:p>
    <w:p w14:paraId="5A5D2016" w14:textId="77777777" w:rsidR="00B16CA2" w:rsidRPr="00B16CA2" w:rsidRDefault="00B16CA2" w:rsidP="00B16CA2"/>
    <w:tbl>
      <w:tblPr>
        <w:tblStyle w:val="TableGrid"/>
        <w:tblW w:w="7669" w:type="dxa"/>
        <w:tblLook w:val="04A0" w:firstRow="1" w:lastRow="0" w:firstColumn="1" w:lastColumn="0" w:noHBand="0" w:noVBand="1"/>
      </w:tblPr>
      <w:tblGrid>
        <w:gridCol w:w="1938"/>
        <w:gridCol w:w="790"/>
        <w:gridCol w:w="756"/>
        <w:gridCol w:w="1504"/>
        <w:gridCol w:w="996"/>
        <w:gridCol w:w="636"/>
        <w:gridCol w:w="1049"/>
      </w:tblGrid>
      <w:tr w:rsidR="007E4164" w:rsidRPr="00F03080" w14:paraId="448AE850" w14:textId="77777777" w:rsidTr="00B16CA2">
        <w:trPr>
          <w:trHeight w:val="412"/>
        </w:trPr>
        <w:tc>
          <w:tcPr>
            <w:tcW w:w="0" w:type="auto"/>
            <w:hideMark/>
          </w:tcPr>
          <w:p w14:paraId="54DADE55" w14:textId="77777777" w:rsidR="00365C2F" w:rsidRPr="00F03080" w:rsidRDefault="00365C2F" w:rsidP="006403A2">
            <w:pPr>
              <w:spacing w:after="0"/>
            </w:pPr>
            <w:r w:rsidRPr="00F03080">
              <w:t>Test</w:t>
            </w:r>
          </w:p>
        </w:tc>
        <w:tc>
          <w:tcPr>
            <w:tcW w:w="0" w:type="auto"/>
            <w:hideMark/>
          </w:tcPr>
          <w:p w14:paraId="6B9035F9" w14:textId="77777777" w:rsidR="00365C2F" w:rsidRPr="00F03080" w:rsidRDefault="00365C2F" w:rsidP="006403A2">
            <w:pPr>
              <w:spacing w:after="0"/>
            </w:pPr>
            <w:r w:rsidRPr="00F03080">
              <w:t>Value</w:t>
            </w:r>
          </w:p>
        </w:tc>
        <w:tc>
          <w:tcPr>
            <w:tcW w:w="0" w:type="auto"/>
            <w:hideMark/>
          </w:tcPr>
          <w:p w14:paraId="16737C28" w14:textId="77777777" w:rsidR="00365C2F" w:rsidRPr="00F03080" w:rsidRDefault="00365C2F" w:rsidP="006403A2">
            <w:pPr>
              <w:spacing w:after="0"/>
            </w:pPr>
            <w:r w:rsidRPr="00F03080">
              <w:t>F</w:t>
            </w:r>
          </w:p>
        </w:tc>
        <w:tc>
          <w:tcPr>
            <w:tcW w:w="0" w:type="auto"/>
            <w:hideMark/>
          </w:tcPr>
          <w:p w14:paraId="676ED72E" w14:textId="77777777" w:rsidR="00365C2F" w:rsidRPr="00F03080" w:rsidRDefault="00365C2F" w:rsidP="006403A2">
            <w:pPr>
              <w:spacing w:after="0"/>
            </w:pPr>
            <w:r w:rsidRPr="00F03080">
              <w:t>Hypothesis df</w:t>
            </w:r>
          </w:p>
        </w:tc>
        <w:tc>
          <w:tcPr>
            <w:tcW w:w="0" w:type="auto"/>
            <w:hideMark/>
          </w:tcPr>
          <w:p w14:paraId="2241F8F2" w14:textId="77777777" w:rsidR="00365C2F" w:rsidRPr="00F03080" w:rsidRDefault="00365C2F" w:rsidP="006403A2">
            <w:pPr>
              <w:spacing w:after="0"/>
            </w:pPr>
            <w:r w:rsidRPr="00F03080">
              <w:t>Error df</w:t>
            </w:r>
          </w:p>
        </w:tc>
        <w:tc>
          <w:tcPr>
            <w:tcW w:w="0" w:type="auto"/>
            <w:hideMark/>
          </w:tcPr>
          <w:p w14:paraId="57F831B5" w14:textId="77777777" w:rsidR="00365C2F" w:rsidRPr="00F03080" w:rsidRDefault="00365C2F" w:rsidP="006403A2">
            <w:pPr>
              <w:spacing w:after="0"/>
            </w:pPr>
            <w:r w:rsidRPr="00F03080">
              <w:t>p</w:t>
            </w:r>
          </w:p>
        </w:tc>
        <w:tc>
          <w:tcPr>
            <w:tcW w:w="0" w:type="auto"/>
            <w:hideMark/>
          </w:tcPr>
          <w:p w14:paraId="6797C5C4" w14:textId="77777777" w:rsidR="00365C2F" w:rsidRPr="00F03080" w:rsidRDefault="00365C2F" w:rsidP="006403A2">
            <w:pPr>
              <w:spacing w:after="0"/>
            </w:pPr>
            <w:r w:rsidRPr="00F03080">
              <w:t>Partial η²</w:t>
            </w:r>
          </w:p>
        </w:tc>
      </w:tr>
      <w:tr w:rsidR="007E4164" w:rsidRPr="00F03080" w14:paraId="293AC3AB" w14:textId="77777777" w:rsidTr="00B16CA2">
        <w:trPr>
          <w:trHeight w:val="412"/>
        </w:trPr>
        <w:tc>
          <w:tcPr>
            <w:tcW w:w="0" w:type="auto"/>
            <w:hideMark/>
          </w:tcPr>
          <w:p w14:paraId="1FFF256C" w14:textId="77777777" w:rsidR="00365C2F" w:rsidRPr="00F03080" w:rsidRDefault="00365C2F" w:rsidP="006403A2">
            <w:pPr>
              <w:spacing w:after="0"/>
            </w:pPr>
            <w:r w:rsidRPr="00F03080">
              <w:t>Pillai’s Trace</w:t>
            </w:r>
          </w:p>
        </w:tc>
        <w:tc>
          <w:tcPr>
            <w:tcW w:w="0" w:type="auto"/>
            <w:hideMark/>
          </w:tcPr>
          <w:p w14:paraId="1A4B6A57" w14:textId="77777777" w:rsidR="00365C2F" w:rsidRPr="00F03080" w:rsidRDefault="00365C2F" w:rsidP="006403A2">
            <w:pPr>
              <w:spacing w:after="0"/>
            </w:pPr>
            <w:r w:rsidRPr="00F03080">
              <w:t>0.030</w:t>
            </w:r>
          </w:p>
        </w:tc>
        <w:tc>
          <w:tcPr>
            <w:tcW w:w="0" w:type="auto"/>
            <w:hideMark/>
          </w:tcPr>
          <w:p w14:paraId="5A3B57BB" w14:textId="77777777" w:rsidR="00365C2F" w:rsidRPr="00F03080" w:rsidRDefault="00365C2F" w:rsidP="006403A2">
            <w:pPr>
              <w:spacing w:after="0"/>
            </w:pPr>
            <w:r w:rsidRPr="00F03080">
              <w:t>0.797</w:t>
            </w:r>
          </w:p>
        </w:tc>
        <w:tc>
          <w:tcPr>
            <w:tcW w:w="0" w:type="auto"/>
            <w:hideMark/>
          </w:tcPr>
          <w:p w14:paraId="31A18FC1" w14:textId="77777777" w:rsidR="00365C2F" w:rsidRPr="00F03080" w:rsidRDefault="00365C2F" w:rsidP="006403A2">
            <w:pPr>
              <w:spacing w:after="0"/>
            </w:pPr>
            <w:r w:rsidRPr="00F03080">
              <w:t>15</w:t>
            </w:r>
          </w:p>
        </w:tc>
        <w:tc>
          <w:tcPr>
            <w:tcW w:w="0" w:type="auto"/>
            <w:hideMark/>
          </w:tcPr>
          <w:p w14:paraId="1E14AB65" w14:textId="77777777" w:rsidR="00365C2F" w:rsidRPr="00F03080" w:rsidRDefault="00365C2F" w:rsidP="006403A2">
            <w:pPr>
              <w:spacing w:after="0"/>
            </w:pPr>
            <w:r w:rsidRPr="00F03080">
              <w:t>1185</w:t>
            </w:r>
          </w:p>
        </w:tc>
        <w:tc>
          <w:tcPr>
            <w:tcW w:w="0" w:type="auto"/>
            <w:hideMark/>
          </w:tcPr>
          <w:p w14:paraId="19FFF1B9" w14:textId="77777777" w:rsidR="00365C2F" w:rsidRPr="00F03080" w:rsidRDefault="00365C2F" w:rsidP="006403A2">
            <w:pPr>
              <w:spacing w:after="0"/>
            </w:pPr>
            <w:r w:rsidRPr="00F03080">
              <w:t>.683</w:t>
            </w:r>
          </w:p>
        </w:tc>
        <w:tc>
          <w:tcPr>
            <w:tcW w:w="0" w:type="auto"/>
            <w:hideMark/>
          </w:tcPr>
          <w:p w14:paraId="0AE90A3F" w14:textId="77777777" w:rsidR="00365C2F" w:rsidRPr="00F03080" w:rsidRDefault="00365C2F" w:rsidP="006403A2">
            <w:pPr>
              <w:spacing w:after="0"/>
            </w:pPr>
            <w:r w:rsidRPr="00F03080">
              <w:t>.010</w:t>
            </w:r>
          </w:p>
        </w:tc>
      </w:tr>
      <w:tr w:rsidR="007E4164" w:rsidRPr="00F03080" w14:paraId="42F6BC23" w14:textId="77777777" w:rsidTr="00B16CA2">
        <w:trPr>
          <w:trHeight w:val="412"/>
        </w:trPr>
        <w:tc>
          <w:tcPr>
            <w:tcW w:w="0" w:type="auto"/>
            <w:hideMark/>
          </w:tcPr>
          <w:p w14:paraId="4E71341D" w14:textId="77777777" w:rsidR="00365C2F" w:rsidRPr="00F03080" w:rsidRDefault="00365C2F" w:rsidP="006403A2">
            <w:pPr>
              <w:spacing w:after="0"/>
            </w:pPr>
            <w:r w:rsidRPr="00F03080">
              <w:t>Wilks’ Lambda</w:t>
            </w:r>
          </w:p>
        </w:tc>
        <w:tc>
          <w:tcPr>
            <w:tcW w:w="0" w:type="auto"/>
            <w:hideMark/>
          </w:tcPr>
          <w:p w14:paraId="67E910D4" w14:textId="77777777" w:rsidR="00365C2F" w:rsidRPr="00F03080" w:rsidRDefault="00365C2F" w:rsidP="006403A2">
            <w:pPr>
              <w:spacing w:after="0"/>
            </w:pPr>
            <w:r w:rsidRPr="00F03080">
              <w:t>0.970</w:t>
            </w:r>
          </w:p>
        </w:tc>
        <w:tc>
          <w:tcPr>
            <w:tcW w:w="0" w:type="auto"/>
            <w:hideMark/>
          </w:tcPr>
          <w:p w14:paraId="73377C1D" w14:textId="77777777" w:rsidR="00365C2F" w:rsidRPr="00F03080" w:rsidRDefault="00365C2F" w:rsidP="006403A2">
            <w:pPr>
              <w:spacing w:after="0"/>
            </w:pPr>
            <w:r w:rsidRPr="00F03080">
              <w:t>0.795</w:t>
            </w:r>
          </w:p>
        </w:tc>
        <w:tc>
          <w:tcPr>
            <w:tcW w:w="0" w:type="auto"/>
            <w:hideMark/>
          </w:tcPr>
          <w:p w14:paraId="32A16257" w14:textId="77777777" w:rsidR="00365C2F" w:rsidRPr="00F03080" w:rsidRDefault="00365C2F" w:rsidP="006403A2">
            <w:pPr>
              <w:spacing w:after="0"/>
            </w:pPr>
            <w:r w:rsidRPr="00F03080">
              <w:t>15</w:t>
            </w:r>
          </w:p>
        </w:tc>
        <w:tc>
          <w:tcPr>
            <w:tcW w:w="0" w:type="auto"/>
            <w:hideMark/>
          </w:tcPr>
          <w:p w14:paraId="74467C8B" w14:textId="77777777" w:rsidR="00365C2F" w:rsidRPr="00F03080" w:rsidRDefault="00365C2F" w:rsidP="006403A2">
            <w:pPr>
              <w:spacing w:after="0"/>
            </w:pPr>
            <w:r w:rsidRPr="00F03080">
              <w:t>1085.30</w:t>
            </w:r>
          </w:p>
        </w:tc>
        <w:tc>
          <w:tcPr>
            <w:tcW w:w="0" w:type="auto"/>
            <w:hideMark/>
          </w:tcPr>
          <w:p w14:paraId="4F24D1A3" w14:textId="77777777" w:rsidR="00365C2F" w:rsidRPr="00F03080" w:rsidRDefault="00365C2F" w:rsidP="006403A2">
            <w:pPr>
              <w:spacing w:after="0"/>
            </w:pPr>
            <w:r w:rsidRPr="00F03080">
              <w:t>.684</w:t>
            </w:r>
          </w:p>
        </w:tc>
        <w:tc>
          <w:tcPr>
            <w:tcW w:w="0" w:type="auto"/>
            <w:hideMark/>
          </w:tcPr>
          <w:p w14:paraId="528B3ED8" w14:textId="77777777" w:rsidR="00365C2F" w:rsidRPr="00F03080" w:rsidRDefault="00365C2F" w:rsidP="006403A2">
            <w:pPr>
              <w:spacing w:after="0"/>
            </w:pPr>
            <w:r w:rsidRPr="00F03080">
              <w:t>.010</w:t>
            </w:r>
          </w:p>
        </w:tc>
      </w:tr>
      <w:tr w:rsidR="007E4164" w:rsidRPr="00F03080" w14:paraId="33BC13F9" w14:textId="77777777" w:rsidTr="00B16CA2">
        <w:trPr>
          <w:trHeight w:val="412"/>
        </w:trPr>
        <w:tc>
          <w:tcPr>
            <w:tcW w:w="0" w:type="auto"/>
            <w:hideMark/>
          </w:tcPr>
          <w:p w14:paraId="0E9C5220" w14:textId="77777777" w:rsidR="00365C2F" w:rsidRPr="00F03080" w:rsidRDefault="00365C2F" w:rsidP="006403A2">
            <w:pPr>
              <w:spacing w:after="0"/>
            </w:pPr>
            <w:r w:rsidRPr="00F03080">
              <w:lastRenderedPageBreak/>
              <w:t>Hotelling’s Trace</w:t>
            </w:r>
          </w:p>
        </w:tc>
        <w:tc>
          <w:tcPr>
            <w:tcW w:w="0" w:type="auto"/>
            <w:hideMark/>
          </w:tcPr>
          <w:p w14:paraId="1E074D13" w14:textId="77777777" w:rsidR="00365C2F" w:rsidRPr="00F03080" w:rsidRDefault="00365C2F" w:rsidP="006403A2">
            <w:pPr>
              <w:spacing w:after="0"/>
            </w:pPr>
            <w:r w:rsidRPr="00F03080">
              <w:t>0.030</w:t>
            </w:r>
          </w:p>
        </w:tc>
        <w:tc>
          <w:tcPr>
            <w:tcW w:w="0" w:type="auto"/>
            <w:hideMark/>
          </w:tcPr>
          <w:p w14:paraId="19249544" w14:textId="77777777" w:rsidR="00365C2F" w:rsidRPr="00F03080" w:rsidRDefault="00365C2F" w:rsidP="006403A2">
            <w:pPr>
              <w:spacing w:after="0"/>
            </w:pPr>
            <w:r w:rsidRPr="00F03080">
              <w:t>0.794</w:t>
            </w:r>
          </w:p>
        </w:tc>
        <w:tc>
          <w:tcPr>
            <w:tcW w:w="0" w:type="auto"/>
            <w:hideMark/>
          </w:tcPr>
          <w:p w14:paraId="2B7F107F" w14:textId="77777777" w:rsidR="00365C2F" w:rsidRPr="00F03080" w:rsidRDefault="00365C2F" w:rsidP="006403A2">
            <w:pPr>
              <w:spacing w:after="0"/>
            </w:pPr>
            <w:r w:rsidRPr="00F03080">
              <w:t>15</w:t>
            </w:r>
          </w:p>
        </w:tc>
        <w:tc>
          <w:tcPr>
            <w:tcW w:w="0" w:type="auto"/>
            <w:hideMark/>
          </w:tcPr>
          <w:p w14:paraId="44A893DB" w14:textId="77777777" w:rsidR="00365C2F" w:rsidRPr="00F03080" w:rsidRDefault="00365C2F" w:rsidP="006403A2">
            <w:pPr>
              <w:spacing w:after="0"/>
            </w:pPr>
            <w:r w:rsidRPr="00F03080">
              <w:t>1175</w:t>
            </w:r>
          </w:p>
        </w:tc>
        <w:tc>
          <w:tcPr>
            <w:tcW w:w="0" w:type="auto"/>
            <w:hideMark/>
          </w:tcPr>
          <w:p w14:paraId="123D097C" w14:textId="77777777" w:rsidR="00365C2F" w:rsidRPr="00F03080" w:rsidRDefault="00365C2F" w:rsidP="006403A2">
            <w:pPr>
              <w:spacing w:after="0"/>
            </w:pPr>
            <w:r w:rsidRPr="00F03080">
              <w:t>.685</w:t>
            </w:r>
          </w:p>
        </w:tc>
        <w:tc>
          <w:tcPr>
            <w:tcW w:w="0" w:type="auto"/>
            <w:hideMark/>
          </w:tcPr>
          <w:p w14:paraId="4AA1941E" w14:textId="77777777" w:rsidR="00365C2F" w:rsidRPr="00F03080" w:rsidRDefault="00365C2F" w:rsidP="006403A2">
            <w:pPr>
              <w:spacing w:after="0"/>
            </w:pPr>
            <w:r w:rsidRPr="00F03080">
              <w:t>.010</w:t>
            </w:r>
          </w:p>
        </w:tc>
      </w:tr>
      <w:tr w:rsidR="007E4164" w:rsidRPr="00F03080" w14:paraId="6DD848F0" w14:textId="77777777" w:rsidTr="00B16CA2">
        <w:trPr>
          <w:trHeight w:val="412"/>
        </w:trPr>
        <w:tc>
          <w:tcPr>
            <w:tcW w:w="0" w:type="auto"/>
            <w:hideMark/>
          </w:tcPr>
          <w:p w14:paraId="5156FF76" w14:textId="77777777" w:rsidR="00365C2F" w:rsidRPr="00F03080" w:rsidRDefault="00365C2F" w:rsidP="006403A2">
            <w:pPr>
              <w:spacing w:after="0"/>
              <w:jc w:val="left"/>
            </w:pPr>
            <w:r w:rsidRPr="00F03080">
              <w:t>Roy’s Largest Root</w:t>
            </w:r>
          </w:p>
        </w:tc>
        <w:tc>
          <w:tcPr>
            <w:tcW w:w="0" w:type="auto"/>
            <w:hideMark/>
          </w:tcPr>
          <w:p w14:paraId="11934110" w14:textId="77777777" w:rsidR="00365C2F" w:rsidRPr="00F03080" w:rsidRDefault="00365C2F" w:rsidP="006403A2">
            <w:pPr>
              <w:spacing w:after="0"/>
            </w:pPr>
            <w:r w:rsidRPr="00F03080">
              <w:t>0.021</w:t>
            </w:r>
          </w:p>
        </w:tc>
        <w:tc>
          <w:tcPr>
            <w:tcW w:w="0" w:type="auto"/>
            <w:hideMark/>
          </w:tcPr>
          <w:p w14:paraId="5933CB91" w14:textId="77777777" w:rsidR="00365C2F" w:rsidRPr="00F03080" w:rsidRDefault="00365C2F" w:rsidP="006403A2">
            <w:pPr>
              <w:spacing w:after="0"/>
            </w:pPr>
            <w:r w:rsidRPr="00F03080">
              <w:t>1.639</w:t>
            </w:r>
          </w:p>
        </w:tc>
        <w:tc>
          <w:tcPr>
            <w:tcW w:w="0" w:type="auto"/>
            <w:hideMark/>
          </w:tcPr>
          <w:p w14:paraId="331561D4" w14:textId="77777777" w:rsidR="00365C2F" w:rsidRPr="00F03080" w:rsidRDefault="00365C2F" w:rsidP="006403A2">
            <w:pPr>
              <w:spacing w:after="0"/>
            </w:pPr>
            <w:r w:rsidRPr="00F03080">
              <w:t>5</w:t>
            </w:r>
          </w:p>
        </w:tc>
        <w:tc>
          <w:tcPr>
            <w:tcW w:w="0" w:type="auto"/>
            <w:hideMark/>
          </w:tcPr>
          <w:p w14:paraId="5656C7EC" w14:textId="77777777" w:rsidR="00365C2F" w:rsidRPr="00F03080" w:rsidRDefault="00365C2F" w:rsidP="006403A2">
            <w:pPr>
              <w:spacing w:after="0"/>
            </w:pPr>
            <w:r w:rsidRPr="00F03080">
              <w:t>395</w:t>
            </w:r>
          </w:p>
        </w:tc>
        <w:tc>
          <w:tcPr>
            <w:tcW w:w="0" w:type="auto"/>
            <w:hideMark/>
          </w:tcPr>
          <w:p w14:paraId="5A4094A1" w14:textId="77777777" w:rsidR="00365C2F" w:rsidRPr="00F03080" w:rsidRDefault="00365C2F" w:rsidP="006403A2">
            <w:pPr>
              <w:spacing w:after="0"/>
            </w:pPr>
            <w:r w:rsidRPr="00F03080">
              <w:t>.149</w:t>
            </w:r>
          </w:p>
        </w:tc>
        <w:tc>
          <w:tcPr>
            <w:tcW w:w="0" w:type="auto"/>
            <w:hideMark/>
          </w:tcPr>
          <w:p w14:paraId="7A92D3E7" w14:textId="77777777" w:rsidR="00365C2F" w:rsidRPr="00F03080" w:rsidRDefault="00365C2F" w:rsidP="006403A2">
            <w:pPr>
              <w:spacing w:after="0"/>
            </w:pPr>
            <w:r w:rsidRPr="00F03080">
              <w:t>.020</w:t>
            </w:r>
          </w:p>
        </w:tc>
      </w:tr>
    </w:tbl>
    <w:p w14:paraId="44D8242C" w14:textId="0DE454DA" w:rsidR="00585513" w:rsidRDefault="00585513" w:rsidP="00862B03">
      <w:pPr>
        <w:spacing w:before="120" w:line="360" w:lineRule="auto"/>
        <w:jc w:val="both"/>
        <w:rPr>
          <w:b/>
        </w:rPr>
      </w:pPr>
    </w:p>
    <w:p w14:paraId="28FCF185" w14:textId="77777777" w:rsidR="00F4123E" w:rsidRDefault="00F4123E" w:rsidP="00F4123E">
      <w:pPr>
        <w:pStyle w:val="Heading3"/>
        <w:rPr>
          <w:sz w:val="27"/>
          <w:szCs w:val="27"/>
        </w:rPr>
      </w:pPr>
      <w:r>
        <w:t>Hypothesis Testing Results</w:t>
      </w:r>
    </w:p>
    <w:p w14:paraId="0ACA4CD8" w14:textId="7001B653" w:rsidR="00F4123E" w:rsidRPr="006403A2" w:rsidRDefault="00F4123E" w:rsidP="006403A2">
      <w:pPr>
        <w:spacing w:after="100" w:afterAutospacing="1" w:line="360" w:lineRule="auto"/>
        <w:rPr>
          <w:b/>
        </w:rPr>
      </w:pPr>
      <w:r w:rsidRPr="006403A2">
        <w:rPr>
          <w:b/>
        </w:rPr>
        <w:t>H₀₁:</w:t>
      </w:r>
      <w:r w:rsidRPr="006403A2">
        <w:t xml:space="preserve"> There is no statistically significant difference in resource availability across hospital </w:t>
      </w:r>
      <w:r w:rsidR="006403A2" w:rsidRPr="006403A2">
        <w:t>levels. The U</w:t>
      </w:r>
      <w:r w:rsidRPr="006403A2">
        <w:t>nivariate ANOVA showed no significant difference in resource availability across hospital levels (F = 0.370, p = .775). Therefore, H₀₁ was not rejected.</w:t>
      </w:r>
    </w:p>
    <w:p w14:paraId="0DF29F90" w14:textId="6A0C3174" w:rsidR="00F4123E" w:rsidRPr="006403A2" w:rsidRDefault="00F4123E" w:rsidP="00F4123E">
      <w:pPr>
        <w:spacing w:after="100" w:afterAutospacing="1" w:line="360" w:lineRule="auto"/>
      </w:pPr>
      <w:r w:rsidRPr="006403A2">
        <w:rPr>
          <w:b/>
        </w:rPr>
        <w:t>H₀₂:</w:t>
      </w:r>
      <w:r w:rsidRPr="006403A2">
        <w:t xml:space="preserve"> There is no statistically significant difference in quality of health service d</w:t>
      </w:r>
      <w:r w:rsidR="006403A2">
        <w:t xml:space="preserve">elivery across hospital </w:t>
      </w:r>
      <w:r w:rsidR="005D4A4D">
        <w:t>levels.</w:t>
      </w:r>
      <w:r w:rsidR="005D4A4D" w:rsidRPr="006403A2">
        <w:t xml:space="preserve"> The</w:t>
      </w:r>
      <w:r w:rsidRPr="006403A2">
        <w:t xml:space="preserve"> results indicated no significant difference (F = 0.627, p = .598). Therefore, H₀₂ was not rejected.</w:t>
      </w:r>
    </w:p>
    <w:p w14:paraId="2FE0076B" w14:textId="233D3D19" w:rsidR="00F4123E" w:rsidRPr="006403A2" w:rsidRDefault="00F4123E" w:rsidP="00F4123E">
      <w:pPr>
        <w:spacing w:after="100" w:afterAutospacing="1" w:line="360" w:lineRule="auto"/>
      </w:pPr>
      <w:r w:rsidRPr="006403A2">
        <w:rPr>
          <w:b/>
        </w:rPr>
        <w:t>H₀₃:</w:t>
      </w:r>
      <w:r w:rsidRPr="006403A2">
        <w:t xml:space="preserve"> There is no statistically significant difference in patient access and utilization across hospital </w:t>
      </w:r>
      <w:r w:rsidR="005D4A4D" w:rsidRPr="006403A2">
        <w:t>levels. The</w:t>
      </w:r>
      <w:r w:rsidRPr="006403A2">
        <w:t xml:space="preserve"> results showed no statistically significant difference (F = 2.247, p = .082). Therefore, H₀₃ was not rejected.</w:t>
      </w:r>
    </w:p>
    <w:p w14:paraId="0B97F987" w14:textId="545ECD75" w:rsidR="00F4123E" w:rsidRPr="006403A2" w:rsidRDefault="00F4123E" w:rsidP="00BB3300">
      <w:pPr>
        <w:spacing w:after="100" w:afterAutospacing="1" w:line="360" w:lineRule="auto"/>
      </w:pPr>
      <w:r w:rsidRPr="006403A2">
        <w:rPr>
          <w:b/>
        </w:rPr>
        <w:t>H₀₄:</w:t>
      </w:r>
      <w:r w:rsidRPr="006403A2">
        <w:t xml:space="preserve"> There is no statistically significant difference in institutional and implementation cha</w:t>
      </w:r>
      <w:r w:rsidR="006403A2">
        <w:t>llenges across hospital levels.</w:t>
      </w:r>
      <w:r w:rsidR="006403A2" w:rsidRPr="006403A2">
        <w:t xml:space="preserve"> The</w:t>
      </w:r>
      <w:r w:rsidRPr="006403A2">
        <w:t xml:space="preserve"> analysis revealed no significant difference (F = 0.201, p = .896). Therefore, H₀₄ was not rejected.</w:t>
      </w:r>
    </w:p>
    <w:p w14:paraId="235A3BEA" w14:textId="77777777" w:rsidR="00CD4D59" w:rsidRDefault="00585513" w:rsidP="00CD4D59">
      <w:pPr>
        <w:spacing w:before="120" w:line="360" w:lineRule="auto"/>
        <w:jc w:val="both"/>
        <w:rPr>
          <w:b/>
        </w:rPr>
      </w:pPr>
      <w:r>
        <w:rPr>
          <w:b/>
        </w:rPr>
        <w:t xml:space="preserve">4.7. </w:t>
      </w:r>
      <w:r w:rsidR="00321A3F">
        <w:rPr>
          <w:b/>
        </w:rPr>
        <w:t>Qualitative</w:t>
      </w:r>
      <w:r w:rsidR="00952E88" w:rsidRPr="00F03080">
        <w:rPr>
          <w:b/>
        </w:rPr>
        <w:t xml:space="preserve"> Analysis </w:t>
      </w:r>
    </w:p>
    <w:p w14:paraId="71B11E2C" w14:textId="57B9337C" w:rsidR="001321B7" w:rsidRPr="00F03080" w:rsidRDefault="006061BE" w:rsidP="00CD4D59">
      <w:pPr>
        <w:spacing w:before="120" w:line="360" w:lineRule="auto"/>
        <w:jc w:val="both"/>
        <w:rPr>
          <w:b/>
        </w:rPr>
      </w:pPr>
      <w:r w:rsidRPr="00F03080">
        <w:rPr>
          <w:b/>
        </w:rPr>
        <w:t>Severe</w:t>
      </w:r>
      <w:r w:rsidR="001321B7" w:rsidRPr="00F03080">
        <w:rPr>
          <w:b/>
        </w:rPr>
        <w:t xml:space="preserve"> shortage of essential medicines, supplies, and equipment</w:t>
      </w:r>
    </w:p>
    <w:p w14:paraId="42E032F1" w14:textId="19BEF17C" w:rsidR="00F5531E" w:rsidRDefault="001321B7" w:rsidP="006403A2">
      <w:pPr>
        <w:spacing w:line="360" w:lineRule="auto"/>
        <w:jc w:val="both"/>
      </w:pPr>
      <w:r w:rsidRPr="00F03080">
        <w:t>A dominant and repeated concern was the persistent lack of essential drugs, laboratory reagents, and basic medical supplies. Respondents consistently described frequent stock-outs, expired drugs, and inadequate equipment, suggesting a strained supply chain and weakened service readiness.</w:t>
      </w:r>
    </w:p>
    <w:p w14:paraId="53655240" w14:textId="2E0F2955" w:rsidR="00416DAB" w:rsidRDefault="00F5531E" w:rsidP="00F5531E">
      <w:pPr>
        <w:spacing w:line="360" w:lineRule="auto"/>
        <w:jc w:val="both"/>
      </w:pPr>
      <w:r w:rsidRPr="00CB29D2">
        <w:t>Indeed</w:t>
      </w:r>
      <w:r>
        <w:t>, during the interviews,</w:t>
      </w:r>
      <w:r w:rsidRPr="00CB29D2">
        <w:t xml:space="preserve"> the participants said,</w:t>
      </w:r>
    </w:p>
    <w:p w14:paraId="62F11E5C" w14:textId="77777777" w:rsidR="00F5531E" w:rsidRPr="00FB1053" w:rsidRDefault="00F5531E" w:rsidP="00585513">
      <w:pPr>
        <w:spacing w:after="0" w:line="360" w:lineRule="auto"/>
        <w:jc w:val="both"/>
        <w:rPr>
          <w:b/>
          <w:sz w:val="22"/>
          <w:szCs w:val="22"/>
        </w:rPr>
      </w:pPr>
      <w:r w:rsidRPr="00FB1053">
        <w:rPr>
          <w:b/>
          <w:sz w:val="22"/>
          <w:szCs w:val="22"/>
        </w:rPr>
        <w:lastRenderedPageBreak/>
        <w:t>Text 1</w:t>
      </w:r>
    </w:p>
    <w:p w14:paraId="0D0420A8" w14:textId="77777777" w:rsidR="001321B7" w:rsidRDefault="001321B7" w:rsidP="00585513">
      <w:pPr>
        <w:spacing w:after="0"/>
        <w:ind w:left="567"/>
        <w:jc w:val="both"/>
      </w:pPr>
      <w:r w:rsidRPr="00F03080">
        <w:t xml:space="preserve">“Drug stock-outs very common” </w:t>
      </w:r>
    </w:p>
    <w:p w14:paraId="322070CD" w14:textId="73B0991B" w:rsidR="00F5531E" w:rsidRPr="00FB1053" w:rsidRDefault="00F5531E" w:rsidP="00585513">
      <w:pPr>
        <w:spacing w:after="0" w:line="360" w:lineRule="auto"/>
        <w:jc w:val="both"/>
        <w:rPr>
          <w:b/>
          <w:sz w:val="22"/>
          <w:szCs w:val="22"/>
        </w:rPr>
      </w:pPr>
      <w:r>
        <w:rPr>
          <w:b/>
          <w:sz w:val="22"/>
          <w:szCs w:val="22"/>
        </w:rPr>
        <w:t>Text 2</w:t>
      </w:r>
    </w:p>
    <w:p w14:paraId="72658573" w14:textId="77777777" w:rsidR="001321B7" w:rsidRDefault="001321B7" w:rsidP="00585513">
      <w:pPr>
        <w:spacing w:after="0"/>
        <w:ind w:left="567"/>
        <w:jc w:val="both"/>
      </w:pPr>
      <w:r w:rsidRPr="00F03080">
        <w:t xml:space="preserve">“Medicines unavailable most days” </w:t>
      </w:r>
    </w:p>
    <w:p w14:paraId="12001944" w14:textId="53A6F8CD" w:rsidR="00F5531E" w:rsidRPr="00FB1053" w:rsidRDefault="00F5531E" w:rsidP="00585513">
      <w:pPr>
        <w:spacing w:after="0" w:line="360" w:lineRule="auto"/>
        <w:jc w:val="both"/>
        <w:rPr>
          <w:b/>
          <w:sz w:val="22"/>
          <w:szCs w:val="22"/>
        </w:rPr>
      </w:pPr>
      <w:r>
        <w:rPr>
          <w:b/>
          <w:sz w:val="22"/>
          <w:szCs w:val="22"/>
        </w:rPr>
        <w:t>Text 3</w:t>
      </w:r>
    </w:p>
    <w:p w14:paraId="3BBD845D" w14:textId="77777777" w:rsidR="001321B7" w:rsidRDefault="001321B7" w:rsidP="00585513">
      <w:pPr>
        <w:spacing w:after="0"/>
        <w:ind w:left="426"/>
        <w:jc w:val="both"/>
      </w:pPr>
      <w:r w:rsidRPr="00F03080">
        <w:t xml:space="preserve">“Lab reagents always out of stock” </w:t>
      </w:r>
    </w:p>
    <w:p w14:paraId="65DCCA52" w14:textId="6EE3188C" w:rsidR="00F5531E" w:rsidRPr="00FB1053" w:rsidRDefault="00F5531E" w:rsidP="00585513">
      <w:pPr>
        <w:spacing w:after="0" w:line="360" w:lineRule="auto"/>
        <w:jc w:val="both"/>
        <w:rPr>
          <w:b/>
          <w:sz w:val="22"/>
          <w:szCs w:val="22"/>
        </w:rPr>
      </w:pPr>
      <w:r>
        <w:rPr>
          <w:b/>
          <w:sz w:val="22"/>
          <w:szCs w:val="22"/>
        </w:rPr>
        <w:t>Text 4</w:t>
      </w:r>
    </w:p>
    <w:p w14:paraId="708BB9BA" w14:textId="77777777" w:rsidR="001321B7" w:rsidRDefault="001321B7" w:rsidP="00585513">
      <w:pPr>
        <w:spacing w:after="0"/>
        <w:ind w:left="426"/>
        <w:jc w:val="both"/>
      </w:pPr>
      <w:r w:rsidRPr="00F03080">
        <w:t xml:space="preserve">“Basic consumables missing” </w:t>
      </w:r>
    </w:p>
    <w:p w14:paraId="7457976B" w14:textId="221CA515" w:rsidR="00F5531E" w:rsidRPr="00F5531E" w:rsidRDefault="00F5531E" w:rsidP="00585513">
      <w:pPr>
        <w:spacing w:after="0" w:line="360" w:lineRule="auto"/>
        <w:jc w:val="both"/>
        <w:rPr>
          <w:b/>
          <w:sz w:val="22"/>
          <w:szCs w:val="22"/>
        </w:rPr>
      </w:pPr>
      <w:r>
        <w:rPr>
          <w:b/>
          <w:sz w:val="22"/>
          <w:szCs w:val="22"/>
        </w:rPr>
        <w:t>Text 5</w:t>
      </w:r>
    </w:p>
    <w:p w14:paraId="748F7F9C" w14:textId="77777777" w:rsidR="00F5531E" w:rsidRDefault="001321B7" w:rsidP="00585513">
      <w:pPr>
        <w:spacing w:after="0"/>
        <w:ind w:left="426"/>
        <w:jc w:val="both"/>
      </w:pPr>
      <w:r w:rsidRPr="00F03080">
        <w:t>“Drugs expired due to poor logistics”</w:t>
      </w:r>
    </w:p>
    <w:p w14:paraId="3B60FB86" w14:textId="5091388B" w:rsidR="001321B7" w:rsidRPr="0060165B" w:rsidRDefault="00F5531E" w:rsidP="00585513">
      <w:pPr>
        <w:spacing w:after="0" w:line="360" w:lineRule="auto"/>
        <w:jc w:val="both"/>
        <w:rPr>
          <w:b/>
          <w:sz w:val="22"/>
          <w:szCs w:val="22"/>
        </w:rPr>
      </w:pPr>
      <w:r>
        <w:rPr>
          <w:b/>
          <w:sz w:val="22"/>
          <w:szCs w:val="22"/>
        </w:rPr>
        <w:t>Text 6</w:t>
      </w:r>
      <w:r w:rsidR="001321B7" w:rsidRPr="00F03080">
        <w:t xml:space="preserve"> </w:t>
      </w:r>
    </w:p>
    <w:p w14:paraId="129E0D56" w14:textId="77777777" w:rsidR="001321B7" w:rsidRDefault="001321B7" w:rsidP="00585513">
      <w:pPr>
        <w:spacing w:after="0"/>
        <w:ind w:left="567"/>
        <w:jc w:val="both"/>
      </w:pPr>
      <w:r w:rsidRPr="00F03080">
        <w:t xml:space="preserve">“No new equipment supplied” </w:t>
      </w:r>
    </w:p>
    <w:p w14:paraId="5DBB28A5" w14:textId="45583CEE" w:rsidR="00F5531E" w:rsidRPr="00F5531E" w:rsidRDefault="00F5531E" w:rsidP="00585513">
      <w:pPr>
        <w:spacing w:after="0" w:line="360" w:lineRule="auto"/>
        <w:jc w:val="both"/>
        <w:rPr>
          <w:b/>
          <w:sz w:val="22"/>
          <w:szCs w:val="22"/>
        </w:rPr>
      </w:pPr>
      <w:r>
        <w:rPr>
          <w:b/>
          <w:sz w:val="22"/>
          <w:szCs w:val="22"/>
        </w:rPr>
        <w:t>Text 7</w:t>
      </w:r>
    </w:p>
    <w:p w14:paraId="18FC5744" w14:textId="06050054" w:rsidR="00416DAB" w:rsidRDefault="001321B7" w:rsidP="00585513">
      <w:pPr>
        <w:spacing w:after="0"/>
        <w:ind w:left="567"/>
        <w:jc w:val="both"/>
      </w:pPr>
      <w:r w:rsidRPr="00F03080">
        <w:t xml:space="preserve">“Equipment still outdated” </w:t>
      </w:r>
    </w:p>
    <w:p w14:paraId="5AE93E49" w14:textId="77777777" w:rsidR="006403A2" w:rsidRPr="00F03080" w:rsidRDefault="006403A2" w:rsidP="00585513">
      <w:pPr>
        <w:spacing w:after="0"/>
        <w:ind w:left="567"/>
        <w:jc w:val="both"/>
      </w:pPr>
    </w:p>
    <w:p w14:paraId="028F0B68" w14:textId="4BAA34AC" w:rsidR="001321B7" w:rsidRPr="00F03080" w:rsidRDefault="00416DAB" w:rsidP="00A16ED1">
      <w:pPr>
        <w:spacing w:line="360" w:lineRule="auto"/>
        <w:jc w:val="both"/>
      </w:pPr>
      <w:r>
        <w:t>Overall, the findings reveal</w:t>
      </w:r>
      <w:r w:rsidR="00177155">
        <w:t>ed</w:t>
      </w:r>
      <w:r>
        <w:t xml:space="preserve"> that health facilities are struggling to maintain basic service</w:t>
      </w:r>
      <w:r w:rsidR="00C77EAF">
        <w:t>s</w:t>
      </w:r>
      <w:r>
        <w:t xml:space="preserve"> readiness due to chronic shortages of medicines, laboratory reagents, consumables, and modern equipment. These resource constraints appear to undermine the quality, accessibility, and effectiveness of healthcare delivery, reflecting broader challenges in health system logistics, procurement, and supply chain management.</w:t>
      </w:r>
    </w:p>
    <w:p w14:paraId="1CB5CA30" w14:textId="7C381D18" w:rsidR="00177155" w:rsidRDefault="001321B7" w:rsidP="00862B03">
      <w:pPr>
        <w:jc w:val="both"/>
        <w:rPr>
          <w:b/>
        </w:rPr>
      </w:pPr>
      <w:r w:rsidRPr="00F03080">
        <w:rPr>
          <w:b/>
        </w:rPr>
        <w:t>Declining quality of healthcare services and patient experience</w:t>
      </w:r>
    </w:p>
    <w:p w14:paraId="3B108DAB" w14:textId="77777777" w:rsidR="00D21131" w:rsidRPr="00D21131" w:rsidRDefault="00D21131" w:rsidP="00862B03">
      <w:pPr>
        <w:jc w:val="both"/>
        <w:rPr>
          <w:b/>
          <w:sz w:val="10"/>
        </w:rPr>
      </w:pPr>
    </w:p>
    <w:p w14:paraId="76888157" w14:textId="0CCC8F95" w:rsidR="001321B7" w:rsidRDefault="001321B7" w:rsidP="00A16ED1">
      <w:pPr>
        <w:spacing w:line="360" w:lineRule="auto"/>
        <w:jc w:val="both"/>
      </w:pPr>
      <w:r w:rsidRPr="00F03080">
        <w:t xml:space="preserve">Participants widely reported a deterioration in service quality since </w:t>
      </w:r>
      <w:r w:rsidR="00B7330B" w:rsidRPr="00D85C21">
        <w:t>the</w:t>
      </w:r>
      <w:r w:rsidR="00B7330B" w:rsidRPr="00D85C21">
        <w:rPr>
          <w:b/>
        </w:rPr>
        <w:t xml:space="preserve"> </w:t>
      </w:r>
      <w:r w:rsidR="00B7330B" w:rsidRPr="00B7330B">
        <w:t>Social Health Authority</w:t>
      </w:r>
      <w:r w:rsidR="00D21131">
        <w:t xml:space="preserve"> </w:t>
      </w:r>
      <w:r w:rsidR="005D4A4D">
        <w:t>implementation.</w:t>
      </w:r>
      <w:r w:rsidR="005D4A4D" w:rsidRPr="00F03080">
        <w:t xml:space="preserve"> The</w:t>
      </w:r>
      <w:r w:rsidRPr="00F03080">
        <w:t xml:space="preserve"> data show concerns about poor clinical care, overcrowding, and reduced patient satisfaction.</w:t>
      </w:r>
    </w:p>
    <w:p w14:paraId="0E15F0A0" w14:textId="033ACD33" w:rsidR="00177155" w:rsidRDefault="00177155" w:rsidP="00A16ED1">
      <w:pPr>
        <w:spacing w:line="360" w:lineRule="auto"/>
        <w:jc w:val="both"/>
      </w:pPr>
      <w:r w:rsidRPr="00CB29D2">
        <w:t>Indeed</w:t>
      </w:r>
      <w:r>
        <w:t>, during the interviews,</w:t>
      </w:r>
      <w:r w:rsidRPr="00CB29D2">
        <w:t xml:space="preserve"> the participants said,</w:t>
      </w:r>
    </w:p>
    <w:p w14:paraId="01DEBC8D" w14:textId="42C51807" w:rsidR="00177155" w:rsidRPr="00177155" w:rsidRDefault="00177155" w:rsidP="00585513">
      <w:pPr>
        <w:spacing w:after="0" w:line="360" w:lineRule="auto"/>
        <w:jc w:val="both"/>
        <w:rPr>
          <w:b/>
          <w:sz w:val="22"/>
          <w:szCs w:val="22"/>
        </w:rPr>
      </w:pPr>
      <w:r>
        <w:rPr>
          <w:b/>
          <w:sz w:val="22"/>
          <w:szCs w:val="22"/>
        </w:rPr>
        <w:t>Text 8</w:t>
      </w:r>
    </w:p>
    <w:p w14:paraId="69BD3538" w14:textId="6B6EA0A6" w:rsidR="001321B7" w:rsidRDefault="00177155" w:rsidP="00585513">
      <w:pPr>
        <w:spacing w:after="0"/>
        <w:ind w:left="567"/>
        <w:jc w:val="both"/>
      </w:pPr>
      <w:r w:rsidRPr="00F03080">
        <w:t xml:space="preserve"> </w:t>
      </w:r>
      <w:r w:rsidR="001321B7" w:rsidRPr="00F03080">
        <w:t xml:space="preserve">“Still poor quality of care” </w:t>
      </w:r>
    </w:p>
    <w:p w14:paraId="41B3DB8E" w14:textId="5DBA7575" w:rsidR="00177155" w:rsidRPr="00177155" w:rsidRDefault="00177155" w:rsidP="00585513">
      <w:pPr>
        <w:spacing w:after="0" w:line="360" w:lineRule="auto"/>
        <w:jc w:val="both"/>
        <w:rPr>
          <w:b/>
          <w:sz w:val="22"/>
          <w:szCs w:val="22"/>
        </w:rPr>
      </w:pPr>
      <w:r>
        <w:rPr>
          <w:b/>
          <w:sz w:val="22"/>
          <w:szCs w:val="22"/>
        </w:rPr>
        <w:t>Text 9</w:t>
      </w:r>
    </w:p>
    <w:p w14:paraId="1AAFA540" w14:textId="77777777" w:rsidR="001321B7" w:rsidRDefault="001321B7" w:rsidP="00585513">
      <w:pPr>
        <w:spacing w:after="0"/>
        <w:ind w:left="567"/>
        <w:jc w:val="both"/>
      </w:pPr>
      <w:r w:rsidRPr="00F03080">
        <w:t xml:space="preserve">“Quality worse than NHIF” </w:t>
      </w:r>
    </w:p>
    <w:p w14:paraId="530FE1B8" w14:textId="173A1E66" w:rsidR="00177155" w:rsidRPr="00177155" w:rsidRDefault="00177155" w:rsidP="00585513">
      <w:pPr>
        <w:spacing w:after="0" w:line="360" w:lineRule="auto"/>
        <w:jc w:val="both"/>
        <w:rPr>
          <w:b/>
          <w:sz w:val="22"/>
          <w:szCs w:val="22"/>
        </w:rPr>
      </w:pPr>
      <w:r w:rsidRPr="00177155">
        <w:rPr>
          <w:b/>
          <w:sz w:val="22"/>
          <w:szCs w:val="22"/>
        </w:rPr>
        <w:t>Text 10</w:t>
      </w:r>
    </w:p>
    <w:p w14:paraId="5F633E0C" w14:textId="77777777" w:rsidR="001321B7" w:rsidRDefault="001321B7" w:rsidP="00585513">
      <w:pPr>
        <w:spacing w:after="0"/>
        <w:ind w:left="567"/>
        <w:jc w:val="both"/>
      </w:pPr>
      <w:r w:rsidRPr="00F03080">
        <w:t xml:space="preserve">“Services deteriorated sharply” </w:t>
      </w:r>
    </w:p>
    <w:p w14:paraId="760EAE08" w14:textId="77777777" w:rsidR="00177155" w:rsidRDefault="00177155" w:rsidP="00585513">
      <w:pPr>
        <w:pStyle w:val="ListParagraph"/>
      </w:pPr>
    </w:p>
    <w:p w14:paraId="49630048" w14:textId="503E6F19" w:rsidR="00177155" w:rsidRPr="00177155" w:rsidRDefault="00177155" w:rsidP="00585513">
      <w:pPr>
        <w:spacing w:after="0" w:line="360" w:lineRule="auto"/>
        <w:jc w:val="both"/>
        <w:rPr>
          <w:b/>
          <w:sz w:val="22"/>
          <w:szCs w:val="22"/>
        </w:rPr>
      </w:pPr>
      <w:r>
        <w:rPr>
          <w:b/>
          <w:sz w:val="22"/>
          <w:szCs w:val="22"/>
        </w:rPr>
        <w:t>Text 11</w:t>
      </w:r>
    </w:p>
    <w:p w14:paraId="2D22C250" w14:textId="77777777" w:rsidR="00177155" w:rsidRDefault="001321B7" w:rsidP="00585513">
      <w:pPr>
        <w:tabs>
          <w:tab w:val="left" w:pos="284"/>
        </w:tabs>
        <w:spacing w:after="0"/>
        <w:ind w:left="567"/>
        <w:jc w:val="both"/>
      </w:pPr>
      <w:r w:rsidRPr="00F03080">
        <w:t>“Patient satisfaction very low”</w:t>
      </w:r>
    </w:p>
    <w:p w14:paraId="7D503C3B" w14:textId="71AD3C17" w:rsidR="001321B7" w:rsidRPr="00177155" w:rsidRDefault="00177155" w:rsidP="00585513">
      <w:pPr>
        <w:spacing w:after="0" w:line="360" w:lineRule="auto"/>
        <w:jc w:val="both"/>
        <w:rPr>
          <w:b/>
          <w:sz w:val="22"/>
          <w:szCs w:val="22"/>
        </w:rPr>
      </w:pPr>
      <w:r w:rsidRPr="00177155">
        <w:rPr>
          <w:b/>
          <w:sz w:val="22"/>
          <w:szCs w:val="22"/>
        </w:rPr>
        <w:t>Text 12</w:t>
      </w:r>
      <w:r w:rsidR="001321B7" w:rsidRPr="00F03080">
        <w:t xml:space="preserve"> </w:t>
      </w:r>
    </w:p>
    <w:p w14:paraId="6B6589F6" w14:textId="48787F65" w:rsidR="00177155" w:rsidRDefault="001321B7" w:rsidP="00585513">
      <w:pPr>
        <w:spacing w:after="0"/>
        <w:ind w:left="709"/>
        <w:jc w:val="both"/>
      </w:pPr>
      <w:r w:rsidRPr="00F03080">
        <w:t xml:space="preserve">“Long queues worse than before” </w:t>
      </w:r>
    </w:p>
    <w:p w14:paraId="61AE00E7" w14:textId="6797CFEE" w:rsidR="00177155" w:rsidRPr="00177155" w:rsidRDefault="00177155" w:rsidP="00585513">
      <w:pPr>
        <w:spacing w:after="0" w:line="360" w:lineRule="auto"/>
        <w:jc w:val="both"/>
        <w:rPr>
          <w:b/>
          <w:sz w:val="22"/>
          <w:szCs w:val="22"/>
        </w:rPr>
      </w:pPr>
      <w:r>
        <w:rPr>
          <w:b/>
          <w:sz w:val="22"/>
          <w:szCs w:val="22"/>
        </w:rPr>
        <w:t>Text 13</w:t>
      </w:r>
    </w:p>
    <w:p w14:paraId="12526C86" w14:textId="77777777" w:rsidR="001321B7" w:rsidRDefault="001321B7" w:rsidP="00585513">
      <w:pPr>
        <w:spacing w:after="0"/>
        <w:ind w:left="709"/>
        <w:jc w:val="both"/>
      </w:pPr>
      <w:r w:rsidRPr="00F03080">
        <w:t xml:space="preserve">“Waiting hours increased sharply” </w:t>
      </w:r>
    </w:p>
    <w:p w14:paraId="7AEC1F9A" w14:textId="5819698D" w:rsidR="00177155" w:rsidRPr="00177155" w:rsidRDefault="00177155" w:rsidP="00585513">
      <w:pPr>
        <w:spacing w:after="0" w:line="360" w:lineRule="auto"/>
        <w:jc w:val="both"/>
        <w:rPr>
          <w:b/>
          <w:sz w:val="22"/>
          <w:szCs w:val="22"/>
        </w:rPr>
      </w:pPr>
      <w:r>
        <w:rPr>
          <w:b/>
          <w:sz w:val="22"/>
          <w:szCs w:val="22"/>
        </w:rPr>
        <w:t>Text 14</w:t>
      </w:r>
    </w:p>
    <w:p w14:paraId="2307851A" w14:textId="61F32F1F" w:rsidR="00177155" w:rsidRDefault="001321B7" w:rsidP="00585513">
      <w:pPr>
        <w:spacing w:after="0"/>
        <w:ind w:left="567"/>
        <w:jc w:val="both"/>
      </w:pPr>
      <w:r w:rsidRPr="00F03080">
        <w:t>“Emergency care inadequate”</w:t>
      </w:r>
    </w:p>
    <w:p w14:paraId="7F19FBFC" w14:textId="2AD56892" w:rsidR="001321B7" w:rsidRPr="00177155" w:rsidRDefault="00177155" w:rsidP="00585513">
      <w:pPr>
        <w:spacing w:after="0" w:line="360" w:lineRule="auto"/>
        <w:jc w:val="both"/>
        <w:rPr>
          <w:b/>
          <w:sz w:val="22"/>
          <w:szCs w:val="22"/>
        </w:rPr>
      </w:pPr>
      <w:r>
        <w:rPr>
          <w:b/>
          <w:sz w:val="22"/>
          <w:szCs w:val="22"/>
        </w:rPr>
        <w:t>Text 15</w:t>
      </w:r>
    </w:p>
    <w:p w14:paraId="019F647E" w14:textId="77777777" w:rsidR="00177155" w:rsidRDefault="001321B7" w:rsidP="00585513">
      <w:pPr>
        <w:spacing w:after="0"/>
        <w:ind w:left="709"/>
        <w:jc w:val="both"/>
      </w:pPr>
      <w:r w:rsidRPr="00F03080">
        <w:t>“Patients discharged prematurely”</w:t>
      </w:r>
    </w:p>
    <w:p w14:paraId="22E4F24D" w14:textId="2FB504EC" w:rsidR="001321B7" w:rsidRPr="00F03080" w:rsidRDefault="001321B7" w:rsidP="00177155">
      <w:pPr>
        <w:jc w:val="both"/>
      </w:pPr>
    </w:p>
    <w:p w14:paraId="5BB37CD4" w14:textId="2AD40116" w:rsidR="00C77EAF" w:rsidRPr="009A333F" w:rsidRDefault="001321B7" w:rsidP="009A333F">
      <w:pPr>
        <w:spacing w:line="360" w:lineRule="auto"/>
        <w:jc w:val="both"/>
      </w:pPr>
      <w:r w:rsidRPr="00F03080">
        <w:t>Overall, respondents perceive</w:t>
      </w:r>
      <w:r w:rsidR="00177155">
        <w:t>d</w:t>
      </w:r>
      <w:r w:rsidRPr="00F03080">
        <w:t xml:space="preserve"> that healthcare delivery has become slower, less safe, and less patient-centered.</w:t>
      </w:r>
    </w:p>
    <w:p w14:paraId="51088206" w14:textId="7E2E18B0" w:rsidR="001321B7" w:rsidRDefault="00585513" w:rsidP="00862B03">
      <w:pPr>
        <w:jc w:val="both"/>
        <w:rPr>
          <w:b/>
        </w:rPr>
      </w:pPr>
      <w:r>
        <w:rPr>
          <w:b/>
        </w:rPr>
        <w:t xml:space="preserve"> </w:t>
      </w:r>
      <w:r w:rsidR="001321B7" w:rsidRPr="00F03080">
        <w:rPr>
          <w:b/>
        </w:rPr>
        <w:t>Reduced patient utilization and growing shift to private healthcare</w:t>
      </w:r>
    </w:p>
    <w:p w14:paraId="4FF633E7" w14:textId="77777777" w:rsidR="00D21131" w:rsidRPr="00D21131" w:rsidRDefault="00D21131" w:rsidP="00862B03">
      <w:pPr>
        <w:jc w:val="both"/>
        <w:rPr>
          <w:b/>
          <w:sz w:val="10"/>
        </w:rPr>
      </w:pPr>
    </w:p>
    <w:p w14:paraId="4E710170" w14:textId="2078077F" w:rsidR="001321B7" w:rsidRPr="00F03080" w:rsidRDefault="001321B7" w:rsidP="00A16ED1">
      <w:pPr>
        <w:spacing w:line="360" w:lineRule="auto"/>
        <w:jc w:val="both"/>
      </w:pPr>
      <w:r w:rsidRPr="00F03080">
        <w:t xml:space="preserve">A strong pattern shows declining use of public health services, with </w:t>
      </w:r>
      <w:r w:rsidR="0060165B" w:rsidRPr="00F03080">
        <w:t>patient’s</w:t>
      </w:r>
      <w:r w:rsidRPr="00F03080">
        <w:t xml:space="preserve"> increasingly avoiding </w:t>
      </w:r>
      <w:r w:rsidR="00B7330B" w:rsidRPr="00D85C21">
        <w:t>the</w:t>
      </w:r>
      <w:r w:rsidR="00B7330B" w:rsidRPr="00D85C21">
        <w:rPr>
          <w:b/>
        </w:rPr>
        <w:t xml:space="preserve"> </w:t>
      </w:r>
      <w:r w:rsidR="00B7330B" w:rsidRPr="00B7330B">
        <w:t>Social Health Authority</w:t>
      </w:r>
      <w:r w:rsidRPr="00F03080">
        <w:t xml:space="preserve"> facilities and seeking alternatives in private hospitals or self-care.</w:t>
      </w:r>
    </w:p>
    <w:p w14:paraId="07E28702" w14:textId="0AA2959D" w:rsidR="00177155" w:rsidRPr="00177155" w:rsidRDefault="00177155" w:rsidP="00177155">
      <w:pPr>
        <w:spacing w:line="360" w:lineRule="auto"/>
        <w:jc w:val="both"/>
      </w:pPr>
      <w:r w:rsidRPr="00CB29D2">
        <w:t>Indeed</w:t>
      </w:r>
      <w:r>
        <w:t>, during the interviews,</w:t>
      </w:r>
      <w:r w:rsidRPr="00CB29D2">
        <w:t xml:space="preserve"> the participants said,</w:t>
      </w:r>
    </w:p>
    <w:p w14:paraId="6B04B27E" w14:textId="1F6ED823" w:rsidR="00177155" w:rsidRPr="00177155" w:rsidRDefault="008E0394" w:rsidP="00585513">
      <w:pPr>
        <w:spacing w:after="0" w:line="360" w:lineRule="auto"/>
        <w:jc w:val="both"/>
        <w:rPr>
          <w:b/>
          <w:sz w:val="22"/>
          <w:szCs w:val="22"/>
        </w:rPr>
      </w:pPr>
      <w:r>
        <w:rPr>
          <w:b/>
          <w:sz w:val="22"/>
          <w:szCs w:val="22"/>
        </w:rPr>
        <w:t>Text 16</w:t>
      </w:r>
    </w:p>
    <w:p w14:paraId="7D8324C6" w14:textId="77777777" w:rsidR="00177155" w:rsidRDefault="001321B7" w:rsidP="00585513">
      <w:pPr>
        <w:spacing w:after="0"/>
        <w:ind w:left="709"/>
        <w:jc w:val="both"/>
      </w:pPr>
      <w:r w:rsidRPr="00F03080">
        <w:t>“Less utilization observed”</w:t>
      </w:r>
    </w:p>
    <w:p w14:paraId="1D147EFA" w14:textId="65BB8F00" w:rsidR="001321B7" w:rsidRPr="008E0394" w:rsidRDefault="008E0394" w:rsidP="00585513">
      <w:pPr>
        <w:spacing w:after="0" w:line="360" w:lineRule="auto"/>
        <w:jc w:val="both"/>
        <w:rPr>
          <w:b/>
          <w:sz w:val="22"/>
          <w:szCs w:val="22"/>
        </w:rPr>
      </w:pPr>
      <w:r>
        <w:rPr>
          <w:b/>
          <w:sz w:val="22"/>
          <w:szCs w:val="22"/>
        </w:rPr>
        <w:t>Text 17</w:t>
      </w:r>
    </w:p>
    <w:p w14:paraId="6BC2D9C9" w14:textId="5A8835F5" w:rsidR="00177155" w:rsidRDefault="001321B7" w:rsidP="00F30D40">
      <w:pPr>
        <w:spacing w:after="0"/>
        <w:ind w:left="709"/>
        <w:jc w:val="both"/>
      </w:pPr>
      <w:r w:rsidRPr="00F03080">
        <w:t>“Outpatient visits dropped sharply</w:t>
      </w:r>
      <w:r w:rsidR="00F30D40">
        <w:t>.</w:t>
      </w:r>
      <w:r w:rsidR="00DF41AA" w:rsidRPr="00DF41AA">
        <w:t xml:space="preserve"> </w:t>
      </w:r>
      <w:r w:rsidR="00F30D40">
        <w:t>D</w:t>
      </w:r>
      <w:r w:rsidR="00DF41AA">
        <w:t>elayed payments to healthcare facilities inadvertently lead to the emergence of 'silent copayments' (where patients are forced to purchase out-of-pocket pharmaceuticals), undermining the central tenets of Universal Health Coverage (UHC).</w:t>
      </w:r>
      <w:r w:rsidRPr="00F03080">
        <w:t xml:space="preserve">” </w:t>
      </w:r>
    </w:p>
    <w:p w14:paraId="4C3D6E72" w14:textId="337A7755" w:rsidR="00177155" w:rsidRPr="00177155" w:rsidRDefault="008E0394" w:rsidP="00585513">
      <w:pPr>
        <w:spacing w:after="0" w:line="360" w:lineRule="auto"/>
        <w:jc w:val="both"/>
        <w:rPr>
          <w:b/>
          <w:sz w:val="22"/>
          <w:szCs w:val="22"/>
        </w:rPr>
      </w:pPr>
      <w:r>
        <w:rPr>
          <w:b/>
          <w:sz w:val="22"/>
          <w:szCs w:val="22"/>
        </w:rPr>
        <w:t>Text 18</w:t>
      </w:r>
    </w:p>
    <w:p w14:paraId="6A7BB94F" w14:textId="77777777" w:rsidR="001321B7" w:rsidRDefault="001321B7" w:rsidP="00585513">
      <w:pPr>
        <w:spacing w:after="0"/>
        <w:ind w:left="709"/>
        <w:jc w:val="both"/>
      </w:pPr>
      <w:r w:rsidRPr="00F03080">
        <w:t xml:space="preserve">“Admission rates declining” </w:t>
      </w:r>
    </w:p>
    <w:p w14:paraId="778200F5" w14:textId="5D24D83D" w:rsidR="00177155" w:rsidRPr="00177155" w:rsidRDefault="008E0394" w:rsidP="00585513">
      <w:pPr>
        <w:spacing w:after="0" w:line="360" w:lineRule="auto"/>
        <w:jc w:val="both"/>
        <w:rPr>
          <w:b/>
          <w:sz w:val="22"/>
          <w:szCs w:val="22"/>
        </w:rPr>
      </w:pPr>
      <w:r>
        <w:rPr>
          <w:b/>
          <w:sz w:val="22"/>
          <w:szCs w:val="22"/>
        </w:rPr>
        <w:t>Text 19</w:t>
      </w:r>
    </w:p>
    <w:p w14:paraId="2780F75F" w14:textId="77777777" w:rsidR="001321B7" w:rsidRDefault="001321B7" w:rsidP="00585513">
      <w:pPr>
        <w:spacing w:after="0"/>
        <w:ind w:left="709"/>
        <w:jc w:val="both"/>
      </w:pPr>
      <w:r w:rsidRPr="00F03080">
        <w:t xml:space="preserve">“Patients prefer private hospitals” </w:t>
      </w:r>
    </w:p>
    <w:p w14:paraId="6342FC34" w14:textId="77777777" w:rsidR="00177155" w:rsidRDefault="00177155" w:rsidP="00585513">
      <w:pPr>
        <w:pStyle w:val="ListParagraph"/>
      </w:pPr>
    </w:p>
    <w:p w14:paraId="1009CE7B" w14:textId="36768964" w:rsidR="00177155" w:rsidRPr="00177155" w:rsidRDefault="008E0394" w:rsidP="00585513">
      <w:pPr>
        <w:spacing w:after="0" w:line="360" w:lineRule="auto"/>
        <w:jc w:val="both"/>
        <w:rPr>
          <w:b/>
          <w:sz w:val="22"/>
          <w:szCs w:val="22"/>
        </w:rPr>
      </w:pPr>
      <w:r>
        <w:rPr>
          <w:b/>
          <w:sz w:val="22"/>
          <w:szCs w:val="22"/>
        </w:rPr>
        <w:t>Text 20</w:t>
      </w:r>
    </w:p>
    <w:p w14:paraId="2A545CEC" w14:textId="77777777" w:rsidR="00177155" w:rsidRDefault="001321B7" w:rsidP="00585513">
      <w:pPr>
        <w:spacing w:after="0"/>
        <w:ind w:left="709"/>
        <w:jc w:val="both"/>
      </w:pPr>
      <w:r w:rsidRPr="00F03080">
        <w:t>“Community avoids public hospitals”</w:t>
      </w:r>
    </w:p>
    <w:p w14:paraId="199ED207" w14:textId="1444459F" w:rsidR="001321B7" w:rsidRPr="00177155" w:rsidRDefault="008E0394" w:rsidP="00585513">
      <w:pPr>
        <w:spacing w:after="0" w:line="360" w:lineRule="auto"/>
        <w:jc w:val="both"/>
        <w:rPr>
          <w:b/>
          <w:sz w:val="22"/>
          <w:szCs w:val="22"/>
        </w:rPr>
      </w:pPr>
      <w:r>
        <w:rPr>
          <w:b/>
          <w:sz w:val="22"/>
          <w:szCs w:val="22"/>
        </w:rPr>
        <w:t>Text 21</w:t>
      </w:r>
    </w:p>
    <w:p w14:paraId="05BE464F" w14:textId="77777777" w:rsidR="00177155" w:rsidRDefault="001321B7" w:rsidP="00585513">
      <w:pPr>
        <w:spacing w:after="0"/>
        <w:ind w:left="709"/>
        <w:jc w:val="both"/>
      </w:pPr>
      <w:r w:rsidRPr="00F03080">
        <w:lastRenderedPageBreak/>
        <w:t>“People travel far for private care”</w:t>
      </w:r>
    </w:p>
    <w:p w14:paraId="4F3EB47E" w14:textId="77777777" w:rsidR="00177155" w:rsidRDefault="00177155" w:rsidP="00585513">
      <w:pPr>
        <w:pStyle w:val="ListParagraph"/>
      </w:pPr>
    </w:p>
    <w:p w14:paraId="7CEC1A33" w14:textId="31968F50" w:rsidR="001321B7" w:rsidRPr="00177155" w:rsidRDefault="008E0394" w:rsidP="00585513">
      <w:pPr>
        <w:spacing w:after="0" w:line="360" w:lineRule="auto"/>
        <w:jc w:val="both"/>
        <w:rPr>
          <w:b/>
          <w:sz w:val="22"/>
          <w:szCs w:val="22"/>
        </w:rPr>
      </w:pPr>
      <w:r>
        <w:rPr>
          <w:b/>
          <w:sz w:val="22"/>
          <w:szCs w:val="22"/>
        </w:rPr>
        <w:t>Text 22</w:t>
      </w:r>
    </w:p>
    <w:p w14:paraId="08B6178F" w14:textId="77777777" w:rsidR="001321B7" w:rsidRDefault="001321B7" w:rsidP="00585513">
      <w:pPr>
        <w:spacing w:after="0"/>
        <w:ind w:left="709"/>
        <w:jc w:val="both"/>
      </w:pPr>
      <w:r w:rsidRPr="00F03080">
        <w:t xml:space="preserve">“Patients returning to self-medication” </w:t>
      </w:r>
    </w:p>
    <w:p w14:paraId="263F2667" w14:textId="6769CE30" w:rsidR="00177155" w:rsidRPr="008E0394" w:rsidRDefault="008E0394" w:rsidP="00585513">
      <w:pPr>
        <w:spacing w:after="0" w:line="360" w:lineRule="auto"/>
        <w:jc w:val="both"/>
        <w:rPr>
          <w:b/>
          <w:sz w:val="22"/>
          <w:szCs w:val="22"/>
        </w:rPr>
      </w:pPr>
      <w:r>
        <w:rPr>
          <w:b/>
          <w:sz w:val="22"/>
          <w:szCs w:val="22"/>
        </w:rPr>
        <w:t>Text 23</w:t>
      </w:r>
    </w:p>
    <w:p w14:paraId="37C45BE5" w14:textId="4BA3973E" w:rsidR="00B7330B" w:rsidRDefault="001321B7" w:rsidP="00585513">
      <w:pPr>
        <w:spacing w:after="0"/>
        <w:ind w:left="567"/>
        <w:jc w:val="both"/>
      </w:pPr>
      <w:r w:rsidRPr="00F03080">
        <w:t xml:space="preserve">“Youth avoiding </w:t>
      </w:r>
      <w:r w:rsidR="0006598B" w:rsidRPr="00D85C21">
        <w:t>the</w:t>
      </w:r>
      <w:r w:rsidR="0006598B" w:rsidRPr="00D85C21">
        <w:rPr>
          <w:b/>
        </w:rPr>
        <w:t xml:space="preserve"> </w:t>
      </w:r>
      <w:r w:rsidR="0006598B" w:rsidRPr="0006598B">
        <w:t>Social Health Authority</w:t>
      </w:r>
      <w:r w:rsidRPr="00F03080">
        <w:t xml:space="preserve"> clinics”</w:t>
      </w:r>
    </w:p>
    <w:p w14:paraId="4CB27455" w14:textId="030621FC" w:rsidR="001321B7" w:rsidRPr="00F03080" w:rsidRDefault="001321B7" w:rsidP="00585513">
      <w:pPr>
        <w:spacing w:after="0"/>
        <w:ind w:left="567"/>
        <w:jc w:val="both"/>
      </w:pPr>
      <w:r w:rsidRPr="00F03080">
        <w:t xml:space="preserve"> </w:t>
      </w:r>
    </w:p>
    <w:p w14:paraId="44730B44" w14:textId="548A23AC" w:rsidR="001321B7" w:rsidRPr="00F03080" w:rsidRDefault="00177155" w:rsidP="00A16ED1">
      <w:pPr>
        <w:spacing w:line="360" w:lineRule="auto"/>
        <w:jc w:val="both"/>
      </w:pPr>
      <w:r>
        <w:t xml:space="preserve">Overall, the findings demonstrated a clear pattern of declining utilization of public health services and increasing bypass behavior, whereby patients seek healthcare from private providers or resort to self-care practices. The reported reductions in outpatient visits and admissions, coupled with a preference for private hospitals and growing reliance on self-medication, suggest a significant erosion of public confidence in </w:t>
      </w:r>
      <w:r w:rsidR="00B7330B" w:rsidRPr="00D85C21">
        <w:t>the</w:t>
      </w:r>
      <w:r w:rsidR="00B7330B" w:rsidRPr="00D85C21">
        <w:rPr>
          <w:b/>
        </w:rPr>
        <w:t xml:space="preserve"> </w:t>
      </w:r>
      <w:r w:rsidR="00B7330B" w:rsidRPr="00B7330B">
        <w:t>Social Health Authority</w:t>
      </w:r>
      <w:r w:rsidR="00B7330B" w:rsidRPr="00D85C21">
        <w:rPr>
          <w:b/>
          <w:bCs/>
        </w:rPr>
        <w:t xml:space="preserve"> </w:t>
      </w:r>
      <w:r>
        <w:t>affiliated facilities. These trends may have important implications for healthcare access, equity, and the overall effectiveness of the public</w:t>
      </w:r>
      <w:r w:rsidR="00A16ED1">
        <w:t>.</w:t>
      </w:r>
    </w:p>
    <w:p w14:paraId="333206DA" w14:textId="0F7CC80F" w:rsidR="00D21131" w:rsidRPr="00F03080" w:rsidRDefault="00C76C77" w:rsidP="00862B03">
      <w:pPr>
        <w:jc w:val="both"/>
        <w:rPr>
          <w:b/>
        </w:rPr>
      </w:pPr>
      <w:r w:rsidRPr="00F03080">
        <w:rPr>
          <w:b/>
        </w:rPr>
        <w:t>Weak</w:t>
      </w:r>
      <w:r w:rsidR="001321B7" w:rsidRPr="00F03080">
        <w:rPr>
          <w:b/>
        </w:rPr>
        <w:t xml:space="preserve"> staffing levels, poor morale, and overburdened health workers</w:t>
      </w:r>
    </w:p>
    <w:p w14:paraId="3E63C2B5" w14:textId="77777777" w:rsidR="001321B7" w:rsidRDefault="001321B7" w:rsidP="005D4A4D">
      <w:pPr>
        <w:spacing w:line="360" w:lineRule="auto"/>
        <w:jc w:val="both"/>
      </w:pPr>
      <w:r w:rsidRPr="00F03080">
        <w:t>Respondents consistently highlighted human resource shortages, burnout, and poor working conditions as major constraints affecting service delivery.</w:t>
      </w:r>
    </w:p>
    <w:p w14:paraId="01A5F239" w14:textId="77777777" w:rsidR="008E0394" w:rsidRPr="00177155" w:rsidRDefault="008E0394" w:rsidP="008E0394">
      <w:pPr>
        <w:spacing w:line="360" w:lineRule="auto"/>
        <w:ind w:left="426"/>
        <w:jc w:val="both"/>
      </w:pPr>
      <w:r w:rsidRPr="00CB29D2">
        <w:t>Indeed</w:t>
      </w:r>
      <w:r>
        <w:t>, during the interviews,</w:t>
      </w:r>
      <w:r w:rsidRPr="00CB29D2">
        <w:t xml:space="preserve"> the participants said,</w:t>
      </w:r>
    </w:p>
    <w:p w14:paraId="05AAF790" w14:textId="567B9FED" w:rsidR="008E0394" w:rsidRPr="008E0394" w:rsidRDefault="008E0394" w:rsidP="00585513">
      <w:pPr>
        <w:spacing w:after="0" w:line="360" w:lineRule="auto"/>
        <w:jc w:val="both"/>
        <w:rPr>
          <w:b/>
          <w:sz w:val="22"/>
          <w:szCs w:val="22"/>
        </w:rPr>
      </w:pPr>
      <w:r>
        <w:rPr>
          <w:b/>
          <w:sz w:val="22"/>
          <w:szCs w:val="22"/>
        </w:rPr>
        <w:t>Text 24</w:t>
      </w:r>
    </w:p>
    <w:p w14:paraId="537654C1" w14:textId="3D550B16" w:rsidR="008E0394" w:rsidRDefault="008E0394" w:rsidP="00585513">
      <w:pPr>
        <w:spacing w:after="0"/>
        <w:ind w:left="709"/>
        <w:jc w:val="both"/>
      </w:pPr>
      <w:r w:rsidRPr="00F03080">
        <w:t xml:space="preserve"> </w:t>
      </w:r>
      <w:r w:rsidR="001321B7" w:rsidRPr="00F03080">
        <w:t xml:space="preserve">“No staff increase since </w:t>
      </w:r>
      <w:r w:rsidR="009E22B9" w:rsidRPr="00D85C21">
        <w:t>the</w:t>
      </w:r>
      <w:r w:rsidR="009E22B9" w:rsidRPr="00D85C21">
        <w:rPr>
          <w:b/>
        </w:rPr>
        <w:t xml:space="preserve"> </w:t>
      </w:r>
      <w:r w:rsidR="009E22B9" w:rsidRPr="009E22B9">
        <w:t>roll out of Social Health Authority</w:t>
      </w:r>
      <w:r w:rsidR="001321B7" w:rsidRPr="00F03080">
        <w:t xml:space="preserve">” </w:t>
      </w:r>
    </w:p>
    <w:p w14:paraId="1BF9C794" w14:textId="049A1651" w:rsidR="008E0394" w:rsidRPr="008E0394" w:rsidRDefault="008E0394" w:rsidP="00585513">
      <w:pPr>
        <w:spacing w:after="0" w:line="360" w:lineRule="auto"/>
        <w:jc w:val="both"/>
        <w:rPr>
          <w:b/>
          <w:sz w:val="22"/>
          <w:szCs w:val="22"/>
        </w:rPr>
      </w:pPr>
      <w:r>
        <w:rPr>
          <w:b/>
          <w:sz w:val="22"/>
          <w:szCs w:val="22"/>
        </w:rPr>
        <w:t>Text 25</w:t>
      </w:r>
    </w:p>
    <w:p w14:paraId="7FDEEDC6" w14:textId="77777777" w:rsidR="008E0394" w:rsidRDefault="001321B7" w:rsidP="00585513">
      <w:pPr>
        <w:spacing w:after="0"/>
        <w:ind w:left="567"/>
        <w:jc w:val="both"/>
      </w:pPr>
      <w:r w:rsidRPr="00F03080">
        <w:t>“Wards understaffed daily”</w:t>
      </w:r>
    </w:p>
    <w:p w14:paraId="407DE905" w14:textId="2F1CCD11" w:rsidR="001321B7" w:rsidRPr="008E0394" w:rsidRDefault="008E0394" w:rsidP="00585513">
      <w:pPr>
        <w:spacing w:after="0" w:line="360" w:lineRule="auto"/>
        <w:jc w:val="both"/>
        <w:rPr>
          <w:b/>
          <w:sz w:val="22"/>
          <w:szCs w:val="22"/>
        </w:rPr>
      </w:pPr>
      <w:r w:rsidRPr="008E0394">
        <w:rPr>
          <w:b/>
          <w:sz w:val="22"/>
          <w:szCs w:val="22"/>
        </w:rPr>
        <w:t>Text 26</w:t>
      </w:r>
    </w:p>
    <w:p w14:paraId="39614DB7" w14:textId="77777777" w:rsidR="001321B7" w:rsidRDefault="001321B7" w:rsidP="00585513">
      <w:pPr>
        <w:spacing w:after="0"/>
        <w:ind w:left="567"/>
        <w:jc w:val="both"/>
      </w:pPr>
      <w:r w:rsidRPr="00F03080">
        <w:t xml:space="preserve">“Nurses overworked, underpaid” </w:t>
      </w:r>
    </w:p>
    <w:p w14:paraId="42EF1B93" w14:textId="77777777" w:rsidR="008E0394" w:rsidRDefault="008E0394" w:rsidP="00585513">
      <w:pPr>
        <w:pStyle w:val="ListParagraph"/>
      </w:pPr>
    </w:p>
    <w:p w14:paraId="6827337C" w14:textId="7EF3D066" w:rsidR="008E0394" w:rsidRPr="008E0394" w:rsidRDefault="008E0394" w:rsidP="00585513">
      <w:pPr>
        <w:spacing w:after="0" w:line="360" w:lineRule="auto"/>
        <w:jc w:val="both"/>
        <w:rPr>
          <w:b/>
          <w:sz w:val="22"/>
          <w:szCs w:val="22"/>
        </w:rPr>
      </w:pPr>
      <w:r>
        <w:rPr>
          <w:b/>
          <w:sz w:val="22"/>
          <w:szCs w:val="22"/>
        </w:rPr>
        <w:t>Text 27</w:t>
      </w:r>
    </w:p>
    <w:p w14:paraId="4FAEB6F3" w14:textId="77777777" w:rsidR="008E0394" w:rsidRDefault="001321B7" w:rsidP="00585513">
      <w:pPr>
        <w:spacing w:after="0"/>
        <w:ind w:left="567"/>
        <w:jc w:val="both"/>
      </w:pPr>
      <w:r w:rsidRPr="00F03080">
        <w:t>“Staff overwhelmed, no support”</w:t>
      </w:r>
    </w:p>
    <w:p w14:paraId="64EF4AB5" w14:textId="7F26BD56" w:rsidR="001321B7" w:rsidRPr="008E0394" w:rsidRDefault="008E0394" w:rsidP="00585513">
      <w:pPr>
        <w:spacing w:after="0" w:line="360" w:lineRule="auto"/>
        <w:jc w:val="both"/>
        <w:rPr>
          <w:b/>
          <w:sz w:val="22"/>
          <w:szCs w:val="22"/>
        </w:rPr>
      </w:pPr>
      <w:r w:rsidRPr="008E0394">
        <w:rPr>
          <w:b/>
          <w:sz w:val="22"/>
          <w:szCs w:val="22"/>
        </w:rPr>
        <w:t>Text 28</w:t>
      </w:r>
    </w:p>
    <w:p w14:paraId="08A31608" w14:textId="2645873E" w:rsidR="008E0394" w:rsidRDefault="001321B7" w:rsidP="00585513">
      <w:pPr>
        <w:spacing w:after="0"/>
        <w:ind w:left="709"/>
        <w:jc w:val="both"/>
      </w:pPr>
      <w:r w:rsidRPr="00F03080">
        <w:t>“Night shift dangerously understaffed”</w:t>
      </w:r>
    </w:p>
    <w:p w14:paraId="4B11EACE" w14:textId="54621D01" w:rsidR="001321B7" w:rsidRPr="008E0394" w:rsidRDefault="001321B7" w:rsidP="00585513">
      <w:pPr>
        <w:spacing w:after="0" w:line="360" w:lineRule="auto"/>
        <w:jc w:val="both"/>
        <w:rPr>
          <w:b/>
          <w:sz w:val="22"/>
          <w:szCs w:val="22"/>
        </w:rPr>
      </w:pPr>
      <w:r w:rsidRPr="00F03080">
        <w:t xml:space="preserve"> </w:t>
      </w:r>
      <w:r w:rsidR="008E0394">
        <w:rPr>
          <w:b/>
          <w:sz w:val="22"/>
          <w:szCs w:val="22"/>
        </w:rPr>
        <w:t>Text 29</w:t>
      </w:r>
    </w:p>
    <w:p w14:paraId="0969ADA4" w14:textId="77777777" w:rsidR="001321B7" w:rsidRDefault="001321B7" w:rsidP="00585513">
      <w:pPr>
        <w:spacing w:after="0"/>
        <w:ind w:left="709"/>
        <w:jc w:val="both"/>
      </w:pPr>
      <w:r w:rsidRPr="00F03080">
        <w:t xml:space="preserve">“Doctors leaving for private” </w:t>
      </w:r>
    </w:p>
    <w:p w14:paraId="17BBB895" w14:textId="33677347" w:rsidR="008E0394" w:rsidRPr="008E0394" w:rsidRDefault="008E0394" w:rsidP="00585513">
      <w:pPr>
        <w:spacing w:after="0" w:line="360" w:lineRule="auto"/>
        <w:jc w:val="both"/>
        <w:rPr>
          <w:b/>
          <w:sz w:val="22"/>
          <w:szCs w:val="22"/>
        </w:rPr>
      </w:pPr>
      <w:r w:rsidRPr="008E0394">
        <w:rPr>
          <w:b/>
          <w:sz w:val="22"/>
          <w:szCs w:val="22"/>
        </w:rPr>
        <w:t>Text 30</w:t>
      </w:r>
    </w:p>
    <w:p w14:paraId="36372706" w14:textId="77777777" w:rsidR="001321B7" w:rsidRDefault="001321B7" w:rsidP="00585513">
      <w:pPr>
        <w:spacing w:after="0"/>
        <w:ind w:left="709"/>
        <w:jc w:val="both"/>
      </w:pPr>
      <w:r w:rsidRPr="00F03080">
        <w:lastRenderedPageBreak/>
        <w:t xml:space="preserve">“Staff morale very low” </w:t>
      </w:r>
    </w:p>
    <w:p w14:paraId="213D9C2F" w14:textId="77777777" w:rsidR="00D21131" w:rsidRPr="00F03080" w:rsidRDefault="00D21131" w:rsidP="00585513">
      <w:pPr>
        <w:spacing w:after="0"/>
        <w:ind w:left="709"/>
        <w:jc w:val="both"/>
      </w:pPr>
    </w:p>
    <w:p w14:paraId="59CD85B2" w14:textId="203C2F58" w:rsidR="001321B7" w:rsidRPr="00F03080" w:rsidRDefault="008E0394" w:rsidP="00A16ED1">
      <w:pPr>
        <w:spacing w:line="360" w:lineRule="auto"/>
        <w:jc w:val="both"/>
      </w:pPr>
      <w:r>
        <w:t>Overall, the findings indicate that human resource constraints remain a significant barrier to effective healthcare delivery. Chronic understaffing, excessive workloads, inadequate support systems, and difficulties in retaining skilled personnel have contributed to staff burnout and low morale. These conditions are perceived to undermine service efficiency, compromise the quality of patient care, and weaken the overall capacity of health facilities to meet growing healthcare demands.</w:t>
      </w:r>
    </w:p>
    <w:p w14:paraId="3C8EEEE2" w14:textId="2AC06A07" w:rsidR="001321B7" w:rsidRDefault="001321B7" w:rsidP="00862B03">
      <w:pPr>
        <w:jc w:val="both"/>
        <w:rPr>
          <w:b/>
        </w:rPr>
      </w:pPr>
      <w:r w:rsidRPr="00F03080">
        <w:rPr>
          <w:b/>
        </w:rPr>
        <w:t>System inefficiencies, weak governance, and delayed reimbursements</w:t>
      </w:r>
    </w:p>
    <w:p w14:paraId="25161BBC" w14:textId="77777777" w:rsidR="003F6E0B" w:rsidRPr="003F6E0B" w:rsidRDefault="003F6E0B" w:rsidP="00862B03">
      <w:pPr>
        <w:jc w:val="both"/>
        <w:rPr>
          <w:b/>
          <w:sz w:val="6"/>
        </w:rPr>
      </w:pPr>
    </w:p>
    <w:p w14:paraId="526F192F" w14:textId="77777777" w:rsidR="001321B7" w:rsidRPr="00F03080" w:rsidRDefault="001321B7" w:rsidP="00A16ED1">
      <w:pPr>
        <w:spacing w:line="360" w:lineRule="auto"/>
        <w:jc w:val="both"/>
      </w:pPr>
      <w:r w:rsidRPr="00F03080">
        <w:t>A major structural challenge identified was inefficiency in financing, claims processing, coordination, and governance systems. Participants described bureaucratic delays, unclear procedures, and poor financial flows.</w:t>
      </w:r>
    </w:p>
    <w:p w14:paraId="7964E40B" w14:textId="77777777" w:rsidR="00254364" w:rsidRPr="00177155" w:rsidRDefault="00254364" w:rsidP="0060165B">
      <w:pPr>
        <w:spacing w:line="360" w:lineRule="auto"/>
        <w:jc w:val="both"/>
      </w:pPr>
      <w:r w:rsidRPr="00CB29D2">
        <w:t>Indeed</w:t>
      </w:r>
      <w:r>
        <w:t>, during the interviews,</w:t>
      </w:r>
      <w:r w:rsidRPr="00CB29D2">
        <w:t xml:space="preserve"> the participants said,</w:t>
      </w:r>
    </w:p>
    <w:p w14:paraId="7C3ADE08" w14:textId="74AFC53D" w:rsidR="00254364" w:rsidRPr="0060165B" w:rsidRDefault="0060165B" w:rsidP="00585513">
      <w:pPr>
        <w:spacing w:after="0" w:line="360" w:lineRule="auto"/>
        <w:jc w:val="both"/>
        <w:rPr>
          <w:b/>
          <w:sz w:val="22"/>
          <w:szCs w:val="22"/>
        </w:rPr>
      </w:pPr>
      <w:r>
        <w:rPr>
          <w:b/>
          <w:sz w:val="22"/>
          <w:szCs w:val="22"/>
        </w:rPr>
        <w:t>Text 31</w:t>
      </w:r>
    </w:p>
    <w:p w14:paraId="4DA8F862" w14:textId="065BF3D8" w:rsidR="001321B7" w:rsidRDefault="00254364" w:rsidP="00585513">
      <w:pPr>
        <w:spacing w:after="0"/>
        <w:ind w:left="709"/>
        <w:jc w:val="both"/>
      </w:pPr>
      <w:r w:rsidRPr="00F03080">
        <w:t xml:space="preserve"> </w:t>
      </w:r>
      <w:r w:rsidR="001321B7" w:rsidRPr="00F03080">
        <w:t xml:space="preserve">“Reimbursements months late” </w:t>
      </w:r>
    </w:p>
    <w:p w14:paraId="7E6A7EE3" w14:textId="16AEBC9B" w:rsidR="0060165B" w:rsidRPr="0060165B" w:rsidRDefault="0060165B" w:rsidP="00585513">
      <w:pPr>
        <w:spacing w:after="0" w:line="360" w:lineRule="auto"/>
        <w:jc w:val="both"/>
        <w:rPr>
          <w:b/>
          <w:sz w:val="22"/>
          <w:szCs w:val="22"/>
        </w:rPr>
      </w:pPr>
      <w:r>
        <w:rPr>
          <w:b/>
          <w:sz w:val="22"/>
          <w:szCs w:val="22"/>
        </w:rPr>
        <w:t>Text 32</w:t>
      </w:r>
    </w:p>
    <w:p w14:paraId="2CF006F4" w14:textId="7BE205BF" w:rsidR="0060165B" w:rsidRDefault="001321B7" w:rsidP="00585513">
      <w:pPr>
        <w:spacing w:after="0"/>
        <w:ind w:left="709"/>
        <w:jc w:val="both"/>
      </w:pPr>
      <w:r w:rsidRPr="00F03080">
        <w:t xml:space="preserve">“Hospitals going into debt” </w:t>
      </w:r>
    </w:p>
    <w:p w14:paraId="360D07C6" w14:textId="60104971" w:rsidR="0060165B" w:rsidRPr="0060165B" w:rsidRDefault="0060165B" w:rsidP="00585513">
      <w:pPr>
        <w:spacing w:after="0" w:line="360" w:lineRule="auto"/>
        <w:jc w:val="both"/>
        <w:rPr>
          <w:b/>
          <w:sz w:val="22"/>
          <w:szCs w:val="22"/>
        </w:rPr>
      </w:pPr>
      <w:r>
        <w:rPr>
          <w:b/>
          <w:sz w:val="22"/>
          <w:szCs w:val="22"/>
        </w:rPr>
        <w:t>Text 33</w:t>
      </w:r>
    </w:p>
    <w:p w14:paraId="4B2BBE3D" w14:textId="77777777" w:rsidR="001321B7" w:rsidRDefault="001321B7" w:rsidP="00585513">
      <w:pPr>
        <w:spacing w:after="0"/>
        <w:ind w:left="567"/>
        <w:jc w:val="both"/>
      </w:pPr>
      <w:r w:rsidRPr="00F03080">
        <w:t xml:space="preserve">“Delayed payments destabilizing care” </w:t>
      </w:r>
    </w:p>
    <w:p w14:paraId="1AC4A8E3" w14:textId="4AF74EA5" w:rsidR="0060165B" w:rsidRPr="0060165B" w:rsidRDefault="0060165B" w:rsidP="00585513">
      <w:pPr>
        <w:spacing w:after="0" w:line="360" w:lineRule="auto"/>
        <w:jc w:val="both"/>
        <w:rPr>
          <w:b/>
          <w:sz w:val="22"/>
          <w:szCs w:val="22"/>
        </w:rPr>
      </w:pPr>
      <w:r>
        <w:rPr>
          <w:b/>
          <w:sz w:val="22"/>
          <w:szCs w:val="22"/>
        </w:rPr>
        <w:t>Text 34</w:t>
      </w:r>
    </w:p>
    <w:p w14:paraId="0FB2414A" w14:textId="7412F03F" w:rsidR="0060165B" w:rsidRDefault="001321B7" w:rsidP="00585513">
      <w:pPr>
        <w:spacing w:after="0"/>
        <w:ind w:left="426"/>
        <w:jc w:val="both"/>
      </w:pPr>
      <w:r w:rsidRPr="00F03080">
        <w:t xml:space="preserve">“No coordination between agencies” </w:t>
      </w:r>
    </w:p>
    <w:p w14:paraId="24A9586E" w14:textId="301A5BAC" w:rsidR="0060165B" w:rsidRPr="0060165B" w:rsidRDefault="0060165B" w:rsidP="00585513">
      <w:pPr>
        <w:spacing w:after="0" w:line="360" w:lineRule="auto"/>
        <w:jc w:val="both"/>
        <w:rPr>
          <w:b/>
          <w:sz w:val="22"/>
          <w:szCs w:val="22"/>
        </w:rPr>
      </w:pPr>
      <w:r>
        <w:rPr>
          <w:b/>
          <w:sz w:val="22"/>
          <w:szCs w:val="22"/>
        </w:rPr>
        <w:t>Text 35</w:t>
      </w:r>
    </w:p>
    <w:p w14:paraId="12DE8942" w14:textId="77777777" w:rsidR="0060165B" w:rsidRDefault="001321B7" w:rsidP="00585513">
      <w:pPr>
        <w:spacing w:after="0"/>
        <w:ind w:left="709"/>
        <w:jc w:val="both"/>
      </w:pPr>
      <w:r w:rsidRPr="00F03080">
        <w:t>“Claims rejected without reason”</w:t>
      </w:r>
    </w:p>
    <w:p w14:paraId="4AC369FF" w14:textId="50CDAB54" w:rsidR="001321B7" w:rsidRPr="0060165B" w:rsidRDefault="0060165B" w:rsidP="00585513">
      <w:pPr>
        <w:spacing w:after="0" w:line="360" w:lineRule="auto"/>
        <w:jc w:val="both"/>
        <w:rPr>
          <w:b/>
          <w:sz w:val="22"/>
          <w:szCs w:val="22"/>
        </w:rPr>
      </w:pPr>
      <w:r>
        <w:rPr>
          <w:b/>
          <w:sz w:val="22"/>
          <w:szCs w:val="22"/>
        </w:rPr>
        <w:t>Text 36</w:t>
      </w:r>
    </w:p>
    <w:p w14:paraId="45C6357A" w14:textId="77777777" w:rsidR="001321B7" w:rsidRDefault="001321B7" w:rsidP="00585513">
      <w:pPr>
        <w:spacing w:after="0"/>
        <w:ind w:left="567"/>
        <w:jc w:val="both"/>
      </w:pPr>
      <w:r w:rsidRPr="00F03080">
        <w:t xml:space="preserve">“Bureaucracy slowing everything” </w:t>
      </w:r>
    </w:p>
    <w:p w14:paraId="44389034" w14:textId="77777777" w:rsidR="0060165B" w:rsidRDefault="0060165B" w:rsidP="00585513">
      <w:pPr>
        <w:pStyle w:val="ListParagraph"/>
      </w:pPr>
    </w:p>
    <w:p w14:paraId="75CC9337" w14:textId="15DAFCF1" w:rsidR="0060165B" w:rsidRPr="0060165B" w:rsidRDefault="0060165B" w:rsidP="00585513">
      <w:pPr>
        <w:spacing w:after="0" w:line="360" w:lineRule="auto"/>
        <w:jc w:val="both"/>
        <w:rPr>
          <w:b/>
          <w:sz w:val="22"/>
          <w:szCs w:val="22"/>
        </w:rPr>
      </w:pPr>
      <w:r>
        <w:rPr>
          <w:b/>
          <w:sz w:val="22"/>
          <w:szCs w:val="22"/>
        </w:rPr>
        <w:t>Text 37</w:t>
      </w:r>
    </w:p>
    <w:p w14:paraId="5FFE5AFE" w14:textId="77777777" w:rsidR="001321B7" w:rsidRDefault="001321B7" w:rsidP="00585513">
      <w:pPr>
        <w:spacing w:after="0"/>
        <w:ind w:left="567"/>
        <w:jc w:val="both"/>
      </w:pPr>
      <w:r w:rsidRPr="00F03080">
        <w:t xml:space="preserve">“Unclear pre-authorization rules” </w:t>
      </w:r>
    </w:p>
    <w:p w14:paraId="2C5FB3B3" w14:textId="174C7EDE" w:rsidR="0060165B" w:rsidRPr="0060165B" w:rsidRDefault="0060165B" w:rsidP="00585513">
      <w:pPr>
        <w:spacing w:after="0" w:line="360" w:lineRule="auto"/>
        <w:jc w:val="both"/>
        <w:rPr>
          <w:b/>
          <w:sz w:val="22"/>
          <w:szCs w:val="22"/>
        </w:rPr>
      </w:pPr>
      <w:r>
        <w:rPr>
          <w:b/>
          <w:sz w:val="22"/>
          <w:szCs w:val="22"/>
        </w:rPr>
        <w:t>Text 38</w:t>
      </w:r>
    </w:p>
    <w:p w14:paraId="0B36515E" w14:textId="737C9830" w:rsidR="0060165B" w:rsidRDefault="001321B7" w:rsidP="00585513">
      <w:pPr>
        <w:spacing w:after="0"/>
        <w:ind w:left="567"/>
        <w:jc w:val="both"/>
      </w:pPr>
      <w:r w:rsidRPr="00F03080">
        <w:t xml:space="preserve">“No accountability mechanism” </w:t>
      </w:r>
    </w:p>
    <w:p w14:paraId="14A14DE7" w14:textId="16614401" w:rsidR="0060165B" w:rsidRPr="0060165B" w:rsidRDefault="0060165B" w:rsidP="00585513">
      <w:pPr>
        <w:spacing w:after="0" w:line="360" w:lineRule="auto"/>
        <w:jc w:val="both"/>
        <w:rPr>
          <w:b/>
          <w:sz w:val="22"/>
          <w:szCs w:val="22"/>
        </w:rPr>
      </w:pPr>
      <w:r>
        <w:rPr>
          <w:b/>
          <w:sz w:val="22"/>
          <w:szCs w:val="22"/>
        </w:rPr>
        <w:t>Text 39</w:t>
      </w:r>
    </w:p>
    <w:p w14:paraId="586196FB" w14:textId="77777777" w:rsidR="001321B7" w:rsidRPr="00F03080" w:rsidRDefault="001321B7" w:rsidP="00585513">
      <w:pPr>
        <w:spacing w:after="0"/>
        <w:ind w:left="567"/>
        <w:jc w:val="both"/>
      </w:pPr>
      <w:r w:rsidRPr="00F03080">
        <w:t xml:space="preserve">“Chaos in claims processing” </w:t>
      </w:r>
    </w:p>
    <w:p w14:paraId="648171C8" w14:textId="77777777" w:rsidR="005A2812" w:rsidRDefault="005A2812" w:rsidP="00CF1038">
      <w:pPr>
        <w:jc w:val="both"/>
      </w:pPr>
    </w:p>
    <w:p w14:paraId="2A3D99E0" w14:textId="77777777" w:rsidR="00D21131" w:rsidRDefault="0060165B" w:rsidP="005A2812">
      <w:pPr>
        <w:spacing w:line="360" w:lineRule="auto"/>
        <w:jc w:val="both"/>
      </w:pPr>
      <w:r>
        <w:lastRenderedPageBreak/>
        <w:t xml:space="preserve">Overall, the findings demonstrate that weaknesses in financing systems, claims processing procedures, governance structures, and inter-agency coordination represent significant barriers to effective healthcare </w:t>
      </w:r>
      <w:r w:rsidR="00412151">
        <w:t>delivery.</w:t>
      </w:r>
    </w:p>
    <w:p w14:paraId="0C4E7BA2" w14:textId="250E2366" w:rsidR="00585513" w:rsidRPr="00CF1038" w:rsidRDefault="0060165B" w:rsidP="005A2812">
      <w:pPr>
        <w:spacing w:line="360" w:lineRule="auto"/>
        <w:jc w:val="both"/>
      </w:pPr>
      <w:r>
        <w:t>Delayed reimbursements, mounting hospital debts, fragmented coordination, bureaucratic obstacles, and inadequate accountability mechanisms collectively undermine the operational effic</w:t>
      </w:r>
      <w:r w:rsidR="00D21131">
        <w:t xml:space="preserve">iency of healthcare </w:t>
      </w:r>
      <w:r w:rsidR="00A45F34">
        <w:t>facilities. These</w:t>
      </w:r>
      <w:r>
        <w:t xml:space="preserve"> systemic challenges not only affect institutional performance but also have important implications for the accessibility, quality, and sustainability o</w:t>
      </w:r>
      <w:r w:rsidR="00020346">
        <w:t>f healthcare services under the</w:t>
      </w:r>
      <w:r w:rsidR="00020346" w:rsidRPr="00D85C21">
        <w:rPr>
          <w:b/>
        </w:rPr>
        <w:t xml:space="preserve"> </w:t>
      </w:r>
      <w:r w:rsidR="00020346" w:rsidRPr="00020346">
        <w:t>Social Health Authority</w:t>
      </w:r>
      <w:r>
        <w:t xml:space="preserve"> framework.</w:t>
      </w:r>
    </w:p>
    <w:p w14:paraId="147D725A" w14:textId="06265447" w:rsidR="009F7812" w:rsidRPr="00585513" w:rsidRDefault="0060165B" w:rsidP="00CD4D59">
      <w:pPr>
        <w:pStyle w:val="Heading1"/>
        <w:tabs>
          <w:tab w:val="left" w:pos="720"/>
        </w:tabs>
      </w:pPr>
      <w:r w:rsidRPr="00585513">
        <w:t xml:space="preserve">DISCUSSION </w:t>
      </w:r>
    </w:p>
    <w:p w14:paraId="4DC064C5" w14:textId="77777777" w:rsidR="0060165B" w:rsidRPr="00D21131" w:rsidRDefault="0060165B" w:rsidP="00862B03">
      <w:pPr>
        <w:ind w:left="720" w:hanging="720"/>
        <w:jc w:val="both"/>
        <w:rPr>
          <w:b/>
          <w:sz w:val="10"/>
        </w:rPr>
      </w:pPr>
    </w:p>
    <w:p w14:paraId="0D728E04" w14:textId="2BF05BD8" w:rsidR="00B80EDB" w:rsidRPr="00F03080" w:rsidRDefault="00B80EDB" w:rsidP="00CF1038">
      <w:pPr>
        <w:spacing w:line="360" w:lineRule="auto"/>
        <w:jc w:val="both"/>
      </w:pPr>
      <w:r w:rsidRPr="00F03080">
        <w:t>The findings of this study indicate that respondents rated reimbursement mechanisms most positively, followed by strategic purchasing practices and funding adequacy, while financial accountability systems received the lowest ratings. This pattern suggests that although the Social Health Authority (SHA) financing architecture is generally perceived to be functional in terms of fund flow and purchasing arrangements, weaknesses remain in oversight</w:t>
      </w:r>
      <w:r w:rsidR="00830BC1">
        <w:t xml:space="preserve"> and accountability </w:t>
      </w:r>
      <w:r w:rsidR="005D4A4D">
        <w:t>structures.</w:t>
      </w:r>
      <w:r w:rsidR="005D4A4D" w:rsidRPr="00F03080">
        <w:t xml:space="preserve"> These</w:t>
      </w:r>
      <w:r w:rsidRPr="00F03080">
        <w:t xml:space="preserve"> results are consistent with Health Systems Theory, which emphasizes that financing reforms only improve system performance when governance and accoun</w:t>
      </w:r>
      <w:r w:rsidR="00830BC1">
        <w:t>tability mechanisms are strong World Health Organization (</w:t>
      </w:r>
      <w:r w:rsidRPr="00F03080">
        <w:t xml:space="preserve">WHO, 2023). Similarly, Public Finance Theory posits that efficient resource allocation and transparent financial management enhance service delivery efficiency, particularly in public health systems. Empirically, these findings align with Barasa </w:t>
      </w:r>
      <w:r w:rsidRPr="003C25DB">
        <w:rPr>
          <w:i/>
        </w:rPr>
        <w:t>et al.</w:t>
      </w:r>
      <w:r w:rsidRPr="00F03080">
        <w:t xml:space="preserve"> (2021), who observed that while insurance-based financing improves financial access and utilization, weak accountability and delayed reimbursement mechanisms often undermine health system efficiency. The relatively positive perception of reimbursement mechanisms in this study contrasts with earlier NHIF-based evidence of per</w:t>
      </w:r>
      <w:r w:rsidR="003C25DB">
        <w:t>sistent delays (Barasa</w:t>
      </w:r>
      <w:r w:rsidRPr="00F03080">
        <w:t xml:space="preserve"> </w:t>
      </w:r>
      <w:r w:rsidRPr="003C25DB">
        <w:rPr>
          <w:i/>
        </w:rPr>
        <w:t>et al</w:t>
      </w:r>
      <w:r w:rsidRPr="00F03080">
        <w:t xml:space="preserve">., 2021; Mbau </w:t>
      </w:r>
      <w:r w:rsidRPr="003C25DB">
        <w:rPr>
          <w:i/>
        </w:rPr>
        <w:t>et al</w:t>
      </w:r>
      <w:r w:rsidRPr="00F03080">
        <w:t xml:space="preserve">., 2022), suggesting that </w:t>
      </w:r>
      <w:r w:rsidR="0006598B" w:rsidRPr="00D85C21">
        <w:t>the</w:t>
      </w:r>
      <w:r w:rsidR="0006598B" w:rsidRPr="00D85C21">
        <w:rPr>
          <w:b/>
        </w:rPr>
        <w:t xml:space="preserve"> </w:t>
      </w:r>
      <w:r w:rsidR="0006598B" w:rsidRPr="0006598B">
        <w:t>Social Health Authority</w:t>
      </w:r>
      <w:r w:rsidRPr="00F03080">
        <w:t xml:space="preserve"> may be perceived as an </w:t>
      </w:r>
      <w:r w:rsidRPr="00F03080">
        <w:lastRenderedPageBreak/>
        <w:t>improvement in financial flow predictability, though accountability gaps remain a critical concern.</w:t>
      </w:r>
    </w:p>
    <w:p w14:paraId="7EB257FF" w14:textId="46C851AB" w:rsidR="00B80EDB" w:rsidRPr="00F03080" w:rsidRDefault="00B80EDB" w:rsidP="00862B03">
      <w:pPr>
        <w:spacing w:after="100" w:afterAutospacing="1" w:line="360" w:lineRule="auto"/>
        <w:jc w:val="both"/>
      </w:pPr>
      <w:r w:rsidRPr="00F03080">
        <w:t xml:space="preserve">The study further found that respondents expressed generally negative perceptions regarding administrative capacity, coordination mechanisms, and clarity of policy guidelines, while neutrality was common regarding </w:t>
      </w:r>
      <w:r w:rsidR="0006598B" w:rsidRPr="00D85C21">
        <w:t>the</w:t>
      </w:r>
      <w:r w:rsidR="0006598B" w:rsidRPr="00D85C21">
        <w:rPr>
          <w:b/>
        </w:rPr>
        <w:t xml:space="preserve"> </w:t>
      </w:r>
      <w:r w:rsidR="0006598B" w:rsidRPr="0006598B">
        <w:t>Social Health Authority</w:t>
      </w:r>
      <w:r w:rsidRPr="00F03080">
        <w:t xml:space="preserve"> coor</w:t>
      </w:r>
      <w:r w:rsidR="000C33E3">
        <w:t xml:space="preserve">dination with county </w:t>
      </w:r>
      <w:r w:rsidR="00CE0BEB">
        <w:t>hospitals.</w:t>
      </w:r>
      <w:r w:rsidR="00CE0BEB" w:rsidRPr="00F03080">
        <w:t xml:space="preserve"> This</w:t>
      </w:r>
      <w:r w:rsidRPr="00F03080">
        <w:t xml:space="preserve"> reflects uncertainty and inconsistent implementation experiences across facilities. These findings are strongly supported by Cashin </w:t>
      </w:r>
      <w:r w:rsidRPr="003C25DB">
        <w:rPr>
          <w:i/>
        </w:rPr>
        <w:t>et al.</w:t>
      </w:r>
      <w:r w:rsidRPr="00F03080">
        <w:t xml:space="preserve"> (2017), who argue that provider payment reforms only translate into improved service delivery when administrative systems are well al</w:t>
      </w:r>
      <w:r w:rsidR="000C33E3">
        <w:t xml:space="preserve">igned and clearly </w:t>
      </w:r>
      <w:r w:rsidR="00CE0BEB">
        <w:t>communicated.</w:t>
      </w:r>
      <w:r w:rsidR="00CE0BEB" w:rsidRPr="00F03080">
        <w:t xml:space="preserve"> Similarly</w:t>
      </w:r>
      <w:r w:rsidRPr="00F03080">
        <w:t xml:space="preserve">, Mathauer </w:t>
      </w:r>
      <w:r w:rsidRPr="003C25DB">
        <w:rPr>
          <w:i/>
        </w:rPr>
        <w:t>et al.</w:t>
      </w:r>
      <w:r w:rsidRPr="00F03080">
        <w:t xml:space="preserve"> (2021) emphasize that strategic purchasing requires strong institutional capacity and clear operational guidelines to ensure that incentives are effectively transmitted to providers. The observed coordination challenges also mirror findings by Nyawira </w:t>
      </w:r>
      <w:r w:rsidRPr="003C25DB">
        <w:rPr>
          <w:i/>
        </w:rPr>
        <w:t>et al.</w:t>
      </w:r>
      <w:r w:rsidRPr="00F03080">
        <w:t xml:space="preserve"> (2022), who highlight that weak administrative systems in devolved Kenyan health structures contribute to inefficiencies in financing reforms. In the context of </w:t>
      </w:r>
      <w:r w:rsidR="0006598B" w:rsidRPr="00D85C21">
        <w:t>the</w:t>
      </w:r>
      <w:r w:rsidR="0006598B" w:rsidRPr="00D85C21">
        <w:rPr>
          <w:b/>
        </w:rPr>
        <w:t xml:space="preserve"> </w:t>
      </w:r>
      <w:r w:rsidR="0006598B" w:rsidRPr="0006598B">
        <w:t>Social Health Authority</w:t>
      </w:r>
      <w:r w:rsidRPr="00F03080">
        <w:t>, these results suggest that while the structural design of the system is sound in principle, implementation bottlenecks</w:t>
      </w:r>
      <w:r w:rsidR="00232FA8">
        <w:t xml:space="preserve"> </w:t>
      </w:r>
      <w:r w:rsidRPr="00F03080">
        <w:t>particularly at the administrative and coordination levels</w:t>
      </w:r>
      <w:r w:rsidR="00232FA8">
        <w:t xml:space="preserve"> </w:t>
      </w:r>
      <w:r w:rsidRPr="00F03080">
        <w:t>limit its effectiveness at the facility level.</w:t>
      </w:r>
    </w:p>
    <w:p w14:paraId="07410472" w14:textId="77777777" w:rsidR="005D4A4D" w:rsidRDefault="00B80EDB" w:rsidP="00862B03">
      <w:pPr>
        <w:spacing w:after="100" w:afterAutospacing="1" w:line="360" w:lineRule="auto"/>
        <w:jc w:val="both"/>
      </w:pPr>
      <w:r w:rsidRPr="00F03080">
        <w:t xml:space="preserve">The finding that hospital level does not significantly influence resource availability, service quality, patient access, or operational efficiency suggests a relatively uniform experience of SHA implementation across different facility tiers. This implies that systemic factors associated with </w:t>
      </w:r>
      <w:r w:rsidR="0006598B" w:rsidRPr="00D85C21">
        <w:t>the</w:t>
      </w:r>
      <w:r w:rsidR="0006598B" w:rsidRPr="00D85C21">
        <w:rPr>
          <w:b/>
        </w:rPr>
        <w:t xml:space="preserve"> </w:t>
      </w:r>
      <w:r w:rsidR="0006598B" w:rsidRPr="0006598B">
        <w:t>Social Health Authority</w:t>
      </w:r>
      <w:r w:rsidRPr="00F03080">
        <w:t xml:space="preserve"> may be overriding facility-level structural differences, leading to homogeneous outcomes across hospitals. </w:t>
      </w:r>
    </w:p>
    <w:p w14:paraId="23D37971" w14:textId="64544355" w:rsidR="00B80EDB" w:rsidRPr="00F03080" w:rsidRDefault="00B80EDB" w:rsidP="00862B03">
      <w:pPr>
        <w:spacing w:after="100" w:afterAutospacing="1" w:line="360" w:lineRule="auto"/>
        <w:jc w:val="both"/>
      </w:pPr>
      <w:r w:rsidRPr="00F03080">
        <w:t xml:space="preserve">This observation is consistent with WHO (2023), which notes that financing reforms can standardize service delivery conditions when centrally coordinated purchasing mechanisms are applied. However, it also contrasts with earlier studies that show significant variation in service delivery outcomes across facility levels due to </w:t>
      </w:r>
      <w:r w:rsidRPr="00F03080">
        <w:lastRenderedPageBreak/>
        <w:t xml:space="preserve">resource disparities (Barasa </w:t>
      </w:r>
      <w:r w:rsidRPr="00DB7163">
        <w:rPr>
          <w:i/>
        </w:rPr>
        <w:t>et al</w:t>
      </w:r>
      <w:r w:rsidRPr="00F03080">
        <w:t>., 2017). The lack of significant variation in this study may therefore indicate either early-stage uniform constraints in SHA implementation or widespread systemic challenges affecting all facility levels equally.</w:t>
      </w:r>
    </w:p>
    <w:p w14:paraId="1778CF02" w14:textId="77777777" w:rsidR="00D9441C" w:rsidRDefault="00B80EDB" w:rsidP="00997F38">
      <w:pPr>
        <w:spacing w:after="100" w:afterAutospacing="1" w:line="360" w:lineRule="auto"/>
        <w:jc w:val="both"/>
      </w:pPr>
      <w:r w:rsidRPr="00F03080">
        <w:t xml:space="preserve">The qualitative findings provide deeper insight into the quantitative results, revealing widespread concerns about shortages of medicines, equipment, and staff, as well as declining service quality and increased patient dissatisfaction. These findings are strongly supported by Mutua (2013), who identified financial and procurement inefficiencies as major drivers of drug stock-outs in Kenyan hospitals, and by Herrera-Ramirez </w:t>
      </w:r>
      <w:r w:rsidRPr="00DB7163">
        <w:rPr>
          <w:i/>
        </w:rPr>
        <w:t>et al.</w:t>
      </w:r>
      <w:r w:rsidRPr="00F03080">
        <w:t xml:space="preserve"> (2026), who highlight that weak financing and supply chain systems in LMICs lead to persistent medicine shortages. </w:t>
      </w:r>
    </w:p>
    <w:p w14:paraId="652472A2" w14:textId="10AA4C88" w:rsidR="00B80EDB" w:rsidRPr="00F03080" w:rsidRDefault="00B80EDB" w:rsidP="00997F38">
      <w:pPr>
        <w:spacing w:after="100" w:afterAutospacing="1" w:line="360" w:lineRule="auto"/>
        <w:jc w:val="both"/>
      </w:pPr>
      <w:r w:rsidRPr="00F03080">
        <w:t xml:space="preserve">The reported shift of patients toward private facilities due to reduced trust in public health services aligns with Mohamed (2020), who found that perceived quality of care and availability of supplies significantly influence healthcare utilization behavior. Additionally, Barasa </w:t>
      </w:r>
      <w:r w:rsidRPr="00DB7163">
        <w:rPr>
          <w:i/>
        </w:rPr>
        <w:t>et al</w:t>
      </w:r>
      <w:r w:rsidRPr="00F03080">
        <w:t>. (2021) similarly noted that insurance reforms improve utilization only when supply-side readiness is adequate, reinforcing the finding that demand shifts away from public facilities when service quality deteriorates.</w:t>
      </w:r>
    </w:p>
    <w:p w14:paraId="7046B7D9" w14:textId="77777777" w:rsidR="00D9441C" w:rsidRDefault="00B80EDB" w:rsidP="00862B03">
      <w:pPr>
        <w:spacing w:after="100" w:afterAutospacing="1" w:line="360" w:lineRule="auto"/>
        <w:jc w:val="both"/>
      </w:pPr>
      <w:r w:rsidRPr="00F03080">
        <w:t xml:space="preserve">Finally, the study identifies key implementation challenges including delayed reimbursements, weak coordination, unclear guidelines, and systemic inefficiencies. These findings strongly resonate with Cashin </w:t>
      </w:r>
      <w:r w:rsidRPr="00DB7163">
        <w:rPr>
          <w:i/>
        </w:rPr>
        <w:t>et al.</w:t>
      </w:r>
      <w:r w:rsidRPr="00F03080">
        <w:t xml:space="preserve"> (2017) and Mathauer </w:t>
      </w:r>
      <w:r w:rsidRPr="00DB7163">
        <w:rPr>
          <w:i/>
        </w:rPr>
        <w:t>et al</w:t>
      </w:r>
      <w:r w:rsidRPr="00F03080">
        <w:t xml:space="preserve">. (2021), who emphasize that provider payment systems require timely reimbursements and strong institutional alignment to function effectively. They also support Nyawira </w:t>
      </w:r>
      <w:r w:rsidRPr="00DB7163">
        <w:rPr>
          <w:i/>
        </w:rPr>
        <w:t>et al</w:t>
      </w:r>
      <w:r w:rsidRPr="00F03080">
        <w:t xml:space="preserve">. (2022), who highlight that administrative inefficiencies and weak governance structures in Kenyan devolved systems undermine the effectiveness of health financing reforms. </w:t>
      </w:r>
    </w:p>
    <w:p w14:paraId="66772CF6" w14:textId="55F59429" w:rsidR="0098490D" w:rsidRPr="0098490D" w:rsidRDefault="00B80EDB" w:rsidP="0098490D">
      <w:pPr>
        <w:spacing w:after="100" w:afterAutospacing="1" w:line="360" w:lineRule="auto"/>
        <w:jc w:val="both"/>
      </w:pPr>
      <w:r w:rsidRPr="00F03080">
        <w:lastRenderedPageBreak/>
        <w:t xml:space="preserve">Overall, the findings suggest that while </w:t>
      </w:r>
      <w:r w:rsidR="0006598B" w:rsidRPr="00D85C21">
        <w:t>the</w:t>
      </w:r>
      <w:r w:rsidR="0006598B" w:rsidRPr="00D85C21">
        <w:rPr>
          <w:b/>
        </w:rPr>
        <w:t xml:space="preserve"> </w:t>
      </w:r>
      <w:r w:rsidR="0006598B" w:rsidRPr="0006598B">
        <w:t>Social Health Authority</w:t>
      </w:r>
      <w:r w:rsidRPr="00F03080">
        <w:t xml:space="preserve"> represents a structurally progressive reform aligned with global UHC principles (WHO, 2023), its early rollout in Navakholo Sub-County is constrained by implementation challenges that limit its impact on service delivery outcomes. This underscores the gap between policy intent and facility-level realities, reinforcing the need for strengthened administrative capacity, improved coordination, and enhanced accountability mechanisms to realize the intended benefits of </w:t>
      </w:r>
      <w:r w:rsidR="0006598B" w:rsidRPr="00D85C21">
        <w:t>the</w:t>
      </w:r>
      <w:r w:rsidR="0006598B" w:rsidRPr="00D85C21">
        <w:rPr>
          <w:b/>
        </w:rPr>
        <w:t xml:space="preserve"> </w:t>
      </w:r>
      <w:r w:rsidR="0006598B" w:rsidRPr="0006598B">
        <w:t>Social Health Authority</w:t>
      </w:r>
      <w:r w:rsidR="00A85BE4" w:rsidRPr="00F03080">
        <w:t>.</w:t>
      </w:r>
    </w:p>
    <w:p w14:paraId="0504D048" w14:textId="77777777" w:rsidR="0098490D" w:rsidRDefault="0098490D" w:rsidP="0098490D">
      <w:pPr>
        <w:spacing w:line="480" w:lineRule="auto"/>
        <w:jc w:val="both"/>
        <w:rPr>
          <w:b/>
          <w:spacing w:val="-2"/>
        </w:rPr>
      </w:pPr>
      <w:r w:rsidRPr="00733F97">
        <w:rPr>
          <w:b/>
        </w:rPr>
        <w:t>CONCLUSIONS</w:t>
      </w:r>
      <w:r w:rsidRPr="00733F97">
        <w:rPr>
          <w:b/>
          <w:spacing w:val="-12"/>
        </w:rPr>
        <w:t xml:space="preserve"> </w:t>
      </w:r>
      <w:r w:rsidRPr="00733F97">
        <w:rPr>
          <w:b/>
        </w:rPr>
        <w:t>AND</w:t>
      </w:r>
      <w:r w:rsidRPr="00733F97">
        <w:rPr>
          <w:b/>
          <w:spacing w:val="-11"/>
        </w:rPr>
        <w:t xml:space="preserve"> </w:t>
      </w:r>
      <w:r w:rsidRPr="00733F97">
        <w:rPr>
          <w:b/>
          <w:spacing w:val="-2"/>
        </w:rPr>
        <w:t>RECOMMENDATIONS</w:t>
      </w:r>
    </w:p>
    <w:p w14:paraId="24B717C0" w14:textId="77777777" w:rsidR="0098490D" w:rsidRPr="00B7629E" w:rsidRDefault="0098490D" w:rsidP="0098490D">
      <w:pPr>
        <w:spacing w:line="480" w:lineRule="auto"/>
        <w:jc w:val="both"/>
        <w:rPr>
          <w:b/>
          <w:spacing w:val="-2"/>
        </w:rPr>
      </w:pPr>
      <w:r>
        <w:rPr>
          <w:b/>
        </w:rPr>
        <w:t xml:space="preserve"> </w:t>
      </w:r>
      <w:r w:rsidRPr="00733F97">
        <w:rPr>
          <w:b/>
        </w:rPr>
        <w:t>Conclusions</w:t>
      </w:r>
    </w:p>
    <w:p w14:paraId="152F1698" w14:textId="167462C2" w:rsidR="004C296F" w:rsidRPr="004C296F" w:rsidRDefault="004C296F" w:rsidP="0098490D">
      <w:pPr>
        <w:spacing w:line="360" w:lineRule="auto"/>
        <w:jc w:val="both"/>
        <w:rPr>
          <w:rFonts w:eastAsia="Calibri"/>
        </w:rPr>
      </w:pPr>
      <w:r>
        <w:t>The study concludes that the successful implementation and sustainability of the Social Health Authority (SHA) require an integrated approach that goes beyond expanding health insurance coverage to strengthening financial management, digital health systems, governance, legal frameworks, stakeholder participation, institutional capacity, and continuous monitoring and evaluation. Achieving Universal Health Coverage (UHC) depends on coordinated national and county government efforts, evidence-based policymaking, and adaptive implementation strategies that promote efficiency, equity, accountability, and quality healthcare. These findings provide practical, managerial, policy, and theoretical insights that can guide Kenya and other low- and middle-income countries in designing resilient, inclusive, and sustainable health financing systems.</w:t>
      </w:r>
    </w:p>
    <w:p w14:paraId="4B9EB24F" w14:textId="77777777" w:rsidR="0098490D" w:rsidRPr="00CE7DA8" w:rsidRDefault="0098490D" w:rsidP="0098490D"/>
    <w:p w14:paraId="222B5B24" w14:textId="77777777" w:rsidR="0098490D" w:rsidRDefault="0098490D" w:rsidP="0098490D">
      <w:pPr>
        <w:spacing w:line="480" w:lineRule="auto"/>
        <w:jc w:val="both"/>
      </w:pPr>
      <w:r w:rsidRPr="00282F5B">
        <w:rPr>
          <w:b/>
          <w:bCs/>
          <w:color w:val="000000"/>
        </w:rPr>
        <w:t>RECOMMENDATIONS</w:t>
      </w:r>
    </w:p>
    <w:p w14:paraId="745430C4" w14:textId="45FAFF50" w:rsidR="0098490D" w:rsidRPr="00C347B0" w:rsidRDefault="0098490D" w:rsidP="0098490D">
      <w:pPr>
        <w:spacing w:line="480" w:lineRule="auto"/>
        <w:jc w:val="both"/>
      </w:pPr>
      <w:r>
        <w:rPr>
          <w:b/>
          <w:bCs/>
          <w:color w:val="000000"/>
        </w:rPr>
        <w:t>Recommendation f</w:t>
      </w:r>
      <w:r w:rsidRPr="00F90CC0">
        <w:rPr>
          <w:b/>
          <w:bCs/>
          <w:color w:val="000000"/>
        </w:rPr>
        <w:t>or Practice</w:t>
      </w:r>
    </w:p>
    <w:p w14:paraId="11E251FF" w14:textId="20EAE473" w:rsidR="0098490D" w:rsidRPr="004F04D3" w:rsidRDefault="004C296F" w:rsidP="0098490D">
      <w:pPr>
        <w:spacing w:line="360" w:lineRule="auto"/>
        <w:jc w:val="both"/>
      </w:pPr>
      <w:r>
        <w:t xml:space="preserve">Enhancing the effectiveness of the Social Health Authority (SHA) requires integrated reforms that address structural, financial, technological, and governance </w:t>
      </w:r>
      <w:r>
        <w:lastRenderedPageBreak/>
        <w:t>challenges. Priority should be given to strengthening reimbursement systems, digital health infrastructure, inclusive enrolment, stakeholder engagement, legal preparedness, and continuous monitoring and evaluation, while improving coordination among national and county governments and building institutional capacity. These measures will support efficient, equitable, and sustainable implementation of SHA and provide practical guidance for Kenya and other low- and middle-income countries pursuing Universal Health Coverage (UHC) through health financing reforms.</w:t>
      </w:r>
    </w:p>
    <w:p w14:paraId="32705A30" w14:textId="77777777" w:rsidR="0098490D" w:rsidRPr="00C347B0" w:rsidRDefault="0098490D" w:rsidP="0098490D">
      <w:pPr>
        <w:spacing w:line="480" w:lineRule="auto"/>
        <w:jc w:val="both"/>
        <w:rPr>
          <w:b/>
          <w:bCs/>
          <w:color w:val="000000"/>
        </w:rPr>
      </w:pPr>
      <w:r w:rsidRPr="00C347B0">
        <w:rPr>
          <w:b/>
          <w:bCs/>
          <w:color w:val="000000"/>
        </w:rPr>
        <w:t>IMPLICATIONS</w:t>
      </w:r>
    </w:p>
    <w:p w14:paraId="1B409FE8" w14:textId="77777777" w:rsidR="0098490D" w:rsidRPr="00C347B0" w:rsidRDefault="0098490D" w:rsidP="0098490D">
      <w:pPr>
        <w:spacing w:line="480" w:lineRule="auto"/>
        <w:jc w:val="both"/>
      </w:pPr>
      <w:r w:rsidRPr="004C4B14">
        <w:rPr>
          <w:rFonts w:ascii="TimesNewRomanPS-BoldMT" w:hAnsi="TimesNewRomanPS-BoldMT"/>
          <w:b/>
          <w:bCs/>
          <w:color w:val="000000"/>
        </w:rPr>
        <w:t>Policy Implications</w:t>
      </w:r>
    </w:p>
    <w:p w14:paraId="468D6F7B" w14:textId="4B90E388" w:rsidR="0098490D" w:rsidRPr="004C296F" w:rsidRDefault="00314D30" w:rsidP="004C296F">
      <w:pPr>
        <w:spacing w:line="360" w:lineRule="auto"/>
        <w:jc w:val="both"/>
      </w:pPr>
      <w:r>
        <w:t>The findings suggest that the successful implementation and sustainability of the Social Health Authority (SHA) require comprehensive policy reforms that strengthen financial management, digital health infrastructure, inclusive enrolment, governance, stakeholder participation, legal preparedness, and continuous monitoring and evaluation. The study emphasizes the need for coordinated national and county government action, institutional capacity building, and evidence-based policymaking to enhance efficiency, accountability, equity, and service quality. These policy priorities provide valuable guidance for Kenya and other low- and middle-income countries seeking to strengthen health financing systems and accelerate progress towards Universal Health Coverage (UHC).</w:t>
      </w:r>
    </w:p>
    <w:p w14:paraId="3AFA9681" w14:textId="77777777" w:rsidR="0098490D" w:rsidRPr="001C31BA" w:rsidRDefault="0098490D" w:rsidP="0098490D">
      <w:pPr>
        <w:spacing w:line="480" w:lineRule="auto"/>
        <w:jc w:val="both"/>
      </w:pPr>
      <w:r w:rsidRPr="001C31BA">
        <w:rPr>
          <w:b/>
          <w:bCs/>
        </w:rPr>
        <w:t>Managerial Implications</w:t>
      </w:r>
    </w:p>
    <w:p w14:paraId="73F6E068" w14:textId="6E4ADCBA" w:rsidR="0098490D" w:rsidRPr="00314D30" w:rsidRDefault="00314D30" w:rsidP="00314D30">
      <w:pPr>
        <w:spacing w:line="360" w:lineRule="auto"/>
        <w:jc w:val="both"/>
      </w:pPr>
      <w:r>
        <w:t>The findings indicate that the effective implementation of the Social Health Authority (SHA) depends on strong managerial leadership, efficient financial and digital systems, stakeholder collaboration, organizational capacity, and continuous performance improvement. Managers should strengthen financial accountability, enhance digital transformation, promote client-</w:t>
      </w:r>
      <w:r w:rsidR="004C296F">
        <w:t>centered</w:t>
      </w:r>
      <w:r>
        <w:t xml:space="preserve"> service delivery, institutionalize monitoring and evaluation, invest in staff capacity building, foster </w:t>
      </w:r>
      <w:r>
        <w:lastRenderedPageBreak/>
        <w:t>coordination across national and county health systems, and adopt strategic change management practices. These managerial actions will improve operational efficiency, service quality, organizational resilience, and public confidence, thereby supporting the successful implementation of SHA and accelerating progress towards Universal Health Coverage (UHC) in Kenya and other low- and middle-income countries.</w:t>
      </w:r>
    </w:p>
    <w:p w14:paraId="610BF7A1" w14:textId="77777777" w:rsidR="0098490D" w:rsidRPr="00C347B0" w:rsidRDefault="0098490D" w:rsidP="0098490D">
      <w:pPr>
        <w:spacing w:line="480" w:lineRule="auto"/>
        <w:jc w:val="both"/>
      </w:pPr>
      <w:r w:rsidRPr="00633FA5">
        <w:rPr>
          <w:b/>
        </w:rPr>
        <w:t>THEORETICAL IMPLICATIONS</w:t>
      </w:r>
    </w:p>
    <w:p w14:paraId="49E7B533" w14:textId="10D03D16" w:rsidR="0098490D" w:rsidRPr="00AB3C1C" w:rsidRDefault="00314D30" w:rsidP="0098490D">
      <w:pPr>
        <w:spacing w:line="360" w:lineRule="auto"/>
        <w:jc w:val="both"/>
        <w:rPr>
          <w:sz w:val="16"/>
        </w:rPr>
      </w:pPr>
      <w:r>
        <w:t xml:space="preserve">The study extends </w:t>
      </w:r>
      <w:r w:rsidRPr="00314D30">
        <w:t>Health Systems Theory and Public Finance Theory</w:t>
      </w:r>
      <w:r>
        <w:t xml:space="preserve"> by demonstrating that the successful implementation and sustainability of the Social Health Authority (SHA) depend on the integration of financing, governance, digital health infrastructure, institutional capacity, stakeholder participation, and continuous learning. It reinforces Health Systems Theory by emphasizing that health system performance is driven by the interaction of interconnected system components, while extending Public Finance Theory by highlighting that effective public health financing requires not only adequate resource mobilization but also efficient financial management, digital governance, equitable access, institutional accountability, and supportive legal and political environments. Overall, the findings support the complementary application of both theories in explaining and guiding health financing reforms towards achieving Universal Health Coverage (UHC) in Kenya and other low- and middle-income countries.</w:t>
      </w:r>
    </w:p>
    <w:p w14:paraId="591F37DF" w14:textId="77777777" w:rsidR="0098490D" w:rsidRDefault="0098490D" w:rsidP="0098490D">
      <w:pPr>
        <w:spacing w:line="480" w:lineRule="auto"/>
        <w:jc w:val="both"/>
      </w:pPr>
      <w:r w:rsidRPr="005F1D60">
        <w:rPr>
          <w:b/>
        </w:rPr>
        <w:t>Areas</w:t>
      </w:r>
      <w:r w:rsidRPr="005F1D60">
        <w:rPr>
          <w:b/>
          <w:spacing w:val="-9"/>
        </w:rPr>
        <w:t xml:space="preserve"> </w:t>
      </w:r>
      <w:r w:rsidRPr="005F1D60">
        <w:rPr>
          <w:b/>
        </w:rPr>
        <w:t>for</w:t>
      </w:r>
      <w:r w:rsidRPr="005F1D60">
        <w:rPr>
          <w:b/>
          <w:spacing w:val="-11"/>
        </w:rPr>
        <w:t xml:space="preserve"> </w:t>
      </w:r>
      <w:r w:rsidRPr="005F1D60">
        <w:rPr>
          <w:b/>
        </w:rPr>
        <w:t>further</w:t>
      </w:r>
      <w:r w:rsidRPr="005F1D60">
        <w:rPr>
          <w:b/>
          <w:spacing w:val="-10"/>
        </w:rPr>
        <w:t xml:space="preserve"> </w:t>
      </w:r>
      <w:r w:rsidRPr="005F1D60">
        <w:rPr>
          <w:b/>
          <w:spacing w:val="-2"/>
        </w:rPr>
        <w:t>research</w:t>
      </w:r>
    </w:p>
    <w:p w14:paraId="1DAF57C1" w14:textId="77777777" w:rsidR="0098490D" w:rsidRPr="00300C92" w:rsidRDefault="0098490D" w:rsidP="0098490D">
      <w:pPr>
        <w:spacing w:line="360" w:lineRule="auto"/>
        <w:jc w:val="both"/>
      </w:pPr>
      <w:r w:rsidRPr="00300C92">
        <w:t xml:space="preserve">The study examined the influence of financial fiscal policy on women’s economic empowerment in Kakamega County and recommends further research on </w:t>
      </w:r>
      <w:r w:rsidRPr="00300C92">
        <w:rPr>
          <w:rFonts w:eastAsia="Calibri"/>
        </w:rPr>
        <w:t>other factors influencing women’s empowerment</w:t>
      </w:r>
      <w:r w:rsidRPr="00300C92">
        <w:t xml:space="preserve"> beyond fiscal policies. It suggests conducting studies in </w:t>
      </w:r>
      <w:r w:rsidRPr="00300C92">
        <w:rPr>
          <w:rFonts w:eastAsia="Calibri"/>
        </w:rPr>
        <w:t>urban settings</w:t>
      </w:r>
      <w:r w:rsidRPr="00300C92">
        <w:t xml:space="preserve"> to assess how financial fiscal policies affect women in these economically dynamic areas. Additionally, the study calls for a </w:t>
      </w:r>
      <w:r w:rsidRPr="00300C92">
        <w:rPr>
          <w:rFonts w:eastAsia="Calibri"/>
        </w:rPr>
        <w:t>comparative analysis</w:t>
      </w:r>
      <w:r w:rsidRPr="00300C92">
        <w:t xml:space="preserve"> between </w:t>
      </w:r>
      <w:r w:rsidRPr="00300C92">
        <w:rPr>
          <w:rFonts w:eastAsia="Calibri"/>
        </w:rPr>
        <w:t>rural and urban women-headed households</w:t>
      </w:r>
      <w:r w:rsidRPr="00300C92">
        <w:t xml:space="preserve"> to </w:t>
      </w:r>
      <w:r w:rsidRPr="00300C92">
        <w:lastRenderedPageBreak/>
        <w:t>evaluate differences in how financial fiscal policies contribute to their empowerment.</w:t>
      </w:r>
    </w:p>
    <w:p w14:paraId="4D668D24" w14:textId="0FED0C14" w:rsidR="00455D1F" w:rsidRPr="00CD4D59" w:rsidRDefault="00455D1F" w:rsidP="00455D1F">
      <w:pPr>
        <w:pStyle w:val="Bibliography"/>
        <w:rPr>
          <w:b/>
        </w:rPr>
      </w:pPr>
      <w:r w:rsidRPr="00CD4D59">
        <w:rPr>
          <w:b/>
        </w:rPr>
        <w:t>REFERENCES</w:t>
      </w:r>
    </w:p>
    <w:p w14:paraId="2358C4A6" w14:textId="77777777" w:rsidR="00455D1F" w:rsidRDefault="009F7812" w:rsidP="00455D1F">
      <w:pPr>
        <w:pStyle w:val="Bibliography"/>
      </w:pPr>
      <w:r w:rsidRPr="009713BF">
        <w:fldChar w:fldCharType="begin"/>
      </w:r>
      <w:r w:rsidR="005A3C68" w:rsidRPr="009713BF">
        <w:instrText xml:space="preserve"> ADDIN ZOTERO_BIBL {"uncited":[],"omitted":[],"custom":[]} CSL_BIBLIOGRAPHY </w:instrText>
      </w:r>
      <w:r w:rsidRPr="009713BF">
        <w:fldChar w:fldCharType="separate"/>
      </w:r>
      <w:r w:rsidR="00B2259C" w:rsidRPr="009713BF">
        <w:t xml:space="preserve">Barasa, E., Mathauer, I., Kabia, E., Ezumah, N., Mbau, R., Honda, A., Dkhimi, F., Onwujekwe, O., Phuong, H. T., &amp; Hanson, K. (2021). How do healthcare providers respond to multiple funding flows? A conceptual framework and options to align them. </w:t>
      </w:r>
      <w:r w:rsidR="00B2259C" w:rsidRPr="009713BF">
        <w:rPr>
          <w:i/>
          <w:iCs/>
        </w:rPr>
        <w:t>Health Policy and Planning</w:t>
      </w:r>
      <w:r w:rsidR="00B2259C" w:rsidRPr="009713BF">
        <w:t xml:space="preserve">, </w:t>
      </w:r>
      <w:r w:rsidR="00B2259C" w:rsidRPr="009713BF">
        <w:rPr>
          <w:i/>
          <w:iCs/>
        </w:rPr>
        <w:t>36</w:t>
      </w:r>
      <w:r w:rsidR="00455D1F">
        <w:t>(6), 861–868.</w:t>
      </w:r>
    </w:p>
    <w:p w14:paraId="53360FE3" w14:textId="77777777" w:rsidR="00455D1F" w:rsidRDefault="00B2259C" w:rsidP="00455D1F">
      <w:pPr>
        <w:pStyle w:val="Bibliography"/>
      </w:pPr>
      <w:r w:rsidRPr="009713BF">
        <w:t xml:space="preserve">Barasa, E., Musiega, A., Hanson, K., Nyawira, L., Mulwa, A., Molyneux, S., Maina, I., Tsofa, B., Normand, C., &amp; Jemutai, J. (2021). Level and determinants of county health system technical efficiency in Kenya: Two stage data envelopment analysis. </w:t>
      </w:r>
      <w:r w:rsidRPr="009713BF">
        <w:rPr>
          <w:i/>
          <w:iCs/>
        </w:rPr>
        <w:t>Cost Effectiveness and Resource Allocation</w:t>
      </w:r>
      <w:r w:rsidRPr="009713BF">
        <w:t xml:space="preserve">, </w:t>
      </w:r>
      <w:r w:rsidRPr="009713BF">
        <w:rPr>
          <w:i/>
          <w:iCs/>
        </w:rPr>
        <w:t>19</w:t>
      </w:r>
      <w:r w:rsidRPr="009713BF">
        <w:t>(1), 78. https://doi</w:t>
      </w:r>
      <w:r w:rsidR="00455D1F">
        <w:t>.org/10.1186/s12962-021-00332-1</w:t>
      </w:r>
    </w:p>
    <w:p w14:paraId="36DDDDBD" w14:textId="77777777" w:rsidR="00455D1F" w:rsidRDefault="00B2259C" w:rsidP="00455D1F">
      <w:pPr>
        <w:pStyle w:val="Bibliography"/>
      </w:pPr>
      <w:r w:rsidRPr="009713BF">
        <w:t xml:space="preserve">Barasa, E. W., Mwaura, N., Rogo, K., &amp; Andrawes, L. (2017). Extending voluntary health insurance to the informal sector. </w:t>
      </w:r>
      <w:r w:rsidRPr="009713BF">
        <w:rPr>
          <w:i/>
          <w:iCs/>
        </w:rPr>
        <w:t>Population</w:t>
      </w:r>
      <w:r w:rsidRPr="009713BF">
        <w:t>. https://www.academi</w:t>
      </w:r>
      <w:r w:rsidR="00455D1F">
        <w:t>a.edu/download/94807738/pdf.pdf</w:t>
      </w:r>
    </w:p>
    <w:p w14:paraId="6A710645" w14:textId="6988457F" w:rsidR="00455D1F" w:rsidRDefault="00B2259C" w:rsidP="00455D1F">
      <w:pPr>
        <w:pStyle w:val="Bibliography"/>
      </w:pPr>
      <w:r w:rsidRPr="009713BF">
        <w:t xml:space="preserve">Barasa, N. N., &amp; Kadian Wanyama, D. S. C. S. (2025). </w:t>
      </w:r>
      <w:r w:rsidRPr="009713BF">
        <w:rPr>
          <w:i/>
          <w:iCs/>
        </w:rPr>
        <w:t>Influence of Process Alignment on Organization Performance of Public Health Facilities in Busia County, Kenya</w:t>
      </w:r>
      <w:r w:rsidRPr="009713BF">
        <w:t>. https://www.easpublisher.com/media/features_articles/EASJEBM_89_312-</w:t>
      </w:r>
    </w:p>
    <w:p w14:paraId="5C25E5A2" w14:textId="77777777" w:rsidR="00455D1F" w:rsidRDefault="00B2259C" w:rsidP="00455D1F">
      <w:pPr>
        <w:pStyle w:val="Bibliography"/>
      </w:pPr>
      <w:r w:rsidRPr="009713BF">
        <w:t xml:space="preserve">Cashin, C., Bloom, D., Sparkes, S., Barroy, H., Kutzin, J., O’Dougherty, S., &amp; Organization, W. H. (2017). </w:t>
      </w:r>
      <w:r w:rsidRPr="009713BF">
        <w:rPr>
          <w:i/>
          <w:iCs/>
        </w:rPr>
        <w:t>Aligning public financial management and health financing: Sustaining progress toward universal health coverage</w:t>
      </w:r>
      <w:r w:rsidRPr="009713BF">
        <w:t xml:space="preserve">. </w:t>
      </w:r>
      <w:r w:rsidRPr="009713BF">
        <w:lastRenderedPageBreak/>
        <w:t>World Health Organization. https://iris.who.int/bitstream/handle/10665/2</w:t>
      </w:r>
      <w:r w:rsidR="00455D1F">
        <w:t>54680/?sequence=1</w:t>
      </w:r>
    </w:p>
    <w:p w14:paraId="5837056C" w14:textId="77777777" w:rsidR="00455D1F" w:rsidRDefault="00B2259C" w:rsidP="00455D1F">
      <w:pPr>
        <w:pStyle w:val="Bibliography"/>
      </w:pPr>
      <w:r w:rsidRPr="009713BF">
        <w:t xml:space="preserve">Feldhaus, I., &amp; Mathauer, I. (2018). Effects of mixed provider payment systems and aligned cost sharing practices on expenditure growth management, efficiency, and equity: A structured review of the literature. </w:t>
      </w:r>
      <w:r w:rsidRPr="009713BF">
        <w:rPr>
          <w:i/>
          <w:iCs/>
        </w:rPr>
        <w:t>BMC Health Services Research</w:t>
      </w:r>
      <w:r w:rsidRPr="009713BF">
        <w:t xml:space="preserve">, </w:t>
      </w:r>
      <w:r w:rsidRPr="009713BF">
        <w:rPr>
          <w:i/>
          <w:iCs/>
        </w:rPr>
        <w:t>18</w:t>
      </w:r>
      <w:r w:rsidRPr="009713BF">
        <w:t>(1), 996. https://do</w:t>
      </w:r>
      <w:r w:rsidR="00455D1F">
        <w:t>i.org/10.1186/s12913-018-3779-1</w:t>
      </w:r>
    </w:p>
    <w:p w14:paraId="151D4C3E" w14:textId="77777777" w:rsidR="00455D1F" w:rsidRDefault="00B2259C" w:rsidP="00455D1F">
      <w:pPr>
        <w:pStyle w:val="Bibliography"/>
      </w:pPr>
      <w:r w:rsidRPr="009713BF">
        <w:t xml:space="preserve">Gabani, J., Mazumdar, S., &amp; Suhrcke, M. (2023). The effect of health financing systems on health system outcomes: A cross‐country panel analysis. </w:t>
      </w:r>
      <w:r w:rsidRPr="009713BF">
        <w:rPr>
          <w:i/>
          <w:iCs/>
        </w:rPr>
        <w:t>Health Economics</w:t>
      </w:r>
      <w:r w:rsidRPr="009713BF">
        <w:t xml:space="preserve">, </w:t>
      </w:r>
      <w:r w:rsidRPr="009713BF">
        <w:rPr>
          <w:i/>
          <w:iCs/>
        </w:rPr>
        <w:t>32</w:t>
      </w:r>
      <w:r w:rsidRPr="009713BF">
        <w:t>(3), 574–619. https://doi.org/10.</w:t>
      </w:r>
      <w:r w:rsidR="00455D1F">
        <w:t>1002/hec.4635</w:t>
      </w:r>
    </w:p>
    <w:p w14:paraId="2E8081A8" w14:textId="77777777" w:rsidR="00455D1F" w:rsidRDefault="00B2259C" w:rsidP="00455D1F">
      <w:pPr>
        <w:pStyle w:val="Bibliography"/>
      </w:pPr>
      <w:r w:rsidRPr="009713BF">
        <w:t xml:space="preserve">Herrera-Ramirez, I., Orozco-Nuñez, E., Guerra, G., Dreser-Mansilla, A., &amp; Molina-Salazar, R. E. (2026). Access to Essential Medicines in Low-and Middle-Income Countries: A Systematic Review of Barriers and Facilitators. </w:t>
      </w:r>
      <w:r w:rsidRPr="009713BF">
        <w:rPr>
          <w:i/>
          <w:iCs/>
        </w:rPr>
        <w:t>International Journal of Public Health</w:t>
      </w:r>
      <w:r w:rsidRPr="009713BF">
        <w:t xml:space="preserve">, </w:t>
      </w:r>
      <w:r w:rsidRPr="009713BF">
        <w:rPr>
          <w:i/>
          <w:iCs/>
        </w:rPr>
        <w:t>71</w:t>
      </w:r>
      <w:r w:rsidR="00455D1F">
        <w:t>, 1608754.</w:t>
      </w:r>
    </w:p>
    <w:p w14:paraId="24E651DF" w14:textId="77777777" w:rsidR="00455D1F" w:rsidRDefault="00B2259C" w:rsidP="00455D1F">
      <w:pPr>
        <w:pStyle w:val="Bibliography"/>
      </w:pPr>
      <w:r w:rsidRPr="009713BF">
        <w:t xml:space="preserve">Kabia, E., Mbau, R., Oyando, R., Oduor, C., Bigogo, G., Khagayi, S., &amp; Barasa, E. (2019). “We are called the et cetera”: Experiences of the poor with health financing reforms that target them in Kenya. </w:t>
      </w:r>
      <w:r w:rsidRPr="009713BF">
        <w:rPr>
          <w:i/>
          <w:iCs/>
        </w:rPr>
        <w:t>International Journal for Equity in Health</w:t>
      </w:r>
      <w:r w:rsidRPr="009713BF">
        <w:t xml:space="preserve">, </w:t>
      </w:r>
      <w:r w:rsidRPr="009713BF">
        <w:rPr>
          <w:i/>
          <w:iCs/>
        </w:rPr>
        <w:t>18</w:t>
      </w:r>
      <w:r w:rsidRPr="009713BF">
        <w:t>(1), 98. https://do</w:t>
      </w:r>
      <w:r w:rsidR="00455D1F">
        <w:t>i.org/10.1186/s12939-019-1006-2</w:t>
      </w:r>
    </w:p>
    <w:p w14:paraId="7CF86FB1" w14:textId="77777777" w:rsidR="00455D1F" w:rsidRDefault="00B2259C" w:rsidP="00455D1F">
      <w:pPr>
        <w:pStyle w:val="Bibliography"/>
      </w:pPr>
      <w:r w:rsidRPr="009713BF">
        <w:t xml:space="preserve">Kagwanja, N., Oyando, R., Hassan, S., Diallo, B. A., Badjie, J., Lucinde, R., Mumba, N., Kinyanjui, S., Perel, P., &amp; Etyang, A. (2026). Understanding what factors influence community health worker involvement in hypertension service delivery in Kenya: Applying a community health system lens. </w:t>
      </w:r>
      <w:r w:rsidRPr="009713BF">
        <w:rPr>
          <w:i/>
          <w:iCs/>
        </w:rPr>
        <w:t>Health Policy and Planning</w:t>
      </w:r>
      <w:r w:rsidRPr="009713BF">
        <w:t xml:space="preserve">, </w:t>
      </w:r>
      <w:r w:rsidRPr="009713BF">
        <w:rPr>
          <w:i/>
          <w:iCs/>
        </w:rPr>
        <w:t>41</w:t>
      </w:r>
      <w:r w:rsidR="00455D1F">
        <w:t>(4), 627–639.</w:t>
      </w:r>
    </w:p>
    <w:p w14:paraId="2DBAC07A" w14:textId="248824B3" w:rsidR="00455D1F" w:rsidRDefault="00B2259C" w:rsidP="00455D1F">
      <w:pPr>
        <w:pStyle w:val="Bibliography"/>
      </w:pPr>
      <w:r w:rsidRPr="009713BF">
        <w:lastRenderedPageBreak/>
        <w:t xml:space="preserve">Kariuki, N. W., &amp; Koori, J. (2025). </w:t>
      </w:r>
      <w:r w:rsidRPr="009713BF">
        <w:rPr>
          <w:i/>
          <w:iCs/>
        </w:rPr>
        <w:t>Health Insurance Schemes Financing and the Healthcare Insurance Uptake in Kenya</w:t>
      </w:r>
      <w:r w:rsidRPr="009713BF">
        <w:t xml:space="preserve"> [PhD Thesis, Kenyatta University]. https://ir-library.ku.ac.ke/server/api/core/bitstreams/37ba7085-d73b</w:t>
      </w:r>
      <w:r w:rsidR="00455D1F">
        <w:t>-4731-</w:t>
      </w:r>
    </w:p>
    <w:p w14:paraId="1E0E4CA2" w14:textId="2354D696" w:rsidR="00455D1F" w:rsidRDefault="00B2259C" w:rsidP="00455D1F">
      <w:pPr>
        <w:pStyle w:val="Bibliography"/>
      </w:pPr>
      <w:r w:rsidRPr="009713BF">
        <w:t xml:space="preserve">Katsenga, I. D. (2025). </w:t>
      </w:r>
      <w:r w:rsidRPr="009713BF">
        <w:rPr>
          <w:i/>
          <w:iCs/>
        </w:rPr>
        <w:t>Strategy Implementation Practices and Perfomance National Health Insurance Fund, Nairobi City County, Kenya</w:t>
      </w:r>
      <w:r w:rsidRPr="009713BF">
        <w:t xml:space="preserve"> [PhD Thesis, Kenyatta University]. https://ir-library.ku.ac.ke/bitstreams/d6c2b6be</w:t>
      </w:r>
    </w:p>
    <w:p w14:paraId="35A680C6" w14:textId="77777777" w:rsidR="00455D1F" w:rsidRDefault="00B2259C" w:rsidP="00455D1F">
      <w:pPr>
        <w:pStyle w:val="Bibliography"/>
      </w:pPr>
      <w:r w:rsidRPr="009713BF">
        <w:t xml:space="preserve">Kazungu, J. (2025). </w:t>
      </w:r>
      <w:r w:rsidRPr="009713BF">
        <w:rPr>
          <w:i/>
          <w:iCs/>
        </w:rPr>
        <w:t>Whom to buy from: Examining NHIF members’ preferences and the inequities in the distribution of and access to NHIF-contracted facilities in Kenya</w:t>
      </w:r>
      <w:r w:rsidRPr="009713BF">
        <w:t xml:space="preserve"> [PhD Thesis, The Open University].</w:t>
      </w:r>
      <w:r w:rsidR="00455D1F">
        <w:t xml:space="preserve"> https://oro.open.ac.uk/104185/</w:t>
      </w:r>
    </w:p>
    <w:p w14:paraId="6680C1FE" w14:textId="77777777" w:rsidR="00455D1F" w:rsidRDefault="00B2259C" w:rsidP="00455D1F">
      <w:pPr>
        <w:pStyle w:val="Bibliography"/>
      </w:pPr>
      <w:r w:rsidRPr="009713BF">
        <w:t xml:space="preserve">Kutzin, J., Witter, S., Jowett, M., Bayarsaikhan, D., &amp; Organization, W. H. (2017). </w:t>
      </w:r>
      <w:r w:rsidRPr="009713BF">
        <w:rPr>
          <w:i/>
          <w:iCs/>
        </w:rPr>
        <w:t>Developing a national health financing strategy: A reference guide</w:t>
      </w:r>
      <w:r w:rsidRPr="009713BF">
        <w:t>. World Health Organization. https://iris.who.int/bitstream/handle/106</w:t>
      </w:r>
      <w:r w:rsidR="00455D1F">
        <w:t>65/254757/9789241512107-eng.pdf</w:t>
      </w:r>
    </w:p>
    <w:p w14:paraId="0E1524FF" w14:textId="77777777" w:rsidR="00455D1F" w:rsidRDefault="00B2259C" w:rsidP="00455D1F">
      <w:pPr>
        <w:pStyle w:val="Bibliography"/>
      </w:pPr>
      <w:r w:rsidRPr="009713BF">
        <w:t xml:space="preserve">Mbau, R., Musiega, A., Nyawira, L., Tsofa, B., Mulwa, A., Molyneux, S., Maina, I., Jemutai, J., Normand, C., &amp; Hanson, K. (2022). Analysing the efficiency of health systems: A systematic review of the literature. </w:t>
      </w:r>
      <w:r w:rsidRPr="009713BF">
        <w:rPr>
          <w:i/>
          <w:iCs/>
        </w:rPr>
        <w:t>Applied Health Economics and Health Policy</w:t>
      </w:r>
      <w:r w:rsidRPr="009713BF">
        <w:t xml:space="preserve">, </w:t>
      </w:r>
      <w:r w:rsidRPr="009713BF">
        <w:rPr>
          <w:i/>
          <w:iCs/>
        </w:rPr>
        <w:t>21</w:t>
      </w:r>
      <w:r w:rsidR="00455D1F">
        <w:t>(2), 205.</w:t>
      </w:r>
    </w:p>
    <w:p w14:paraId="4EE3A7EB" w14:textId="77777777" w:rsidR="00455D1F" w:rsidRDefault="00B2259C" w:rsidP="00455D1F">
      <w:pPr>
        <w:pStyle w:val="Bibliography"/>
      </w:pPr>
      <w:r w:rsidRPr="009713BF">
        <w:t xml:space="preserve">Ndung’u, H. N. (2025). </w:t>
      </w:r>
      <w:r w:rsidRPr="009713BF">
        <w:rPr>
          <w:i/>
          <w:iCs/>
        </w:rPr>
        <w:t>Entrepreneurial Supply Chain Practices, Healthcare Financing and Performance of Public Hospitals in Kenya</w:t>
      </w:r>
      <w:r w:rsidRPr="009713BF">
        <w:t xml:space="preserve"> [PhD Thesis, </w:t>
      </w:r>
      <w:r w:rsidRPr="009713BF">
        <w:lastRenderedPageBreak/>
        <w:t>UoEm]. https://repository.embuni.ac.ke/items/87226</w:t>
      </w:r>
      <w:r w:rsidR="00455D1F">
        <w:t>e88-f47f-4a8a-8573-f83f5f210074</w:t>
      </w:r>
    </w:p>
    <w:p w14:paraId="51052DB4" w14:textId="77777777" w:rsidR="00455D1F" w:rsidRDefault="00B2259C" w:rsidP="00455D1F">
      <w:pPr>
        <w:pStyle w:val="Bibliography"/>
      </w:pPr>
      <w:r w:rsidRPr="009713BF">
        <w:t xml:space="preserve">Nyawira, L., Tsofa, B., Musiega, A., Munywoki, J., Njuguna, R. G., Hanson, K., Mulwa, A., Molyneux, S., Maina, I., Normand, C., Jemutai, J., &amp; Barasa, E. (2022). Management of human resources for health: Implications for health systems efficiency in Kenya. </w:t>
      </w:r>
      <w:r w:rsidRPr="009713BF">
        <w:rPr>
          <w:i/>
          <w:iCs/>
        </w:rPr>
        <w:t>BMC Health Services Research</w:t>
      </w:r>
      <w:r w:rsidRPr="009713BF">
        <w:t xml:space="preserve">, </w:t>
      </w:r>
      <w:r w:rsidRPr="009713BF">
        <w:rPr>
          <w:i/>
          <w:iCs/>
        </w:rPr>
        <w:t>22</w:t>
      </w:r>
      <w:r w:rsidRPr="009713BF">
        <w:t>(1), 1046. https://doi</w:t>
      </w:r>
      <w:r w:rsidR="00455D1F">
        <w:t>.org/10.1186/s12913-022-08432-1</w:t>
      </w:r>
    </w:p>
    <w:p w14:paraId="16F6CDFE" w14:textId="77777777" w:rsidR="00455D1F" w:rsidRDefault="00B2259C" w:rsidP="00455D1F">
      <w:pPr>
        <w:pStyle w:val="Bibliography"/>
      </w:pPr>
      <w:r w:rsidRPr="009713BF">
        <w:t>O</w:t>
      </w:r>
      <w:r w:rsidR="003A3DE5" w:rsidRPr="009713BF">
        <w:t>gwengo</w:t>
      </w:r>
      <w:r w:rsidRPr="009713BF">
        <w:t xml:space="preserve">, K. O. (2024). </w:t>
      </w:r>
      <w:r w:rsidRPr="009713BF">
        <w:rPr>
          <w:i/>
          <w:iCs/>
        </w:rPr>
        <w:t>S</w:t>
      </w:r>
      <w:r w:rsidR="003A3DE5" w:rsidRPr="009713BF">
        <w:rPr>
          <w:i/>
          <w:iCs/>
        </w:rPr>
        <w:t>trategic</w:t>
      </w:r>
      <w:r w:rsidRPr="009713BF">
        <w:rPr>
          <w:i/>
          <w:iCs/>
        </w:rPr>
        <w:t xml:space="preserve"> I</w:t>
      </w:r>
      <w:r w:rsidR="003A3DE5" w:rsidRPr="009713BF">
        <w:rPr>
          <w:i/>
          <w:iCs/>
        </w:rPr>
        <w:t>nitiatives</w:t>
      </w:r>
      <w:r w:rsidRPr="009713BF">
        <w:rPr>
          <w:i/>
          <w:iCs/>
        </w:rPr>
        <w:t xml:space="preserve"> </w:t>
      </w:r>
      <w:r w:rsidR="003A3DE5" w:rsidRPr="009713BF">
        <w:rPr>
          <w:i/>
          <w:iCs/>
        </w:rPr>
        <w:t>on</w:t>
      </w:r>
      <w:r w:rsidRPr="009713BF">
        <w:rPr>
          <w:i/>
          <w:iCs/>
        </w:rPr>
        <w:t xml:space="preserve"> U</w:t>
      </w:r>
      <w:r w:rsidR="003A3DE5" w:rsidRPr="009713BF">
        <w:rPr>
          <w:i/>
          <w:iCs/>
        </w:rPr>
        <w:t>niversa</w:t>
      </w:r>
      <w:r w:rsidRPr="009713BF">
        <w:rPr>
          <w:i/>
          <w:iCs/>
        </w:rPr>
        <w:t>L H</w:t>
      </w:r>
      <w:r w:rsidR="003A3DE5" w:rsidRPr="009713BF">
        <w:rPr>
          <w:i/>
          <w:iCs/>
        </w:rPr>
        <w:t>ealth</w:t>
      </w:r>
      <w:r w:rsidRPr="009713BF">
        <w:rPr>
          <w:i/>
          <w:iCs/>
        </w:rPr>
        <w:t xml:space="preserve"> C</w:t>
      </w:r>
      <w:r w:rsidR="003A3DE5" w:rsidRPr="009713BF">
        <w:rPr>
          <w:i/>
          <w:iCs/>
        </w:rPr>
        <w:t>overage</w:t>
      </w:r>
      <w:r w:rsidRPr="009713BF">
        <w:rPr>
          <w:i/>
          <w:iCs/>
        </w:rPr>
        <w:t xml:space="preserve"> P</w:t>
      </w:r>
      <w:r w:rsidR="003A3DE5" w:rsidRPr="009713BF">
        <w:rPr>
          <w:i/>
          <w:iCs/>
        </w:rPr>
        <w:t>rogram’s</w:t>
      </w:r>
      <w:r w:rsidRPr="009713BF">
        <w:rPr>
          <w:i/>
          <w:iCs/>
        </w:rPr>
        <w:t xml:space="preserve"> P</w:t>
      </w:r>
      <w:r w:rsidR="003A3DE5" w:rsidRPr="009713BF">
        <w:rPr>
          <w:i/>
          <w:iCs/>
        </w:rPr>
        <w:t>erformance</w:t>
      </w:r>
      <w:r w:rsidRPr="009713BF">
        <w:rPr>
          <w:i/>
          <w:iCs/>
        </w:rPr>
        <w:t xml:space="preserve"> </w:t>
      </w:r>
      <w:r w:rsidR="003A3DE5" w:rsidRPr="009713BF">
        <w:rPr>
          <w:i/>
          <w:iCs/>
        </w:rPr>
        <w:t>in</w:t>
      </w:r>
      <w:r w:rsidRPr="009713BF">
        <w:rPr>
          <w:i/>
          <w:iCs/>
        </w:rPr>
        <w:t xml:space="preserve"> K</w:t>
      </w:r>
      <w:r w:rsidR="003A3DE5" w:rsidRPr="009713BF">
        <w:rPr>
          <w:i/>
          <w:iCs/>
        </w:rPr>
        <w:t>enya</w:t>
      </w:r>
      <w:r w:rsidRPr="009713BF">
        <w:t xml:space="preserve"> [P</w:t>
      </w:r>
      <w:r w:rsidR="00455D1F">
        <w:t>hD Thesis]. Kabarak University.</w:t>
      </w:r>
    </w:p>
    <w:p w14:paraId="105517EE" w14:textId="0B852839" w:rsidR="00455D1F" w:rsidRDefault="00455D1F" w:rsidP="00455D1F">
      <w:pPr>
        <w:pStyle w:val="Bibliography"/>
      </w:pPr>
      <w:r>
        <w:t>World Health Organization.</w:t>
      </w:r>
      <w:r w:rsidR="00B2259C" w:rsidRPr="009713BF">
        <w:t xml:space="preserve"> (2023). </w:t>
      </w:r>
      <w:r w:rsidR="00B2259C" w:rsidRPr="009713BF">
        <w:rPr>
          <w:i/>
          <w:iCs/>
        </w:rPr>
        <w:t>WHO health workforce support and safeguards list 2023</w:t>
      </w:r>
      <w:r w:rsidR="00B2259C" w:rsidRPr="009713BF">
        <w:t>. World Health Organization. https://books.google.com/books?hl=en&amp;lr=&amp;id=34wOEQAAQBAJ&amp;oi=</w:t>
      </w:r>
    </w:p>
    <w:p w14:paraId="3D86F974" w14:textId="77777777" w:rsidR="00455D1F" w:rsidRDefault="00B2259C" w:rsidP="00455D1F">
      <w:pPr>
        <w:pStyle w:val="Bibliography"/>
      </w:pPr>
      <w:r w:rsidRPr="009713BF">
        <w:t>O</w:t>
      </w:r>
      <w:r w:rsidR="00EA78AF" w:rsidRPr="009713BF">
        <w:t>uma</w:t>
      </w:r>
      <w:r w:rsidRPr="009713BF">
        <w:t xml:space="preserve">, B. A. (2024). </w:t>
      </w:r>
      <w:r w:rsidRPr="009713BF">
        <w:rPr>
          <w:i/>
          <w:iCs/>
        </w:rPr>
        <w:t>S</w:t>
      </w:r>
      <w:r w:rsidR="00EA78AF" w:rsidRPr="009713BF">
        <w:rPr>
          <w:i/>
          <w:iCs/>
        </w:rPr>
        <w:t>cience</w:t>
      </w:r>
      <w:r w:rsidRPr="009713BF">
        <w:rPr>
          <w:i/>
          <w:iCs/>
        </w:rPr>
        <w:t xml:space="preserve"> </w:t>
      </w:r>
      <w:r w:rsidR="00EA78AF" w:rsidRPr="009713BF">
        <w:rPr>
          <w:i/>
          <w:iCs/>
        </w:rPr>
        <w:t xml:space="preserve">in </w:t>
      </w:r>
      <w:r w:rsidRPr="009713BF">
        <w:rPr>
          <w:i/>
          <w:iCs/>
        </w:rPr>
        <w:t>C</w:t>
      </w:r>
      <w:r w:rsidR="00EA78AF" w:rsidRPr="009713BF">
        <w:rPr>
          <w:i/>
          <w:iCs/>
        </w:rPr>
        <w:t>ommunity</w:t>
      </w:r>
      <w:r w:rsidRPr="009713BF">
        <w:rPr>
          <w:i/>
          <w:iCs/>
        </w:rPr>
        <w:t xml:space="preserve"> H</w:t>
      </w:r>
      <w:r w:rsidR="00EA78AF" w:rsidRPr="009713BF">
        <w:rPr>
          <w:i/>
          <w:iCs/>
        </w:rPr>
        <w:t>ealth</w:t>
      </w:r>
      <w:r w:rsidRPr="009713BF">
        <w:rPr>
          <w:i/>
          <w:iCs/>
        </w:rPr>
        <w:t xml:space="preserve"> </w:t>
      </w:r>
      <w:r w:rsidR="00EA78AF" w:rsidRPr="009713BF">
        <w:rPr>
          <w:i/>
          <w:iCs/>
        </w:rPr>
        <w:t>and</w:t>
      </w:r>
      <w:r w:rsidRPr="009713BF">
        <w:rPr>
          <w:i/>
          <w:iCs/>
        </w:rPr>
        <w:t xml:space="preserve"> D</w:t>
      </w:r>
      <w:r w:rsidR="00EA78AF" w:rsidRPr="009713BF">
        <w:rPr>
          <w:i/>
          <w:iCs/>
        </w:rPr>
        <w:t>evelopment</w:t>
      </w:r>
      <w:r w:rsidRPr="009713BF">
        <w:t>. https://www.gluk.ac.ke/downloads/Beatrice_Atieno_Ouma_Thesis.pdf</w:t>
      </w:r>
    </w:p>
    <w:p w14:paraId="5FA9674E" w14:textId="77777777" w:rsidR="00455D1F" w:rsidRDefault="00B2259C" w:rsidP="00455D1F">
      <w:pPr>
        <w:pStyle w:val="Bibliography"/>
      </w:pPr>
      <w:r w:rsidRPr="009713BF">
        <w:t xml:space="preserve">Rotich, H. K. (2025). </w:t>
      </w:r>
      <w:r w:rsidRPr="009713BF">
        <w:rPr>
          <w:i/>
          <w:iCs/>
        </w:rPr>
        <w:t>Effect of Strategic Planning Practices on Performance of Selected National Health Insurance Fund Branches in Western Kenya Region</w:t>
      </w:r>
      <w:r w:rsidRPr="009713BF">
        <w:t xml:space="preserve"> [PhD Thesis, Kisii University]. http://repository.kisiiuniversity.ac.ke:8</w:t>
      </w:r>
      <w:r w:rsidR="00455D1F">
        <w:t>080/xmlui/handle/123456789/996</w:t>
      </w:r>
    </w:p>
    <w:p w14:paraId="6075AC0A" w14:textId="22563F6B" w:rsidR="00455D1F" w:rsidRDefault="00B2259C" w:rsidP="00455D1F">
      <w:pPr>
        <w:pStyle w:val="Bibliography"/>
      </w:pPr>
      <w:r w:rsidRPr="009713BF">
        <w:t xml:space="preserve">Wagstaff, A., Eozenou, P., Smitz, M., &amp; Wagstaff, A. (2019). </w:t>
      </w:r>
      <w:r w:rsidRPr="009713BF">
        <w:rPr>
          <w:i/>
          <w:iCs/>
        </w:rPr>
        <w:t>Out-of-pocket expenditures on health: A global stocktake</w:t>
      </w:r>
      <w:r w:rsidRPr="009713BF">
        <w:t>. https://documents1.worldbank.org/curated/en/957021560345728146/pdf/</w:t>
      </w:r>
    </w:p>
    <w:p w14:paraId="45038683" w14:textId="1D55E43C" w:rsidR="00B2259C" w:rsidRPr="009713BF" w:rsidRDefault="00B2259C" w:rsidP="00455D1F">
      <w:pPr>
        <w:pStyle w:val="Bibliography"/>
      </w:pPr>
      <w:r w:rsidRPr="009713BF">
        <w:lastRenderedPageBreak/>
        <w:t xml:space="preserve">Yenet, A., Nibret, G., &amp; Tegegne, B. A. (2023). Challenges to the Availability and Affordability of Essential Medicines in African Countries: A Scoping Review. </w:t>
      </w:r>
      <w:r w:rsidRPr="009713BF">
        <w:rPr>
          <w:i/>
          <w:iCs/>
        </w:rPr>
        <w:t>ClinicoEconomics and Outcomes Research</w:t>
      </w:r>
      <w:r w:rsidRPr="009713BF">
        <w:t xml:space="preserve">, </w:t>
      </w:r>
      <w:r w:rsidRPr="009713BF">
        <w:rPr>
          <w:i/>
          <w:iCs/>
        </w:rPr>
        <w:t>Volume 15</w:t>
      </w:r>
      <w:r w:rsidRPr="009713BF">
        <w:t>, 443–458. https://doi.org/10.2147/CEOR.S413546</w:t>
      </w:r>
    </w:p>
    <w:p w14:paraId="334C27C8" w14:textId="77777777" w:rsidR="009F7812" w:rsidRPr="009713BF" w:rsidRDefault="009F7812" w:rsidP="002C0866">
      <w:pPr>
        <w:spacing w:line="360" w:lineRule="auto"/>
        <w:ind w:left="720" w:hanging="720"/>
        <w:jc w:val="both"/>
      </w:pPr>
      <w:r w:rsidRPr="009713BF">
        <w:fldChar w:fldCharType="end"/>
      </w:r>
    </w:p>
    <w:sectPr w:rsidR="009F7812" w:rsidRPr="009713BF" w:rsidSect="00A50CE8">
      <w:pgSz w:w="12240" w:h="15840"/>
      <w:pgMar w:top="2268" w:right="1418" w:bottom="1418"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B0523" w14:textId="77777777" w:rsidR="00585253" w:rsidRDefault="00585253">
      <w:r>
        <w:separator/>
      </w:r>
    </w:p>
  </w:endnote>
  <w:endnote w:type="continuationSeparator" w:id="0">
    <w:p w14:paraId="14BF8D94" w14:textId="77777777" w:rsidR="00585253" w:rsidRDefault="0058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7734B" w14:textId="77777777" w:rsidR="00585253" w:rsidRDefault="00585253">
      <w:pPr>
        <w:spacing w:after="0"/>
      </w:pPr>
      <w:r>
        <w:separator/>
      </w:r>
    </w:p>
  </w:footnote>
  <w:footnote w:type="continuationSeparator" w:id="0">
    <w:p w14:paraId="228B8AD6" w14:textId="77777777" w:rsidR="00585253" w:rsidRDefault="00585253">
      <w:pPr>
        <w:spacing w:after="0"/>
      </w:pPr>
      <w:r>
        <w:continuationSeparator/>
      </w:r>
    </w:p>
  </w:footnote>
  <w:footnote w:id="1">
    <w:p w14:paraId="7EE54A7A" w14:textId="77777777" w:rsidR="00DF41AA" w:rsidRDefault="00DF41AA">
      <w:pPr>
        <w:pStyle w:val="FootnoteText"/>
      </w:pPr>
      <w:r>
        <w:rPr>
          <w:rStyle w:val="FootnoteReference"/>
        </w:rPr>
        <w:footnoteRef/>
      </w:r>
      <w:r>
        <w:t xml:space="preserve"> Lydiah Abuko  Keya – lydiahkeya@gmail.com, +254 715065969- Corresponding author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D0A54"/>
    <w:multiLevelType w:val="multilevel"/>
    <w:tmpl w:val="C402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D1D02"/>
    <w:multiLevelType w:val="multilevel"/>
    <w:tmpl w:val="066E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5001B"/>
    <w:multiLevelType w:val="multilevel"/>
    <w:tmpl w:val="74F523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BA3632D"/>
    <w:multiLevelType w:val="multilevel"/>
    <w:tmpl w:val="ED7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206FE"/>
    <w:multiLevelType w:val="multilevel"/>
    <w:tmpl w:val="237206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FC138E"/>
    <w:multiLevelType w:val="multilevel"/>
    <w:tmpl w:val="24FC13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2A0253AD"/>
    <w:multiLevelType w:val="multilevel"/>
    <w:tmpl w:val="2A0253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2F7D0709"/>
    <w:multiLevelType w:val="hybridMultilevel"/>
    <w:tmpl w:val="3594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F0B64"/>
    <w:multiLevelType w:val="hybridMultilevel"/>
    <w:tmpl w:val="60E4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C00F2"/>
    <w:multiLevelType w:val="multilevel"/>
    <w:tmpl w:val="D6AA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E2362A"/>
    <w:multiLevelType w:val="multilevel"/>
    <w:tmpl w:val="41E2362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i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3B3DE8"/>
    <w:multiLevelType w:val="hybridMultilevel"/>
    <w:tmpl w:val="65F0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8651F9"/>
    <w:multiLevelType w:val="hybridMultilevel"/>
    <w:tmpl w:val="23B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5A69E7"/>
    <w:multiLevelType w:val="multilevel"/>
    <w:tmpl w:val="665A69E7"/>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4F5233E"/>
    <w:multiLevelType w:val="multilevel"/>
    <w:tmpl w:val="74F523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792715ED"/>
    <w:multiLevelType w:val="hybridMultilevel"/>
    <w:tmpl w:val="D58E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EC502C"/>
    <w:multiLevelType w:val="multilevel"/>
    <w:tmpl w:val="7BEC502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DC9512F"/>
    <w:multiLevelType w:val="multilevel"/>
    <w:tmpl w:val="5CFC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5"/>
  </w:num>
  <w:num w:numId="4">
    <w:abstractNumId w:val="6"/>
  </w:num>
  <w:num w:numId="5">
    <w:abstractNumId w:val="13"/>
  </w:num>
  <w:num w:numId="6">
    <w:abstractNumId w:val="10"/>
  </w:num>
  <w:num w:numId="7">
    <w:abstractNumId w:val="4"/>
  </w:num>
  <w:num w:numId="8">
    <w:abstractNumId w:val="2"/>
  </w:num>
  <w:num w:numId="9">
    <w:abstractNumId w:val="9"/>
  </w:num>
  <w:num w:numId="10">
    <w:abstractNumId w:val="0"/>
  </w:num>
  <w:num w:numId="11">
    <w:abstractNumId w:val="1"/>
  </w:num>
  <w:num w:numId="12">
    <w:abstractNumId w:val="17"/>
  </w:num>
  <w:num w:numId="13">
    <w:abstractNumId w:val="3"/>
  </w:num>
  <w:num w:numId="14">
    <w:abstractNumId w:val="7"/>
  </w:num>
  <w:num w:numId="15">
    <w:abstractNumId w:val="12"/>
  </w:num>
  <w:num w:numId="16">
    <w:abstractNumId w:val="11"/>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CA"/>
    <w:rsid w:val="000004A7"/>
    <w:rsid w:val="00000C3F"/>
    <w:rsid w:val="00005AC0"/>
    <w:rsid w:val="00007330"/>
    <w:rsid w:val="00007EA0"/>
    <w:rsid w:val="00010378"/>
    <w:rsid w:val="000108C4"/>
    <w:rsid w:val="000121E6"/>
    <w:rsid w:val="00015867"/>
    <w:rsid w:val="00015B01"/>
    <w:rsid w:val="00016A5E"/>
    <w:rsid w:val="00017FB0"/>
    <w:rsid w:val="00020346"/>
    <w:rsid w:val="0002050F"/>
    <w:rsid w:val="000224A6"/>
    <w:rsid w:val="00022E56"/>
    <w:rsid w:val="0002452D"/>
    <w:rsid w:val="000253C2"/>
    <w:rsid w:val="00025FB0"/>
    <w:rsid w:val="00027FED"/>
    <w:rsid w:val="00034099"/>
    <w:rsid w:val="00034A30"/>
    <w:rsid w:val="00035141"/>
    <w:rsid w:val="00035201"/>
    <w:rsid w:val="00035865"/>
    <w:rsid w:val="00035B3A"/>
    <w:rsid w:val="00035CA1"/>
    <w:rsid w:val="00036C23"/>
    <w:rsid w:val="00037C2A"/>
    <w:rsid w:val="00040570"/>
    <w:rsid w:val="00040B1C"/>
    <w:rsid w:val="000411F3"/>
    <w:rsid w:val="000415DB"/>
    <w:rsid w:val="0004267C"/>
    <w:rsid w:val="00042A2C"/>
    <w:rsid w:val="00042C5E"/>
    <w:rsid w:val="000441D1"/>
    <w:rsid w:val="000442BF"/>
    <w:rsid w:val="00045EB2"/>
    <w:rsid w:val="00046437"/>
    <w:rsid w:val="00046A80"/>
    <w:rsid w:val="0005041E"/>
    <w:rsid w:val="0005078D"/>
    <w:rsid w:val="000508F3"/>
    <w:rsid w:val="00050A10"/>
    <w:rsid w:val="000526BD"/>
    <w:rsid w:val="00052DFF"/>
    <w:rsid w:val="0005376C"/>
    <w:rsid w:val="000549D1"/>
    <w:rsid w:val="00055272"/>
    <w:rsid w:val="00057A7D"/>
    <w:rsid w:val="00060417"/>
    <w:rsid w:val="00061307"/>
    <w:rsid w:val="0006351F"/>
    <w:rsid w:val="0006389E"/>
    <w:rsid w:val="0006598B"/>
    <w:rsid w:val="00065FB6"/>
    <w:rsid w:val="000701A7"/>
    <w:rsid w:val="00072D1C"/>
    <w:rsid w:val="0007379D"/>
    <w:rsid w:val="00081396"/>
    <w:rsid w:val="000846CF"/>
    <w:rsid w:val="00087A7C"/>
    <w:rsid w:val="000905F8"/>
    <w:rsid w:val="0009195B"/>
    <w:rsid w:val="000944A3"/>
    <w:rsid w:val="00095A67"/>
    <w:rsid w:val="00096A7A"/>
    <w:rsid w:val="00097D53"/>
    <w:rsid w:val="000A0E09"/>
    <w:rsid w:val="000A11C3"/>
    <w:rsid w:val="000A538B"/>
    <w:rsid w:val="000A5B9D"/>
    <w:rsid w:val="000A6BB7"/>
    <w:rsid w:val="000B1717"/>
    <w:rsid w:val="000B19C2"/>
    <w:rsid w:val="000B1CD2"/>
    <w:rsid w:val="000B372F"/>
    <w:rsid w:val="000B3E06"/>
    <w:rsid w:val="000B4389"/>
    <w:rsid w:val="000B7605"/>
    <w:rsid w:val="000B76FE"/>
    <w:rsid w:val="000C1989"/>
    <w:rsid w:val="000C1F48"/>
    <w:rsid w:val="000C220D"/>
    <w:rsid w:val="000C33E3"/>
    <w:rsid w:val="000C3491"/>
    <w:rsid w:val="000C34CE"/>
    <w:rsid w:val="000C53A1"/>
    <w:rsid w:val="000C587C"/>
    <w:rsid w:val="000C6BE0"/>
    <w:rsid w:val="000D0E61"/>
    <w:rsid w:val="000D192F"/>
    <w:rsid w:val="000D2759"/>
    <w:rsid w:val="000D30C5"/>
    <w:rsid w:val="000D3DA3"/>
    <w:rsid w:val="000D5B76"/>
    <w:rsid w:val="000E0C20"/>
    <w:rsid w:val="000E1FA0"/>
    <w:rsid w:val="000E21F8"/>
    <w:rsid w:val="000E30E8"/>
    <w:rsid w:val="000E38D2"/>
    <w:rsid w:val="000E5C06"/>
    <w:rsid w:val="000F1EA3"/>
    <w:rsid w:val="000F4B2A"/>
    <w:rsid w:val="000F5F24"/>
    <w:rsid w:val="001009F8"/>
    <w:rsid w:val="001015E5"/>
    <w:rsid w:val="00105265"/>
    <w:rsid w:val="0010562C"/>
    <w:rsid w:val="00105DBA"/>
    <w:rsid w:val="00107B19"/>
    <w:rsid w:val="00107F5C"/>
    <w:rsid w:val="0011036F"/>
    <w:rsid w:val="0011040D"/>
    <w:rsid w:val="001105D7"/>
    <w:rsid w:val="00111699"/>
    <w:rsid w:val="00111C21"/>
    <w:rsid w:val="00112A02"/>
    <w:rsid w:val="00112C10"/>
    <w:rsid w:val="001142F2"/>
    <w:rsid w:val="00114A4B"/>
    <w:rsid w:val="00117182"/>
    <w:rsid w:val="0012198D"/>
    <w:rsid w:val="00127C8D"/>
    <w:rsid w:val="001311A5"/>
    <w:rsid w:val="001321B7"/>
    <w:rsid w:val="00133A72"/>
    <w:rsid w:val="00135058"/>
    <w:rsid w:val="00135B3E"/>
    <w:rsid w:val="00140944"/>
    <w:rsid w:val="0014425F"/>
    <w:rsid w:val="001517BD"/>
    <w:rsid w:val="0015207F"/>
    <w:rsid w:val="00152F5E"/>
    <w:rsid w:val="00153544"/>
    <w:rsid w:val="001559EB"/>
    <w:rsid w:val="00156F00"/>
    <w:rsid w:val="001571A4"/>
    <w:rsid w:val="00160626"/>
    <w:rsid w:val="001612EF"/>
    <w:rsid w:val="00161C4E"/>
    <w:rsid w:val="0016339F"/>
    <w:rsid w:val="001659B3"/>
    <w:rsid w:val="00166625"/>
    <w:rsid w:val="00170977"/>
    <w:rsid w:val="001710C3"/>
    <w:rsid w:val="001723ED"/>
    <w:rsid w:val="00172A73"/>
    <w:rsid w:val="00176560"/>
    <w:rsid w:val="00176A79"/>
    <w:rsid w:val="00176F5D"/>
    <w:rsid w:val="00177155"/>
    <w:rsid w:val="00177EE8"/>
    <w:rsid w:val="0018131C"/>
    <w:rsid w:val="00182CB3"/>
    <w:rsid w:val="00183B8C"/>
    <w:rsid w:val="00183C84"/>
    <w:rsid w:val="00184D23"/>
    <w:rsid w:val="00185AEC"/>
    <w:rsid w:val="00185D49"/>
    <w:rsid w:val="00185F23"/>
    <w:rsid w:val="00186138"/>
    <w:rsid w:val="00187E30"/>
    <w:rsid w:val="00190611"/>
    <w:rsid w:val="001915C8"/>
    <w:rsid w:val="00193916"/>
    <w:rsid w:val="001939FE"/>
    <w:rsid w:val="001948FC"/>
    <w:rsid w:val="00194EB9"/>
    <w:rsid w:val="00196872"/>
    <w:rsid w:val="001974BD"/>
    <w:rsid w:val="001A13DD"/>
    <w:rsid w:val="001A23E9"/>
    <w:rsid w:val="001A29F5"/>
    <w:rsid w:val="001A3710"/>
    <w:rsid w:val="001A5EFF"/>
    <w:rsid w:val="001A60C9"/>
    <w:rsid w:val="001A7A75"/>
    <w:rsid w:val="001B021C"/>
    <w:rsid w:val="001B0D59"/>
    <w:rsid w:val="001B1035"/>
    <w:rsid w:val="001B145E"/>
    <w:rsid w:val="001B258B"/>
    <w:rsid w:val="001B2B54"/>
    <w:rsid w:val="001B3825"/>
    <w:rsid w:val="001B534A"/>
    <w:rsid w:val="001B6095"/>
    <w:rsid w:val="001B731C"/>
    <w:rsid w:val="001C2029"/>
    <w:rsid w:val="001D0072"/>
    <w:rsid w:val="001D03D2"/>
    <w:rsid w:val="001D1F1A"/>
    <w:rsid w:val="001D55E7"/>
    <w:rsid w:val="001D5FF6"/>
    <w:rsid w:val="001D62CE"/>
    <w:rsid w:val="001D7C6F"/>
    <w:rsid w:val="001E12E8"/>
    <w:rsid w:val="001E3145"/>
    <w:rsid w:val="001E33E0"/>
    <w:rsid w:val="001E3495"/>
    <w:rsid w:val="001E5163"/>
    <w:rsid w:val="001E55E0"/>
    <w:rsid w:val="001E7F9A"/>
    <w:rsid w:val="001F273D"/>
    <w:rsid w:val="001F3582"/>
    <w:rsid w:val="001F4764"/>
    <w:rsid w:val="001F54CC"/>
    <w:rsid w:val="001F5AA1"/>
    <w:rsid w:val="001F69D4"/>
    <w:rsid w:val="001F732B"/>
    <w:rsid w:val="001F7F04"/>
    <w:rsid w:val="00201516"/>
    <w:rsid w:val="002027A6"/>
    <w:rsid w:val="00205843"/>
    <w:rsid w:val="00207AAF"/>
    <w:rsid w:val="00210606"/>
    <w:rsid w:val="0021259C"/>
    <w:rsid w:val="00213E71"/>
    <w:rsid w:val="0021743F"/>
    <w:rsid w:val="00217BF2"/>
    <w:rsid w:val="0022031A"/>
    <w:rsid w:val="0022166D"/>
    <w:rsid w:val="0022205C"/>
    <w:rsid w:val="00222E99"/>
    <w:rsid w:val="002242A1"/>
    <w:rsid w:val="00224798"/>
    <w:rsid w:val="002247FE"/>
    <w:rsid w:val="00226C4F"/>
    <w:rsid w:val="00226D52"/>
    <w:rsid w:val="00227E2A"/>
    <w:rsid w:val="00232FA8"/>
    <w:rsid w:val="00234645"/>
    <w:rsid w:val="00234D0B"/>
    <w:rsid w:val="0023604D"/>
    <w:rsid w:val="00236CA7"/>
    <w:rsid w:val="00241015"/>
    <w:rsid w:val="00241FB0"/>
    <w:rsid w:val="002424D3"/>
    <w:rsid w:val="00243CF0"/>
    <w:rsid w:val="0024501D"/>
    <w:rsid w:val="00245E82"/>
    <w:rsid w:val="0024710C"/>
    <w:rsid w:val="00251DE0"/>
    <w:rsid w:val="00254364"/>
    <w:rsid w:val="002554B0"/>
    <w:rsid w:val="00255699"/>
    <w:rsid w:val="00261CD5"/>
    <w:rsid w:val="002647ED"/>
    <w:rsid w:val="0026531C"/>
    <w:rsid w:val="0026726E"/>
    <w:rsid w:val="00267D50"/>
    <w:rsid w:val="00270ED9"/>
    <w:rsid w:val="002720A7"/>
    <w:rsid w:val="00276F47"/>
    <w:rsid w:val="0028129E"/>
    <w:rsid w:val="002812DF"/>
    <w:rsid w:val="002813AE"/>
    <w:rsid w:val="00281D4A"/>
    <w:rsid w:val="00286E74"/>
    <w:rsid w:val="00287F6C"/>
    <w:rsid w:val="0029153A"/>
    <w:rsid w:val="00291670"/>
    <w:rsid w:val="0029171F"/>
    <w:rsid w:val="00291F68"/>
    <w:rsid w:val="002936F5"/>
    <w:rsid w:val="00294FC1"/>
    <w:rsid w:val="002974D4"/>
    <w:rsid w:val="00297BCD"/>
    <w:rsid w:val="002A1C43"/>
    <w:rsid w:val="002A45DC"/>
    <w:rsid w:val="002A471C"/>
    <w:rsid w:val="002A4DE4"/>
    <w:rsid w:val="002A63FB"/>
    <w:rsid w:val="002A69DD"/>
    <w:rsid w:val="002A72EF"/>
    <w:rsid w:val="002A7F17"/>
    <w:rsid w:val="002B0198"/>
    <w:rsid w:val="002B0D1A"/>
    <w:rsid w:val="002B1DEC"/>
    <w:rsid w:val="002B4377"/>
    <w:rsid w:val="002B4D21"/>
    <w:rsid w:val="002B62F9"/>
    <w:rsid w:val="002B757E"/>
    <w:rsid w:val="002B7D91"/>
    <w:rsid w:val="002C0866"/>
    <w:rsid w:val="002C20E4"/>
    <w:rsid w:val="002C2263"/>
    <w:rsid w:val="002D3B9D"/>
    <w:rsid w:val="002D47EB"/>
    <w:rsid w:val="002D5030"/>
    <w:rsid w:val="002D55A1"/>
    <w:rsid w:val="002D60B9"/>
    <w:rsid w:val="002D73B2"/>
    <w:rsid w:val="002D7947"/>
    <w:rsid w:val="002E148B"/>
    <w:rsid w:val="002E2E05"/>
    <w:rsid w:val="002E40BE"/>
    <w:rsid w:val="002E6847"/>
    <w:rsid w:val="002E6881"/>
    <w:rsid w:val="002F0AB3"/>
    <w:rsid w:val="002F1B30"/>
    <w:rsid w:val="002F50CA"/>
    <w:rsid w:val="00300D7A"/>
    <w:rsid w:val="003023E2"/>
    <w:rsid w:val="003054C7"/>
    <w:rsid w:val="003064EF"/>
    <w:rsid w:val="00306744"/>
    <w:rsid w:val="00306C61"/>
    <w:rsid w:val="00307317"/>
    <w:rsid w:val="00307543"/>
    <w:rsid w:val="00307A65"/>
    <w:rsid w:val="003107A7"/>
    <w:rsid w:val="00311071"/>
    <w:rsid w:val="00311116"/>
    <w:rsid w:val="003114EA"/>
    <w:rsid w:val="00311E78"/>
    <w:rsid w:val="003126A0"/>
    <w:rsid w:val="00312C0E"/>
    <w:rsid w:val="00314746"/>
    <w:rsid w:val="00314D30"/>
    <w:rsid w:val="00314FAA"/>
    <w:rsid w:val="00317417"/>
    <w:rsid w:val="00321A3F"/>
    <w:rsid w:val="00321AB0"/>
    <w:rsid w:val="00324221"/>
    <w:rsid w:val="0033036F"/>
    <w:rsid w:val="003308FE"/>
    <w:rsid w:val="00330B9F"/>
    <w:rsid w:val="0033208F"/>
    <w:rsid w:val="003322A6"/>
    <w:rsid w:val="0033441C"/>
    <w:rsid w:val="003362BA"/>
    <w:rsid w:val="00336837"/>
    <w:rsid w:val="00337680"/>
    <w:rsid w:val="003414B5"/>
    <w:rsid w:val="00344301"/>
    <w:rsid w:val="00345402"/>
    <w:rsid w:val="003465DB"/>
    <w:rsid w:val="00346AFF"/>
    <w:rsid w:val="00346B21"/>
    <w:rsid w:val="00347B30"/>
    <w:rsid w:val="00350F54"/>
    <w:rsid w:val="00352C66"/>
    <w:rsid w:val="0035623E"/>
    <w:rsid w:val="00357219"/>
    <w:rsid w:val="00361910"/>
    <w:rsid w:val="00361D2D"/>
    <w:rsid w:val="00362573"/>
    <w:rsid w:val="003634F4"/>
    <w:rsid w:val="003643D5"/>
    <w:rsid w:val="0036514F"/>
    <w:rsid w:val="00365188"/>
    <w:rsid w:val="00365665"/>
    <w:rsid w:val="00365B38"/>
    <w:rsid w:val="00365C2F"/>
    <w:rsid w:val="00367FF9"/>
    <w:rsid w:val="003705D6"/>
    <w:rsid w:val="0037065F"/>
    <w:rsid w:val="00370F2D"/>
    <w:rsid w:val="00372363"/>
    <w:rsid w:val="00372C3B"/>
    <w:rsid w:val="00374B9D"/>
    <w:rsid w:val="00375889"/>
    <w:rsid w:val="003760DB"/>
    <w:rsid w:val="003761D8"/>
    <w:rsid w:val="00376FA4"/>
    <w:rsid w:val="00380AA9"/>
    <w:rsid w:val="00386B8E"/>
    <w:rsid w:val="0038704F"/>
    <w:rsid w:val="00390134"/>
    <w:rsid w:val="00390C92"/>
    <w:rsid w:val="00392B6D"/>
    <w:rsid w:val="00395FD6"/>
    <w:rsid w:val="0039733A"/>
    <w:rsid w:val="003977D6"/>
    <w:rsid w:val="003A1B25"/>
    <w:rsid w:val="003A3DE5"/>
    <w:rsid w:val="003A3FA3"/>
    <w:rsid w:val="003A504B"/>
    <w:rsid w:val="003A63A5"/>
    <w:rsid w:val="003B20F8"/>
    <w:rsid w:val="003B4F0B"/>
    <w:rsid w:val="003B55ED"/>
    <w:rsid w:val="003B58FD"/>
    <w:rsid w:val="003B7051"/>
    <w:rsid w:val="003B7AD6"/>
    <w:rsid w:val="003B7B0A"/>
    <w:rsid w:val="003C23C9"/>
    <w:rsid w:val="003C25DB"/>
    <w:rsid w:val="003C3210"/>
    <w:rsid w:val="003C3495"/>
    <w:rsid w:val="003D05C9"/>
    <w:rsid w:val="003D062D"/>
    <w:rsid w:val="003D3114"/>
    <w:rsid w:val="003D3319"/>
    <w:rsid w:val="003D40D8"/>
    <w:rsid w:val="003D5010"/>
    <w:rsid w:val="003D618B"/>
    <w:rsid w:val="003D62C5"/>
    <w:rsid w:val="003D7A65"/>
    <w:rsid w:val="003E0738"/>
    <w:rsid w:val="003E1D7C"/>
    <w:rsid w:val="003E3DD5"/>
    <w:rsid w:val="003E4472"/>
    <w:rsid w:val="003E53BF"/>
    <w:rsid w:val="003E5CE4"/>
    <w:rsid w:val="003E6019"/>
    <w:rsid w:val="003E70B2"/>
    <w:rsid w:val="003E70F7"/>
    <w:rsid w:val="003E7B89"/>
    <w:rsid w:val="003F2636"/>
    <w:rsid w:val="003F513F"/>
    <w:rsid w:val="003F56D5"/>
    <w:rsid w:val="003F6ACB"/>
    <w:rsid w:val="003F6E0B"/>
    <w:rsid w:val="003F7039"/>
    <w:rsid w:val="00405552"/>
    <w:rsid w:val="0040564C"/>
    <w:rsid w:val="004065FA"/>
    <w:rsid w:val="004066C4"/>
    <w:rsid w:val="00406B2D"/>
    <w:rsid w:val="00406D62"/>
    <w:rsid w:val="00407D9B"/>
    <w:rsid w:val="00411676"/>
    <w:rsid w:val="00412151"/>
    <w:rsid w:val="00412FAC"/>
    <w:rsid w:val="00413959"/>
    <w:rsid w:val="00414128"/>
    <w:rsid w:val="0041475A"/>
    <w:rsid w:val="00414BD1"/>
    <w:rsid w:val="004153B8"/>
    <w:rsid w:val="00416DAB"/>
    <w:rsid w:val="00420ADA"/>
    <w:rsid w:val="00420FE4"/>
    <w:rsid w:val="00423517"/>
    <w:rsid w:val="00423540"/>
    <w:rsid w:val="00425004"/>
    <w:rsid w:val="00425445"/>
    <w:rsid w:val="004304C3"/>
    <w:rsid w:val="00432BD2"/>
    <w:rsid w:val="004340FF"/>
    <w:rsid w:val="00434264"/>
    <w:rsid w:val="004343E9"/>
    <w:rsid w:val="0043537D"/>
    <w:rsid w:val="0043605B"/>
    <w:rsid w:val="004405A0"/>
    <w:rsid w:val="00440A8C"/>
    <w:rsid w:val="00440C54"/>
    <w:rsid w:val="00442971"/>
    <w:rsid w:val="0044339E"/>
    <w:rsid w:val="00443D35"/>
    <w:rsid w:val="00443EE8"/>
    <w:rsid w:val="00444F7A"/>
    <w:rsid w:val="00445B08"/>
    <w:rsid w:val="00450AB5"/>
    <w:rsid w:val="00451748"/>
    <w:rsid w:val="00453BB6"/>
    <w:rsid w:val="00455D1F"/>
    <w:rsid w:val="00456288"/>
    <w:rsid w:val="004602AB"/>
    <w:rsid w:val="00461E16"/>
    <w:rsid w:val="00461FD0"/>
    <w:rsid w:val="00462089"/>
    <w:rsid w:val="00464036"/>
    <w:rsid w:val="00464418"/>
    <w:rsid w:val="00464C83"/>
    <w:rsid w:val="004659D0"/>
    <w:rsid w:val="004662DE"/>
    <w:rsid w:val="0047031F"/>
    <w:rsid w:val="00471035"/>
    <w:rsid w:val="0047182E"/>
    <w:rsid w:val="004757AC"/>
    <w:rsid w:val="00477CE9"/>
    <w:rsid w:val="00480DEC"/>
    <w:rsid w:val="004810FA"/>
    <w:rsid w:val="00481E74"/>
    <w:rsid w:val="004831CB"/>
    <w:rsid w:val="00483264"/>
    <w:rsid w:val="0048340B"/>
    <w:rsid w:val="004848A3"/>
    <w:rsid w:val="00487793"/>
    <w:rsid w:val="004902D0"/>
    <w:rsid w:val="004917F5"/>
    <w:rsid w:val="00491CDF"/>
    <w:rsid w:val="00492226"/>
    <w:rsid w:val="004947DF"/>
    <w:rsid w:val="00494C12"/>
    <w:rsid w:val="004976A1"/>
    <w:rsid w:val="004A0BAC"/>
    <w:rsid w:val="004A3E82"/>
    <w:rsid w:val="004A55C8"/>
    <w:rsid w:val="004A7F20"/>
    <w:rsid w:val="004B380D"/>
    <w:rsid w:val="004B46E4"/>
    <w:rsid w:val="004B510C"/>
    <w:rsid w:val="004B6126"/>
    <w:rsid w:val="004C09BC"/>
    <w:rsid w:val="004C15B3"/>
    <w:rsid w:val="004C16BA"/>
    <w:rsid w:val="004C296F"/>
    <w:rsid w:val="004C41EC"/>
    <w:rsid w:val="004C43A2"/>
    <w:rsid w:val="004C5D5D"/>
    <w:rsid w:val="004C7B27"/>
    <w:rsid w:val="004D1AD4"/>
    <w:rsid w:val="004D2694"/>
    <w:rsid w:val="004D287D"/>
    <w:rsid w:val="004D3391"/>
    <w:rsid w:val="004E142A"/>
    <w:rsid w:val="004E21B1"/>
    <w:rsid w:val="004E26EC"/>
    <w:rsid w:val="004E29E1"/>
    <w:rsid w:val="004E2F32"/>
    <w:rsid w:val="004E3BD5"/>
    <w:rsid w:val="004E5313"/>
    <w:rsid w:val="004E6775"/>
    <w:rsid w:val="004F2AD4"/>
    <w:rsid w:val="004F36D8"/>
    <w:rsid w:val="004F3F6B"/>
    <w:rsid w:val="004F4224"/>
    <w:rsid w:val="004F5ADE"/>
    <w:rsid w:val="004F5C7F"/>
    <w:rsid w:val="004F61BA"/>
    <w:rsid w:val="004F6719"/>
    <w:rsid w:val="004F678C"/>
    <w:rsid w:val="0050150F"/>
    <w:rsid w:val="005057D0"/>
    <w:rsid w:val="00506735"/>
    <w:rsid w:val="005069FD"/>
    <w:rsid w:val="00507760"/>
    <w:rsid w:val="005077E0"/>
    <w:rsid w:val="0051151C"/>
    <w:rsid w:val="00514289"/>
    <w:rsid w:val="00514344"/>
    <w:rsid w:val="005144BA"/>
    <w:rsid w:val="005148E0"/>
    <w:rsid w:val="00516A10"/>
    <w:rsid w:val="00517976"/>
    <w:rsid w:val="005252A6"/>
    <w:rsid w:val="00526A6F"/>
    <w:rsid w:val="0052716E"/>
    <w:rsid w:val="0053066E"/>
    <w:rsid w:val="00530C50"/>
    <w:rsid w:val="005335B5"/>
    <w:rsid w:val="005335CC"/>
    <w:rsid w:val="00535756"/>
    <w:rsid w:val="005370F8"/>
    <w:rsid w:val="00540E24"/>
    <w:rsid w:val="00542670"/>
    <w:rsid w:val="005430D3"/>
    <w:rsid w:val="00544667"/>
    <w:rsid w:val="00547D65"/>
    <w:rsid w:val="00551559"/>
    <w:rsid w:val="00551E80"/>
    <w:rsid w:val="00552751"/>
    <w:rsid w:val="005539F9"/>
    <w:rsid w:val="00556A18"/>
    <w:rsid w:val="0056082A"/>
    <w:rsid w:val="00563398"/>
    <w:rsid w:val="00563998"/>
    <w:rsid w:val="00566557"/>
    <w:rsid w:val="00566C11"/>
    <w:rsid w:val="00571F9E"/>
    <w:rsid w:val="00573502"/>
    <w:rsid w:val="00574296"/>
    <w:rsid w:val="00574385"/>
    <w:rsid w:val="005745CC"/>
    <w:rsid w:val="00574D40"/>
    <w:rsid w:val="00575BC8"/>
    <w:rsid w:val="00581354"/>
    <w:rsid w:val="00581686"/>
    <w:rsid w:val="0058183F"/>
    <w:rsid w:val="005830BB"/>
    <w:rsid w:val="00583CC4"/>
    <w:rsid w:val="005844A0"/>
    <w:rsid w:val="00585253"/>
    <w:rsid w:val="005854E8"/>
    <w:rsid w:val="00585513"/>
    <w:rsid w:val="00585755"/>
    <w:rsid w:val="00585940"/>
    <w:rsid w:val="00590236"/>
    <w:rsid w:val="005913D6"/>
    <w:rsid w:val="00592283"/>
    <w:rsid w:val="005959AC"/>
    <w:rsid w:val="00595B89"/>
    <w:rsid w:val="005A172E"/>
    <w:rsid w:val="005A1DF1"/>
    <w:rsid w:val="005A21CD"/>
    <w:rsid w:val="005A2812"/>
    <w:rsid w:val="005A3627"/>
    <w:rsid w:val="005A3C68"/>
    <w:rsid w:val="005A50C3"/>
    <w:rsid w:val="005A6DAD"/>
    <w:rsid w:val="005A7526"/>
    <w:rsid w:val="005B0D25"/>
    <w:rsid w:val="005B12B6"/>
    <w:rsid w:val="005B3AB0"/>
    <w:rsid w:val="005B3E8C"/>
    <w:rsid w:val="005B4B96"/>
    <w:rsid w:val="005B506F"/>
    <w:rsid w:val="005B563C"/>
    <w:rsid w:val="005C03C2"/>
    <w:rsid w:val="005C0C99"/>
    <w:rsid w:val="005C1346"/>
    <w:rsid w:val="005C322C"/>
    <w:rsid w:val="005C34EE"/>
    <w:rsid w:val="005C4D28"/>
    <w:rsid w:val="005C4E33"/>
    <w:rsid w:val="005C5009"/>
    <w:rsid w:val="005C53BD"/>
    <w:rsid w:val="005C638C"/>
    <w:rsid w:val="005C76E4"/>
    <w:rsid w:val="005D2C78"/>
    <w:rsid w:val="005D34E6"/>
    <w:rsid w:val="005D4A4D"/>
    <w:rsid w:val="005D56DB"/>
    <w:rsid w:val="005E14F4"/>
    <w:rsid w:val="005E16C6"/>
    <w:rsid w:val="005E3634"/>
    <w:rsid w:val="005E46F6"/>
    <w:rsid w:val="005E4ABC"/>
    <w:rsid w:val="005E5B94"/>
    <w:rsid w:val="005E5DC6"/>
    <w:rsid w:val="005E6204"/>
    <w:rsid w:val="005E763E"/>
    <w:rsid w:val="005F4640"/>
    <w:rsid w:val="005F7940"/>
    <w:rsid w:val="0060165B"/>
    <w:rsid w:val="006026DF"/>
    <w:rsid w:val="00602F7B"/>
    <w:rsid w:val="0060325A"/>
    <w:rsid w:val="006040B9"/>
    <w:rsid w:val="00604DFB"/>
    <w:rsid w:val="0060526A"/>
    <w:rsid w:val="006061BE"/>
    <w:rsid w:val="0060759E"/>
    <w:rsid w:val="00610D20"/>
    <w:rsid w:val="006115CD"/>
    <w:rsid w:val="00613720"/>
    <w:rsid w:val="00613B1A"/>
    <w:rsid w:val="00613E38"/>
    <w:rsid w:val="00613F62"/>
    <w:rsid w:val="006156B6"/>
    <w:rsid w:val="006156DF"/>
    <w:rsid w:val="00617082"/>
    <w:rsid w:val="00622524"/>
    <w:rsid w:val="006231CE"/>
    <w:rsid w:val="006239AC"/>
    <w:rsid w:val="00623D8E"/>
    <w:rsid w:val="00625E95"/>
    <w:rsid w:val="00631EE7"/>
    <w:rsid w:val="006346F1"/>
    <w:rsid w:val="00637784"/>
    <w:rsid w:val="0063789D"/>
    <w:rsid w:val="00637CFB"/>
    <w:rsid w:val="006403A2"/>
    <w:rsid w:val="00640B77"/>
    <w:rsid w:val="00645E09"/>
    <w:rsid w:val="00647C6F"/>
    <w:rsid w:val="00651039"/>
    <w:rsid w:val="0065159E"/>
    <w:rsid w:val="00651A45"/>
    <w:rsid w:val="00654A89"/>
    <w:rsid w:val="00657550"/>
    <w:rsid w:val="00660BD5"/>
    <w:rsid w:val="006624ED"/>
    <w:rsid w:val="00663B25"/>
    <w:rsid w:val="00664A4C"/>
    <w:rsid w:val="0066508D"/>
    <w:rsid w:val="0066581D"/>
    <w:rsid w:val="00666858"/>
    <w:rsid w:val="0067355E"/>
    <w:rsid w:val="00673BBF"/>
    <w:rsid w:val="00673D34"/>
    <w:rsid w:val="0067649E"/>
    <w:rsid w:val="00677060"/>
    <w:rsid w:val="00680CEF"/>
    <w:rsid w:val="00681722"/>
    <w:rsid w:val="0068368C"/>
    <w:rsid w:val="006879FA"/>
    <w:rsid w:val="00690162"/>
    <w:rsid w:val="00693CBB"/>
    <w:rsid w:val="00693EB8"/>
    <w:rsid w:val="006A0732"/>
    <w:rsid w:val="006A0B12"/>
    <w:rsid w:val="006A15E5"/>
    <w:rsid w:val="006A21A6"/>
    <w:rsid w:val="006A4111"/>
    <w:rsid w:val="006A674B"/>
    <w:rsid w:val="006A712E"/>
    <w:rsid w:val="006A722C"/>
    <w:rsid w:val="006B08B2"/>
    <w:rsid w:val="006B18F6"/>
    <w:rsid w:val="006B1A6F"/>
    <w:rsid w:val="006B1EA2"/>
    <w:rsid w:val="006B333B"/>
    <w:rsid w:val="006B4397"/>
    <w:rsid w:val="006B4553"/>
    <w:rsid w:val="006B76C1"/>
    <w:rsid w:val="006C1010"/>
    <w:rsid w:val="006C2221"/>
    <w:rsid w:val="006C2CC0"/>
    <w:rsid w:val="006C2D82"/>
    <w:rsid w:val="006C322A"/>
    <w:rsid w:val="006C327C"/>
    <w:rsid w:val="006C35C8"/>
    <w:rsid w:val="006C363E"/>
    <w:rsid w:val="006C4C2B"/>
    <w:rsid w:val="006C57A2"/>
    <w:rsid w:val="006D0598"/>
    <w:rsid w:val="006D0B1C"/>
    <w:rsid w:val="006D1207"/>
    <w:rsid w:val="006D44BD"/>
    <w:rsid w:val="006D4890"/>
    <w:rsid w:val="006D493D"/>
    <w:rsid w:val="006D5B0F"/>
    <w:rsid w:val="006D5B2F"/>
    <w:rsid w:val="006D61AA"/>
    <w:rsid w:val="006D75A5"/>
    <w:rsid w:val="006E0B00"/>
    <w:rsid w:val="006E3845"/>
    <w:rsid w:val="006E462A"/>
    <w:rsid w:val="006E5226"/>
    <w:rsid w:val="006E5AD6"/>
    <w:rsid w:val="006E79C1"/>
    <w:rsid w:val="006E7F79"/>
    <w:rsid w:val="006F08CF"/>
    <w:rsid w:val="006F1F78"/>
    <w:rsid w:val="006F20AF"/>
    <w:rsid w:val="006F3007"/>
    <w:rsid w:val="006F4486"/>
    <w:rsid w:val="006F60F3"/>
    <w:rsid w:val="006F63FB"/>
    <w:rsid w:val="006F6635"/>
    <w:rsid w:val="006F7E24"/>
    <w:rsid w:val="006F7FA4"/>
    <w:rsid w:val="00700776"/>
    <w:rsid w:val="007024DF"/>
    <w:rsid w:val="0070585A"/>
    <w:rsid w:val="00706E9E"/>
    <w:rsid w:val="007078EE"/>
    <w:rsid w:val="00711BB0"/>
    <w:rsid w:val="00712CBE"/>
    <w:rsid w:val="00712EA1"/>
    <w:rsid w:val="00713512"/>
    <w:rsid w:val="0071471D"/>
    <w:rsid w:val="007147AB"/>
    <w:rsid w:val="00714C79"/>
    <w:rsid w:val="00715413"/>
    <w:rsid w:val="00716934"/>
    <w:rsid w:val="00720582"/>
    <w:rsid w:val="00721983"/>
    <w:rsid w:val="00722625"/>
    <w:rsid w:val="007230F0"/>
    <w:rsid w:val="00723B24"/>
    <w:rsid w:val="00725D44"/>
    <w:rsid w:val="007274B5"/>
    <w:rsid w:val="00732732"/>
    <w:rsid w:val="00732FA6"/>
    <w:rsid w:val="007335B7"/>
    <w:rsid w:val="007341CC"/>
    <w:rsid w:val="00734770"/>
    <w:rsid w:val="00734E29"/>
    <w:rsid w:val="00734F5E"/>
    <w:rsid w:val="00735064"/>
    <w:rsid w:val="0073780D"/>
    <w:rsid w:val="00737CCA"/>
    <w:rsid w:val="00737FBF"/>
    <w:rsid w:val="0074231E"/>
    <w:rsid w:val="00742E48"/>
    <w:rsid w:val="00742F62"/>
    <w:rsid w:val="0074408F"/>
    <w:rsid w:val="007441B5"/>
    <w:rsid w:val="0074427F"/>
    <w:rsid w:val="00747190"/>
    <w:rsid w:val="00747B1D"/>
    <w:rsid w:val="00750FB0"/>
    <w:rsid w:val="007547A9"/>
    <w:rsid w:val="00757669"/>
    <w:rsid w:val="00760FE0"/>
    <w:rsid w:val="00761D46"/>
    <w:rsid w:val="0076205B"/>
    <w:rsid w:val="007634EC"/>
    <w:rsid w:val="007641FD"/>
    <w:rsid w:val="007644B5"/>
    <w:rsid w:val="007654FC"/>
    <w:rsid w:val="007657C5"/>
    <w:rsid w:val="00766900"/>
    <w:rsid w:val="00771D1C"/>
    <w:rsid w:val="00774588"/>
    <w:rsid w:val="00776165"/>
    <w:rsid w:val="00776579"/>
    <w:rsid w:val="0077744A"/>
    <w:rsid w:val="00777AB3"/>
    <w:rsid w:val="00777DE9"/>
    <w:rsid w:val="00782A33"/>
    <w:rsid w:val="00782E45"/>
    <w:rsid w:val="0078317D"/>
    <w:rsid w:val="00783B5D"/>
    <w:rsid w:val="00783DDA"/>
    <w:rsid w:val="0078695B"/>
    <w:rsid w:val="00790298"/>
    <w:rsid w:val="0079340A"/>
    <w:rsid w:val="00795E18"/>
    <w:rsid w:val="00796CFA"/>
    <w:rsid w:val="007973CF"/>
    <w:rsid w:val="007A2351"/>
    <w:rsid w:val="007A3E12"/>
    <w:rsid w:val="007A695B"/>
    <w:rsid w:val="007B18DB"/>
    <w:rsid w:val="007B2735"/>
    <w:rsid w:val="007B298E"/>
    <w:rsid w:val="007B56FB"/>
    <w:rsid w:val="007B7B84"/>
    <w:rsid w:val="007C072E"/>
    <w:rsid w:val="007C0C91"/>
    <w:rsid w:val="007C11D2"/>
    <w:rsid w:val="007C37D0"/>
    <w:rsid w:val="007C458F"/>
    <w:rsid w:val="007D0141"/>
    <w:rsid w:val="007D0A16"/>
    <w:rsid w:val="007D13CD"/>
    <w:rsid w:val="007D1719"/>
    <w:rsid w:val="007D1854"/>
    <w:rsid w:val="007D1C3A"/>
    <w:rsid w:val="007D21E3"/>
    <w:rsid w:val="007D29A7"/>
    <w:rsid w:val="007D6B87"/>
    <w:rsid w:val="007D76DE"/>
    <w:rsid w:val="007E0525"/>
    <w:rsid w:val="007E13A9"/>
    <w:rsid w:val="007E2E89"/>
    <w:rsid w:val="007E4164"/>
    <w:rsid w:val="007E429E"/>
    <w:rsid w:val="007E600E"/>
    <w:rsid w:val="007E6513"/>
    <w:rsid w:val="007E6C01"/>
    <w:rsid w:val="007E6FD1"/>
    <w:rsid w:val="007F1490"/>
    <w:rsid w:val="007F2240"/>
    <w:rsid w:val="007F2A4E"/>
    <w:rsid w:val="008039A2"/>
    <w:rsid w:val="00803DF9"/>
    <w:rsid w:val="0080530E"/>
    <w:rsid w:val="0080603B"/>
    <w:rsid w:val="00811D31"/>
    <w:rsid w:val="008123AB"/>
    <w:rsid w:val="008130D6"/>
    <w:rsid w:val="00820CBE"/>
    <w:rsid w:val="008219B1"/>
    <w:rsid w:val="00822225"/>
    <w:rsid w:val="00823433"/>
    <w:rsid w:val="00824DAD"/>
    <w:rsid w:val="00826DA0"/>
    <w:rsid w:val="00830BC1"/>
    <w:rsid w:val="008312E9"/>
    <w:rsid w:val="008332D5"/>
    <w:rsid w:val="0083602A"/>
    <w:rsid w:val="00836EF6"/>
    <w:rsid w:val="0084158A"/>
    <w:rsid w:val="0084178B"/>
    <w:rsid w:val="00842050"/>
    <w:rsid w:val="008420ED"/>
    <w:rsid w:val="008421A8"/>
    <w:rsid w:val="00842552"/>
    <w:rsid w:val="008426D0"/>
    <w:rsid w:val="00843F2A"/>
    <w:rsid w:val="00844D7A"/>
    <w:rsid w:val="00847431"/>
    <w:rsid w:val="00850146"/>
    <w:rsid w:val="00850A62"/>
    <w:rsid w:val="008538BD"/>
    <w:rsid w:val="00853E3F"/>
    <w:rsid w:val="00855407"/>
    <w:rsid w:val="00855DBA"/>
    <w:rsid w:val="008560B3"/>
    <w:rsid w:val="00856CA3"/>
    <w:rsid w:val="0085742D"/>
    <w:rsid w:val="00860374"/>
    <w:rsid w:val="00862B03"/>
    <w:rsid w:val="00863809"/>
    <w:rsid w:val="008657A0"/>
    <w:rsid w:val="00865ADE"/>
    <w:rsid w:val="00865CE5"/>
    <w:rsid w:val="0086622D"/>
    <w:rsid w:val="00866B30"/>
    <w:rsid w:val="0086713E"/>
    <w:rsid w:val="00871637"/>
    <w:rsid w:val="00871D4A"/>
    <w:rsid w:val="00873A3A"/>
    <w:rsid w:val="008750CC"/>
    <w:rsid w:val="008752F0"/>
    <w:rsid w:val="00875369"/>
    <w:rsid w:val="008761A9"/>
    <w:rsid w:val="00881260"/>
    <w:rsid w:val="008812E5"/>
    <w:rsid w:val="0088170A"/>
    <w:rsid w:val="00881A0A"/>
    <w:rsid w:val="008839BA"/>
    <w:rsid w:val="0088476F"/>
    <w:rsid w:val="008851B9"/>
    <w:rsid w:val="008862D3"/>
    <w:rsid w:val="00891658"/>
    <w:rsid w:val="008921C6"/>
    <w:rsid w:val="00895493"/>
    <w:rsid w:val="00896D8B"/>
    <w:rsid w:val="008A04D0"/>
    <w:rsid w:val="008A0B4B"/>
    <w:rsid w:val="008A2F3E"/>
    <w:rsid w:val="008A3EF6"/>
    <w:rsid w:val="008A5695"/>
    <w:rsid w:val="008A5C6C"/>
    <w:rsid w:val="008A5C99"/>
    <w:rsid w:val="008A7794"/>
    <w:rsid w:val="008B02EF"/>
    <w:rsid w:val="008B357D"/>
    <w:rsid w:val="008B3768"/>
    <w:rsid w:val="008B4A64"/>
    <w:rsid w:val="008B4D79"/>
    <w:rsid w:val="008B567F"/>
    <w:rsid w:val="008B59AC"/>
    <w:rsid w:val="008C23C4"/>
    <w:rsid w:val="008C5382"/>
    <w:rsid w:val="008C5F1C"/>
    <w:rsid w:val="008C6AA1"/>
    <w:rsid w:val="008D21A5"/>
    <w:rsid w:val="008D2570"/>
    <w:rsid w:val="008D2B58"/>
    <w:rsid w:val="008D31D7"/>
    <w:rsid w:val="008D3F20"/>
    <w:rsid w:val="008D464A"/>
    <w:rsid w:val="008D7159"/>
    <w:rsid w:val="008E0394"/>
    <w:rsid w:val="008E07E2"/>
    <w:rsid w:val="008E117B"/>
    <w:rsid w:val="008E1C83"/>
    <w:rsid w:val="008E1E7D"/>
    <w:rsid w:val="008E29AE"/>
    <w:rsid w:val="008E312E"/>
    <w:rsid w:val="008E5B80"/>
    <w:rsid w:val="008E5E65"/>
    <w:rsid w:val="008E6590"/>
    <w:rsid w:val="008F1767"/>
    <w:rsid w:val="008F249E"/>
    <w:rsid w:val="008F3A4E"/>
    <w:rsid w:val="008F3ABA"/>
    <w:rsid w:val="008F50EF"/>
    <w:rsid w:val="008F6BDF"/>
    <w:rsid w:val="009001A2"/>
    <w:rsid w:val="00903063"/>
    <w:rsid w:val="00903A58"/>
    <w:rsid w:val="00911777"/>
    <w:rsid w:val="00912F70"/>
    <w:rsid w:val="009131C4"/>
    <w:rsid w:val="00914016"/>
    <w:rsid w:val="0091422A"/>
    <w:rsid w:val="00914C50"/>
    <w:rsid w:val="00915AE2"/>
    <w:rsid w:val="00915C5D"/>
    <w:rsid w:val="009162CA"/>
    <w:rsid w:val="00916DCC"/>
    <w:rsid w:val="009172A7"/>
    <w:rsid w:val="00922C60"/>
    <w:rsid w:val="009252FC"/>
    <w:rsid w:val="009301ED"/>
    <w:rsid w:val="00932D50"/>
    <w:rsid w:val="00933021"/>
    <w:rsid w:val="00934D09"/>
    <w:rsid w:val="00935BA0"/>
    <w:rsid w:val="00936786"/>
    <w:rsid w:val="0093728D"/>
    <w:rsid w:val="0094145A"/>
    <w:rsid w:val="00945D1E"/>
    <w:rsid w:val="009470AE"/>
    <w:rsid w:val="009476E0"/>
    <w:rsid w:val="00952E88"/>
    <w:rsid w:val="0095476F"/>
    <w:rsid w:val="009550D8"/>
    <w:rsid w:val="00955F32"/>
    <w:rsid w:val="00961864"/>
    <w:rsid w:val="009619E6"/>
    <w:rsid w:val="00966207"/>
    <w:rsid w:val="0096725F"/>
    <w:rsid w:val="0097067C"/>
    <w:rsid w:val="009713BF"/>
    <w:rsid w:val="00973070"/>
    <w:rsid w:val="009743C1"/>
    <w:rsid w:val="009752B1"/>
    <w:rsid w:val="0098233A"/>
    <w:rsid w:val="0098237D"/>
    <w:rsid w:val="00982FF8"/>
    <w:rsid w:val="0098490D"/>
    <w:rsid w:val="00984E60"/>
    <w:rsid w:val="0098792C"/>
    <w:rsid w:val="009916F7"/>
    <w:rsid w:val="00991BC6"/>
    <w:rsid w:val="00992718"/>
    <w:rsid w:val="00993958"/>
    <w:rsid w:val="00997F38"/>
    <w:rsid w:val="009A24AE"/>
    <w:rsid w:val="009A24FC"/>
    <w:rsid w:val="009A333F"/>
    <w:rsid w:val="009A3EEE"/>
    <w:rsid w:val="009A75D9"/>
    <w:rsid w:val="009B1354"/>
    <w:rsid w:val="009B1FDC"/>
    <w:rsid w:val="009B34BF"/>
    <w:rsid w:val="009B42AB"/>
    <w:rsid w:val="009B735F"/>
    <w:rsid w:val="009B7571"/>
    <w:rsid w:val="009B7BFB"/>
    <w:rsid w:val="009C06BE"/>
    <w:rsid w:val="009C150A"/>
    <w:rsid w:val="009C32D4"/>
    <w:rsid w:val="009C7A99"/>
    <w:rsid w:val="009D0690"/>
    <w:rsid w:val="009D2723"/>
    <w:rsid w:val="009D2C34"/>
    <w:rsid w:val="009D2DEF"/>
    <w:rsid w:val="009D471D"/>
    <w:rsid w:val="009D54A0"/>
    <w:rsid w:val="009D5714"/>
    <w:rsid w:val="009D676F"/>
    <w:rsid w:val="009D7349"/>
    <w:rsid w:val="009D798F"/>
    <w:rsid w:val="009E22B9"/>
    <w:rsid w:val="009E348D"/>
    <w:rsid w:val="009E6526"/>
    <w:rsid w:val="009E7F06"/>
    <w:rsid w:val="009F0431"/>
    <w:rsid w:val="009F2CE6"/>
    <w:rsid w:val="009F30E8"/>
    <w:rsid w:val="009F3997"/>
    <w:rsid w:val="009F7812"/>
    <w:rsid w:val="00A01D21"/>
    <w:rsid w:val="00A01FB2"/>
    <w:rsid w:val="00A02317"/>
    <w:rsid w:val="00A037F8"/>
    <w:rsid w:val="00A06A58"/>
    <w:rsid w:val="00A07EDC"/>
    <w:rsid w:val="00A121FC"/>
    <w:rsid w:val="00A1245A"/>
    <w:rsid w:val="00A16460"/>
    <w:rsid w:val="00A16ED1"/>
    <w:rsid w:val="00A17D65"/>
    <w:rsid w:val="00A17E65"/>
    <w:rsid w:val="00A21925"/>
    <w:rsid w:val="00A229F6"/>
    <w:rsid w:val="00A22DA0"/>
    <w:rsid w:val="00A24567"/>
    <w:rsid w:val="00A26B26"/>
    <w:rsid w:val="00A27A45"/>
    <w:rsid w:val="00A316E5"/>
    <w:rsid w:val="00A31CD6"/>
    <w:rsid w:val="00A342D3"/>
    <w:rsid w:val="00A363AB"/>
    <w:rsid w:val="00A36B3B"/>
    <w:rsid w:val="00A36FC6"/>
    <w:rsid w:val="00A41B0B"/>
    <w:rsid w:val="00A428B3"/>
    <w:rsid w:val="00A42B64"/>
    <w:rsid w:val="00A45F34"/>
    <w:rsid w:val="00A50CE8"/>
    <w:rsid w:val="00A50D22"/>
    <w:rsid w:val="00A51322"/>
    <w:rsid w:val="00A5225A"/>
    <w:rsid w:val="00A52A30"/>
    <w:rsid w:val="00A53B2E"/>
    <w:rsid w:val="00A54F67"/>
    <w:rsid w:val="00A559E8"/>
    <w:rsid w:val="00A5794D"/>
    <w:rsid w:val="00A607EE"/>
    <w:rsid w:val="00A60D21"/>
    <w:rsid w:val="00A62BE4"/>
    <w:rsid w:val="00A6351A"/>
    <w:rsid w:val="00A64053"/>
    <w:rsid w:val="00A658F4"/>
    <w:rsid w:val="00A65F48"/>
    <w:rsid w:val="00A70F13"/>
    <w:rsid w:val="00A739C8"/>
    <w:rsid w:val="00A77471"/>
    <w:rsid w:val="00A815EE"/>
    <w:rsid w:val="00A84004"/>
    <w:rsid w:val="00A841EF"/>
    <w:rsid w:val="00A85527"/>
    <w:rsid w:val="00A859BB"/>
    <w:rsid w:val="00A85BE4"/>
    <w:rsid w:val="00A8662D"/>
    <w:rsid w:val="00A86E8B"/>
    <w:rsid w:val="00A90731"/>
    <w:rsid w:val="00A90813"/>
    <w:rsid w:val="00A90997"/>
    <w:rsid w:val="00A91F7C"/>
    <w:rsid w:val="00A936AE"/>
    <w:rsid w:val="00A95B9A"/>
    <w:rsid w:val="00A96756"/>
    <w:rsid w:val="00AA1F04"/>
    <w:rsid w:val="00AA1F09"/>
    <w:rsid w:val="00AA1FCE"/>
    <w:rsid w:val="00AA27F6"/>
    <w:rsid w:val="00AA4743"/>
    <w:rsid w:val="00AB2902"/>
    <w:rsid w:val="00AB3FA7"/>
    <w:rsid w:val="00AB4592"/>
    <w:rsid w:val="00AB6BEB"/>
    <w:rsid w:val="00AB7D24"/>
    <w:rsid w:val="00AB7F5F"/>
    <w:rsid w:val="00AC0022"/>
    <w:rsid w:val="00AC331F"/>
    <w:rsid w:val="00AC3457"/>
    <w:rsid w:val="00AC37FC"/>
    <w:rsid w:val="00AC439C"/>
    <w:rsid w:val="00AC458F"/>
    <w:rsid w:val="00AC48E8"/>
    <w:rsid w:val="00AC58AF"/>
    <w:rsid w:val="00AC5D00"/>
    <w:rsid w:val="00AC64BC"/>
    <w:rsid w:val="00AC686A"/>
    <w:rsid w:val="00AD4D2D"/>
    <w:rsid w:val="00AD77CD"/>
    <w:rsid w:val="00AD7F80"/>
    <w:rsid w:val="00AE0BB9"/>
    <w:rsid w:val="00AE26B8"/>
    <w:rsid w:val="00AE384C"/>
    <w:rsid w:val="00AE4444"/>
    <w:rsid w:val="00AE4BD1"/>
    <w:rsid w:val="00AE5315"/>
    <w:rsid w:val="00AE61AE"/>
    <w:rsid w:val="00AE679B"/>
    <w:rsid w:val="00AF1EAF"/>
    <w:rsid w:val="00AF440C"/>
    <w:rsid w:val="00AF4CB8"/>
    <w:rsid w:val="00AF4D80"/>
    <w:rsid w:val="00AF57BF"/>
    <w:rsid w:val="00AF5ED3"/>
    <w:rsid w:val="00AF602E"/>
    <w:rsid w:val="00B00CEF"/>
    <w:rsid w:val="00B04044"/>
    <w:rsid w:val="00B04D00"/>
    <w:rsid w:val="00B0512B"/>
    <w:rsid w:val="00B070F2"/>
    <w:rsid w:val="00B074F5"/>
    <w:rsid w:val="00B0757D"/>
    <w:rsid w:val="00B103A3"/>
    <w:rsid w:val="00B1165A"/>
    <w:rsid w:val="00B12DBA"/>
    <w:rsid w:val="00B12F79"/>
    <w:rsid w:val="00B14D48"/>
    <w:rsid w:val="00B14F59"/>
    <w:rsid w:val="00B16CA2"/>
    <w:rsid w:val="00B17F57"/>
    <w:rsid w:val="00B20340"/>
    <w:rsid w:val="00B20D73"/>
    <w:rsid w:val="00B2259C"/>
    <w:rsid w:val="00B25150"/>
    <w:rsid w:val="00B2566D"/>
    <w:rsid w:val="00B25F86"/>
    <w:rsid w:val="00B2754E"/>
    <w:rsid w:val="00B3381A"/>
    <w:rsid w:val="00B33EAF"/>
    <w:rsid w:val="00B36A28"/>
    <w:rsid w:val="00B3704D"/>
    <w:rsid w:val="00B3769D"/>
    <w:rsid w:val="00B411EF"/>
    <w:rsid w:val="00B4473E"/>
    <w:rsid w:val="00B4507A"/>
    <w:rsid w:val="00B457DD"/>
    <w:rsid w:val="00B46004"/>
    <w:rsid w:val="00B46DFD"/>
    <w:rsid w:val="00B525F0"/>
    <w:rsid w:val="00B530CB"/>
    <w:rsid w:val="00B54276"/>
    <w:rsid w:val="00B54DCE"/>
    <w:rsid w:val="00B55040"/>
    <w:rsid w:val="00B55238"/>
    <w:rsid w:val="00B55AE6"/>
    <w:rsid w:val="00B60033"/>
    <w:rsid w:val="00B61F68"/>
    <w:rsid w:val="00B6222C"/>
    <w:rsid w:val="00B63874"/>
    <w:rsid w:val="00B70F61"/>
    <w:rsid w:val="00B71497"/>
    <w:rsid w:val="00B718E7"/>
    <w:rsid w:val="00B72713"/>
    <w:rsid w:val="00B7330B"/>
    <w:rsid w:val="00B751B4"/>
    <w:rsid w:val="00B752D2"/>
    <w:rsid w:val="00B756C6"/>
    <w:rsid w:val="00B757B7"/>
    <w:rsid w:val="00B75812"/>
    <w:rsid w:val="00B80B48"/>
    <w:rsid w:val="00B80EDB"/>
    <w:rsid w:val="00B81BC7"/>
    <w:rsid w:val="00B82B8D"/>
    <w:rsid w:val="00B82D88"/>
    <w:rsid w:val="00B84E37"/>
    <w:rsid w:val="00B86E06"/>
    <w:rsid w:val="00B90628"/>
    <w:rsid w:val="00B91C8F"/>
    <w:rsid w:val="00B94153"/>
    <w:rsid w:val="00B9427C"/>
    <w:rsid w:val="00B96DB9"/>
    <w:rsid w:val="00B97E51"/>
    <w:rsid w:val="00BA11D7"/>
    <w:rsid w:val="00BA29F0"/>
    <w:rsid w:val="00BA513E"/>
    <w:rsid w:val="00BA7579"/>
    <w:rsid w:val="00BB04A3"/>
    <w:rsid w:val="00BB1058"/>
    <w:rsid w:val="00BB1AE1"/>
    <w:rsid w:val="00BB29AB"/>
    <w:rsid w:val="00BB3300"/>
    <w:rsid w:val="00BB3BC1"/>
    <w:rsid w:val="00BB7889"/>
    <w:rsid w:val="00BC045A"/>
    <w:rsid w:val="00BC1DE2"/>
    <w:rsid w:val="00BC242A"/>
    <w:rsid w:val="00BC2E14"/>
    <w:rsid w:val="00BC3739"/>
    <w:rsid w:val="00BC493B"/>
    <w:rsid w:val="00BC5395"/>
    <w:rsid w:val="00BC6D93"/>
    <w:rsid w:val="00BC7578"/>
    <w:rsid w:val="00BD0C37"/>
    <w:rsid w:val="00BD1170"/>
    <w:rsid w:val="00BD14D3"/>
    <w:rsid w:val="00BD370C"/>
    <w:rsid w:val="00BD45FD"/>
    <w:rsid w:val="00BE044D"/>
    <w:rsid w:val="00BE0843"/>
    <w:rsid w:val="00BE2384"/>
    <w:rsid w:val="00BE29EB"/>
    <w:rsid w:val="00BE4B7C"/>
    <w:rsid w:val="00BE632D"/>
    <w:rsid w:val="00BF1039"/>
    <w:rsid w:val="00BF1365"/>
    <w:rsid w:val="00BF569C"/>
    <w:rsid w:val="00BF66EA"/>
    <w:rsid w:val="00C01D09"/>
    <w:rsid w:val="00C0373D"/>
    <w:rsid w:val="00C067F9"/>
    <w:rsid w:val="00C071EB"/>
    <w:rsid w:val="00C13967"/>
    <w:rsid w:val="00C13ACB"/>
    <w:rsid w:val="00C1793B"/>
    <w:rsid w:val="00C2105F"/>
    <w:rsid w:val="00C21192"/>
    <w:rsid w:val="00C21EDA"/>
    <w:rsid w:val="00C2254D"/>
    <w:rsid w:val="00C24BCC"/>
    <w:rsid w:val="00C26497"/>
    <w:rsid w:val="00C26CE6"/>
    <w:rsid w:val="00C26E06"/>
    <w:rsid w:val="00C31365"/>
    <w:rsid w:val="00C33BEB"/>
    <w:rsid w:val="00C34415"/>
    <w:rsid w:val="00C35A8B"/>
    <w:rsid w:val="00C36B59"/>
    <w:rsid w:val="00C36DE8"/>
    <w:rsid w:val="00C375DC"/>
    <w:rsid w:val="00C419D5"/>
    <w:rsid w:val="00C42133"/>
    <w:rsid w:val="00C42E96"/>
    <w:rsid w:val="00C437CA"/>
    <w:rsid w:val="00C43EF2"/>
    <w:rsid w:val="00C4719E"/>
    <w:rsid w:val="00C47DAF"/>
    <w:rsid w:val="00C51A84"/>
    <w:rsid w:val="00C5372D"/>
    <w:rsid w:val="00C54160"/>
    <w:rsid w:val="00C552FD"/>
    <w:rsid w:val="00C6023B"/>
    <w:rsid w:val="00C61FA4"/>
    <w:rsid w:val="00C62AD1"/>
    <w:rsid w:val="00C64876"/>
    <w:rsid w:val="00C6488F"/>
    <w:rsid w:val="00C6489B"/>
    <w:rsid w:val="00C6551C"/>
    <w:rsid w:val="00C6571A"/>
    <w:rsid w:val="00C672A0"/>
    <w:rsid w:val="00C706B5"/>
    <w:rsid w:val="00C728CD"/>
    <w:rsid w:val="00C74B1E"/>
    <w:rsid w:val="00C74BC2"/>
    <w:rsid w:val="00C75FCE"/>
    <w:rsid w:val="00C76C77"/>
    <w:rsid w:val="00C77EAF"/>
    <w:rsid w:val="00C80EC5"/>
    <w:rsid w:val="00C81DAB"/>
    <w:rsid w:val="00C822FF"/>
    <w:rsid w:val="00C827E6"/>
    <w:rsid w:val="00C83F5A"/>
    <w:rsid w:val="00C842D7"/>
    <w:rsid w:val="00C85C1C"/>
    <w:rsid w:val="00C87AA1"/>
    <w:rsid w:val="00C9086B"/>
    <w:rsid w:val="00C91A02"/>
    <w:rsid w:val="00C923F1"/>
    <w:rsid w:val="00C95E8C"/>
    <w:rsid w:val="00C9606A"/>
    <w:rsid w:val="00C97899"/>
    <w:rsid w:val="00C97A76"/>
    <w:rsid w:val="00CA1D9E"/>
    <w:rsid w:val="00CA2DE2"/>
    <w:rsid w:val="00CA5FC1"/>
    <w:rsid w:val="00CA777E"/>
    <w:rsid w:val="00CB003A"/>
    <w:rsid w:val="00CB13CD"/>
    <w:rsid w:val="00CB2A2D"/>
    <w:rsid w:val="00CB5F2B"/>
    <w:rsid w:val="00CB60E0"/>
    <w:rsid w:val="00CB6E5E"/>
    <w:rsid w:val="00CB7355"/>
    <w:rsid w:val="00CB74B2"/>
    <w:rsid w:val="00CB76AE"/>
    <w:rsid w:val="00CC2A5F"/>
    <w:rsid w:val="00CC3FAA"/>
    <w:rsid w:val="00CC4BF8"/>
    <w:rsid w:val="00CC4DA1"/>
    <w:rsid w:val="00CC50E5"/>
    <w:rsid w:val="00CC70DE"/>
    <w:rsid w:val="00CC7AEB"/>
    <w:rsid w:val="00CC7F73"/>
    <w:rsid w:val="00CD06E7"/>
    <w:rsid w:val="00CD0E59"/>
    <w:rsid w:val="00CD12A1"/>
    <w:rsid w:val="00CD1561"/>
    <w:rsid w:val="00CD1868"/>
    <w:rsid w:val="00CD3E23"/>
    <w:rsid w:val="00CD4517"/>
    <w:rsid w:val="00CD4D59"/>
    <w:rsid w:val="00CD50B2"/>
    <w:rsid w:val="00CD6A01"/>
    <w:rsid w:val="00CE0BEB"/>
    <w:rsid w:val="00CE118A"/>
    <w:rsid w:val="00CE19A6"/>
    <w:rsid w:val="00CE1C63"/>
    <w:rsid w:val="00CE27E4"/>
    <w:rsid w:val="00CE42B8"/>
    <w:rsid w:val="00CE6853"/>
    <w:rsid w:val="00CE6B29"/>
    <w:rsid w:val="00CE7FDB"/>
    <w:rsid w:val="00CF1038"/>
    <w:rsid w:val="00CF13E0"/>
    <w:rsid w:val="00CF2F89"/>
    <w:rsid w:val="00CF38E0"/>
    <w:rsid w:val="00CF4043"/>
    <w:rsid w:val="00CF5839"/>
    <w:rsid w:val="00CF5899"/>
    <w:rsid w:val="00CF7E67"/>
    <w:rsid w:val="00D01243"/>
    <w:rsid w:val="00D03ED6"/>
    <w:rsid w:val="00D04718"/>
    <w:rsid w:val="00D04CEF"/>
    <w:rsid w:val="00D10FD9"/>
    <w:rsid w:val="00D11077"/>
    <w:rsid w:val="00D110A2"/>
    <w:rsid w:val="00D11985"/>
    <w:rsid w:val="00D12342"/>
    <w:rsid w:val="00D1325D"/>
    <w:rsid w:val="00D1334C"/>
    <w:rsid w:val="00D1421B"/>
    <w:rsid w:val="00D1549B"/>
    <w:rsid w:val="00D17311"/>
    <w:rsid w:val="00D176E1"/>
    <w:rsid w:val="00D17A06"/>
    <w:rsid w:val="00D21131"/>
    <w:rsid w:val="00D21DAC"/>
    <w:rsid w:val="00D22086"/>
    <w:rsid w:val="00D24F05"/>
    <w:rsid w:val="00D25811"/>
    <w:rsid w:val="00D27EE7"/>
    <w:rsid w:val="00D32146"/>
    <w:rsid w:val="00D336ED"/>
    <w:rsid w:val="00D3546E"/>
    <w:rsid w:val="00D37344"/>
    <w:rsid w:val="00D40032"/>
    <w:rsid w:val="00D40B7C"/>
    <w:rsid w:val="00D41303"/>
    <w:rsid w:val="00D432C1"/>
    <w:rsid w:val="00D438F1"/>
    <w:rsid w:val="00D43E27"/>
    <w:rsid w:val="00D44A3E"/>
    <w:rsid w:val="00D46224"/>
    <w:rsid w:val="00D4692A"/>
    <w:rsid w:val="00D4739E"/>
    <w:rsid w:val="00D47DD3"/>
    <w:rsid w:val="00D50A0E"/>
    <w:rsid w:val="00D527DE"/>
    <w:rsid w:val="00D52BC0"/>
    <w:rsid w:val="00D52EB2"/>
    <w:rsid w:val="00D54244"/>
    <w:rsid w:val="00D545ED"/>
    <w:rsid w:val="00D553A3"/>
    <w:rsid w:val="00D5576D"/>
    <w:rsid w:val="00D56EF2"/>
    <w:rsid w:val="00D57261"/>
    <w:rsid w:val="00D62352"/>
    <w:rsid w:val="00D62677"/>
    <w:rsid w:val="00D66C54"/>
    <w:rsid w:val="00D67FA8"/>
    <w:rsid w:val="00D703F7"/>
    <w:rsid w:val="00D75BBC"/>
    <w:rsid w:val="00D7601B"/>
    <w:rsid w:val="00D7662F"/>
    <w:rsid w:val="00D77055"/>
    <w:rsid w:val="00D8123C"/>
    <w:rsid w:val="00D81322"/>
    <w:rsid w:val="00D831D0"/>
    <w:rsid w:val="00D85481"/>
    <w:rsid w:val="00D85C21"/>
    <w:rsid w:val="00D86C47"/>
    <w:rsid w:val="00D86FE2"/>
    <w:rsid w:val="00D87150"/>
    <w:rsid w:val="00D9279C"/>
    <w:rsid w:val="00D932CB"/>
    <w:rsid w:val="00D93DEF"/>
    <w:rsid w:val="00D93E59"/>
    <w:rsid w:val="00D94228"/>
    <w:rsid w:val="00D9441C"/>
    <w:rsid w:val="00D9549D"/>
    <w:rsid w:val="00D9612B"/>
    <w:rsid w:val="00D965BD"/>
    <w:rsid w:val="00D972F3"/>
    <w:rsid w:val="00D97FAD"/>
    <w:rsid w:val="00DA1566"/>
    <w:rsid w:val="00DA399B"/>
    <w:rsid w:val="00DA3BC7"/>
    <w:rsid w:val="00DA5C80"/>
    <w:rsid w:val="00DB14C2"/>
    <w:rsid w:val="00DB4035"/>
    <w:rsid w:val="00DB56C9"/>
    <w:rsid w:val="00DB667E"/>
    <w:rsid w:val="00DB6BA6"/>
    <w:rsid w:val="00DB6CBA"/>
    <w:rsid w:val="00DB7163"/>
    <w:rsid w:val="00DB7288"/>
    <w:rsid w:val="00DC459C"/>
    <w:rsid w:val="00DC48D4"/>
    <w:rsid w:val="00DC4DBE"/>
    <w:rsid w:val="00DC5171"/>
    <w:rsid w:val="00DC5ED0"/>
    <w:rsid w:val="00DC6116"/>
    <w:rsid w:val="00DC6E38"/>
    <w:rsid w:val="00DD2917"/>
    <w:rsid w:val="00DD3263"/>
    <w:rsid w:val="00DD371E"/>
    <w:rsid w:val="00DD47E4"/>
    <w:rsid w:val="00DD4B9F"/>
    <w:rsid w:val="00DD51B7"/>
    <w:rsid w:val="00DD55DD"/>
    <w:rsid w:val="00DD789B"/>
    <w:rsid w:val="00DD7EE3"/>
    <w:rsid w:val="00DE024A"/>
    <w:rsid w:val="00DE024D"/>
    <w:rsid w:val="00DE03D2"/>
    <w:rsid w:val="00DE1334"/>
    <w:rsid w:val="00DE3D8F"/>
    <w:rsid w:val="00DE4976"/>
    <w:rsid w:val="00DE59EF"/>
    <w:rsid w:val="00DE68CC"/>
    <w:rsid w:val="00DE6AA5"/>
    <w:rsid w:val="00DF1FF6"/>
    <w:rsid w:val="00DF2432"/>
    <w:rsid w:val="00DF41AA"/>
    <w:rsid w:val="00DF7B0D"/>
    <w:rsid w:val="00E01031"/>
    <w:rsid w:val="00E02037"/>
    <w:rsid w:val="00E02C85"/>
    <w:rsid w:val="00E03314"/>
    <w:rsid w:val="00E0453C"/>
    <w:rsid w:val="00E05B79"/>
    <w:rsid w:val="00E07CE5"/>
    <w:rsid w:val="00E07EF8"/>
    <w:rsid w:val="00E12718"/>
    <w:rsid w:val="00E13811"/>
    <w:rsid w:val="00E16267"/>
    <w:rsid w:val="00E20311"/>
    <w:rsid w:val="00E20631"/>
    <w:rsid w:val="00E20764"/>
    <w:rsid w:val="00E23247"/>
    <w:rsid w:val="00E24464"/>
    <w:rsid w:val="00E2565C"/>
    <w:rsid w:val="00E26670"/>
    <w:rsid w:val="00E27AC2"/>
    <w:rsid w:val="00E27B10"/>
    <w:rsid w:val="00E30A5E"/>
    <w:rsid w:val="00E30E30"/>
    <w:rsid w:val="00E311E6"/>
    <w:rsid w:val="00E32672"/>
    <w:rsid w:val="00E32D59"/>
    <w:rsid w:val="00E34752"/>
    <w:rsid w:val="00E35E3E"/>
    <w:rsid w:val="00E36EAA"/>
    <w:rsid w:val="00E36ED8"/>
    <w:rsid w:val="00E40757"/>
    <w:rsid w:val="00E42F02"/>
    <w:rsid w:val="00E4496E"/>
    <w:rsid w:val="00E4532C"/>
    <w:rsid w:val="00E45441"/>
    <w:rsid w:val="00E467DA"/>
    <w:rsid w:val="00E47336"/>
    <w:rsid w:val="00E4746C"/>
    <w:rsid w:val="00E5142B"/>
    <w:rsid w:val="00E51947"/>
    <w:rsid w:val="00E51E99"/>
    <w:rsid w:val="00E521EF"/>
    <w:rsid w:val="00E54A0C"/>
    <w:rsid w:val="00E54FDD"/>
    <w:rsid w:val="00E55B67"/>
    <w:rsid w:val="00E56E8D"/>
    <w:rsid w:val="00E57000"/>
    <w:rsid w:val="00E600D8"/>
    <w:rsid w:val="00E60291"/>
    <w:rsid w:val="00E60B93"/>
    <w:rsid w:val="00E61167"/>
    <w:rsid w:val="00E613DE"/>
    <w:rsid w:val="00E61E0D"/>
    <w:rsid w:val="00E62B96"/>
    <w:rsid w:val="00E6365A"/>
    <w:rsid w:val="00E65AE5"/>
    <w:rsid w:val="00E66EE2"/>
    <w:rsid w:val="00E67B1E"/>
    <w:rsid w:val="00E67F16"/>
    <w:rsid w:val="00E700BF"/>
    <w:rsid w:val="00E73A62"/>
    <w:rsid w:val="00E7547E"/>
    <w:rsid w:val="00E759C0"/>
    <w:rsid w:val="00E7671A"/>
    <w:rsid w:val="00E8094A"/>
    <w:rsid w:val="00E859BA"/>
    <w:rsid w:val="00E85DB1"/>
    <w:rsid w:val="00E87367"/>
    <w:rsid w:val="00E87A93"/>
    <w:rsid w:val="00E90186"/>
    <w:rsid w:val="00E918BF"/>
    <w:rsid w:val="00E92A11"/>
    <w:rsid w:val="00E93F8F"/>
    <w:rsid w:val="00E95E2F"/>
    <w:rsid w:val="00E96AC8"/>
    <w:rsid w:val="00E97E9E"/>
    <w:rsid w:val="00EA1D86"/>
    <w:rsid w:val="00EA30AB"/>
    <w:rsid w:val="00EA336E"/>
    <w:rsid w:val="00EA34B9"/>
    <w:rsid w:val="00EA78AF"/>
    <w:rsid w:val="00EB0108"/>
    <w:rsid w:val="00EB252A"/>
    <w:rsid w:val="00EB3463"/>
    <w:rsid w:val="00EB38AA"/>
    <w:rsid w:val="00EB3FB4"/>
    <w:rsid w:val="00EB5218"/>
    <w:rsid w:val="00EB7352"/>
    <w:rsid w:val="00EB79F5"/>
    <w:rsid w:val="00EB7BA5"/>
    <w:rsid w:val="00EC1517"/>
    <w:rsid w:val="00EC1B26"/>
    <w:rsid w:val="00EC4088"/>
    <w:rsid w:val="00EC45A2"/>
    <w:rsid w:val="00EC5160"/>
    <w:rsid w:val="00EC59A0"/>
    <w:rsid w:val="00EC5DAF"/>
    <w:rsid w:val="00EC76A8"/>
    <w:rsid w:val="00EC7A9A"/>
    <w:rsid w:val="00ED283E"/>
    <w:rsid w:val="00ED435C"/>
    <w:rsid w:val="00ED680A"/>
    <w:rsid w:val="00ED7AB9"/>
    <w:rsid w:val="00EE1F0C"/>
    <w:rsid w:val="00EE331D"/>
    <w:rsid w:val="00EE5936"/>
    <w:rsid w:val="00EE5E4A"/>
    <w:rsid w:val="00EF1DC9"/>
    <w:rsid w:val="00EF29E5"/>
    <w:rsid w:val="00EF3032"/>
    <w:rsid w:val="00EF543E"/>
    <w:rsid w:val="00EF73EB"/>
    <w:rsid w:val="00EF75B6"/>
    <w:rsid w:val="00F00769"/>
    <w:rsid w:val="00F00FB7"/>
    <w:rsid w:val="00F01C91"/>
    <w:rsid w:val="00F03080"/>
    <w:rsid w:val="00F0711F"/>
    <w:rsid w:val="00F12C7E"/>
    <w:rsid w:val="00F1330F"/>
    <w:rsid w:val="00F13947"/>
    <w:rsid w:val="00F162E5"/>
    <w:rsid w:val="00F17B3A"/>
    <w:rsid w:val="00F2035D"/>
    <w:rsid w:val="00F22077"/>
    <w:rsid w:val="00F227DF"/>
    <w:rsid w:val="00F23696"/>
    <w:rsid w:val="00F242E4"/>
    <w:rsid w:val="00F2656E"/>
    <w:rsid w:val="00F2694D"/>
    <w:rsid w:val="00F27CC6"/>
    <w:rsid w:val="00F30D40"/>
    <w:rsid w:val="00F3114B"/>
    <w:rsid w:val="00F3191D"/>
    <w:rsid w:val="00F341F6"/>
    <w:rsid w:val="00F35E5E"/>
    <w:rsid w:val="00F4123E"/>
    <w:rsid w:val="00F42762"/>
    <w:rsid w:val="00F437FF"/>
    <w:rsid w:val="00F46B71"/>
    <w:rsid w:val="00F475AD"/>
    <w:rsid w:val="00F47AC2"/>
    <w:rsid w:val="00F47C41"/>
    <w:rsid w:val="00F5050E"/>
    <w:rsid w:val="00F50919"/>
    <w:rsid w:val="00F510BD"/>
    <w:rsid w:val="00F51628"/>
    <w:rsid w:val="00F52730"/>
    <w:rsid w:val="00F52B93"/>
    <w:rsid w:val="00F54AC1"/>
    <w:rsid w:val="00F5531E"/>
    <w:rsid w:val="00F6002E"/>
    <w:rsid w:val="00F60D27"/>
    <w:rsid w:val="00F61524"/>
    <w:rsid w:val="00F62922"/>
    <w:rsid w:val="00F62ECE"/>
    <w:rsid w:val="00F648CA"/>
    <w:rsid w:val="00F659DA"/>
    <w:rsid w:val="00F65D04"/>
    <w:rsid w:val="00F662D1"/>
    <w:rsid w:val="00F6690C"/>
    <w:rsid w:val="00F67C5A"/>
    <w:rsid w:val="00F67D6B"/>
    <w:rsid w:val="00F70ACE"/>
    <w:rsid w:val="00F71843"/>
    <w:rsid w:val="00F7223C"/>
    <w:rsid w:val="00F727EE"/>
    <w:rsid w:val="00F7470B"/>
    <w:rsid w:val="00F75D8D"/>
    <w:rsid w:val="00F77B2E"/>
    <w:rsid w:val="00F82122"/>
    <w:rsid w:val="00F82194"/>
    <w:rsid w:val="00F84D65"/>
    <w:rsid w:val="00F85B39"/>
    <w:rsid w:val="00F8758D"/>
    <w:rsid w:val="00F90AD8"/>
    <w:rsid w:val="00F91368"/>
    <w:rsid w:val="00F919A3"/>
    <w:rsid w:val="00F91A16"/>
    <w:rsid w:val="00F9405E"/>
    <w:rsid w:val="00F94E89"/>
    <w:rsid w:val="00F95AF6"/>
    <w:rsid w:val="00F969B6"/>
    <w:rsid w:val="00F97B25"/>
    <w:rsid w:val="00FA0685"/>
    <w:rsid w:val="00FA0D29"/>
    <w:rsid w:val="00FA2EEB"/>
    <w:rsid w:val="00FA6336"/>
    <w:rsid w:val="00FA6819"/>
    <w:rsid w:val="00FB07C0"/>
    <w:rsid w:val="00FB2116"/>
    <w:rsid w:val="00FB21F7"/>
    <w:rsid w:val="00FB4880"/>
    <w:rsid w:val="00FB4921"/>
    <w:rsid w:val="00FB6999"/>
    <w:rsid w:val="00FC13E0"/>
    <w:rsid w:val="00FC21BE"/>
    <w:rsid w:val="00FC3701"/>
    <w:rsid w:val="00FC411D"/>
    <w:rsid w:val="00FD1A45"/>
    <w:rsid w:val="00FD5963"/>
    <w:rsid w:val="00FD5E51"/>
    <w:rsid w:val="00FD7AC2"/>
    <w:rsid w:val="00FE550B"/>
    <w:rsid w:val="00FE6404"/>
    <w:rsid w:val="00FE6D15"/>
    <w:rsid w:val="00FE793A"/>
    <w:rsid w:val="00FF2355"/>
    <w:rsid w:val="00FF28BE"/>
    <w:rsid w:val="00FF67C9"/>
    <w:rsid w:val="00FF6AF6"/>
    <w:rsid w:val="00FF6E00"/>
    <w:rsid w:val="45257854"/>
    <w:rsid w:val="5050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66928E"/>
  <w15:docId w15:val="{17D79457-A76F-4996-AF49-246765CC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szCs w:val="24"/>
    </w:rPr>
  </w:style>
  <w:style w:type="paragraph" w:styleId="Heading1">
    <w:name w:val="heading 1"/>
    <w:basedOn w:val="Normal"/>
    <w:next w:val="Normal"/>
    <w:link w:val="Heading1Char"/>
    <w:uiPriority w:val="9"/>
    <w:qFormat/>
    <w:pPr>
      <w:keepNext/>
      <w:keepLines/>
      <w:spacing w:before="240" w:after="0"/>
      <w:outlineLvl w:val="0"/>
    </w:pPr>
    <w:rPr>
      <w:b/>
      <w:color w:val="000000"/>
      <w:sz w:val="28"/>
      <w:szCs w:val="2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outlineLvl w:val="2"/>
    </w:pPr>
    <w:rPr>
      <w:b/>
      <w:bCs/>
    </w:rPr>
  </w:style>
  <w:style w:type="paragraph" w:styleId="Heading4">
    <w:name w:val="heading 4"/>
    <w:basedOn w:val="Normal"/>
    <w:next w:val="Normal"/>
    <w:link w:val="Heading4Char"/>
    <w:uiPriority w:val="9"/>
    <w:unhideWhenUsed/>
    <w:qFormat/>
    <w:pPr>
      <w:keepNext/>
      <w:keepLines/>
      <w:spacing w:before="40" w:after="0"/>
      <w:outlineLvl w:val="3"/>
    </w:pPr>
    <w:rPr>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b/>
      <w:bCs/>
      <w:color w:val="000000"/>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i/>
      <w:iCs/>
      <w:color w:val="000000"/>
    </w:rPr>
  </w:style>
  <w:style w:type="character" w:customStyle="1" w:styleId="FootnoteTextChar">
    <w:name w:val="Footnote Text Char"/>
    <w:basedOn w:val="DefaultParagraphFont"/>
    <w:link w:val="FootnoteText"/>
    <w:uiPriority w:val="99"/>
    <w:semiHidden/>
    <w:rPr>
      <w:sz w:val="20"/>
      <w:szCs w:val="20"/>
    </w:rPr>
  </w:style>
  <w:style w:type="character" w:customStyle="1" w:styleId="whitespace-normal">
    <w:name w:val="whitespace-normal"/>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punct">
    <w:name w:val="mpunct"/>
    <w:basedOn w:val="DefaultParagraphFont"/>
  </w:style>
  <w:style w:type="character" w:customStyle="1" w:styleId="mclose">
    <w:name w:val="mclose"/>
    <w:basedOn w:val="DefaultParagraphFont"/>
  </w:style>
  <w:style w:type="character" w:customStyle="1" w:styleId="vlist-s">
    <w:name w:val="vlist-s"/>
    <w:basedOn w:val="DefaultParagraphFont"/>
  </w:style>
  <w:style w:type="character" w:customStyle="1" w:styleId="mbin">
    <w:name w:val="mbin"/>
    <w:basedOn w:val="DefaultParagraphFont"/>
  </w:style>
  <w:style w:type="character" w:customStyle="1" w:styleId="math-inline">
    <w:name w:val="math-inline"/>
    <w:basedOn w:val="DefaultParagraphFont"/>
  </w:style>
  <w:style w:type="character" w:customStyle="1" w:styleId="citation-10">
    <w:name w:val="citation-10"/>
    <w:basedOn w:val="DefaultParagraphFont"/>
  </w:style>
  <w:style w:type="character" w:customStyle="1" w:styleId="citation-9">
    <w:name w:val="citation-9"/>
    <w:basedOn w:val="DefaultParagraphFont"/>
  </w:style>
  <w:style w:type="character" w:customStyle="1" w:styleId="citation-8">
    <w:name w:val="citation-8"/>
    <w:basedOn w:val="DefaultParagraphFont"/>
  </w:style>
  <w:style w:type="character" w:customStyle="1" w:styleId="citation-7">
    <w:name w:val="citation-7"/>
    <w:basedOn w:val="DefaultParagraphFont"/>
  </w:style>
  <w:style w:type="character" w:customStyle="1" w:styleId="citation-6">
    <w:name w:val="citation-6"/>
    <w:basedOn w:val="DefaultParagraphFont"/>
  </w:style>
  <w:style w:type="paragraph" w:styleId="ListParagraph">
    <w:name w:val="List Paragraph"/>
    <w:qFormat/>
    <w:rPr>
      <w:sz w:val="24"/>
      <w:szCs w:val="24"/>
    </w:rPr>
  </w:style>
  <w:style w:type="paragraph" w:styleId="Bibliography">
    <w:name w:val="Bibliography"/>
    <w:basedOn w:val="Normal"/>
    <w:next w:val="Normal"/>
    <w:uiPriority w:val="37"/>
    <w:unhideWhenUsed/>
    <w:rsid w:val="009F7812"/>
    <w:pPr>
      <w:spacing w:after="0" w:line="480" w:lineRule="auto"/>
      <w:ind w:left="720" w:hanging="720"/>
    </w:pPr>
  </w:style>
  <w:style w:type="paragraph" w:customStyle="1" w:styleId="Affiliation">
    <w:name w:val="Affiliation"/>
    <w:rsid w:val="00EB79F5"/>
    <w:pPr>
      <w:jc w:val="center"/>
    </w:pPr>
    <w:rPr>
      <w:rFonts w:eastAsia="SimSun"/>
    </w:rPr>
  </w:style>
  <w:style w:type="paragraph" w:customStyle="1" w:styleId="isselectedend">
    <w:name w:val="isselectedend"/>
    <w:basedOn w:val="Normal"/>
    <w:rsid w:val="0077744A"/>
    <w:pPr>
      <w:spacing w:before="100" w:beforeAutospacing="1" w:after="100" w:afterAutospacing="1"/>
    </w:pPr>
  </w:style>
  <w:style w:type="paragraph" w:customStyle="1" w:styleId="pdq2pgselectionanchorcontainer">
    <w:name w:val="pdq2pg_selectionanchorcontainer"/>
    <w:basedOn w:val="Normal"/>
    <w:rsid w:val="00FC3701"/>
    <w:pPr>
      <w:spacing w:before="100" w:beforeAutospacing="1" w:after="100" w:afterAutospacing="1"/>
    </w:pPr>
  </w:style>
  <w:style w:type="paragraph" w:styleId="BodyText">
    <w:name w:val="Body Text"/>
    <w:basedOn w:val="Normal"/>
    <w:link w:val="BodyTextChar"/>
    <w:uiPriority w:val="1"/>
    <w:qFormat/>
    <w:rsid w:val="00DF41AA"/>
    <w:pPr>
      <w:widowControl w:val="0"/>
      <w:autoSpaceDE w:val="0"/>
      <w:autoSpaceDN w:val="0"/>
      <w:spacing w:after="0"/>
    </w:pPr>
    <w:rPr>
      <w:rFonts w:ascii="Calibri" w:eastAsia="Calibri" w:hAnsi="Calibri" w:cs="Calibri"/>
      <w:sz w:val="22"/>
      <w:szCs w:val="22"/>
    </w:rPr>
  </w:style>
  <w:style w:type="character" w:customStyle="1" w:styleId="BodyTextChar">
    <w:name w:val="Body Text Char"/>
    <w:basedOn w:val="DefaultParagraphFont"/>
    <w:link w:val="BodyText"/>
    <w:uiPriority w:val="1"/>
    <w:rsid w:val="00DF41AA"/>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2050">
      <w:bodyDiv w:val="1"/>
      <w:marLeft w:val="0"/>
      <w:marRight w:val="0"/>
      <w:marTop w:val="0"/>
      <w:marBottom w:val="0"/>
      <w:divBdr>
        <w:top w:val="none" w:sz="0" w:space="0" w:color="auto"/>
        <w:left w:val="none" w:sz="0" w:space="0" w:color="auto"/>
        <w:bottom w:val="none" w:sz="0" w:space="0" w:color="auto"/>
        <w:right w:val="none" w:sz="0" w:space="0" w:color="auto"/>
      </w:divBdr>
    </w:div>
    <w:div w:id="60637117">
      <w:bodyDiv w:val="1"/>
      <w:marLeft w:val="0"/>
      <w:marRight w:val="0"/>
      <w:marTop w:val="0"/>
      <w:marBottom w:val="0"/>
      <w:divBdr>
        <w:top w:val="none" w:sz="0" w:space="0" w:color="auto"/>
        <w:left w:val="none" w:sz="0" w:space="0" w:color="auto"/>
        <w:bottom w:val="none" w:sz="0" w:space="0" w:color="auto"/>
        <w:right w:val="none" w:sz="0" w:space="0" w:color="auto"/>
      </w:divBdr>
    </w:div>
    <w:div w:id="119998377">
      <w:bodyDiv w:val="1"/>
      <w:marLeft w:val="0"/>
      <w:marRight w:val="0"/>
      <w:marTop w:val="0"/>
      <w:marBottom w:val="0"/>
      <w:divBdr>
        <w:top w:val="none" w:sz="0" w:space="0" w:color="auto"/>
        <w:left w:val="none" w:sz="0" w:space="0" w:color="auto"/>
        <w:bottom w:val="none" w:sz="0" w:space="0" w:color="auto"/>
        <w:right w:val="none" w:sz="0" w:space="0" w:color="auto"/>
      </w:divBdr>
    </w:div>
    <w:div w:id="183133352">
      <w:bodyDiv w:val="1"/>
      <w:marLeft w:val="0"/>
      <w:marRight w:val="0"/>
      <w:marTop w:val="0"/>
      <w:marBottom w:val="0"/>
      <w:divBdr>
        <w:top w:val="none" w:sz="0" w:space="0" w:color="auto"/>
        <w:left w:val="none" w:sz="0" w:space="0" w:color="auto"/>
        <w:bottom w:val="none" w:sz="0" w:space="0" w:color="auto"/>
        <w:right w:val="none" w:sz="0" w:space="0" w:color="auto"/>
      </w:divBdr>
    </w:div>
    <w:div w:id="265843376">
      <w:bodyDiv w:val="1"/>
      <w:marLeft w:val="0"/>
      <w:marRight w:val="0"/>
      <w:marTop w:val="0"/>
      <w:marBottom w:val="0"/>
      <w:divBdr>
        <w:top w:val="none" w:sz="0" w:space="0" w:color="auto"/>
        <w:left w:val="none" w:sz="0" w:space="0" w:color="auto"/>
        <w:bottom w:val="none" w:sz="0" w:space="0" w:color="auto"/>
        <w:right w:val="none" w:sz="0" w:space="0" w:color="auto"/>
      </w:divBdr>
    </w:div>
    <w:div w:id="284039991">
      <w:bodyDiv w:val="1"/>
      <w:marLeft w:val="0"/>
      <w:marRight w:val="0"/>
      <w:marTop w:val="0"/>
      <w:marBottom w:val="0"/>
      <w:divBdr>
        <w:top w:val="none" w:sz="0" w:space="0" w:color="auto"/>
        <w:left w:val="none" w:sz="0" w:space="0" w:color="auto"/>
        <w:bottom w:val="none" w:sz="0" w:space="0" w:color="auto"/>
        <w:right w:val="none" w:sz="0" w:space="0" w:color="auto"/>
      </w:divBdr>
    </w:div>
    <w:div w:id="448088022">
      <w:bodyDiv w:val="1"/>
      <w:marLeft w:val="0"/>
      <w:marRight w:val="0"/>
      <w:marTop w:val="0"/>
      <w:marBottom w:val="0"/>
      <w:divBdr>
        <w:top w:val="none" w:sz="0" w:space="0" w:color="auto"/>
        <w:left w:val="none" w:sz="0" w:space="0" w:color="auto"/>
        <w:bottom w:val="none" w:sz="0" w:space="0" w:color="auto"/>
        <w:right w:val="none" w:sz="0" w:space="0" w:color="auto"/>
      </w:divBdr>
    </w:div>
    <w:div w:id="539974273">
      <w:bodyDiv w:val="1"/>
      <w:marLeft w:val="0"/>
      <w:marRight w:val="0"/>
      <w:marTop w:val="0"/>
      <w:marBottom w:val="0"/>
      <w:divBdr>
        <w:top w:val="none" w:sz="0" w:space="0" w:color="auto"/>
        <w:left w:val="none" w:sz="0" w:space="0" w:color="auto"/>
        <w:bottom w:val="none" w:sz="0" w:space="0" w:color="auto"/>
        <w:right w:val="none" w:sz="0" w:space="0" w:color="auto"/>
      </w:divBdr>
    </w:div>
    <w:div w:id="588581519">
      <w:bodyDiv w:val="1"/>
      <w:marLeft w:val="0"/>
      <w:marRight w:val="0"/>
      <w:marTop w:val="0"/>
      <w:marBottom w:val="0"/>
      <w:divBdr>
        <w:top w:val="none" w:sz="0" w:space="0" w:color="auto"/>
        <w:left w:val="none" w:sz="0" w:space="0" w:color="auto"/>
        <w:bottom w:val="none" w:sz="0" w:space="0" w:color="auto"/>
        <w:right w:val="none" w:sz="0" w:space="0" w:color="auto"/>
      </w:divBdr>
    </w:div>
    <w:div w:id="591818965">
      <w:bodyDiv w:val="1"/>
      <w:marLeft w:val="0"/>
      <w:marRight w:val="0"/>
      <w:marTop w:val="0"/>
      <w:marBottom w:val="0"/>
      <w:divBdr>
        <w:top w:val="none" w:sz="0" w:space="0" w:color="auto"/>
        <w:left w:val="none" w:sz="0" w:space="0" w:color="auto"/>
        <w:bottom w:val="none" w:sz="0" w:space="0" w:color="auto"/>
        <w:right w:val="none" w:sz="0" w:space="0" w:color="auto"/>
      </w:divBdr>
    </w:div>
    <w:div w:id="612635525">
      <w:bodyDiv w:val="1"/>
      <w:marLeft w:val="0"/>
      <w:marRight w:val="0"/>
      <w:marTop w:val="0"/>
      <w:marBottom w:val="0"/>
      <w:divBdr>
        <w:top w:val="none" w:sz="0" w:space="0" w:color="auto"/>
        <w:left w:val="none" w:sz="0" w:space="0" w:color="auto"/>
        <w:bottom w:val="none" w:sz="0" w:space="0" w:color="auto"/>
        <w:right w:val="none" w:sz="0" w:space="0" w:color="auto"/>
      </w:divBdr>
    </w:div>
    <w:div w:id="654648041">
      <w:bodyDiv w:val="1"/>
      <w:marLeft w:val="0"/>
      <w:marRight w:val="0"/>
      <w:marTop w:val="0"/>
      <w:marBottom w:val="0"/>
      <w:divBdr>
        <w:top w:val="none" w:sz="0" w:space="0" w:color="auto"/>
        <w:left w:val="none" w:sz="0" w:space="0" w:color="auto"/>
        <w:bottom w:val="none" w:sz="0" w:space="0" w:color="auto"/>
        <w:right w:val="none" w:sz="0" w:space="0" w:color="auto"/>
      </w:divBdr>
    </w:div>
    <w:div w:id="768937186">
      <w:bodyDiv w:val="1"/>
      <w:marLeft w:val="0"/>
      <w:marRight w:val="0"/>
      <w:marTop w:val="0"/>
      <w:marBottom w:val="0"/>
      <w:divBdr>
        <w:top w:val="none" w:sz="0" w:space="0" w:color="auto"/>
        <w:left w:val="none" w:sz="0" w:space="0" w:color="auto"/>
        <w:bottom w:val="none" w:sz="0" w:space="0" w:color="auto"/>
        <w:right w:val="none" w:sz="0" w:space="0" w:color="auto"/>
      </w:divBdr>
    </w:div>
    <w:div w:id="917712091">
      <w:bodyDiv w:val="1"/>
      <w:marLeft w:val="0"/>
      <w:marRight w:val="0"/>
      <w:marTop w:val="0"/>
      <w:marBottom w:val="0"/>
      <w:divBdr>
        <w:top w:val="none" w:sz="0" w:space="0" w:color="auto"/>
        <w:left w:val="none" w:sz="0" w:space="0" w:color="auto"/>
        <w:bottom w:val="none" w:sz="0" w:space="0" w:color="auto"/>
        <w:right w:val="none" w:sz="0" w:space="0" w:color="auto"/>
      </w:divBdr>
    </w:div>
    <w:div w:id="1101294516">
      <w:bodyDiv w:val="1"/>
      <w:marLeft w:val="0"/>
      <w:marRight w:val="0"/>
      <w:marTop w:val="0"/>
      <w:marBottom w:val="0"/>
      <w:divBdr>
        <w:top w:val="none" w:sz="0" w:space="0" w:color="auto"/>
        <w:left w:val="none" w:sz="0" w:space="0" w:color="auto"/>
        <w:bottom w:val="none" w:sz="0" w:space="0" w:color="auto"/>
        <w:right w:val="none" w:sz="0" w:space="0" w:color="auto"/>
      </w:divBdr>
    </w:div>
    <w:div w:id="1136066873">
      <w:bodyDiv w:val="1"/>
      <w:marLeft w:val="0"/>
      <w:marRight w:val="0"/>
      <w:marTop w:val="0"/>
      <w:marBottom w:val="0"/>
      <w:divBdr>
        <w:top w:val="none" w:sz="0" w:space="0" w:color="auto"/>
        <w:left w:val="none" w:sz="0" w:space="0" w:color="auto"/>
        <w:bottom w:val="none" w:sz="0" w:space="0" w:color="auto"/>
        <w:right w:val="none" w:sz="0" w:space="0" w:color="auto"/>
      </w:divBdr>
    </w:div>
    <w:div w:id="1144158762">
      <w:bodyDiv w:val="1"/>
      <w:marLeft w:val="0"/>
      <w:marRight w:val="0"/>
      <w:marTop w:val="0"/>
      <w:marBottom w:val="0"/>
      <w:divBdr>
        <w:top w:val="none" w:sz="0" w:space="0" w:color="auto"/>
        <w:left w:val="none" w:sz="0" w:space="0" w:color="auto"/>
        <w:bottom w:val="none" w:sz="0" w:space="0" w:color="auto"/>
        <w:right w:val="none" w:sz="0" w:space="0" w:color="auto"/>
      </w:divBdr>
    </w:div>
    <w:div w:id="1189375564">
      <w:bodyDiv w:val="1"/>
      <w:marLeft w:val="0"/>
      <w:marRight w:val="0"/>
      <w:marTop w:val="0"/>
      <w:marBottom w:val="0"/>
      <w:divBdr>
        <w:top w:val="none" w:sz="0" w:space="0" w:color="auto"/>
        <w:left w:val="none" w:sz="0" w:space="0" w:color="auto"/>
        <w:bottom w:val="none" w:sz="0" w:space="0" w:color="auto"/>
        <w:right w:val="none" w:sz="0" w:space="0" w:color="auto"/>
      </w:divBdr>
    </w:div>
    <w:div w:id="1263100851">
      <w:bodyDiv w:val="1"/>
      <w:marLeft w:val="0"/>
      <w:marRight w:val="0"/>
      <w:marTop w:val="0"/>
      <w:marBottom w:val="0"/>
      <w:divBdr>
        <w:top w:val="none" w:sz="0" w:space="0" w:color="auto"/>
        <w:left w:val="none" w:sz="0" w:space="0" w:color="auto"/>
        <w:bottom w:val="none" w:sz="0" w:space="0" w:color="auto"/>
        <w:right w:val="none" w:sz="0" w:space="0" w:color="auto"/>
      </w:divBdr>
    </w:div>
    <w:div w:id="1275163774">
      <w:bodyDiv w:val="1"/>
      <w:marLeft w:val="0"/>
      <w:marRight w:val="0"/>
      <w:marTop w:val="0"/>
      <w:marBottom w:val="0"/>
      <w:divBdr>
        <w:top w:val="none" w:sz="0" w:space="0" w:color="auto"/>
        <w:left w:val="none" w:sz="0" w:space="0" w:color="auto"/>
        <w:bottom w:val="none" w:sz="0" w:space="0" w:color="auto"/>
        <w:right w:val="none" w:sz="0" w:space="0" w:color="auto"/>
      </w:divBdr>
    </w:div>
    <w:div w:id="1281032409">
      <w:bodyDiv w:val="1"/>
      <w:marLeft w:val="0"/>
      <w:marRight w:val="0"/>
      <w:marTop w:val="0"/>
      <w:marBottom w:val="0"/>
      <w:divBdr>
        <w:top w:val="none" w:sz="0" w:space="0" w:color="auto"/>
        <w:left w:val="none" w:sz="0" w:space="0" w:color="auto"/>
        <w:bottom w:val="none" w:sz="0" w:space="0" w:color="auto"/>
        <w:right w:val="none" w:sz="0" w:space="0" w:color="auto"/>
      </w:divBdr>
    </w:div>
    <w:div w:id="1311638811">
      <w:bodyDiv w:val="1"/>
      <w:marLeft w:val="0"/>
      <w:marRight w:val="0"/>
      <w:marTop w:val="0"/>
      <w:marBottom w:val="0"/>
      <w:divBdr>
        <w:top w:val="none" w:sz="0" w:space="0" w:color="auto"/>
        <w:left w:val="none" w:sz="0" w:space="0" w:color="auto"/>
        <w:bottom w:val="none" w:sz="0" w:space="0" w:color="auto"/>
        <w:right w:val="none" w:sz="0" w:space="0" w:color="auto"/>
      </w:divBdr>
    </w:div>
    <w:div w:id="1538009209">
      <w:bodyDiv w:val="1"/>
      <w:marLeft w:val="0"/>
      <w:marRight w:val="0"/>
      <w:marTop w:val="0"/>
      <w:marBottom w:val="0"/>
      <w:divBdr>
        <w:top w:val="none" w:sz="0" w:space="0" w:color="auto"/>
        <w:left w:val="none" w:sz="0" w:space="0" w:color="auto"/>
        <w:bottom w:val="none" w:sz="0" w:space="0" w:color="auto"/>
        <w:right w:val="none" w:sz="0" w:space="0" w:color="auto"/>
      </w:divBdr>
    </w:div>
    <w:div w:id="1685979448">
      <w:bodyDiv w:val="1"/>
      <w:marLeft w:val="0"/>
      <w:marRight w:val="0"/>
      <w:marTop w:val="0"/>
      <w:marBottom w:val="0"/>
      <w:divBdr>
        <w:top w:val="none" w:sz="0" w:space="0" w:color="auto"/>
        <w:left w:val="none" w:sz="0" w:space="0" w:color="auto"/>
        <w:bottom w:val="none" w:sz="0" w:space="0" w:color="auto"/>
        <w:right w:val="none" w:sz="0" w:space="0" w:color="auto"/>
      </w:divBdr>
    </w:div>
    <w:div w:id="1732383861">
      <w:bodyDiv w:val="1"/>
      <w:marLeft w:val="0"/>
      <w:marRight w:val="0"/>
      <w:marTop w:val="0"/>
      <w:marBottom w:val="0"/>
      <w:divBdr>
        <w:top w:val="none" w:sz="0" w:space="0" w:color="auto"/>
        <w:left w:val="none" w:sz="0" w:space="0" w:color="auto"/>
        <w:bottom w:val="none" w:sz="0" w:space="0" w:color="auto"/>
        <w:right w:val="none" w:sz="0" w:space="0" w:color="auto"/>
      </w:divBdr>
    </w:div>
    <w:div w:id="1775632880">
      <w:bodyDiv w:val="1"/>
      <w:marLeft w:val="0"/>
      <w:marRight w:val="0"/>
      <w:marTop w:val="0"/>
      <w:marBottom w:val="0"/>
      <w:divBdr>
        <w:top w:val="none" w:sz="0" w:space="0" w:color="auto"/>
        <w:left w:val="none" w:sz="0" w:space="0" w:color="auto"/>
        <w:bottom w:val="none" w:sz="0" w:space="0" w:color="auto"/>
        <w:right w:val="none" w:sz="0" w:space="0" w:color="auto"/>
      </w:divBdr>
    </w:div>
    <w:div w:id="1886521827">
      <w:bodyDiv w:val="1"/>
      <w:marLeft w:val="0"/>
      <w:marRight w:val="0"/>
      <w:marTop w:val="0"/>
      <w:marBottom w:val="0"/>
      <w:divBdr>
        <w:top w:val="none" w:sz="0" w:space="0" w:color="auto"/>
        <w:left w:val="none" w:sz="0" w:space="0" w:color="auto"/>
        <w:bottom w:val="none" w:sz="0" w:space="0" w:color="auto"/>
        <w:right w:val="none" w:sz="0" w:space="0" w:color="auto"/>
      </w:divBdr>
    </w:div>
    <w:div w:id="1895701168">
      <w:bodyDiv w:val="1"/>
      <w:marLeft w:val="0"/>
      <w:marRight w:val="0"/>
      <w:marTop w:val="0"/>
      <w:marBottom w:val="0"/>
      <w:divBdr>
        <w:top w:val="none" w:sz="0" w:space="0" w:color="auto"/>
        <w:left w:val="none" w:sz="0" w:space="0" w:color="auto"/>
        <w:bottom w:val="none" w:sz="0" w:space="0" w:color="auto"/>
        <w:right w:val="none" w:sz="0" w:space="0" w:color="auto"/>
      </w:divBdr>
    </w:div>
    <w:div w:id="2063285142">
      <w:bodyDiv w:val="1"/>
      <w:marLeft w:val="0"/>
      <w:marRight w:val="0"/>
      <w:marTop w:val="0"/>
      <w:marBottom w:val="0"/>
      <w:divBdr>
        <w:top w:val="none" w:sz="0" w:space="0" w:color="auto"/>
        <w:left w:val="none" w:sz="0" w:space="0" w:color="auto"/>
        <w:bottom w:val="none" w:sz="0" w:space="0" w:color="auto"/>
        <w:right w:val="none" w:sz="0" w:space="0" w:color="auto"/>
      </w:divBdr>
    </w:div>
    <w:div w:id="2076926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491F8-4EFD-40F6-8B2D-EEF10767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52</Pages>
  <Words>25505</Words>
  <Characters>145380</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dc:creator>
  <cp:lastModifiedBy>Lydia</cp:lastModifiedBy>
  <cp:revision>7</cp:revision>
  <dcterms:created xsi:type="dcterms:W3CDTF">2026-07-07T04:39:00Z</dcterms:created>
  <dcterms:modified xsi:type="dcterms:W3CDTF">2026-07-07T04:55:00Z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4F6EB70914014935975818FA0ACFFCAF_12</vt:lpwstr>
  </property>
  <property fmtid="{D5CDD505-2E9C-101B-9397-08002B2CF9AE}" pid="4" name="ZOTERO_PREF_1">
    <vt:lpwstr>&lt;data data-version="3" zotero-version="9.0.2"&gt;&lt;session id="cxl7wUUu"/&gt;&lt;style id="http://www.zotero.org/styles/apa" locale="en-US" hasBibliography="1" bibliographyStyleHasBeenSet="1"/&gt;&lt;prefs&gt;&lt;pref name="fieldType" value="Field"/&gt;&lt;pref name="automaticJourna</vt:lpwstr>
  </property>
  <property fmtid="{D5CDD505-2E9C-101B-9397-08002B2CF9AE}" pid="5" name="ZOTERO_PREF_2">
    <vt:lpwstr>lAbbreviations" value="true"/&gt;&lt;/prefs&gt;&lt;/data&gt;</vt:lpwstr>
  </property>
</Properties>
</file>