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59" w:lineRule="auto" w:before="79"/>
        <w:ind w:left="568" w:right="575" w:firstLine="3"/>
        <w:jc w:val="center"/>
        <w:rPr>
          <w:b/>
          <w:sz w:val="28"/>
        </w:rPr>
      </w:pPr>
      <w:r>
        <w:rPr>
          <w:rFonts w:ascii="Arial" w:hAnsi="Arial"/>
          <w:b/>
          <w:color w:val="212121"/>
          <w:sz w:val="22"/>
        </w:rPr>
        <w:t>“Maritime Piracy: A Triple Critical Analysis of International Criminal Law, Its Implementation</w:t>
      </w:r>
      <w:r>
        <w:rPr>
          <w:rFonts w:ascii="Arial" w:hAnsi="Arial"/>
          <w:b/>
          <w:color w:val="212121"/>
          <w:spacing w:val="-6"/>
          <w:sz w:val="22"/>
        </w:rPr>
        <w:t> </w:t>
      </w:r>
      <w:r>
        <w:rPr>
          <w:rFonts w:ascii="Arial" w:hAnsi="Arial"/>
          <w:b/>
          <w:color w:val="212121"/>
          <w:sz w:val="22"/>
        </w:rPr>
        <w:t>in</w:t>
      </w:r>
      <w:r>
        <w:rPr>
          <w:rFonts w:ascii="Arial" w:hAnsi="Arial"/>
          <w:b/>
          <w:color w:val="212121"/>
          <w:spacing w:val="-6"/>
          <w:sz w:val="22"/>
        </w:rPr>
        <w:t> </w:t>
      </w:r>
      <w:r>
        <w:rPr>
          <w:rFonts w:ascii="Arial" w:hAnsi="Arial"/>
          <w:b/>
          <w:color w:val="212121"/>
          <w:sz w:val="22"/>
        </w:rPr>
        <w:t>National</w:t>
      </w:r>
      <w:r>
        <w:rPr>
          <w:rFonts w:ascii="Arial" w:hAnsi="Arial"/>
          <w:b/>
          <w:color w:val="212121"/>
          <w:spacing w:val="-6"/>
          <w:sz w:val="22"/>
        </w:rPr>
        <w:t> </w:t>
      </w:r>
      <w:r>
        <w:rPr>
          <w:rFonts w:ascii="Arial" w:hAnsi="Arial"/>
          <w:b/>
          <w:color w:val="212121"/>
          <w:sz w:val="22"/>
        </w:rPr>
        <w:t>Legal</w:t>
      </w:r>
      <w:r>
        <w:rPr>
          <w:rFonts w:ascii="Arial" w:hAnsi="Arial"/>
          <w:b/>
          <w:color w:val="212121"/>
          <w:spacing w:val="-6"/>
          <w:sz w:val="22"/>
        </w:rPr>
        <w:t> </w:t>
      </w:r>
      <w:r>
        <w:rPr>
          <w:rFonts w:ascii="Arial" w:hAnsi="Arial"/>
          <w:b/>
          <w:color w:val="212121"/>
          <w:sz w:val="22"/>
        </w:rPr>
        <w:t>Systems,</w:t>
      </w:r>
      <w:r>
        <w:rPr>
          <w:rFonts w:ascii="Arial" w:hAnsi="Arial"/>
          <w:b/>
          <w:color w:val="212121"/>
          <w:spacing w:val="-6"/>
          <w:sz w:val="22"/>
        </w:rPr>
        <w:t> </w:t>
      </w:r>
      <w:r>
        <w:rPr>
          <w:rFonts w:ascii="Arial" w:hAnsi="Arial"/>
          <w:b/>
          <w:color w:val="212121"/>
          <w:sz w:val="22"/>
        </w:rPr>
        <w:t>and</w:t>
      </w:r>
      <w:r>
        <w:rPr>
          <w:rFonts w:ascii="Arial" w:hAnsi="Arial"/>
          <w:b/>
          <w:color w:val="212121"/>
          <w:spacing w:val="-6"/>
          <w:sz w:val="22"/>
        </w:rPr>
        <w:t> </w:t>
      </w:r>
      <w:r>
        <w:rPr>
          <w:rFonts w:ascii="Arial" w:hAnsi="Arial"/>
          <w:b/>
          <w:color w:val="212121"/>
          <w:sz w:val="22"/>
        </w:rPr>
        <w:t>Applicable</w:t>
      </w:r>
      <w:r>
        <w:rPr>
          <w:rFonts w:ascii="Arial" w:hAnsi="Arial"/>
          <w:b/>
          <w:color w:val="212121"/>
          <w:spacing w:val="-6"/>
          <w:sz w:val="22"/>
        </w:rPr>
        <w:t> </w:t>
      </w:r>
      <w:r>
        <w:rPr>
          <w:rFonts w:ascii="Arial" w:hAnsi="Arial"/>
          <w:b/>
          <w:color w:val="212121"/>
          <w:sz w:val="22"/>
        </w:rPr>
        <w:t>International</w:t>
      </w:r>
      <w:r>
        <w:rPr>
          <w:rFonts w:ascii="Arial" w:hAnsi="Arial"/>
          <w:b/>
          <w:color w:val="212121"/>
          <w:spacing w:val="-6"/>
          <w:sz w:val="22"/>
        </w:rPr>
        <w:t> </w:t>
      </w:r>
      <w:r>
        <w:rPr>
          <w:rFonts w:ascii="Arial" w:hAnsi="Arial"/>
          <w:b/>
          <w:color w:val="212121"/>
          <w:sz w:val="22"/>
        </w:rPr>
        <w:t>Judicial Cooperation.” </w:t>
      </w:r>
      <w:r>
        <w:rPr>
          <w:b/>
          <w:sz w:val="28"/>
        </w:rPr>
        <w:t>La piraterie maritime : triple analyse critique du Droit international pénal, de sa mise en œuvre dans les systèmes juridiques nationaux et de la coopération judiciaire internationale applicable</w:t>
      </w:r>
    </w:p>
    <w:p>
      <w:pPr>
        <w:pStyle w:val="BodyText"/>
        <w:spacing w:before="269"/>
        <w:rPr>
          <w:b/>
          <w:sz w:val="28"/>
        </w:rPr>
      </w:pPr>
    </w:p>
    <w:p>
      <w:pPr>
        <w:spacing w:line="410" w:lineRule="auto" w:before="1"/>
        <w:ind w:left="2973" w:right="1759" w:hanging="516"/>
        <w:jc w:val="left"/>
        <w:rPr>
          <w:b/>
          <w:sz w:val="22"/>
        </w:rPr>
      </w:pPr>
      <w:r>
        <w:rPr>
          <w:b/>
          <w:sz w:val="22"/>
        </w:rPr>
        <w:t/>
      </w:r>
      <w:r>
        <w:rPr>
          <w:b/>
          <w:spacing w:val="-7"/>
          <w:sz w:val="22"/>
        </w:rPr>
        <w:t/>
      </w:r>
      <w:r>
        <w:rPr>
          <w:b/>
          <w:sz w:val="22"/>
        </w:rPr>
        <w:t/>
      </w:r>
      <w:r>
        <w:rPr>
          <w:b/>
          <w:spacing w:val="-7"/>
          <w:sz w:val="22"/>
        </w:rPr>
        <w:t/>
      </w:r>
      <w:r>
        <w:rPr>
          <w:b/>
          <w:sz w:val="22"/>
        </w:rPr>
        <w:t/>
      </w:r>
      <w:r>
        <w:rPr>
          <w:b/>
          <w:spacing w:val="-7"/>
          <w:sz w:val="22"/>
        </w:rPr>
        <w:t/>
      </w:r>
      <w:r>
        <w:rPr>
          <w:b/>
          <w:sz w:val="22"/>
        </w:rPr>
        <w:t/>
      </w:r>
      <w:r>
        <w:rPr>
          <w:b/>
          <w:spacing w:val="-7"/>
          <w:sz w:val="22"/>
        </w:rPr>
        <w:t/>
      </w:r>
      <w:r>
        <w:rPr>
          <w:b/>
          <w:sz w:val="22"/>
        </w:rPr>
        <w:t/>
      </w:r>
      <w:r>
        <w:rPr>
          <w:b/>
          <w:spacing w:val="-7"/>
          <w:sz w:val="22"/>
        </w:rPr>
        <w:t/>
      </w:r>
      <w:r>
        <w:rPr>
          <w:b/>
          <w:sz w:val="22"/>
        </w:rPr>
        <w:t/>
      </w:r>
    </w:p>
    <w:p>
      <w:pPr>
        <w:spacing w:line="410" w:lineRule="auto" w:before="0"/>
        <w:ind w:left="2973" w:right="1342" w:firstLine="0"/>
        <w:jc w:val="left"/>
        <w:rPr>
          <w:b/>
          <w:sz w:val="22"/>
        </w:rPr>
      </w:pPr>
      <w:r>
        <w:rPr>
          <w:b/>
          <w:sz w:val="22"/>
        </w:rPr>
        <w:t/>
      </w:r>
      <w:r>
        <w:rPr>
          <w:b/>
          <w:spacing w:val="-6"/>
          <w:sz w:val="22"/>
        </w:rPr>
        <w:t/>
      </w:r>
      <w:r>
        <w:rPr>
          <w:b/>
          <w:sz w:val="22"/>
        </w:rPr>
        <w:t/>
      </w:r>
      <w:r>
        <w:rPr>
          <w:b/>
          <w:spacing w:val="-6"/>
          <w:sz w:val="22"/>
        </w:rPr>
        <w:t/>
      </w:r>
      <w:r>
        <w:rPr>
          <w:b/>
          <w:sz w:val="22"/>
        </w:rPr>
        <w:t/>
      </w:r>
      <w:r>
        <w:rPr>
          <w:b/>
          <w:spacing w:val="-6"/>
          <w:sz w:val="22"/>
        </w:rPr>
        <w:t/>
      </w:r>
      <w:r>
        <w:rPr>
          <w:b/>
          <w:sz w:val="22"/>
        </w:rPr>
        <w:t/>
      </w:r>
      <w:r>
        <w:rPr>
          <w:b/>
          <w:spacing w:val="-6"/>
          <w:sz w:val="22"/>
        </w:rPr>
        <w:t/>
      </w:r>
      <w:r>
        <w:rPr>
          <w:b/>
          <w:sz w:val="22"/>
        </w:rPr>
        <w:t/>
      </w:r>
      <w:r>
        <w:rPr>
          <w:b/>
          <w:spacing w:val="-6"/>
          <w:sz w:val="22"/>
        </w:rPr>
        <w:t/>
      </w:r>
      <w:r>
        <w:rPr>
          <w:b/>
          <w:sz w:val="22"/>
        </w:rPr>
        <w:t/>
      </w:r>
      <w:r>
        <w:rPr>
          <w:b/>
          <w:spacing w:val="-6"/>
          <w:sz w:val="22"/>
        </w:rPr>
        <w:t/>
      </w:r>
      <w:r>
        <w:rPr>
          <w:b/>
          <w:sz w:val="22"/>
        </w:rPr>
        <w:t/>
      </w:r>
      <w:r>
        <w:rPr>
          <w:b/>
          <w:sz w:val="22"/>
          <w:vertAlign w:val="superscript"/>
        </w:rPr>
        <w:t/>
      </w:r>
      <w:r>
        <w:rPr>
          <w:b/>
          <w:sz w:val="22"/>
          <w:vertAlign w:val="baseline"/>
        </w:rPr>
        <w:t/>
      </w:r>
    </w:p>
    <w:p>
      <w:pPr>
        <w:pStyle w:val="BodyText"/>
        <w:spacing w:before="144"/>
        <w:rPr>
          <w:b/>
          <w:sz w:val="22"/>
        </w:rPr>
      </w:pPr>
    </w:p>
    <w:p>
      <w:pPr>
        <w:pStyle w:val="Heading1"/>
        <w:spacing w:before="1"/>
        <w:ind w:left="141"/>
      </w:pPr>
      <w:r>
        <w:rPr>
          <w:spacing w:val="-2"/>
        </w:rPr>
        <w:t/>
      </w:r>
    </w:p>
    <w:p>
      <w:pPr>
        <w:pStyle w:val="BodyText"/>
        <w:spacing w:before="280"/>
        <w:ind w:left="141" w:right="147"/>
        <w:jc w:val="both"/>
      </w:pPr>
      <w:r>
        <w:rPr/>
        <w:t/>
      </w:r>
      <w:r>
        <w:rPr>
          <w:spacing w:val="-3"/>
        </w:rPr>
        <w:t/>
      </w:r>
      <w:r>
        <w:rPr/>
        <w:t/>
      </w:r>
      <w:r>
        <w:rPr>
          <w:spacing w:val="-3"/>
        </w:rPr>
        <w:t/>
      </w:r>
      <w:r>
        <w:rPr/>
        <w:t/>
      </w:r>
      <w:r>
        <w:rPr>
          <w:spacing w:val="-3"/>
        </w:rPr>
        <w:t/>
      </w:r>
      <w:r>
        <w:rPr/>
        <w:t/>
      </w:r>
      <w:r>
        <w:rPr>
          <w:spacing w:val="-3"/>
        </w:rPr>
        <w:t/>
      </w:r>
      <w:r>
        <w:rPr/>
        <w:t/>
      </w:r>
      <w:r>
        <w:rPr>
          <w:spacing w:val="-3"/>
        </w:rPr>
        <w:t/>
      </w:r>
      <w:r>
        <w:rPr/>
        <w:t/>
      </w:r>
      <w:r>
        <w:rPr>
          <w:spacing w:val="-3"/>
        </w:rPr>
        <w:t/>
      </w:r>
      <w:r>
        <w:rPr/>
        <w:t/>
      </w:r>
      <w:r>
        <w:rPr>
          <w:spacing w:val="-3"/>
        </w:rPr>
        <w:t/>
      </w:r>
      <w:r>
        <w:rPr/>
        <w:t/>
      </w:r>
      <w:r>
        <w:rPr>
          <w:spacing w:val="-3"/>
        </w:rPr>
        <w:t/>
      </w:r>
      <w:r>
        <w:rPr/>
        <w:t/>
      </w:r>
      <w:r>
        <w:rPr>
          <w:spacing w:val="-3"/>
        </w:rPr>
        <w:t/>
      </w:r>
      <w:r>
        <w:rPr/>
        <w:t/>
      </w:r>
      <w:r>
        <w:rPr>
          <w:spacing w:val="-3"/>
        </w:rPr>
        <w:t/>
      </w:r>
      <w:r>
        <w:rPr/>
        <w:t/>
      </w:r>
      <w:r>
        <w:rPr>
          <w:spacing w:val="-3"/>
        </w:rPr>
        <w:t/>
      </w:r>
      <w:r>
        <w:rPr/>
        <w:t/>
      </w:r>
      <w:r>
        <w:rPr>
          <w:spacing w:val="-3"/>
        </w:rPr>
        <w:t/>
      </w:r>
      <w:r>
        <w:rPr/>
        <w:t/>
      </w:r>
    </w:p>
    <w:p>
      <w:pPr>
        <w:pStyle w:val="BodyText"/>
        <w:spacing w:before="3"/>
      </w:pPr>
    </w:p>
    <w:p>
      <w:pPr>
        <w:pStyle w:val="BodyText"/>
        <w:spacing w:before="1"/>
        <w:ind w:left="141" w:right="145"/>
        <w:jc w:val="both"/>
      </w:pPr>
      <w:r>
        <w:rPr/>
        <w:t/>
      </w:r>
    </w:p>
    <w:p>
      <w:pPr>
        <w:pStyle w:val="BodyText"/>
        <w:spacing w:before="3"/>
      </w:pPr>
    </w:p>
    <w:p>
      <w:pPr>
        <w:pStyle w:val="BodyText"/>
        <w:spacing w:before="1"/>
        <w:ind w:left="141" w:right="146"/>
        <w:jc w:val="both"/>
      </w:pPr>
      <w:r>
        <w:rPr/>
        <w:t/>
      </w:r>
    </w:p>
    <w:p>
      <w:pPr>
        <w:pStyle w:val="BodyText"/>
        <w:spacing w:before="3"/>
      </w:pPr>
    </w:p>
    <w:p>
      <w:pPr>
        <w:pStyle w:val="BodyText"/>
        <w:spacing w:before="1"/>
        <w:ind w:left="141" w:right="146"/>
        <w:jc w:val="both"/>
      </w:pPr>
      <w:r>
        <w:rPr/>
        <w:t/>
      </w:r>
      <w:r>
        <w:rPr>
          <w:spacing w:val="40"/>
        </w:rPr>
        <w:t/>
      </w:r>
      <w:r>
        <w:rPr/>
        <w:t/>
      </w:r>
      <w:r>
        <w:rPr>
          <w:spacing w:val="-2"/>
        </w:rPr>
        <w:t/>
      </w:r>
    </w:p>
    <w:p>
      <w:pPr>
        <w:pStyle w:val="BodyText"/>
        <w:spacing w:before="3"/>
      </w:pPr>
    </w:p>
    <w:p>
      <w:pPr>
        <w:pStyle w:val="BodyText"/>
        <w:spacing w:before="1"/>
        <w:ind w:left="141" w:right="147"/>
        <w:jc w:val="both"/>
      </w:pPr>
      <w:r>
        <w:rPr/>
        <w:t/>
      </w:r>
      <w:r>
        <w:rPr>
          <w:spacing w:val="-4"/>
        </w:rPr>
        <w:t/>
      </w:r>
      <w:r>
        <w:rPr/>
        <w:t/>
      </w:r>
      <w:r>
        <w:rPr>
          <w:spacing w:val="-4"/>
        </w:rPr>
        <w:t/>
      </w:r>
      <w:r>
        <w:rPr/>
        <w:t/>
      </w:r>
      <w:r>
        <w:rPr>
          <w:spacing w:val="-4"/>
        </w:rPr>
        <w:t/>
      </w:r>
      <w:r>
        <w:rPr/>
        <w:t/>
      </w:r>
      <w:r>
        <w:rPr>
          <w:spacing w:val="-4"/>
        </w:rPr>
        <w:t/>
      </w:r>
      <w:r>
        <w:rPr/>
        <w:t/>
      </w:r>
      <w:r>
        <w:rPr>
          <w:spacing w:val="-4"/>
        </w:rPr>
        <w:t/>
      </w:r>
      <w:r>
        <w:rPr/>
        <w:t/>
      </w:r>
      <w:r>
        <w:rPr>
          <w:spacing w:val="-4"/>
        </w:rPr>
        <w:t/>
      </w:r>
      <w:r>
        <w:rPr/>
        <w:t/>
      </w:r>
      <w:r>
        <w:rPr>
          <w:spacing w:val="-4"/>
        </w:rPr>
        <w:t/>
      </w:r>
      <w:r>
        <w:rPr/>
        <w:t/>
      </w:r>
      <w:r>
        <w:rPr>
          <w:spacing w:val="-4"/>
        </w:rPr>
        <w:t/>
      </w:r>
      <w:r>
        <w:rPr/>
        <w:t/>
      </w:r>
      <w:r>
        <w:rPr>
          <w:spacing w:val="-4"/>
        </w:rPr>
        <w:t/>
      </w:r>
      <w:r>
        <w:rPr/>
        <w:t/>
      </w:r>
      <w:r>
        <w:rPr>
          <w:spacing w:val="-4"/>
        </w:rPr>
        <w:t/>
      </w:r>
      <w:r>
        <w:rPr/>
        <w:t/>
      </w:r>
      <w:r>
        <w:rPr>
          <w:spacing w:val="-4"/>
        </w:rPr>
        <w:t/>
      </w:r>
      <w:r>
        <w:rPr/>
        <w:t/>
      </w:r>
    </w:p>
    <w:p>
      <w:pPr>
        <w:pStyle w:val="BodyText"/>
        <w:spacing w:after="0"/>
        <w:jc w:val="both"/>
        <w:sectPr>
          <w:footerReference w:type="default" r:id="rId5"/>
          <w:type w:val="continuous"/>
          <w:pgSz w:w="11910" w:h="16840"/>
          <w:pgMar w:header="0" w:footer="1005" w:top="1320" w:bottom="1200" w:left="1275" w:right="1133"/>
          <w:pgNumType w:start="1"/>
        </w:sectPr>
      </w:pPr>
    </w:p>
    <w:p>
      <w:pPr>
        <w:pStyle w:val="BodyText"/>
        <w:spacing w:before="59"/>
        <w:ind w:left="142"/>
      </w:pPr>
      <w:r>
        <w:rPr>
          <w:b/>
          <w:sz w:val="28"/>
        </w:rPr>
        <w:t/>
      </w:r>
      <w:r>
        <w:rPr/>
        <w:t/>
      </w:r>
    </w:p>
    <w:p>
      <w:pPr>
        <w:pStyle w:val="BodyText"/>
        <w:spacing w:after="0"/>
        <w:sectPr>
          <w:pgSz w:w="11910" w:h="16840"/>
          <w:pgMar w:header="0" w:footer="1005" w:top="1340" w:bottom="1200" w:left="1275" w:right="1133"/>
        </w:sectPr>
      </w:pPr>
    </w:p>
    <w:p>
      <w:pPr>
        <w:pStyle w:val="Heading1"/>
      </w:pPr>
      <w:r>
        <w:rPr>
          <w:spacing w:val="-2"/>
        </w:rPr>
        <w:t>ABSTRACT</w:t>
      </w:r>
    </w:p>
    <w:p>
      <w:pPr>
        <w:pStyle w:val="BodyText"/>
        <w:spacing w:before="280"/>
        <w:ind w:left="142" w:right="145"/>
        <w:jc w:val="both"/>
      </w:pPr>
      <w:r>
        <w:rPr/>
        <w:t>Maritime piracy remains one of the most serious forms of transnational maritime crime, posing significant threats to international navigation safety and the stability of global trade routes. Occurring predominantly on the high seas, it is governed by a specific international legal regime based on universal jurisdiction and inter-State cooperation.</w:t>
      </w:r>
    </w:p>
    <w:p>
      <w:pPr>
        <w:pStyle w:val="BodyText"/>
        <w:spacing w:before="4"/>
      </w:pPr>
    </w:p>
    <w:p>
      <w:pPr>
        <w:pStyle w:val="BodyText"/>
        <w:ind w:left="142" w:right="145"/>
        <w:jc w:val="both"/>
      </w:pPr>
      <w:r>
        <w:rPr/>
        <w:t>This</w:t>
      </w:r>
      <w:r>
        <w:rPr>
          <w:spacing w:val="-2"/>
        </w:rPr>
        <w:t> </w:t>
      </w:r>
      <w:r>
        <w:rPr/>
        <w:t>study</w:t>
      </w:r>
      <w:r>
        <w:rPr>
          <w:spacing w:val="-2"/>
        </w:rPr>
        <w:t> </w:t>
      </w:r>
      <w:r>
        <w:rPr/>
        <w:t>aims</w:t>
      </w:r>
      <w:r>
        <w:rPr>
          <w:spacing w:val="-2"/>
        </w:rPr>
        <w:t> </w:t>
      </w:r>
      <w:r>
        <w:rPr/>
        <w:t>to</w:t>
      </w:r>
      <w:r>
        <w:rPr>
          <w:spacing w:val="-2"/>
        </w:rPr>
        <w:t> </w:t>
      </w:r>
      <w:r>
        <w:rPr/>
        <w:t>provide</w:t>
      </w:r>
      <w:r>
        <w:rPr>
          <w:spacing w:val="-2"/>
        </w:rPr>
        <w:t> </w:t>
      </w:r>
      <w:r>
        <w:rPr/>
        <w:t>a</w:t>
      </w:r>
      <w:r>
        <w:rPr>
          <w:spacing w:val="-2"/>
        </w:rPr>
        <w:t> </w:t>
      </w:r>
      <w:r>
        <w:rPr/>
        <w:t>critical</w:t>
      </w:r>
      <w:r>
        <w:rPr>
          <w:spacing w:val="-2"/>
        </w:rPr>
        <w:t> </w:t>
      </w:r>
      <w:r>
        <w:rPr/>
        <w:t>analysis</w:t>
      </w:r>
      <w:r>
        <w:rPr>
          <w:spacing w:val="-2"/>
        </w:rPr>
        <w:t> </w:t>
      </w:r>
      <w:r>
        <w:rPr/>
        <w:t>of</w:t>
      </w:r>
      <w:r>
        <w:rPr>
          <w:spacing w:val="-2"/>
        </w:rPr>
        <w:t> </w:t>
      </w:r>
      <w:r>
        <w:rPr/>
        <w:t>maritime</w:t>
      </w:r>
      <w:r>
        <w:rPr>
          <w:spacing w:val="-2"/>
        </w:rPr>
        <w:t> </w:t>
      </w:r>
      <w:r>
        <w:rPr/>
        <w:t>piracy,</w:t>
      </w:r>
      <w:r>
        <w:rPr>
          <w:spacing w:val="-2"/>
        </w:rPr>
        <w:t> </w:t>
      </w:r>
      <w:r>
        <w:rPr/>
        <w:t>with</w:t>
      </w:r>
      <w:r>
        <w:rPr>
          <w:spacing w:val="-2"/>
        </w:rPr>
        <w:t> </w:t>
      </w:r>
      <w:r>
        <w:rPr/>
        <w:t>particular</w:t>
      </w:r>
      <w:r>
        <w:rPr>
          <w:spacing w:val="-2"/>
        </w:rPr>
        <w:t> </w:t>
      </w:r>
      <w:r>
        <w:rPr/>
        <w:t>emphasis</w:t>
      </w:r>
      <w:r>
        <w:rPr>
          <w:spacing w:val="-2"/>
        </w:rPr>
        <w:t> </w:t>
      </w:r>
      <w:r>
        <w:rPr/>
        <w:t>on</w:t>
      </w:r>
      <w:r>
        <w:rPr>
          <w:spacing w:val="-2"/>
        </w:rPr>
        <w:t> </w:t>
      </w:r>
      <w:r>
        <w:rPr/>
        <w:t>its legal qualification under international criminal law and the mechanisms governing its prosecution. Due to its inherently transnational nature, the suppression of piracy requires a coordinated articulation between international legal norms and domestic legal systems, as well as effective judicial cooperation among States.</w:t>
      </w:r>
    </w:p>
    <w:p>
      <w:pPr>
        <w:pStyle w:val="BodyText"/>
        <w:spacing w:before="4"/>
      </w:pPr>
    </w:p>
    <w:p>
      <w:pPr>
        <w:pStyle w:val="BodyText"/>
        <w:ind w:left="142" w:right="145"/>
        <w:jc w:val="both"/>
      </w:pPr>
      <w:r>
        <w:rPr/>
        <w:t>Methodologically, the research adopts a deductive approach based on doctrinal and documentary analysis of legal instruments, academic literature, and institutional reports.</w:t>
      </w:r>
      <w:r>
        <w:rPr>
          <w:spacing w:val="40"/>
        </w:rPr>
        <w:t> </w:t>
      </w:r>
      <w:r>
        <w:rPr/>
        <w:t>Special attention is given to the normative framework established by the United Nations Convention on the Law of the Sea, which constitutes the primary legal foundation for combating piracy at the international level.</w:t>
      </w:r>
    </w:p>
    <w:p>
      <w:pPr>
        <w:pStyle w:val="BodyText"/>
        <w:spacing w:before="4"/>
      </w:pPr>
    </w:p>
    <w:p>
      <w:pPr>
        <w:pStyle w:val="BodyText"/>
        <w:ind w:left="142" w:right="146"/>
        <w:jc w:val="both"/>
      </w:pPr>
      <w:r>
        <w:rPr/>
        <w:t>The study further highlights the importance of judicial cooperation mechanisms, including mutual legal assistance, extradition, and intelligence sharing, in ensuring the effectiveness of piracy repression. It also identifies persistent challenges related to the uneven implementation of international norms within national legal systems and the limited harmonization of enforcement mechanisms across jurisdictions.</w:t>
      </w:r>
    </w:p>
    <w:p>
      <w:pPr>
        <w:pStyle w:val="BodyText"/>
        <w:spacing w:before="4"/>
      </w:pPr>
    </w:p>
    <w:p>
      <w:pPr>
        <w:pStyle w:val="BodyText"/>
        <w:ind w:left="142" w:right="146"/>
        <w:jc w:val="both"/>
      </w:pPr>
      <w:r>
        <w:rPr/>
        <w:t>In conclusion, strengthening the incorporation of international conventions into domestic legal orders, alongside enhancing international judicial cooperation frameworks, appears essential</w:t>
      </w:r>
      <w:r>
        <w:rPr>
          <w:spacing w:val="40"/>
        </w:rPr>
        <w:t> </w:t>
      </w:r>
      <w:r>
        <w:rPr/>
        <w:t>for improving the effectiveness of maritime piracy repression.</w:t>
      </w:r>
    </w:p>
    <w:p>
      <w:pPr>
        <w:pStyle w:val="BodyText"/>
        <w:spacing w:before="4"/>
      </w:pPr>
    </w:p>
    <w:p>
      <w:pPr>
        <w:pStyle w:val="BodyText"/>
        <w:ind w:left="142" w:right="148"/>
        <w:jc w:val="both"/>
      </w:pPr>
      <w:r>
        <w:rPr>
          <w:b/>
          <w:sz w:val="28"/>
        </w:rPr>
        <w:t>Keywords : </w:t>
      </w:r>
      <w:r>
        <w:rPr/>
        <w:t>Maritime piracy; high seas; universal jurisdiction; judicial cooperation; right of hot pursuit; international criminal law.</w:t>
      </w:r>
    </w:p>
    <w:p>
      <w:pPr>
        <w:pStyle w:val="BodyText"/>
        <w:spacing w:after="0"/>
        <w:jc w:val="both"/>
        <w:sectPr>
          <w:pgSz w:w="11910" w:h="16840"/>
          <w:pgMar w:header="0" w:footer="1005" w:top="1340" w:bottom="1200" w:left="1275" w:right="1133"/>
        </w:sectPr>
      </w:pPr>
    </w:p>
    <w:p>
      <w:pPr>
        <w:pStyle w:val="Heading1"/>
      </w:pPr>
      <w:r>
        <w:rPr>
          <w:spacing w:val="-2"/>
        </w:rPr>
        <w:t>Fintina</w:t>
      </w:r>
    </w:p>
    <w:p>
      <w:pPr>
        <w:pStyle w:val="BodyText"/>
        <w:spacing w:before="280"/>
        <w:ind w:left="142" w:right="140"/>
        <w:jc w:val="both"/>
      </w:pPr>
      <w:r>
        <w:rPr/>
        <w:t>Ny </w:t>
      </w:r>
      <w:r>
        <w:rPr>
          <w:b/>
        </w:rPr>
        <w:t>piraty an-dranomasina </w:t>
      </w:r>
      <w:r>
        <w:rPr/>
        <w:t>dia iray amin’ireo endrika mahery vaika indrindra amin’ny heloka bevava an-dranomasina manerana izao tontolo izao. Miseho indrindra eny amin’ny ranomasina avo izy io ary miteraka loza lehibe ho an’ny fiarovana ny fifamoivoizana an-dranomasina sy ny fitohizan’ny varotra iraisam-pirenena. Izy io dia fehezin’ny rafitra ara-dalàna iraisam-pirenena manokana</w:t>
      </w:r>
      <w:r>
        <w:rPr>
          <w:spacing w:val="-3"/>
        </w:rPr>
        <w:t> </w:t>
      </w:r>
      <w:r>
        <w:rPr/>
        <w:t>izay</w:t>
      </w:r>
      <w:r>
        <w:rPr>
          <w:spacing w:val="-3"/>
        </w:rPr>
        <w:t> </w:t>
      </w:r>
      <w:r>
        <w:rPr/>
        <w:t>mifototra</w:t>
      </w:r>
      <w:r>
        <w:rPr>
          <w:spacing w:val="-3"/>
        </w:rPr>
        <w:t> </w:t>
      </w:r>
      <w:r>
        <w:rPr/>
        <w:t>amin’ny </w:t>
      </w:r>
      <w:r>
        <w:rPr>
          <w:b/>
        </w:rPr>
        <w:t>fahefana</w:t>
      </w:r>
      <w:r>
        <w:rPr>
          <w:b/>
          <w:spacing w:val="-3"/>
        </w:rPr>
        <w:t> </w:t>
      </w:r>
      <w:r>
        <w:rPr>
          <w:b/>
        </w:rPr>
        <w:t>iraisam-pirenena</w:t>
      </w:r>
      <w:r>
        <w:rPr>
          <w:b/>
          <w:spacing w:val="-3"/>
        </w:rPr>
        <w:t> </w:t>
      </w:r>
      <w:r>
        <w:rPr>
          <w:b/>
        </w:rPr>
        <w:t>(compétence</w:t>
      </w:r>
      <w:r>
        <w:rPr>
          <w:b/>
          <w:spacing w:val="-3"/>
        </w:rPr>
        <w:t> </w:t>
      </w:r>
      <w:r>
        <w:rPr>
          <w:b/>
        </w:rPr>
        <w:t>universelle) </w:t>
      </w:r>
      <w:r>
        <w:rPr/>
        <w:t>sy</w:t>
      </w:r>
      <w:r>
        <w:rPr>
          <w:spacing w:val="-3"/>
        </w:rPr>
        <w:t> </w:t>
      </w:r>
      <w:r>
        <w:rPr/>
        <w:t>ny fiaraha-miasa eo amin’ny Fanjakana.</w:t>
      </w:r>
    </w:p>
    <w:p>
      <w:pPr>
        <w:pStyle w:val="BodyText"/>
        <w:spacing w:before="4"/>
      </w:pPr>
    </w:p>
    <w:p>
      <w:pPr>
        <w:pStyle w:val="BodyText"/>
        <w:ind w:left="142" w:right="139"/>
        <w:jc w:val="both"/>
      </w:pPr>
      <w:r>
        <w:rPr/>
        <w:t>Ity fikarohana ity dia mikendry ny hanao fanadihadiana ara-tsaina sy ara-dalàna lalina momba ny piraty an-dranomasina, indrindra ny famaritana azy ao anatin’ny </w:t>
      </w:r>
      <w:r>
        <w:rPr>
          <w:b/>
        </w:rPr>
        <w:t>lalàna heloka bevava iraisam-pirenena </w:t>
      </w:r>
      <w:r>
        <w:rPr/>
        <w:t>sy</w:t>
      </w:r>
      <w:r>
        <w:rPr>
          <w:spacing w:val="-1"/>
        </w:rPr>
        <w:t> </w:t>
      </w:r>
      <w:r>
        <w:rPr/>
        <w:t>ny</w:t>
      </w:r>
      <w:r>
        <w:rPr>
          <w:spacing w:val="-1"/>
        </w:rPr>
        <w:t> </w:t>
      </w:r>
      <w:r>
        <w:rPr/>
        <w:t>fomba</w:t>
      </w:r>
      <w:r>
        <w:rPr>
          <w:spacing w:val="-1"/>
        </w:rPr>
        <w:t> </w:t>
      </w:r>
      <w:r>
        <w:rPr/>
        <w:t>fampiharana</w:t>
      </w:r>
      <w:r>
        <w:rPr>
          <w:spacing w:val="-1"/>
        </w:rPr>
        <w:t> </w:t>
      </w:r>
      <w:r>
        <w:rPr/>
        <w:t>ny</w:t>
      </w:r>
      <w:r>
        <w:rPr>
          <w:spacing w:val="-1"/>
        </w:rPr>
        <w:t> </w:t>
      </w:r>
      <w:r>
        <w:rPr/>
        <w:t>fanenjehana</w:t>
      </w:r>
      <w:r>
        <w:rPr>
          <w:spacing w:val="-1"/>
        </w:rPr>
        <w:t> </w:t>
      </w:r>
      <w:r>
        <w:rPr/>
        <w:t>azy.</w:t>
      </w:r>
      <w:r>
        <w:rPr>
          <w:spacing w:val="-1"/>
        </w:rPr>
        <w:t> </w:t>
      </w:r>
      <w:r>
        <w:rPr/>
        <w:t>Noho</w:t>
      </w:r>
      <w:r>
        <w:rPr>
          <w:spacing w:val="-1"/>
        </w:rPr>
        <w:t> </w:t>
      </w:r>
      <w:r>
        <w:rPr/>
        <w:t>ny</w:t>
      </w:r>
      <w:r>
        <w:rPr>
          <w:spacing w:val="-1"/>
        </w:rPr>
        <w:t> </w:t>
      </w:r>
      <w:r>
        <w:rPr/>
        <w:t>toetrany</w:t>
      </w:r>
      <w:r>
        <w:rPr>
          <w:spacing w:val="-1"/>
        </w:rPr>
        <w:t> </w:t>
      </w:r>
      <w:r>
        <w:rPr/>
        <w:t>mihoatra</w:t>
      </w:r>
      <w:r>
        <w:rPr>
          <w:spacing w:val="-1"/>
        </w:rPr>
        <w:t> </w:t>
      </w:r>
      <w:r>
        <w:rPr/>
        <w:t>ny sisintany, ny ady amin’ny piraty dia mitaky fifandraisana mirindra eo amin’ny lalàna iraisam-pirenena sy ny rafitra ara-dalàna anatiny, ary koa fiaraha-miasa ara-pitsarana mahomby eo amin’ny Fanjakana.</w:t>
      </w:r>
    </w:p>
    <w:p>
      <w:pPr>
        <w:pStyle w:val="BodyText"/>
        <w:spacing w:before="4"/>
      </w:pPr>
    </w:p>
    <w:p>
      <w:pPr>
        <w:pStyle w:val="BodyText"/>
        <w:ind w:left="141" w:right="140"/>
        <w:jc w:val="both"/>
      </w:pPr>
      <w:r>
        <w:rPr/>
        <w:t>Amin’ny lafiny metodolojika, ity asa ity dia mampiasa fomba </w:t>
      </w:r>
      <w:r>
        <w:rPr>
          <w:b/>
        </w:rPr>
        <w:t>deductive</w:t>
      </w:r>
      <w:r>
        <w:rPr/>
        <w:t>, mifototra amin’ny fanadihadiana boky sy antontan-taratasy ara-dalàna ary loharano siantifika. Manokana toerana lehibe ny rafitra napetraky ny Convention des Nations Unies sur le droit de la mer, izay fototra ara-dalàna lehibe amin’ny ady amin’ny piraty an-dranomasina eo amin’ny sehatra iraisam-</w:t>
      </w:r>
      <w:r>
        <w:rPr>
          <w:spacing w:val="-2"/>
        </w:rPr>
        <w:t>pirenena.</w:t>
      </w:r>
    </w:p>
    <w:p>
      <w:pPr>
        <w:pStyle w:val="BodyText"/>
        <w:spacing w:before="4"/>
      </w:pPr>
    </w:p>
    <w:p>
      <w:pPr>
        <w:pStyle w:val="BodyText"/>
        <w:ind w:left="141" w:right="142"/>
        <w:jc w:val="both"/>
      </w:pPr>
      <w:r>
        <w:rPr/>
        <w:t>Ankoatra izany, asehon’ny fanadihadiana fa tena ilaina ny fanamafisana ny fiaraha-miasa ara-pitsarana iraisam-pirenena, toy ny fifampitondrana heloka (extradition), fifampizaràna vaovao ary fanampiana ara-pitsarana, mba hahomby amin’ny famongorana ity tranga ity. Na izany aza, mbola misy ny olana amin’ny fampiharana tsy mitovy eo amin’ny firenena sy ny tsy fahampian’ny fanamafisana ara-dalàna iraisana.</w:t>
      </w:r>
    </w:p>
    <w:p>
      <w:pPr>
        <w:pStyle w:val="BodyText"/>
        <w:spacing w:before="4"/>
      </w:pPr>
    </w:p>
    <w:p>
      <w:pPr>
        <w:pStyle w:val="BodyText"/>
        <w:ind w:left="141" w:right="146"/>
        <w:jc w:val="both"/>
      </w:pPr>
      <w:r>
        <w:rPr/>
        <w:t>Farany, ny fanamafisana ny fampidirana ny fifanarahana iraisam-pirenena ao anatin’ny lalàna anatiny sy ny fanatsarana ny fiaraha-miasa ara-pitsarana dia tena ilaina amin’ny fanatsarana ny ady amin’ny piraty an-dranomasina.</w:t>
      </w:r>
    </w:p>
    <w:p>
      <w:pPr>
        <w:pStyle w:val="BodyText"/>
        <w:spacing w:before="4"/>
      </w:pPr>
    </w:p>
    <w:p>
      <w:pPr>
        <w:pStyle w:val="BodyText"/>
        <w:ind w:left="141" w:right="146"/>
        <w:jc w:val="both"/>
      </w:pPr>
      <w:r>
        <w:rPr>
          <w:b/>
        </w:rPr>
        <w:t>Teny manan-danja : </w:t>
      </w:r>
      <w:r>
        <w:rPr/>
        <w:t>Piraty an-dranomasina ; ranomasina avo ; fahefana iraisam-pirenena ; fiaraha-miasa ara-pitsarana ; zon’ny fanenjehana amin’ny ranomasina ; lalàna heloka bevava </w:t>
      </w:r>
      <w:r>
        <w:rPr>
          <w:spacing w:val="-2"/>
        </w:rPr>
        <w:t>iraisam-pirenena.</w:t>
      </w:r>
    </w:p>
    <w:p>
      <w:pPr>
        <w:pStyle w:val="BodyText"/>
        <w:spacing w:after="0"/>
        <w:jc w:val="both"/>
        <w:sectPr>
          <w:pgSz w:w="11910" w:h="16840"/>
          <w:pgMar w:header="0" w:footer="1005" w:top="1340" w:bottom="1200" w:left="1275" w:right="1133"/>
        </w:sectPr>
      </w:pPr>
    </w:p>
    <w:p>
      <w:pPr>
        <w:pStyle w:val="Heading1"/>
        <w:numPr>
          <w:ilvl w:val="0"/>
          <w:numId w:val="1"/>
        </w:numPr>
        <w:tabs>
          <w:tab w:pos="1221" w:val="left" w:leader="none"/>
        </w:tabs>
        <w:spacing w:line="240" w:lineRule="auto" w:before="59" w:after="0"/>
        <w:ind w:left="1221" w:right="0" w:hanging="720"/>
        <w:jc w:val="left"/>
        <w:rPr>
          <w:sz w:val="24"/>
        </w:rPr>
      </w:pPr>
      <w:r>
        <w:rPr>
          <w:spacing w:val="-2"/>
        </w:rPr>
        <w:t>INTRODUCTION</w:t>
      </w:r>
    </w:p>
    <w:p>
      <w:pPr>
        <w:pStyle w:val="BodyText"/>
        <w:spacing w:before="280"/>
        <w:ind w:left="141" w:right="139"/>
        <w:jc w:val="both"/>
      </w:pPr>
      <w:r>
        <w:rPr/>
        <w:t>La piraterie maritime constitue une infraction pénale de nature hauturière, c’est-à-dire un acte illicite</w:t>
      </w:r>
      <w:r>
        <w:rPr>
          <w:spacing w:val="-1"/>
        </w:rPr>
        <w:t> </w:t>
      </w:r>
      <w:r>
        <w:rPr/>
        <w:t>commis</w:t>
      </w:r>
      <w:r>
        <w:rPr>
          <w:spacing w:val="-1"/>
        </w:rPr>
        <w:t> </w:t>
      </w:r>
      <w:r>
        <w:rPr/>
        <w:t>principalement</w:t>
      </w:r>
      <w:r>
        <w:rPr>
          <w:spacing w:val="-1"/>
        </w:rPr>
        <w:t> </w:t>
      </w:r>
      <w:r>
        <w:rPr/>
        <w:t>en</w:t>
      </w:r>
      <w:r>
        <w:rPr>
          <w:spacing w:val="-1"/>
        </w:rPr>
        <w:t> </w:t>
      </w:r>
      <w:r>
        <w:rPr/>
        <w:t>haute</w:t>
      </w:r>
      <w:r>
        <w:rPr>
          <w:spacing w:val="-1"/>
        </w:rPr>
        <w:t> </w:t>
      </w:r>
      <w:r>
        <w:rPr/>
        <w:t>mer,</w:t>
      </w:r>
      <w:r>
        <w:rPr>
          <w:spacing w:val="-1"/>
        </w:rPr>
        <w:t> </w:t>
      </w:r>
      <w:r>
        <w:rPr/>
        <w:t>espace</w:t>
      </w:r>
      <w:r>
        <w:rPr>
          <w:spacing w:val="-1"/>
        </w:rPr>
        <w:t> </w:t>
      </w:r>
      <w:r>
        <w:rPr/>
        <w:t>maritime</w:t>
      </w:r>
      <w:r>
        <w:rPr>
          <w:spacing w:val="-1"/>
        </w:rPr>
        <w:t> </w:t>
      </w:r>
      <w:r>
        <w:rPr/>
        <w:t>qui</w:t>
      </w:r>
      <w:r>
        <w:rPr>
          <w:spacing w:val="-1"/>
        </w:rPr>
        <w:t> </w:t>
      </w:r>
      <w:r>
        <w:rPr/>
        <w:t>échappe</w:t>
      </w:r>
      <w:r>
        <w:rPr>
          <w:spacing w:val="-1"/>
        </w:rPr>
        <w:t> </w:t>
      </w:r>
      <w:r>
        <w:rPr/>
        <w:t>à</w:t>
      </w:r>
      <w:r>
        <w:rPr>
          <w:spacing w:val="-1"/>
        </w:rPr>
        <w:t> </w:t>
      </w:r>
      <w:r>
        <w:rPr/>
        <w:t>la</w:t>
      </w:r>
      <w:r>
        <w:rPr>
          <w:spacing w:val="-1"/>
        </w:rPr>
        <w:t> </w:t>
      </w:r>
      <w:r>
        <w:rPr/>
        <w:t>souveraineté</w:t>
      </w:r>
      <w:r>
        <w:rPr>
          <w:spacing w:val="-1"/>
        </w:rPr>
        <w:t> </w:t>
      </w:r>
      <w:r>
        <w:rPr/>
        <w:t>des États. En droit international, la haute mer désigne l’ensemble des zones maritimes qui ne relèvent ni de la mer territoriale, ni des eaux intérieures, ni de la zone économique exclusive (ZEE), ni des eaux archipélagiques d’un État archipel. Selon l’article 86 de la Convention des Nations Unies sur le droit de la mer (CNUDM), la haute mer comprend « toutes les parties de</w:t>
      </w:r>
      <w:r>
        <w:rPr>
          <w:spacing w:val="80"/>
        </w:rPr>
        <w:t> </w:t>
      </w:r>
      <w:r>
        <w:rPr/>
        <w:t>la mer qui ne sont comprises ni dans la zone économique exclusive, la mer territoriale ou les eaux intérieures d’un État, ni dans les eaux archipélagiques d’un État archipel ». Ainsi définie, la haute mer représente plus de la moitié de la surface </w:t>
      </w:r>
      <w:r>
        <w:rPr>
          <w:color w:val="1F2021"/>
        </w:rPr>
        <w:t>planétaire ainsi que 64 % des océans </w:t>
      </w:r>
      <w:r>
        <w:rPr/>
        <w:t>et constitue un espace international fondé sur le principe de liberté de navigation et d’utilisation par tous les États, côtiers ou sans littoral</w:t>
      </w:r>
      <w:r>
        <w:rPr>
          <w:vertAlign w:val="superscript"/>
        </w:rPr>
        <w:t>1</w:t>
      </w:r>
      <w:r>
        <w:rPr>
          <w:vertAlign w:val="baseline"/>
        </w:rPr>
        <w:t>.</w:t>
      </w:r>
    </w:p>
    <w:p>
      <w:pPr>
        <w:pStyle w:val="BodyText"/>
        <w:spacing w:before="120"/>
        <w:ind w:left="141" w:right="141"/>
        <w:jc w:val="both"/>
      </w:pPr>
      <w:r>
        <w:rPr/>
        <w:t>Cet espace, qualifié de « bien public mondial », est par essence non appropriable et exclut toute forme de souveraineté étatique. Cette caractéristique structurelle en fait un terrain propice à certaines formes de criminalité transnationale, notamment la piraterie maritime. Celle-ci est l’une des plus anciennes formes de criminalité organisée en mer</w:t>
      </w:r>
      <w:r>
        <w:rPr>
          <w:vertAlign w:val="superscript"/>
        </w:rPr>
        <w:t>2</w:t>
      </w:r>
      <w:r>
        <w:rPr>
          <w:vertAlign w:val="baseline"/>
        </w:rPr>
        <w:t>. Déjà dans l’Antiquité, des auteurs tels qu’Homère ou Thucydide mentionnaient la piraterie comme une pratique courante de la navigation</w:t>
      </w:r>
      <w:r>
        <w:rPr>
          <w:vertAlign w:val="superscript"/>
        </w:rPr>
        <w:t>3</w:t>
      </w:r>
      <w:r>
        <w:rPr>
          <w:vertAlign w:val="baseline"/>
        </w:rPr>
        <w:t>. De même, Platon et Jules César furent eux-mêmes victimes d’actes de piraterie, illustrant ainsi l’ancienneté et la persistance historique de ce phénomène</w:t>
      </w:r>
      <w:r>
        <w:rPr>
          <w:vertAlign w:val="superscript"/>
        </w:rPr>
        <w:t>4</w:t>
      </w:r>
      <w:r>
        <w:rPr>
          <w:vertAlign w:val="baseline"/>
        </w:rPr>
        <w:t>.</w:t>
      </w:r>
    </w:p>
    <w:p>
      <w:pPr>
        <w:pStyle w:val="BodyText"/>
        <w:spacing w:before="120"/>
        <w:ind w:left="141" w:right="144"/>
        <w:jc w:val="both"/>
      </w:pPr>
      <w:r>
        <w:rPr/>
        <w:t>Sur le plan historique,</w:t>
      </w:r>
      <w:r>
        <w:rPr>
          <w:spacing w:val="-1"/>
        </w:rPr>
        <w:t> </w:t>
      </w:r>
      <w:r>
        <w:rPr/>
        <w:t>la piraterie apparaît concomitamment</w:t>
      </w:r>
      <w:r>
        <w:rPr>
          <w:spacing w:val="-1"/>
        </w:rPr>
        <w:t> </w:t>
      </w:r>
      <w:r>
        <w:rPr/>
        <w:t>au développement de la</w:t>
      </w:r>
      <w:r>
        <w:rPr>
          <w:spacing w:val="-1"/>
        </w:rPr>
        <w:t> </w:t>
      </w:r>
      <w:r>
        <w:rPr/>
        <w:t>navigation et du commerce maritime dès les premières civilisations méditerranéennes, notamment chez les Crétois, les Phéniciens et les Grecs</w:t>
      </w:r>
      <w:r>
        <w:rPr>
          <w:vertAlign w:val="superscript"/>
        </w:rPr>
        <w:t>5</w:t>
      </w:r>
      <w:r>
        <w:rPr>
          <w:vertAlign w:val="baseline"/>
        </w:rPr>
        <w:t>. L’encadrement juridique de cette infraction remonte à des instruments anciens, notamment en France avec l’ordonnance de Colbert d’août 1681, suivie plus tard par la loi du 10 avril 1825 relative à la sûreté de la navigation et du commerce maritime. Cette dernière, qui définissait la piraterie maritime comme tout acte de violence ou</w:t>
      </w:r>
      <w:r>
        <w:rPr>
          <w:spacing w:val="40"/>
          <w:vertAlign w:val="baseline"/>
        </w:rPr>
        <w:t> </w:t>
      </w:r>
      <w:r>
        <w:rPr>
          <w:vertAlign w:val="baseline"/>
        </w:rPr>
        <w:t>de déprédation commis en dehors d’un contexte de guerre, à l’aide d’un navire et sans autorisation officielle, punissait les auteurs de la peine capitale</w:t>
      </w:r>
      <w:r>
        <w:rPr>
          <w:vertAlign w:val="superscript"/>
        </w:rPr>
        <w:t>6</w:t>
      </w:r>
      <w:r>
        <w:rPr>
          <w:vertAlign w:val="baseline"/>
        </w:rPr>
        <w:t>.</w:t>
      </w:r>
    </w:p>
    <w:p>
      <w:pPr>
        <w:pStyle w:val="BodyText"/>
        <w:spacing w:before="120"/>
        <w:ind w:left="141" w:right="139"/>
        <w:jc w:val="both"/>
      </w:pPr>
      <w:r>
        <w:rPr/>
        <w:t>Toutefois, cette législation, marquée par une conception classique et répressive, s’est révélée progressivement inadaptée aux standards contemporains du droit international. Elle a ainsi été abrogée par la loi n°2007-1787 du 20 décembre 2007 relative à la simplification du droit</w:t>
      </w:r>
      <w:r>
        <w:rPr>
          <w:vertAlign w:val="superscript"/>
        </w:rPr>
        <w:t>7</w:t>
      </w:r>
      <w:r>
        <w:rPr>
          <w:vertAlign w:val="baseline"/>
        </w:rPr>
        <w:t>. Depuis cette abrogation, le droit français ne dispose plus d’un régime autonome complet de répression de la piraterie maritime, celle-ci étant principalement appréhendée à travers la Convention</w:t>
      </w:r>
      <w:r>
        <w:rPr>
          <w:spacing w:val="21"/>
          <w:vertAlign w:val="baseline"/>
        </w:rPr>
        <w:t> </w:t>
      </w:r>
      <w:r>
        <w:rPr>
          <w:vertAlign w:val="baseline"/>
        </w:rPr>
        <w:t>des</w:t>
      </w:r>
      <w:r>
        <w:rPr>
          <w:spacing w:val="21"/>
          <w:vertAlign w:val="baseline"/>
        </w:rPr>
        <w:t> </w:t>
      </w:r>
      <w:r>
        <w:rPr>
          <w:vertAlign w:val="baseline"/>
        </w:rPr>
        <w:t>Nations</w:t>
      </w:r>
      <w:r>
        <w:rPr>
          <w:spacing w:val="21"/>
          <w:vertAlign w:val="baseline"/>
        </w:rPr>
        <w:t> </w:t>
      </w:r>
      <w:r>
        <w:rPr>
          <w:vertAlign w:val="baseline"/>
        </w:rPr>
        <w:t>Unies</w:t>
      </w:r>
      <w:r>
        <w:rPr>
          <w:spacing w:val="21"/>
          <w:vertAlign w:val="baseline"/>
        </w:rPr>
        <w:t> </w:t>
      </w:r>
      <w:r>
        <w:rPr>
          <w:vertAlign w:val="baseline"/>
        </w:rPr>
        <w:t>sur</w:t>
      </w:r>
      <w:r>
        <w:rPr>
          <w:spacing w:val="21"/>
          <w:vertAlign w:val="baseline"/>
        </w:rPr>
        <w:t> </w:t>
      </w:r>
      <w:r>
        <w:rPr>
          <w:vertAlign w:val="baseline"/>
        </w:rPr>
        <w:t>le</w:t>
      </w:r>
      <w:r>
        <w:rPr>
          <w:spacing w:val="21"/>
          <w:vertAlign w:val="baseline"/>
        </w:rPr>
        <w:t> </w:t>
      </w:r>
      <w:r>
        <w:rPr>
          <w:vertAlign w:val="baseline"/>
        </w:rPr>
        <w:t>droit</w:t>
      </w:r>
      <w:r>
        <w:rPr>
          <w:spacing w:val="21"/>
          <w:vertAlign w:val="baseline"/>
        </w:rPr>
        <w:t> </w:t>
      </w:r>
      <w:r>
        <w:rPr>
          <w:vertAlign w:val="baseline"/>
        </w:rPr>
        <w:t>de</w:t>
      </w:r>
      <w:r>
        <w:rPr>
          <w:spacing w:val="21"/>
          <w:vertAlign w:val="baseline"/>
        </w:rPr>
        <w:t> </w:t>
      </w:r>
      <w:r>
        <w:rPr>
          <w:vertAlign w:val="baseline"/>
        </w:rPr>
        <w:t>la</w:t>
      </w:r>
      <w:r>
        <w:rPr>
          <w:spacing w:val="21"/>
          <w:vertAlign w:val="baseline"/>
        </w:rPr>
        <w:t> </w:t>
      </w:r>
      <w:r>
        <w:rPr>
          <w:vertAlign w:val="baseline"/>
        </w:rPr>
        <w:t>mer</w:t>
      </w:r>
      <w:r>
        <w:rPr>
          <w:spacing w:val="21"/>
          <w:vertAlign w:val="baseline"/>
        </w:rPr>
        <w:t> </w:t>
      </w:r>
      <w:r>
        <w:rPr>
          <w:vertAlign w:val="baseline"/>
        </w:rPr>
        <w:t>de</w:t>
      </w:r>
      <w:r>
        <w:rPr>
          <w:spacing w:val="21"/>
          <w:vertAlign w:val="baseline"/>
        </w:rPr>
        <w:t> </w:t>
      </w:r>
      <w:r>
        <w:rPr>
          <w:vertAlign w:val="baseline"/>
        </w:rPr>
        <w:t>1982</w:t>
      </w:r>
      <w:r>
        <w:rPr>
          <w:spacing w:val="21"/>
          <w:vertAlign w:val="baseline"/>
        </w:rPr>
        <w:t> </w:t>
      </w:r>
      <w:r>
        <w:rPr>
          <w:vertAlign w:val="baseline"/>
        </w:rPr>
        <w:t>(Convention</w:t>
      </w:r>
      <w:r>
        <w:rPr>
          <w:spacing w:val="21"/>
          <w:vertAlign w:val="baseline"/>
        </w:rPr>
        <w:t> </w:t>
      </w:r>
      <w:r>
        <w:rPr>
          <w:vertAlign w:val="baseline"/>
        </w:rPr>
        <w:t>de</w:t>
      </w:r>
      <w:r>
        <w:rPr>
          <w:spacing w:val="21"/>
          <w:vertAlign w:val="baseline"/>
        </w:rPr>
        <w:t> </w:t>
      </w:r>
      <w:r>
        <w:rPr>
          <w:vertAlign w:val="baseline"/>
        </w:rPr>
        <w:t>Montego</w:t>
      </w:r>
      <w:r>
        <w:rPr>
          <w:spacing w:val="21"/>
          <w:vertAlign w:val="baseline"/>
        </w:rPr>
        <w:t> </w:t>
      </w:r>
      <w:r>
        <w:rPr>
          <w:vertAlign w:val="baseline"/>
        </w:rPr>
        <w:t>Bay).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0"/>
        <w:rPr>
          <w:sz w:val="20"/>
        </w:rPr>
      </w:pPr>
      <w:r>
        <w:rPr>
          <w:sz w:val="20"/>
        </w:rPr>
        <mc:AlternateContent>
          <mc:Choice Requires="wps">
            <w:drawing>
              <wp:anchor distT="0" distB="0" distL="0" distR="0" allowOverlap="1" layoutInCell="1" locked="0" behindDoc="1" simplePos="0" relativeHeight="487587840">
                <wp:simplePos x="0" y="0"/>
                <wp:positionH relativeFrom="page">
                  <wp:posOffset>899794</wp:posOffset>
                </wp:positionH>
                <wp:positionV relativeFrom="paragraph">
                  <wp:posOffset>212609</wp:posOffset>
                </wp:positionV>
                <wp:extent cx="1800225" cy="12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1800225" cy="1270"/>
                        </a:xfrm>
                        <a:custGeom>
                          <a:avLst/>
                          <a:gdLst/>
                          <a:ahLst/>
                          <a:cxnLst/>
                          <a:rect l="l" t="t" r="r" b="b"/>
                          <a:pathLst>
                            <a:path w="1800225" h="0">
                              <a:moveTo>
                                <a:pt x="0" y="0"/>
                              </a:moveTo>
                              <a:lnTo>
                                <a:pt x="1799996" y="0"/>
                              </a:lnTo>
                            </a:path>
                          </a:pathLst>
                        </a:custGeom>
                        <a:ln w="776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6.740921pt;width:141.75pt;height:.1pt;mso-position-horizontal-relative:page;mso-position-vertical-relative:paragraph;z-index:-15728640;mso-wrap-distance-left:0;mso-wrap-distance-right:0" id="docshape2" coordorigin="1417,335" coordsize="2835,0" path="m1417,335l4252,335e" filled="false" stroked="true" strokeweight=".61109pt" strokecolor="#000000">
                <v:path arrowok="t"/>
                <v:stroke dashstyle="solid"/>
                <w10:wrap type="topAndBottom"/>
              </v:shape>
            </w:pict>
          </mc:Fallback>
        </mc:AlternateContent>
      </w:r>
    </w:p>
    <w:p>
      <w:pPr>
        <w:spacing w:before="144"/>
        <w:ind w:left="141" w:right="0" w:firstLine="0"/>
        <w:jc w:val="left"/>
        <w:rPr>
          <w:sz w:val="20"/>
        </w:rPr>
      </w:pPr>
      <w:r>
        <w:rPr>
          <w:sz w:val="20"/>
          <w:vertAlign w:val="superscript"/>
        </w:rPr>
        <w:t>1</w:t>
      </w:r>
      <w:r>
        <w:rPr>
          <w:sz w:val="20"/>
          <w:vertAlign w:val="baseline"/>
        </w:rPr>
        <w:t>Convention</w:t>
      </w:r>
      <w:r>
        <w:rPr>
          <w:spacing w:val="-2"/>
          <w:sz w:val="20"/>
          <w:vertAlign w:val="baseline"/>
        </w:rPr>
        <w:t> </w:t>
      </w:r>
      <w:r>
        <w:rPr>
          <w:sz w:val="20"/>
          <w:vertAlign w:val="baseline"/>
        </w:rPr>
        <w:t>des</w:t>
      </w:r>
      <w:r>
        <w:rPr>
          <w:spacing w:val="-2"/>
          <w:sz w:val="20"/>
          <w:vertAlign w:val="baseline"/>
        </w:rPr>
        <w:t> </w:t>
      </w:r>
      <w:r>
        <w:rPr>
          <w:sz w:val="20"/>
          <w:vertAlign w:val="baseline"/>
        </w:rPr>
        <w:t>Nations</w:t>
      </w:r>
      <w:r>
        <w:rPr>
          <w:spacing w:val="-2"/>
          <w:sz w:val="20"/>
          <w:vertAlign w:val="baseline"/>
        </w:rPr>
        <w:t> </w:t>
      </w:r>
      <w:r>
        <w:rPr>
          <w:sz w:val="20"/>
          <w:vertAlign w:val="baseline"/>
        </w:rPr>
        <w:t>Unies</w:t>
      </w:r>
      <w:r>
        <w:rPr>
          <w:spacing w:val="-2"/>
          <w:sz w:val="20"/>
          <w:vertAlign w:val="baseline"/>
        </w:rPr>
        <w:t> </w:t>
      </w:r>
      <w:r>
        <w:rPr>
          <w:sz w:val="20"/>
          <w:vertAlign w:val="baseline"/>
        </w:rPr>
        <w:t>sur</w:t>
      </w:r>
      <w:r>
        <w:rPr>
          <w:spacing w:val="-2"/>
          <w:sz w:val="20"/>
          <w:vertAlign w:val="baseline"/>
        </w:rPr>
        <w:t> </w:t>
      </w:r>
      <w:r>
        <w:rPr>
          <w:sz w:val="20"/>
          <w:vertAlign w:val="baseline"/>
        </w:rPr>
        <w:t>le</w:t>
      </w:r>
      <w:r>
        <w:rPr>
          <w:spacing w:val="-2"/>
          <w:sz w:val="20"/>
          <w:vertAlign w:val="baseline"/>
        </w:rPr>
        <w:t> </w:t>
      </w:r>
      <w:r>
        <w:rPr>
          <w:sz w:val="20"/>
          <w:vertAlign w:val="baseline"/>
        </w:rPr>
        <w:t>droit</w:t>
      </w:r>
      <w:r>
        <w:rPr>
          <w:spacing w:val="-2"/>
          <w:sz w:val="20"/>
          <w:vertAlign w:val="baseline"/>
        </w:rPr>
        <w:t> </w:t>
      </w:r>
      <w:r>
        <w:rPr>
          <w:sz w:val="20"/>
          <w:vertAlign w:val="baseline"/>
        </w:rPr>
        <w:t>de</w:t>
      </w:r>
      <w:r>
        <w:rPr>
          <w:spacing w:val="-2"/>
          <w:sz w:val="20"/>
          <w:vertAlign w:val="baseline"/>
        </w:rPr>
        <w:t> </w:t>
      </w:r>
      <w:r>
        <w:rPr>
          <w:sz w:val="20"/>
          <w:vertAlign w:val="baseline"/>
        </w:rPr>
        <w:t>la</w:t>
      </w:r>
      <w:r>
        <w:rPr>
          <w:spacing w:val="-2"/>
          <w:sz w:val="20"/>
          <w:vertAlign w:val="baseline"/>
        </w:rPr>
        <w:t> </w:t>
      </w:r>
      <w:r>
        <w:rPr>
          <w:sz w:val="20"/>
          <w:vertAlign w:val="baseline"/>
        </w:rPr>
        <w:t>mer</w:t>
      </w:r>
      <w:r>
        <w:rPr>
          <w:spacing w:val="-2"/>
          <w:sz w:val="20"/>
          <w:vertAlign w:val="baseline"/>
        </w:rPr>
        <w:t> </w:t>
      </w:r>
      <w:r>
        <w:rPr>
          <w:sz w:val="20"/>
          <w:vertAlign w:val="baseline"/>
        </w:rPr>
        <w:t>(CNUDM)</w:t>
      </w:r>
      <w:r>
        <w:rPr>
          <w:spacing w:val="-2"/>
          <w:sz w:val="20"/>
          <w:vertAlign w:val="baseline"/>
        </w:rPr>
        <w:t> </w:t>
      </w:r>
      <w:r>
        <w:rPr>
          <w:sz w:val="20"/>
          <w:vertAlign w:val="baseline"/>
        </w:rPr>
        <w:t>du</w:t>
      </w:r>
      <w:r>
        <w:rPr>
          <w:spacing w:val="-2"/>
          <w:sz w:val="20"/>
          <w:vertAlign w:val="baseline"/>
        </w:rPr>
        <w:t> </w:t>
      </w:r>
      <w:r>
        <w:rPr>
          <w:sz w:val="20"/>
          <w:vertAlign w:val="baseline"/>
        </w:rPr>
        <w:t>10</w:t>
      </w:r>
      <w:r>
        <w:rPr>
          <w:spacing w:val="-2"/>
          <w:sz w:val="20"/>
          <w:vertAlign w:val="baseline"/>
        </w:rPr>
        <w:t> </w:t>
      </w:r>
      <w:r>
        <w:rPr>
          <w:sz w:val="20"/>
          <w:vertAlign w:val="baseline"/>
        </w:rPr>
        <w:t>Décembre</w:t>
      </w:r>
      <w:r>
        <w:rPr>
          <w:spacing w:val="-2"/>
          <w:sz w:val="20"/>
          <w:vertAlign w:val="baseline"/>
        </w:rPr>
        <w:t> </w:t>
      </w:r>
      <w:r>
        <w:rPr>
          <w:sz w:val="20"/>
          <w:vertAlign w:val="baseline"/>
        </w:rPr>
        <w:t>1982,</w:t>
      </w:r>
      <w:r>
        <w:rPr>
          <w:spacing w:val="-2"/>
          <w:sz w:val="20"/>
          <w:vertAlign w:val="baseline"/>
        </w:rPr>
        <w:t> </w:t>
      </w:r>
      <w:r>
        <w:rPr>
          <w:sz w:val="20"/>
          <w:vertAlign w:val="baseline"/>
        </w:rPr>
        <w:t>article</w:t>
      </w:r>
      <w:r>
        <w:rPr>
          <w:spacing w:val="-2"/>
          <w:sz w:val="20"/>
          <w:vertAlign w:val="baseline"/>
        </w:rPr>
        <w:t> </w:t>
      </w:r>
      <w:r>
        <w:rPr>
          <w:spacing w:val="-5"/>
          <w:sz w:val="20"/>
          <w:vertAlign w:val="baseline"/>
        </w:rPr>
        <w:t>87.</w:t>
      </w:r>
    </w:p>
    <w:p>
      <w:pPr>
        <w:spacing w:before="0"/>
        <w:ind w:left="141" w:right="0" w:firstLine="0"/>
        <w:jc w:val="left"/>
        <w:rPr>
          <w:sz w:val="20"/>
        </w:rPr>
      </w:pPr>
      <w:r>
        <w:rPr>
          <w:sz w:val="20"/>
          <w:vertAlign w:val="superscript"/>
        </w:rPr>
        <w:t>2</w:t>
      </w:r>
      <w:r>
        <w:rPr>
          <w:sz w:val="20"/>
          <w:vertAlign w:val="baseline"/>
        </w:rPr>
        <w:t>CHAPLEAU</w:t>
      </w:r>
      <w:r>
        <w:rPr>
          <w:spacing w:val="2"/>
          <w:sz w:val="20"/>
          <w:vertAlign w:val="baseline"/>
        </w:rPr>
        <w:t> </w:t>
      </w:r>
      <w:r>
        <w:rPr>
          <w:sz w:val="20"/>
          <w:vertAlign w:val="baseline"/>
        </w:rPr>
        <w:t>Philippe,</w:t>
      </w:r>
      <w:r>
        <w:rPr>
          <w:spacing w:val="3"/>
          <w:sz w:val="20"/>
          <w:vertAlign w:val="baseline"/>
        </w:rPr>
        <w:t> </w:t>
      </w:r>
      <w:r>
        <w:rPr>
          <w:sz w:val="20"/>
          <w:vertAlign w:val="baseline"/>
        </w:rPr>
        <w:t>PANCRACIO</w:t>
      </w:r>
      <w:r>
        <w:rPr>
          <w:spacing w:val="3"/>
          <w:sz w:val="20"/>
          <w:vertAlign w:val="baseline"/>
        </w:rPr>
        <w:t> </w:t>
      </w:r>
      <w:r>
        <w:rPr>
          <w:sz w:val="20"/>
          <w:vertAlign w:val="baseline"/>
        </w:rPr>
        <w:t>Jean-Paul,</w:t>
      </w:r>
      <w:r>
        <w:rPr>
          <w:spacing w:val="3"/>
          <w:sz w:val="20"/>
          <w:vertAlign w:val="baseline"/>
        </w:rPr>
        <w:t> </w:t>
      </w:r>
      <w:r>
        <w:rPr>
          <w:sz w:val="20"/>
          <w:vertAlign w:val="baseline"/>
        </w:rPr>
        <w:t>La</w:t>
      </w:r>
      <w:r>
        <w:rPr>
          <w:spacing w:val="3"/>
          <w:sz w:val="20"/>
          <w:vertAlign w:val="baseline"/>
        </w:rPr>
        <w:t> </w:t>
      </w:r>
      <w:r>
        <w:rPr>
          <w:sz w:val="20"/>
          <w:vertAlign w:val="baseline"/>
        </w:rPr>
        <w:t>piraterie</w:t>
      </w:r>
      <w:r>
        <w:rPr>
          <w:spacing w:val="3"/>
          <w:sz w:val="20"/>
          <w:vertAlign w:val="baseline"/>
        </w:rPr>
        <w:t> </w:t>
      </w:r>
      <w:r>
        <w:rPr>
          <w:sz w:val="20"/>
          <w:vertAlign w:val="baseline"/>
        </w:rPr>
        <w:t>maritime</w:t>
      </w:r>
      <w:r>
        <w:rPr>
          <w:spacing w:val="3"/>
          <w:sz w:val="20"/>
          <w:vertAlign w:val="baseline"/>
        </w:rPr>
        <w:t> </w:t>
      </w:r>
      <w:r>
        <w:rPr>
          <w:sz w:val="20"/>
          <w:vertAlign w:val="baseline"/>
        </w:rPr>
        <w:t>:</w:t>
      </w:r>
      <w:r>
        <w:rPr>
          <w:spacing w:val="3"/>
          <w:sz w:val="20"/>
          <w:vertAlign w:val="baseline"/>
        </w:rPr>
        <w:t> </w:t>
      </w:r>
      <w:r>
        <w:rPr>
          <w:sz w:val="20"/>
          <w:vertAlign w:val="baseline"/>
        </w:rPr>
        <w:t>droit,</w:t>
      </w:r>
      <w:r>
        <w:rPr>
          <w:spacing w:val="3"/>
          <w:sz w:val="20"/>
          <w:vertAlign w:val="baseline"/>
        </w:rPr>
        <w:t> </w:t>
      </w:r>
      <w:r>
        <w:rPr>
          <w:sz w:val="20"/>
          <w:vertAlign w:val="baseline"/>
        </w:rPr>
        <w:t>pratiques</w:t>
      </w:r>
      <w:r>
        <w:rPr>
          <w:spacing w:val="3"/>
          <w:sz w:val="20"/>
          <w:vertAlign w:val="baseline"/>
        </w:rPr>
        <w:t> </w:t>
      </w:r>
      <w:r>
        <w:rPr>
          <w:sz w:val="20"/>
          <w:vertAlign w:val="baseline"/>
        </w:rPr>
        <w:t>et</w:t>
      </w:r>
      <w:r>
        <w:rPr>
          <w:spacing w:val="3"/>
          <w:sz w:val="20"/>
          <w:vertAlign w:val="baseline"/>
        </w:rPr>
        <w:t> </w:t>
      </w:r>
      <w:r>
        <w:rPr>
          <w:sz w:val="20"/>
          <w:vertAlign w:val="baseline"/>
        </w:rPr>
        <w:t>enjeux,</w:t>
      </w:r>
      <w:r>
        <w:rPr>
          <w:spacing w:val="3"/>
          <w:sz w:val="20"/>
          <w:vertAlign w:val="baseline"/>
        </w:rPr>
        <w:t> </w:t>
      </w:r>
      <w:r>
        <w:rPr>
          <w:sz w:val="20"/>
          <w:vertAlign w:val="baseline"/>
        </w:rPr>
        <w:t>Vuibert,</w:t>
      </w:r>
      <w:r>
        <w:rPr>
          <w:spacing w:val="3"/>
          <w:sz w:val="20"/>
          <w:vertAlign w:val="baseline"/>
        </w:rPr>
        <w:t> </w:t>
      </w:r>
      <w:r>
        <w:rPr>
          <w:spacing w:val="-2"/>
          <w:sz w:val="20"/>
          <w:vertAlign w:val="baseline"/>
        </w:rPr>
        <w:t>2014,</w:t>
      </w:r>
    </w:p>
    <w:p>
      <w:pPr>
        <w:spacing w:before="0"/>
        <w:ind w:left="141" w:right="99" w:firstLine="0"/>
        <w:jc w:val="left"/>
        <w:rPr>
          <w:sz w:val="20"/>
        </w:rPr>
      </w:pPr>
      <w:r>
        <w:rPr>
          <w:sz w:val="20"/>
        </w:rPr>
        <w:t>p.</w:t>
      </w:r>
      <w:r>
        <w:rPr>
          <w:spacing w:val="24"/>
          <w:sz w:val="20"/>
        </w:rPr>
        <w:t> </w:t>
      </w:r>
      <w:r>
        <w:rPr>
          <w:sz w:val="20"/>
        </w:rPr>
        <w:t>23,</w:t>
      </w:r>
      <w:r>
        <w:rPr>
          <w:spacing w:val="24"/>
          <w:sz w:val="20"/>
        </w:rPr>
        <w:t> </w:t>
      </w:r>
      <w:r>
        <w:rPr>
          <w:sz w:val="20"/>
        </w:rPr>
        <w:t>cité</w:t>
      </w:r>
      <w:r>
        <w:rPr>
          <w:spacing w:val="24"/>
          <w:sz w:val="20"/>
        </w:rPr>
        <w:t> </w:t>
      </w:r>
      <w:r>
        <w:rPr>
          <w:sz w:val="20"/>
        </w:rPr>
        <w:t>par</w:t>
      </w:r>
      <w:r>
        <w:rPr>
          <w:spacing w:val="24"/>
          <w:sz w:val="20"/>
        </w:rPr>
        <w:t> </w:t>
      </w:r>
      <w:r>
        <w:rPr>
          <w:sz w:val="20"/>
        </w:rPr>
        <w:t>Kodjovi</w:t>
      </w:r>
      <w:r>
        <w:rPr>
          <w:spacing w:val="24"/>
          <w:sz w:val="20"/>
        </w:rPr>
        <w:t> </w:t>
      </w:r>
      <w:r>
        <w:rPr>
          <w:sz w:val="20"/>
        </w:rPr>
        <w:t>ABOBOYAYA,</w:t>
      </w:r>
      <w:r>
        <w:rPr>
          <w:spacing w:val="24"/>
          <w:sz w:val="20"/>
        </w:rPr>
        <w:t> </w:t>
      </w:r>
      <w:r>
        <w:rPr>
          <w:sz w:val="20"/>
        </w:rPr>
        <w:t>Les</w:t>
      </w:r>
      <w:r>
        <w:rPr>
          <w:spacing w:val="24"/>
          <w:sz w:val="20"/>
        </w:rPr>
        <w:t> </w:t>
      </w:r>
      <w:r>
        <w:rPr>
          <w:sz w:val="20"/>
        </w:rPr>
        <w:t>infractions</w:t>
      </w:r>
      <w:r>
        <w:rPr>
          <w:spacing w:val="24"/>
          <w:sz w:val="20"/>
        </w:rPr>
        <w:t> </w:t>
      </w:r>
      <w:r>
        <w:rPr>
          <w:sz w:val="20"/>
        </w:rPr>
        <w:t>en</w:t>
      </w:r>
      <w:r>
        <w:rPr>
          <w:spacing w:val="24"/>
          <w:sz w:val="20"/>
        </w:rPr>
        <w:t> </w:t>
      </w:r>
      <w:r>
        <w:rPr>
          <w:sz w:val="20"/>
        </w:rPr>
        <w:t>mer</w:t>
      </w:r>
      <w:r>
        <w:rPr>
          <w:spacing w:val="24"/>
          <w:sz w:val="20"/>
        </w:rPr>
        <w:t> </w:t>
      </w:r>
      <w:r>
        <w:rPr>
          <w:sz w:val="20"/>
        </w:rPr>
        <w:t>:</w:t>
      </w:r>
      <w:r>
        <w:rPr>
          <w:spacing w:val="24"/>
          <w:sz w:val="20"/>
        </w:rPr>
        <w:t> </w:t>
      </w:r>
      <w:r>
        <w:rPr>
          <w:sz w:val="20"/>
        </w:rPr>
        <w:t>étude</w:t>
      </w:r>
      <w:r>
        <w:rPr>
          <w:spacing w:val="24"/>
          <w:sz w:val="20"/>
        </w:rPr>
        <w:t> </w:t>
      </w:r>
      <w:r>
        <w:rPr>
          <w:sz w:val="20"/>
        </w:rPr>
        <w:t>comparative</w:t>
      </w:r>
      <w:r>
        <w:rPr>
          <w:spacing w:val="24"/>
          <w:sz w:val="20"/>
        </w:rPr>
        <w:t> </w:t>
      </w:r>
      <w:r>
        <w:rPr>
          <w:sz w:val="20"/>
        </w:rPr>
        <w:t>entre</w:t>
      </w:r>
      <w:r>
        <w:rPr>
          <w:spacing w:val="24"/>
          <w:sz w:val="20"/>
        </w:rPr>
        <w:t> </w:t>
      </w:r>
      <w:r>
        <w:rPr>
          <w:sz w:val="20"/>
        </w:rPr>
        <w:t>les</w:t>
      </w:r>
      <w:r>
        <w:rPr>
          <w:spacing w:val="24"/>
          <w:sz w:val="20"/>
        </w:rPr>
        <w:t> </w:t>
      </w:r>
      <w:r>
        <w:rPr>
          <w:sz w:val="20"/>
        </w:rPr>
        <w:t>droits</w:t>
      </w:r>
      <w:r>
        <w:rPr>
          <w:spacing w:val="24"/>
          <w:sz w:val="20"/>
        </w:rPr>
        <w:t> </w:t>
      </w:r>
      <w:r>
        <w:rPr>
          <w:sz w:val="20"/>
        </w:rPr>
        <w:t>français</w:t>
      </w:r>
      <w:r>
        <w:rPr>
          <w:spacing w:val="24"/>
          <w:sz w:val="20"/>
        </w:rPr>
        <w:t> </w:t>
      </w:r>
      <w:r>
        <w:rPr>
          <w:sz w:val="20"/>
        </w:rPr>
        <w:t>et togolais, Thèse en Droit privé et sciences criminelles, Bordeaux, 2022, n°42, pp.38-39.</w:t>
      </w:r>
    </w:p>
    <w:p>
      <w:pPr>
        <w:spacing w:before="0"/>
        <w:ind w:left="141" w:right="99" w:firstLine="0"/>
        <w:jc w:val="left"/>
        <w:rPr>
          <w:sz w:val="20"/>
        </w:rPr>
      </w:pPr>
      <w:r>
        <w:rPr>
          <w:sz w:val="20"/>
          <w:vertAlign w:val="superscript"/>
        </w:rPr>
        <w:t>3</w:t>
      </w:r>
      <w:r>
        <w:rPr>
          <w:sz w:val="20"/>
          <w:vertAlign w:val="baseline"/>
        </w:rPr>
        <w:t>MATHONNET</w:t>
      </w:r>
      <w:r>
        <w:rPr>
          <w:spacing w:val="35"/>
          <w:sz w:val="20"/>
          <w:vertAlign w:val="baseline"/>
        </w:rPr>
        <w:t> </w:t>
      </w:r>
      <w:r>
        <w:rPr>
          <w:sz w:val="20"/>
          <w:vertAlign w:val="baseline"/>
        </w:rPr>
        <w:t>Daniel,</w:t>
      </w:r>
      <w:r>
        <w:rPr>
          <w:spacing w:val="35"/>
          <w:sz w:val="20"/>
          <w:vertAlign w:val="baseline"/>
        </w:rPr>
        <w:t> </w:t>
      </w:r>
      <w:r>
        <w:rPr>
          <w:sz w:val="20"/>
          <w:vertAlign w:val="baseline"/>
        </w:rPr>
        <w:t>«</w:t>
      </w:r>
      <w:r>
        <w:rPr>
          <w:spacing w:val="35"/>
          <w:sz w:val="20"/>
          <w:vertAlign w:val="baseline"/>
        </w:rPr>
        <w:t> </w:t>
      </w:r>
      <w:r>
        <w:rPr>
          <w:sz w:val="20"/>
          <w:vertAlign w:val="baseline"/>
        </w:rPr>
        <w:t>De</w:t>
      </w:r>
      <w:r>
        <w:rPr>
          <w:spacing w:val="35"/>
          <w:sz w:val="20"/>
          <w:vertAlign w:val="baseline"/>
        </w:rPr>
        <w:t> </w:t>
      </w:r>
      <w:r>
        <w:rPr>
          <w:sz w:val="20"/>
          <w:vertAlign w:val="baseline"/>
        </w:rPr>
        <w:t>quelques</w:t>
      </w:r>
      <w:r>
        <w:rPr>
          <w:spacing w:val="35"/>
          <w:sz w:val="20"/>
          <w:vertAlign w:val="baseline"/>
        </w:rPr>
        <w:t> </w:t>
      </w:r>
      <w:r>
        <w:rPr>
          <w:sz w:val="20"/>
          <w:vertAlign w:val="baseline"/>
        </w:rPr>
        <w:t>remèdes</w:t>
      </w:r>
      <w:r>
        <w:rPr>
          <w:spacing w:val="35"/>
          <w:sz w:val="20"/>
          <w:vertAlign w:val="baseline"/>
        </w:rPr>
        <w:t> </w:t>
      </w:r>
      <w:r>
        <w:rPr>
          <w:sz w:val="20"/>
          <w:vertAlign w:val="baseline"/>
        </w:rPr>
        <w:t>à</w:t>
      </w:r>
      <w:r>
        <w:rPr>
          <w:spacing w:val="35"/>
          <w:sz w:val="20"/>
          <w:vertAlign w:val="baseline"/>
        </w:rPr>
        <w:t> </w:t>
      </w:r>
      <w:r>
        <w:rPr>
          <w:sz w:val="20"/>
          <w:vertAlign w:val="baseline"/>
        </w:rPr>
        <w:t>la</w:t>
      </w:r>
      <w:r>
        <w:rPr>
          <w:spacing w:val="35"/>
          <w:sz w:val="20"/>
          <w:vertAlign w:val="baseline"/>
        </w:rPr>
        <w:t> </w:t>
      </w:r>
      <w:r>
        <w:rPr>
          <w:sz w:val="20"/>
          <w:vertAlign w:val="baseline"/>
        </w:rPr>
        <w:t>piraterie</w:t>
      </w:r>
      <w:r>
        <w:rPr>
          <w:spacing w:val="35"/>
          <w:sz w:val="20"/>
          <w:vertAlign w:val="baseline"/>
        </w:rPr>
        <w:t> </w:t>
      </w:r>
      <w:r>
        <w:rPr>
          <w:sz w:val="20"/>
          <w:vertAlign w:val="baseline"/>
        </w:rPr>
        <w:t>maritime</w:t>
      </w:r>
      <w:r>
        <w:rPr>
          <w:spacing w:val="35"/>
          <w:sz w:val="20"/>
          <w:vertAlign w:val="baseline"/>
        </w:rPr>
        <w:t> </w:t>
      </w:r>
      <w:r>
        <w:rPr>
          <w:sz w:val="20"/>
          <w:vertAlign w:val="baseline"/>
        </w:rPr>
        <w:t>»,</w:t>
      </w:r>
      <w:r>
        <w:rPr>
          <w:spacing w:val="35"/>
          <w:sz w:val="20"/>
          <w:vertAlign w:val="baseline"/>
        </w:rPr>
        <w:t> </w:t>
      </w:r>
      <w:r>
        <w:rPr>
          <w:sz w:val="20"/>
          <w:vertAlign w:val="baseline"/>
        </w:rPr>
        <w:t>DMF,</w:t>
      </w:r>
      <w:r>
        <w:rPr>
          <w:spacing w:val="35"/>
          <w:sz w:val="20"/>
          <w:vertAlign w:val="baseline"/>
        </w:rPr>
        <w:t> </w:t>
      </w:r>
      <w:r>
        <w:rPr>
          <w:sz w:val="20"/>
          <w:vertAlign w:val="baseline"/>
        </w:rPr>
        <w:t>juin</w:t>
      </w:r>
      <w:r>
        <w:rPr>
          <w:spacing w:val="35"/>
          <w:sz w:val="20"/>
          <w:vertAlign w:val="baseline"/>
        </w:rPr>
        <w:t> </w:t>
      </w:r>
      <w:r>
        <w:rPr>
          <w:sz w:val="20"/>
          <w:vertAlign w:val="baseline"/>
        </w:rPr>
        <w:t>2011,</w:t>
      </w:r>
      <w:r>
        <w:rPr>
          <w:spacing w:val="35"/>
          <w:sz w:val="20"/>
          <w:vertAlign w:val="baseline"/>
        </w:rPr>
        <w:t> </w:t>
      </w:r>
      <w:r>
        <w:rPr>
          <w:sz w:val="20"/>
          <w:vertAlign w:val="baseline"/>
        </w:rPr>
        <w:t>n°</w:t>
      </w:r>
      <w:r>
        <w:rPr>
          <w:spacing w:val="35"/>
          <w:sz w:val="20"/>
          <w:vertAlign w:val="baseline"/>
        </w:rPr>
        <w:t> </w:t>
      </w:r>
      <w:r>
        <w:rPr>
          <w:sz w:val="20"/>
          <w:vertAlign w:val="baseline"/>
        </w:rPr>
        <w:t>726,</w:t>
      </w:r>
      <w:r>
        <w:rPr>
          <w:spacing w:val="35"/>
          <w:sz w:val="20"/>
          <w:vertAlign w:val="baseline"/>
        </w:rPr>
        <w:t> </w:t>
      </w:r>
      <w:r>
        <w:rPr>
          <w:sz w:val="20"/>
          <w:vertAlign w:val="baseline"/>
        </w:rPr>
        <w:t>cité</w:t>
      </w:r>
      <w:r>
        <w:rPr>
          <w:spacing w:val="35"/>
          <w:sz w:val="20"/>
          <w:vertAlign w:val="baseline"/>
        </w:rPr>
        <w:t> </w:t>
      </w:r>
      <w:r>
        <w:rPr>
          <w:sz w:val="20"/>
          <w:vertAlign w:val="baseline"/>
        </w:rPr>
        <w:t>par Kodjovi ABOBOYAYA, loc.cit</w:t>
      </w:r>
    </w:p>
    <w:p>
      <w:pPr>
        <w:spacing w:before="0"/>
        <w:ind w:left="141" w:right="0" w:firstLine="0"/>
        <w:jc w:val="left"/>
        <w:rPr>
          <w:sz w:val="20"/>
        </w:rPr>
      </w:pPr>
      <w:r>
        <w:rPr>
          <w:spacing w:val="-2"/>
          <w:sz w:val="20"/>
          <w:vertAlign w:val="superscript"/>
        </w:rPr>
        <w:t>4</w:t>
      </w:r>
      <w:r>
        <w:rPr>
          <w:spacing w:val="-2"/>
          <w:sz w:val="20"/>
          <w:vertAlign w:val="baseline"/>
        </w:rPr>
        <w:t>Ibid.</w:t>
      </w:r>
    </w:p>
    <w:p>
      <w:pPr>
        <w:spacing w:before="0"/>
        <w:ind w:left="141" w:right="0" w:firstLine="0"/>
        <w:jc w:val="left"/>
        <w:rPr>
          <w:sz w:val="20"/>
        </w:rPr>
      </w:pPr>
      <w:r>
        <w:rPr>
          <w:sz w:val="20"/>
          <w:vertAlign w:val="superscript"/>
        </w:rPr>
        <w:t>5</w:t>
      </w:r>
      <w:r>
        <w:rPr>
          <w:sz w:val="20"/>
          <w:vertAlign w:val="baseline"/>
        </w:rPr>
        <w:t>POLERE</w:t>
      </w:r>
      <w:r>
        <w:rPr>
          <w:spacing w:val="-3"/>
          <w:sz w:val="20"/>
          <w:vertAlign w:val="baseline"/>
        </w:rPr>
        <w:t> </w:t>
      </w:r>
      <w:r>
        <w:rPr>
          <w:sz w:val="20"/>
          <w:vertAlign w:val="baseline"/>
        </w:rPr>
        <w:t>Pascal,</w:t>
      </w:r>
      <w:r>
        <w:rPr>
          <w:spacing w:val="-3"/>
          <w:sz w:val="20"/>
          <w:vertAlign w:val="baseline"/>
        </w:rPr>
        <w:t> </w:t>
      </w:r>
      <w:r>
        <w:rPr>
          <w:sz w:val="20"/>
          <w:vertAlign w:val="baseline"/>
        </w:rPr>
        <w:t>«</w:t>
      </w:r>
      <w:r>
        <w:rPr>
          <w:spacing w:val="-2"/>
          <w:sz w:val="20"/>
          <w:vertAlign w:val="baseline"/>
        </w:rPr>
        <w:t> </w:t>
      </w:r>
      <w:r>
        <w:rPr>
          <w:sz w:val="20"/>
          <w:vertAlign w:val="baseline"/>
        </w:rPr>
        <w:t>La</w:t>
      </w:r>
      <w:r>
        <w:rPr>
          <w:spacing w:val="-3"/>
          <w:sz w:val="20"/>
          <w:vertAlign w:val="baseline"/>
        </w:rPr>
        <w:t> </w:t>
      </w:r>
      <w:r>
        <w:rPr>
          <w:sz w:val="20"/>
          <w:vertAlign w:val="baseline"/>
        </w:rPr>
        <w:t>piraterie</w:t>
      </w:r>
      <w:r>
        <w:rPr>
          <w:spacing w:val="-3"/>
          <w:sz w:val="20"/>
          <w:vertAlign w:val="baseline"/>
        </w:rPr>
        <w:t> </w:t>
      </w:r>
      <w:r>
        <w:rPr>
          <w:sz w:val="20"/>
          <w:vertAlign w:val="baseline"/>
        </w:rPr>
        <w:t>maritime</w:t>
      </w:r>
      <w:r>
        <w:rPr>
          <w:spacing w:val="-2"/>
          <w:sz w:val="20"/>
          <w:vertAlign w:val="baseline"/>
        </w:rPr>
        <w:t> </w:t>
      </w:r>
      <w:r>
        <w:rPr>
          <w:sz w:val="20"/>
          <w:vertAlign w:val="baseline"/>
        </w:rPr>
        <w:t>aujourd'hui</w:t>
      </w:r>
      <w:r>
        <w:rPr>
          <w:spacing w:val="-3"/>
          <w:sz w:val="20"/>
          <w:vertAlign w:val="baseline"/>
        </w:rPr>
        <w:t> </w:t>
      </w:r>
      <w:r>
        <w:rPr>
          <w:sz w:val="20"/>
          <w:vertAlign w:val="baseline"/>
        </w:rPr>
        <w:t>»,</w:t>
      </w:r>
      <w:r>
        <w:rPr>
          <w:spacing w:val="-3"/>
          <w:sz w:val="20"/>
          <w:vertAlign w:val="baseline"/>
        </w:rPr>
        <w:t> </w:t>
      </w:r>
      <w:r>
        <w:rPr>
          <w:sz w:val="20"/>
          <w:vertAlign w:val="baseline"/>
        </w:rPr>
        <w:t>DMF,</w:t>
      </w:r>
      <w:r>
        <w:rPr>
          <w:spacing w:val="-2"/>
          <w:sz w:val="20"/>
          <w:vertAlign w:val="baseline"/>
        </w:rPr>
        <w:t> </w:t>
      </w:r>
      <w:r>
        <w:rPr>
          <w:sz w:val="20"/>
          <w:vertAlign w:val="baseline"/>
        </w:rPr>
        <w:t>2005,</w:t>
      </w:r>
      <w:r>
        <w:rPr>
          <w:spacing w:val="-3"/>
          <w:sz w:val="20"/>
          <w:vertAlign w:val="baseline"/>
        </w:rPr>
        <w:t> </w:t>
      </w:r>
      <w:r>
        <w:rPr>
          <w:sz w:val="20"/>
          <w:vertAlign w:val="baseline"/>
        </w:rPr>
        <w:t>n°</w:t>
      </w:r>
      <w:r>
        <w:rPr>
          <w:spacing w:val="-3"/>
          <w:sz w:val="20"/>
          <w:vertAlign w:val="baseline"/>
        </w:rPr>
        <w:t> </w:t>
      </w:r>
      <w:r>
        <w:rPr>
          <w:sz w:val="20"/>
          <w:vertAlign w:val="baseline"/>
        </w:rPr>
        <w:t>659,</w:t>
      </w:r>
      <w:r>
        <w:rPr>
          <w:spacing w:val="-2"/>
          <w:sz w:val="20"/>
          <w:vertAlign w:val="baseline"/>
        </w:rPr>
        <w:t> ibid.</w:t>
      </w:r>
    </w:p>
    <w:p>
      <w:pPr>
        <w:spacing w:before="0"/>
        <w:ind w:left="141" w:right="0" w:firstLine="0"/>
        <w:jc w:val="left"/>
        <w:rPr>
          <w:sz w:val="20"/>
        </w:rPr>
      </w:pPr>
      <w:r>
        <w:rPr>
          <w:sz w:val="20"/>
          <w:vertAlign w:val="superscript"/>
        </w:rPr>
        <w:t>6</w:t>
      </w:r>
      <w:r>
        <w:rPr>
          <w:sz w:val="20"/>
          <w:vertAlign w:val="baseline"/>
        </w:rPr>
        <w:t>Kodjovi</w:t>
      </w:r>
      <w:r>
        <w:rPr>
          <w:spacing w:val="-3"/>
          <w:sz w:val="20"/>
          <w:vertAlign w:val="baseline"/>
        </w:rPr>
        <w:t> </w:t>
      </w:r>
      <w:r>
        <w:rPr>
          <w:sz w:val="20"/>
          <w:vertAlign w:val="baseline"/>
        </w:rPr>
        <w:t>ABOBOYAYA,</w:t>
      </w:r>
      <w:r>
        <w:rPr>
          <w:spacing w:val="-3"/>
          <w:sz w:val="20"/>
          <w:vertAlign w:val="baseline"/>
        </w:rPr>
        <w:t> </w:t>
      </w:r>
      <w:r>
        <w:rPr>
          <w:spacing w:val="-2"/>
          <w:sz w:val="20"/>
          <w:vertAlign w:val="baseline"/>
        </w:rPr>
        <w:t>loc.cit.</w:t>
      </w:r>
    </w:p>
    <w:p>
      <w:pPr>
        <w:spacing w:before="0"/>
        <w:ind w:left="141" w:right="0" w:firstLine="0"/>
        <w:jc w:val="left"/>
        <w:rPr>
          <w:sz w:val="20"/>
        </w:rPr>
      </w:pPr>
      <w:r>
        <w:rPr>
          <w:spacing w:val="-2"/>
          <w:sz w:val="20"/>
          <w:vertAlign w:val="superscript"/>
        </w:rPr>
        <w:t>7</w:t>
      </w:r>
      <w:r>
        <w:rPr>
          <w:spacing w:val="-2"/>
          <w:sz w:val="20"/>
          <w:vertAlign w:val="baseline"/>
        </w:rPr>
        <w:t>Ibid.</w:t>
      </w:r>
    </w:p>
    <w:p>
      <w:pPr>
        <w:spacing w:after="0"/>
        <w:jc w:val="left"/>
        <w:rPr>
          <w:sz w:val="20"/>
        </w:rPr>
        <w:sectPr>
          <w:pgSz w:w="11910" w:h="16840"/>
          <w:pgMar w:header="0" w:footer="1005" w:top="1340" w:bottom="1200" w:left="1275" w:right="1133"/>
        </w:sectPr>
      </w:pPr>
    </w:p>
    <w:p>
      <w:pPr>
        <w:pStyle w:val="BodyText"/>
        <w:spacing w:before="79"/>
        <w:ind w:left="141" w:right="139"/>
        <w:jc w:val="both"/>
      </w:pPr>
      <w:r>
        <w:rPr/>
        <w:t>Cependant, cette convention souffre d’une absence d’effet direct en droit interne</w:t>
      </w:r>
      <w:r>
        <w:rPr>
          <w:vertAlign w:val="superscript"/>
        </w:rPr>
        <w:t>8</w:t>
      </w:r>
      <w:r>
        <w:rPr>
          <w:vertAlign w:val="baseline"/>
        </w:rPr>
        <w:t>, ce qui crée des difficultés d’application pratique.</w:t>
      </w:r>
    </w:p>
    <w:p>
      <w:pPr>
        <w:pStyle w:val="BodyText"/>
        <w:spacing w:before="120"/>
        <w:ind w:left="141" w:right="140"/>
        <w:jc w:val="both"/>
      </w:pPr>
      <w:r>
        <w:rPr/>
        <w:t>Ce vide juridique a conduit, dans certains cas, les juridictions nationales à recourir à des qualifications alternatives telles que le détournement de navire ou des infractions de droit commun, parfois inadaptées à la nature spécifique des actes de piraterie</w:t>
      </w:r>
      <w:r>
        <w:rPr>
          <w:vertAlign w:val="superscript"/>
        </w:rPr>
        <w:t>9</w:t>
      </w:r>
      <w:r>
        <w:rPr>
          <w:vertAlign w:val="baseline"/>
        </w:rPr>
        <w:t>. L’affaire du </w:t>
      </w:r>
      <w:r>
        <w:rPr>
          <w:i/>
          <w:vertAlign w:val="baseline"/>
        </w:rPr>
        <w:t>Ponant </w:t>
      </w:r>
      <w:r>
        <w:rPr>
          <w:vertAlign w:val="baseline"/>
        </w:rPr>
        <w:t>(attaque du 8 avril 2008 au large de la Somalie) illustre cette difficulté, les auteurs ayant été jugés sur la base du droit pénal commun devant la Cour d’assises de Paris</w:t>
      </w:r>
      <w:r>
        <w:rPr>
          <w:vertAlign w:val="superscript"/>
        </w:rPr>
        <w:t>10</w:t>
      </w:r>
      <w:r>
        <w:rPr>
          <w:vertAlign w:val="baseline"/>
        </w:rPr>
        <w:t>. Cette situation met en évidence les limites de l’adaptation des systèmes juridiques internes face à une infraction de nature transnationale.</w:t>
      </w:r>
    </w:p>
    <w:p>
      <w:pPr>
        <w:pStyle w:val="BodyText"/>
        <w:spacing w:before="120"/>
        <w:ind w:left="142" w:right="140"/>
        <w:jc w:val="both"/>
      </w:pPr>
      <w:r>
        <w:rPr/>
        <w:t>De manière similaire, certains États ne disposent toujours pas de législation spécifique incriminant la piraterie maritime dans leur droit interne. Même lorsque de tels textes existent, leur application demeure parfois méconnue ou insuffisamment maîtrisée par les autorités judiciaires et les agents chargés des poursuites. À titre d’exemple, à Madagascar, certains praticiens du droit considèrent encore que la piraterie maritime n’est pas expressément</w:t>
      </w:r>
      <w:r>
        <w:rPr>
          <w:spacing w:val="40"/>
        </w:rPr>
        <w:t> </w:t>
      </w:r>
      <w:r>
        <w:rPr/>
        <w:t>réprimée et tendent à la qualifier de vol à main armée commis en mer</w:t>
      </w:r>
      <w:r>
        <w:rPr>
          <w:vertAlign w:val="superscript"/>
        </w:rPr>
        <w:t>11</w:t>
      </w:r>
      <w:r>
        <w:rPr>
          <w:vertAlign w:val="baseline"/>
        </w:rPr>
        <w:t>. Cette approche a notamment été observée dans l’affaire des quatorze individus interceptés dans les eaux malgaches en 2011, poursuivis sous la qualification de vol à main armée et jugés en 2012 à Diégo-Suarez</w:t>
      </w:r>
      <w:r>
        <w:rPr>
          <w:vertAlign w:val="superscript"/>
        </w:rPr>
        <w:t>12</w:t>
      </w:r>
      <w:r>
        <w:rPr>
          <w:vertAlign w:val="baseline"/>
        </w:rPr>
        <w:t>. Pourtant, le droit maritime malgache comporte des dispositions permettant</w:t>
      </w:r>
      <w:r>
        <w:rPr>
          <w:spacing w:val="40"/>
          <w:vertAlign w:val="baseline"/>
        </w:rPr>
        <w:t> </w:t>
      </w:r>
      <w:r>
        <w:rPr>
          <w:vertAlign w:val="baseline"/>
        </w:rPr>
        <w:t>déjà de réprimer la piraterie en haute mer</w:t>
      </w:r>
      <w:r>
        <w:rPr>
          <w:vertAlign w:val="superscript"/>
        </w:rPr>
        <w:t>13</w:t>
      </w:r>
      <w:r>
        <w:rPr>
          <w:vertAlign w:val="baseline"/>
        </w:rPr>
        <w:t>, ce qui révèle un problème d’interprétation et d’application du droit existant.</w:t>
      </w:r>
    </w:p>
    <w:p>
      <w:pPr>
        <w:pStyle w:val="BodyText"/>
        <w:spacing w:before="120"/>
        <w:ind w:left="142" w:right="145"/>
        <w:jc w:val="both"/>
      </w:pPr>
      <w:r>
        <w:rPr/>
        <w:t>Sur le plan conceptuel, la répression de la piraterie repose sur le principe de la compétence universelle, permettant à tout État de poursuivre et de juger les auteurs de tels actes, indépendamment du lieu de commission de l’infraction et de la nationalité des auteurs. Toutefois, cette compétence ne peut être exercée que si le droit interne de l’État poursuivant prévoit effectivement l’incrimination de la piraterie. À défaut, le principe de légalité pénale empêche toute poursuite, même en présence d’une compétence internationale reconnue.</w:t>
      </w:r>
    </w:p>
    <w:p>
      <w:pPr>
        <w:pStyle w:val="BodyText"/>
        <w:spacing w:before="120"/>
        <w:ind w:left="141" w:right="139"/>
        <w:jc w:val="both"/>
      </w:pPr>
      <w:r>
        <w:rPr/>
        <w:t>Face à ces insuffisances normatives et opérationnelles, la communauté internationale a adopté plusieurs instruments juridiques visant à renforcer la répression des actes illicites contre la sécurité de la navigation maritime, notamment la Convention pour la répression des actes illicites</w:t>
      </w:r>
      <w:r>
        <w:rPr>
          <w:spacing w:val="-3"/>
        </w:rPr>
        <w:t> </w:t>
      </w:r>
      <w:r>
        <w:rPr/>
        <w:t>contre</w:t>
      </w:r>
      <w:r>
        <w:rPr>
          <w:spacing w:val="-3"/>
        </w:rPr>
        <w:t> </w:t>
      </w:r>
      <w:r>
        <w:rPr/>
        <w:t>la</w:t>
      </w:r>
      <w:r>
        <w:rPr>
          <w:spacing w:val="-3"/>
        </w:rPr>
        <w:t> </w:t>
      </w:r>
      <w:r>
        <w:rPr/>
        <w:t>sécurité</w:t>
      </w:r>
      <w:r>
        <w:rPr>
          <w:spacing w:val="-3"/>
        </w:rPr>
        <w:t> </w:t>
      </w:r>
      <w:r>
        <w:rPr/>
        <w:t>de</w:t>
      </w:r>
      <w:r>
        <w:rPr>
          <w:spacing w:val="-3"/>
        </w:rPr>
        <w:t> </w:t>
      </w:r>
      <w:r>
        <w:rPr/>
        <w:t>la</w:t>
      </w:r>
      <w:r>
        <w:rPr>
          <w:spacing w:val="-3"/>
        </w:rPr>
        <w:t> </w:t>
      </w:r>
      <w:r>
        <w:rPr/>
        <w:t>navigation</w:t>
      </w:r>
      <w:r>
        <w:rPr>
          <w:spacing w:val="-3"/>
        </w:rPr>
        <w:t> </w:t>
      </w:r>
      <w:r>
        <w:rPr/>
        <w:t>maritime</w:t>
      </w:r>
      <w:r>
        <w:rPr>
          <w:spacing w:val="-3"/>
        </w:rPr>
        <w:t> </w:t>
      </w:r>
      <w:r>
        <w:rPr/>
        <w:t>de</w:t>
      </w:r>
      <w:r>
        <w:rPr>
          <w:spacing w:val="-3"/>
        </w:rPr>
        <w:t> </w:t>
      </w:r>
      <w:r>
        <w:rPr/>
        <w:t>1988</w:t>
      </w:r>
      <w:r>
        <w:rPr>
          <w:spacing w:val="-3"/>
        </w:rPr>
        <w:t> </w:t>
      </w:r>
      <w:r>
        <w:rPr/>
        <w:t>(Convention</w:t>
      </w:r>
      <w:r>
        <w:rPr>
          <w:spacing w:val="-3"/>
        </w:rPr>
        <w:t> </w:t>
      </w:r>
      <w:r>
        <w:rPr/>
        <w:t>de</w:t>
      </w:r>
      <w:r>
        <w:rPr>
          <w:spacing w:val="-3"/>
        </w:rPr>
        <w:t> </w:t>
      </w:r>
      <w:r>
        <w:rPr/>
        <w:t>Rome)</w:t>
      </w:r>
      <w:r>
        <w:rPr>
          <w:vertAlign w:val="superscript"/>
        </w:rPr>
        <w:t>14</w:t>
      </w:r>
      <w:r>
        <w:rPr>
          <w:vertAlign w:val="baseline"/>
        </w:rPr>
        <w:t>.</w:t>
      </w:r>
      <w:r>
        <w:rPr>
          <w:spacing w:val="-3"/>
          <w:vertAlign w:val="baseline"/>
        </w:rPr>
        <w:t> </w:t>
      </w:r>
      <w:r>
        <w:rPr>
          <w:vertAlign w:val="baseline"/>
        </w:rPr>
        <w:t>Celle-ci</w:t>
      </w:r>
      <w:r>
        <w:rPr>
          <w:spacing w:val="-3"/>
          <w:vertAlign w:val="baseline"/>
        </w:rPr>
        <w:t> </w:t>
      </w:r>
      <w:r>
        <w:rPr>
          <w:vertAlign w:val="baseline"/>
        </w:rPr>
        <w:t>a été intégrée dans de nombreux systèmes juridiques nationaux afin de combler les lacunes de la</w:t>
      </w:r>
    </w:p>
    <w:p>
      <w:pPr>
        <w:pStyle w:val="BodyText"/>
        <w:spacing w:before="10"/>
        <w:rPr>
          <w:sz w:val="16"/>
        </w:rPr>
      </w:pPr>
      <w:r>
        <w:rPr>
          <w:sz w:val="16"/>
        </w:rPr>
        <mc:AlternateContent>
          <mc:Choice Requires="wps">
            <w:drawing>
              <wp:anchor distT="0" distB="0" distL="0" distR="0" allowOverlap="1" layoutInCell="1" locked="0" behindDoc="1" simplePos="0" relativeHeight="487588352">
                <wp:simplePos x="0" y="0"/>
                <wp:positionH relativeFrom="page">
                  <wp:posOffset>899794</wp:posOffset>
                </wp:positionH>
                <wp:positionV relativeFrom="paragraph">
                  <wp:posOffset>138954</wp:posOffset>
                </wp:positionV>
                <wp:extent cx="1800225"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800225" cy="1270"/>
                        </a:xfrm>
                        <a:custGeom>
                          <a:avLst/>
                          <a:gdLst/>
                          <a:ahLst/>
                          <a:cxnLst/>
                          <a:rect l="l" t="t" r="r" b="b"/>
                          <a:pathLst>
                            <a:path w="1800225" h="0">
                              <a:moveTo>
                                <a:pt x="0" y="0"/>
                              </a:moveTo>
                              <a:lnTo>
                                <a:pt x="1799996" y="0"/>
                              </a:lnTo>
                            </a:path>
                          </a:pathLst>
                        </a:custGeom>
                        <a:ln w="776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0.941328pt;width:141.75pt;height:.1pt;mso-position-horizontal-relative:page;mso-position-vertical-relative:paragraph;z-index:-15728128;mso-wrap-distance-left:0;mso-wrap-distance-right:0" id="docshape3" coordorigin="1417,219" coordsize="2835,0" path="m1417,219l4252,219e" filled="false" stroked="true" strokeweight=".61109pt" strokecolor="#000000">
                <v:path arrowok="t"/>
                <v:stroke dashstyle="solid"/>
                <w10:wrap type="topAndBottom"/>
              </v:shape>
            </w:pict>
          </mc:Fallback>
        </mc:AlternateContent>
      </w:r>
    </w:p>
    <w:p>
      <w:pPr>
        <w:spacing w:before="144"/>
        <w:ind w:left="141" w:right="141" w:firstLine="0"/>
        <w:jc w:val="both"/>
        <w:rPr>
          <w:sz w:val="20"/>
        </w:rPr>
      </w:pPr>
      <w:r>
        <w:rPr>
          <w:sz w:val="20"/>
          <w:vertAlign w:val="superscript"/>
        </w:rPr>
        <w:t>8</w:t>
      </w:r>
      <w:r>
        <w:rPr>
          <w:sz w:val="20"/>
          <w:vertAlign w:val="baseline"/>
        </w:rPr>
        <w:t>CJCE, 3 juin 2008, aff. C-308/06, Intertanko e.a. c/ Secretary of State for Transport: DMF 2008, p. 892, obs. L. Grellet, citée par Kodjovi ABOBOYAYA, loc.cit.: « … la Convention de Montego Bay ne met pas en place des règles destinées à s’appliquer directement et immédiatement aux particuliers et à conférer à ces derniers des droits ou des libertés susceptibles d’être invoqués à l’encontre des États, indépendamment de l’attitude de l’État du pavillon du navire ».</w:t>
      </w:r>
    </w:p>
    <w:p>
      <w:pPr>
        <w:spacing w:before="0"/>
        <w:ind w:left="141" w:right="0" w:firstLine="0"/>
        <w:jc w:val="both"/>
        <w:rPr>
          <w:sz w:val="20"/>
        </w:rPr>
      </w:pPr>
      <w:r>
        <w:rPr>
          <w:sz w:val="20"/>
          <w:vertAlign w:val="superscript"/>
        </w:rPr>
        <w:t>9</w:t>
      </w:r>
      <w:r>
        <w:rPr>
          <w:sz w:val="20"/>
          <w:vertAlign w:val="baseline"/>
        </w:rPr>
        <w:t>Kodjovi</w:t>
      </w:r>
      <w:r>
        <w:rPr>
          <w:spacing w:val="-3"/>
          <w:sz w:val="20"/>
          <w:vertAlign w:val="baseline"/>
        </w:rPr>
        <w:t> </w:t>
      </w:r>
      <w:r>
        <w:rPr>
          <w:sz w:val="20"/>
          <w:vertAlign w:val="baseline"/>
        </w:rPr>
        <w:t>ABOBOYAYA,</w:t>
      </w:r>
      <w:r>
        <w:rPr>
          <w:spacing w:val="-3"/>
          <w:sz w:val="20"/>
          <w:vertAlign w:val="baseline"/>
        </w:rPr>
        <w:t> </w:t>
      </w:r>
      <w:r>
        <w:rPr>
          <w:spacing w:val="-2"/>
          <w:sz w:val="20"/>
          <w:vertAlign w:val="baseline"/>
        </w:rPr>
        <w:t>loc.cit.</w:t>
      </w:r>
    </w:p>
    <w:p>
      <w:pPr>
        <w:spacing w:before="0"/>
        <w:ind w:left="141" w:right="0" w:firstLine="0"/>
        <w:jc w:val="left"/>
        <w:rPr>
          <w:sz w:val="20"/>
        </w:rPr>
      </w:pPr>
      <w:r>
        <w:rPr>
          <w:spacing w:val="-2"/>
          <w:sz w:val="20"/>
          <w:vertAlign w:val="superscript"/>
        </w:rPr>
        <w:t>10</w:t>
      </w:r>
      <w:r>
        <w:rPr>
          <w:spacing w:val="-2"/>
          <w:sz w:val="20"/>
          <w:vertAlign w:val="baseline"/>
        </w:rPr>
        <w:t>Ibid.</w:t>
      </w:r>
    </w:p>
    <w:p>
      <w:pPr>
        <w:spacing w:before="0"/>
        <w:ind w:left="141" w:right="138" w:firstLine="0"/>
        <w:jc w:val="both"/>
        <w:rPr>
          <w:sz w:val="20"/>
        </w:rPr>
      </w:pPr>
      <w:r>
        <w:rPr>
          <w:sz w:val="20"/>
          <w:vertAlign w:val="superscript"/>
        </w:rPr>
        <w:t>11</w:t>
      </w:r>
      <w:r>
        <w:rPr>
          <w:sz w:val="20"/>
          <w:vertAlign w:val="baseline"/>
        </w:rPr>
        <w:t>La rédaction, Madagascar s’implique dans la lutte contre la piraterie, LINFO.RE, le 3.12.2013 à 13h56 – mis à jour le 19.03.2018 à 18h20. En ligne </w:t>
      </w:r>
      <w:hyperlink r:id="rId6">
        <w:r>
          <w:rPr>
            <w:color w:val="0000FF"/>
            <w:sz w:val="20"/>
            <w:u w:val="single" w:color="0000FF"/>
            <w:vertAlign w:val="baseline"/>
          </w:rPr>
          <w:t>https://www.linfo.re/ocean-indien/madagascar/madagascar-s-implique-</w:t>
        </w:r>
        <w:r>
          <w:rPr>
            <w:color w:val="0000FF"/>
            <w:sz w:val="20"/>
            <w:u w:val="single" w:color="0000FF"/>
            <w:vertAlign w:val="baseline"/>
          </w:rPr>
          <w:t>dans-</w:t>
        </w:r>
      </w:hyperlink>
      <w:hyperlink r:id="rId6">
        <w:r>
          <w:rPr>
            <w:color w:val="0000FF"/>
            <w:spacing w:val="-2"/>
            <w:sz w:val="20"/>
            <w:u w:val="single" w:color="0000FF"/>
            <w:vertAlign w:val="baseline"/>
          </w:rPr>
          <w:t>la-lutte-contre-la-piraterie</w:t>
        </w:r>
      </w:hyperlink>
      <w:r>
        <w:rPr>
          <w:spacing w:val="-2"/>
          <w:sz w:val="20"/>
          <w:vertAlign w:val="baseline"/>
        </w:rPr>
        <w:t>.</w:t>
      </w:r>
    </w:p>
    <w:p>
      <w:pPr>
        <w:spacing w:before="0"/>
        <w:ind w:left="141" w:right="142" w:firstLine="0"/>
        <w:jc w:val="both"/>
        <w:rPr>
          <w:sz w:val="20"/>
        </w:rPr>
      </w:pPr>
      <w:r>
        <w:rPr>
          <w:sz w:val="20"/>
          <w:vertAlign w:val="superscript"/>
        </w:rPr>
        <w:t>12</w:t>
      </w:r>
      <w:r>
        <w:rPr>
          <w:sz w:val="20"/>
          <w:vertAlign w:val="baseline"/>
        </w:rPr>
        <w:t>La rédaction, Madagascar s’implique dans la lutte contre la piraterie, op.cit. : « Pour rappel, au moins dix</w:t>
      </w:r>
      <w:r>
        <w:rPr>
          <w:spacing w:val="40"/>
          <w:sz w:val="20"/>
          <w:vertAlign w:val="baseline"/>
        </w:rPr>
        <w:t> </w:t>
      </w:r>
      <w:r>
        <w:rPr>
          <w:sz w:val="20"/>
          <w:vertAlign w:val="baseline"/>
        </w:rPr>
        <w:t>attaques de pirates ont été enregistrées aux abords des côtes de la Grande île entre 1992 et 2012. Et au total, quatorze pirates somaliens avaient été capturés dans les eaux malgaches, ceux-là même qui sont incarcérés actuellement à la prison de Diégo-Suarez ».</w:t>
      </w:r>
    </w:p>
    <w:p>
      <w:pPr>
        <w:spacing w:before="0"/>
        <w:ind w:left="141" w:right="0" w:firstLine="0"/>
        <w:jc w:val="both"/>
        <w:rPr>
          <w:sz w:val="20"/>
        </w:rPr>
      </w:pPr>
      <w:r>
        <w:rPr>
          <w:sz w:val="20"/>
          <w:vertAlign w:val="superscript"/>
        </w:rPr>
        <w:t>13</w:t>
      </w:r>
      <w:r>
        <w:rPr>
          <w:sz w:val="20"/>
          <w:vertAlign w:val="baseline"/>
        </w:rPr>
        <w:t>Cf.,</w:t>
      </w:r>
      <w:r>
        <w:rPr>
          <w:spacing w:val="29"/>
          <w:sz w:val="20"/>
          <w:vertAlign w:val="baseline"/>
        </w:rPr>
        <w:t> </w:t>
      </w:r>
      <w:r>
        <w:rPr>
          <w:sz w:val="20"/>
          <w:vertAlign w:val="baseline"/>
        </w:rPr>
        <w:t>Loi</w:t>
      </w:r>
      <w:r>
        <w:rPr>
          <w:spacing w:val="29"/>
          <w:sz w:val="20"/>
          <w:vertAlign w:val="baseline"/>
        </w:rPr>
        <w:t> </w:t>
      </w:r>
      <w:r>
        <w:rPr>
          <w:sz w:val="20"/>
          <w:vertAlign w:val="baseline"/>
        </w:rPr>
        <w:t>malgache</w:t>
      </w:r>
      <w:r>
        <w:rPr>
          <w:spacing w:val="29"/>
          <w:sz w:val="20"/>
          <w:vertAlign w:val="baseline"/>
        </w:rPr>
        <w:t> </w:t>
      </w:r>
      <w:r>
        <w:rPr>
          <w:sz w:val="20"/>
          <w:vertAlign w:val="baseline"/>
        </w:rPr>
        <w:t>n°99-028</w:t>
      </w:r>
      <w:r>
        <w:rPr>
          <w:spacing w:val="29"/>
          <w:sz w:val="20"/>
          <w:vertAlign w:val="baseline"/>
        </w:rPr>
        <w:t> </w:t>
      </w:r>
      <w:r>
        <w:rPr>
          <w:sz w:val="20"/>
          <w:vertAlign w:val="baseline"/>
        </w:rPr>
        <w:t>du</w:t>
      </w:r>
      <w:r>
        <w:rPr>
          <w:spacing w:val="29"/>
          <w:sz w:val="20"/>
          <w:vertAlign w:val="baseline"/>
        </w:rPr>
        <w:t> </w:t>
      </w:r>
      <w:r>
        <w:rPr>
          <w:sz w:val="20"/>
          <w:vertAlign w:val="baseline"/>
        </w:rPr>
        <w:t>3</w:t>
      </w:r>
      <w:r>
        <w:rPr>
          <w:spacing w:val="30"/>
          <w:sz w:val="20"/>
          <w:vertAlign w:val="baseline"/>
        </w:rPr>
        <w:t> </w:t>
      </w:r>
      <w:r>
        <w:rPr>
          <w:sz w:val="20"/>
          <w:vertAlign w:val="baseline"/>
        </w:rPr>
        <w:t>Février</w:t>
      </w:r>
      <w:r>
        <w:rPr>
          <w:spacing w:val="29"/>
          <w:sz w:val="20"/>
          <w:vertAlign w:val="baseline"/>
        </w:rPr>
        <w:t> </w:t>
      </w:r>
      <w:r>
        <w:rPr>
          <w:sz w:val="20"/>
          <w:vertAlign w:val="baseline"/>
        </w:rPr>
        <w:t>2000</w:t>
      </w:r>
      <w:r>
        <w:rPr>
          <w:spacing w:val="29"/>
          <w:sz w:val="20"/>
          <w:vertAlign w:val="baseline"/>
        </w:rPr>
        <w:t> </w:t>
      </w:r>
      <w:r>
        <w:rPr>
          <w:sz w:val="20"/>
          <w:vertAlign w:val="baseline"/>
        </w:rPr>
        <w:t>portant</w:t>
      </w:r>
      <w:r>
        <w:rPr>
          <w:spacing w:val="29"/>
          <w:sz w:val="20"/>
          <w:vertAlign w:val="baseline"/>
        </w:rPr>
        <w:t> </w:t>
      </w:r>
      <w:r>
        <w:rPr>
          <w:sz w:val="20"/>
          <w:vertAlign w:val="baseline"/>
        </w:rPr>
        <w:t>refonte</w:t>
      </w:r>
      <w:r>
        <w:rPr>
          <w:spacing w:val="29"/>
          <w:sz w:val="20"/>
          <w:vertAlign w:val="baseline"/>
        </w:rPr>
        <w:t> </w:t>
      </w:r>
      <w:r>
        <w:rPr>
          <w:sz w:val="20"/>
          <w:vertAlign w:val="baseline"/>
        </w:rPr>
        <w:t>du</w:t>
      </w:r>
      <w:r>
        <w:rPr>
          <w:spacing w:val="29"/>
          <w:sz w:val="20"/>
          <w:vertAlign w:val="baseline"/>
        </w:rPr>
        <w:t> </w:t>
      </w:r>
      <w:r>
        <w:rPr>
          <w:sz w:val="20"/>
          <w:vertAlign w:val="baseline"/>
        </w:rPr>
        <w:t>Code</w:t>
      </w:r>
      <w:r>
        <w:rPr>
          <w:spacing w:val="30"/>
          <w:sz w:val="20"/>
          <w:vertAlign w:val="baseline"/>
        </w:rPr>
        <w:t> </w:t>
      </w:r>
      <w:r>
        <w:rPr>
          <w:sz w:val="20"/>
          <w:vertAlign w:val="baseline"/>
        </w:rPr>
        <w:t>maritime,</w:t>
      </w:r>
      <w:r>
        <w:rPr>
          <w:spacing w:val="29"/>
          <w:sz w:val="20"/>
          <w:vertAlign w:val="baseline"/>
        </w:rPr>
        <w:t> </w:t>
      </w:r>
      <w:r>
        <w:rPr>
          <w:sz w:val="20"/>
          <w:vertAlign w:val="baseline"/>
        </w:rPr>
        <w:t>articles</w:t>
      </w:r>
      <w:r>
        <w:rPr>
          <w:spacing w:val="29"/>
          <w:sz w:val="20"/>
          <w:vertAlign w:val="baseline"/>
        </w:rPr>
        <w:t> </w:t>
      </w:r>
      <w:r>
        <w:rPr>
          <w:sz w:val="20"/>
          <w:vertAlign w:val="baseline"/>
        </w:rPr>
        <w:t>1.5.01</w:t>
      </w:r>
      <w:r>
        <w:rPr>
          <w:spacing w:val="29"/>
          <w:sz w:val="20"/>
          <w:vertAlign w:val="baseline"/>
        </w:rPr>
        <w:t> </w:t>
      </w:r>
      <w:r>
        <w:rPr>
          <w:sz w:val="20"/>
          <w:vertAlign w:val="baseline"/>
        </w:rPr>
        <w:t>à</w:t>
      </w:r>
      <w:r>
        <w:rPr>
          <w:spacing w:val="29"/>
          <w:sz w:val="20"/>
          <w:vertAlign w:val="baseline"/>
        </w:rPr>
        <w:t> </w:t>
      </w:r>
      <w:r>
        <w:rPr>
          <w:sz w:val="20"/>
          <w:vertAlign w:val="baseline"/>
        </w:rPr>
        <w:t>1.5.06</w:t>
      </w:r>
      <w:r>
        <w:rPr>
          <w:spacing w:val="30"/>
          <w:sz w:val="20"/>
          <w:vertAlign w:val="baseline"/>
        </w:rPr>
        <w:t> </w:t>
      </w:r>
      <w:r>
        <w:rPr>
          <w:spacing w:val="-5"/>
          <w:sz w:val="20"/>
          <w:vertAlign w:val="baseline"/>
        </w:rPr>
        <w:t>et</w:t>
      </w:r>
    </w:p>
    <w:p>
      <w:pPr>
        <w:spacing w:before="0"/>
        <w:ind w:left="141" w:right="0" w:firstLine="0"/>
        <w:jc w:val="both"/>
        <w:rPr>
          <w:sz w:val="20"/>
        </w:rPr>
      </w:pPr>
      <w:r>
        <w:rPr>
          <w:sz w:val="20"/>
        </w:rPr>
        <w:t>7.13.01 à </w:t>
      </w:r>
      <w:r>
        <w:rPr>
          <w:spacing w:val="-2"/>
          <w:sz w:val="20"/>
        </w:rPr>
        <w:t>7.13.08.</w:t>
      </w:r>
    </w:p>
    <w:p>
      <w:pPr>
        <w:spacing w:before="0"/>
        <w:ind w:left="141" w:right="143" w:firstLine="0"/>
        <w:jc w:val="both"/>
        <w:rPr>
          <w:sz w:val="20"/>
        </w:rPr>
      </w:pPr>
      <w:r>
        <w:rPr>
          <w:sz w:val="20"/>
          <w:vertAlign w:val="superscript"/>
        </w:rPr>
        <w:t>14</w:t>
      </w:r>
      <w:r>
        <w:rPr>
          <w:sz w:val="20"/>
          <w:vertAlign w:val="baseline"/>
        </w:rPr>
        <w:t>MOMTAZ Djamchid, « La Convention pour la répression d'actes illicites contre la sécurité de la navigation maritime », in Annuaire français de droit international, vol. 34, 1988. p. 590 ; KOZUBOVSKAYA-PELLE Anastasiya, 3</w:t>
      </w:r>
      <w:r>
        <w:rPr>
          <w:sz w:val="20"/>
          <w:vertAlign w:val="superscript"/>
        </w:rPr>
        <w:t>ème</w:t>
      </w:r>
      <w:r>
        <w:rPr>
          <w:sz w:val="20"/>
          <w:vertAlign w:val="baseline"/>
        </w:rPr>
        <w:t> colloque international sur la sûreté maritime et portuaire, Nantes 22-23 octobre, DMF décembre 2009, n° 709, cités par Kodjovi ABOBOYAYA, op.cit., n°61, p.53.</w:t>
      </w:r>
    </w:p>
    <w:p>
      <w:pPr>
        <w:spacing w:after="0"/>
        <w:jc w:val="both"/>
        <w:rPr>
          <w:sz w:val="20"/>
        </w:rPr>
        <w:sectPr>
          <w:pgSz w:w="11910" w:h="16840"/>
          <w:pgMar w:header="0" w:footer="1005" w:top="1320" w:bottom="1200" w:left="1275" w:right="1133"/>
        </w:sectPr>
      </w:pPr>
    </w:p>
    <w:p>
      <w:pPr>
        <w:pStyle w:val="BodyText"/>
        <w:spacing w:before="79"/>
        <w:ind w:left="142" w:right="147"/>
        <w:jc w:val="both"/>
      </w:pPr>
      <w:r>
        <w:rPr/>
        <w:t>Convention</w:t>
      </w:r>
      <w:r>
        <w:rPr>
          <w:spacing w:val="-1"/>
        </w:rPr>
        <w:t> </w:t>
      </w:r>
      <w:r>
        <w:rPr/>
        <w:t>de</w:t>
      </w:r>
      <w:r>
        <w:rPr>
          <w:spacing w:val="-1"/>
        </w:rPr>
        <w:t> </w:t>
      </w:r>
      <w:r>
        <w:rPr/>
        <w:t>Montego</w:t>
      </w:r>
      <w:r>
        <w:rPr>
          <w:spacing w:val="-1"/>
        </w:rPr>
        <w:t> </w:t>
      </w:r>
      <w:r>
        <w:rPr/>
        <w:t>Bay,</w:t>
      </w:r>
      <w:r>
        <w:rPr>
          <w:spacing w:val="-1"/>
        </w:rPr>
        <w:t> </w:t>
      </w:r>
      <w:r>
        <w:rPr/>
        <w:t>bien</w:t>
      </w:r>
      <w:r>
        <w:rPr>
          <w:spacing w:val="-1"/>
        </w:rPr>
        <w:t> </w:t>
      </w:r>
      <w:r>
        <w:rPr/>
        <w:t>qu’elle</w:t>
      </w:r>
      <w:r>
        <w:rPr>
          <w:spacing w:val="-1"/>
        </w:rPr>
        <w:t> </w:t>
      </w:r>
      <w:r>
        <w:rPr/>
        <w:t>ne</w:t>
      </w:r>
      <w:r>
        <w:rPr>
          <w:spacing w:val="-1"/>
        </w:rPr>
        <w:t> </w:t>
      </w:r>
      <w:r>
        <w:rPr/>
        <w:t>traite</w:t>
      </w:r>
      <w:r>
        <w:rPr>
          <w:spacing w:val="-1"/>
        </w:rPr>
        <w:t> </w:t>
      </w:r>
      <w:r>
        <w:rPr/>
        <w:t>pas</w:t>
      </w:r>
      <w:r>
        <w:rPr>
          <w:spacing w:val="-1"/>
        </w:rPr>
        <w:t> </w:t>
      </w:r>
      <w:r>
        <w:rPr/>
        <w:t>spécifiquement</w:t>
      </w:r>
      <w:r>
        <w:rPr>
          <w:spacing w:val="-1"/>
        </w:rPr>
        <w:t> </w:t>
      </w:r>
      <w:r>
        <w:rPr/>
        <w:t>la</w:t>
      </w:r>
      <w:r>
        <w:rPr>
          <w:spacing w:val="-1"/>
        </w:rPr>
        <w:t> </w:t>
      </w:r>
      <w:r>
        <w:rPr/>
        <w:t>piraterie</w:t>
      </w:r>
      <w:r>
        <w:rPr>
          <w:spacing w:val="-1"/>
        </w:rPr>
        <w:t> </w:t>
      </w:r>
      <w:r>
        <w:rPr/>
        <w:t>au</w:t>
      </w:r>
      <w:r>
        <w:rPr>
          <w:spacing w:val="-1"/>
        </w:rPr>
        <w:t> </w:t>
      </w:r>
      <w:r>
        <w:rPr/>
        <w:t>sens</w:t>
      </w:r>
      <w:r>
        <w:rPr>
          <w:spacing w:val="-1"/>
        </w:rPr>
        <w:t> </w:t>
      </w:r>
      <w:r>
        <w:rPr/>
        <w:t>strict du droit international</w:t>
      </w:r>
      <w:r>
        <w:rPr>
          <w:vertAlign w:val="superscript"/>
        </w:rPr>
        <w:t>15</w:t>
      </w:r>
      <w:r>
        <w:rPr>
          <w:vertAlign w:val="baseline"/>
        </w:rPr>
        <w:t>.</w:t>
      </w:r>
    </w:p>
    <w:p>
      <w:pPr>
        <w:pStyle w:val="BodyText"/>
        <w:spacing w:before="120"/>
        <w:ind w:left="142" w:right="148"/>
        <w:jc w:val="both"/>
      </w:pPr>
      <w:r>
        <w:rPr/>
        <w:t>Cette coexistence de régimes juridiques distincts peut entraîner des difficultés d’articulation normative entre les instruments internationaux relatifs à la piraterie et ceux relatifs à la sécurité maritime, créant ainsi une certaine complexité juridique.</w:t>
      </w:r>
    </w:p>
    <w:p>
      <w:pPr>
        <w:pStyle w:val="BodyText"/>
        <w:spacing w:before="120"/>
        <w:ind w:left="142" w:right="147"/>
        <w:jc w:val="both"/>
      </w:pPr>
      <w:r>
        <w:rPr/>
        <w:t>Dans ce contexte, la présente étude intitulée « La piraterie maritime : triple analyse critique du Droit international pénal, de sa mise en œuvre dans les systèmes juridiques nationaux et de la coopération judiciaire internationale applicable » se propose d’analyser les tensions entre les normes internationales et leur application interne, ainsi que les mécanismes de coopération judiciaire mis en œuvre pour lutter contre ce phénomène.</w:t>
      </w:r>
    </w:p>
    <w:p>
      <w:pPr>
        <w:pStyle w:val="Heading4"/>
        <w:spacing w:before="240"/>
        <w:ind w:left="142" w:firstLine="0"/>
        <w:jc w:val="both"/>
      </w:pPr>
      <w:r>
        <w:rPr>
          <w:color w:val="145F82"/>
        </w:rPr>
        <w:t>Figure</w:t>
      </w:r>
      <w:r>
        <w:rPr>
          <w:color w:val="145F82"/>
          <w:spacing w:val="-4"/>
        </w:rPr>
        <w:t> </w:t>
      </w:r>
      <w:r>
        <w:rPr>
          <w:color w:val="145F82"/>
        </w:rPr>
        <w:t>1:</w:t>
      </w:r>
      <w:r>
        <w:rPr>
          <w:color w:val="145F82"/>
          <w:spacing w:val="-2"/>
        </w:rPr>
        <w:t> </w:t>
      </w:r>
      <w:r>
        <w:rPr>
          <w:color w:val="145F82"/>
        </w:rPr>
        <w:t>Aperçus</w:t>
      </w:r>
      <w:r>
        <w:rPr>
          <w:color w:val="145F82"/>
          <w:spacing w:val="56"/>
        </w:rPr>
        <w:t> </w:t>
      </w:r>
      <w:r>
        <w:rPr>
          <w:color w:val="145F82"/>
        </w:rPr>
        <w:t>de</w:t>
      </w:r>
      <w:r>
        <w:rPr>
          <w:color w:val="145F82"/>
          <w:spacing w:val="-1"/>
        </w:rPr>
        <w:t> </w:t>
      </w:r>
      <w:r>
        <w:rPr>
          <w:color w:val="145F82"/>
        </w:rPr>
        <w:t>schémas</w:t>
      </w:r>
      <w:r>
        <w:rPr>
          <w:color w:val="145F82"/>
          <w:spacing w:val="-2"/>
        </w:rPr>
        <w:t> </w:t>
      </w:r>
      <w:r>
        <w:rPr>
          <w:color w:val="145F82"/>
        </w:rPr>
        <w:t>de</w:t>
      </w:r>
      <w:r>
        <w:rPr>
          <w:color w:val="145F82"/>
          <w:spacing w:val="-2"/>
        </w:rPr>
        <w:t> </w:t>
      </w:r>
      <w:r>
        <w:rPr>
          <w:color w:val="145F82"/>
        </w:rPr>
        <w:t>la</w:t>
      </w:r>
      <w:r>
        <w:rPr>
          <w:color w:val="145F82"/>
          <w:spacing w:val="-2"/>
        </w:rPr>
        <w:t> </w:t>
      </w:r>
      <w:r>
        <w:rPr>
          <w:color w:val="145F82"/>
        </w:rPr>
        <w:t>Piraterie</w:t>
      </w:r>
      <w:r>
        <w:rPr>
          <w:color w:val="145F82"/>
          <w:spacing w:val="-1"/>
        </w:rPr>
        <w:t> </w:t>
      </w:r>
      <w:r>
        <w:rPr>
          <w:color w:val="145F82"/>
          <w:spacing w:val="-2"/>
        </w:rPr>
        <w:t>Maritime</w:t>
      </w:r>
    </w:p>
    <w:p>
      <w:pPr>
        <w:pStyle w:val="BodyText"/>
        <w:spacing w:before="3"/>
        <w:rPr>
          <w:b/>
          <w:sz w:val="15"/>
        </w:rPr>
      </w:pPr>
      <w:r>
        <w:rPr>
          <w:b/>
          <w:sz w:val="15"/>
        </w:rPr>
        <w:drawing>
          <wp:anchor distT="0" distB="0" distL="0" distR="0" allowOverlap="1" layoutInCell="1" locked="0" behindDoc="1" simplePos="0" relativeHeight="487588864">
            <wp:simplePos x="0" y="0"/>
            <wp:positionH relativeFrom="page">
              <wp:posOffset>899794</wp:posOffset>
            </wp:positionH>
            <wp:positionV relativeFrom="paragraph">
              <wp:posOffset>126998</wp:posOffset>
            </wp:positionV>
            <wp:extent cx="5707856" cy="3805237"/>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7" cstate="print"/>
                    <a:stretch>
                      <a:fillRect/>
                    </a:stretch>
                  </pic:blipFill>
                  <pic:spPr>
                    <a:xfrm>
                      <a:off x="0" y="0"/>
                      <a:ext cx="5707856" cy="3805237"/>
                    </a:xfrm>
                    <a:prstGeom prst="rect">
                      <a:avLst/>
                    </a:prstGeom>
                  </pic:spPr>
                </pic:pic>
              </a:graphicData>
            </a:graphic>
          </wp:anchor>
        </w:drawing>
      </w:r>
    </w:p>
    <w:p>
      <w:pPr>
        <w:pStyle w:val="BodyText"/>
        <w:spacing w:before="117"/>
        <w:ind w:left="141" w:right="147"/>
        <w:jc w:val="both"/>
      </w:pPr>
      <w:r>
        <w:rPr/>
        <w:t>L’intérêt de cette étude est double. Sur le plan substantiel, elle met en lumière les insuffisances de la qualification juridique de la piraterie en droit international pénal, ainsi que la persistance de son traitement comme infraction principalement nationale. Sur le plan procédural, elle souligne la nécessité d’une coopération judiciaire renforcée entre États, notamment en cas de capture ou de poursuite de suspects en dehors de la juridiction nationale de l’Etat poursuivant.</w:t>
      </w:r>
    </w:p>
    <w:p>
      <w:pPr>
        <w:pStyle w:val="BodyText"/>
        <w:spacing w:before="120"/>
        <w:ind w:left="141"/>
        <w:jc w:val="both"/>
      </w:pPr>
      <w:r>
        <w:rPr/>
        <w:t>Dès</w:t>
      </w:r>
      <w:r>
        <w:rPr>
          <w:spacing w:val="-5"/>
        </w:rPr>
        <w:t> </w:t>
      </w:r>
      <w:r>
        <w:rPr/>
        <w:t>lors,</w:t>
      </w:r>
      <w:r>
        <w:rPr>
          <w:spacing w:val="-5"/>
        </w:rPr>
        <w:t> </w:t>
      </w:r>
      <w:r>
        <w:rPr/>
        <w:t>plusieurs</w:t>
      </w:r>
      <w:r>
        <w:rPr>
          <w:spacing w:val="-4"/>
        </w:rPr>
        <w:t> </w:t>
      </w:r>
      <w:r>
        <w:rPr/>
        <w:t>interrogations</w:t>
      </w:r>
      <w:r>
        <w:rPr>
          <w:spacing w:val="-5"/>
        </w:rPr>
        <w:t> </w:t>
      </w:r>
      <w:r>
        <w:rPr/>
        <w:t>fondamentales</w:t>
      </w:r>
      <w:r>
        <w:rPr>
          <w:spacing w:val="-4"/>
        </w:rPr>
        <w:t> </w:t>
      </w:r>
      <w:r>
        <w:rPr/>
        <w:t>se</w:t>
      </w:r>
      <w:r>
        <w:rPr>
          <w:spacing w:val="-5"/>
        </w:rPr>
        <w:t> </w:t>
      </w:r>
      <w:r>
        <w:rPr/>
        <w:t>posent</w:t>
      </w:r>
      <w:r>
        <w:rPr>
          <w:spacing w:val="-4"/>
        </w:rPr>
        <w:t> </w:t>
      </w:r>
      <w:r>
        <w:rPr>
          <w:spacing w:val="-10"/>
        </w:rPr>
        <w:t>:</w:t>
      </w:r>
    </w:p>
    <w:p>
      <w:pPr>
        <w:pStyle w:val="ListParagraph"/>
        <w:numPr>
          <w:ilvl w:val="0"/>
          <w:numId w:val="2"/>
        </w:numPr>
        <w:tabs>
          <w:tab w:pos="860" w:val="left" w:leader="none"/>
        </w:tabs>
        <w:spacing w:line="240" w:lineRule="auto" w:before="120" w:after="0"/>
        <w:ind w:left="860" w:right="0" w:hanging="359"/>
        <w:jc w:val="both"/>
        <w:rPr>
          <w:sz w:val="24"/>
        </w:rPr>
      </w:pPr>
      <w:r>
        <w:rPr>
          <w:sz w:val="24"/>
        </w:rPr>
        <w:t>Qu’est-ce</w:t>
      </w:r>
      <w:r>
        <w:rPr>
          <w:spacing w:val="-6"/>
          <w:sz w:val="24"/>
        </w:rPr>
        <w:t> </w:t>
      </w:r>
      <w:r>
        <w:rPr>
          <w:sz w:val="24"/>
        </w:rPr>
        <w:t>que</w:t>
      </w:r>
      <w:r>
        <w:rPr>
          <w:spacing w:val="-4"/>
          <w:sz w:val="24"/>
        </w:rPr>
        <w:t> </w:t>
      </w:r>
      <w:r>
        <w:rPr>
          <w:sz w:val="24"/>
        </w:rPr>
        <w:t>la</w:t>
      </w:r>
      <w:r>
        <w:rPr>
          <w:spacing w:val="-3"/>
          <w:sz w:val="24"/>
        </w:rPr>
        <w:t> </w:t>
      </w:r>
      <w:r>
        <w:rPr>
          <w:sz w:val="24"/>
        </w:rPr>
        <w:t>piraterie</w:t>
      </w:r>
      <w:r>
        <w:rPr>
          <w:spacing w:val="-4"/>
          <w:sz w:val="24"/>
        </w:rPr>
        <w:t> </w:t>
      </w:r>
      <w:r>
        <w:rPr>
          <w:sz w:val="24"/>
        </w:rPr>
        <w:t>maritime</w:t>
      </w:r>
      <w:r>
        <w:rPr>
          <w:spacing w:val="-3"/>
          <w:sz w:val="24"/>
        </w:rPr>
        <w:t> </w:t>
      </w:r>
      <w:r>
        <w:rPr>
          <w:sz w:val="24"/>
        </w:rPr>
        <w:t>en</w:t>
      </w:r>
      <w:r>
        <w:rPr>
          <w:spacing w:val="-4"/>
          <w:sz w:val="24"/>
        </w:rPr>
        <w:t> </w:t>
      </w:r>
      <w:r>
        <w:rPr>
          <w:sz w:val="24"/>
        </w:rPr>
        <w:t>droit</w:t>
      </w:r>
      <w:r>
        <w:rPr>
          <w:spacing w:val="-4"/>
          <w:sz w:val="24"/>
        </w:rPr>
        <w:t> </w:t>
      </w:r>
      <w:r>
        <w:rPr>
          <w:sz w:val="24"/>
        </w:rPr>
        <w:t>international</w:t>
      </w:r>
      <w:r>
        <w:rPr>
          <w:spacing w:val="-3"/>
          <w:sz w:val="24"/>
        </w:rPr>
        <w:t> </w:t>
      </w:r>
      <w:r>
        <w:rPr>
          <w:sz w:val="24"/>
        </w:rPr>
        <w:t>et</w:t>
      </w:r>
      <w:r>
        <w:rPr>
          <w:spacing w:val="-4"/>
          <w:sz w:val="24"/>
        </w:rPr>
        <w:t> </w:t>
      </w:r>
      <w:r>
        <w:rPr>
          <w:sz w:val="24"/>
        </w:rPr>
        <w:t>en</w:t>
      </w:r>
      <w:r>
        <w:rPr>
          <w:spacing w:val="-3"/>
          <w:sz w:val="24"/>
        </w:rPr>
        <w:t> </w:t>
      </w:r>
      <w:r>
        <w:rPr>
          <w:sz w:val="24"/>
        </w:rPr>
        <w:t>droit</w:t>
      </w:r>
      <w:r>
        <w:rPr>
          <w:spacing w:val="-4"/>
          <w:sz w:val="24"/>
        </w:rPr>
        <w:t> </w:t>
      </w:r>
      <w:r>
        <w:rPr>
          <w:sz w:val="24"/>
        </w:rPr>
        <w:t>interne</w:t>
      </w:r>
      <w:r>
        <w:rPr>
          <w:spacing w:val="-3"/>
          <w:sz w:val="24"/>
        </w:rPr>
        <w:t> </w:t>
      </w:r>
      <w:r>
        <w:rPr>
          <w:spacing w:val="-10"/>
          <w:sz w:val="24"/>
        </w:rPr>
        <w:t>?</w:t>
      </w:r>
    </w:p>
    <w:p>
      <w:pPr>
        <w:pStyle w:val="ListParagraph"/>
        <w:numPr>
          <w:ilvl w:val="0"/>
          <w:numId w:val="2"/>
        </w:numPr>
        <w:tabs>
          <w:tab w:pos="861" w:val="left" w:leader="none"/>
        </w:tabs>
        <w:spacing w:line="240" w:lineRule="auto" w:before="120" w:after="0"/>
        <w:ind w:left="861" w:right="148" w:hanging="360"/>
        <w:jc w:val="both"/>
        <w:rPr>
          <w:sz w:val="24"/>
        </w:rPr>
      </w:pPr>
      <w:r>
        <w:rPr>
          <w:sz w:val="24"/>
        </w:rPr>
        <w:t>La qualification juridique de la piraterie est-elle cohérente entre les systèmes juridiques nationaux et le droit international pénal ?</w:t>
      </w:r>
    </w:p>
    <w:p>
      <w:pPr>
        <w:pStyle w:val="ListParagraph"/>
        <w:numPr>
          <w:ilvl w:val="0"/>
          <w:numId w:val="2"/>
        </w:numPr>
        <w:tabs>
          <w:tab w:pos="861" w:val="left" w:leader="none"/>
        </w:tabs>
        <w:spacing w:line="240" w:lineRule="auto" w:before="120" w:after="0"/>
        <w:ind w:left="861" w:right="148" w:hanging="360"/>
        <w:jc w:val="both"/>
        <w:rPr>
          <w:sz w:val="24"/>
        </w:rPr>
      </w:pPr>
      <w:r>
        <w:rPr>
          <w:sz w:val="24"/>
        </w:rPr>
        <w:t>La coopération judiciaire internationale est-elle suffisamment efficace pour assurer une répression effective de la piraterie maritime ?</w:t>
      </w:r>
    </w:p>
    <w:p>
      <w:pPr>
        <w:pStyle w:val="BodyText"/>
        <w:spacing w:before="28"/>
        <w:rPr>
          <w:sz w:val="20"/>
        </w:rPr>
      </w:pPr>
      <w:r>
        <w:rPr>
          <w:sz w:val="20"/>
        </w:rPr>
        <mc:AlternateContent>
          <mc:Choice Requires="wps">
            <w:drawing>
              <wp:anchor distT="0" distB="0" distL="0" distR="0" allowOverlap="1" layoutInCell="1" locked="0" behindDoc="1" simplePos="0" relativeHeight="487589376">
                <wp:simplePos x="0" y="0"/>
                <wp:positionH relativeFrom="page">
                  <wp:posOffset>899794</wp:posOffset>
                </wp:positionH>
                <wp:positionV relativeFrom="paragraph">
                  <wp:posOffset>179548</wp:posOffset>
                </wp:positionV>
                <wp:extent cx="1800225"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800225" cy="1270"/>
                        </a:xfrm>
                        <a:custGeom>
                          <a:avLst/>
                          <a:gdLst/>
                          <a:ahLst/>
                          <a:cxnLst/>
                          <a:rect l="l" t="t" r="r" b="b"/>
                          <a:pathLst>
                            <a:path w="1800225" h="0">
                              <a:moveTo>
                                <a:pt x="0" y="0"/>
                              </a:moveTo>
                              <a:lnTo>
                                <a:pt x="1799996" y="0"/>
                              </a:lnTo>
                            </a:path>
                          </a:pathLst>
                        </a:custGeom>
                        <a:ln w="776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4.137691pt;width:141.75pt;height:.1pt;mso-position-horizontal-relative:page;mso-position-vertical-relative:paragraph;z-index:-15727104;mso-wrap-distance-left:0;mso-wrap-distance-right:0" id="docshape4" coordorigin="1417,283" coordsize="2835,0" path="m1417,283l4252,283e" filled="false" stroked="true" strokeweight=".61109pt" strokecolor="#000000">
                <v:path arrowok="t"/>
                <v:stroke dashstyle="solid"/>
                <w10:wrap type="topAndBottom"/>
              </v:shape>
            </w:pict>
          </mc:Fallback>
        </mc:AlternateContent>
      </w:r>
    </w:p>
    <w:p>
      <w:pPr>
        <w:spacing w:before="144"/>
        <w:ind w:left="141" w:right="0" w:firstLine="0"/>
        <w:jc w:val="left"/>
        <w:rPr>
          <w:sz w:val="20"/>
        </w:rPr>
      </w:pPr>
      <w:r>
        <w:rPr>
          <w:sz w:val="20"/>
          <w:vertAlign w:val="superscript"/>
        </w:rPr>
        <w:t>15</w:t>
      </w:r>
      <w:r>
        <w:rPr>
          <w:sz w:val="20"/>
          <w:vertAlign w:val="baseline"/>
        </w:rPr>
        <w:t>Kodjovi</w:t>
      </w:r>
      <w:r>
        <w:rPr>
          <w:spacing w:val="-2"/>
          <w:sz w:val="20"/>
          <w:vertAlign w:val="baseline"/>
        </w:rPr>
        <w:t> </w:t>
      </w:r>
      <w:r>
        <w:rPr>
          <w:sz w:val="20"/>
          <w:vertAlign w:val="baseline"/>
        </w:rPr>
        <w:t>ABOBOYAYA,</w:t>
      </w:r>
      <w:r>
        <w:rPr>
          <w:spacing w:val="-1"/>
          <w:sz w:val="20"/>
          <w:vertAlign w:val="baseline"/>
        </w:rPr>
        <w:t> </w:t>
      </w:r>
      <w:r>
        <w:rPr>
          <w:sz w:val="20"/>
          <w:vertAlign w:val="baseline"/>
        </w:rPr>
        <w:t>op.cit.,</w:t>
      </w:r>
      <w:r>
        <w:rPr>
          <w:spacing w:val="-1"/>
          <w:sz w:val="20"/>
          <w:vertAlign w:val="baseline"/>
        </w:rPr>
        <w:t> </w:t>
      </w:r>
      <w:r>
        <w:rPr>
          <w:sz w:val="20"/>
          <w:vertAlign w:val="baseline"/>
        </w:rPr>
        <w:t>n°</w:t>
      </w:r>
      <w:r>
        <w:rPr>
          <w:sz w:val="20"/>
          <w:vertAlign w:val="superscript"/>
        </w:rPr>
        <w:t>s</w:t>
      </w:r>
      <w:r>
        <w:rPr>
          <w:sz w:val="20"/>
          <w:vertAlign w:val="baseline"/>
        </w:rPr>
        <w:t>63</w:t>
      </w:r>
      <w:r>
        <w:rPr>
          <w:spacing w:val="-1"/>
          <w:sz w:val="20"/>
          <w:vertAlign w:val="baseline"/>
        </w:rPr>
        <w:t> </w:t>
      </w:r>
      <w:r>
        <w:rPr>
          <w:sz w:val="20"/>
          <w:vertAlign w:val="baseline"/>
        </w:rPr>
        <w:t>et</w:t>
      </w:r>
      <w:r>
        <w:rPr>
          <w:spacing w:val="-1"/>
          <w:sz w:val="20"/>
          <w:vertAlign w:val="baseline"/>
        </w:rPr>
        <w:t> </w:t>
      </w:r>
      <w:r>
        <w:rPr>
          <w:sz w:val="20"/>
          <w:vertAlign w:val="baseline"/>
        </w:rPr>
        <w:t>s.,</w:t>
      </w:r>
      <w:r>
        <w:rPr>
          <w:spacing w:val="-1"/>
          <w:sz w:val="20"/>
          <w:vertAlign w:val="baseline"/>
        </w:rPr>
        <w:t> </w:t>
      </w:r>
      <w:r>
        <w:rPr>
          <w:sz w:val="20"/>
          <w:vertAlign w:val="baseline"/>
        </w:rPr>
        <w:t>pp.54-</w:t>
      </w:r>
      <w:r>
        <w:rPr>
          <w:spacing w:val="-5"/>
          <w:sz w:val="20"/>
          <w:vertAlign w:val="baseline"/>
        </w:rPr>
        <w:t>55.</w:t>
      </w:r>
    </w:p>
    <w:p>
      <w:pPr>
        <w:spacing w:after="0"/>
        <w:jc w:val="left"/>
        <w:rPr>
          <w:sz w:val="20"/>
        </w:rPr>
        <w:sectPr>
          <w:pgSz w:w="11910" w:h="16840"/>
          <w:pgMar w:header="0" w:footer="1005" w:top="1320" w:bottom="1200" w:left="1275" w:right="1133"/>
        </w:sectPr>
      </w:pPr>
    </w:p>
    <w:p>
      <w:pPr>
        <w:pStyle w:val="BodyText"/>
        <w:spacing w:before="4"/>
        <w:rPr>
          <w:sz w:val="17"/>
        </w:rPr>
      </w:pPr>
    </w:p>
    <w:p>
      <w:pPr>
        <w:pStyle w:val="BodyText"/>
        <w:spacing w:after="0"/>
        <w:rPr>
          <w:sz w:val="17"/>
        </w:rPr>
        <w:sectPr>
          <w:pgSz w:w="11910" w:h="16840"/>
          <w:pgMar w:header="0" w:footer="1005" w:top="1920" w:bottom="1200" w:left="1275" w:right="1133"/>
        </w:sectPr>
      </w:pPr>
    </w:p>
    <w:p>
      <w:pPr>
        <w:pStyle w:val="Heading1"/>
        <w:numPr>
          <w:ilvl w:val="0"/>
          <w:numId w:val="1"/>
        </w:numPr>
        <w:tabs>
          <w:tab w:pos="1221" w:val="left" w:leader="none"/>
        </w:tabs>
        <w:spacing w:line="240" w:lineRule="auto" w:before="59" w:after="0"/>
        <w:ind w:left="1221" w:right="0" w:hanging="720"/>
        <w:jc w:val="left"/>
        <w:rPr>
          <w:sz w:val="24"/>
        </w:rPr>
      </w:pPr>
      <w:r>
        <w:rPr>
          <w:spacing w:val="-2"/>
        </w:rPr>
        <w:t>MÉTHODOLOGIE</w:t>
      </w:r>
    </w:p>
    <w:p>
      <w:pPr>
        <w:pStyle w:val="BodyText"/>
        <w:spacing w:before="280"/>
        <w:ind w:left="141" w:right="146"/>
        <w:jc w:val="both"/>
      </w:pPr>
      <w:r>
        <w:rPr/>
        <w:t>La présente étude portant sur la piraterie maritime et sa répression dans le cadre du droit international pénal repose sur une méthodologie qualitative, essentiellement doctrinale et documentaire. Elle vise à analyser les normes juridiques applicables ainsi que leur mise en œuvre dans les systèmes juridiques nationaux et dans le cadre de la coopération judiciaire </w:t>
      </w:r>
      <w:r>
        <w:rPr>
          <w:spacing w:val="-2"/>
        </w:rPr>
        <w:t>internationale.</w:t>
      </w:r>
    </w:p>
    <w:p>
      <w:pPr>
        <w:pStyle w:val="BodyText"/>
        <w:spacing w:before="4"/>
      </w:pPr>
    </w:p>
    <w:p>
      <w:pPr>
        <w:pStyle w:val="Heading4"/>
        <w:numPr>
          <w:ilvl w:val="1"/>
          <w:numId w:val="3"/>
        </w:numPr>
        <w:tabs>
          <w:tab w:pos="561" w:val="left" w:leader="none"/>
        </w:tabs>
        <w:spacing w:line="240" w:lineRule="auto" w:before="0" w:after="0"/>
        <w:ind w:left="561" w:right="0" w:hanging="420"/>
        <w:jc w:val="left"/>
      </w:pPr>
      <w:r>
        <w:rPr>
          <w:color w:val="145F82"/>
        </w:rPr>
        <w:t>Approche</w:t>
      </w:r>
      <w:r>
        <w:rPr>
          <w:color w:val="145F82"/>
          <w:spacing w:val="-5"/>
        </w:rPr>
        <w:t> </w:t>
      </w:r>
      <w:r>
        <w:rPr>
          <w:color w:val="145F82"/>
          <w:spacing w:val="-2"/>
        </w:rPr>
        <w:t>méthodologique</w:t>
      </w:r>
    </w:p>
    <w:p>
      <w:pPr>
        <w:pStyle w:val="BodyText"/>
        <w:spacing w:before="4"/>
        <w:rPr>
          <w:b/>
        </w:rPr>
      </w:pPr>
    </w:p>
    <w:p>
      <w:pPr>
        <w:pStyle w:val="BodyText"/>
        <w:ind w:left="141" w:right="147"/>
        <w:jc w:val="both"/>
      </w:pPr>
      <w:r>
        <w:rPr/>
        <w:t>La méthode utilisée est principalement déductive. Elle consiste à partir des règles générales du droit international et des droits internes relatifs à la piraterie maritime pour en examiner l’application concrète dans différents contextes juridiques. Cette démarche permet de</w:t>
      </w:r>
      <w:r>
        <w:rPr>
          <w:spacing w:val="40"/>
        </w:rPr>
        <w:t> </w:t>
      </w:r>
      <w:r>
        <w:rPr/>
        <w:t>confronter les principes théoriques aux réalités pratiques, afin d’évaluer leur cohérence et leur efficacité. Cette approche est particulièrement adaptée aux études portant sur le droit de la mer et la sécurité maritime internationale, domaines largement développés par la doctrine </w:t>
      </w:r>
      <w:r>
        <w:rPr>
          <w:spacing w:val="-2"/>
        </w:rPr>
        <w:t>contemporaine</w:t>
      </w:r>
      <w:r>
        <w:rPr>
          <w:spacing w:val="-2"/>
          <w:vertAlign w:val="superscript"/>
        </w:rPr>
        <w:t>16</w:t>
      </w:r>
      <w:r>
        <w:rPr>
          <w:spacing w:val="-2"/>
          <w:vertAlign w:val="baseline"/>
        </w:rPr>
        <w:t>.</w:t>
      </w:r>
    </w:p>
    <w:p>
      <w:pPr>
        <w:pStyle w:val="BodyText"/>
        <w:spacing w:before="4"/>
      </w:pPr>
    </w:p>
    <w:p>
      <w:pPr>
        <w:pStyle w:val="BodyText"/>
        <w:ind w:left="141" w:right="147"/>
        <w:jc w:val="both"/>
      </w:pPr>
      <w:r>
        <w:rPr/>
        <w:t>L’étude ne repose pas sur une enquête de terrain, mais sur une analyse approfondie des textes juridiques</w:t>
      </w:r>
      <w:r>
        <w:rPr>
          <w:spacing w:val="-1"/>
        </w:rPr>
        <w:t> </w:t>
      </w:r>
      <w:r>
        <w:rPr/>
        <w:t>et</w:t>
      </w:r>
      <w:r>
        <w:rPr>
          <w:spacing w:val="-1"/>
        </w:rPr>
        <w:t> </w:t>
      </w:r>
      <w:r>
        <w:rPr/>
        <w:t>des</w:t>
      </w:r>
      <w:r>
        <w:rPr>
          <w:spacing w:val="-1"/>
        </w:rPr>
        <w:t> </w:t>
      </w:r>
      <w:r>
        <w:rPr/>
        <w:t>travaux</w:t>
      </w:r>
      <w:r>
        <w:rPr>
          <w:spacing w:val="-1"/>
        </w:rPr>
        <w:t> </w:t>
      </w:r>
      <w:r>
        <w:rPr/>
        <w:t>académiques</w:t>
      </w:r>
      <w:r>
        <w:rPr>
          <w:spacing w:val="-1"/>
        </w:rPr>
        <w:t> </w:t>
      </w:r>
      <w:r>
        <w:rPr/>
        <w:t>existants.</w:t>
      </w:r>
      <w:r>
        <w:rPr>
          <w:spacing w:val="-1"/>
        </w:rPr>
        <w:t> </w:t>
      </w:r>
      <w:r>
        <w:rPr/>
        <w:t>Elle</w:t>
      </w:r>
      <w:r>
        <w:rPr>
          <w:spacing w:val="-1"/>
        </w:rPr>
        <w:t> </w:t>
      </w:r>
      <w:r>
        <w:rPr/>
        <w:t>s’inscrit</w:t>
      </w:r>
      <w:r>
        <w:rPr>
          <w:spacing w:val="-1"/>
        </w:rPr>
        <w:t> </w:t>
      </w:r>
      <w:r>
        <w:rPr/>
        <w:t>ainsi</w:t>
      </w:r>
      <w:r>
        <w:rPr>
          <w:spacing w:val="-1"/>
        </w:rPr>
        <w:t> </w:t>
      </w:r>
      <w:r>
        <w:rPr/>
        <w:t>dans</w:t>
      </w:r>
      <w:r>
        <w:rPr>
          <w:spacing w:val="-1"/>
        </w:rPr>
        <w:t> </w:t>
      </w:r>
      <w:r>
        <w:rPr/>
        <w:t>une</w:t>
      </w:r>
      <w:r>
        <w:rPr>
          <w:spacing w:val="-1"/>
        </w:rPr>
        <w:t> </w:t>
      </w:r>
      <w:r>
        <w:rPr/>
        <w:t>approche</w:t>
      </w:r>
      <w:r>
        <w:rPr>
          <w:spacing w:val="-1"/>
        </w:rPr>
        <w:t> </w:t>
      </w:r>
      <w:r>
        <w:rPr/>
        <w:t>juridique classique visant l’interprétation et la critique des normes en vigueur.</w:t>
      </w:r>
    </w:p>
    <w:p>
      <w:pPr>
        <w:pStyle w:val="BodyText"/>
        <w:spacing w:before="4"/>
      </w:pPr>
    </w:p>
    <w:p>
      <w:pPr>
        <w:pStyle w:val="Heading4"/>
        <w:numPr>
          <w:ilvl w:val="1"/>
          <w:numId w:val="3"/>
        </w:numPr>
        <w:tabs>
          <w:tab w:pos="561" w:val="left" w:leader="none"/>
        </w:tabs>
        <w:spacing w:line="240" w:lineRule="auto" w:before="0" w:after="0"/>
        <w:ind w:left="561" w:right="0" w:hanging="420"/>
        <w:jc w:val="left"/>
      </w:pPr>
      <w:r>
        <w:rPr>
          <w:color w:val="145F82"/>
        </w:rPr>
        <w:t>Nature</w:t>
      </w:r>
      <w:r>
        <w:rPr>
          <w:color w:val="145F82"/>
          <w:spacing w:val="-2"/>
        </w:rPr>
        <w:t> </w:t>
      </w:r>
      <w:r>
        <w:rPr>
          <w:color w:val="145F82"/>
        </w:rPr>
        <w:t>de</w:t>
      </w:r>
      <w:r>
        <w:rPr>
          <w:color w:val="145F82"/>
          <w:spacing w:val="-2"/>
        </w:rPr>
        <w:t> </w:t>
      </w:r>
      <w:r>
        <w:rPr>
          <w:color w:val="145F82"/>
        </w:rPr>
        <w:t>la</w:t>
      </w:r>
      <w:r>
        <w:rPr>
          <w:color w:val="145F82"/>
          <w:spacing w:val="-1"/>
        </w:rPr>
        <w:t> </w:t>
      </w:r>
      <w:r>
        <w:rPr>
          <w:color w:val="145F82"/>
          <w:spacing w:val="-2"/>
        </w:rPr>
        <w:t>recherche</w:t>
      </w:r>
    </w:p>
    <w:p>
      <w:pPr>
        <w:pStyle w:val="BodyText"/>
        <w:spacing w:before="4"/>
        <w:rPr>
          <w:b/>
        </w:rPr>
      </w:pPr>
    </w:p>
    <w:p>
      <w:pPr>
        <w:pStyle w:val="BodyText"/>
        <w:ind w:left="141" w:right="147"/>
        <w:jc w:val="both"/>
      </w:pPr>
      <w:r>
        <w:rPr/>
        <w:t>La recherche est de nature qualitative et doctrinale. Elle mobilise les outils fondamentaux de la recherche en droit international public et en droit pénal international, notamment l’analyse normative, l’analyse critique et l’analyse comparative. Les travaux doctrinaux consacrés au droit de la mer soulignent l’importance de ces méthodes pour comprendre l’évolution des mécanismes de gouvernance maritime et des régimes de sécurité en haute mer</w:t>
      </w:r>
      <w:r>
        <w:rPr>
          <w:vertAlign w:val="superscript"/>
        </w:rPr>
        <w:t>17</w:t>
      </w:r>
      <w:r>
        <w:rPr>
          <w:vertAlign w:val="baseline"/>
        </w:rPr>
        <w:t>.</w:t>
      </w:r>
    </w:p>
    <w:p>
      <w:pPr>
        <w:pStyle w:val="BodyText"/>
        <w:spacing w:before="4"/>
      </w:pPr>
    </w:p>
    <w:p>
      <w:pPr>
        <w:pStyle w:val="BodyText"/>
        <w:ind w:left="142" w:right="145"/>
        <w:jc w:val="both"/>
      </w:pPr>
      <w:r>
        <w:rPr/>
        <w:t>L’objectif est de comprendre le cadre juridique de la piraterie maritime, d’identifier les mécanismes de sa répression et d’évaluer les difficultés liées à son application dans les systèmes juridiques nationaux.</w:t>
      </w:r>
    </w:p>
    <w:p>
      <w:pPr>
        <w:pStyle w:val="BodyText"/>
        <w:spacing w:before="4"/>
      </w:pPr>
    </w:p>
    <w:p>
      <w:pPr>
        <w:pStyle w:val="Heading4"/>
        <w:numPr>
          <w:ilvl w:val="1"/>
          <w:numId w:val="3"/>
        </w:numPr>
        <w:tabs>
          <w:tab w:pos="562" w:val="left" w:leader="none"/>
        </w:tabs>
        <w:spacing w:line="240" w:lineRule="auto" w:before="0" w:after="0"/>
        <w:ind w:left="562" w:right="0" w:hanging="420"/>
        <w:jc w:val="left"/>
      </w:pPr>
      <w:r>
        <w:rPr>
          <w:color w:val="145F82"/>
        </w:rPr>
        <w:t>Sources</w:t>
      </w:r>
      <w:r>
        <w:rPr>
          <w:color w:val="145F82"/>
          <w:spacing w:val="-2"/>
        </w:rPr>
        <w:t> </w:t>
      </w:r>
      <w:r>
        <w:rPr>
          <w:color w:val="145F82"/>
        </w:rPr>
        <w:t>de</w:t>
      </w:r>
      <w:r>
        <w:rPr>
          <w:color w:val="145F82"/>
          <w:spacing w:val="-2"/>
        </w:rPr>
        <w:t> données</w:t>
      </w:r>
    </w:p>
    <w:p>
      <w:pPr>
        <w:pStyle w:val="BodyText"/>
        <w:spacing w:before="4"/>
        <w:rPr>
          <w:b/>
        </w:rPr>
      </w:pPr>
    </w:p>
    <w:p>
      <w:pPr>
        <w:pStyle w:val="BodyText"/>
        <w:ind w:left="142"/>
        <w:jc w:val="both"/>
      </w:pPr>
      <w:r>
        <w:rPr/>
        <w:t>Les</w:t>
      </w:r>
      <w:r>
        <w:rPr>
          <w:spacing w:val="-7"/>
        </w:rPr>
        <w:t> </w:t>
      </w:r>
      <w:r>
        <w:rPr/>
        <w:t>données</w:t>
      </w:r>
      <w:r>
        <w:rPr>
          <w:spacing w:val="-4"/>
        </w:rPr>
        <w:t> </w:t>
      </w:r>
      <w:r>
        <w:rPr/>
        <w:t>utilisées</w:t>
      </w:r>
      <w:r>
        <w:rPr>
          <w:spacing w:val="-4"/>
        </w:rPr>
        <w:t> </w:t>
      </w:r>
      <w:r>
        <w:rPr/>
        <w:t>proviennent</w:t>
      </w:r>
      <w:r>
        <w:rPr>
          <w:spacing w:val="-4"/>
        </w:rPr>
        <w:t> </w:t>
      </w:r>
      <w:r>
        <w:rPr/>
        <w:t>essentiellement</w:t>
      </w:r>
      <w:r>
        <w:rPr>
          <w:spacing w:val="-4"/>
        </w:rPr>
        <w:t> </w:t>
      </w:r>
      <w:r>
        <w:rPr/>
        <w:t>de</w:t>
      </w:r>
      <w:r>
        <w:rPr>
          <w:spacing w:val="-5"/>
        </w:rPr>
        <w:t> </w:t>
      </w:r>
      <w:r>
        <w:rPr/>
        <w:t>deux</w:t>
      </w:r>
      <w:r>
        <w:rPr>
          <w:spacing w:val="-4"/>
        </w:rPr>
        <w:t> </w:t>
      </w:r>
      <w:r>
        <w:rPr/>
        <w:t>types</w:t>
      </w:r>
      <w:r>
        <w:rPr>
          <w:spacing w:val="-4"/>
        </w:rPr>
        <w:t> </w:t>
      </w:r>
      <w:r>
        <w:rPr/>
        <w:t>de</w:t>
      </w:r>
      <w:r>
        <w:rPr>
          <w:spacing w:val="-4"/>
        </w:rPr>
        <w:t> </w:t>
      </w:r>
      <w:r>
        <w:rPr/>
        <w:t>sources</w:t>
      </w:r>
      <w:r>
        <w:rPr>
          <w:spacing w:val="-4"/>
        </w:rPr>
        <w:t> </w:t>
      </w:r>
      <w:r>
        <w:rPr/>
        <w:t>complémentaires</w:t>
      </w:r>
      <w:r>
        <w:rPr>
          <w:spacing w:val="-4"/>
        </w:rPr>
        <w:t> </w:t>
      </w:r>
      <w:r>
        <w:rPr>
          <w:spacing w:val="-10"/>
        </w:rPr>
        <w:t>:</w:t>
      </w:r>
    </w:p>
    <w:p>
      <w:pPr>
        <w:pStyle w:val="BodyText"/>
        <w:spacing w:before="4"/>
      </w:pPr>
    </w:p>
    <w:p>
      <w:pPr>
        <w:pStyle w:val="Heading5"/>
        <w:numPr>
          <w:ilvl w:val="0"/>
          <w:numId w:val="4"/>
        </w:numPr>
        <w:tabs>
          <w:tab w:pos="401" w:val="left" w:leader="none"/>
        </w:tabs>
        <w:spacing w:line="240" w:lineRule="auto" w:before="0" w:after="0"/>
        <w:ind w:left="401" w:right="0" w:hanging="259"/>
        <w:jc w:val="left"/>
      </w:pPr>
      <w:r>
        <w:rPr>
          <w:color w:val="145F82"/>
        </w:rPr>
        <w:t>Sources</w:t>
      </w:r>
      <w:r>
        <w:rPr>
          <w:color w:val="145F82"/>
          <w:spacing w:val="-4"/>
        </w:rPr>
        <w:t> </w:t>
      </w:r>
      <w:r>
        <w:rPr>
          <w:color w:val="145F82"/>
          <w:spacing w:val="-2"/>
        </w:rPr>
        <w:t>bibliographiques</w:t>
      </w:r>
    </w:p>
    <w:p>
      <w:pPr>
        <w:pStyle w:val="BodyText"/>
        <w:spacing w:before="4"/>
        <w:rPr>
          <w:b/>
          <w:i/>
        </w:rPr>
      </w:pPr>
    </w:p>
    <w:p>
      <w:pPr>
        <w:pStyle w:val="BodyText"/>
        <w:ind w:left="142"/>
        <w:jc w:val="both"/>
      </w:pPr>
      <w:r>
        <w:rPr/>
        <w:t>Il</w:t>
      </w:r>
      <w:r>
        <w:rPr>
          <w:spacing w:val="-3"/>
        </w:rPr>
        <w:t> </w:t>
      </w:r>
      <w:r>
        <w:rPr/>
        <w:t>s’agit</w:t>
      </w:r>
      <w:r>
        <w:rPr>
          <w:spacing w:val="-3"/>
        </w:rPr>
        <w:t> </w:t>
      </w:r>
      <w:r>
        <w:rPr/>
        <w:t>notamment</w:t>
      </w:r>
      <w:r>
        <w:rPr>
          <w:spacing w:val="-3"/>
        </w:rPr>
        <w:t> </w:t>
      </w:r>
      <w:r>
        <w:rPr/>
        <w:t>de</w:t>
      </w:r>
      <w:r>
        <w:rPr>
          <w:spacing w:val="-3"/>
        </w:rPr>
        <w:t> </w:t>
      </w:r>
      <w:r>
        <w:rPr>
          <w:spacing w:val="-10"/>
        </w:rPr>
        <w:t>:</w:t>
      </w:r>
    </w:p>
    <w:p>
      <w:pPr>
        <w:pStyle w:val="BodyText"/>
        <w:spacing w:before="4"/>
      </w:pPr>
    </w:p>
    <w:p>
      <w:pPr>
        <w:pStyle w:val="ListParagraph"/>
        <w:numPr>
          <w:ilvl w:val="2"/>
          <w:numId w:val="3"/>
        </w:numPr>
        <w:tabs>
          <w:tab w:pos="286" w:val="left" w:leader="none"/>
        </w:tabs>
        <w:spacing w:line="240" w:lineRule="auto" w:before="0" w:after="0"/>
        <w:ind w:left="286" w:right="0" w:hanging="144"/>
        <w:jc w:val="left"/>
        <w:rPr>
          <w:sz w:val="24"/>
        </w:rPr>
      </w:pPr>
      <w:r>
        <w:rPr>
          <w:sz w:val="24"/>
        </w:rPr>
        <w:t>ouvrages</w:t>
      </w:r>
      <w:r>
        <w:rPr>
          <w:spacing w:val="-7"/>
          <w:sz w:val="24"/>
        </w:rPr>
        <w:t> </w:t>
      </w:r>
      <w:r>
        <w:rPr>
          <w:sz w:val="24"/>
        </w:rPr>
        <w:t>spécialisés</w:t>
      </w:r>
      <w:r>
        <w:rPr>
          <w:spacing w:val="-4"/>
          <w:sz w:val="24"/>
        </w:rPr>
        <w:t> </w:t>
      </w:r>
      <w:r>
        <w:rPr>
          <w:sz w:val="24"/>
        </w:rPr>
        <w:t>en</w:t>
      </w:r>
      <w:r>
        <w:rPr>
          <w:spacing w:val="-5"/>
          <w:sz w:val="24"/>
        </w:rPr>
        <w:t> </w:t>
      </w:r>
      <w:r>
        <w:rPr>
          <w:sz w:val="24"/>
        </w:rPr>
        <w:t>droit</w:t>
      </w:r>
      <w:r>
        <w:rPr>
          <w:spacing w:val="-4"/>
          <w:sz w:val="24"/>
        </w:rPr>
        <w:t> </w:t>
      </w:r>
      <w:r>
        <w:rPr>
          <w:sz w:val="24"/>
        </w:rPr>
        <w:t>international</w:t>
      </w:r>
      <w:r>
        <w:rPr>
          <w:spacing w:val="-4"/>
          <w:sz w:val="24"/>
        </w:rPr>
        <w:t> </w:t>
      </w:r>
      <w:r>
        <w:rPr>
          <w:sz w:val="24"/>
        </w:rPr>
        <w:t>public</w:t>
      </w:r>
      <w:r>
        <w:rPr>
          <w:spacing w:val="-5"/>
          <w:sz w:val="24"/>
        </w:rPr>
        <w:t> </w:t>
      </w:r>
      <w:r>
        <w:rPr>
          <w:sz w:val="24"/>
        </w:rPr>
        <w:t>et</w:t>
      </w:r>
      <w:r>
        <w:rPr>
          <w:spacing w:val="-4"/>
          <w:sz w:val="24"/>
        </w:rPr>
        <w:t> </w:t>
      </w:r>
      <w:r>
        <w:rPr>
          <w:sz w:val="24"/>
        </w:rPr>
        <w:t>droit</w:t>
      </w:r>
      <w:r>
        <w:rPr>
          <w:spacing w:val="-5"/>
          <w:sz w:val="24"/>
        </w:rPr>
        <w:t> </w:t>
      </w:r>
      <w:r>
        <w:rPr>
          <w:sz w:val="24"/>
        </w:rPr>
        <w:t>pénal</w:t>
      </w:r>
      <w:r>
        <w:rPr>
          <w:spacing w:val="-4"/>
          <w:sz w:val="24"/>
        </w:rPr>
        <w:t> </w:t>
      </w:r>
      <w:r>
        <w:rPr>
          <w:sz w:val="24"/>
        </w:rPr>
        <w:t>international</w:t>
      </w:r>
      <w:r>
        <w:rPr>
          <w:spacing w:val="-4"/>
          <w:sz w:val="24"/>
        </w:rPr>
        <w:t> </w:t>
      </w:r>
      <w:r>
        <w:rPr>
          <w:spacing w:val="-10"/>
          <w:sz w:val="24"/>
        </w:rPr>
        <w:t>;</w:t>
      </w:r>
    </w:p>
    <w:p>
      <w:pPr>
        <w:pStyle w:val="BodyText"/>
        <w:spacing w:before="4"/>
      </w:pPr>
    </w:p>
    <w:p>
      <w:pPr>
        <w:pStyle w:val="ListParagraph"/>
        <w:numPr>
          <w:ilvl w:val="2"/>
          <w:numId w:val="3"/>
        </w:numPr>
        <w:tabs>
          <w:tab w:pos="286" w:val="left" w:leader="none"/>
        </w:tabs>
        <w:spacing w:line="240" w:lineRule="auto" w:before="0" w:after="0"/>
        <w:ind w:left="286" w:right="0" w:hanging="144"/>
        <w:jc w:val="left"/>
        <w:rPr>
          <w:sz w:val="24"/>
        </w:rPr>
      </w:pPr>
      <w:r>
        <w:rPr>
          <w:sz w:val="24"/>
        </w:rPr>
        <w:t>articles</w:t>
      </w:r>
      <w:r>
        <w:rPr>
          <w:spacing w:val="-7"/>
          <w:sz w:val="24"/>
        </w:rPr>
        <w:t> </w:t>
      </w:r>
      <w:r>
        <w:rPr>
          <w:sz w:val="24"/>
        </w:rPr>
        <w:t>scientifiques</w:t>
      </w:r>
      <w:r>
        <w:rPr>
          <w:spacing w:val="-5"/>
          <w:sz w:val="24"/>
        </w:rPr>
        <w:t> </w:t>
      </w:r>
      <w:r>
        <w:rPr>
          <w:sz w:val="24"/>
        </w:rPr>
        <w:t>publiés</w:t>
      </w:r>
      <w:r>
        <w:rPr>
          <w:spacing w:val="-4"/>
          <w:sz w:val="24"/>
        </w:rPr>
        <w:t> </w:t>
      </w:r>
      <w:r>
        <w:rPr>
          <w:sz w:val="24"/>
        </w:rPr>
        <w:t>dans</w:t>
      </w:r>
      <w:r>
        <w:rPr>
          <w:spacing w:val="-5"/>
          <w:sz w:val="24"/>
        </w:rPr>
        <w:t> </w:t>
      </w:r>
      <w:r>
        <w:rPr>
          <w:sz w:val="24"/>
        </w:rPr>
        <w:t>des</w:t>
      </w:r>
      <w:r>
        <w:rPr>
          <w:spacing w:val="-4"/>
          <w:sz w:val="24"/>
        </w:rPr>
        <w:t> </w:t>
      </w:r>
      <w:r>
        <w:rPr>
          <w:sz w:val="24"/>
        </w:rPr>
        <w:t>revues</w:t>
      </w:r>
      <w:r>
        <w:rPr>
          <w:spacing w:val="-5"/>
          <w:sz w:val="24"/>
        </w:rPr>
        <w:t> </w:t>
      </w:r>
      <w:r>
        <w:rPr>
          <w:sz w:val="24"/>
        </w:rPr>
        <w:t>juridiques</w:t>
      </w:r>
      <w:r>
        <w:rPr>
          <w:spacing w:val="-4"/>
          <w:sz w:val="24"/>
        </w:rPr>
        <w:t> </w:t>
      </w:r>
      <w:r>
        <w:rPr>
          <w:spacing w:val="-10"/>
          <w:sz w:val="24"/>
        </w:rPr>
        <w:t>;</w:t>
      </w:r>
    </w:p>
    <w:p>
      <w:pPr>
        <w:pStyle w:val="BodyText"/>
        <w:spacing w:before="4"/>
      </w:pPr>
    </w:p>
    <w:p>
      <w:pPr>
        <w:pStyle w:val="ListParagraph"/>
        <w:numPr>
          <w:ilvl w:val="2"/>
          <w:numId w:val="3"/>
        </w:numPr>
        <w:tabs>
          <w:tab w:pos="286" w:val="left" w:leader="none"/>
        </w:tabs>
        <w:spacing w:line="240" w:lineRule="auto" w:before="0" w:after="0"/>
        <w:ind w:left="286" w:right="0" w:hanging="144"/>
        <w:jc w:val="left"/>
        <w:rPr>
          <w:sz w:val="24"/>
        </w:rPr>
      </w:pPr>
      <w:r>
        <w:rPr>
          <w:sz w:val="24"/>
        </w:rPr>
        <w:t>thèses</w:t>
      </w:r>
      <w:r>
        <w:rPr>
          <w:spacing w:val="-6"/>
          <w:sz w:val="24"/>
        </w:rPr>
        <w:t> </w:t>
      </w:r>
      <w:r>
        <w:rPr>
          <w:sz w:val="24"/>
        </w:rPr>
        <w:t>et</w:t>
      </w:r>
      <w:r>
        <w:rPr>
          <w:spacing w:val="-4"/>
          <w:sz w:val="24"/>
        </w:rPr>
        <w:t> </w:t>
      </w:r>
      <w:r>
        <w:rPr>
          <w:sz w:val="24"/>
        </w:rPr>
        <w:t>mémoires</w:t>
      </w:r>
      <w:r>
        <w:rPr>
          <w:spacing w:val="-4"/>
          <w:sz w:val="24"/>
        </w:rPr>
        <w:t> </w:t>
      </w:r>
      <w:r>
        <w:rPr>
          <w:sz w:val="24"/>
        </w:rPr>
        <w:t>universitaires</w:t>
      </w:r>
      <w:r>
        <w:rPr>
          <w:spacing w:val="-4"/>
          <w:sz w:val="24"/>
        </w:rPr>
        <w:t> </w:t>
      </w:r>
      <w:r>
        <w:rPr>
          <w:sz w:val="24"/>
        </w:rPr>
        <w:t>portant</w:t>
      </w:r>
      <w:r>
        <w:rPr>
          <w:spacing w:val="-4"/>
          <w:sz w:val="24"/>
        </w:rPr>
        <w:t> </w:t>
      </w:r>
      <w:r>
        <w:rPr>
          <w:sz w:val="24"/>
        </w:rPr>
        <w:t>sur</w:t>
      </w:r>
      <w:r>
        <w:rPr>
          <w:spacing w:val="-4"/>
          <w:sz w:val="24"/>
        </w:rPr>
        <w:t> </w:t>
      </w:r>
      <w:r>
        <w:rPr>
          <w:sz w:val="24"/>
        </w:rPr>
        <w:t>la</w:t>
      </w:r>
      <w:r>
        <w:rPr>
          <w:spacing w:val="-4"/>
          <w:sz w:val="24"/>
        </w:rPr>
        <w:t> </w:t>
      </w:r>
      <w:r>
        <w:rPr>
          <w:sz w:val="24"/>
        </w:rPr>
        <w:t>piraterie</w:t>
      </w:r>
      <w:r>
        <w:rPr>
          <w:spacing w:val="-4"/>
          <w:sz w:val="24"/>
        </w:rPr>
        <w:t> </w:t>
      </w:r>
      <w:r>
        <w:rPr>
          <w:sz w:val="24"/>
        </w:rPr>
        <w:t>maritime</w:t>
      </w:r>
      <w:r>
        <w:rPr>
          <w:spacing w:val="-4"/>
          <w:sz w:val="24"/>
        </w:rPr>
        <w:t> </w:t>
      </w:r>
      <w:r>
        <w:rPr>
          <w:spacing w:val="-10"/>
          <w:sz w:val="24"/>
        </w:rPr>
        <w:t>;</w:t>
      </w:r>
    </w:p>
    <w:p>
      <w:pPr>
        <w:pStyle w:val="BodyText"/>
        <w:spacing w:before="20"/>
        <w:rPr>
          <w:sz w:val="20"/>
        </w:rPr>
      </w:pPr>
      <w:r>
        <w:rPr>
          <w:sz w:val="20"/>
        </w:rPr>
        <mc:AlternateContent>
          <mc:Choice Requires="wps">
            <w:drawing>
              <wp:anchor distT="0" distB="0" distL="0" distR="0" allowOverlap="1" layoutInCell="1" locked="0" behindDoc="1" simplePos="0" relativeHeight="487589888">
                <wp:simplePos x="0" y="0"/>
                <wp:positionH relativeFrom="page">
                  <wp:posOffset>899794</wp:posOffset>
                </wp:positionH>
                <wp:positionV relativeFrom="paragraph">
                  <wp:posOffset>174527</wp:posOffset>
                </wp:positionV>
                <wp:extent cx="1800225"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1800225" cy="1270"/>
                        </a:xfrm>
                        <a:custGeom>
                          <a:avLst/>
                          <a:gdLst/>
                          <a:ahLst/>
                          <a:cxnLst/>
                          <a:rect l="l" t="t" r="r" b="b"/>
                          <a:pathLst>
                            <a:path w="1800225" h="0">
                              <a:moveTo>
                                <a:pt x="0" y="0"/>
                              </a:moveTo>
                              <a:lnTo>
                                <a:pt x="1799996" y="0"/>
                              </a:lnTo>
                            </a:path>
                          </a:pathLst>
                        </a:custGeom>
                        <a:ln w="776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3.742297pt;width:141.75pt;height:.1pt;mso-position-horizontal-relative:page;mso-position-vertical-relative:paragraph;z-index:-15726592;mso-wrap-distance-left:0;mso-wrap-distance-right:0" id="docshape5" coordorigin="1417,275" coordsize="2835,0" path="m1417,275l4252,275e" filled="false" stroked="true" strokeweight=".61109pt" strokecolor="#000000">
                <v:path arrowok="t"/>
                <v:stroke dashstyle="solid"/>
                <w10:wrap type="topAndBottom"/>
              </v:shape>
            </w:pict>
          </mc:Fallback>
        </mc:AlternateContent>
      </w:r>
    </w:p>
    <w:p>
      <w:pPr>
        <w:spacing w:before="144"/>
        <w:ind w:left="141" w:right="0" w:firstLine="0"/>
        <w:jc w:val="left"/>
        <w:rPr>
          <w:sz w:val="20"/>
        </w:rPr>
      </w:pPr>
      <w:r>
        <w:rPr>
          <w:sz w:val="20"/>
          <w:vertAlign w:val="superscript"/>
        </w:rPr>
        <w:t>16</w:t>
      </w:r>
      <w:r>
        <w:rPr>
          <w:spacing w:val="-2"/>
          <w:sz w:val="20"/>
          <w:vertAlign w:val="baseline"/>
        </w:rPr>
        <w:t> </w:t>
      </w:r>
      <w:r>
        <w:rPr>
          <w:sz w:val="20"/>
          <w:vertAlign w:val="baseline"/>
        </w:rPr>
        <w:t>Douglas</w:t>
      </w:r>
      <w:r>
        <w:rPr>
          <w:spacing w:val="-1"/>
          <w:sz w:val="20"/>
          <w:vertAlign w:val="baseline"/>
        </w:rPr>
        <w:t> </w:t>
      </w:r>
      <w:r>
        <w:rPr>
          <w:sz w:val="20"/>
          <w:vertAlign w:val="baseline"/>
        </w:rPr>
        <w:t>Guilfoyle,</w:t>
      </w:r>
      <w:r>
        <w:rPr>
          <w:spacing w:val="-1"/>
          <w:sz w:val="20"/>
          <w:vertAlign w:val="baseline"/>
        </w:rPr>
        <w:t> </w:t>
      </w:r>
      <w:r>
        <w:rPr>
          <w:i/>
          <w:sz w:val="20"/>
          <w:vertAlign w:val="baseline"/>
        </w:rPr>
        <w:t>Shipping</w:t>
      </w:r>
      <w:r>
        <w:rPr>
          <w:i/>
          <w:spacing w:val="-1"/>
          <w:sz w:val="20"/>
          <w:vertAlign w:val="baseline"/>
        </w:rPr>
        <w:t> </w:t>
      </w:r>
      <w:r>
        <w:rPr>
          <w:i/>
          <w:sz w:val="20"/>
          <w:vertAlign w:val="baseline"/>
        </w:rPr>
        <w:t>Interdiction</w:t>
      </w:r>
      <w:r>
        <w:rPr>
          <w:i/>
          <w:spacing w:val="-2"/>
          <w:sz w:val="20"/>
          <w:vertAlign w:val="baseline"/>
        </w:rPr>
        <w:t> </w:t>
      </w:r>
      <w:r>
        <w:rPr>
          <w:i/>
          <w:sz w:val="20"/>
          <w:vertAlign w:val="baseline"/>
        </w:rPr>
        <w:t>and</w:t>
      </w:r>
      <w:r>
        <w:rPr>
          <w:i/>
          <w:spacing w:val="-1"/>
          <w:sz w:val="20"/>
          <w:vertAlign w:val="baseline"/>
        </w:rPr>
        <w:t> </w:t>
      </w:r>
      <w:r>
        <w:rPr>
          <w:i/>
          <w:sz w:val="20"/>
          <w:vertAlign w:val="baseline"/>
        </w:rPr>
        <w:t>the</w:t>
      </w:r>
      <w:r>
        <w:rPr>
          <w:i/>
          <w:spacing w:val="-1"/>
          <w:sz w:val="20"/>
          <w:vertAlign w:val="baseline"/>
        </w:rPr>
        <w:t> </w:t>
      </w:r>
      <w:r>
        <w:rPr>
          <w:i/>
          <w:sz w:val="20"/>
          <w:vertAlign w:val="baseline"/>
        </w:rPr>
        <w:t>Law</w:t>
      </w:r>
      <w:r>
        <w:rPr>
          <w:i/>
          <w:spacing w:val="-1"/>
          <w:sz w:val="20"/>
          <w:vertAlign w:val="baseline"/>
        </w:rPr>
        <w:t> </w:t>
      </w:r>
      <w:r>
        <w:rPr>
          <w:i/>
          <w:sz w:val="20"/>
          <w:vertAlign w:val="baseline"/>
        </w:rPr>
        <w:t>of</w:t>
      </w:r>
      <w:r>
        <w:rPr>
          <w:i/>
          <w:spacing w:val="-2"/>
          <w:sz w:val="20"/>
          <w:vertAlign w:val="baseline"/>
        </w:rPr>
        <w:t> </w:t>
      </w:r>
      <w:r>
        <w:rPr>
          <w:i/>
          <w:sz w:val="20"/>
          <w:vertAlign w:val="baseline"/>
        </w:rPr>
        <w:t>the</w:t>
      </w:r>
      <w:r>
        <w:rPr>
          <w:i/>
          <w:spacing w:val="-1"/>
          <w:sz w:val="20"/>
          <w:vertAlign w:val="baseline"/>
        </w:rPr>
        <w:t> </w:t>
      </w:r>
      <w:r>
        <w:rPr>
          <w:i/>
          <w:sz w:val="20"/>
          <w:vertAlign w:val="baseline"/>
        </w:rPr>
        <w:t>Sea</w:t>
      </w:r>
      <w:r>
        <w:rPr>
          <w:sz w:val="20"/>
          <w:vertAlign w:val="baseline"/>
        </w:rPr>
        <w:t>,</w:t>
      </w:r>
      <w:r>
        <w:rPr>
          <w:spacing w:val="-1"/>
          <w:sz w:val="20"/>
          <w:vertAlign w:val="baseline"/>
        </w:rPr>
        <w:t> </w:t>
      </w:r>
      <w:r>
        <w:rPr>
          <w:sz w:val="20"/>
          <w:vertAlign w:val="baseline"/>
        </w:rPr>
        <w:t>Cambridge</w:t>
      </w:r>
      <w:r>
        <w:rPr>
          <w:spacing w:val="-1"/>
          <w:sz w:val="20"/>
          <w:vertAlign w:val="baseline"/>
        </w:rPr>
        <w:t> </w:t>
      </w:r>
      <w:r>
        <w:rPr>
          <w:sz w:val="20"/>
          <w:vertAlign w:val="baseline"/>
        </w:rPr>
        <w:t>University</w:t>
      </w:r>
      <w:r>
        <w:rPr>
          <w:spacing w:val="-2"/>
          <w:sz w:val="20"/>
          <w:vertAlign w:val="baseline"/>
        </w:rPr>
        <w:t> </w:t>
      </w:r>
      <w:r>
        <w:rPr>
          <w:sz w:val="20"/>
          <w:vertAlign w:val="baseline"/>
        </w:rPr>
        <w:t>Press,</w:t>
      </w:r>
      <w:r>
        <w:rPr>
          <w:spacing w:val="-1"/>
          <w:sz w:val="20"/>
          <w:vertAlign w:val="baseline"/>
        </w:rPr>
        <w:t> </w:t>
      </w:r>
      <w:r>
        <w:rPr>
          <w:sz w:val="20"/>
          <w:vertAlign w:val="baseline"/>
        </w:rPr>
        <w:t>2009,</w:t>
      </w:r>
      <w:r>
        <w:rPr>
          <w:spacing w:val="-1"/>
          <w:sz w:val="20"/>
          <w:vertAlign w:val="baseline"/>
        </w:rPr>
        <w:t> </w:t>
      </w:r>
      <w:r>
        <w:rPr>
          <w:sz w:val="20"/>
          <w:vertAlign w:val="baseline"/>
        </w:rPr>
        <w:t>p.</w:t>
      </w:r>
      <w:r>
        <w:rPr>
          <w:spacing w:val="-1"/>
          <w:sz w:val="20"/>
          <w:vertAlign w:val="baseline"/>
        </w:rPr>
        <w:t> </w:t>
      </w:r>
      <w:r>
        <w:rPr>
          <w:sz w:val="20"/>
          <w:vertAlign w:val="baseline"/>
        </w:rPr>
        <w:t>15-</w:t>
      </w:r>
      <w:r>
        <w:rPr>
          <w:spacing w:val="-5"/>
          <w:sz w:val="20"/>
          <w:vertAlign w:val="baseline"/>
        </w:rPr>
        <w:t>27.</w:t>
      </w:r>
    </w:p>
    <w:p>
      <w:pPr>
        <w:spacing w:before="0"/>
        <w:ind w:left="142" w:right="0" w:firstLine="0"/>
        <w:jc w:val="left"/>
        <w:rPr>
          <w:sz w:val="20"/>
        </w:rPr>
      </w:pPr>
      <w:r>
        <w:rPr>
          <w:sz w:val="20"/>
          <w:vertAlign w:val="superscript"/>
        </w:rPr>
        <w:t>17</w:t>
      </w:r>
      <w:r>
        <w:rPr>
          <w:spacing w:val="-2"/>
          <w:sz w:val="20"/>
          <w:vertAlign w:val="baseline"/>
        </w:rPr>
        <w:t> </w:t>
      </w:r>
      <w:r>
        <w:rPr>
          <w:sz w:val="20"/>
          <w:vertAlign w:val="baseline"/>
        </w:rPr>
        <w:t>James</w:t>
      </w:r>
      <w:r>
        <w:rPr>
          <w:spacing w:val="-1"/>
          <w:sz w:val="20"/>
          <w:vertAlign w:val="baseline"/>
        </w:rPr>
        <w:t> </w:t>
      </w:r>
      <w:r>
        <w:rPr>
          <w:sz w:val="20"/>
          <w:vertAlign w:val="baseline"/>
        </w:rPr>
        <w:t>Kraska,</w:t>
      </w:r>
      <w:r>
        <w:rPr>
          <w:spacing w:val="-1"/>
          <w:sz w:val="20"/>
          <w:vertAlign w:val="baseline"/>
        </w:rPr>
        <w:t> </w:t>
      </w:r>
      <w:r>
        <w:rPr>
          <w:i/>
          <w:sz w:val="20"/>
          <w:vertAlign w:val="baseline"/>
        </w:rPr>
        <w:t>Maritime</w:t>
      </w:r>
      <w:r>
        <w:rPr>
          <w:i/>
          <w:spacing w:val="-1"/>
          <w:sz w:val="20"/>
          <w:vertAlign w:val="baseline"/>
        </w:rPr>
        <w:t> </w:t>
      </w:r>
      <w:r>
        <w:rPr>
          <w:i/>
          <w:sz w:val="20"/>
          <w:vertAlign w:val="baseline"/>
        </w:rPr>
        <w:t>Power</w:t>
      </w:r>
      <w:r>
        <w:rPr>
          <w:i/>
          <w:spacing w:val="-2"/>
          <w:sz w:val="20"/>
          <w:vertAlign w:val="baseline"/>
        </w:rPr>
        <w:t> </w:t>
      </w:r>
      <w:r>
        <w:rPr>
          <w:i/>
          <w:sz w:val="20"/>
          <w:vertAlign w:val="baseline"/>
        </w:rPr>
        <w:t>and</w:t>
      </w:r>
      <w:r>
        <w:rPr>
          <w:i/>
          <w:spacing w:val="-1"/>
          <w:sz w:val="20"/>
          <w:vertAlign w:val="baseline"/>
        </w:rPr>
        <w:t> </w:t>
      </w:r>
      <w:r>
        <w:rPr>
          <w:i/>
          <w:sz w:val="20"/>
          <w:vertAlign w:val="baseline"/>
        </w:rPr>
        <w:t>the</w:t>
      </w:r>
      <w:r>
        <w:rPr>
          <w:i/>
          <w:spacing w:val="-1"/>
          <w:sz w:val="20"/>
          <w:vertAlign w:val="baseline"/>
        </w:rPr>
        <w:t> </w:t>
      </w:r>
      <w:r>
        <w:rPr>
          <w:i/>
          <w:sz w:val="20"/>
          <w:vertAlign w:val="baseline"/>
        </w:rPr>
        <w:t>Law</w:t>
      </w:r>
      <w:r>
        <w:rPr>
          <w:i/>
          <w:spacing w:val="-1"/>
          <w:sz w:val="20"/>
          <w:vertAlign w:val="baseline"/>
        </w:rPr>
        <w:t> </w:t>
      </w:r>
      <w:r>
        <w:rPr>
          <w:i/>
          <w:sz w:val="20"/>
          <w:vertAlign w:val="baseline"/>
        </w:rPr>
        <w:t>of</w:t>
      </w:r>
      <w:r>
        <w:rPr>
          <w:i/>
          <w:spacing w:val="-2"/>
          <w:sz w:val="20"/>
          <w:vertAlign w:val="baseline"/>
        </w:rPr>
        <w:t> </w:t>
      </w:r>
      <w:r>
        <w:rPr>
          <w:i/>
          <w:sz w:val="20"/>
          <w:vertAlign w:val="baseline"/>
        </w:rPr>
        <w:t>the</w:t>
      </w:r>
      <w:r>
        <w:rPr>
          <w:i/>
          <w:spacing w:val="-1"/>
          <w:sz w:val="20"/>
          <w:vertAlign w:val="baseline"/>
        </w:rPr>
        <w:t> </w:t>
      </w:r>
      <w:r>
        <w:rPr>
          <w:i/>
          <w:sz w:val="20"/>
          <w:vertAlign w:val="baseline"/>
        </w:rPr>
        <w:t>Sea</w:t>
      </w:r>
      <w:r>
        <w:rPr>
          <w:sz w:val="20"/>
          <w:vertAlign w:val="baseline"/>
        </w:rPr>
        <w:t>,</w:t>
      </w:r>
      <w:r>
        <w:rPr>
          <w:spacing w:val="-1"/>
          <w:sz w:val="20"/>
          <w:vertAlign w:val="baseline"/>
        </w:rPr>
        <w:t> </w:t>
      </w:r>
      <w:r>
        <w:rPr>
          <w:sz w:val="20"/>
          <w:vertAlign w:val="baseline"/>
        </w:rPr>
        <w:t>Oxford</w:t>
      </w:r>
      <w:r>
        <w:rPr>
          <w:spacing w:val="-1"/>
          <w:sz w:val="20"/>
          <w:vertAlign w:val="baseline"/>
        </w:rPr>
        <w:t> </w:t>
      </w:r>
      <w:r>
        <w:rPr>
          <w:sz w:val="20"/>
          <w:vertAlign w:val="baseline"/>
        </w:rPr>
        <w:t>University</w:t>
      </w:r>
      <w:r>
        <w:rPr>
          <w:spacing w:val="-2"/>
          <w:sz w:val="20"/>
          <w:vertAlign w:val="baseline"/>
        </w:rPr>
        <w:t> </w:t>
      </w:r>
      <w:r>
        <w:rPr>
          <w:sz w:val="20"/>
          <w:vertAlign w:val="baseline"/>
        </w:rPr>
        <w:t>Press,</w:t>
      </w:r>
      <w:r>
        <w:rPr>
          <w:spacing w:val="-1"/>
          <w:sz w:val="20"/>
          <w:vertAlign w:val="baseline"/>
        </w:rPr>
        <w:t> </w:t>
      </w:r>
      <w:r>
        <w:rPr>
          <w:sz w:val="20"/>
          <w:vertAlign w:val="baseline"/>
        </w:rPr>
        <w:t>2011,</w:t>
      </w:r>
      <w:r>
        <w:rPr>
          <w:spacing w:val="-1"/>
          <w:sz w:val="20"/>
          <w:vertAlign w:val="baseline"/>
        </w:rPr>
        <w:t> </w:t>
      </w:r>
      <w:r>
        <w:rPr>
          <w:sz w:val="20"/>
          <w:vertAlign w:val="baseline"/>
        </w:rPr>
        <w:t>p.</w:t>
      </w:r>
      <w:r>
        <w:rPr>
          <w:spacing w:val="-1"/>
          <w:sz w:val="20"/>
          <w:vertAlign w:val="baseline"/>
        </w:rPr>
        <w:t> </w:t>
      </w:r>
      <w:r>
        <w:rPr>
          <w:sz w:val="20"/>
          <w:vertAlign w:val="baseline"/>
        </w:rPr>
        <w:t>33-</w:t>
      </w:r>
      <w:r>
        <w:rPr>
          <w:spacing w:val="-5"/>
          <w:sz w:val="20"/>
          <w:vertAlign w:val="baseline"/>
        </w:rPr>
        <w:t>58.</w:t>
      </w:r>
    </w:p>
    <w:p>
      <w:pPr>
        <w:spacing w:after="0"/>
        <w:jc w:val="left"/>
        <w:rPr>
          <w:sz w:val="20"/>
        </w:rPr>
        <w:sectPr>
          <w:pgSz w:w="11910" w:h="16840"/>
          <w:pgMar w:header="0" w:footer="1005" w:top="1340" w:bottom="1200" w:left="1275" w:right="1133"/>
        </w:sectPr>
      </w:pPr>
    </w:p>
    <w:p>
      <w:pPr>
        <w:pStyle w:val="ListParagraph"/>
        <w:numPr>
          <w:ilvl w:val="2"/>
          <w:numId w:val="3"/>
        </w:numPr>
        <w:tabs>
          <w:tab w:pos="286" w:val="left" w:leader="none"/>
        </w:tabs>
        <w:spacing w:line="240" w:lineRule="auto" w:before="79" w:after="0"/>
        <w:ind w:left="142" w:right="147" w:firstLine="0"/>
        <w:jc w:val="left"/>
        <w:rPr>
          <w:sz w:val="24"/>
        </w:rPr>
      </w:pPr>
      <w:r>
        <w:rPr>
          <w:sz w:val="24"/>
        </w:rPr>
        <w:t>textes</w:t>
      </w:r>
      <w:r>
        <w:rPr>
          <w:spacing w:val="-3"/>
          <w:sz w:val="24"/>
        </w:rPr>
        <w:t> </w:t>
      </w:r>
      <w:r>
        <w:rPr>
          <w:sz w:val="24"/>
        </w:rPr>
        <w:t>juridiques</w:t>
      </w:r>
      <w:r>
        <w:rPr>
          <w:spacing w:val="-3"/>
          <w:sz w:val="24"/>
        </w:rPr>
        <w:t> </w:t>
      </w:r>
      <w:r>
        <w:rPr>
          <w:sz w:val="24"/>
        </w:rPr>
        <w:t>internationaux,</w:t>
      </w:r>
      <w:r>
        <w:rPr>
          <w:spacing w:val="-3"/>
          <w:sz w:val="24"/>
        </w:rPr>
        <w:t> </w:t>
      </w:r>
      <w:r>
        <w:rPr>
          <w:sz w:val="24"/>
        </w:rPr>
        <w:t>notamment</w:t>
      </w:r>
      <w:r>
        <w:rPr>
          <w:spacing w:val="-3"/>
          <w:sz w:val="24"/>
        </w:rPr>
        <w:t> </w:t>
      </w:r>
      <w:r>
        <w:rPr>
          <w:sz w:val="24"/>
        </w:rPr>
        <w:t>la</w:t>
      </w:r>
      <w:r>
        <w:rPr>
          <w:spacing w:val="-3"/>
          <w:sz w:val="24"/>
        </w:rPr>
        <w:t> </w:t>
      </w:r>
      <w:r>
        <w:rPr>
          <w:sz w:val="24"/>
        </w:rPr>
        <w:t>Convention</w:t>
      </w:r>
      <w:r>
        <w:rPr>
          <w:spacing w:val="-3"/>
          <w:sz w:val="24"/>
        </w:rPr>
        <w:t> </w:t>
      </w:r>
      <w:r>
        <w:rPr>
          <w:sz w:val="24"/>
        </w:rPr>
        <w:t>des</w:t>
      </w:r>
      <w:r>
        <w:rPr>
          <w:spacing w:val="-3"/>
          <w:sz w:val="24"/>
        </w:rPr>
        <w:t> </w:t>
      </w:r>
      <w:r>
        <w:rPr>
          <w:sz w:val="24"/>
        </w:rPr>
        <w:t>Nations</w:t>
      </w:r>
      <w:r>
        <w:rPr>
          <w:spacing w:val="-3"/>
          <w:sz w:val="24"/>
        </w:rPr>
        <w:t> </w:t>
      </w:r>
      <w:r>
        <w:rPr>
          <w:sz w:val="24"/>
        </w:rPr>
        <w:t>Unies</w:t>
      </w:r>
      <w:r>
        <w:rPr>
          <w:spacing w:val="-3"/>
          <w:sz w:val="24"/>
        </w:rPr>
        <w:t> </w:t>
      </w:r>
      <w:r>
        <w:rPr>
          <w:sz w:val="24"/>
        </w:rPr>
        <w:t>sur</w:t>
      </w:r>
      <w:r>
        <w:rPr>
          <w:spacing w:val="-3"/>
          <w:sz w:val="24"/>
        </w:rPr>
        <w:t> </w:t>
      </w:r>
      <w:r>
        <w:rPr>
          <w:sz w:val="24"/>
        </w:rPr>
        <w:t>le</w:t>
      </w:r>
      <w:r>
        <w:rPr>
          <w:spacing w:val="-3"/>
          <w:sz w:val="24"/>
        </w:rPr>
        <w:t> </w:t>
      </w:r>
      <w:r>
        <w:rPr>
          <w:sz w:val="24"/>
        </w:rPr>
        <w:t>droit</w:t>
      </w:r>
      <w:r>
        <w:rPr>
          <w:spacing w:val="-3"/>
          <w:sz w:val="24"/>
        </w:rPr>
        <w:t> </w:t>
      </w:r>
      <w:r>
        <w:rPr>
          <w:sz w:val="24"/>
        </w:rPr>
        <w:t>de</w:t>
      </w:r>
      <w:r>
        <w:rPr>
          <w:spacing w:val="-3"/>
          <w:sz w:val="24"/>
        </w:rPr>
        <w:t> </w:t>
      </w:r>
      <w:r>
        <w:rPr>
          <w:sz w:val="24"/>
        </w:rPr>
        <w:t>la mer de 1982 (CNUDM) ;</w:t>
      </w:r>
    </w:p>
    <w:p>
      <w:pPr>
        <w:pStyle w:val="BodyText"/>
        <w:spacing w:before="4"/>
      </w:pPr>
    </w:p>
    <w:p>
      <w:pPr>
        <w:pStyle w:val="ListParagraph"/>
        <w:numPr>
          <w:ilvl w:val="2"/>
          <w:numId w:val="3"/>
        </w:numPr>
        <w:tabs>
          <w:tab w:pos="286" w:val="left" w:leader="none"/>
        </w:tabs>
        <w:spacing w:line="240" w:lineRule="auto" w:before="0" w:after="0"/>
        <w:ind w:left="286" w:right="0" w:hanging="144"/>
        <w:jc w:val="left"/>
        <w:rPr>
          <w:sz w:val="24"/>
        </w:rPr>
      </w:pPr>
      <w:r>
        <w:rPr>
          <w:sz w:val="24"/>
        </w:rPr>
        <w:t>jurisprudences</w:t>
      </w:r>
      <w:r>
        <w:rPr>
          <w:spacing w:val="-7"/>
          <w:sz w:val="24"/>
        </w:rPr>
        <w:t> </w:t>
      </w:r>
      <w:r>
        <w:rPr>
          <w:sz w:val="24"/>
        </w:rPr>
        <w:t>nationales</w:t>
      </w:r>
      <w:r>
        <w:rPr>
          <w:spacing w:val="-7"/>
          <w:sz w:val="24"/>
        </w:rPr>
        <w:t> </w:t>
      </w:r>
      <w:r>
        <w:rPr>
          <w:sz w:val="24"/>
        </w:rPr>
        <w:t>et</w:t>
      </w:r>
      <w:r>
        <w:rPr>
          <w:spacing w:val="-6"/>
          <w:sz w:val="24"/>
        </w:rPr>
        <w:t> </w:t>
      </w:r>
      <w:r>
        <w:rPr>
          <w:sz w:val="24"/>
        </w:rPr>
        <w:t>internationales</w:t>
      </w:r>
      <w:r>
        <w:rPr>
          <w:spacing w:val="-7"/>
          <w:sz w:val="24"/>
        </w:rPr>
        <w:t> </w:t>
      </w:r>
      <w:r>
        <w:rPr>
          <w:sz w:val="24"/>
        </w:rPr>
        <w:t>pertinentes</w:t>
      </w:r>
      <w:r>
        <w:rPr>
          <w:spacing w:val="-6"/>
          <w:sz w:val="24"/>
        </w:rPr>
        <w:t> </w:t>
      </w:r>
      <w:r>
        <w:rPr>
          <w:spacing w:val="-10"/>
          <w:sz w:val="24"/>
        </w:rPr>
        <w:t>;</w:t>
      </w:r>
    </w:p>
    <w:p>
      <w:pPr>
        <w:pStyle w:val="BodyText"/>
        <w:spacing w:before="4"/>
      </w:pPr>
    </w:p>
    <w:p>
      <w:pPr>
        <w:pStyle w:val="ListParagraph"/>
        <w:numPr>
          <w:ilvl w:val="2"/>
          <w:numId w:val="3"/>
        </w:numPr>
        <w:tabs>
          <w:tab w:pos="354" w:val="left" w:leader="none"/>
        </w:tabs>
        <w:spacing w:line="240" w:lineRule="auto" w:before="0" w:after="0"/>
        <w:ind w:left="142" w:right="149" w:firstLine="0"/>
        <w:jc w:val="left"/>
        <w:rPr>
          <w:sz w:val="24"/>
        </w:rPr>
      </w:pPr>
      <w:r>
        <w:rPr>
          <w:sz w:val="24"/>
        </w:rPr>
        <w:t>rapports</w:t>
      </w:r>
      <w:r>
        <w:rPr>
          <w:spacing w:val="40"/>
          <w:sz w:val="24"/>
        </w:rPr>
        <w:t> </w:t>
      </w:r>
      <w:r>
        <w:rPr>
          <w:sz w:val="24"/>
        </w:rPr>
        <w:t>d’organisations</w:t>
      </w:r>
      <w:r>
        <w:rPr>
          <w:spacing w:val="40"/>
          <w:sz w:val="24"/>
        </w:rPr>
        <w:t> </w:t>
      </w:r>
      <w:r>
        <w:rPr>
          <w:sz w:val="24"/>
        </w:rPr>
        <w:t>internationales</w:t>
      </w:r>
      <w:r>
        <w:rPr>
          <w:spacing w:val="40"/>
          <w:sz w:val="24"/>
        </w:rPr>
        <w:t> </w:t>
      </w:r>
      <w:r>
        <w:rPr>
          <w:sz w:val="24"/>
        </w:rPr>
        <w:t>telles</w:t>
      </w:r>
      <w:r>
        <w:rPr>
          <w:spacing w:val="40"/>
          <w:sz w:val="24"/>
        </w:rPr>
        <w:t> </w:t>
      </w:r>
      <w:r>
        <w:rPr>
          <w:sz w:val="24"/>
        </w:rPr>
        <w:t>que</w:t>
      </w:r>
      <w:r>
        <w:rPr>
          <w:spacing w:val="40"/>
          <w:sz w:val="24"/>
        </w:rPr>
        <w:t> </w:t>
      </w:r>
      <w:r>
        <w:rPr>
          <w:sz w:val="24"/>
        </w:rPr>
        <w:t>l’Organisation</w:t>
      </w:r>
      <w:r>
        <w:rPr>
          <w:spacing w:val="40"/>
          <w:sz w:val="24"/>
        </w:rPr>
        <w:t> </w:t>
      </w:r>
      <w:r>
        <w:rPr>
          <w:sz w:val="24"/>
        </w:rPr>
        <w:t>maritime</w:t>
      </w:r>
      <w:r>
        <w:rPr>
          <w:spacing w:val="40"/>
          <w:sz w:val="24"/>
        </w:rPr>
        <w:t> </w:t>
      </w:r>
      <w:r>
        <w:rPr>
          <w:sz w:val="24"/>
        </w:rPr>
        <w:t>internationale (OMI), les Nations Unies et Interpol.</w:t>
      </w:r>
    </w:p>
    <w:p>
      <w:pPr>
        <w:pStyle w:val="BodyText"/>
        <w:spacing w:before="4"/>
      </w:pPr>
    </w:p>
    <w:p>
      <w:pPr>
        <w:pStyle w:val="BodyText"/>
        <w:ind w:left="142" w:right="146"/>
        <w:jc w:val="both"/>
      </w:pPr>
      <w:r>
        <w:rPr/>
        <w:t>Une attention particulière est accordée aux ouvrages de référence traitant de la sécurité maritime, de l’exercice de la juridiction universelle et des mécanismes internationaux de répression de la piraterie</w:t>
      </w:r>
      <w:r>
        <w:rPr>
          <w:vertAlign w:val="superscript"/>
        </w:rPr>
        <w:t>18</w:t>
      </w:r>
      <w:r>
        <w:rPr>
          <w:vertAlign w:val="baseline"/>
        </w:rPr>
        <w:t>.</w:t>
      </w:r>
    </w:p>
    <w:p>
      <w:pPr>
        <w:pStyle w:val="BodyText"/>
        <w:spacing w:before="4"/>
      </w:pPr>
    </w:p>
    <w:p>
      <w:pPr>
        <w:pStyle w:val="Heading5"/>
        <w:numPr>
          <w:ilvl w:val="0"/>
          <w:numId w:val="4"/>
        </w:numPr>
        <w:tabs>
          <w:tab w:pos="401" w:val="left" w:leader="none"/>
        </w:tabs>
        <w:spacing w:line="240" w:lineRule="auto" w:before="0" w:after="0"/>
        <w:ind w:left="401" w:right="0" w:hanging="259"/>
        <w:jc w:val="left"/>
      </w:pPr>
      <w:r>
        <w:rPr>
          <w:color w:val="145F82"/>
        </w:rPr>
        <w:t>Sources</w:t>
      </w:r>
      <w:r>
        <w:rPr>
          <w:color w:val="145F82"/>
          <w:spacing w:val="-6"/>
        </w:rPr>
        <w:t> </w:t>
      </w:r>
      <w:r>
        <w:rPr>
          <w:color w:val="145F82"/>
          <w:spacing w:val="-2"/>
        </w:rPr>
        <w:t>webographiques</w:t>
      </w:r>
    </w:p>
    <w:p>
      <w:pPr>
        <w:pStyle w:val="BodyText"/>
        <w:spacing w:before="4"/>
        <w:rPr>
          <w:b/>
          <w:i/>
        </w:rPr>
      </w:pPr>
    </w:p>
    <w:p>
      <w:pPr>
        <w:pStyle w:val="BodyText"/>
        <w:ind w:left="142" w:right="146"/>
        <w:jc w:val="both"/>
      </w:pPr>
      <w:r>
        <w:rPr/>
        <w:t>La recherche webographique complète la documentation classique par l’exploitation de sources numériques fiables, telles que les bases de données juridiques en ligne, les sites institutionnels officiels et les publications électroniques d’organisations internationales. Ces sources permettent d’accéder à des informations actualisées sur l’évolution du droit et des pratiques de lutte contre la piraterie maritime.</w:t>
      </w:r>
    </w:p>
    <w:p>
      <w:pPr>
        <w:pStyle w:val="BodyText"/>
        <w:spacing w:before="4"/>
      </w:pPr>
    </w:p>
    <w:p>
      <w:pPr>
        <w:pStyle w:val="Heading4"/>
        <w:numPr>
          <w:ilvl w:val="1"/>
          <w:numId w:val="3"/>
        </w:numPr>
        <w:tabs>
          <w:tab w:pos="562" w:val="left" w:leader="none"/>
        </w:tabs>
        <w:spacing w:line="240" w:lineRule="auto" w:before="0" w:after="0"/>
        <w:ind w:left="562" w:right="0" w:hanging="420"/>
        <w:jc w:val="left"/>
      </w:pPr>
      <w:r>
        <w:rPr>
          <w:color w:val="145F82"/>
        </w:rPr>
        <w:t>Techniques</w:t>
      </w:r>
      <w:r>
        <w:rPr>
          <w:color w:val="145F82"/>
          <w:spacing w:val="-5"/>
        </w:rPr>
        <w:t> </w:t>
      </w:r>
      <w:r>
        <w:rPr>
          <w:color w:val="145F82"/>
          <w:spacing w:val="-2"/>
        </w:rPr>
        <w:t>d’analyse</w:t>
      </w:r>
    </w:p>
    <w:p>
      <w:pPr>
        <w:pStyle w:val="BodyText"/>
        <w:spacing w:before="4"/>
        <w:rPr>
          <w:b/>
        </w:rPr>
      </w:pPr>
    </w:p>
    <w:p>
      <w:pPr>
        <w:pStyle w:val="BodyText"/>
        <w:ind w:left="142"/>
        <w:jc w:val="both"/>
      </w:pPr>
      <w:r>
        <w:rPr/>
        <w:t>Les</w:t>
      </w:r>
      <w:r>
        <w:rPr>
          <w:spacing w:val="-7"/>
        </w:rPr>
        <w:t> </w:t>
      </w:r>
      <w:r>
        <w:rPr/>
        <w:t>données</w:t>
      </w:r>
      <w:r>
        <w:rPr>
          <w:spacing w:val="-4"/>
        </w:rPr>
        <w:t> </w:t>
      </w:r>
      <w:r>
        <w:rPr/>
        <w:t>recueillies</w:t>
      </w:r>
      <w:r>
        <w:rPr>
          <w:spacing w:val="-4"/>
        </w:rPr>
        <w:t> </w:t>
      </w:r>
      <w:r>
        <w:rPr/>
        <w:t>sont</w:t>
      </w:r>
      <w:r>
        <w:rPr>
          <w:spacing w:val="-5"/>
        </w:rPr>
        <w:t> </w:t>
      </w:r>
      <w:r>
        <w:rPr/>
        <w:t>analysées</w:t>
      </w:r>
      <w:r>
        <w:rPr>
          <w:spacing w:val="-4"/>
        </w:rPr>
        <w:t> </w:t>
      </w:r>
      <w:r>
        <w:rPr/>
        <w:t>selon</w:t>
      </w:r>
      <w:r>
        <w:rPr>
          <w:spacing w:val="-4"/>
        </w:rPr>
        <w:t> </w:t>
      </w:r>
      <w:r>
        <w:rPr/>
        <w:t>plusieurs</w:t>
      </w:r>
      <w:r>
        <w:rPr>
          <w:spacing w:val="-5"/>
        </w:rPr>
        <w:t> </w:t>
      </w:r>
      <w:r>
        <w:rPr/>
        <w:t>approches</w:t>
      </w:r>
      <w:r>
        <w:rPr>
          <w:spacing w:val="-4"/>
        </w:rPr>
        <w:t> </w:t>
      </w:r>
      <w:r>
        <w:rPr/>
        <w:t>complémentaires</w:t>
      </w:r>
      <w:r>
        <w:rPr>
          <w:spacing w:val="-4"/>
        </w:rPr>
        <w:t> </w:t>
      </w:r>
      <w:r>
        <w:rPr>
          <w:spacing w:val="-10"/>
        </w:rPr>
        <w:t>:</w:t>
      </w:r>
    </w:p>
    <w:p>
      <w:pPr>
        <w:pStyle w:val="BodyText"/>
        <w:spacing w:before="4"/>
      </w:pPr>
    </w:p>
    <w:p>
      <w:pPr>
        <w:pStyle w:val="ListParagraph"/>
        <w:numPr>
          <w:ilvl w:val="2"/>
          <w:numId w:val="3"/>
        </w:numPr>
        <w:tabs>
          <w:tab w:pos="286" w:val="left" w:leader="none"/>
        </w:tabs>
        <w:spacing w:line="240" w:lineRule="auto" w:before="0" w:after="0"/>
        <w:ind w:left="286" w:right="0" w:hanging="144"/>
        <w:jc w:val="left"/>
        <w:rPr>
          <w:sz w:val="24"/>
        </w:rPr>
      </w:pPr>
      <w:r>
        <w:rPr>
          <w:sz w:val="24"/>
        </w:rPr>
        <w:t>une</w:t>
      </w:r>
      <w:r>
        <w:rPr>
          <w:spacing w:val="-6"/>
          <w:sz w:val="24"/>
        </w:rPr>
        <w:t> </w:t>
      </w:r>
      <w:r>
        <w:rPr>
          <w:sz w:val="24"/>
        </w:rPr>
        <w:t>analyse</w:t>
      </w:r>
      <w:r>
        <w:rPr>
          <w:spacing w:val="-4"/>
          <w:sz w:val="24"/>
        </w:rPr>
        <w:t> </w:t>
      </w:r>
      <w:r>
        <w:rPr>
          <w:sz w:val="24"/>
        </w:rPr>
        <w:t>juridique</w:t>
      </w:r>
      <w:r>
        <w:rPr>
          <w:spacing w:val="-4"/>
          <w:sz w:val="24"/>
        </w:rPr>
        <w:t> </w:t>
      </w:r>
      <w:r>
        <w:rPr>
          <w:sz w:val="24"/>
        </w:rPr>
        <w:t>normative,</w:t>
      </w:r>
      <w:r>
        <w:rPr>
          <w:spacing w:val="-3"/>
          <w:sz w:val="24"/>
        </w:rPr>
        <w:t> </w:t>
      </w:r>
      <w:r>
        <w:rPr>
          <w:sz w:val="24"/>
        </w:rPr>
        <w:t>permettant</w:t>
      </w:r>
      <w:r>
        <w:rPr>
          <w:spacing w:val="-4"/>
          <w:sz w:val="24"/>
        </w:rPr>
        <w:t> </w:t>
      </w:r>
      <w:r>
        <w:rPr>
          <w:sz w:val="24"/>
        </w:rPr>
        <w:t>d’examiner</w:t>
      </w:r>
      <w:r>
        <w:rPr>
          <w:spacing w:val="-4"/>
          <w:sz w:val="24"/>
        </w:rPr>
        <w:t> </w:t>
      </w:r>
      <w:r>
        <w:rPr>
          <w:sz w:val="24"/>
        </w:rPr>
        <w:t>les</w:t>
      </w:r>
      <w:r>
        <w:rPr>
          <w:spacing w:val="-4"/>
          <w:sz w:val="24"/>
        </w:rPr>
        <w:t> </w:t>
      </w:r>
      <w:r>
        <w:rPr>
          <w:sz w:val="24"/>
        </w:rPr>
        <w:t>textes</w:t>
      </w:r>
      <w:r>
        <w:rPr>
          <w:spacing w:val="-3"/>
          <w:sz w:val="24"/>
        </w:rPr>
        <w:t> </w:t>
      </w:r>
      <w:r>
        <w:rPr>
          <w:sz w:val="24"/>
        </w:rPr>
        <w:t>et</w:t>
      </w:r>
      <w:r>
        <w:rPr>
          <w:spacing w:val="-4"/>
          <w:sz w:val="24"/>
        </w:rPr>
        <w:t> </w:t>
      </w:r>
      <w:r>
        <w:rPr>
          <w:sz w:val="24"/>
        </w:rPr>
        <w:t>leur</w:t>
      </w:r>
      <w:r>
        <w:rPr>
          <w:spacing w:val="-4"/>
          <w:sz w:val="24"/>
        </w:rPr>
        <w:t> </w:t>
      </w:r>
      <w:r>
        <w:rPr>
          <w:sz w:val="24"/>
        </w:rPr>
        <w:t>contenu</w:t>
      </w:r>
      <w:r>
        <w:rPr>
          <w:spacing w:val="-3"/>
          <w:sz w:val="24"/>
        </w:rPr>
        <w:t> </w:t>
      </w:r>
      <w:r>
        <w:rPr>
          <w:spacing w:val="-10"/>
          <w:sz w:val="24"/>
        </w:rPr>
        <w:t>;</w:t>
      </w:r>
    </w:p>
    <w:p>
      <w:pPr>
        <w:pStyle w:val="BodyText"/>
        <w:spacing w:before="4"/>
      </w:pPr>
    </w:p>
    <w:p>
      <w:pPr>
        <w:pStyle w:val="ListParagraph"/>
        <w:numPr>
          <w:ilvl w:val="2"/>
          <w:numId w:val="3"/>
        </w:numPr>
        <w:tabs>
          <w:tab w:pos="310" w:val="left" w:leader="none"/>
        </w:tabs>
        <w:spacing w:line="240" w:lineRule="auto" w:before="0" w:after="0"/>
        <w:ind w:left="142" w:right="148" w:firstLine="0"/>
        <w:jc w:val="left"/>
        <w:rPr>
          <w:sz w:val="24"/>
        </w:rPr>
      </w:pPr>
      <w:r>
        <w:rPr>
          <w:sz w:val="24"/>
        </w:rPr>
        <w:t>une analyse critique, visant à identifier les insuffisances et limites des dispositifs juridiques</w:t>
      </w:r>
      <w:r>
        <w:rPr>
          <w:spacing w:val="40"/>
          <w:sz w:val="24"/>
        </w:rPr>
        <w:t> </w:t>
      </w:r>
      <w:r>
        <w:rPr>
          <w:sz w:val="24"/>
        </w:rPr>
        <w:t>existants ;</w:t>
      </w:r>
    </w:p>
    <w:p>
      <w:pPr>
        <w:pStyle w:val="BodyText"/>
        <w:spacing w:before="4"/>
      </w:pPr>
    </w:p>
    <w:p>
      <w:pPr>
        <w:pStyle w:val="ListParagraph"/>
        <w:numPr>
          <w:ilvl w:val="2"/>
          <w:numId w:val="3"/>
        </w:numPr>
        <w:tabs>
          <w:tab w:pos="432" w:val="left" w:leader="none"/>
          <w:tab w:pos="984" w:val="left" w:leader="none"/>
          <w:tab w:pos="1909" w:val="left" w:leader="none"/>
          <w:tab w:pos="3359" w:val="left" w:leader="none"/>
          <w:tab w:pos="4590" w:val="left" w:leader="none"/>
          <w:tab w:pos="5023" w:val="left" w:leader="none"/>
          <w:tab w:pos="6227" w:val="left" w:leader="none"/>
          <w:tab w:pos="6699" w:val="left" w:leader="none"/>
          <w:tab w:pos="7997" w:val="left" w:leader="none"/>
          <w:tab w:pos="9175" w:val="left" w:leader="none"/>
        </w:tabs>
        <w:spacing w:line="240" w:lineRule="auto" w:before="0" w:after="0"/>
        <w:ind w:left="142" w:right="147" w:firstLine="0"/>
        <w:jc w:val="left"/>
        <w:rPr>
          <w:sz w:val="24"/>
        </w:rPr>
      </w:pPr>
      <w:r>
        <w:rPr>
          <w:spacing w:val="-4"/>
          <w:sz w:val="24"/>
        </w:rPr>
        <w:t>une</w:t>
      </w:r>
      <w:r>
        <w:rPr>
          <w:sz w:val="24"/>
        </w:rPr>
        <w:tab/>
      </w:r>
      <w:r>
        <w:rPr>
          <w:spacing w:val="-2"/>
          <w:sz w:val="24"/>
        </w:rPr>
        <w:t>analyse</w:t>
      </w:r>
      <w:r>
        <w:rPr>
          <w:sz w:val="24"/>
        </w:rPr>
        <w:tab/>
      </w:r>
      <w:r>
        <w:rPr>
          <w:spacing w:val="-2"/>
          <w:sz w:val="24"/>
        </w:rPr>
        <w:t>comparative,</w:t>
      </w:r>
      <w:r>
        <w:rPr>
          <w:sz w:val="24"/>
        </w:rPr>
        <w:tab/>
      </w:r>
      <w:r>
        <w:rPr>
          <w:spacing w:val="-2"/>
          <w:sz w:val="24"/>
        </w:rPr>
        <w:t>permettant</w:t>
      </w:r>
      <w:r>
        <w:rPr>
          <w:sz w:val="24"/>
        </w:rPr>
        <w:tab/>
      </w:r>
      <w:r>
        <w:rPr>
          <w:spacing w:val="-6"/>
          <w:sz w:val="24"/>
        </w:rPr>
        <w:t>de</w:t>
      </w:r>
      <w:r>
        <w:rPr>
          <w:sz w:val="24"/>
        </w:rPr>
        <w:tab/>
      </w:r>
      <w:r>
        <w:rPr>
          <w:spacing w:val="-2"/>
          <w:sz w:val="24"/>
        </w:rPr>
        <w:t>confronter</w:t>
      </w:r>
      <w:r>
        <w:rPr>
          <w:sz w:val="24"/>
        </w:rPr>
        <w:tab/>
      </w:r>
      <w:r>
        <w:rPr>
          <w:spacing w:val="-4"/>
          <w:sz w:val="24"/>
        </w:rPr>
        <w:t>les</w:t>
      </w:r>
      <w:r>
        <w:rPr>
          <w:sz w:val="24"/>
        </w:rPr>
        <w:tab/>
      </w:r>
      <w:r>
        <w:rPr>
          <w:spacing w:val="-2"/>
          <w:sz w:val="24"/>
        </w:rPr>
        <w:t>législations</w:t>
      </w:r>
      <w:r>
        <w:rPr>
          <w:sz w:val="24"/>
        </w:rPr>
        <w:tab/>
      </w:r>
      <w:r>
        <w:rPr>
          <w:spacing w:val="-2"/>
          <w:sz w:val="24"/>
        </w:rPr>
        <w:t>nationales</w:t>
      </w:r>
      <w:r>
        <w:rPr>
          <w:sz w:val="24"/>
        </w:rPr>
        <w:tab/>
      </w:r>
      <w:r>
        <w:rPr>
          <w:spacing w:val="-6"/>
          <w:sz w:val="24"/>
        </w:rPr>
        <w:t>et </w:t>
      </w:r>
      <w:r>
        <w:rPr>
          <w:sz w:val="24"/>
        </w:rPr>
        <w:t>internationales ;</w:t>
      </w:r>
    </w:p>
    <w:p>
      <w:pPr>
        <w:pStyle w:val="BodyText"/>
        <w:spacing w:before="4"/>
      </w:pPr>
    </w:p>
    <w:p>
      <w:pPr>
        <w:pStyle w:val="ListParagraph"/>
        <w:numPr>
          <w:ilvl w:val="2"/>
          <w:numId w:val="3"/>
        </w:numPr>
        <w:tabs>
          <w:tab w:pos="333" w:val="left" w:leader="none"/>
        </w:tabs>
        <w:spacing w:line="240" w:lineRule="auto" w:before="0" w:after="0"/>
        <w:ind w:left="142" w:right="148" w:firstLine="0"/>
        <w:jc w:val="left"/>
        <w:rPr>
          <w:sz w:val="24"/>
        </w:rPr>
      </w:pPr>
      <w:r>
        <w:rPr>
          <w:sz w:val="24"/>
        </w:rPr>
        <w:t>une</w:t>
      </w:r>
      <w:r>
        <w:rPr>
          <w:spacing w:val="40"/>
          <w:sz w:val="24"/>
        </w:rPr>
        <w:t> </w:t>
      </w:r>
      <w:r>
        <w:rPr>
          <w:sz w:val="24"/>
        </w:rPr>
        <w:t>analyse</w:t>
      </w:r>
      <w:r>
        <w:rPr>
          <w:spacing w:val="40"/>
          <w:sz w:val="24"/>
        </w:rPr>
        <w:t> </w:t>
      </w:r>
      <w:r>
        <w:rPr>
          <w:sz w:val="24"/>
        </w:rPr>
        <w:t>systémique,</w:t>
      </w:r>
      <w:r>
        <w:rPr>
          <w:spacing w:val="40"/>
          <w:sz w:val="24"/>
        </w:rPr>
        <w:t> </w:t>
      </w:r>
      <w:r>
        <w:rPr>
          <w:sz w:val="24"/>
        </w:rPr>
        <w:t>afin</w:t>
      </w:r>
      <w:r>
        <w:rPr>
          <w:spacing w:val="40"/>
          <w:sz w:val="24"/>
        </w:rPr>
        <w:t> </w:t>
      </w:r>
      <w:r>
        <w:rPr>
          <w:sz w:val="24"/>
        </w:rPr>
        <w:t>de</w:t>
      </w:r>
      <w:r>
        <w:rPr>
          <w:spacing w:val="40"/>
          <w:sz w:val="24"/>
        </w:rPr>
        <w:t> </w:t>
      </w:r>
      <w:r>
        <w:rPr>
          <w:sz w:val="24"/>
        </w:rPr>
        <w:t>comprendre</w:t>
      </w:r>
      <w:r>
        <w:rPr>
          <w:spacing w:val="40"/>
          <w:sz w:val="24"/>
        </w:rPr>
        <w:t> </w:t>
      </w:r>
      <w:r>
        <w:rPr>
          <w:sz w:val="24"/>
        </w:rPr>
        <w:t>la</w:t>
      </w:r>
      <w:r>
        <w:rPr>
          <w:spacing w:val="40"/>
          <w:sz w:val="24"/>
        </w:rPr>
        <w:t> </w:t>
      </w:r>
      <w:r>
        <w:rPr>
          <w:sz w:val="24"/>
        </w:rPr>
        <w:t>piraterie</w:t>
      </w:r>
      <w:r>
        <w:rPr>
          <w:spacing w:val="40"/>
          <w:sz w:val="24"/>
        </w:rPr>
        <w:t> </w:t>
      </w:r>
      <w:r>
        <w:rPr>
          <w:sz w:val="24"/>
        </w:rPr>
        <w:t>maritime</w:t>
      </w:r>
      <w:r>
        <w:rPr>
          <w:spacing w:val="40"/>
          <w:sz w:val="24"/>
        </w:rPr>
        <w:t> </w:t>
      </w:r>
      <w:r>
        <w:rPr>
          <w:sz w:val="24"/>
        </w:rPr>
        <w:t>comme</w:t>
      </w:r>
      <w:r>
        <w:rPr>
          <w:spacing w:val="40"/>
          <w:sz w:val="24"/>
        </w:rPr>
        <w:t> </w:t>
      </w:r>
      <w:r>
        <w:rPr>
          <w:sz w:val="24"/>
        </w:rPr>
        <w:t>un</w:t>
      </w:r>
      <w:r>
        <w:rPr>
          <w:spacing w:val="40"/>
          <w:sz w:val="24"/>
        </w:rPr>
        <w:t> </w:t>
      </w:r>
      <w:r>
        <w:rPr>
          <w:sz w:val="24"/>
        </w:rPr>
        <w:t>phénomène global nécessitant une réponse coordonnée.</w:t>
      </w:r>
    </w:p>
    <w:p>
      <w:pPr>
        <w:pStyle w:val="BodyText"/>
        <w:spacing w:before="4"/>
      </w:pPr>
    </w:p>
    <w:p>
      <w:pPr>
        <w:pStyle w:val="BodyText"/>
        <w:ind w:left="142" w:right="148"/>
        <w:jc w:val="both"/>
      </w:pPr>
      <w:r>
        <w:rPr/>
        <w:t>Cette combinaison d’approches permet une lecture globale et structurée du phénomène étudié. L’analyse comparative est particulièrement pertinente dans le domaine maritime où les États appliquent différemment les normes issues du droit international de la mer</w:t>
      </w:r>
      <w:r>
        <w:rPr>
          <w:vertAlign w:val="superscript"/>
        </w:rPr>
        <w:t>19</w:t>
      </w:r>
      <w:r>
        <w:rPr>
          <w:vertAlign w:val="baseline"/>
        </w:rPr>
        <w:t>.</w:t>
      </w:r>
    </w:p>
    <w:p>
      <w:pPr>
        <w:pStyle w:val="BodyText"/>
        <w:spacing w:before="4"/>
      </w:pPr>
    </w:p>
    <w:p>
      <w:pPr>
        <w:pStyle w:val="Heading4"/>
        <w:numPr>
          <w:ilvl w:val="1"/>
          <w:numId w:val="3"/>
        </w:numPr>
        <w:tabs>
          <w:tab w:pos="562" w:val="left" w:leader="none"/>
        </w:tabs>
        <w:spacing w:line="240" w:lineRule="auto" w:before="0" w:after="0"/>
        <w:ind w:left="562" w:right="0" w:hanging="420"/>
        <w:jc w:val="left"/>
      </w:pPr>
      <w:r>
        <w:rPr>
          <w:color w:val="145F82"/>
        </w:rPr>
        <w:t>Limites</w:t>
      </w:r>
      <w:r>
        <w:rPr>
          <w:color w:val="145F82"/>
          <w:spacing w:val="-2"/>
        </w:rPr>
        <w:t> </w:t>
      </w:r>
      <w:r>
        <w:rPr>
          <w:color w:val="145F82"/>
        </w:rPr>
        <w:t>de</w:t>
      </w:r>
      <w:r>
        <w:rPr>
          <w:color w:val="145F82"/>
          <w:spacing w:val="-2"/>
        </w:rPr>
        <w:t> </w:t>
      </w:r>
      <w:r>
        <w:rPr>
          <w:color w:val="145F82"/>
        </w:rPr>
        <w:t>la</w:t>
      </w:r>
      <w:r>
        <w:rPr>
          <w:color w:val="145F82"/>
          <w:spacing w:val="-1"/>
        </w:rPr>
        <w:t> </w:t>
      </w:r>
      <w:r>
        <w:rPr>
          <w:color w:val="145F82"/>
          <w:spacing w:val="-2"/>
        </w:rPr>
        <w:t>méthodologie</w:t>
      </w:r>
    </w:p>
    <w:p>
      <w:pPr>
        <w:pStyle w:val="BodyText"/>
        <w:spacing w:before="4"/>
        <w:rPr>
          <w:b/>
        </w:rPr>
      </w:pPr>
    </w:p>
    <w:p>
      <w:pPr>
        <w:pStyle w:val="BodyText"/>
        <w:ind w:left="142" w:right="147"/>
        <w:jc w:val="both"/>
      </w:pPr>
      <w:r>
        <w:rPr/>
        <w:t>Cette étude présente certaines limites liées à son caractère exclusivement documentaire. L’absence d’enquête empirique directe auprès des acteurs judiciaires ou maritimes peut restreindre l’analyse des pratiques concrètes. Toutefois, cette limite est compensée par la richesse et la diversité des sources doctrinales et institutionnelles mobilisées.</w:t>
      </w:r>
    </w:p>
    <w:p>
      <w:pPr>
        <w:pStyle w:val="BodyText"/>
        <w:rPr>
          <w:sz w:val="20"/>
        </w:rPr>
      </w:pPr>
    </w:p>
    <w:p>
      <w:pPr>
        <w:pStyle w:val="BodyText"/>
        <w:rPr>
          <w:sz w:val="20"/>
        </w:rPr>
      </w:pPr>
    </w:p>
    <w:p>
      <w:pPr>
        <w:pStyle w:val="BodyText"/>
        <w:spacing w:before="204"/>
        <w:rPr>
          <w:sz w:val="20"/>
        </w:rPr>
      </w:pPr>
      <w:r>
        <w:rPr>
          <w:sz w:val="20"/>
        </w:rPr>
        <mc:AlternateContent>
          <mc:Choice Requires="wps">
            <w:drawing>
              <wp:anchor distT="0" distB="0" distL="0" distR="0" allowOverlap="1" layoutInCell="1" locked="0" behindDoc="1" simplePos="0" relativeHeight="487590400">
                <wp:simplePos x="0" y="0"/>
                <wp:positionH relativeFrom="page">
                  <wp:posOffset>899794</wp:posOffset>
                </wp:positionH>
                <wp:positionV relativeFrom="paragraph">
                  <wp:posOffset>291372</wp:posOffset>
                </wp:positionV>
                <wp:extent cx="1800225"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800225" cy="1270"/>
                        </a:xfrm>
                        <a:custGeom>
                          <a:avLst/>
                          <a:gdLst/>
                          <a:ahLst/>
                          <a:cxnLst/>
                          <a:rect l="l" t="t" r="r" b="b"/>
                          <a:pathLst>
                            <a:path w="1800225" h="0">
                              <a:moveTo>
                                <a:pt x="0" y="0"/>
                              </a:moveTo>
                              <a:lnTo>
                                <a:pt x="1799996" y="0"/>
                              </a:lnTo>
                            </a:path>
                          </a:pathLst>
                        </a:custGeom>
                        <a:ln w="776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22.942688pt;width:141.75pt;height:.1pt;mso-position-horizontal-relative:page;mso-position-vertical-relative:paragraph;z-index:-15726080;mso-wrap-distance-left:0;mso-wrap-distance-right:0" id="docshape6" coordorigin="1417,459" coordsize="2835,0" path="m1417,459l4252,459e" filled="false" stroked="true" strokeweight=".61109pt" strokecolor="#000000">
                <v:path arrowok="t"/>
                <v:stroke dashstyle="solid"/>
                <w10:wrap type="topAndBottom"/>
              </v:shape>
            </w:pict>
          </mc:Fallback>
        </mc:AlternateContent>
      </w:r>
    </w:p>
    <w:p>
      <w:pPr>
        <w:spacing w:before="144"/>
        <w:ind w:left="141" w:right="0" w:firstLine="0"/>
        <w:jc w:val="left"/>
        <w:rPr>
          <w:sz w:val="20"/>
        </w:rPr>
      </w:pPr>
      <w:r>
        <w:rPr>
          <w:sz w:val="20"/>
          <w:vertAlign w:val="superscript"/>
        </w:rPr>
        <w:t>18</w:t>
      </w:r>
      <w:r>
        <w:rPr>
          <w:spacing w:val="-3"/>
          <w:sz w:val="20"/>
          <w:vertAlign w:val="baseline"/>
        </w:rPr>
        <w:t> </w:t>
      </w:r>
      <w:r>
        <w:rPr>
          <w:sz w:val="20"/>
          <w:vertAlign w:val="baseline"/>
        </w:rPr>
        <w:t>Guilherme</w:t>
      </w:r>
      <w:r>
        <w:rPr>
          <w:spacing w:val="-3"/>
          <w:sz w:val="20"/>
          <w:vertAlign w:val="baseline"/>
        </w:rPr>
        <w:t> </w:t>
      </w:r>
      <w:r>
        <w:rPr>
          <w:sz w:val="20"/>
          <w:vertAlign w:val="baseline"/>
        </w:rPr>
        <w:t>de</w:t>
      </w:r>
      <w:r>
        <w:rPr>
          <w:spacing w:val="-3"/>
          <w:sz w:val="20"/>
          <w:vertAlign w:val="baseline"/>
        </w:rPr>
        <w:t> </w:t>
      </w:r>
      <w:r>
        <w:rPr>
          <w:sz w:val="20"/>
          <w:vertAlign w:val="baseline"/>
        </w:rPr>
        <w:t>Oliveira,</w:t>
      </w:r>
      <w:r>
        <w:rPr>
          <w:spacing w:val="-2"/>
          <w:sz w:val="20"/>
          <w:vertAlign w:val="baseline"/>
        </w:rPr>
        <w:t> </w:t>
      </w:r>
      <w:r>
        <w:rPr>
          <w:i/>
          <w:sz w:val="20"/>
          <w:vertAlign w:val="baseline"/>
        </w:rPr>
        <w:t>International</w:t>
      </w:r>
      <w:r>
        <w:rPr>
          <w:i/>
          <w:spacing w:val="-2"/>
          <w:sz w:val="20"/>
          <w:vertAlign w:val="baseline"/>
        </w:rPr>
        <w:t> </w:t>
      </w:r>
      <w:r>
        <w:rPr>
          <w:i/>
          <w:sz w:val="20"/>
          <w:vertAlign w:val="baseline"/>
        </w:rPr>
        <w:t>Maritime</w:t>
      </w:r>
      <w:r>
        <w:rPr>
          <w:i/>
          <w:spacing w:val="-3"/>
          <w:sz w:val="20"/>
          <w:vertAlign w:val="baseline"/>
        </w:rPr>
        <w:t> </w:t>
      </w:r>
      <w:r>
        <w:rPr>
          <w:i/>
          <w:sz w:val="20"/>
          <w:vertAlign w:val="baseline"/>
        </w:rPr>
        <w:t>Law</w:t>
      </w:r>
      <w:r>
        <w:rPr>
          <w:i/>
          <w:spacing w:val="-3"/>
          <w:sz w:val="20"/>
          <w:vertAlign w:val="baseline"/>
        </w:rPr>
        <w:t> </w:t>
      </w:r>
      <w:r>
        <w:rPr>
          <w:i/>
          <w:sz w:val="20"/>
          <w:vertAlign w:val="baseline"/>
        </w:rPr>
        <w:t>and</w:t>
      </w:r>
      <w:r>
        <w:rPr>
          <w:i/>
          <w:spacing w:val="-3"/>
          <w:sz w:val="20"/>
          <w:vertAlign w:val="baseline"/>
        </w:rPr>
        <w:t> </w:t>
      </w:r>
      <w:r>
        <w:rPr>
          <w:i/>
          <w:sz w:val="20"/>
          <w:vertAlign w:val="baseline"/>
        </w:rPr>
        <w:t>Security</w:t>
      </w:r>
      <w:r>
        <w:rPr>
          <w:sz w:val="20"/>
          <w:vertAlign w:val="baseline"/>
        </w:rPr>
        <w:t>,</w:t>
      </w:r>
      <w:r>
        <w:rPr>
          <w:spacing w:val="-2"/>
          <w:sz w:val="20"/>
          <w:vertAlign w:val="baseline"/>
        </w:rPr>
        <w:t> </w:t>
      </w:r>
      <w:r>
        <w:rPr>
          <w:sz w:val="20"/>
          <w:vertAlign w:val="baseline"/>
        </w:rPr>
        <w:t>Springer,</w:t>
      </w:r>
      <w:r>
        <w:rPr>
          <w:spacing w:val="-3"/>
          <w:sz w:val="20"/>
          <w:vertAlign w:val="baseline"/>
        </w:rPr>
        <w:t> </w:t>
      </w:r>
      <w:r>
        <w:rPr>
          <w:sz w:val="20"/>
          <w:vertAlign w:val="baseline"/>
        </w:rPr>
        <w:t>2018,</w:t>
      </w:r>
      <w:r>
        <w:rPr>
          <w:spacing w:val="-3"/>
          <w:sz w:val="20"/>
          <w:vertAlign w:val="baseline"/>
        </w:rPr>
        <w:t> </w:t>
      </w:r>
      <w:r>
        <w:rPr>
          <w:sz w:val="20"/>
          <w:vertAlign w:val="baseline"/>
        </w:rPr>
        <w:t>p.</w:t>
      </w:r>
      <w:r>
        <w:rPr>
          <w:spacing w:val="-2"/>
          <w:sz w:val="20"/>
          <w:vertAlign w:val="baseline"/>
        </w:rPr>
        <w:t> </w:t>
      </w:r>
      <w:r>
        <w:rPr>
          <w:sz w:val="20"/>
          <w:vertAlign w:val="baseline"/>
        </w:rPr>
        <w:t>74-</w:t>
      </w:r>
      <w:r>
        <w:rPr>
          <w:spacing w:val="-5"/>
          <w:sz w:val="20"/>
          <w:vertAlign w:val="baseline"/>
        </w:rPr>
        <w:t>96.</w:t>
      </w:r>
    </w:p>
    <w:p>
      <w:pPr>
        <w:spacing w:before="0"/>
        <w:ind w:left="142" w:right="0" w:firstLine="0"/>
        <w:jc w:val="left"/>
        <w:rPr>
          <w:sz w:val="20"/>
        </w:rPr>
      </w:pPr>
      <w:r>
        <w:rPr>
          <w:sz w:val="20"/>
          <w:vertAlign w:val="superscript"/>
        </w:rPr>
        <w:t>19</w:t>
      </w:r>
      <w:r>
        <w:rPr>
          <w:spacing w:val="-1"/>
          <w:sz w:val="20"/>
          <w:vertAlign w:val="baseline"/>
        </w:rPr>
        <w:t> </w:t>
      </w:r>
      <w:r>
        <w:rPr>
          <w:sz w:val="20"/>
          <w:vertAlign w:val="baseline"/>
        </w:rPr>
        <w:t>R.R.</w:t>
      </w:r>
      <w:r>
        <w:rPr>
          <w:spacing w:val="-1"/>
          <w:sz w:val="20"/>
          <w:vertAlign w:val="baseline"/>
        </w:rPr>
        <w:t> </w:t>
      </w:r>
      <w:r>
        <w:rPr>
          <w:sz w:val="20"/>
          <w:vertAlign w:val="baseline"/>
        </w:rPr>
        <w:t>Churchill</w:t>
      </w:r>
      <w:r>
        <w:rPr>
          <w:spacing w:val="-1"/>
          <w:sz w:val="20"/>
          <w:vertAlign w:val="baseline"/>
        </w:rPr>
        <w:t> </w:t>
      </w:r>
      <w:r>
        <w:rPr>
          <w:sz w:val="20"/>
          <w:vertAlign w:val="baseline"/>
        </w:rPr>
        <w:t>et</w:t>
      </w:r>
      <w:r>
        <w:rPr>
          <w:spacing w:val="-1"/>
          <w:sz w:val="20"/>
          <w:vertAlign w:val="baseline"/>
        </w:rPr>
        <w:t> </w:t>
      </w:r>
      <w:r>
        <w:rPr>
          <w:sz w:val="20"/>
          <w:vertAlign w:val="baseline"/>
        </w:rPr>
        <w:t>A.V.</w:t>
      </w:r>
      <w:r>
        <w:rPr>
          <w:spacing w:val="-1"/>
          <w:sz w:val="20"/>
          <w:vertAlign w:val="baseline"/>
        </w:rPr>
        <w:t> </w:t>
      </w:r>
      <w:r>
        <w:rPr>
          <w:sz w:val="20"/>
          <w:vertAlign w:val="baseline"/>
        </w:rPr>
        <w:t>Lowe, </w:t>
      </w:r>
      <w:r>
        <w:rPr>
          <w:i/>
          <w:sz w:val="20"/>
          <w:vertAlign w:val="baseline"/>
        </w:rPr>
        <w:t>The</w:t>
      </w:r>
      <w:r>
        <w:rPr>
          <w:i/>
          <w:spacing w:val="-1"/>
          <w:sz w:val="20"/>
          <w:vertAlign w:val="baseline"/>
        </w:rPr>
        <w:t> </w:t>
      </w:r>
      <w:r>
        <w:rPr>
          <w:i/>
          <w:sz w:val="20"/>
          <w:vertAlign w:val="baseline"/>
        </w:rPr>
        <w:t>Law</w:t>
      </w:r>
      <w:r>
        <w:rPr>
          <w:i/>
          <w:spacing w:val="-1"/>
          <w:sz w:val="20"/>
          <w:vertAlign w:val="baseline"/>
        </w:rPr>
        <w:t> </w:t>
      </w:r>
      <w:r>
        <w:rPr>
          <w:i/>
          <w:sz w:val="20"/>
          <w:vertAlign w:val="baseline"/>
        </w:rPr>
        <w:t>of the</w:t>
      </w:r>
      <w:r>
        <w:rPr>
          <w:i/>
          <w:spacing w:val="-1"/>
          <w:sz w:val="20"/>
          <w:vertAlign w:val="baseline"/>
        </w:rPr>
        <w:t> </w:t>
      </w:r>
      <w:r>
        <w:rPr>
          <w:i/>
          <w:sz w:val="20"/>
          <w:vertAlign w:val="baseline"/>
        </w:rPr>
        <w:t>Sea</w:t>
      </w:r>
      <w:r>
        <w:rPr>
          <w:sz w:val="20"/>
          <w:vertAlign w:val="baseline"/>
        </w:rPr>
        <w:t>,</w:t>
      </w:r>
      <w:r>
        <w:rPr>
          <w:spacing w:val="-1"/>
          <w:sz w:val="20"/>
          <w:vertAlign w:val="baseline"/>
        </w:rPr>
        <w:t> </w:t>
      </w:r>
      <w:r>
        <w:rPr>
          <w:sz w:val="20"/>
          <w:vertAlign w:val="baseline"/>
        </w:rPr>
        <w:t>3rd</w:t>
      </w:r>
      <w:r>
        <w:rPr>
          <w:spacing w:val="-1"/>
          <w:sz w:val="20"/>
          <w:vertAlign w:val="baseline"/>
        </w:rPr>
        <w:t> </w:t>
      </w:r>
      <w:r>
        <w:rPr>
          <w:sz w:val="20"/>
          <w:vertAlign w:val="baseline"/>
        </w:rPr>
        <w:t>ed.,</w:t>
      </w:r>
      <w:r>
        <w:rPr>
          <w:spacing w:val="-1"/>
          <w:sz w:val="20"/>
          <w:vertAlign w:val="baseline"/>
        </w:rPr>
        <w:t> </w:t>
      </w:r>
      <w:r>
        <w:rPr>
          <w:sz w:val="20"/>
          <w:vertAlign w:val="baseline"/>
        </w:rPr>
        <w:t>Manchester</w:t>
      </w:r>
      <w:r>
        <w:rPr>
          <w:spacing w:val="-1"/>
          <w:sz w:val="20"/>
          <w:vertAlign w:val="baseline"/>
        </w:rPr>
        <w:t> </w:t>
      </w:r>
      <w:r>
        <w:rPr>
          <w:sz w:val="20"/>
          <w:vertAlign w:val="baseline"/>
        </w:rPr>
        <w:t>University</w:t>
      </w:r>
      <w:r>
        <w:rPr>
          <w:spacing w:val="-1"/>
          <w:sz w:val="20"/>
          <w:vertAlign w:val="baseline"/>
        </w:rPr>
        <w:t> </w:t>
      </w:r>
      <w:r>
        <w:rPr>
          <w:sz w:val="20"/>
          <w:vertAlign w:val="baseline"/>
        </w:rPr>
        <w:t>Press,</w:t>
      </w:r>
      <w:r>
        <w:rPr>
          <w:spacing w:val="-1"/>
          <w:sz w:val="20"/>
          <w:vertAlign w:val="baseline"/>
        </w:rPr>
        <w:t> </w:t>
      </w:r>
      <w:r>
        <w:rPr>
          <w:sz w:val="20"/>
          <w:vertAlign w:val="baseline"/>
        </w:rPr>
        <w:t>p. 209-</w:t>
      </w:r>
      <w:r>
        <w:rPr>
          <w:spacing w:val="-4"/>
          <w:sz w:val="20"/>
          <w:vertAlign w:val="baseline"/>
        </w:rPr>
        <w:t>245.</w:t>
      </w:r>
    </w:p>
    <w:p>
      <w:pPr>
        <w:spacing w:after="0"/>
        <w:jc w:val="left"/>
        <w:rPr>
          <w:sz w:val="20"/>
        </w:rPr>
        <w:sectPr>
          <w:pgSz w:w="11910" w:h="16840"/>
          <w:pgMar w:header="0" w:footer="1005" w:top="1320" w:bottom="1200" w:left="1275" w:right="1133"/>
        </w:sectPr>
      </w:pPr>
    </w:p>
    <w:p>
      <w:pPr>
        <w:pStyle w:val="Heading4"/>
        <w:numPr>
          <w:ilvl w:val="1"/>
          <w:numId w:val="3"/>
        </w:numPr>
        <w:tabs>
          <w:tab w:pos="562" w:val="left" w:leader="none"/>
        </w:tabs>
        <w:spacing w:line="240" w:lineRule="auto" w:before="79" w:after="0"/>
        <w:ind w:left="562" w:right="0" w:hanging="420"/>
        <w:jc w:val="left"/>
      </w:pPr>
      <w:r>
        <w:rPr>
          <w:color w:val="145F82"/>
        </w:rPr>
        <w:t>Pertinence</w:t>
      </w:r>
      <w:r>
        <w:rPr>
          <w:color w:val="145F82"/>
          <w:spacing w:val="-2"/>
        </w:rPr>
        <w:t> </w:t>
      </w:r>
      <w:r>
        <w:rPr>
          <w:color w:val="145F82"/>
        </w:rPr>
        <w:t>de</w:t>
      </w:r>
      <w:r>
        <w:rPr>
          <w:color w:val="145F82"/>
          <w:spacing w:val="-2"/>
        </w:rPr>
        <w:t> </w:t>
      </w:r>
      <w:r>
        <w:rPr>
          <w:color w:val="145F82"/>
        </w:rPr>
        <w:t>la</w:t>
      </w:r>
      <w:r>
        <w:rPr>
          <w:color w:val="145F82"/>
          <w:spacing w:val="-1"/>
        </w:rPr>
        <w:t> </w:t>
      </w:r>
      <w:r>
        <w:rPr>
          <w:color w:val="145F82"/>
          <w:spacing w:val="-2"/>
        </w:rPr>
        <w:t>méthode</w:t>
      </w:r>
    </w:p>
    <w:p>
      <w:pPr>
        <w:pStyle w:val="BodyText"/>
        <w:spacing w:before="4"/>
        <w:rPr>
          <w:b/>
        </w:rPr>
      </w:pPr>
    </w:p>
    <w:p>
      <w:pPr>
        <w:pStyle w:val="BodyText"/>
        <w:ind w:left="142" w:right="147"/>
        <w:jc w:val="both"/>
      </w:pPr>
      <w:r>
        <w:rPr/>
        <w:t>Le choix de la méthode déductive et documentaire se justifie par la nature juridique et transnationale du sujet. La piraterie maritime étant principalement encadrée par des normes internationales, son étude nécessite une analyse approfondie des textes juridiques et de leur interprétation doctrinale.</w:t>
      </w:r>
    </w:p>
    <w:p>
      <w:pPr>
        <w:pStyle w:val="BodyText"/>
        <w:spacing w:before="4"/>
      </w:pPr>
    </w:p>
    <w:p>
      <w:pPr>
        <w:pStyle w:val="BodyText"/>
        <w:ind w:left="142" w:right="148"/>
        <w:jc w:val="both"/>
      </w:pPr>
      <w:r>
        <w:rPr/>
        <w:t>Cette</w:t>
      </w:r>
      <w:r>
        <w:rPr>
          <w:spacing w:val="-1"/>
        </w:rPr>
        <w:t> </w:t>
      </w:r>
      <w:r>
        <w:rPr/>
        <w:t>méthodologie</w:t>
      </w:r>
      <w:r>
        <w:rPr>
          <w:spacing w:val="-1"/>
        </w:rPr>
        <w:t> </w:t>
      </w:r>
      <w:r>
        <w:rPr/>
        <w:t>permet</w:t>
      </w:r>
      <w:r>
        <w:rPr>
          <w:spacing w:val="-1"/>
        </w:rPr>
        <w:t> </w:t>
      </w:r>
      <w:r>
        <w:rPr/>
        <w:t>ainsi</w:t>
      </w:r>
      <w:r>
        <w:rPr>
          <w:spacing w:val="-1"/>
        </w:rPr>
        <w:t> </w:t>
      </w:r>
      <w:r>
        <w:rPr/>
        <w:t>de</w:t>
      </w:r>
      <w:r>
        <w:rPr>
          <w:spacing w:val="-1"/>
        </w:rPr>
        <w:t> </w:t>
      </w:r>
      <w:r>
        <w:rPr/>
        <w:t>mettre</w:t>
      </w:r>
      <w:r>
        <w:rPr>
          <w:spacing w:val="-1"/>
        </w:rPr>
        <w:t> </w:t>
      </w:r>
      <w:r>
        <w:rPr/>
        <w:t>en</w:t>
      </w:r>
      <w:r>
        <w:rPr>
          <w:spacing w:val="-1"/>
        </w:rPr>
        <w:t> </w:t>
      </w:r>
      <w:r>
        <w:rPr/>
        <w:t>évidence</w:t>
      </w:r>
      <w:r>
        <w:rPr>
          <w:spacing w:val="-1"/>
        </w:rPr>
        <w:t> </w:t>
      </w:r>
      <w:r>
        <w:rPr/>
        <w:t>les</w:t>
      </w:r>
      <w:r>
        <w:rPr>
          <w:spacing w:val="-1"/>
        </w:rPr>
        <w:t> </w:t>
      </w:r>
      <w:r>
        <w:rPr/>
        <w:t>interactions</w:t>
      </w:r>
      <w:r>
        <w:rPr>
          <w:spacing w:val="-1"/>
        </w:rPr>
        <w:t> </w:t>
      </w:r>
      <w:r>
        <w:rPr/>
        <w:t>entre</w:t>
      </w:r>
      <w:r>
        <w:rPr>
          <w:spacing w:val="-1"/>
        </w:rPr>
        <w:t> </w:t>
      </w:r>
      <w:r>
        <w:rPr/>
        <w:t>droit</w:t>
      </w:r>
      <w:r>
        <w:rPr>
          <w:spacing w:val="-1"/>
        </w:rPr>
        <w:t> </w:t>
      </w:r>
      <w:r>
        <w:rPr/>
        <w:t>international, droit</w:t>
      </w:r>
      <w:r>
        <w:rPr>
          <w:spacing w:val="-3"/>
        </w:rPr>
        <w:t> </w:t>
      </w:r>
      <w:r>
        <w:rPr/>
        <w:t>interne</w:t>
      </w:r>
      <w:r>
        <w:rPr>
          <w:spacing w:val="-3"/>
        </w:rPr>
        <w:t> </w:t>
      </w:r>
      <w:r>
        <w:rPr/>
        <w:t>et</w:t>
      </w:r>
      <w:r>
        <w:rPr>
          <w:spacing w:val="-3"/>
        </w:rPr>
        <w:t> </w:t>
      </w:r>
      <w:r>
        <w:rPr/>
        <w:t>coopération</w:t>
      </w:r>
      <w:r>
        <w:rPr>
          <w:spacing w:val="-3"/>
        </w:rPr>
        <w:t> </w:t>
      </w:r>
      <w:r>
        <w:rPr/>
        <w:t>judiciaire</w:t>
      </w:r>
      <w:r>
        <w:rPr>
          <w:spacing w:val="-3"/>
        </w:rPr>
        <w:t> </w:t>
      </w:r>
      <w:r>
        <w:rPr/>
        <w:t>internationale,</w:t>
      </w:r>
      <w:r>
        <w:rPr>
          <w:spacing w:val="-3"/>
        </w:rPr>
        <w:t> </w:t>
      </w:r>
      <w:r>
        <w:rPr/>
        <w:t>tout</w:t>
      </w:r>
      <w:r>
        <w:rPr>
          <w:spacing w:val="-3"/>
        </w:rPr>
        <w:t> </w:t>
      </w:r>
      <w:r>
        <w:rPr/>
        <w:t>en</w:t>
      </w:r>
      <w:r>
        <w:rPr>
          <w:spacing w:val="-3"/>
        </w:rPr>
        <w:t> </w:t>
      </w:r>
      <w:r>
        <w:rPr/>
        <w:t>évaluant</w:t>
      </w:r>
      <w:r>
        <w:rPr>
          <w:spacing w:val="-3"/>
        </w:rPr>
        <w:t> </w:t>
      </w:r>
      <w:r>
        <w:rPr/>
        <w:t>leur</w:t>
      </w:r>
      <w:r>
        <w:rPr>
          <w:spacing w:val="-3"/>
        </w:rPr>
        <w:t> </w:t>
      </w:r>
      <w:r>
        <w:rPr/>
        <w:t>efficacité</w:t>
      </w:r>
      <w:r>
        <w:rPr>
          <w:spacing w:val="-3"/>
        </w:rPr>
        <w:t> </w:t>
      </w:r>
      <w:r>
        <w:rPr/>
        <w:t>dans</w:t>
      </w:r>
      <w:r>
        <w:rPr>
          <w:spacing w:val="-3"/>
        </w:rPr>
        <w:t> </w:t>
      </w:r>
      <w:r>
        <w:rPr/>
        <w:t>la</w:t>
      </w:r>
      <w:r>
        <w:rPr>
          <w:spacing w:val="-3"/>
        </w:rPr>
        <w:t> </w:t>
      </w:r>
      <w:r>
        <w:rPr/>
        <w:t>lutte contre la piraterie maritime.</w:t>
      </w:r>
    </w:p>
    <w:p>
      <w:pPr>
        <w:pStyle w:val="BodyText"/>
        <w:spacing w:after="0"/>
        <w:jc w:val="both"/>
        <w:sectPr>
          <w:pgSz w:w="11910" w:h="16840"/>
          <w:pgMar w:header="0" w:footer="1005" w:top="1320" w:bottom="1200" w:left="1275" w:right="1133"/>
        </w:sectPr>
      </w:pPr>
    </w:p>
    <w:p>
      <w:pPr>
        <w:pStyle w:val="Heading1"/>
        <w:numPr>
          <w:ilvl w:val="0"/>
          <w:numId w:val="1"/>
        </w:numPr>
        <w:tabs>
          <w:tab w:pos="701" w:val="left" w:leader="none"/>
        </w:tabs>
        <w:spacing w:line="240" w:lineRule="auto" w:before="59" w:after="0"/>
        <w:ind w:left="701" w:right="0" w:hanging="560"/>
        <w:jc w:val="both"/>
      </w:pPr>
      <w:r>
        <w:rPr>
          <w:spacing w:val="-2"/>
        </w:rPr>
        <w:t>RÉSULTATS</w:t>
      </w:r>
    </w:p>
    <w:p>
      <w:pPr>
        <w:pStyle w:val="BodyText"/>
        <w:spacing w:before="280"/>
        <w:ind w:left="141" w:right="147"/>
        <w:jc w:val="both"/>
      </w:pPr>
      <w:r>
        <w:rPr/>
        <w:t>L’exploitation des sources doctrinales, normatives et jurisprudentielles relatives à la piraterie maritime permet de dégager deux résultats principaux. Ceux-ci répondent directement aux problématiques posées par cette étude, à savoir : d’une part, la qualification juridique de la piraterie maritime en droit international pénal et en droit interne ; d’autre part, les mécanismes de coopération judiciaire internationale dans la lutte contre ce phénomène transnational.</w:t>
      </w:r>
    </w:p>
    <w:p>
      <w:pPr>
        <w:pStyle w:val="BodyText"/>
        <w:spacing w:before="4"/>
      </w:pPr>
    </w:p>
    <w:p>
      <w:pPr>
        <w:pStyle w:val="Heading4"/>
        <w:numPr>
          <w:ilvl w:val="1"/>
          <w:numId w:val="1"/>
        </w:numPr>
        <w:tabs>
          <w:tab w:pos="381" w:val="left" w:leader="none"/>
        </w:tabs>
        <w:spacing w:line="240" w:lineRule="auto" w:before="0" w:after="0"/>
        <w:ind w:left="141" w:right="147" w:firstLine="0"/>
        <w:jc w:val="left"/>
        <w:rPr>
          <w:color w:val="145F82"/>
        </w:rPr>
      </w:pPr>
      <w:r>
        <w:rPr>
          <w:color w:val="145F82"/>
        </w:rPr>
        <w:t>La</w:t>
      </w:r>
      <w:r>
        <w:rPr>
          <w:color w:val="145F82"/>
          <w:spacing w:val="-3"/>
        </w:rPr>
        <w:t> </w:t>
      </w:r>
      <w:r>
        <w:rPr>
          <w:color w:val="145F82"/>
        </w:rPr>
        <w:t>qualification</w:t>
      </w:r>
      <w:r>
        <w:rPr>
          <w:color w:val="145F82"/>
          <w:spacing w:val="-3"/>
        </w:rPr>
        <w:t> </w:t>
      </w:r>
      <w:r>
        <w:rPr>
          <w:color w:val="145F82"/>
        </w:rPr>
        <w:t>juridique</w:t>
      </w:r>
      <w:r>
        <w:rPr>
          <w:color w:val="145F82"/>
          <w:spacing w:val="-3"/>
        </w:rPr>
        <w:t> </w:t>
      </w:r>
      <w:r>
        <w:rPr>
          <w:color w:val="145F82"/>
        </w:rPr>
        <w:t>de</w:t>
      </w:r>
      <w:r>
        <w:rPr>
          <w:color w:val="145F82"/>
          <w:spacing w:val="-3"/>
        </w:rPr>
        <w:t> </w:t>
      </w:r>
      <w:r>
        <w:rPr>
          <w:color w:val="145F82"/>
        </w:rPr>
        <w:t>la</w:t>
      </w:r>
      <w:r>
        <w:rPr>
          <w:color w:val="145F82"/>
          <w:spacing w:val="-3"/>
        </w:rPr>
        <w:t> </w:t>
      </w:r>
      <w:r>
        <w:rPr>
          <w:color w:val="145F82"/>
        </w:rPr>
        <w:t>piraterie</w:t>
      </w:r>
      <w:r>
        <w:rPr>
          <w:color w:val="145F82"/>
          <w:spacing w:val="-3"/>
        </w:rPr>
        <w:t> </w:t>
      </w:r>
      <w:r>
        <w:rPr>
          <w:color w:val="145F82"/>
        </w:rPr>
        <w:t>maritime</w:t>
      </w:r>
      <w:r>
        <w:rPr>
          <w:color w:val="145F82"/>
          <w:spacing w:val="-3"/>
        </w:rPr>
        <w:t> </w:t>
      </w:r>
      <w:r>
        <w:rPr>
          <w:color w:val="145F82"/>
        </w:rPr>
        <w:t>:</w:t>
      </w:r>
      <w:r>
        <w:rPr>
          <w:color w:val="145F82"/>
          <w:spacing w:val="-3"/>
        </w:rPr>
        <w:t> </w:t>
      </w:r>
      <w:r>
        <w:rPr>
          <w:color w:val="145F82"/>
        </w:rPr>
        <w:t>une</w:t>
      </w:r>
      <w:r>
        <w:rPr>
          <w:color w:val="145F82"/>
          <w:spacing w:val="-3"/>
        </w:rPr>
        <w:t> </w:t>
      </w:r>
      <w:r>
        <w:rPr>
          <w:color w:val="145F82"/>
        </w:rPr>
        <w:t>notion</w:t>
      </w:r>
      <w:r>
        <w:rPr>
          <w:color w:val="145F82"/>
          <w:spacing w:val="-3"/>
        </w:rPr>
        <w:t> </w:t>
      </w:r>
      <w:r>
        <w:rPr>
          <w:color w:val="145F82"/>
        </w:rPr>
        <w:t>juridiquement</w:t>
      </w:r>
      <w:r>
        <w:rPr>
          <w:color w:val="145F82"/>
          <w:spacing w:val="-3"/>
        </w:rPr>
        <w:t> </w:t>
      </w:r>
      <w:r>
        <w:rPr>
          <w:color w:val="145F82"/>
        </w:rPr>
        <w:t>encadrée mais structurellement limitée</w:t>
      </w:r>
    </w:p>
    <w:p>
      <w:pPr>
        <w:pStyle w:val="BodyText"/>
        <w:spacing w:before="4"/>
        <w:rPr>
          <w:b/>
        </w:rPr>
      </w:pPr>
    </w:p>
    <w:p>
      <w:pPr>
        <w:pStyle w:val="BodyText"/>
        <w:ind w:left="141" w:right="145"/>
        <w:jc w:val="both"/>
      </w:pPr>
      <w:r>
        <w:rPr/>
        <w:t>L’analyse de la Convention des Nations Unies sur le droit de la mer (CNUDM) de 1982 révèle que la piraterie maritime est juridiquement définie à l’article 101, lequel constitue la référence centrale du droit international positif en la matière. Cette convention prévoit également les éléments constitutifs de la piraterie (définition de la piraterie et de navire pirate) ainsi que les obligations de coopération des États dans sa répression, tout en reconnaissant implicitement</w:t>
      </w:r>
      <w:r>
        <w:rPr>
          <w:spacing w:val="40"/>
        </w:rPr>
        <w:t> </w:t>
      </w:r>
      <w:r>
        <w:rPr/>
        <w:t>une forme de compétence universelle permettant à tout État d’appréhender et de poursuivre les auteurs d’actes de piraterie en haute mer</w:t>
      </w:r>
      <w:r>
        <w:rPr>
          <w:vertAlign w:val="superscript"/>
        </w:rPr>
        <w:t>20</w:t>
      </w:r>
      <w:r>
        <w:rPr>
          <w:vertAlign w:val="baseline"/>
        </w:rPr>
        <w:t>.</w:t>
      </w:r>
    </w:p>
    <w:p>
      <w:pPr>
        <w:pStyle w:val="BodyText"/>
        <w:spacing w:before="4"/>
      </w:pPr>
    </w:p>
    <w:p>
      <w:pPr>
        <w:pStyle w:val="BodyText"/>
        <w:ind w:left="141" w:right="140"/>
        <w:jc w:val="both"/>
      </w:pPr>
      <w:r>
        <w:rPr/>
        <w:t>Toutefois, cette définition juridique, bien qu’opérationnelle, demeure limitée et sujette à de nombreuses controverses doctrinales</w:t>
      </w:r>
      <w:r>
        <w:rPr>
          <w:vertAlign w:val="superscript"/>
        </w:rPr>
        <w:t>21</w:t>
      </w:r>
      <w:r>
        <w:rPr>
          <w:vertAlign w:val="baseline"/>
        </w:rPr>
        <w:t>. Deux principales catégories de limites peuvent être identifiées : les limites relatives à la définition </w:t>
      </w:r>
      <w:r>
        <w:rPr>
          <w:i/>
          <w:vertAlign w:val="baseline"/>
        </w:rPr>
        <w:t>spatiale </w:t>
      </w:r>
      <w:r>
        <w:rPr>
          <w:vertAlign w:val="baseline"/>
        </w:rPr>
        <w:t>et celles relatives à la définition </w:t>
      </w:r>
      <w:r>
        <w:rPr>
          <w:i/>
          <w:vertAlign w:val="baseline"/>
        </w:rPr>
        <w:t>matérielle </w:t>
      </w:r>
      <w:r>
        <w:rPr>
          <w:vertAlign w:val="baseline"/>
        </w:rPr>
        <w:t>de la piraterie</w:t>
      </w:r>
      <w:r>
        <w:rPr>
          <w:vertAlign w:val="superscript"/>
        </w:rPr>
        <w:t>22</w:t>
      </w:r>
      <w:r>
        <w:rPr>
          <w:vertAlign w:val="baseline"/>
        </w:rPr>
        <w:t>.</w:t>
      </w:r>
    </w:p>
    <w:p>
      <w:pPr>
        <w:pStyle w:val="BodyText"/>
        <w:spacing w:before="4"/>
      </w:pPr>
    </w:p>
    <w:p>
      <w:pPr>
        <w:pStyle w:val="Heading4"/>
        <w:numPr>
          <w:ilvl w:val="2"/>
          <w:numId w:val="1"/>
        </w:numPr>
        <w:tabs>
          <w:tab w:pos="561" w:val="left" w:leader="none"/>
        </w:tabs>
        <w:spacing w:line="240" w:lineRule="auto" w:before="0" w:after="0"/>
        <w:ind w:left="561" w:right="0" w:hanging="420"/>
        <w:jc w:val="left"/>
      </w:pPr>
      <w:r>
        <w:rPr>
          <w:color w:val="145F82"/>
        </w:rPr>
        <w:t>Les</w:t>
      </w:r>
      <w:r>
        <w:rPr>
          <w:color w:val="145F82"/>
          <w:spacing w:val="-3"/>
        </w:rPr>
        <w:t> </w:t>
      </w:r>
      <w:r>
        <w:rPr>
          <w:color w:val="145F82"/>
        </w:rPr>
        <w:t>limites</w:t>
      </w:r>
      <w:r>
        <w:rPr>
          <w:color w:val="145F82"/>
          <w:spacing w:val="-3"/>
        </w:rPr>
        <w:t> </w:t>
      </w:r>
      <w:r>
        <w:rPr>
          <w:color w:val="145F82"/>
        </w:rPr>
        <w:t>spatiales</w:t>
      </w:r>
      <w:r>
        <w:rPr>
          <w:color w:val="145F82"/>
          <w:spacing w:val="-2"/>
        </w:rPr>
        <w:t> </w:t>
      </w:r>
      <w:r>
        <w:rPr>
          <w:color w:val="145F82"/>
        </w:rPr>
        <w:t>de</w:t>
      </w:r>
      <w:r>
        <w:rPr>
          <w:color w:val="145F82"/>
          <w:spacing w:val="-3"/>
        </w:rPr>
        <w:t> </w:t>
      </w:r>
      <w:r>
        <w:rPr>
          <w:color w:val="145F82"/>
        </w:rPr>
        <w:t>la</w:t>
      </w:r>
      <w:r>
        <w:rPr>
          <w:color w:val="145F82"/>
          <w:spacing w:val="-2"/>
        </w:rPr>
        <w:t> définition</w:t>
      </w:r>
    </w:p>
    <w:p>
      <w:pPr>
        <w:pStyle w:val="BodyText"/>
        <w:spacing w:before="4"/>
        <w:rPr>
          <w:b/>
        </w:rPr>
      </w:pPr>
    </w:p>
    <w:p>
      <w:pPr>
        <w:pStyle w:val="BodyText"/>
        <w:ind w:left="141" w:right="141"/>
        <w:jc w:val="both"/>
      </w:pPr>
      <w:r>
        <w:rPr/>
        <w:t>Sur le plan spatial, la CNUDM restreint la piraterie aux seuls actes commis en haute mer, c’est-à-dire dans des espaces ne relevant de la juridiction d’aucun État</w:t>
      </w:r>
      <w:r>
        <w:rPr>
          <w:vertAlign w:val="superscript"/>
        </w:rPr>
        <w:t>23</w:t>
      </w:r>
      <w:r>
        <w:rPr>
          <w:vertAlign w:val="baseline"/>
        </w:rPr>
        <w:t>ou à la limite dans la zone économique exclusive, selon la doctrine</w:t>
      </w:r>
      <w:r>
        <w:rPr>
          <w:vertAlign w:val="superscript"/>
        </w:rPr>
        <w:t>24</w:t>
      </w:r>
      <w:r>
        <w:rPr>
          <w:vertAlign w:val="baseline"/>
        </w:rPr>
        <w:t>. En conséquence, les actes de violence commis dans la mer territoriale ou dans les eaux intérieures sont exclus de cette qualification juridique,</w:t>
      </w:r>
      <w:r>
        <w:rPr>
          <w:spacing w:val="40"/>
          <w:vertAlign w:val="baseline"/>
        </w:rPr>
        <w:t> </w:t>
      </w:r>
      <w:r>
        <w:rPr>
          <w:vertAlign w:val="baseline"/>
        </w:rPr>
        <w:t>même s’ils présentent des caractéristiques identiques à celles de la piraterie</w:t>
      </w:r>
      <w:r>
        <w:rPr>
          <w:vertAlign w:val="superscript"/>
        </w:rPr>
        <w:t>25</w:t>
      </w:r>
      <w:r>
        <w:rPr>
          <w:vertAlign w:val="baseline"/>
        </w:rPr>
        <w:t>.</w:t>
      </w:r>
    </w:p>
    <w:p>
      <w:pPr>
        <w:pStyle w:val="BodyText"/>
        <w:rPr>
          <w:sz w:val="20"/>
        </w:rPr>
      </w:pPr>
    </w:p>
    <w:p>
      <w:pPr>
        <w:pStyle w:val="BodyText"/>
        <w:spacing w:before="98"/>
        <w:rPr>
          <w:sz w:val="20"/>
        </w:rPr>
      </w:pPr>
      <w:r>
        <w:rPr>
          <w:sz w:val="20"/>
        </w:rPr>
        <mc:AlternateContent>
          <mc:Choice Requires="wps">
            <w:drawing>
              <wp:anchor distT="0" distB="0" distL="0" distR="0" allowOverlap="1" layoutInCell="1" locked="0" behindDoc="1" simplePos="0" relativeHeight="487590912">
                <wp:simplePos x="0" y="0"/>
                <wp:positionH relativeFrom="page">
                  <wp:posOffset>899794</wp:posOffset>
                </wp:positionH>
                <wp:positionV relativeFrom="paragraph">
                  <wp:posOffset>224047</wp:posOffset>
                </wp:positionV>
                <wp:extent cx="1800225" cy="127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1800225" cy="1270"/>
                        </a:xfrm>
                        <a:custGeom>
                          <a:avLst/>
                          <a:gdLst/>
                          <a:ahLst/>
                          <a:cxnLst/>
                          <a:rect l="l" t="t" r="r" b="b"/>
                          <a:pathLst>
                            <a:path w="1800225" h="0">
                              <a:moveTo>
                                <a:pt x="0" y="0"/>
                              </a:moveTo>
                              <a:lnTo>
                                <a:pt x="1799996" y="0"/>
                              </a:lnTo>
                            </a:path>
                          </a:pathLst>
                        </a:custGeom>
                        <a:ln w="776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7.641523pt;width:141.75pt;height:.1pt;mso-position-horizontal-relative:page;mso-position-vertical-relative:paragraph;z-index:-15725568;mso-wrap-distance-left:0;mso-wrap-distance-right:0" id="docshape7" coordorigin="1417,353" coordsize="2835,0" path="m1417,353l4252,353e" filled="false" stroked="true" strokeweight=".61109pt" strokecolor="#000000">
                <v:path arrowok="t"/>
                <v:stroke dashstyle="solid"/>
                <w10:wrap type="topAndBottom"/>
              </v:shape>
            </w:pict>
          </mc:Fallback>
        </mc:AlternateContent>
      </w:r>
    </w:p>
    <w:p>
      <w:pPr>
        <w:spacing w:before="144"/>
        <w:ind w:left="142" w:right="139" w:firstLine="0"/>
        <w:jc w:val="both"/>
        <w:rPr>
          <w:sz w:val="20"/>
        </w:rPr>
      </w:pPr>
      <w:r>
        <w:rPr>
          <w:sz w:val="20"/>
          <w:vertAlign w:val="superscript"/>
        </w:rPr>
        <w:t>20</w:t>
      </w:r>
      <w:hyperlink r:id="rId8">
        <w:r>
          <w:rPr>
            <w:sz w:val="20"/>
            <w:vertAlign w:val="baseline"/>
          </w:rPr>
          <w:t>Yann TEPHANY</w:t>
        </w:r>
      </w:hyperlink>
      <w:r>
        <w:rPr>
          <w:sz w:val="20"/>
          <w:vertAlign w:val="baseline"/>
        </w:rPr>
        <w:t>, La CNUDM et la lutte contre les activités illicites en mer, DICE Editions, n°</w:t>
      </w:r>
      <w:r>
        <w:rPr>
          <w:sz w:val="20"/>
          <w:vertAlign w:val="superscript"/>
        </w:rPr>
        <w:t>s</w:t>
      </w:r>
      <w:r>
        <w:rPr>
          <w:sz w:val="20"/>
          <w:vertAlign w:val="baseline"/>
        </w:rPr>
        <w:t>11-12. En ligne </w:t>
      </w:r>
      <w:hyperlink r:id="rId9">
        <w:r>
          <w:rPr>
            <w:color w:val="0000FF"/>
            <w:spacing w:val="-2"/>
            <w:sz w:val="20"/>
            <w:u w:val="single" w:color="0000FF"/>
            <w:vertAlign w:val="baseline"/>
          </w:rPr>
          <w:t>https://books.openedition.org/dice/17057?lang=fr</w:t>
        </w:r>
      </w:hyperlink>
      <w:r>
        <w:rPr>
          <w:spacing w:val="-2"/>
          <w:sz w:val="20"/>
          <w:vertAlign w:val="baseline"/>
        </w:rPr>
        <w:t>.</w:t>
      </w:r>
    </w:p>
    <w:p>
      <w:pPr>
        <w:spacing w:before="0"/>
        <w:ind w:left="141" w:right="139" w:firstLine="0"/>
        <w:jc w:val="both"/>
        <w:rPr>
          <w:sz w:val="20"/>
        </w:rPr>
      </w:pPr>
      <w:r>
        <w:rPr>
          <w:sz w:val="20"/>
          <w:vertAlign w:val="superscript"/>
        </w:rPr>
        <w:t>21</w:t>
      </w:r>
      <w:r>
        <w:rPr>
          <w:color w:val="252525"/>
          <w:sz w:val="20"/>
          <w:vertAlign w:val="baseline"/>
        </w:rPr>
        <w:t>A.</w:t>
      </w:r>
      <w:r>
        <w:rPr>
          <w:color w:val="252525"/>
          <w:spacing w:val="-11"/>
          <w:sz w:val="20"/>
          <w:vertAlign w:val="baseline"/>
        </w:rPr>
        <w:t> </w:t>
      </w:r>
      <w:r>
        <w:rPr>
          <w:color w:val="252525"/>
          <w:sz w:val="20"/>
          <w:vertAlign w:val="baseline"/>
        </w:rPr>
        <w:t>R</w:t>
      </w:r>
      <w:r>
        <w:rPr>
          <w:color w:val="252525"/>
          <w:sz w:val="16"/>
          <w:vertAlign w:val="baseline"/>
        </w:rPr>
        <w:t>UBIN</w:t>
      </w:r>
      <w:r>
        <w:rPr>
          <w:color w:val="252525"/>
          <w:sz w:val="20"/>
          <w:vertAlign w:val="baseline"/>
        </w:rPr>
        <w:t>,</w:t>
      </w:r>
      <w:r>
        <w:rPr>
          <w:color w:val="252525"/>
          <w:spacing w:val="-1"/>
          <w:sz w:val="20"/>
          <w:vertAlign w:val="baseline"/>
        </w:rPr>
        <w:t> </w:t>
      </w:r>
      <w:r>
        <w:rPr>
          <w:i/>
          <w:color w:val="252525"/>
          <w:sz w:val="20"/>
          <w:vertAlign w:val="baseline"/>
        </w:rPr>
        <w:t>The</w:t>
      </w:r>
      <w:r>
        <w:rPr>
          <w:i/>
          <w:color w:val="252525"/>
          <w:spacing w:val="-1"/>
          <w:sz w:val="20"/>
          <w:vertAlign w:val="baseline"/>
        </w:rPr>
        <w:t> </w:t>
      </w:r>
      <w:r>
        <w:rPr>
          <w:i/>
          <w:color w:val="252525"/>
          <w:sz w:val="20"/>
          <w:vertAlign w:val="baseline"/>
        </w:rPr>
        <w:t>Law</w:t>
      </w:r>
      <w:r>
        <w:rPr>
          <w:i/>
          <w:color w:val="252525"/>
          <w:spacing w:val="-1"/>
          <w:sz w:val="20"/>
          <w:vertAlign w:val="baseline"/>
        </w:rPr>
        <w:t> </w:t>
      </w:r>
      <w:r>
        <w:rPr>
          <w:i/>
          <w:color w:val="252525"/>
          <w:sz w:val="20"/>
          <w:vertAlign w:val="baseline"/>
        </w:rPr>
        <w:t>of</w:t>
      </w:r>
      <w:r>
        <w:rPr>
          <w:i/>
          <w:color w:val="252525"/>
          <w:spacing w:val="-1"/>
          <w:sz w:val="20"/>
          <w:vertAlign w:val="baseline"/>
        </w:rPr>
        <w:t> </w:t>
      </w:r>
      <w:r>
        <w:rPr>
          <w:i/>
          <w:color w:val="252525"/>
          <w:sz w:val="20"/>
          <w:vertAlign w:val="baseline"/>
        </w:rPr>
        <w:t>piracy</w:t>
      </w:r>
      <w:r>
        <w:rPr>
          <w:color w:val="252525"/>
          <w:sz w:val="20"/>
          <w:vertAlign w:val="baseline"/>
        </w:rPr>
        <w:t>,</w:t>
      </w:r>
      <w:r>
        <w:rPr>
          <w:color w:val="252525"/>
          <w:spacing w:val="-1"/>
          <w:sz w:val="20"/>
          <w:vertAlign w:val="baseline"/>
        </w:rPr>
        <w:t> </w:t>
      </w:r>
      <w:r>
        <w:rPr>
          <w:color w:val="252525"/>
          <w:sz w:val="20"/>
          <w:vertAlign w:val="baseline"/>
        </w:rPr>
        <w:t>2</w:t>
      </w:r>
      <w:r>
        <w:rPr>
          <w:color w:val="252525"/>
          <w:sz w:val="20"/>
          <w:vertAlign w:val="superscript"/>
        </w:rPr>
        <w:t>e</w:t>
      </w:r>
      <w:r>
        <w:rPr>
          <w:color w:val="252525"/>
          <w:spacing w:val="-1"/>
          <w:sz w:val="20"/>
          <w:vertAlign w:val="baseline"/>
        </w:rPr>
        <w:t> </w:t>
      </w:r>
      <w:r>
        <w:rPr>
          <w:color w:val="252525"/>
          <w:sz w:val="20"/>
          <w:vertAlign w:val="baseline"/>
        </w:rPr>
        <w:t>éd.,</w:t>
      </w:r>
      <w:r>
        <w:rPr>
          <w:color w:val="252525"/>
          <w:spacing w:val="-1"/>
          <w:sz w:val="20"/>
          <w:vertAlign w:val="baseline"/>
        </w:rPr>
        <w:t> </w:t>
      </w:r>
      <w:r>
        <w:rPr>
          <w:color w:val="252525"/>
          <w:sz w:val="20"/>
          <w:vertAlign w:val="baseline"/>
        </w:rPr>
        <w:t>US</w:t>
      </w:r>
      <w:r>
        <w:rPr>
          <w:color w:val="252525"/>
          <w:spacing w:val="-1"/>
          <w:sz w:val="20"/>
          <w:vertAlign w:val="baseline"/>
        </w:rPr>
        <w:t> </w:t>
      </w:r>
      <w:r>
        <w:rPr>
          <w:color w:val="252525"/>
          <w:sz w:val="20"/>
          <w:vertAlign w:val="baseline"/>
        </w:rPr>
        <w:t>naval</w:t>
      </w:r>
      <w:r>
        <w:rPr>
          <w:color w:val="252525"/>
          <w:spacing w:val="-1"/>
          <w:sz w:val="20"/>
          <w:vertAlign w:val="baseline"/>
        </w:rPr>
        <w:t> </w:t>
      </w:r>
      <w:r>
        <w:rPr>
          <w:color w:val="252525"/>
          <w:sz w:val="20"/>
          <w:vertAlign w:val="baseline"/>
        </w:rPr>
        <w:t>War</w:t>
      </w:r>
      <w:r>
        <w:rPr>
          <w:color w:val="252525"/>
          <w:spacing w:val="-1"/>
          <w:sz w:val="20"/>
          <w:vertAlign w:val="baseline"/>
        </w:rPr>
        <w:t> </w:t>
      </w:r>
      <w:r>
        <w:rPr>
          <w:color w:val="252525"/>
          <w:sz w:val="20"/>
          <w:vertAlign w:val="baseline"/>
        </w:rPr>
        <w:t>College</w:t>
      </w:r>
      <w:r>
        <w:rPr>
          <w:color w:val="252525"/>
          <w:spacing w:val="-1"/>
          <w:sz w:val="20"/>
          <w:vertAlign w:val="baseline"/>
        </w:rPr>
        <w:t> </w:t>
      </w:r>
      <w:r>
        <w:rPr>
          <w:color w:val="252525"/>
          <w:sz w:val="20"/>
          <w:vertAlign w:val="baseline"/>
        </w:rPr>
        <w:t>Press,</w:t>
      </w:r>
      <w:r>
        <w:rPr>
          <w:color w:val="252525"/>
          <w:spacing w:val="-1"/>
          <w:sz w:val="20"/>
          <w:vertAlign w:val="baseline"/>
        </w:rPr>
        <w:t> </w:t>
      </w:r>
      <w:r>
        <w:rPr>
          <w:color w:val="252525"/>
          <w:sz w:val="20"/>
          <w:vertAlign w:val="baseline"/>
        </w:rPr>
        <w:t>1988,</w:t>
      </w:r>
      <w:r>
        <w:rPr>
          <w:color w:val="252525"/>
          <w:spacing w:val="-1"/>
          <w:sz w:val="20"/>
          <w:vertAlign w:val="baseline"/>
        </w:rPr>
        <w:t> </w:t>
      </w:r>
      <w:r>
        <w:rPr>
          <w:color w:val="252525"/>
          <w:sz w:val="20"/>
          <w:vertAlign w:val="baseline"/>
        </w:rPr>
        <w:t>p.</w:t>
      </w:r>
      <w:r>
        <w:rPr>
          <w:color w:val="252525"/>
          <w:spacing w:val="-1"/>
          <w:sz w:val="20"/>
          <w:vertAlign w:val="baseline"/>
        </w:rPr>
        <w:t> </w:t>
      </w:r>
      <w:r>
        <w:rPr>
          <w:color w:val="252525"/>
          <w:sz w:val="20"/>
          <w:vertAlign w:val="baseline"/>
        </w:rPr>
        <w:t>373</w:t>
      </w:r>
      <w:r>
        <w:rPr>
          <w:color w:val="252525"/>
          <w:spacing w:val="-1"/>
          <w:sz w:val="20"/>
          <w:vertAlign w:val="baseline"/>
        </w:rPr>
        <w:t> </w:t>
      </w:r>
      <w:r>
        <w:rPr>
          <w:color w:val="252525"/>
          <w:sz w:val="20"/>
          <w:vertAlign w:val="baseline"/>
        </w:rPr>
        <w:t>qui</w:t>
      </w:r>
      <w:r>
        <w:rPr>
          <w:color w:val="252525"/>
          <w:spacing w:val="-1"/>
          <w:sz w:val="20"/>
          <w:vertAlign w:val="baseline"/>
        </w:rPr>
        <w:t> </w:t>
      </w:r>
      <w:r>
        <w:rPr>
          <w:color w:val="252525"/>
          <w:sz w:val="20"/>
          <w:vertAlign w:val="baseline"/>
        </w:rPr>
        <w:t>considère</w:t>
      </w:r>
      <w:r>
        <w:rPr>
          <w:color w:val="252525"/>
          <w:spacing w:val="-1"/>
          <w:sz w:val="20"/>
          <w:vertAlign w:val="baseline"/>
        </w:rPr>
        <w:t> </w:t>
      </w:r>
      <w:r>
        <w:rPr>
          <w:color w:val="252525"/>
          <w:sz w:val="20"/>
          <w:vertAlign w:val="baseline"/>
        </w:rPr>
        <w:t>que</w:t>
      </w:r>
      <w:r>
        <w:rPr>
          <w:color w:val="252525"/>
          <w:spacing w:val="-1"/>
          <w:sz w:val="20"/>
          <w:vertAlign w:val="baseline"/>
        </w:rPr>
        <w:t> </w:t>
      </w:r>
      <w:r>
        <w:rPr>
          <w:color w:val="252525"/>
          <w:sz w:val="20"/>
          <w:vertAlign w:val="baseline"/>
        </w:rPr>
        <w:t>cette</w:t>
      </w:r>
      <w:r>
        <w:rPr>
          <w:color w:val="252525"/>
          <w:spacing w:val="-1"/>
          <w:sz w:val="20"/>
          <w:vertAlign w:val="baseline"/>
        </w:rPr>
        <w:t> </w:t>
      </w:r>
      <w:r>
        <w:rPr>
          <w:color w:val="252525"/>
          <w:sz w:val="20"/>
          <w:vertAlign w:val="baseline"/>
        </w:rPr>
        <w:t>définition est « incompréhensible » (« </w:t>
      </w:r>
      <w:r>
        <w:rPr>
          <w:i/>
          <w:color w:val="252525"/>
          <w:sz w:val="20"/>
          <w:vertAlign w:val="baseline"/>
        </w:rPr>
        <w:t>incomprehensible and therefore codify nothing </w:t>
      </w:r>
      <w:r>
        <w:rPr>
          <w:color w:val="252525"/>
          <w:sz w:val="20"/>
          <w:vertAlign w:val="baseline"/>
        </w:rPr>
        <w:t>»); D. P. O’C</w:t>
      </w:r>
      <w:r>
        <w:rPr>
          <w:color w:val="252525"/>
          <w:sz w:val="16"/>
          <w:vertAlign w:val="baseline"/>
        </w:rPr>
        <w:t>ONNELL</w:t>
      </w:r>
      <w:r>
        <w:rPr>
          <w:color w:val="252525"/>
          <w:sz w:val="20"/>
          <w:vertAlign w:val="baseline"/>
        </w:rPr>
        <w:t>, </w:t>
      </w:r>
      <w:r>
        <w:rPr>
          <w:i/>
          <w:color w:val="252525"/>
          <w:sz w:val="20"/>
          <w:vertAlign w:val="baseline"/>
        </w:rPr>
        <w:t>The international law of the sea</w:t>
      </w:r>
      <w:r>
        <w:rPr>
          <w:color w:val="252525"/>
          <w:sz w:val="20"/>
          <w:vertAlign w:val="baseline"/>
        </w:rPr>
        <w:t>, Clarendon Press, 1984, p. 966 qui précise que la piraterie demeure un concept juridique difficile à saisir (« </w:t>
      </w:r>
      <w:r>
        <w:rPr>
          <w:i/>
          <w:color w:val="252525"/>
          <w:sz w:val="20"/>
          <w:vertAlign w:val="baseline"/>
        </w:rPr>
        <w:t>piracy remains a difficult legal concept </w:t>
      </w:r>
      <w:r>
        <w:rPr>
          <w:color w:val="252525"/>
          <w:sz w:val="20"/>
          <w:vertAlign w:val="baseline"/>
        </w:rPr>
        <w:t>»); R.</w:t>
      </w:r>
      <w:r>
        <w:rPr>
          <w:color w:val="252525"/>
          <w:spacing w:val="-8"/>
          <w:sz w:val="20"/>
          <w:vertAlign w:val="baseline"/>
        </w:rPr>
        <w:t> </w:t>
      </w:r>
      <w:r>
        <w:rPr>
          <w:color w:val="252525"/>
          <w:sz w:val="20"/>
          <w:vertAlign w:val="baseline"/>
        </w:rPr>
        <w:t>C</w:t>
      </w:r>
      <w:r>
        <w:rPr>
          <w:color w:val="252525"/>
          <w:sz w:val="16"/>
          <w:vertAlign w:val="baseline"/>
        </w:rPr>
        <w:t>HURCHILL</w:t>
      </w:r>
      <w:r>
        <w:rPr>
          <w:color w:val="252525"/>
          <w:sz w:val="20"/>
          <w:vertAlign w:val="baseline"/>
        </w:rPr>
        <w:t>, « The piracy provisions of the UN Convention on the law of the sea — fit for purpose? », in P. Koutrakos, A. Skordas, </w:t>
      </w:r>
      <w:r>
        <w:rPr>
          <w:i/>
          <w:color w:val="252525"/>
          <w:sz w:val="20"/>
          <w:vertAlign w:val="baseline"/>
        </w:rPr>
        <w:t>The law and practice of piracy at sea. European and international perspectives</w:t>
      </w:r>
      <w:r>
        <w:rPr>
          <w:color w:val="252525"/>
          <w:sz w:val="20"/>
          <w:vertAlign w:val="baseline"/>
        </w:rPr>
        <w:t>, Hart Publishing, 2010, p. 9-32, tous cités par </w:t>
      </w:r>
      <w:hyperlink r:id="rId8">
        <w:r>
          <w:rPr>
            <w:sz w:val="20"/>
            <w:vertAlign w:val="baseline"/>
          </w:rPr>
          <w:t>Yann</w:t>
        </w:r>
      </w:hyperlink>
      <w:r>
        <w:rPr>
          <w:sz w:val="20"/>
          <w:vertAlign w:val="baseline"/>
        </w:rPr>
        <w:t> </w:t>
      </w:r>
      <w:hyperlink r:id="rId8">
        <w:r>
          <w:rPr>
            <w:sz w:val="20"/>
            <w:vertAlign w:val="baseline"/>
          </w:rPr>
          <w:t>TEPHANY</w:t>
        </w:r>
      </w:hyperlink>
      <w:r>
        <w:rPr>
          <w:sz w:val="20"/>
          <w:vertAlign w:val="baseline"/>
        </w:rPr>
        <w:t>, La CNUDM et la lutte contre les activités illicites en mer, op.cit., n°12, préc.</w:t>
      </w:r>
    </w:p>
    <w:p>
      <w:pPr>
        <w:spacing w:before="0"/>
        <w:ind w:left="141" w:right="0" w:firstLine="0"/>
        <w:jc w:val="both"/>
        <w:rPr>
          <w:sz w:val="20"/>
        </w:rPr>
      </w:pPr>
      <w:r>
        <w:rPr>
          <w:sz w:val="20"/>
          <w:vertAlign w:val="superscript"/>
        </w:rPr>
        <w:t>22</w:t>
      </w:r>
      <w:hyperlink r:id="rId8">
        <w:r>
          <w:rPr>
            <w:sz w:val="20"/>
            <w:vertAlign w:val="baseline"/>
          </w:rPr>
          <w:t>Yann</w:t>
        </w:r>
        <w:r>
          <w:rPr>
            <w:spacing w:val="-3"/>
            <w:sz w:val="20"/>
            <w:vertAlign w:val="baseline"/>
          </w:rPr>
          <w:t> </w:t>
        </w:r>
        <w:r>
          <w:rPr>
            <w:sz w:val="20"/>
            <w:vertAlign w:val="baseline"/>
          </w:rPr>
          <w:t>TEPHANY</w:t>
        </w:r>
      </w:hyperlink>
      <w:r>
        <w:rPr>
          <w:sz w:val="20"/>
          <w:vertAlign w:val="baseline"/>
        </w:rPr>
        <w:t>,</w:t>
      </w:r>
      <w:r>
        <w:rPr>
          <w:spacing w:val="-2"/>
          <w:sz w:val="20"/>
          <w:vertAlign w:val="baseline"/>
        </w:rPr>
        <w:t> </w:t>
      </w:r>
      <w:r>
        <w:rPr>
          <w:sz w:val="20"/>
          <w:vertAlign w:val="baseline"/>
        </w:rPr>
        <w:t>La</w:t>
      </w:r>
      <w:r>
        <w:rPr>
          <w:spacing w:val="-3"/>
          <w:sz w:val="20"/>
          <w:vertAlign w:val="baseline"/>
        </w:rPr>
        <w:t> </w:t>
      </w:r>
      <w:r>
        <w:rPr>
          <w:sz w:val="20"/>
          <w:vertAlign w:val="baseline"/>
        </w:rPr>
        <w:t>CNUDM</w:t>
      </w:r>
      <w:r>
        <w:rPr>
          <w:spacing w:val="-2"/>
          <w:sz w:val="20"/>
          <w:vertAlign w:val="baseline"/>
        </w:rPr>
        <w:t> </w:t>
      </w:r>
      <w:r>
        <w:rPr>
          <w:sz w:val="20"/>
          <w:vertAlign w:val="baseline"/>
        </w:rPr>
        <w:t>et</w:t>
      </w:r>
      <w:r>
        <w:rPr>
          <w:spacing w:val="-3"/>
          <w:sz w:val="20"/>
          <w:vertAlign w:val="baseline"/>
        </w:rPr>
        <w:t> </w:t>
      </w:r>
      <w:r>
        <w:rPr>
          <w:sz w:val="20"/>
          <w:vertAlign w:val="baseline"/>
        </w:rPr>
        <w:t>la</w:t>
      </w:r>
      <w:r>
        <w:rPr>
          <w:spacing w:val="-2"/>
          <w:sz w:val="20"/>
          <w:vertAlign w:val="baseline"/>
        </w:rPr>
        <w:t> </w:t>
      </w:r>
      <w:r>
        <w:rPr>
          <w:sz w:val="20"/>
          <w:vertAlign w:val="baseline"/>
        </w:rPr>
        <w:t>lutte</w:t>
      </w:r>
      <w:r>
        <w:rPr>
          <w:spacing w:val="-2"/>
          <w:sz w:val="20"/>
          <w:vertAlign w:val="baseline"/>
        </w:rPr>
        <w:t> </w:t>
      </w:r>
      <w:r>
        <w:rPr>
          <w:sz w:val="20"/>
          <w:vertAlign w:val="baseline"/>
        </w:rPr>
        <w:t>contre</w:t>
      </w:r>
      <w:r>
        <w:rPr>
          <w:spacing w:val="-3"/>
          <w:sz w:val="20"/>
          <w:vertAlign w:val="baseline"/>
        </w:rPr>
        <w:t> </w:t>
      </w:r>
      <w:r>
        <w:rPr>
          <w:sz w:val="20"/>
          <w:vertAlign w:val="baseline"/>
        </w:rPr>
        <w:t>les</w:t>
      </w:r>
      <w:r>
        <w:rPr>
          <w:spacing w:val="-2"/>
          <w:sz w:val="20"/>
          <w:vertAlign w:val="baseline"/>
        </w:rPr>
        <w:t> </w:t>
      </w:r>
      <w:r>
        <w:rPr>
          <w:sz w:val="20"/>
          <w:vertAlign w:val="baseline"/>
        </w:rPr>
        <w:t>activités</w:t>
      </w:r>
      <w:r>
        <w:rPr>
          <w:spacing w:val="-3"/>
          <w:sz w:val="20"/>
          <w:vertAlign w:val="baseline"/>
        </w:rPr>
        <w:t> </w:t>
      </w:r>
      <w:r>
        <w:rPr>
          <w:sz w:val="20"/>
          <w:vertAlign w:val="baseline"/>
        </w:rPr>
        <w:t>illicites</w:t>
      </w:r>
      <w:r>
        <w:rPr>
          <w:spacing w:val="-2"/>
          <w:sz w:val="20"/>
          <w:vertAlign w:val="baseline"/>
        </w:rPr>
        <w:t> </w:t>
      </w:r>
      <w:r>
        <w:rPr>
          <w:sz w:val="20"/>
          <w:vertAlign w:val="baseline"/>
        </w:rPr>
        <w:t>en</w:t>
      </w:r>
      <w:r>
        <w:rPr>
          <w:spacing w:val="-3"/>
          <w:sz w:val="20"/>
          <w:vertAlign w:val="baseline"/>
        </w:rPr>
        <w:t> </w:t>
      </w:r>
      <w:r>
        <w:rPr>
          <w:sz w:val="20"/>
          <w:vertAlign w:val="baseline"/>
        </w:rPr>
        <w:t>mer,</w:t>
      </w:r>
      <w:r>
        <w:rPr>
          <w:spacing w:val="-2"/>
          <w:sz w:val="20"/>
          <w:vertAlign w:val="baseline"/>
        </w:rPr>
        <w:t> </w:t>
      </w:r>
      <w:r>
        <w:rPr>
          <w:sz w:val="20"/>
          <w:vertAlign w:val="baseline"/>
        </w:rPr>
        <w:t>op.cit.,</w:t>
      </w:r>
      <w:r>
        <w:rPr>
          <w:spacing w:val="-2"/>
          <w:sz w:val="20"/>
          <w:vertAlign w:val="baseline"/>
        </w:rPr>
        <w:t> n°13.</w:t>
      </w:r>
    </w:p>
    <w:p>
      <w:pPr>
        <w:spacing w:before="0"/>
        <w:ind w:left="141" w:right="0" w:firstLine="0"/>
        <w:jc w:val="both"/>
        <w:rPr>
          <w:sz w:val="20"/>
        </w:rPr>
      </w:pPr>
      <w:r>
        <w:rPr>
          <w:sz w:val="20"/>
          <w:vertAlign w:val="superscript"/>
        </w:rPr>
        <w:t>23</w:t>
      </w:r>
      <w:r>
        <w:rPr>
          <w:sz w:val="20"/>
          <w:vertAlign w:val="baseline"/>
        </w:rPr>
        <w:t>Ibid., </w:t>
      </w:r>
      <w:r>
        <w:rPr>
          <w:spacing w:val="-2"/>
          <w:sz w:val="20"/>
          <w:vertAlign w:val="baseline"/>
        </w:rPr>
        <w:t>n°14.</w:t>
      </w:r>
    </w:p>
    <w:p>
      <w:pPr>
        <w:spacing w:before="0"/>
        <w:ind w:left="141" w:right="139" w:firstLine="0"/>
        <w:jc w:val="both"/>
        <w:rPr>
          <w:sz w:val="20"/>
        </w:rPr>
      </w:pPr>
      <w:r>
        <w:rPr>
          <w:sz w:val="20"/>
          <w:vertAlign w:val="superscript"/>
        </w:rPr>
        <w:t>24</w:t>
      </w:r>
      <w:r>
        <w:rPr>
          <w:sz w:val="20"/>
          <w:vertAlign w:val="baseline"/>
        </w:rPr>
        <w:t>Ibid. : « L’article 58 de cette même Convention précise néanmoins que les articles 88 à 115, incluant donc les dispositions spécifiques à la piraterie, sont applicables à la zone économique exclusive « dans la mesure où ils ne sont pas incompatibles avec la présente partie » ; adde, H.</w:t>
      </w:r>
      <w:r>
        <w:rPr>
          <w:spacing w:val="-8"/>
          <w:sz w:val="20"/>
          <w:vertAlign w:val="baseline"/>
        </w:rPr>
        <w:t> </w:t>
      </w:r>
      <w:r>
        <w:rPr>
          <w:sz w:val="20"/>
          <w:vertAlign w:val="baseline"/>
        </w:rPr>
        <w:t>T</w:t>
      </w:r>
      <w:r>
        <w:rPr>
          <w:sz w:val="16"/>
          <w:vertAlign w:val="baseline"/>
        </w:rPr>
        <w:t>UERK</w:t>
      </w:r>
      <w:r>
        <w:rPr>
          <w:sz w:val="20"/>
          <w:vertAlign w:val="baseline"/>
        </w:rPr>
        <w:t>, </w:t>
      </w:r>
      <w:r>
        <w:rPr>
          <w:i/>
          <w:sz w:val="20"/>
          <w:vertAlign w:val="baseline"/>
        </w:rPr>
        <w:t>Reflections on the contemporary law of the sea</w:t>
      </w:r>
      <w:r>
        <w:rPr>
          <w:sz w:val="20"/>
          <w:vertAlign w:val="baseline"/>
        </w:rPr>
        <w:t>, ed. Martinus Nijhoff Publishers, 2012, p. 77-78, cité par </w:t>
      </w:r>
      <w:hyperlink r:id="rId8">
        <w:r>
          <w:rPr>
            <w:sz w:val="20"/>
            <w:vertAlign w:val="baseline"/>
          </w:rPr>
          <w:t>Yann TEPHANY</w:t>
        </w:r>
      </w:hyperlink>
      <w:r>
        <w:rPr>
          <w:sz w:val="20"/>
          <w:vertAlign w:val="baseline"/>
        </w:rPr>
        <w:t>, La CNUDM et la lutte contre les activités illicites en mer, op.cit., n°14 ; adde, A. P</w:t>
      </w:r>
      <w:r>
        <w:rPr>
          <w:sz w:val="16"/>
          <w:vertAlign w:val="baseline"/>
        </w:rPr>
        <w:t>ROELSS</w:t>
      </w:r>
      <w:r>
        <w:rPr>
          <w:sz w:val="20"/>
          <w:vertAlign w:val="baseline"/>
        </w:rPr>
        <w:t>, T. H</w:t>
      </w:r>
      <w:r>
        <w:rPr>
          <w:sz w:val="16"/>
          <w:vertAlign w:val="baseline"/>
        </w:rPr>
        <w:t>OFMANN</w:t>
      </w:r>
      <w:r>
        <w:rPr>
          <w:sz w:val="20"/>
          <w:vertAlign w:val="baseline"/>
        </w:rPr>
        <w:t>, « Law of the Sea and transnational organised crime », p. 435-436, ibid. : « Compte tenu de l’absence de contradiction manifeste entre les dispositions de la CNUDM relatives à la piraterie et celles relatives à la ZEE, </w:t>
      </w:r>
      <w:r>
        <w:rPr>
          <w:sz w:val="20"/>
          <w:u w:val="single"/>
          <w:vertAlign w:val="baseline"/>
        </w:rPr>
        <w:t>il faut considérer que les agissements violents</w:t>
      </w:r>
      <w:r>
        <w:rPr>
          <w:sz w:val="20"/>
          <w:vertAlign w:val="baseline"/>
        </w:rPr>
        <w:t> </w:t>
      </w:r>
      <w:r>
        <w:rPr>
          <w:sz w:val="20"/>
          <w:u w:val="single"/>
          <w:vertAlign w:val="baseline"/>
        </w:rPr>
        <w:t>commis en zone économique exclusive peuvent recevoir la qualification de piraterie</w:t>
      </w:r>
      <w:r>
        <w:rPr>
          <w:sz w:val="20"/>
          <w:vertAlign w:val="baseline"/>
        </w:rPr>
        <w:t> ».</w:t>
      </w:r>
    </w:p>
    <w:p>
      <w:pPr>
        <w:spacing w:before="0"/>
        <w:ind w:left="141" w:right="0" w:firstLine="0"/>
        <w:jc w:val="both"/>
        <w:rPr>
          <w:sz w:val="20"/>
        </w:rPr>
      </w:pPr>
      <w:r>
        <w:rPr>
          <w:sz w:val="20"/>
          <w:vertAlign w:val="superscript"/>
        </w:rPr>
        <w:t>25</w:t>
      </w:r>
      <w:hyperlink r:id="rId8">
        <w:r>
          <w:rPr>
            <w:sz w:val="20"/>
            <w:vertAlign w:val="baseline"/>
          </w:rPr>
          <w:t>Yann</w:t>
        </w:r>
        <w:r>
          <w:rPr>
            <w:spacing w:val="-3"/>
            <w:sz w:val="20"/>
            <w:vertAlign w:val="baseline"/>
          </w:rPr>
          <w:t> </w:t>
        </w:r>
        <w:r>
          <w:rPr>
            <w:sz w:val="20"/>
            <w:vertAlign w:val="baseline"/>
          </w:rPr>
          <w:t>TEPHANY</w:t>
        </w:r>
      </w:hyperlink>
      <w:r>
        <w:rPr>
          <w:sz w:val="20"/>
          <w:vertAlign w:val="baseline"/>
        </w:rPr>
        <w:t>,</w:t>
      </w:r>
      <w:r>
        <w:rPr>
          <w:spacing w:val="-2"/>
          <w:sz w:val="20"/>
          <w:vertAlign w:val="baseline"/>
        </w:rPr>
        <w:t> </w:t>
      </w:r>
      <w:r>
        <w:rPr>
          <w:sz w:val="20"/>
          <w:vertAlign w:val="baseline"/>
        </w:rPr>
        <w:t>La</w:t>
      </w:r>
      <w:r>
        <w:rPr>
          <w:spacing w:val="-2"/>
          <w:sz w:val="20"/>
          <w:vertAlign w:val="baseline"/>
        </w:rPr>
        <w:t> </w:t>
      </w:r>
      <w:r>
        <w:rPr>
          <w:sz w:val="20"/>
          <w:vertAlign w:val="baseline"/>
        </w:rPr>
        <w:t>CNUDM</w:t>
      </w:r>
      <w:r>
        <w:rPr>
          <w:spacing w:val="-3"/>
          <w:sz w:val="20"/>
          <w:vertAlign w:val="baseline"/>
        </w:rPr>
        <w:t> </w:t>
      </w:r>
      <w:r>
        <w:rPr>
          <w:sz w:val="20"/>
          <w:vertAlign w:val="baseline"/>
        </w:rPr>
        <w:t>et</w:t>
      </w:r>
      <w:r>
        <w:rPr>
          <w:spacing w:val="-2"/>
          <w:sz w:val="20"/>
          <w:vertAlign w:val="baseline"/>
        </w:rPr>
        <w:t> </w:t>
      </w:r>
      <w:r>
        <w:rPr>
          <w:sz w:val="20"/>
          <w:vertAlign w:val="baseline"/>
        </w:rPr>
        <w:t>la</w:t>
      </w:r>
      <w:r>
        <w:rPr>
          <w:spacing w:val="-2"/>
          <w:sz w:val="20"/>
          <w:vertAlign w:val="baseline"/>
        </w:rPr>
        <w:t> </w:t>
      </w:r>
      <w:r>
        <w:rPr>
          <w:sz w:val="20"/>
          <w:vertAlign w:val="baseline"/>
        </w:rPr>
        <w:t>lutte</w:t>
      </w:r>
      <w:r>
        <w:rPr>
          <w:spacing w:val="-2"/>
          <w:sz w:val="20"/>
          <w:vertAlign w:val="baseline"/>
        </w:rPr>
        <w:t> </w:t>
      </w:r>
      <w:r>
        <w:rPr>
          <w:sz w:val="20"/>
          <w:vertAlign w:val="baseline"/>
        </w:rPr>
        <w:t>contre</w:t>
      </w:r>
      <w:r>
        <w:rPr>
          <w:spacing w:val="-3"/>
          <w:sz w:val="20"/>
          <w:vertAlign w:val="baseline"/>
        </w:rPr>
        <w:t> </w:t>
      </w:r>
      <w:r>
        <w:rPr>
          <w:sz w:val="20"/>
          <w:vertAlign w:val="baseline"/>
        </w:rPr>
        <w:t>les</w:t>
      </w:r>
      <w:r>
        <w:rPr>
          <w:spacing w:val="-2"/>
          <w:sz w:val="20"/>
          <w:vertAlign w:val="baseline"/>
        </w:rPr>
        <w:t> </w:t>
      </w:r>
      <w:r>
        <w:rPr>
          <w:sz w:val="20"/>
          <w:vertAlign w:val="baseline"/>
        </w:rPr>
        <w:t>activités</w:t>
      </w:r>
      <w:r>
        <w:rPr>
          <w:spacing w:val="-2"/>
          <w:sz w:val="20"/>
          <w:vertAlign w:val="baseline"/>
        </w:rPr>
        <w:t> </w:t>
      </w:r>
      <w:r>
        <w:rPr>
          <w:sz w:val="20"/>
          <w:vertAlign w:val="baseline"/>
        </w:rPr>
        <w:t>illicites</w:t>
      </w:r>
      <w:r>
        <w:rPr>
          <w:spacing w:val="-2"/>
          <w:sz w:val="20"/>
          <w:vertAlign w:val="baseline"/>
        </w:rPr>
        <w:t> </w:t>
      </w:r>
      <w:r>
        <w:rPr>
          <w:sz w:val="20"/>
          <w:vertAlign w:val="baseline"/>
        </w:rPr>
        <w:t>en</w:t>
      </w:r>
      <w:r>
        <w:rPr>
          <w:spacing w:val="-3"/>
          <w:sz w:val="20"/>
          <w:vertAlign w:val="baseline"/>
        </w:rPr>
        <w:t> </w:t>
      </w:r>
      <w:r>
        <w:rPr>
          <w:sz w:val="20"/>
          <w:vertAlign w:val="baseline"/>
        </w:rPr>
        <w:t>mer,</w:t>
      </w:r>
      <w:r>
        <w:rPr>
          <w:spacing w:val="-2"/>
          <w:sz w:val="20"/>
          <w:vertAlign w:val="baseline"/>
        </w:rPr>
        <w:t> </w:t>
      </w:r>
      <w:r>
        <w:rPr>
          <w:sz w:val="20"/>
          <w:vertAlign w:val="baseline"/>
        </w:rPr>
        <w:t>op.cit.,</w:t>
      </w:r>
      <w:r>
        <w:rPr>
          <w:spacing w:val="-2"/>
          <w:sz w:val="20"/>
          <w:vertAlign w:val="baseline"/>
        </w:rPr>
        <w:t> </w:t>
      </w:r>
      <w:r>
        <w:rPr>
          <w:sz w:val="20"/>
          <w:vertAlign w:val="baseline"/>
        </w:rPr>
        <w:t>n°14,</w:t>
      </w:r>
      <w:r>
        <w:rPr>
          <w:spacing w:val="-2"/>
          <w:sz w:val="20"/>
          <w:vertAlign w:val="baseline"/>
        </w:rPr>
        <w:t> préc.</w:t>
      </w:r>
    </w:p>
    <w:p>
      <w:pPr>
        <w:spacing w:after="0"/>
        <w:jc w:val="both"/>
        <w:rPr>
          <w:sz w:val="20"/>
        </w:rPr>
        <w:sectPr>
          <w:pgSz w:w="11910" w:h="16840"/>
          <w:pgMar w:header="0" w:footer="1005" w:top="1340" w:bottom="1200" w:left="1275" w:right="1133"/>
        </w:sectPr>
      </w:pPr>
    </w:p>
    <w:p>
      <w:pPr>
        <w:pStyle w:val="BodyText"/>
        <w:spacing w:before="79"/>
        <w:ind w:left="141" w:right="148"/>
        <w:jc w:val="both"/>
      </w:pPr>
      <w:r>
        <w:rPr/>
        <w:t>Cette restriction pose une difficulté majeure dans la pratique contemporaine, car une grande partie des attaques maritimes survient à proximité des côtes.</w:t>
      </w:r>
    </w:p>
    <w:p>
      <w:pPr>
        <w:pStyle w:val="BodyText"/>
        <w:spacing w:before="4"/>
      </w:pPr>
    </w:p>
    <w:p>
      <w:pPr>
        <w:pStyle w:val="BodyText"/>
        <w:ind w:left="141" w:right="140"/>
        <w:jc w:val="both"/>
      </w:pPr>
      <w:r>
        <w:rPr/>
        <w:t>Les exemples du golfe d’Aden, du golfe de Guinée</w:t>
      </w:r>
      <w:r>
        <w:rPr>
          <w:vertAlign w:val="superscript"/>
        </w:rPr>
        <w:t>26</w:t>
      </w:r>
      <w:r>
        <w:rPr>
          <w:vertAlign w:val="baseline"/>
        </w:rPr>
        <w:t>ou des côtes somaliennes</w:t>
      </w:r>
      <w:r>
        <w:rPr>
          <w:vertAlign w:val="superscript"/>
        </w:rPr>
        <w:t>27</w:t>
      </w:r>
      <w:r>
        <w:rPr>
          <w:vertAlign w:val="baseline"/>
        </w:rPr>
        <w:t>illustrent clairement cette réalité. Afin de pallier cette lacune, l’Organisation maritime internationale (OMI)</w:t>
      </w:r>
      <w:r>
        <w:rPr>
          <w:vertAlign w:val="superscript"/>
        </w:rPr>
        <w:t>28</w:t>
      </w:r>
      <w:r>
        <w:rPr>
          <w:vertAlign w:val="baseline"/>
        </w:rPr>
        <w:t> a introduit en 2001 une distinction pratique entre la piraterie au sens strict et les « vols à main armée contre les navires » commis dans les zones sous juridiction étatique</w:t>
      </w:r>
      <w:r>
        <w:rPr>
          <w:vertAlign w:val="superscript"/>
        </w:rPr>
        <w:t>29</w:t>
      </w:r>
      <w:r>
        <w:rPr>
          <w:vertAlign w:val="baseline"/>
        </w:rPr>
        <w:t>.</w:t>
      </w:r>
    </w:p>
    <w:p>
      <w:pPr>
        <w:pStyle w:val="BodyText"/>
        <w:spacing w:before="4"/>
      </w:pPr>
    </w:p>
    <w:p>
      <w:pPr>
        <w:pStyle w:val="BodyText"/>
        <w:ind w:left="141" w:right="145"/>
        <w:jc w:val="both"/>
      </w:pPr>
      <w:r>
        <w:rPr/>
        <w:t>Cette distinction a été confirmée par le Code de conduite de Djibouti (2009), amendé en 2017 à Djeddah</w:t>
      </w:r>
      <w:r>
        <w:rPr>
          <w:vertAlign w:val="superscript"/>
        </w:rPr>
        <w:t>30</w:t>
      </w:r>
      <w:r>
        <w:rPr>
          <w:vertAlign w:val="baseline"/>
        </w:rPr>
        <w:t>, qui différencie explicitement la piraterie (haute mer) des vols à main armée (eaux territoriales, intérieures ou archipélagiques)</w:t>
      </w:r>
      <w:r>
        <w:rPr>
          <w:vertAlign w:val="superscript"/>
        </w:rPr>
        <w:t>31</w:t>
      </w:r>
      <w:r>
        <w:rPr>
          <w:vertAlign w:val="baseline"/>
        </w:rPr>
        <w:t>.</w:t>
      </w:r>
    </w:p>
    <w:p>
      <w:pPr>
        <w:pStyle w:val="BodyText"/>
        <w:spacing w:before="4"/>
      </w:pPr>
    </w:p>
    <w:p>
      <w:pPr>
        <w:pStyle w:val="BodyText"/>
        <w:ind w:left="141" w:right="146"/>
        <w:jc w:val="both"/>
      </w:pPr>
      <w:r>
        <w:rPr/>
        <w:t>Cette clarification, bien que pragmatique, ne modifie pas la rigidité de la définition conventionnelle de la piraterie.</w:t>
      </w:r>
    </w:p>
    <w:p>
      <w:pPr>
        <w:pStyle w:val="BodyText"/>
        <w:spacing w:before="4"/>
      </w:pPr>
    </w:p>
    <w:p>
      <w:pPr>
        <w:pStyle w:val="Heading4"/>
        <w:numPr>
          <w:ilvl w:val="2"/>
          <w:numId w:val="1"/>
        </w:numPr>
        <w:tabs>
          <w:tab w:pos="561" w:val="left" w:leader="none"/>
        </w:tabs>
        <w:spacing w:line="240" w:lineRule="auto" w:before="0" w:after="0"/>
        <w:ind w:left="561" w:right="0" w:hanging="420"/>
        <w:jc w:val="left"/>
      </w:pPr>
      <w:r>
        <w:rPr>
          <w:color w:val="145F82"/>
        </w:rPr>
        <w:t>Les</w:t>
      </w:r>
      <w:r>
        <w:rPr>
          <w:color w:val="145F82"/>
          <w:spacing w:val="-3"/>
        </w:rPr>
        <w:t> </w:t>
      </w:r>
      <w:r>
        <w:rPr>
          <w:color w:val="145F82"/>
        </w:rPr>
        <w:t>limites</w:t>
      </w:r>
      <w:r>
        <w:rPr>
          <w:color w:val="145F82"/>
          <w:spacing w:val="-2"/>
        </w:rPr>
        <w:t> </w:t>
      </w:r>
      <w:r>
        <w:rPr>
          <w:color w:val="145F82"/>
        </w:rPr>
        <w:t>matérielles</w:t>
      </w:r>
      <w:r>
        <w:rPr>
          <w:color w:val="145F82"/>
          <w:spacing w:val="-3"/>
        </w:rPr>
        <w:t> </w:t>
      </w:r>
      <w:r>
        <w:rPr>
          <w:color w:val="145F82"/>
        </w:rPr>
        <w:t>de</w:t>
      </w:r>
      <w:r>
        <w:rPr>
          <w:color w:val="145F82"/>
          <w:spacing w:val="-2"/>
        </w:rPr>
        <w:t> </w:t>
      </w:r>
      <w:r>
        <w:rPr>
          <w:color w:val="145F82"/>
        </w:rPr>
        <w:t>la</w:t>
      </w:r>
      <w:r>
        <w:rPr>
          <w:color w:val="145F82"/>
          <w:spacing w:val="-2"/>
        </w:rPr>
        <w:t> définition</w:t>
      </w:r>
    </w:p>
    <w:p>
      <w:pPr>
        <w:pStyle w:val="BodyText"/>
        <w:spacing w:before="4"/>
        <w:rPr>
          <w:b/>
        </w:rPr>
      </w:pPr>
    </w:p>
    <w:p>
      <w:pPr>
        <w:pStyle w:val="BodyText"/>
        <w:ind w:left="141" w:right="145"/>
        <w:jc w:val="both"/>
      </w:pPr>
      <w:r>
        <w:rPr/>
        <w:t>Sur le plan matériel, la définition de l’article 101 de la CNUDM impose l’existence d’au moins deux navires impliqués dans l’acte de piraterie (« navire contre navire »). Cette exigence exclut de facto certaines situations pourtant assimilables à des actes de piraterie, notamment :</w:t>
      </w:r>
    </w:p>
    <w:p>
      <w:pPr>
        <w:pStyle w:val="BodyText"/>
        <w:spacing w:before="4"/>
      </w:pPr>
    </w:p>
    <w:p>
      <w:pPr>
        <w:pStyle w:val="ListParagraph"/>
        <w:numPr>
          <w:ilvl w:val="3"/>
          <w:numId w:val="1"/>
        </w:numPr>
        <w:tabs>
          <w:tab w:pos="861" w:val="left" w:leader="none"/>
        </w:tabs>
        <w:spacing w:line="240" w:lineRule="auto" w:before="0" w:after="0"/>
        <w:ind w:left="861" w:right="0" w:hanging="360"/>
        <w:jc w:val="left"/>
        <w:rPr>
          <w:sz w:val="24"/>
        </w:rPr>
      </w:pPr>
      <w:r>
        <w:rPr>
          <w:sz w:val="24"/>
        </w:rPr>
        <w:t>les</w:t>
      </w:r>
      <w:r>
        <w:rPr>
          <w:spacing w:val="-3"/>
          <w:sz w:val="24"/>
        </w:rPr>
        <w:t> </w:t>
      </w:r>
      <w:r>
        <w:rPr>
          <w:sz w:val="24"/>
        </w:rPr>
        <w:t>mutineries</w:t>
      </w:r>
      <w:r>
        <w:rPr>
          <w:spacing w:val="-2"/>
          <w:sz w:val="24"/>
        </w:rPr>
        <w:t> </w:t>
      </w:r>
      <w:r>
        <w:rPr>
          <w:sz w:val="24"/>
        </w:rPr>
        <w:t>internes</w:t>
      </w:r>
      <w:r>
        <w:rPr>
          <w:spacing w:val="-2"/>
          <w:sz w:val="24"/>
        </w:rPr>
        <w:t> </w:t>
      </w:r>
      <w:r>
        <w:rPr>
          <w:sz w:val="24"/>
        </w:rPr>
        <w:t>à</w:t>
      </w:r>
      <w:r>
        <w:rPr>
          <w:spacing w:val="-2"/>
          <w:sz w:val="24"/>
        </w:rPr>
        <w:t> </w:t>
      </w:r>
      <w:r>
        <w:rPr>
          <w:sz w:val="24"/>
        </w:rPr>
        <w:t>bord</w:t>
      </w:r>
      <w:r>
        <w:rPr>
          <w:spacing w:val="-2"/>
          <w:sz w:val="24"/>
        </w:rPr>
        <w:t> </w:t>
      </w:r>
      <w:r>
        <w:rPr>
          <w:sz w:val="24"/>
        </w:rPr>
        <w:t>d’un</w:t>
      </w:r>
      <w:r>
        <w:rPr>
          <w:spacing w:val="-2"/>
          <w:sz w:val="24"/>
        </w:rPr>
        <w:t> navire</w:t>
      </w:r>
      <w:r>
        <w:rPr>
          <w:spacing w:val="-2"/>
          <w:sz w:val="24"/>
          <w:vertAlign w:val="superscript"/>
        </w:rPr>
        <w:t>32</w:t>
      </w:r>
      <w:r>
        <w:rPr>
          <w:spacing w:val="-2"/>
          <w:sz w:val="24"/>
          <w:vertAlign w:val="baseline"/>
        </w:rPr>
        <w:t>;</w:t>
      </w:r>
    </w:p>
    <w:p>
      <w:pPr>
        <w:pStyle w:val="ListParagraph"/>
        <w:numPr>
          <w:ilvl w:val="3"/>
          <w:numId w:val="1"/>
        </w:numPr>
        <w:tabs>
          <w:tab w:pos="861" w:val="left" w:leader="none"/>
        </w:tabs>
        <w:spacing w:line="240" w:lineRule="auto" w:before="120" w:after="0"/>
        <w:ind w:left="861" w:right="0" w:hanging="360"/>
        <w:jc w:val="left"/>
        <w:rPr>
          <w:sz w:val="24"/>
        </w:rPr>
      </w:pPr>
      <w:r>
        <w:rPr>
          <w:sz w:val="24"/>
        </w:rPr>
        <w:t>les</w:t>
      </w:r>
      <w:r>
        <w:rPr>
          <w:spacing w:val="-6"/>
          <w:sz w:val="24"/>
        </w:rPr>
        <w:t> </w:t>
      </w:r>
      <w:r>
        <w:rPr>
          <w:sz w:val="24"/>
        </w:rPr>
        <w:t>détournements</w:t>
      </w:r>
      <w:r>
        <w:rPr>
          <w:spacing w:val="-3"/>
          <w:sz w:val="24"/>
        </w:rPr>
        <w:t> </w:t>
      </w:r>
      <w:r>
        <w:rPr>
          <w:sz w:val="24"/>
        </w:rPr>
        <w:t>opérés</w:t>
      </w:r>
      <w:r>
        <w:rPr>
          <w:spacing w:val="-4"/>
          <w:sz w:val="24"/>
        </w:rPr>
        <w:t> </w:t>
      </w:r>
      <w:r>
        <w:rPr>
          <w:sz w:val="24"/>
        </w:rPr>
        <w:t>par</w:t>
      </w:r>
      <w:r>
        <w:rPr>
          <w:spacing w:val="-3"/>
          <w:sz w:val="24"/>
        </w:rPr>
        <w:t> </w:t>
      </w:r>
      <w:r>
        <w:rPr>
          <w:sz w:val="24"/>
        </w:rPr>
        <w:t>des</w:t>
      </w:r>
      <w:r>
        <w:rPr>
          <w:spacing w:val="-4"/>
          <w:sz w:val="24"/>
        </w:rPr>
        <w:t> </w:t>
      </w:r>
      <w:r>
        <w:rPr>
          <w:sz w:val="24"/>
        </w:rPr>
        <w:t>passagers</w:t>
      </w:r>
      <w:r>
        <w:rPr>
          <w:spacing w:val="-3"/>
          <w:sz w:val="24"/>
        </w:rPr>
        <w:t> </w:t>
      </w:r>
      <w:r>
        <w:rPr>
          <w:sz w:val="24"/>
        </w:rPr>
        <w:t>ou</w:t>
      </w:r>
      <w:r>
        <w:rPr>
          <w:spacing w:val="-4"/>
          <w:sz w:val="24"/>
        </w:rPr>
        <w:t> </w:t>
      </w:r>
      <w:r>
        <w:rPr>
          <w:sz w:val="24"/>
        </w:rPr>
        <w:t>membres</w:t>
      </w:r>
      <w:r>
        <w:rPr>
          <w:spacing w:val="-3"/>
          <w:sz w:val="24"/>
        </w:rPr>
        <w:t> </w:t>
      </w:r>
      <w:r>
        <w:rPr>
          <w:sz w:val="24"/>
        </w:rPr>
        <w:t>d’équipage</w:t>
      </w:r>
      <w:r>
        <w:rPr>
          <w:spacing w:val="-3"/>
          <w:sz w:val="24"/>
        </w:rPr>
        <w:t> </w:t>
      </w:r>
      <w:r>
        <w:rPr>
          <w:spacing w:val="-10"/>
          <w:sz w:val="24"/>
        </w:rPr>
        <w:t>;</w:t>
      </w:r>
    </w:p>
    <w:p>
      <w:pPr>
        <w:pStyle w:val="ListParagraph"/>
        <w:numPr>
          <w:ilvl w:val="3"/>
          <w:numId w:val="1"/>
        </w:numPr>
        <w:tabs>
          <w:tab w:pos="861" w:val="left" w:leader="none"/>
        </w:tabs>
        <w:spacing w:line="240" w:lineRule="auto" w:before="120" w:after="0"/>
        <w:ind w:left="861" w:right="147" w:hanging="360"/>
        <w:jc w:val="left"/>
        <w:rPr>
          <w:sz w:val="24"/>
        </w:rPr>
      </w:pPr>
      <w:r>
        <w:rPr>
          <w:sz w:val="24"/>
        </w:rPr>
        <w:t>les</w:t>
      </w:r>
      <w:r>
        <w:rPr>
          <w:spacing w:val="34"/>
          <w:sz w:val="24"/>
        </w:rPr>
        <w:t> </w:t>
      </w:r>
      <w:r>
        <w:rPr>
          <w:sz w:val="24"/>
        </w:rPr>
        <w:t>attaques</w:t>
      </w:r>
      <w:r>
        <w:rPr>
          <w:spacing w:val="34"/>
          <w:sz w:val="24"/>
        </w:rPr>
        <w:t> </w:t>
      </w:r>
      <w:r>
        <w:rPr>
          <w:sz w:val="24"/>
        </w:rPr>
        <w:t>contre</w:t>
      </w:r>
      <w:r>
        <w:rPr>
          <w:spacing w:val="34"/>
          <w:sz w:val="24"/>
        </w:rPr>
        <w:t> </w:t>
      </w:r>
      <w:r>
        <w:rPr>
          <w:sz w:val="24"/>
        </w:rPr>
        <w:t>des</w:t>
      </w:r>
      <w:r>
        <w:rPr>
          <w:spacing w:val="34"/>
          <w:sz w:val="24"/>
        </w:rPr>
        <w:t> </w:t>
      </w:r>
      <w:r>
        <w:rPr>
          <w:sz w:val="24"/>
        </w:rPr>
        <w:t>installations</w:t>
      </w:r>
      <w:r>
        <w:rPr>
          <w:spacing w:val="34"/>
          <w:sz w:val="24"/>
        </w:rPr>
        <w:t> </w:t>
      </w:r>
      <w:r>
        <w:rPr>
          <w:sz w:val="24"/>
        </w:rPr>
        <w:t>offshores</w:t>
      </w:r>
      <w:r>
        <w:rPr>
          <w:spacing w:val="34"/>
          <w:sz w:val="24"/>
        </w:rPr>
        <w:t> </w:t>
      </w:r>
      <w:r>
        <w:rPr>
          <w:sz w:val="24"/>
        </w:rPr>
        <w:t>ou</w:t>
      </w:r>
      <w:r>
        <w:rPr>
          <w:spacing w:val="34"/>
          <w:sz w:val="24"/>
        </w:rPr>
        <w:t> </w:t>
      </w:r>
      <w:r>
        <w:rPr>
          <w:sz w:val="24"/>
        </w:rPr>
        <w:t>des</w:t>
      </w:r>
      <w:r>
        <w:rPr>
          <w:spacing w:val="34"/>
          <w:sz w:val="24"/>
        </w:rPr>
        <w:t> </w:t>
      </w:r>
      <w:r>
        <w:rPr>
          <w:sz w:val="24"/>
        </w:rPr>
        <w:t>structures</w:t>
      </w:r>
      <w:r>
        <w:rPr>
          <w:spacing w:val="34"/>
          <w:sz w:val="24"/>
        </w:rPr>
        <w:t> </w:t>
      </w:r>
      <w:r>
        <w:rPr>
          <w:sz w:val="24"/>
        </w:rPr>
        <w:t>fixes</w:t>
      </w:r>
      <w:r>
        <w:rPr>
          <w:spacing w:val="34"/>
          <w:sz w:val="24"/>
        </w:rPr>
        <w:t> </w:t>
      </w:r>
      <w:r>
        <w:rPr>
          <w:sz w:val="24"/>
        </w:rPr>
        <w:t>non</w:t>
      </w:r>
      <w:r>
        <w:rPr>
          <w:spacing w:val="34"/>
          <w:sz w:val="24"/>
        </w:rPr>
        <w:t> </w:t>
      </w:r>
      <w:r>
        <w:rPr>
          <w:sz w:val="24"/>
        </w:rPr>
        <w:t>strictement considérées comme un navire</w:t>
      </w:r>
      <w:r>
        <w:rPr>
          <w:sz w:val="24"/>
          <w:vertAlign w:val="superscript"/>
        </w:rPr>
        <w:t>33</w:t>
      </w:r>
      <w:r>
        <w:rPr>
          <w:sz w:val="24"/>
          <w:vertAlign w:val="baseline"/>
        </w:rPr>
        <w:t>.</w:t>
      </w:r>
    </w:p>
    <w:p>
      <w:pPr>
        <w:pStyle w:val="BodyText"/>
        <w:spacing w:before="4"/>
      </w:pPr>
    </w:p>
    <w:p>
      <w:pPr>
        <w:pStyle w:val="BodyText"/>
        <w:ind w:left="141" w:right="145"/>
        <w:jc w:val="both"/>
      </w:pPr>
      <w:r>
        <w:rPr/>
        <w:t>Par ailleurs, la notion de « navire » elle-même demeure problématique. Le Protocole de 2005 relatif</w:t>
      </w:r>
      <w:r>
        <w:rPr>
          <w:spacing w:val="-1"/>
        </w:rPr>
        <w:t> </w:t>
      </w:r>
      <w:r>
        <w:rPr/>
        <w:t>à</w:t>
      </w:r>
      <w:r>
        <w:rPr>
          <w:spacing w:val="-1"/>
        </w:rPr>
        <w:t> </w:t>
      </w:r>
      <w:r>
        <w:rPr/>
        <w:t>la</w:t>
      </w:r>
      <w:r>
        <w:rPr>
          <w:spacing w:val="-1"/>
        </w:rPr>
        <w:t> </w:t>
      </w:r>
      <w:r>
        <w:rPr/>
        <w:t>Convention</w:t>
      </w:r>
      <w:r>
        <w:rPr>
          <w:spacing w:val="-1"/>
        </w:rPr>
        <w:t> </w:t>
      </w:r>
      <w:r>
        <w:rPr/>
        <w:t>SUA</w:t>
      </w:r>
      <w:r>
        <w:rPr>
          <w:spacing w:val="-1"/>
        </w:rPr>
        <w:t> </w:t>
      </w:r>
      <w:r>
        <w:rPr/>
        <w:t>apporte</w:t>
      </w:r>
      <w:r>
        <w:rPr>
          <w:spacing w:val="-1"/>
        </w:rPr>
        <w:t> </w:t>
      </w:r>
      <w:r>
        <w:rPr/>
        <w:t>une</w:t>
      </w:r>
      <w:r>
        <w:rPr>
          <w:spacing w:val="-1"/>
        </w:rPr>
        <w:t> </w:t>
      </w:r>
      <w:r>
        <w:rPr/>
        <w:t>définition</w:t>
      </w:r>
      <w:r>
        <w:rPr>
          <w:spacing w:val="-1"/>
        </w:rPr>
        <w:t> </w:t>
      </w:r>
      <w:r>
        <w:rPr/>
        <w:t>large</w:t>
      </w:r>
      <w:r>
        <w:rPr>
          <w:spacing w:val="-1"/>
        </w:rPr>
        <w:t> </w:t>
      </w:r>
      <w:r>
        <w:rPr/>
        <w:t>du</w:t>
      </w:r>
      <w:r>
        <w:rPr>
          <w:spacing w:val="-1"/>
        </w:rPr>
        <w:t> </w:t>
      </w:r>
      <w:r>
        <w:rPr/>
        <w:t>navire</w:t>
      </w:r>
      <w:r>
        <w:rPr>
          <w:spacing w:val="-1"/>
        </w:rPr>
        <w:t> </w:t>
      </w:r>
      <w:r>
        <w:rPr/>
        <w:t>comme</w:t>
      </w:r>
      <w:r>
        <w:rPr>
          <w:spacing w:val="-1"/>
        </w:rPr>
        <w:t> </w:t>
      </w:r>
      <w:r>
        <w:rPr/>
        <w:t>tout</w:t>
      </w:r>
      <w:r>
        <w:rPr>
          <w:spacing w:val="-1"/>
        </w:rPr>
        <w:t> </w:t>
      </w:r>
      <w:r>
        <w:rPr/>
        <w:t>bâtiment</w:t>
      </w:r>
      <w:r>
        <w:rPr>
          <w:spacing w:val="-1"/>
        </w:rPr>
        <w:t> </w:t>
      </w:r>
      <w:r>
        <w:rPr/>
        <w:t>de</w:t>
      </w:r>
      <w:r>
        <w:rPr>
          <w:spacing w:val="-1"/>
        </w:rPr>
        <w:t> </w:t>
      </w:r>
      <w:r>
        <w:rPr/>
        <w:t>mer non fixé au fond marin, incluant divers engins flottants</w:t>
      </w:r>
      <w:r>
        <w:rPr>
          <w:vertAlign w:val="superscript"/>
        </w:rPr>
        <w:t>34</w:t>
      </w:r>
      <w:r>
        <w:rPr>
          <w:vertAlign w:val="baseline"/>
        </w:rPr>
        <w:t>.</w:t>
      </w:r>
    </w:p>
    <w:p>
      <w:pPr>
        <w:pStyle w:val="BodyText"/>
        <w:rPr>
          <w:sz w:val="20"/>
        </w:rPr>
      </w:pPr>
    </w:p>
    <w:p>
      <w:pPr>
        <w:pStyle w:val="BodyText"/>
        <w:spacing w:before="38"/>
        <w:rPr>
          <w:sz w:val="20"/>
        </w:rPr>
      </w:pPr>
      <w:r>
        <w:rPr>
          <w:sz w:val="20"/>
        </w:rPr>
        <mc:AlternateContent>
          <mc:Choice Requires="wps">
            <w:drawing>
              <wp:anchor distT="0" distB="0" distL="0" distR="0" allowOverlap="1" layoutInCell="1" locked="0" behindDoc="1" simplePos="0" relativeHeight="487591424">
                <wp:simplePos x="0" y="0"/>
                <wp:positionH relativeFrom="page">
                  <wp:posOffset>899794</wp:posOffset>
                </wp:positionH>
                <wp:positionV relativeFrom="paragraph">
                  <wp:posOffset>185673</wp:posOffset>
                </wp:positionV>
                <wp:extent cx="1800225" cy="127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800225" cy="1270"/>
                        </a:xfrm>
                        <a:custGeom>
                          <a:avLst/>
                          <a:gdLst/>
                          <a:ahLst/>
                          <a:cxnLst/>
                          <a:rect l="l" t="t" r="r" b="b"/>
                          <a:pathLst>
                            <a:path w="1800225" h="0">
                              <a:moveTo>
                                <a:pt x="0" y="0"/>
                              </a:moveTo>
                              <a:lnTo>
                                <a:pt x="1799996" y="0"/>
                              </a:lnTo>
                            </a:path>
                          </a:pathLst>
                        </a:custGeom>
                        <a:ln w="776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4.619961pt;width:141.75pt;height:.1pt;mso-position-horizontal-relative:page;mso-position-vertical-relative:paragraph;z-index:-15725056;mso-wrap-distance-left:0;mso-wrap-distance-right:0" id="docshape8" coordorigin="1417,292" coordsize="2835,0" path="m1417,292l4252,292e" filled="false" stroked="true" strokeweight=".61109pt" strokecolor="#000000">
                <v:path arrowok="t"/>
                <v:stroke dashstyle="solid"/>
                <w10:wrap type="topAndBottom"/>
              </v:shape>
            </w:pict>
          </mc:Fallback>
        </mc:AlternateContent>
      </w:r>
    </w:p>
    <w:p>
      <w:pPr>
        <w:spacing w:before="144"/>
        <w:ind w:left="141" w:right="0" w:firstLine="0"/>
        <w:jc w:val="left"/>
        <w:rPr>
          <w:sz w:val="20"/>
        </w:rPr>
      </w:pPr>
      <w:r>
        <w:rPr>
          <w:spacing w:val="-2"/>
          <w:sz w:val="20"/>
          <w:vertAlign w:val="superscript"/>
        </w:rPr>
        <w:t>26</w:t>
      </w:r>
      <w:r>
        <w:rPr>
          <w:spacing w:val="-2"/>
          <w:sz w:val="20"/>
          <w:vertAlign w:val="baseline"/>
        </w:rPr>
        <w:t>Ibid.</w:t>
      </w:r>
    </w:p>
    <w:p>
      <w:pPr>
        <w:spacing w:before="0"/>
        <w:ind w:left="141" w:right="143" w:firstLine="0"/>
        <w:jc w:val="both"/>
        <w:rPr>
          <w:sz w:val="20"/>
        </w:rPr>
      </w:pPr>
      <w:r>
        <w:rPr>
          <w:sz w:val="20"/>
          <w:vertAlign w:val="superscript"/>
        </w:rPr>
        <w:t>27</w:t>
      </w:r>
      <w:r>
        <w:rPr>
          <w:sz w:val="20"/>
          <w:vertAlign w:val="baseline"/>
        </w:rPr>
        <w:t>OMI/Rés. A.1002(25), « Piraterie et vols à main armée à l’encontre des navires dans les eaux au large des côtes somaliennes », 29 Novembre 2007, citée par </w:t>
      </w:r>
      <w:hyperlink r:id="rId8">
        <w:r>
          <w:rPr>
            <w:sz w:val="20"/>
            <w:vertAlign w:val="baseline"/>
          </w:rPr>
          <w:t>Yann TEPHANY</w:t>
        </w:r>
      </w:hyperlink>
      <w:r>
        <w:rPr>
          <w:sz w:val="20"/>
          <w:vertAlign w:val="baseline"/>
        </w:rPr>
        <w:t>, La CNUDM et la lutte contre les activités illicites en mer, loc.cit.</w:t>
      </w:r>
    </w:p>
    <w:p>
      <w:pPr>
        <w:spacing w:before="0"/>
        <w:ind w:left="141" w:right="142" w:firstLine="0"/>
        <w:jc w:val="both"/>
        <w:rPr>
          <w:sz w:val="20"/>
        </w:rPr>
      </w:pPr>
      <w:r>
        <w:rPr>
          <w:sz w:val="20"/>
          <w:vertAlign w:val="superscript"/>
        </w:rPr>
        <w:t>28</w:t>
      </w:r>
      <w:r>
        <w:rPr>
          <w:color w:val="464646"/>
          <w:sz w:val="20"/>
          <w:vertAlign w:val="baseline"/>
        </w:rPr>
        <w:t>L'OMI (Organisation Maritime Internationale) </w:t>
      </w:r>
      <w:r>
        <w:rPr>
          <w:sz w:val="20"/>
          <w:vertAlign w:val="baseline"/>
        </w:rPr>
        <w:t>est l'institution spécialisée des Nations-Unies chargée d'assurer la sécurité et la sûreté des transports maritimes et de prévenir la pollution des mers et de l'atmosphère par les navires. </w:t>
      </w:r>
      <w:r>
        <w:rPr>
          <w:sz w:val="20"/>
          <w:vertAlign w:val="superscript"/>
        </w:rPr>
        <w:t>29</w:t>
      </w:r>
      <w:r>
        <w:rPr>
          <w:sz w:val="20"/>
          <w:vertAlign w:val="baseline"/>
        </w:rPr>
        <w:t>OMI/Rés. A.922(22), « Recueil de règles pratiques pour la conduite des enquêtes sur les délits de piraterie et de vol à main armée à l’encontre des navires », 29 Novembre 2001, citée par </w:t>
      </w:r>
      <w:hyperlink r:id="rId8">
        <w:r>
          <w:rPr>
            <w:sz w:val="20"/>
            <w:vertAlign w:val="baseline"/>
          </w:rPr>
          <w:t>Yann TEPHANY</w:t>
        </w:r>
      </w:hyperlink>
      <w:r>
        <w:rPr>
          <w:sz w:val="20"/>
          <w:vertAlign w:val="baseline"/>
        </w:rPr>
        <w:t>, La CNUDM et la lutte contre les activités illicites en mer, loc.cit.</w:t>
      </w:r>
    </w:p>
    <w:p>
      <w:pPr>
        <w:spacing w:before="0"/>
        <w:ind w:left="141" w:right="145" w:firstLine="0"/>
        <w:jc w:val="both"/>
        <w:rPr>
          <w:sz w:val="20"/>
        </w:rPr>
      </w:pPr>
      <w:r>
        <w:rPr>
          <w:sz w:val="20"/>
          <w:vertAlign w:val="superscript"/>
        </w:rPr>
        <w:t>30</w:t>
      </w:r>
      <w:r>
        <w:rPr>
          <w:sz w:val="20"/>
          <w:vertAlign w:val="baseline"/>
        </w:rPr>
        <w:t>Il s’agit du Code de conduite relatif à la répression de la piraterie et des vols à main armée contre les navires</w:t>
      </w:r>
      <w:r>
        <w:rPr>
          <w:spacing w:val="80"/>
          <w:sz w:val="20"/>
          <w:vertAlign w:val="baseline"/>
        </w:rPr>
        <w:t> </w:t>
      </w:r>
      <w:r>
        <w:rPr>
          <w:sz w:val="20"/>
          <w:vertAlign w:val="baseline"/>
        </w:rPr>
        <w:t>dans l'océan Indien occidental et le golfe d'Aden, appelé « </w:t>
      </w:r>
      <w:hyperlink r:id="rId10">
        <w:r>
          <w:rPr>
            <w:sz w:val="20"/>
            <w:vertAlign w:val="baseline"/>
          </w:rPr>
          <w:t>Code de conduite de Djibouti</w:t>
        </w:r>
      </w:hyperlink>
      <w:r>
        <w:rPr>
          <w:sz w:val="20"/>
          <w:vertAlign w:val="baseline"/>
        </w:rPr>
        <w:t> du 29 Janvier 2009 », amendé à Djedda le 12 Janvier 2017.</w:t>
      </w:r>
    </w:p>
    <w:p>
      <w:pPr>
        <w:spacing w:before="0"/>
        <w:ind w:left="141" w:right="99" w:firstLine="0"/>
        <w:jc w:val="left"/>
        <w:rPr>
          <w:sz w:val="20"/>
        </w:rPr>
      </w:pPr>
      <w:r>
        <w:rPr>
          <w:sz w:val="20"/>
          <w:vertAlign w:val="superscript"/>
        </w:rPr>
        <w:t>31</w:t>
      </w:r>
      <w:r>
        <w:rPr>
          <w:sz w:val="20"/>
          <w:vertAlign w:val="baseline"/>
        </w:rPr>
        <w:t>Code de conduite révisé concernant la répression des actes de piraterie, des vols à main armée à l'encontre des</w:t>
      </w:r>
      <w:r>
        <w:rPr>
          <w:spacing w:val="40"/>
          <w:sz w:val="20"/>
          <w:vertAlign w:val="baseline"/>
        </w:rPr>
        <w:t> </w:t>
      </w:r>
      <w:r>
        <w:rPr>
          <w:sz w:val="20"/>
          <w:vertAlign w:val="baseline"/>
        </w:rPr>
        <w:t>navires et des activités maritimes illicites dans la zone de l'océan indien occidental et le golfe d’Aden, article 1</w:t>
      </w:r>
      <w:r>
        <w:rPr>
          <w:sz w:val="20"/>
          <w:vertAlign w:val="superscript"/>
        </w:rPr>
        <w:t>er</w:t>
      </w:r>
      <w:r>
        <w:rPr>
          <w:spacing w:val="-15"/>
          <w:sz w:val="20"/>
          <w:vertAlign w:val="baseline"/>
        </w:rPr>
        <w:t> </w:t>
      </w:r>
      <w:r>
        <w:rPr>
          <w:sz w:val="20"/>
          <w:vertAlign w:val="baseline"/>
        </w:rPr>
        <w:t>. </w:t>
      </w:r>
      <w:r>
        <w:rPr>
          <w:sz w:val="20"/>
          <w:vertAlign w:val="superscript"/>
        </w:rPr>
        <w:t>32</w:t>
      </w:r>
      <w:r>
        <w:rPr>
          <w:color w:val="252525"/>
          <w:sz w:val="20"/>
          <w:vertAlign w:val="baseline"/>
        </w:rPr>
        <w:t>I. B</w:t>
      </w:r>
      <w:r>
        <w:rPr>
          <w:color w:val="252525"/>
          <w:sz w:val="16"/>
          <w:vertAlign w:val="baseline"/>
        </w:rPr>
        <w:t>ANTEKAS</w:t>
      </w:r>
      <w:r>
        <w:rPr>
          <w:color w:val="252525"/>
          <w:sz w:val="20"/>
          <w:vertAlign w:val="baseline"/>
        </w:rPr>
        <w:t>, S. N</w:t>
      </w:r>
      <w:r>
        <w:rPr>
          <w:color w:val="252525"/>
          <w:sz w:val="16"/>
          <w:vertAlign w:val="baseline"/>
        </w:rPr>
        <w:t>ASH</w:t>
      </w:r>
      <w:r>
        <w:rPr>
          <w:color w:val="252525"/>
          <w:sz w:val="20"/>
          <w:vertAlign w:val="baseline"/>
        </w:rPr>
        <w:t>, </w:t>
      </w:r>
      <w:r>
        <w:rPr>
          <w:i/>
          <w:color w:val="252525"/>
          <w:sz w:val="20"/>
          <w:vertAlign w:val="baseline"/>
        </w:rPr>
        <w:t>International criminal law</w:t>
      </w:r>
      <w:r>
        <w:rPr>
          <w:color w:val="252525"/>
          <w:sz w:val="20"/>
          <w:vertAlign w:val="baseline"/>
        </w:rPr>
        <w:t>, ed. Routledge, 2009, p. 179, </w:t>
      </w:r>
      <w:r>
        <w:rPr>
          <w:sz w:val="20"/>
          <w:vertAlign w:val="baseline"/>
        </w:rPr>
        <w:t>cité par </w:t>
      </w:r>
      <w:hyperlink r:id="rId8">
        <w:r>
          <w:rPr>
            <w:sz w:val="20"/>
            <w:vertAlign w:val="baseline"/>
          </w:rPr>
          <w:t>Yann TEPHANY</w:t>
        </w:r>
      </w:hyperlink>
      <w:r>
        <w:rPr>
          <w:sz w:val="20"/>
          <w:vertAlign w:val="baseline"/>
        </w:rPr>
        <w:t>, La</w:t>
      </w:r>
      <w:r>
        <w:rPr>
          <w:spacing w:val="40"/>
          <w:sz w:val="20"/>
          <w:vertAlign w:val="baseline"/>
        </w:rPr>
        <w:t> </w:t>
      </w:r>
      <w:r>
        <w:rPr>
          <w:sz w:val="20"/>
          <w:vertAlign w:val="baseline"/>
        </w:rPr>
        <w:t>CNUDM et la lutte contre les activités illicites en mer, op.cit., n°15.</w:t>
      </w:r>
    </w:p>
    <w:p>
      <w:pPr>
        <w:spacing w:before="0"/>
        <w:ind w:left="141" w:right="0" w:firstLine="0"/>
        <w:jc w:val="left"/>
        <w:rPr>
          <w:sz w:val="20"/>
        </w:rPr>
      </w:pPr>
      <w:r>
        <w:rPr>
          <w:sz w:val="20"/>
          <w:vertAlign w:val="superscript"/>
        </w:rPr>
        <w:t>33</w:t>
      </w:r>
      <w:r>
        <w:rPr>
          <w:color w:val="252525"/>
          <w:sz w:val="20"/>
          <w:vertAlign w:val="baseline"/>
        </w:rPr>
        <w:t>J.</w:t>
      </w:r>
      <w:r>
        <w:rPr>
          <w:color w:val="252525"/>
          <w:spacing w:val="-1"/>
          <w:sz w:val="20"/>
          <w:vertAlign w:val="baseline"/>
        </w:rPr>
        <w:t> </w:t>
      </w:r>
      <w:r>
        <w:rPr>
          <w:color w:val="252525"/>
          <w:sz w:val="20"/>
          <w:vertAlign w:val="baseline"/>
        </w:rPr>
        <w:t>C</w:t>
      </w:r>
      <w:r>
        <w:rPr>
          <w:color w:val="252525"/>
          <w:sz w:val="16"/>
          <w:vertAlign w:val="baseline"/>
        </w:rPr>
        <w:t>RAWFORD</w:t>
      </w:r>
      <w:r>
        <w:rPr>
          <w:color w:val="252525"/>
          <w:sz w:val="20"/>
          <w:vertAlign w:val="baseline"/>
        </w:rPr>
        <w:t>,</w:t>
      </w:r>
      <w:r>
        <w:rPr>
          <w:color w:val="252525"/>
          <w:spacing w:val="11"/>
          <w:sz w:val="20"/>
          <w:vertAlign w:val="baseline"/>
        </w:rPr>
        <w:t> </w:t>
      </w:r>
      <w:r>
        <w:rPr>
          <w:i/>
          <w:color w:val="252525"/>
          <w:sz w:val="20"/>
          <w:vertAlign w:val="baseline"/>
        </w:rPr>
        <w:t>Brownlie’s</w:t>
      </w:r>
      <w:r>
        <w:rPr>
          <w:i/>
          <w:color w:val="252525"/>
          <w:spacing w:val="11"/>
          <w:sz w:val="20"/>
          <w:vertAlign w:val="baseline"/>
        </w:rPr>
        <w:t> </w:t>
      </w:r>
      <w:r>
        <w:rPr>
          <w:i/>
          <w:color w:val="252525"/>
          <w:sz w:val="20"/>
          <w:vertAlign w:val="baseline"/>
        </w:rPr>
        <w:t>principles</w:t>
      </w:r>
      <w:r>
        <w:rPr>
          <w:i/>
          <w:color w:val="252525"/>
          <w:spacing w:val="12"/>
          <w:sz w:val="20"/>
          <w:vertAlign w:val="baseline"/>
        </w:rPr>
        <w:t> </w:t>
      </w:r>
      <w:r>
        <w:rPr>
          <w:i/>
          <w:color w:val="252525"/>
          <w:sz w:val="20"/>
          <w:vertAlign w:val="baseline"/>
        </w:rPr>
        <w:t>of</w:t>
      </w:r>
      <w:r>
        <w:rPr>
          <w:i/>
          <w:color w:val="252525"/>
          <w:spacing w:val="11"/>
          <w:sz w:val="20"/>
          <w:vertAlign w:val="baseline"/>
        </w:rPr>
        <w:t> </w:t>
      </w:r>
      <w:r>
        <w:rPr>
          <w:i/>
          <w:color w:val="252525"/>
          <w:sz w:val="20"/>
          <w:vertAlign w:val="baseline"/>
        </w:rPr>
        <w:t>public</w:t>
      </w:r>
      <w:r>
        <w:rPr>
          <w:i/>
          <w:color w:val="252525"/>
          <w:spacing w:val="11"/>
          <w:sz w:val="20"/>
          <w:vertAlign w:val="baseline"/>
        </w:rPr>
        <w:t> </w:t>
      </w:r>
      <w:r>
        <w:rPr>
          <w:i/>
          <w:color w:val="252525"/>
          <w:sz w:val="20"/>
          <w:vertAlign w:val="baseline"/>
        </w:rPr>
        <w:t>international</w:t>
      </w:r>
      <w:r>
        <w:rPr>
          <w:i/>
          <w:color w:val="252525"/>
          <w:spacing w:val="11"/>
          <w:sz w:val="20"/>
          <w:vertAlign w:val="baseline"/>
        </w:rPr>
        <w:t> </w:t>
      </w:r>
      <w:r>
        <w:rPr>
          <w:i/>
          <w:color w:val="252525"/>
          <w:sz w:val="20"/>
          <w:vertAlign w:val="baseline"/>
        </w:rPr>
        <w:t>law</w:t>
      </w:r>
      <w:r>
        <w:rPr>
          <w:color w:val="252525"/>
          <w:sz w:val="20"/>
          <w:vertAlign w:val="baseline"/>
        </w:rPr>
        <w:t>,</w:t>
      </w:r>
      <w:r>
        <w:rPr>
          <w:color w:val="252525"/>
          <w:spacing w:val="11"/>
          <w:sz w:val="20"/>
          <w:vertAlign w:val="baseline"/>
        </w:rPr>
        <w:t> </w:t>
      </w:r>
      <w:r>
        <w:rPr>
          <w:color w:val="252525"/>
          <w:sz w:val="20"/>
          <w:vertAlign w:val="baseline"/>
        </w:rPr>
        <w:t>Oxford</w:t>
      </w:r>
      <w:r>
        <w:rPr>
          <w:color w:val="252525"/>
          <w:spacing w:val="11"/>
          <w:sz w:val="20"/>
          <w:vertAlign w:val="baseline"/>
        </w:rPr>
        <w:t> </w:t>
      </w:r>
      <w:r>
        <w:rPr>
          <w:color w:val="252525"/>
          <w:sz w:val="20"/>
          <w:vertAlign w:val="baseline"/>
        </w:rPr>
        <w:t>University</w:t>
      </w:r>
      <w:r>
        <w:rPr>
          <w:color w:val="252525"/>
          <w:spacing w:val="12"/>
          <w:sz w:val="20"/>
          <w:vertAlign w:val="baseline"/>
        </w:rPr>
        <w:t> </w:t>
      </w:r>
      <w:r>
        <w:rPr>
          <w:color w:val="252525"/>
          <w:sz w:val="20"/>
          <w:vertAlign w:val="baseline"/>
        </w:rPr>
        <w:t>Press,</w:t>
      </w:r>
      <w:r>
        <w:rPr>
          <w:color w:val="252525"/>
          <w:spacing w:val="11"/>
          <w:sz w:val="20"/>
          <w:vertAlign w:val="baseline"/>
        </w:rPr>
        <w:t> </w:t>
      </w:r>
      <w:r>
        <w:rPr>
          <w:color w:val="252525"/>
          <w:sz w:val="20"/>
          <w:vertAlign w:val="baseline"/>
        </w:rPr>
        <w:t>9</w:t>
      </w:r>
      <w:r>
        <w:rPr>
          <w:color w:val="252525"/>
          <w:sz w:val="20"/>
          <w:vertAlign w:val="superscript"/>
        </w:rPr>
        <w:t>e</w:t>
      </w:r>
      <w:r>
        <w:rPr>
          <w:color w:val="252525"/>
          <w:spacing w:val="11"/>
          <w:sz w:val="20"/>
          <w:vertAlign w:val="baseline"/>
        </w:rPr>
        <w:t> </w:t>
      </w:r>
      <w:r>
        <w:rPr>
          <w:color w:val="252525"/>
          <w:sz w:val="20"/>
          <w:vertAlign w:val="baseline"/>
        </w:rPr>
        <w:t>éd.,</w:t>
      </w:r>
      <w:r>
        <w:rPr>
          <w:color w:val="252525"/>
          <w:spacing w:val="11"/>
          <w:sz w:val="20"/>
          <w:vertAlign w:val="baseline"/>
        </w:rPr>
        <w:t> </w:t>
      </w:r>
      <w:r>
        <w:rPr>
          <w:color w:val="252525"/>
          <w:sz w:val="20"/>
          <w:vertAlign w:val="baseline"/>
        </w:rPr>
        <w:t>2019,</w:t>
      </w:r>
      <w:r>
        <w:rPr>
          <w:color w:val="252525"/>
          <w:spacing w:val="11"/>
          <w:sz w:val="20"/>
          <w:vertAlign w:val="baseline"/>
        </w:rPr>
        <w:t> </w:t>
      </w:r>
      <w:r>
        <w:rPr>
          <w:color w:val="252525"/>
          <w:sz w:val="20"/>
          <w:vertAlign w:val="baseline"/>
        </w:rPr>
        <w:t>p.</w:t>
      </w:r>
      <w:r>
        <w:rPr>
          <w:color w:val="252525"/>
          <w:spacing w:val="12"/>
          <w:sz w:val="20"/>
          <w:vertAlign w:val="baseline"/>
        </w:rPr>
        <w:t> </w:t>
      </w:r>
      <w:r>
        <w:rPr>
          <w:color w:val="252525"/>
          <w:spacing w:val="-4"/>
          <w:sz w:val="20"/>
          <w:vertAlign w:val="baseline"/>
        </w:rPr>
        <w:t>287;</w:t>
      </w:r>
    </w:p>
    <w:p>
      <w:pPr>
        <w:spacing w:before="0"/>
        <w:ind w:left="141" w:right="143" w:firstLine="0"/>
        <w:jc w:val="left"/>
        <w:rPr>
          <w:sz w:val="20"/>
        </w:rPr>
      </w:pPr>
      <w:r>
        <w:rPr>
          <w:color w:val="252525"/>
          <w:sz w:val="20"/>
        </w:rPr>
        <w:t>A. G. O</w:t>
      </w:r>
      <w:r>
        <w:rPr>
          <w:color w:val="252525"/>
          <w:sz w:val="16"/>
        </w:rPr>
        <w:t>UDE</w:t>
      </w:r>
      <w:r>
        <w:rPr>
          <w:color w:val="252525"/>
          <w:spacing w:val="23"/>
          <w:sz w:val="16"/>
        </w:rPr>
        <w:t> </w:t>
      </w:r>
      <w:r>
        <w:rPr>
          <w:color w:val="252525"/>
          <w:sz w:val="20"/>
        </w:rPr>
        <w:t>E</w:t>
      </w:r>
      <w:r>
        <w:rPr>
          <w:color w:val="252525"/>
          <w:sz w:val="16"/>
        </w:rPr>
        <w:t>LFERINK</w:t>
      </w:r>
      <w:r>
        <w:rPr>
          <w:color w:val="252525"/>
          <w:sz w:val="20"/>
        </w:rPr>
        <w:t>,</w:t>
      </w:r>
      <w:r>
        <w:rPr>
          <w:color w:val="252525"/>
          <w:spacing w:val="23"/>
          <w:sz w:val="20"/>
        </w:rPr>
        <w:t> </w:t>
      </w:r>
      <w:r>
        <w:rPr>
          <w:color w:val="252525"/>
          <w:sz w:val="20"/>
        </w:rPr>
        <w:t>«</w:t>
      </w:r>
      <w:r>
        <w:rPr>
          <w:color w:val="252525"/>
          <w:spacing w:val="23"/>
          <w:sz w:val="20"/>
        </w:rPr>
        <w:t> </w:t>
      </w:r>
      <w:r>
        <w:rPr>
          <w:color w:val="252525"/>
          <w:sz w:val="20"/>
        </w:rPr>
        <w:t>The</w:t>
      </w:r>
      <w:r>
        <w:rPr>
          <w:color w:val="252525"/>
          <w:spacing w:val="23"/>
          <w:sz w:val="20"/>
        </w:rPr>
        <w:t> </w:t>
      </w:r>
      <w:r>
        <w:rPr>
          <w:color w:val="252525"/>
          <w:sz w:val="20"/>
        </w:rPr>
        <w:t>Arctic</w:t>
      </w:r>
      <w:r>
        <w:rPr>
          <w:color w:val="252525"/>
          <w:spacing w:val="23"/>
          <w:sz w:val="20"/>
        </w:rPr>
        <w:t> </w:t>
      </w:r>
      <w:r>
        <w:rPr>
          <w:color w:val="252525"/>
          <w:sz w:val="20"/>
        </w:rPr>
        <w:t>Sunrise</w:t>
      </w:r>
      <w:r>
        <w:rPr>
          <w:color w:val="252525"/>
          <w:spacing w:val="23"/>
          <w:sz w:val="20"/>
        </w:rPr>
        <w:t> </w:t>
      </w:r>
      <w:r>
        <w:rPr>
          <w:color w:val="252525"/>
          <w:sz w:val="20"/>
        </w:rPr>
        <w:t>incident:</w:t>
      </w:r>
      <w:r>
        <w:rPr>
          <w:color w:val="252525"/>
          <w:spacing w:val="23"/>
          <w:sz w:val="20"/>
        </w:rPr>
        <w:t> </w:t>
      </w:r>
      <w:r>
        <w:rPr>
          <w:color w:val="252525"/>
          <w:sz w:val="20"/>
        </w:rPr>
        <w:t>a</w:t>
      </w:r>
      <w:r>
        <w:rPr>
          <w:color w:val="252525"/>
          <w:spacing w:val="23"/>
          <w:sz w:val="20"/>
        </w:rPr>
        <w:t> </w:t>
      </w:r>
      <w:r>
        <w:rPr>
          <w:color w:val="252525"/>
          <w:sz w:val="20"/>
        </w:rPr>
        <w:t>multi-faceted</w:t>
      </w:r>
      <w:r>
        <w:rPr>
          <w:color w:val="252525"/>
          <w:spacing w:val="23"/>
          <w:sz w:val="20"/>
        </w:rPr>
        <w:t> </w:t>
      </w:r>
      <w:r>
        <w:rPr>
          <w:color w:val="252525"/>
          <w:sz w:val="20"/>
        </w:rPr>
        <w:t>law</w:t>
      </w:r>
      <w:r>
        <w:rPr>
          <w:color w:val="252525"/>
          <w:spacing w:val="23"/>
          <w:sz w:val="20"/>
        </w:rPr>
        <w:t> </w:t>
      </w:r>
      <w:r>
        <w:rPr>
          <w:color w:val="252525"/>
          <w:sz w:val="20"/>
        </w:rPr>
        <w:t>of</w:t>
      </w:r>
      <w:r>
        <w:rPr>
          <w:color w:val="252525"/>
          <w:spacing w:val="23"/>
          <w:sz w:val="20"/>
        </w:rPr>
        <w:t> </w:t>
      </w:r>
      <w:r>
        <w:rPr>
          <w:color w:val="252525"/>
          <w:sz w:val="20"/>
        </w:rPr>
        <w:t>the</w:t>
      </w:r>
      <w:r>
        <w:rPr>
          <w:color w:val="252525"/>
          <w:spacing w:val="23"/>
          <w:sz w:val="20"/>
        </w:rPr>
        <w:t> </w:t>
      </w:r>
      <w:r>
        <w:rPr>
          <w:color w:val="252525"/>
          <w:sz w:val="20"/>
        </w:rPr>
        <w:t>sea</w:t>
      </w:r>
      <w:r>
        <w:rPr>
          <w:color w:val="252525"/>
          <w:spacing w:val="23"/>
          <w:sz w:val="20"/>
        </w:rPr>
        <w:t> </w:t>
      </w:r>
      <w:r>
        <w:rPr>
          <w:color w:val="252525"/>
          <w:sz w:val="20"/>
        </w:rPr>
        <w:t>case</w:t>
      </w:r>
      <w:r>
        <w:rPr>
          <w:color w:val="252525"/>
          <w:spacing w:val="23"/>
          <w:sz w:val="20"/>
        </w:rPr>
        <w:t> </w:t>
      </w:r>
      <w:r>
        <w:rPr>
          <w:color w:val="252525"/>
          <w:sz w:val="20"/>
        </w:rPr>
        <w:t>with</w:t>
      </w:r>
      <w:r>
        <w:rPr>
          <w:color w:val="252525"/>
          <w:spacing w:val="23"/>
          <w:sz w:val="20"/>
        </w:rPr>
        <w:t> </w:t>
      </w:r>
      <w:r>
        <w:rPr>
          <w:color w:val="252525"/>
          <w:sz w:val="20"/>
        </w:rPr>
        <w:t>a</w:t>
      </w:r>
      <w:r>
        <w:rPr>
          <w:color w:val="252525"/>
          <w:spacing w:val="23"/>
          <w:sz w:val="20"/>
        </w:rPr>
        <w:t> </w:t>
      </w:r>
      <w:r>
        <w:rPr>
          <w:color w:val="252525"/>
          <w:sz w:val="20"/>
        </w:rPr>
        <w:t>human</w:t>
      </w:r>
      <w:r>
        <w:rPr>
          <w:color w:val="252525"/>
          <w:spacing w:val="23"/>
          <w:sz w:val="20"/>
        </w:rPr>
        <w:t> </w:t>
      </w:r>
      <w:r>
        <w:rPr>
          <w:color w:val="252525"/>
          <w:sz w:val="20"/>
        </w:rPr>
        <w:t>rights dimension</w:t>
      </w:r>
      <w:r>
        <w:rPr>
          <w:color w:val="252525"/>
          <w:spacing w:val="39"/>
          <w:sz w:val="20"/>
        </w:rPr>
        <w:t> </w:t>
      </w:r>
      <w:r>
        <w:rPr>
          <w:color w:val="252525"/>
          <w:sz w:val="20"/>
        </w:rPr>
        <w:t>»,</w:t>
      </w:r>
      <w:r>
        <w:rPr>
          <w:color w:val="252525"/>
          <w:spacing w:val="39"/>
          <w:sz w:val="20"/>
        </w:rPr>
        <w:t> </w:t>
      </w:r>
      <w:r>
        <w:rPr>
          <w:i/>
          <w:color w:val="252525"/>
          <w:sz w:val="20"/>
        </w:rPr>
        <w:t>IJMCL</w:t>
      </w:r>
      <w:r>
        <w:rPr>
          <w:color w:val="252525"/>
          <w:sz w:val="20"/>
        </w:rPr>
        <w:t>,</w:t>
      </w:r>
      <w:r>
        <w:rPr>
          <w:color w:val="252525"/>
          <w:spacing w:val="39"/>
          <w:sz w:val="20"/>
        </w:rPr>
        <w:t> </w:t>
      </w:r>
      <w:r>
        <w:rPr>
          <w:color w:val="252525"/>
          <w:sz w:val="20"/>
        </w:rPr>
        <w:t>vol.</w:t>
      </w:r>
      <w:r>
        <w:rPr>
          <w:color w:val="252525"/>
          <w:spacing w:val="39"/>
          <w:sz w:val="20"/>
        </w:rPr>
        <w:t> </w:t>
      </w:r>
      <w:r>
        <w:rPr>
          <w:color w:val="252525"/>
          <w:sz w:val="20"/>
        </w:rPr>
        <w:t>29,</w:t>
      </w:r>
      <w:r>
        <w:rPr>
          <w:color w:val="252525"/>
          <w:spacing w:val="39"/>
          <w:sz w:val="20"/>
        </w:rPr>
        <w:t> </w:t>
      </w:r>
      <w:r>
        <w:rPr>
          <w:color w:val="252525"/>
          <w:sz w:val="20"/>
        </w:rPr>
        <w:t>issue</w:t>
      </w:r>
      <w:r>
        <w:rPr>
          <w:color w:val="252525"/>
          <w:spacing w:val="39"/>
          <w:sz w:val="20"/>
        </w:rPr>
        <w:t> </w:t>
      </w:r>
      <w:r>
        <w:rPr>
          <w:color w:val="252525"/>
          <w:sz w:val="20"/>
        </w:rPr>
        <w:t>2,</w:t>
      </w:r>
      <w:r>
        <w:rPr>
          <w:color w:val="252525"/>
          <w:spacing w:val="39"/>
          <w:sz w:val="20"/>
        </w:rPr>
        <w:t> </w:t>
      </w:r>
      <w:r>
        <w:rPr>
          <w:color w:val="252525"/>
          <w:sz w:val="20"/>
        </w:rPr>
        <w:t>p.</w:t>
      </w:r>
      <w:r>
        <w:rPr>
          <w:color w:val="252525"/>
          <w:spacing w:val="39"/>
          <w:sz w:val="20"/>
        </w:rPr>
        <w:t> </w:t>
      </w:r>
      <w:r>
        <w:rPr>
          <w:color w:val="252525"/>
          <w:sz w:val="20"/>
        </w:rPr>
        <w:t>257-258,</w:t>
      </w:r>
      <w:r>
        <w:rPr>
          <w:color w:val="252525"/>
          <w:spacing w:val="39"/>
          <w:sz w:val="20"/>
        </w:rPr>
        <w:t> </w:t>
      </w:r>
      <w:r>
        <w:rPr>
          <w:color w:val="252525"/>
          <w:sz w:val="20"/>
        </w:rPr>
        <w:t>ibid.:</w:t>
      </w:r>
      <w:r>
        <w:rPr>
          <w:color w:val="252525"/>
          <w:spacing w:val="39"/>
          <w:sz w:val="20"/>
        </w:rPr>
        <w:t> </w:t>
      </w:r>
      <w:r>
        <w:rPr>
          <w:color w:val="252525"/>
          <w:sz w:val="20"/>
        </w:rPr>
        <w:t>«</w:t>
      </w:r>
      <w:r>
        <w:rPr>
          <w:color w:val="252525"/>
          <w:spacing w:val="39"/>
          <w:sz w:val="20"/>
        </w:rPr>
        <w:t> </w:t>
      </w:r>
      <w:r>
        <w:rPr>
          <w:color w:val="252525"/>
          <w:sz w:val="20"/>
        </w:rPr>
        <w:t>Il</w:t>
      </w:r>
      <w:r>
        <w:rPr>
          <w:color w:val="252525"/>
          <w:spacing w:val="39"/>
          <w:sz w:val="20"/>
        </w:rPr>
        <w:t> </w:t>
      </w:r>
      <w:r>
        <w:rPr>
          <w:color w:val="252525"/>
          <w:sz w:val="20"/>
        </w:rPr>
        <w:t>pourrait,</w:t>
      </w:r>
      <w:r>
        <w:rPr>
          <w:color w:val="252525"/>
          <w:spacing w:val="39"/>
          <w:sz w:val="20"/>
        </w:rPr>
        <w:t> </w:t>
      </w:r>
      <w:r>
        <w:rPr>
          <w:color w:val="252525"/>
          <w:sz w:val="20"/>
        </w:rPr>
        <w:t>par</w:t>
      </w:r>
      <w:r>
        <w:rPr>
          <w:color w:val="252525"/>
          <w:spacing w:val="39"/>
          <w:sz w:val="20"/>
        </w:rPr>
        <w:t> </w:t>
      </w:r>
      <w:r>
        <w:rPr>
          <w:color w:val="252525"/>
          <w:sz w:val="20"/>
        </w:rPr>
        <w:t>exemple,</w:t>
      </w:r>
      <w:r>
        <w:rPr>
          <w:color w:val="252525"/>
          <w:spacing w:val="39"/>
          <w:sz w:val="20"/>
        </w:rPr>
        <w:t> </w:t>
      </w:r>
      <w:r>
        <w:rPr>
          <w:color w:val="252525"/>
          <w:sz w:val="20"/>
        </w:rPr>
        <w:t>s’agir</w:t>
      </w:r>
      <w:r>
        <w:rPr>
          <w:color w:val="252525"/>
          <w:spacing w:val="39"/>
          <w:sz w:val="20"/>
        </w:rPr>
        <w:t> </w:t>
      </w:r>
      <w:r>
        <w:rPr>
          <w:color w:val="252525"/>
          <w:sz w:val="20"/>
        </w:rPr>
        <w:t>d’une</w:t>
      </w:r>
      <w:r>
        <w:rPr>
          <w:color w:val="252525"/>
          <w:spacing w:val="39"/>
          <w:sz w:val="20"/>
        </w:rPr>
        <w:t> </w:t>
      </w:r>
      <w:r>
        <w:rPr>
          <w:color w:val="252525"/>
          <w:sz w:val="20"/>
        </w:rPr>
        <w:t>plateforme offshore fixe comme ce fut le cas dans l’affaire de l’</w:t>
      </w:r>
      <w:r>
        <w:rPr>
          <w:i/>
          <w:color w:val="252525"/>
          <w:sz w:val="20"/>
        </w:rPr>
        <w:t>Arctic Sunrise</w:t>
      </w:r>
      <w:r>
        <w:rPr>
          <w:sz w:val="20"/>
        </w:rPr>
        <w:t>. </w:t>
      </w:r>
      <w:r>
        <w:rPr>
          <w:color w:val="252525"/>
          <w:sz w:val="20"/>
        </w:rPr>
        <w:t>Sur ce point, il est regrettable que la CNUDM, contrairement à bien d’autres conventions maritimes, ne donne aucune définition de ce qu’est un navire ». </w:t>
      </w:r>
      <w:r>
        <w:rPr>
          <w:sz w:val="20"/>
          <w:vertAlign w:val="superscript"/>
        </w:rPr>
        <w:t>34</w:t>
      </w:r>
      <w:r>
        <w:rPr>
          <w:sz w:val="20"/>
          <w:vertAlign w:val="baseline"/>
        </w:rPr>
        <w:t>Protocole</w:t>
      </w:r>
      <w:r>
        <w:rPr>
          <w:spacing w:val="16"/>
          <w:sz w:val="20"/>
          <w:vertAlign w:val="baseline"/>
        </w:rPr>
        <w:t> </w:t>
      </w:r>
      <w:r>
        <w:rPr>
          <w:sz w:val="20"/>
          <w:vertAlign w:val="baseline"/>
        </w:rPr>
        <w:t>du</w:t>
      </w:r>
      <w:r>
        <w:rPr>
          <w:spacing w:val="16"/>
          <w:sz w:val="20"/>
          <w:vertAlign w:val="baseline"/>
        </w:rPr>
        <w:t> </w:t>
      </w:r>
      <w:r>
        <w:rPr>
          <w:sz w:val="20"/>
          <w:vertAlign w:val="baseline"/>
        </w:rPr>
        <w:t>14</w:t>
      </w:r>
      <w:r>
        <w:rPr>
          <w:spacing w:val="16"/>
          <w:sz w:val="20"/>
          <w:vertAlign w:val="baseline"/>
        </w:rPr>
        <w:t> </w:t>
      </w:r>
      <w:r>
        <w:rPr>
          <w:sz w:val="20"/>
          <w:vertAlign w:val="baseline"/>
        </w:rPr>
        <w:t>Octobre</w:t>
      </w:r>
      <w:r>
        <w:rPr>
          <w:spacing w:val="16"/>
          <w:sz w:val="20"/>
          <w:vertAlign w:val="baseline"/>
        </w:rPr>
        <w:t> </w:t>
      </w:r>
      <w:r>
        <w:rPr>
          <w:sz w:val="20"/>
          <w:vertAlign w:val="baseline"/>
        </w:rPr>
        <w:t>2005</w:t>
      </w:r>
      <w:r>
        <w:rPr>
          <w:spacing w:val="16"/>
          <w:sz w:val="20"/>
          <w:vertAlign w:val="baseline"/>
        </w:rPr>
        <w:t> </w:t>
      </w:r>
      <w:r>
        <w:rPr>
          <w:sz w:val="20"/>
          <w:vertAlign w:val="baseline"/>
        </w:rPr>
        <w:t>relatif</w:t>
      </w:r>
      <w:r>
        <w:rPr>
          <w:spacing w:val="16"/>
          <w:sz w:val="20"/>
          <w:vertAlign w:val="baseline"/>
        </w:rPr>
        <w:t> </w:t>
      </w:r>
      <w:r>
        <w:rPr>
          <w:sz w:val="20"/>
          <w:vertAlign w:val="baseline"/>
        </w:rPr>
        <w:t>à</w:t>
      </w:r>
      <w:r>
        <w:rPr>
          <w:spacing w:val="16"/>
          <w:sz w:val="20"/>
          <w:vertAlign w:val="baseline"/>
        </w:rPr>
        <w:t> </w:t>
      </w:r>
      <w:r>
        <w:rPr>
          <w:sz w:val="20"/>
          <w:vertAlign w:val="baseline"/>
        </w:rPr>
        <w:t>la</w:t>
      </w:r>
      <w:r>
        <w:rPr>
          <w:spacing w:val="16"/>
          <w:sz w:val="20"/>
          <w:vertAlign w:val="baseline"/>
        </w:rPr>
        <w:t> </w:t>
      </w:r>
      <w:r>
        <w:rPr>
          <w:sz w:val="20"/>
          <w:vertAlign w:val="baseline"/>
        </w:rPr>
        <w:t>convention pour</w:t>
      </w:r>
      <w:r>
        <w:rPr>
          <w:spacing w:val="16"/>
          <w:sz w:val="20"/>
          <w:vertAlign w:val="baseline"/>
        </w:rPr>
        <w:t> </w:t>
      </w:r>
      <w:r>
        <w:rPr>
          <w:sz w:val="20"/>
          <w:vertAlign w:val="baseline"/>
        </w:rPr>
        <w:t>la</w:t>
      </w:r>
      <w:r>
        <w:rPr>
          <w:spacing w:val="16"/>
          <w:sz w:val="20"/>
          <w:vertAlign w:val="baseline"/>
        </w:rPr>
        <w:t> </w:t>
      </w:r>
      <w:r>
        <w:rPr>
          <w:sz w:val="20"/>
          <w:vertAlign w:val="baseline"/>
        </w:rPr>
        <w:t>répression</w:t>
      </w:r>
      <w:r>
        <w:rPr>
          <w:spacing w:val="16"/>
          <w:sz w:val="20"/>
          <w:vertAlign w:val="baseline"/>
        </w:rPr>
        <w:t> </w:t>
      </w:r>
      <w:r>
        <w:rPr>
          <w:sz w:val="20"/>
          <w:vertAlign w:val="baseline"/>
        </w:rPr>
        <w:t>d'actes</w:t>
      </w:r>
      <w:r>
        <w:rPr>
          <w:spacing w:val="16"/>
          <w:sz w:val="20"/>
          <w:vertAlign w:val="baseline"/>
        </w:rPr>
        <w:t> </w:t>
      </w:r>
      <w:r>
        <w:rPr>
          <w:sz w:val="20"/>
          <w:vertAlign w:val="baseline"/>
        </w:rPr>
        <w:t>illicites</w:t>
      </w:r>
      <w:r>
        <w:rPr>
          <w:spacing w:val="16"/>
          <w:sz w:val="20"/>
          <w:vertAlign w:val="baseline"/>
        </w:rPr>
        <w:t> </w:t>
      </w:r>
      <w:r>
        <w:rPr>
          <w:sz w:val="20"/>
          <w:vertAlign w:val="baseline"/>
        </w:rPr>
        <w:t>contre</w:t>
      </w:r>
      <w:r>
        <w:rPr>
          <w:spacing w:val="16"/>
          <w:sz w:val="20"/>
          <w:vertAlign w:val="baseline"/>
        </w:rPr>
        <w:t> </w:t>
      </w:r>
      <w:r>
        <w:rPr>
          <w:sz w:val="20"/>
          <w:vertAlign w:val="baseline"/>
        </w:rPr>
        <w:t>la</w:t>
      </w:r>
      <w:r>
        <w:rPr>
          <w:spacing w:val="16"/>
          <w:sz w:val="20"/>
          <w:vertAlign w:val="baseline"/>
        </w:rPr>
        <w:t> </w:t>
      </w:r>
      <w:r>
        <w:rPr>
          <w:sz w:val="20"/>
          <w:vertAlign w:val="baseline"/>
        </w:rPr>
        <w:t>sécurité</w:t>
      </w:r>
      <w:r>
        <w:rPr>
          <w:spacing w:val="16"/>
          <w:sz w:val="20"/>
          <w:vertAlign w:val="baseline"/>
        </w:rPr>
        <w:t> </w:t>
      </w:r>
      <w:r>
        <w:rPr>
          <w:sz w:val="20"/>
          <w:vertAlign w:val="baseline"/>
        </w:rPr>
        <w:t>de</w:t>
      </w:r>
      <w:r>
        <w:rPr>
          <w:spacing w:val="16"/>
          <w:sz w:val="20"/>
          <w:vertAlign w:val="baseline"/>
        </w:rPr>
        <w:t> </w:t>
      </w:r>
      <w:r>
        <w:rPr>
          <w:sz w:val="20"/>
          <w:vertAlign w:val="baseline"/>
        </w:rPr>
        <w:t>la</w:t>
      </w:r>
    </w:p>
    <w:p>
      <w:pPr>
        <w:spacing w:after="0"/>
        <w:jc w:val="left"/>
        <w:rPr>
          <w:sz w:val="20"/>
        </w:rPr>
        <w:sectPr>
          <w:pgSz w:w="11910" w:h="16840"/>
          <w:pgMar w:header="0" w:footer="1005" w:top="1320" w:bottom="1200" w:left="1275" w:right="1133"/>
        </w:sectPr>
      </w:pPr>
    </w:p>
    <w:p>
      <w:pPr>
        <w:pStyle w:val="BodyText"/>
        <w:spacing w:before="79"/>
        <w:ind w:left="141" w:right="146"/>
        <w:jc w:val="both"/>
      </w:pPr>
      <w:r>
        <w:rPr/>
        <w:t>Cette définition extensive améliore la compréhension juridique du concept, mais laisse</w:t>
      </w:r>
      <w:r>
        <w:rPr>
          <w:spacing w:val="40"/>
        </w:rPr>
        <w:t> </w:t>
      </w:r>
      <w:r>
        <w:rPr/>
        <w:t>subsister des incertitudes quant à l’inclusion de certaines embarcations traditionnelles ou de petite taille.</w:t>
      </w:r>
    </w:p>
    <w:p>
      <w:pPr>
        <w:pStyle w:val="BodyText"/>
      </w:pPr>
    </w:p>
    <w:p>
      <w:pPr>
        <w:pStyle w:val="BodyText"/>
      </w:pPr>
    </w:p>
    <w:p>
      <w:pPr>
        <w:pStyle w:val="BodyText"/>
        <w:spacing w:before="8"/>
      </w:pPr>
    </w:p>
    <w:p>
      <w:pPr>
        <w:spacing w:before="0"/>
        <w:ind w:left="141" w:right="0" w:firstLine="0"/>
        <w:jc w:val="both"/>
        <w:rPr>
          <w:i/>
          <w:sz w:val="24"/>
        </w:rPr>
      </w:pPr>
      <w:r>
        <w:rPr>
          <w:i/>
          <w:sz w:val="24"/>
        </w:rPr>
        <w:t>Quid</w:t>
      </w:r>
      <w:r>
        <w:rPr>
          <w:i/>
          <w:spacing w:val="-6"/>
          <w:sz w:val="24"/>
        </w:rPr>
        <w:t> </w:t>
      </w:r>
      <w:r>
        <w:rPr>
          <w:i/>
          <w:sz w:val="24"/>
        </w:rPr>
        <w:t>de</w:t>
      </w:r>
      <w:r>
        <w:rPr>
          <w:i/>
          <w:spacing w:val="-3"/>
          <w:sz w:val="24"/>
        </w:rPr>
        <w:t> </w:t>
      </w:r>
      <w:r>
        <w:rPr>
          <w:i/>
          <w:sz w:val="24"/>
        </w:rPr>
        <w:t>l’implication</w:t>
      </w:r>
      <w:r>
        <w:rPr>
          <w:i/>
          <w:spacing w:val="-3"/>
          <w:sz w:val="24"/>
        </w:rPr>
        <w:t> </w:t>
      </w:r>
      <w:r>
        <w:rPr>
          <w:i/>
          <w:sz w:val="24"/>
        </w:rPr>
        <w:t>d’un</w:t>
      </w:r>
      <w:r>
        <w:rPr>
          <w:i/>
          <w:spacing w:val="-4"/>
          <w:sz w:val="24"/>
        </w:rPr>
        <w:t> </w:t>
      </w:r>
      <w:r>
        <w:rPr>
          <w:i/>
          <w:sz w:val="24"/>
        </w:rPr>
        <w:t>navire</w:t>
      </w:r>
      <w:r>
        <w:rPr>
          <w:i/>
          <w:spacing w:val="-3"/>
          <w:sz w:val="24"/>
        </w:rPr>
        <w:t> </w:t>
      </w:r>
      <w:r>
        <w:rPr>
          <w:i/>
          <w:sz w:val="24"/>
        </w:rPr>
        <w:t>d’Etat</w:t>
      </w:r>
      <w:r>
        <w:rPr>
          <w:i/>
          <w:spacing w:val="-3"/>
          <w:sz w:val="24"/>
        </w:rPr>
        <w:t> </w:t>
      </w:r>
      <w:r>
        <w:rPr>
          <w:i/>
          <w:sz w:val="24"/>
        </w:rPr>
        <w:t>dans</w:t>
      </w:r>
      <w:r>
        <w:rPr>
          <w:i/>
          <w:spacing w:val="-4"/>
          <w:sz w:val="24"/>
        </w:rPr>
        <w:t> </w:t>
      </w:r>
      <w:r>
        <w:rPr>
          <w:i/>
          <w:sz w:val="24"/>
        </w:rPr>
        <w:t>la</w:t>
      </w:r>
      <w:r>
        <w:rPr>
          <w:i/>
          <w:spacing w:val="-3"/>
          <w:sz w:val="24"/>
        </w:rPr>
        <w:t> </w:t>
      </w:r>
      <w:r>
        <w:rPr>
          <w:i/>
          <w:sz w:val="24"/>
        </w:rPr>
        <w:t>piraterie</w:t>
      </w:r>
      <w:r>
        <w:rPr>
          <w:i/>
          <w:spacing w:val="-3"/>
          <w:sz w:val="24"/>
        </w:rPr>
        <w:t> </w:t>
      </w:r>
      <w:r>
        <w:rPr>
          <w:i/>
          <w:sz w:val="24"/>
        </w:rPr>
        <w:t>maritime</w:t>
      </w:r>
      <w:r>
        <w:rPr>
          <w:i/>
          <w:spacing w:val="-3"/>
          <w:sz w:val="24"/>
        </w:rPr>
        <w:t> </w:t>
      </w:r>
      <w:r>
        <w:rPr>
          <w:i/>
          <w:spacing w:val="-10"/>
          <w:sz w:val="24"/>
        </w:rPr>
        <w:t>?</w:t>
      </w:r>
    </w:p>
    <w:p>
      <w:pPr>
        <w:pStyle w:val="BodyText"/>
        <w:spacing w:before="160"/>
        <w:ind w:left="141" w:right="143"/>
        <w:jc w:val="both"/>
      </w:pPr>
      <w:r>
        <w:rPr/>
        <w:t>La piraterie maritime qui est, par définition, dirigée par un navire contre un autre navire peut être </w:t>
      </w:r>
      <w:r>
        <w:rPr>
          <w:i/>
        </w:rPr>
        <w:t>le fait d'un navire de guerre </w:t>
      </w:r>
      <w:r>
        <w:rPr/>
        <w:t>ou </w:t>
      </w:r>
      <w:r>
        <w:rPr>
          <w:i/>
        </w:rPr>
        <w:t>d'un navire d'Etat </w:t>
      </w:r>
      <w:r>
        <w:rPr/>
        <w:t>lorsque l’équipage de celui-ci s'est mutiné</w:t>
      </w:r>
      <w:r>
        <w:rPr>
          <w:vertAlign w:val="superscript"/>
        </w:rPr>
        <w:t>35</w:t>
      </w:r>
      <w:r>
        <w:rPr>
          <w:vertAlign w:val="baseline"/>
        </w:rPr>
        <w:t>(un navire de guerre ou d’Etat contre un navire privé). En d’autres termes, les actes de piraterie, tels qu'ils sont définis à l'article 101 de la CNUDM, perpétrés par un navire de guerre ou un navire d'Etat dont l'équipage mutiné s'est rendu maître, sont assimilés à des actes commis par un navire privé</w:t>
      </w:r>
      <w:r>
        <w:rPr>
          <w:vertAlign w:val="superscript"/>
        </w:rPr>
        <w:t>36</w:t>
      </w:r>
      <w:r>
        <w:rPr>
          <w:vertAlign w:val="baseline"/>
        </w:rPr>
        <w:t>. L’immunité habituelle dont dispose un navire de guerre ou d’Etat est</w:t>
      </w:r>
      <w:r>
        <w:rPr>
          <w:spacing w:val="40"/>
          <w:vertAlign w:val="baseline"/>
        </w:rPr>
        <w:t> </w:t>
      </w:r>
      <w:r>
        <w:rPr>
          <w:vertAlign w:val="baseline"/>
        </w:rPr>
        <w:t>donc ici de plano levée étant donné que l’acte perpétré par son équipage mutiné est complètement détachable de la mission publique à laquelle il s’assigne. L’on rappelle que l’article</w:t>
      </w:r>
      <w:r>
        <w:rPr>
          <w:spacing w:val="-2"/>
          <w:vertAlign w:val="baseline"/>
        </w:rPr>
        <w:t> </w:t>
      </w:r>
      <w:r>
        <w:rPr>
          <w:vertAlign w:val="baseline"/>
        </w:rPr>
        <w:t>2</w:t>
      </w:r>
      <w:r>
        <w:rPr>
          <w:spacing w:val="-2"/>
          <w:vertAlign w:val="baseline"/>
        </w:rPr>
        <w:t> </w:t>
      </w:r>
      <w:r>
        <w:rPr>
          <w:vertAlign w:val="baseline"/>
        </w:rPr>
        <w:t>de</w:t>
      </w:r>
      <w:r>
        <w:rPr>
          <w:spacing w:val="-2"/>
          <w:vertAlign w:val="baseline"/>
        </w:rPr>
        <w:t> </w:t>
      </w:r>
      <w:r>
        <w:rPr>
          <w:vertAlign w:val="baseline"/>
        </w:rPr>
        <w:t>la</w:t>
      </w:r>
      <w:r>
        <w:rPr>
          <w:spacing w:val="-2"/>
          <w:vertAlign w:val="baseline"/>
        </w:rPr>
        <w:t> </w:t>
      </w:r>
      <w:r>
        <w:rPr>
          <w:vertAlign w:val="baseline"/>
        </w:rPr>
        <w:t>Convention</w:t>
      </w:r>
      <w:r>
        <w:rPr>
          <w:spacing w:val="-2"/>
          <w:vertAlign w:val="baseline"/>
        </w:rPr>
        <w:t> </w:t>
      </w:r>
      <w:r>
        <w:rPr>
          <w:vertAlign w:val="baseline"/>
        </w:rPr>
        <w:t>pour</w:t>
      </w:r>
      <w:r>
        <w:rPr>
          <w:spacing w:val="-2"/>
          <w:vertAlign w:val="baseline"/>
        </w:rPr>
        <w:t> </w:t>
      </w:r>
      <w:r>
        <w:rPr>
          <w:vertAlign w:val="baseline"/>
        </w:rPr>
        <w:t>la</w:t>
      </w:r>
      <w:r>
        <w:rPr>
          <w:spacing w:val="-2"/>
          <w:vertAlign w:val="baseline"/>
        </w:rPr>
        <w:t> </w:t>
      </w:r>
      <w:r>
        <w:rPr>
          <w:vertAlign w:val="baseline"/>
        </w:rPr>
        <w:t>répression</w:t>
      </w:r>
      <w:r>
        <w:rPr>
          <w:spacing w:val="-2"/>
          <w:vertAlign w:val="baseline"/>
        </w:rPr>
        <w:t> </w:t>
      </w:r>
      <w:r>
        <w:rPr>
          <w:vertAlign w:val="baseline"/>
        </w:rPr>
        <w:t>d’actes</w:t>
      </w:r>
      <w:r>
        <w:rPr>
          <w:spacing w:val="-2"/>
          <w:vertAlign w:val="baseline"/>
        </w:rPr>
        <w:t> </w:t>
      </w:r>
      <w:r>
        <w:rPr>
          <w:vertAlign w:val="baseline"/>
        </w:rPr>
        <w:t>illicites</w:t>
      </w:r>
      <w:r>
        <w:rPr>
          <w:spacing w:val="-2"/>
          <w:vertAlign w:val="baseline"/>
        </w:rPr>
        <w:t> </w:t>
      </w:r>
      <w:r>
        <w:rPr>
          <w:vertAlign w:val="baseline"/>
        </w:rPr>
        <w:t>contre</w:t>
      </w:r>
      <w:r>
        <w:rPr>
          <w:spacing w:val="-2"/>
          <w:vertAlign w:val="baseline"/>
        </w:rPr>
        <w:t> </w:t>
      </w:r>
      <w:r>
        <w:rPr>
          <w:vertAlign w:val="baseline"/>
        </w:rPr>
        <w:t>la</w:t>
      </w:r>
      <w:r>
        <w:rPr>
          <w:spacing w:val="-2"/>
          <w:vertAlign w:val="baseline"/>
        </w:rPr>
        <w:t> </w:t>
      </w:r>
      <w:r>
        <w:rPr>
          <w:vertAlign w:val="baseline"/>
        </w:rPr>
        <w:t>sécurité</w:t>
      </w:r>
      <w:r>
        <w:rPr>
          <w:spacing w:val="-2"/>
          <w:vertAlign w:val="baseline"/>
        </w:rPr>
        <w:t> </w:t>
      </w:r>
      <w:r>
        <w:rPr>
          <w:vertAlign w:val="baseline"/>
        </w:rPr>
        <w:t>de</w:t>
      </w:r>
      <w:r>
        <w:rPr>
          <w:spacing w:val="-2"/>
          <w:vertAlign w:val="baseline"/>
        </w:rPr>
        <w:t> </w:t>
      </w:r>
      <w:r>
        <w:rPr>
          <w:vertAlign w:val="baseline"/>
        </w:rPr>
        <w:t>la</w:t>
      </w:r>
      <w:r>
        <w:rPr>
          <w:spacing w:val="-2"/>
          <w:vertAlign w:val="baseline"/>
        </w:rPr>
        <w:t> </w:t>
      </w:r>
      <w:r>
        <w:rPr>
          <w:vertAlign w:val="baseline"/>
        </w:rPr>
        <w:t>navigation maritime (convention SUA), adoptée à Rome le 10 mars 1988, amendée par son Protocole additionnel du 14 octobre 2005, confère des immunités aux navires de guerre ou assimilés.</w:t>
      </w:r>
    </w:p>
    <w:p>
      <w:pPr>
        <w:pStyle w:val="BodyText"/>
        <w:spacing w:before="160"/>
        <w:ind w:left="141" w:right="143" w:firstLine="60"/>
      </w:pPr>
      <w:r>
        <w:rPr/>
        <w:t>Du reste, toujours sur le plan matériel, la définition de la piraterie pose une autre difficulté, en exigeant nécessairement comme éléments constitutifs des actes commis à « des fins privées ». La notion « des fins privées » est néanmoins très vague au point de soulever d’énormes controverses</w:t>
      </w:r>
      <w:r>
        <w:rPr>
          <w:spacing w:val="-4"/>
        </w:rPr>
        <w:t> </w:t>
      </w:r>
      <w:r>
        <w:rPr/>
        <w:t>doctrinales</w:t>
      </w:r>
      <w:r>
        <w:rPr>
          <w:vertAlign w:val="superscript"/>
        </w:rPr>
        <w:t>37</w:t>
      </w:r>
      <w:r>
        <w:rPr>
          <w:vertAlign w:val="baseline"/>
        </w:rPr>
        <w:t>.</w:t>
      </w:r>
      <w:r>
        <w:rPr>
          <w:spacing w:val="-4"/>
          <w:vertAlign w:val="baseline"/>
        </w:rPr>
        <w:t> </w:t>
      </w:r>
      <w:r>
        <w:rPr>
          <w:vertAlign w:val="baseline"/>
        </w:rPr>
        <w:t>S’agit-il</w:t>
      </w:r>
      <w:r>
        <w:rPr>
          <w:spacing w:val="-4"/>
          <w:vertAlign w:val="baseline"/>
        </w:rPr>
        <w:t> </w:t>
      </w:r>
      <w:r>
        <w:rPr>
          <w:vertAlign w:val="baseline"/>
        </w:rPr>
        <w:t>donc</w:t>
      </w:r>
      <w:r>
        <w:rPr>
          <w:spacing w:val="-4"/>
          <w:vertAlign w:val="baseline"/>
        </w:rPr>
        <w:t> </w:t>
      </w:r>
      <w:r>
        <w:rPr>
          <w:vertAlign w:val="baseline"/>
        </w:rPr>
        <w:t>d’un</w:t>
      </w:r>
      <w:r>
        <w:rPr>
          <w:spacing w:val="-4"/>
          <w:vertAlign w:val="baseline"/>
        </w:rPr>
        <w:t> </w:t>
      </w:r>
      <w:r>
        <w:rPr>
          <w:vertAlign w:val="baseline"/>
        </w:rPr>
        <w:t>intérêt</w:t>
      </w:r>
      <w:r>
        <w:rPr>
          <w:spacing w:val="-4"/>
          <w:vertAlign w:val="baseline"/>
        </w:rPr>
        <w:t> </w:t>
      </w:r>
      <w:r>
        <w:rPr>
          <w:vertAlign w:val="baseline"/>
        </w:rPr>
        <w:t>privé</w:t>
      </w:r>
      <w:r>
        <w:rPr>
          <w:spacing w:val="-4"/>
          <w:vertAlign w:val="baseline"/>
        </w:rPr>
        <w:t> </w:t>
      </w:r>
      <w:r>
        <w:rPr>
          <w:vertAlign w:val="baseline"/>
        </w:rPr>
        <w:t>individuel</w:t>
      </w:r>
      <w:r>
        <w:rPr>
          <w:spacing w:val="-4"/>
          <w:vertAlign w:val="baseline"/>
        </w:rPr>
        <w:t> </w:t>
      </w:r>
      <w:r>
        <w:rPr>
          <w:vertAlign w:val="baseline"/>
        </w:rPr>
        <w:t>ou</w:t>
      </w:r>
      <w:r>
        <w:rPr>
          <w:spacing w:val="-4"/>
          <w:vertAlign w:val="baseline"/>
        </w:rPr>
        <w:t> </w:t>
      </w:r>
      <w:r>
        <w:rPr>
          <w:vertAlign w:val="baseline"/>
        </w:rPr>
        <w:t>de</w:t>
      </w:r>
      <w:r>
        <w:rPr>
          <w:spacing w:val="-4"/>
          <w:vertAlign w:val="baseline"/>
        </w:rPr>
        <w:t> </w:t>
      </w:r>
      <w:r>
        <w:rPr>
          <w:vertAlign w:val="baseline"/>
        </w:rPr>
        <w:t>celui</w:t>
      </w:r>
      <w:r>
        <w:rPr>
          <w:spacing w:val="-4"/>
          <w:vertAlign w:val="baseline"/>
        </w:rPr>
        <w:t> </w:t>
      </w:r>
      <w:r>
        <w:rPr>
          <w:vertAlign w:val="baseline"/>
        </w:rPr>
        <w:t>d’un</w:t>
      </w:r>
      <w:r>
        <w:rPr>
          <w:spacing w:val="-4"/>
          <w:vertAlign w:val="baseline"/>
        </w:rPr>
        <w:t> </w:t>
      </w:r>
      <w:r>
        <w:rPr>
          <w:vertAlign w:val="baseline"/>
        </w:rPr>
        <w:t>groupe</w:t>
      </w:r>
      <w:r>
        <w:rPr>
          <w:spacing w:val="-4"/>
          <w:vertAlign w:val="baseline"/>
        </w:rPr>
        <w:t> </w:t>
      </w:r>
      <w:r>
        <w:rPr>
          <w:vertAlign w:val="baseline"/>
        </w:rPr>
        <w:t>?</w:t>
      </w:r>
    </w:p>
    <w:p>
      <w:pPr>
        <w:pStyle w:val="Heading4"/>
        <w:numPr>
          <w:ilvl w:val="1"/>
          <w:numId w:val="1"/>
        </w:numPr>
        <w:tabs>
          <w:tab w:pos="473" w:val="left" w:leader="none"/>
        </w:tabs>
        <w:spacing w:line="240" w:lineRule="auto" w:before="120" w:after="0"/>
        <w:ind w:left="141" w:right="146" w:firstLine="0"/>
        <w:jc w:val="left"/>
        <w:rPr>
          <w:color w:val="145F82"/>
        </w:rPr>
      </w:pPr>
      <w:r>
        <w:rPr>
          <w:color w:val="145F82"/>
        </w:rPr>
        <w:t>L’incrimination</w:t>
      </w:r>
      <w:r>
        <w:rPr>
          <w:color w:val="145F82"/>
          <w:spacing w:val="80"/>
        </w:rPr>
        <w:t> </w:t>
      </w:r>
      <w:r>
        <w:rPr>
          <w:color w:val="145F82"/>
        </w:rPr>
        <w:t>de</w:t>
      </w:r>
      <w:r>
        <w:rPr>
          <w:color w:val="145F82"/>
          <w:spacing w:val="80"/>
        </w:rPr>
        <w:t> </w:t>
      </w:r>
      <w:r>
        <w:rPr>
          <w:color w:val="145F82"/>
        </w:rPr>
        <w:t>la</w:t>
      </w:r>
      <w:r>
        <w:rPr>
          <w:color w:val="145F82"/>
          <w:spacing w:val="80"/>
        </w:rPr>
        <w:t> </w:t>
      </w:r>
      <w:r>
        <w:rPr>
          <w:color w:val="145F82"/>
        </w:rPr>
        <w:t>piraterie</w:t>
      </w:r>
      <w:r>
        <w:rPr>
          <w:color w:val="145F82"/>
          <w:spacing w:val="80"/>
        </w:rPr>
        <w:t> </w:t>
      </w:r>
      <w:r>
        <w:rPr>
          <w:color w:val="145F82"/>
        </w:rPr>
        <w:t>maritime</w:t>
      </w:r>
      <w:r>
        <w:rPr>
          <w:color w:val="145F82"/>
          <w:spacing w:val="80"/>
        </w:rPr>
        <w:t> </w:t>
      </w:r>
      <w:r>
        <w:rPr>
          <w:color w:val="145F82"/>
        </w:rPr>
        <w:t>:</w:t>
      </w:r>
      <w:r>
        <w:rPr>
          <w:color w:val="145F82"/>
          <w:spacing w:val="80"/>
        </w:rPr>
        <w:t> </w:t>
      </w:r>
      <w:r>
        <w:rPr>
          <w:color w:val="145F82"/>
        </w:rPr>
        <w:t>une</w:t>
      </w:r>
      <w:r>
        <w:rPr>
          <w:color w:val="145F82"/>
          <w:spacing w:val="80"/>
        </w:rPr>
        <w:t> </w:t>
      </w:r>
      <w:r>
        <w:rPr>
          <w:color w:val="145F82"/>
        </w:rPr>
        <w:t>absence</w:t>
      </w:r>
      <w:r>
        <w:rPr>
          <w:color w:val="145F82"/>
          <w:spacing w:val="80"/>
        </w:rPr>
        <w:t> </w:t>
      </w:r>
      <w:r>
        <w:rPr>
          <w:color w:val="145F82"/>
        </w:rPr>
        <w:t>de</w:t>
      </w:r>
      <w:r>
        <w:rPr>
          <w:color w:val="145F82"/>
          <w:spacing w:val="80"/>
        </w:rPr>
        <w:t> </w:t>
      </w:r>
      <w:r>
        <w:rPr>
          <w:color w:val="145F82"/>
        </w:rPr>
        <w:t>qualification</w:t>
      </w:r>
      <w:r>
        <w:rPr>
          <w:color w:val="145F82"/>
          <w:spacing w:val="80"/>
        </w:rPr>
        <w:t> </w:t>
      </w:r>
      <w:r>
        <w:rPr>
          <w:color w:val="145F82"/>
        </w:rPr>
        <w:t>pénale internationale autonome</w:t>
      </w:r>
    </w:p>
    <w:p>
      <w:pPr>
        <w:pStyle w:val="BodyText"/>
        <w:spacing w:before="4"/>
        <w:rPr>
          <w:b/>
        </w:rPr>
      </w:pPr>
    </w:p>
    <w:p>
      <w:pPr>
        <w:pStyle w:val="BodyText"/>
        <w:ind w:left="141" w:right="147"/>
        <w:jc w:val="both"/>
      </w:pPr>
      <w:r>
        <w:rPr/>
        <w:t>L’étude révèle que la piraterie maritime ne constitue pas, en droit international positif, une infraction pénale internationale pleinement autonome. La CNUDM ne prévoit ni incrimination explicite obligatoire ni obligation directe pour les États d’ériger la piraterie en infraction pénale </w:t>
      </w:r>
      <w:r>
        <w:rPr>
          <w:spacing w:val="-2"/>
        </w:rPr>
        <w:t>interne.</w:t>
      </w:r>
    </w:p>
    <w:p>
      <w:pPr>
        <w:pStyle w:val="BodyText"/>
        <w:spacing w:before="4"/>
      </w:pPr>
    </w:p>
    <w:p>
      <w:pPr>
        <w:pStyle w:val="BodyText"/>
        <w:ind w:left="141" w:right="143"/>
        <w:jc w:val="both"/>
      </w:pPr>
      <w:r>
        <w:rPr/>
        <w:t>Selon</w:t>
      </w:r>
      <w:r>
        <w:rPr>
          <w:spacing w:val="-1"/>
        </w:rPr>
        <w:t> </w:t>
      </w:r>
      <w:r>
        <w:rPr/>
        <w:t>la</w:t>
      </w:r>
      <w:r>
        <w:rPr>
          <w:spacing w:val="-1"/>
        </w:rPr>
        <w:t> </w:t>
      </w:r>
      <w:r>
        <w:rPr/>
        <w:t>doctrine,</w:t>
      </w:r>
      <w:r>
        <w:rPr>
          <w:spacing w:val="-1"/>
        </w:rPr>
        <w:t> </w:t>
      </w:r>
      <w:r>
        <w:rPr/>
        <w:t>notamment</w:t>
      </w:r>
      <w:r>
        <w:rPr>
          <w:spacing w:val="-1"/>
        </w:rPr>
        <w:t> </w:t>
      </w:r>
      <w:r>
        <w:rPr/>
        <w:t>le</w:t>
      </w:r>
      <w:r>
        <w:rPr>
          <w:spacing w:val="-1"/>
        </w:rPr>
        <w:t> </w:t>
      </w:r>
      <w:r>
        <w:rPr/>
        <w:t>professeur</w:t>
      </w:r>
      <w:r>
        <w:rPr>
          <w:spacing w:val="-1"/>
        </w:rPr>
        <w:t> </w:t>
      </w:r>
      <w:r>
        <w:rPr/>
        <w:t>Lombois,</w:t>
      </w:r>
      <w:r>
        <w:rPr>
          <w:spacing w:val="-1"/>
        </w:rPr>
        <w:t> </w:t>
      </w:r>
      <w:r>
        <w:rPr/>
        <w:t>une</w:t>
      </w:r>
      <w:r>
        <w:rPr>
          <w:spacing w:val="-1"/>
        </w:rPr>
        <w:t> </w:t>
      </w:r>
      <w:r>
        <w:rPr/>
        <w:t>convention</w:t>
      </w:r>
      <w:r>
        <w:rPr>
          <w:spacing w:val="-1"/>
        </w:rPr>
        <w:t> </w:t>
      </w:r>
      <w:r>
        <w:rPr/>
        <w:t>internationale</w:t>
      </w:r>
      <w:r>
        <w:rPr>
          <w:spacing w:val="-1"/>
        </w:rPr>
        <w:t> </w:t>
      </w:r>
      <w:r>
        <w:rPr/>
        <w:t>ne</w:t>
      </w:r>
      <w:r>
        <w:rPr>
          <w:spacing w:val="-1"/>
        </w:rPr>
        <w:t> </w:t>
      </w:r>
      <w:r>
        <w:rPr/>
        <w:t>peut</w:t>
      </w:r>
      <w:r>
        <w:rPr>
          <w:spacing w:val="-1"/>
        </w:rPr>
        <w:t> </w:t>
      </w:r>
      <w:r>
        <w:rPr/>
        <w:t>être considérée</w:t>
      </w:r>
      <w:r>
        <w:rPr>
          <w:spacing w:val="40"/>
        </w:rPr>
        <w:t> </w:t>
      </w:r>
      <w:r>
        <w:rPr/>
        <w:t>comme</w:t>
      </w:r>
      <w:r>
        <w:rPr>
          <w:spacing w:val="40"/>
        </w:rPr>
        <w:t> </w:t>
      </w:r>
      <w:r>
        <w:rPr/>
        <w:t>créatrice</w:t>
      </w:r>
      <w:r>
        <w:rPr>
          <w:spacing w:val="40"/>
        </w:rPr>
        <w:t> </w:t>
      </w:r>
      <w:r>
        <w:rPr/>
        <w:t>d’infraction</w:t>
      </w:r>
      <w:r>
        <w:rPr>
          <w:spacing w:val="40"/>
        </w:rPr>
        <w:t> </w:t>
      </w:r>
      <w:r>
        <w:rPr/>
        <w:t>pénale</w:t>
      </w:r>
      <w:r>
        <w:rPr>
          <w:spacing w:val="40"/>
        </w:rPr>
        <w:t> </w:t>
      </w:r>
      <w:r>
        <w:rPr/>
        <w:t>que</w:t>
      </w:r>
      <w:r>
        <w:rPr>
          <w:spacing w:val="40"/>
        </w:rPr>
        <w:t> </w:t>
      </w:r>
      <w:r>
        <w:rPr/>
        <w:t>si</w:t>
      </w:r>
      <w:r>
        <w:rPr>
          <w:spacing w:val="40"/>
        </w:rPr>
        <w:t> </w:t>
      </w:r>
      <w:r>
        <w:rPr/>
        <w:t>elle</w:t>
      </w:r>
      <w:r>
        <w:rPr>
          <w:spacing w:val="40"/>
        </w:rPr>
        <w:t> </w:t>
      </w:r>
      <w:r>
        <w:rPr/>
        <w:t>remplit</w:t>
      </w:r>
      <w:r>
        <w:rPr>
          <w:spacing w:val="40"/>
        </w:rPr>
        <w:t> </w:t>
      </w:r>
      <w:r>
        <w:rPr/>
        <w:t>deux</w:t>
      </w:r>
      <w:r>
        <w:rPr>
          <w:spacing w:val="40"/>
        </w:rPr>
        <w:t> </w:t>
      </w:r>
      <w:r>
        <w:rPr/>
        <w:t>conditions cumulatives : la précision des comportements incriminés et l’obligation explicite d’incrimination en droit interne</w:t>
      </w:r>
      <w:r>
        <w:rPr>
          <w:vertAlign w:val="superscript"/>
        </w:rPr>
        <w:t>38</w:t>
      </w:r>
      <w:r>
        <w:rPr>
          <w:vertAlign w:val="baseline"/>
        </w:rPr>
        <w:t>. Or, ces conditions ne sont pas pleinement satisfaites par la </w:t>
      </w:r>
      <w:r>
        <w:rPr>
          <w:spacing w:val="-2"/>
          <w:vertAlign w:val="baseline"/>
        </w:rPr>
        <w:t>CNUDM</w:t>
      </w:r>
      <w:r>
        <w:rPr>
          <w:spacing w:val="-2"/>
          <w:vertAlign w:val="superscript"/>
        </w:rPr>
        <w:t>39</w:t>
      </w:r>
      <w:r>
        <w:rPr>
          <w:spacing w:val="-2"/>
          <w:vertAlign w:val="baseline"/>
        </w:rPr>
        <w:t>.</w:t>
      </w:r>
    </w:p>
    <w:p>
      <w:pPr>
        <w:pStyle w:val="BodyText"/>
        <w:rPr>
          <w:sz w:val="20"/>
        </w:rPr>
      </w:pPr>
    </w:p>
    <w:p>
      <w:pPr>
        <w:pStyle w:val="BodyText"/>
        <w:rPr>
          <w:sz w:val="20"/>
        </w:rPr>
      </w:pPr>
    </w:p>
    <w:p>
      <w:pPr>
        <w:pStyle w:val="BodyText"/>
        <w:spacing w:before="34"/>
        <w:rPr>
          <w:sz w:val="20"/>
        </w:rPr>
      </w:pPr>
      <w:r>
        <w:rPr>
          <w:sz w:val="20"/>
        </w:rPr>
        <mc:AlternateContent>
          <mc:Choice Requires="wps">
            <w:drawing>
              <wp:anchor distT="0" distB="0" distL="0" distR="0" allowOverlap="1" layoutInCell="1" locked="0" behindDoc="1" simplePos="0" relativeHeight="487591936">
                <wp:simplePos x="0" y="0"/>
                <wp:positionH relativeFrom="page">
                  <wp:posOffset>899794</wp:posOffset>
                </wp:positionH>
                <wp:positionV relativeFrom="paragraph">
                  <wp:posOffset>183413</wp:posOffset>
                </wp:positionV>
                <wp:extent cx="5851525" cy="127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5851525" cy="1270"/>
                        </a:xfrm>
                        <a:custGeom>
                          <a:avLst/>
                          <a:gdLst/>
                          <a:ahLst/>
                          <a:cxnLst/>
                          <a:rect l="l" t="t" r="r" b="b"/>
                          <a:pathLst>
                            <a:path w="5851525" h="0">
                              <a:moveTo>
                                <a:pt x="0" y="0"/>
                              </a:moveTo>
                              <a:lnTo>
                                <a:pt x="5851525" y="0"/>
                              </a:lnTo>
                            </a:path>
                          </a:pathLst>
                        </a:custGeom>
                        <a:ln w="776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4.441969pt;width:460.75pt;height:.1pt;mso-position-horizontal-relative:page;mso-position-vertical-relative:paragraph;z-index:-15724544;mso-wrap-distance-left:0;mso-wrap-distance-right:0" id="docshape9" coordorigin="1417,289" coordsize="9215,0" path="m1417,289l10632,289e" filled="false" stroked="true" strokeweight=".61109pt" strokecolor="#000000">
                <v:path arrowok="t"/>
                <v:stroke dashstyle="solid"/>
                <w10:wrap type="topAndBottom"/>
              </v:shape>
            </w:pict>
          </mc:Fallback>
        </mc:AlternateContent>
      </w:r>
    </w:p>
    <w:p>
      <w:pPr>
        <w:spacing w:before="144"/>
        <w:ind w:left="141" w:right="0" w:firstLine="0"/>
        <w:jc w:val="left"/>
        <w:rPr>
          <w:sz w:val="20"/>
        </w:rPr>
      </w:pPr>
      <w:r>
        <w:rPr>
          <w:sz w:val="20"/>
        </w:rPr>
        <w:t>navigation</w:t>
      </w:r>
      <w:r>
        <w:rPr>
          <w:spacing w:val="33"/>
          <w:sz w:val="20"/>
        </w:rPr>
        <w:t> </w:t>
      </w:r>
      <w:r>
        <w:rPr>
          <w:sz w:val="20"/>
        </w:rPr>
        <w:t>maritime</w:t>
      </w:r>
      <w:r>
        <w:rPr>
          <w:spacing w:val="33"/>
          <w:sz w:val="20"/>
        </w:rPr>
        <w:t> </w:t>
      </w:r>
      <w:r>
        <w:rPr>
          <w:sz w:val="20"/>
        </w:rPr>
        <w:t>du</w:t>
      </w:r>
      <w:r>
        <w:rPr>
          <w:spacing w:val="33"/>
          <w:sz w:val="20"/>
        </w:rPr>
        <w:t> </w:t>
      </w:r>
      <w:r>
        <w:rPr>
          <w:sz w:val="20"/>
        </w:rPr>
        <w:t>10</w:t>
      </w:r>
      <w:r>
        <w:rPr>
          <w:spacing w:val="33"/>
          <w:sz w:val="20"/>
        </w:rPr>
        <w:t> </w:t>
      </w:r>
      <w:r>
        <w:rPr>
          <w:sz w:val="20"/>
        </w:rPr>
        <w:t>Mars</w:t>
      </w:r>
      <w:r>
        <w:rPr>
          <w:spacing w:val="33"/>
          <w:sz w:val="20"/>
        </w:rPr>
        <w:t> </w:t>
      </w:r>
      <w:r>
        <w:rPr>
          <w:sz w:val="20"/>
        </w:rPr>
        <w:t>1988,</w:t>
      </w:r>
      <w:r>
        <w:rPr>
          <w:spacing w:val="33"/>
          <w:sz w:val="20"/>
        </w:rPr>
        <w:t> </w:t>
      </w:r>
      <w:r>
        <w:rPr>
          <w:sz w:val="20"/>
        </w:rPr>
        <w:t>dite</w:t>
      </w:r>
      <w:r>
        <w:rPr>
          <w:spacing w:val="33"/>
          <w:sz w:val="20"/>
        </w:rPr>
        <w:t> </w:t>
      </w:r>
      <w:r>
        <w:rPr>
          <w:sz w:val="20"/>
        </w:rPr>
        <w:t>«</w:t>
      </w:r>
      <w:r>
        <w:rPr>
          <w:spacing w:val="33"/>
          <w:sz w:val="20"/>
        </w:rPr>
        <w:t> </w:t>
      </w:r>
      <w:r>
        <w:rPr>
          <w:sz w:val="20"/>
        </w:rPr>
        <w:t>Convention</w:t>
      </w:r>
      <w:r>
        <w:rPr>
          <w:spacing w:val="33"/>
          <w:sz w:val="20"/>
        </w:rPr>
        <w:t> </w:t>
      </w:r>
      <w:r>
        <w:rPr>
          <w:sz w:val="20"/>
        </w:rPr>
        <w:t>SUA</w:t>
      </w:r>
      <w:r>
        <w:rPr>
          <w:spacing w:val="33"/>
          <w:sz w:val="20"/>
        </w:rPr>
        <w:t> </w:t>
      </w:r>
      <w:r>
        <w:rPr>
          <w:sz w:val="20"/>
        </w:rPr>
        <w:t>»,</w:t>
      </w:r>
      <w:r>
        <w:rPr>
          <w:spacing w:val="33"/>
          <w:sz w:val="20"/>
        </w:rPr>
        <w:t> </w:t>
      </w:r>
      <w:r>
        <w:rPr>
          <w:sz w:val="20"/>
        </w:rPr>
        <w:t>article</w:t>
      </w:r>
      <w:r>
        <w:rPr>
          <w:spacing w:val="33"/>
          <w:sz w:val="20"/>
        </w:rPr>
        <w:t> </w:t>
      </w:r>
      <w:r>
        <w:rPr>
          <w:sz w:val="20"/>
        </w:rPr>
        <w:t>2</w:t>
      </w:r>
      <w:r>
        <w:rPr>
          <w:spacing w:val="33"/>
          <w:sz w:val="20"/>
        </w:rPr>
        <w:t> </w:t>
      </w:r>
      <w:r>
        <w:rPr>
          <w:sz w:val="20"/>
        </w:rPr>
        <w:t>:</w:t>
      </w:r>
      <w:r>
        <w:rPr>
          <w:spacing w:val="33"/>
          <w:sz w:val="20"/>
        </w:rPr>
        <w:t> </w:t>
      </w:r>
      <w:r>
        <w:rPr>
          <w:sz w:val="20"/>
        </w:rPr>
        <w:t>Cet</w:t>
      </w:r>
      <w:r>
        <w:rPr>
          <w:spacing w:val="33"/>
          <w:sz w:val="20"/>
        </w:rPr>
        <w:t> </w:t>
      </w:r>
      <w:r>
        <w:rPr>
          <w:sz w:val="20"/>
        </w:rPr>
        <w:t>article</w:t>
      </w:r>
      <w:r>
        <w:rPr>
          <w:spacing w:val="33"/>
          <w:sz w:val="20"/>
        </w:rPr>
        <w:t> </w:t>
      </w:r>
      <w:r>
        <w:rPr>
          <w:sz w:val="20"/>
        </w:rPr>
        <w:t>2</w:t>
      </w:r>
      <w:r>
        <w:rPr>
          <w:spacing w:val="33"/>
          <w:sz w:val="20"/>
        </w:rPr>
        <w:t> </w:t>
      </w:r>
      <w:r>
        <w:rPr>
          <w:sz w:val="20"/>
        </w:rPr>
        <w:t>du</w:t>
      </w:r>
      <w:r>
        <w:rPr>
          <w:spacing w:val="33"/>
          <w:sz w:val="20"/>
        </w:rPr>
        <w:t> </w:t>
      </w:r>
      <w:r>
        <w:rPr>
          <w:sz w:val="20"/>
        </w:rPr>
        <w:t>Protocole</w:t>
      </w:r>
      <w:r>
        <w:rPr>
          <w:spacing w:val="33"/>
          <w:sz w:val="20"/>
        </w:rPr>
        <w:t> </w:t>
      </w:r>
      <w:r>
        <w:rPr>
          <w:sz w:val="20"/>
        </w:rPr>
        <w:t>avait modifié l’article 1</w:t>
      </w:r>
      <w:r>
        <w:rPr>
          <w:sz w:val="20"/>
          <w:vertAlign w:val="superscript"/>
        </w:rPr>
        <w:t>er</w:t>
      </w:r>
      <w:r>
        <w:rPr>
          <w:sz w:val="20"/>
          <w:vertAlign w:val="baseline"/>
        </w:rPr>
        <w:t> (1) (a) de ladite Convention SUA.</w:t>
      </w:r>
    </w:p>
    <w:p>
      <w:pPr>
        <w:spacing w:before="0"/>
        <w:ind w:left="141" w:right="0" w:firstLine="0"/>
        <w:jc w:val="left"/>
        <w:rPr>
          <w:sz w:val="20"/>
        </w:rPr>
      </w:pPr>
      <w:r>
        <w:rPr>
          <w:sz w:val="20"/>
          <w:vertAlign w:val="superscript"/>
        </w:rPr>
        <w:t>35</w:t>
      </w:r>
      <w:r>
        <w:rPr>
          <w:sz w:val="20"/>
          <w:vertAlign w:val="baseline"/>
        </w:rPr>
        <w:t>CNUDM,</w:t>
      </w:r>
      <w:r>
        <w:rPr>
          <w:spacing w:val="-3"/>
          <w:sz w:val="20"/>
          <w:vertAlign w:val="baseline"/>
        </w:rPr>
        <w:t> </w:t>
      </w:r>
      <w:r>
        <w:rPr>
          <w:sz w:val="20"/>
          <w:vertAlign w:val="baseline"/>
        </w:rPr>
        <w:t>article</w:t>
      </w:r>
      <w:r>
        <w:rPr>
          <w:spacing w:val="-3"/>
          <w:sz w:val="20"/>
          <w:vertAlign w:val="baseline"/>
        </w:rPr>
        <w:t> </w:t>
      </w:r>
      <w:r>
        <w:rPr>
          <w:spacing w:val="-4"/>
          <w:sz w:val="20"/>
          <w:vertAlign w:val="baseline"/>
        </w:rPr>
        <w:t>102.</w:t>
      </w:r>
    </w:p>
    <w:p>
      <w:pPr>
        <w:spacing w:before="0"/>
        <w:ind w:left="141" w:right="0" w:firstLine="0"/>
        <w:jc w:val="left"/>
        <w:rPr>
          <w:sz w:val="20"/>
        </w:rPr>
      </w:pPr>
      <w:r>
        <w:rPr>
          <w:spacing w:val="-2"/>
          <w:sz w:val="20"/>
          <w:vertAlign w:val="superscript"/>
        </w:rPr>
        <w:t>36</w:t>
      </w:r>
      <w:r>
        <w:rPr>
          <w:spacing w:val="-2"/>
          <w:sz w:val="20"/>
          <w:vertAlign w:val="baseline"/>
        </w:rPr>
        <w:t>Ibid.</w:t>
      </w:r>
    </w:p>
    <w:p>
      <w:pPr>
        <w:spacing w:before="0"/>
        <w:ind w:left="141" w:right="0" w:firstLine="0"/>
        <w:jc w:val="left"/>
        <w:rPr>
          <w:sz w:val="20"/>
        </w:rPr>
      </w:pPr>
      <w:r>
        <w:rPr>
          <w:sz w:val="20"/>
          <w:vertAlign w:val="superscript"/>
        </w:rPr>
        <w:t>37</w:t>
      </w:r>
      <w:r>
        <w:rPr>
          <w:color w:val="252525"/>
          <w:sz w:val="20"/>
          <w:vertAlign w:val="baseline"/>
        </w:rPr>
        <w:t>J.</w:t>
      </w:r>
      <w:r>
        <w:rPr>
          <w:color w:val="252525"/>
          <w:spacing w:val="-11"/>
          <w:sz w:val="20"/>
          <w:vertAlign w:val="baseline"/>
        </w:rPr>
        <w:t> </w:t>
      </w:r>
      <w:r>
        <w:rPr>
          <w:color w:val="252525"/>
          <w:sz w:val="20"/>
          <w:vertAlign w:val="baseline"/>
        </w:rPr>
        <w:t>K</w:t>
      </w:r>
      <w:r>
        <w:rPr>
          <w:color w:val="252525"/>
          <w:sz w:val="16"/>
          <w:vertAlign w:val="baseline"/>
        </w:rPr>
        <w:t>RASKA</w:t>
      </w:r>
      <w:r>
        <w:rPr>
          <w:color w:val="252525"/>
          <w:sz w:val="20"/>
          <w:vertAlign w:val="baseline"/>
        </w:rPr>
        <w:t>, </w:t>
      </w:r>
      <w:r>
        <w:rPr>
          <w:i/>
          <w:color w:val="252525"/>
          <w:sz w:val="20"/>
          <w:vertAlign w:val="baseline"/>
        </w:rPr>
        <w:t>Contemporary</w:t>
      </w:r>
      <w:r>
        <w:rPr>
          <w:i/>
          <w:color w:val="252525"/>
          <w:spacing w:val="-1"/>
          <w:sz w:val="20"/>
          <w:vertAlign w:val="baseline"/>
        </w:rPr>
        <w:t> </w:t>
      </w:r>
      <w:r>
        <w:rPr>
          <w:i/>
          <w:color w:val="252525"/>
          <w:sz w:val="20"/>
          <w:vertAlign w:val="baseline"/>
        </w:rPr>
        <w:t>maritime</w:t>
      </w:r>
      <w:r>
        <w:rPr>
          <w:i/>
          <w:color w:val="252525"/>
          <w:spacing w:val="-1"/>
          <w:sz w:val="20"/>
          <w:vertAlign w:val="baseline"/>
        </w:rPr>
        <w:t> </w:t>
      </w:r>
      <w:r>
        <w:rPr>
          <w:i/>
          <w:color w:val="252525"/>
          <w:sz w:val="20"/>
          <w:vertAlign w:val="baseline"/>
        </w:rPr>
        <w:t>piracy: international</w:t>
      </w:r>
      <w:r>
        <w:rPr>
          <w:i/>
          <w:color w:val="252525"/>
          <w:spacing w:val="-1"/>
          <w:sz w:val="20"/>
          <w:vertAlign w:val="baseline"/>
        </w:rPr>
        <w:t> </w:t>
      </w:r>
      <w:r>
        <w:rPr>
          <w:i/>
          <w:color w:val="252525"/>
          <w:sz w:val="20"/>
          <w:vertAlign w:val="baseline"/>
        </w:rPr>
        <w:t>law,</w:t>
      </w:r>
      <w:r>
        <w:rPr>
          <w:i/>
          <w:color w:val="252525"/>
          <w:spacing w:val="-1"/>
          <w:sz w:val="20"/>
          <w:vertAlign w:val="baseline"/>
        </w:rPr>
        <w:t> </w:t>
      </w:r>
      <w:r>
        <w:rPr>
          <w:i/>
          <w:color w:val="252525"/>
          <w:sz w:val="20"/>
          <w:vertAlign w:val="baseline"/>
        </w:rPr>
        <w:t>strategy, and</w:t>
      </w:r>
      <w:r>
        <w:rPr>
          <w:i/>
          <w:color w:val="252525"/>
          <w:spacing w:val="-1"/>
          <w:sz w:val="20"/>
          <w:vertAlign w:val="baseline"/>
        </w:rPr>
        <w:t> </w:t>
      </w:r>
      <w:r>
        <w:rPr>
          <w:i/>
          <w:color w:val="252525"/>
          <w:sz w:val="20"/>
          <w:vertAlign w:val="baseline"/>
        </w:rPr>
        <w:t>diplomacy</w:t>
      </w:r>
      <w:r>
        <w:rPr>
          <w:i/>
          <w:color w:val="252525"/>
          <w:spacing w:val="-1"/>
          <w:sz w:val="20"/>
          <w:vertAlign w:val="baseline"/>
        </w:rPr>
        <w:t> </w:t>
      </w:r>
      <w:r>
        <w:rPr>
          <w:i/>
          <w:color w:val="252525"/>
          <w:sz w:val="20"/>
          <w:vertAlign w:val="baseline"/>
        </w:rPr>
        <w:t>at sea</w:t>
      </w:r>
      <w:r>
        <w:rPr>
          <w:color w:val="252525"/>
          <w:sz w:val="20"/>
          <w:vertAlign w:val="baseline"/>
        </w:rPr>
        <w:t>,</w:t>
      </w:r>
      <w:r>
        <w:rPr>
          <w:color w:val="252525"/>
          <w:spacing w:val="-1"/>
          <w:sz w:val="20"/>
          <w:vertAlign w:val="baseline"/>
        </w:rPr>
        <w:t> </w:t>
      </w:r>
      <w:r>
        <w:rPr>
          <w:color w:val="252525"/>
          <w:sz w:val="20"/>
          <w:vertAlign w:val="baseline"/>
        </w:rPr>
        <w:t>ed.</w:t>
      </w:r>
      <w:r>
        <w:rPr>
          <w:color w:val="252525"/>
          <w:spacing w:val="-1"/>
          <w:sz w:val="20"/>
          <w:vertAlign w:val="baseline"/>
        </w:rPr>
        <w:t> </w:t>
      </w:r>
      <w:r>
        <w:rPr>
          <w:color w:val="252525"/>
          <w:sz w:val="20"/>
          <w:vertAlign w:val="baseline"/>
        </w:rPr>
        <w:t>Praeger, </w:t>
      </w:r>
      <w:r>
        <w:rPr>
          <w:color w:val="252525"/>
          <w:spacing w:val="-2"/>
          <w:sz w:val="20"/>
          <w:vertAlign w:val="baseline"/>
        </w:rPr>
        <w:t>2011,</w:t>
      </w:r>
    </w:p>
    <w:p>
      <w:pPr>
        <w:spacing w:before="0"/>
        <w:ind w:left="141" w:right="139" w:firstLine="0"/>
        <w:jc w:val="both"/>
        <w:rPr>
          <w:sz w:val="20"/>
        </w:rPr>
      </w:pPr>
      <w:r>
        <w:rPr>
          <w:color w:val="252525"/>
          <w:sz w:val="20"/>
        </w:rPr>
        <w:t>p. 128-131 ; J.</w:t>
      </w:r>
      <w:r>
        <w:rPr>
          <w:color w:val="252525"/>
          <w:spacing w:val="-8"/>
          <w:sz w:val="20"/>
        </w:rPr>
        <w:t> </w:t>
      </w:r>
      <w:r>
        <w:rPr>
          <w:color w:val="252525"/>
          <w:sz w:val="20"/>
        </w:rPr>
        <w:t>P.</w:t>
      </w:r>
      <w:r>
        <w:rPr>
          <w:color w:val="252525"/>
          <w:spacing w:val="-8"/>
          <w:sz w:val="20"/>
        </w:rPr>
        <w:t> </w:t>
      </w:r>
      <w:r>
        <w:rPr>
          <w:color w:val="252525"/>
          <w:sz w:val="20"/>
        </w:rPr>
        <w:t>P</w:t>
      </w:r>
      <w:r>
        <w:rPr>
          <w:color w:val="252525"/>
          <w:sz w:val="16"/>
        </w:rPr>
        <w:t>ANCRACIO</w:t>
      </w:r>
      <w:r>
        <w:rPr>
          <w:color w:val="252525"/>
          <w:sz w:val="20"/>
        </w:rPr>
        <w:t>, </w:t>
      </w:r>
      <w:r>
        <w:rPr>
          <w:i/>
          <w:color w:val="252525"/>
          <w:sz w:val="20"/>
        </w:rPr>
        <w:t>Droit de la mer</w:t>
      </w:r>
      <w:r>
        <w:rPr>
          <w:color w:val="252525"/>
          <w:sz w:val="20"/>
        </w:rPr>
        <w:t>, 1</w:t>
      </w:r>
      <w:r>
        <w:rPr>
          <w:color w:val="252525"/>
          <w:sz w:val="20"/>
          <w:vertAlign w:val="superscript"/>
        </w:rPr>
        <w:t>re</w:t>
      </w:r>
      <w:r>
        <w:rPr>
          <w:color w:val="252525"/>
          <w:sz w:val="20"/>
          <w:vertAlign w:val="baseline"/>
        </w:rPr>
        <w:t> éd., Dalloz, 2010, p. 450 ; R.</w:t>
      </w:r>
      <w:r>
        <w:rPr>
          <w:color w:val="252525"/>
          <w:spacing w:val="-8"/>
          <w:sz w:val="20"/>
          <w:vertAlign w:val="baseline"/>
        </w:rPr>
        <w:t> </w:t>
      </w:r>
      <w:r>
        <w:rPr>
          <w:color w:val="252525"/>
          <w:sz w:val="20"/>
          <w:vertAlign w:val="baseline"/>
        </w:rPr>
        <w:t>W</w:t>
      </w:r>
      <w:r>
        <w:rPr>
          <w:color w:val="252525"/>
          <w:sz w:val="16"/>
          <w:vertAlign w:val="baseline"/>
        </w:rPr>
        <w:t>OLFRUM</w:t>
      </w:r>
      <w:r>
        <w:rPr>
          <w:color w:val="252525"/>
          <w:sz w:val="20"/>
          <w:vertAlign w:val="baseline"/>
        </w:rPr>
        <w:t>, « Fighting terrorism at sea: options and limitations under international law », in M. H. N</w:t>
      </w:r>
      <w:r>
        <w:rPr>
          <w:color w:val="252525"/>
          <w:sz w:val="16"/>
          <w:vertAlign w:val="baseline"/>
        </w:rPr>
        <w:t>ORDQUIST</w:t>
      </w:r>
      <w:r>
        <w:rPr>
          <w:color w:val="252525"/>
          <w:sz w:val="20"/>
          <w:vertAlign w:val="baseline"/>
        </w:rPr>
        <w:t>, R. W</w:t>
      </w:r>
      <w:r>
        <w:rPr>
          <w:color w:val="252525"/>
          <w:sz w:val="16"/>
          <w:vertAlign w:val="baseline"/>
        </w:rPr>
        <w:t>OLFRUM</w:t>
      </w:r>
      <w:r>
        <w:rPr>
          <w:color w:val="252525"/>
          <w:sz w:val="20"/>
          <w:vertAlign w:val="baseline"/>
        </w:rPr>
        <w:t>, R. L</w:t>
      </w:r>
      <w:r>
        <w:rPr>
          <w:color w:val="252525"/>
          <w:sz w:val="16"/>
          <w:vertAlign w:val="baseline"/>
        </w:rPr>
        <w:t>ONG</w:t>
      </w:r>
      <w:r>
        <w:rPr>
          <w:color w:val="252525"/>
          <w:sz w:val="20"/>
          <w:vertAlign w:val="baseline"/>
        </w:rPr>
        <w:t>, </w:t>
      </w:r>
      <w:r>
        <w:rPr>
          <w:i/>
          <w:color w:val="252525"/>
          <w:sz w:val="20"/>
          <w:vertAlign w:val="baseline"/>
        </w:rPr>
        <w:t>Legal challenges in maritime security</w:t>
      </w:r>
      <w:r>
        <w:rPr>
          <w:color w:val="252525"/>
          <w:sz w:val="20"/>
          <w:vertAlign w:val="baseline"/>
        </w:rPr>
        <w:t>, ed. Brill Nijhoff, 2008, p. 8-10 ; D.</w:t>
      </w:r>
      <w:r>
        <w:rPr>
          <w:color w:val="252525"/>
          <w:spacing w:val="-10"/>
          <w:sz w:val="20"/>
          <w:vertAlign w:val="baseline"/>
        </w:rPr>
        <w:t> </w:t>
      </w:r>
      <w:r>
        <w:rPr>
          <w:color w:val="252525"/>
          <w:sz w:val="20"/>
          <w:vertAlign w:val="baseline"/>
        </w:rPr>
        <w:t>G</w:t>
      </w:r>
      <w:r>
        <w:rPr>
          <w:color w:val="252525"/>
          <w:sz w:val="16"/>
          <w:vertAlign w:val="baseline"/>
        </w:rPr>
        <w:t>UILFOYLE</w:t>
      </w:r>
      <w:r>
        <w:rPr>
          <w:color w:val="252525"/>
          <w:sz w:val="20"/>
          <w:vertAlign w:val="baseline"/>
        </w:rPr>
        <w:t>, </w:t>
      </w:r>
      <w:r>
        <w:rPr>
          <w:i/>
          <w:color w:val="252525"/>
          <w:sz w:val="20"/>
          <w:vertAlign w:val="baseline"/>
        </w:rPr>
        <w:t>Shipping interdiction and the law of the sea</w:t>
      </w:r>
      <w:r>
        <w:rPr>
          <w:color w:val="252525"/>
          <w:sz w:val="20"/>
          <w:vertAlign w:val="baseline"/>
        </w:rPr>
        <w:t>, p. 32-38 ; N. H</w:t>
      </w:r>
      <w:r>
        <w:rPr>
          <w:color w:val="252525"/>
          <w:sz w:val="16"/>
          <w:vertAlign w:val="baseline"/>
        </w:rPr>
        <w:t>ONNIBALL</w:t>
      </w:r>
      <w:r>
        <w:rPr>
          <w:color w:val="252525"/>
          <w:sz w:val="20"/>
          <w:vertAlign w:val="baseline"/>
        </w:rPr>
        <w:t>, « Private political activists and the international law definition of piracy: action for ‘private ends’ », </w:t>
      </w:r>
      <w:r>
        <w:rPr>
          <w:i/>
          <w:color w:val="252525"/>
          <w:sz w:val="20"/>
          <w:vertAlign w:val="baseline"/>
        </w:rPr>
        <w:t>Adelaide Law Review</w:t>
      </w:r>
      <w:r>
        <w:rPr>
          <w:color w:val="252525"/>
          <w:sz w:val="20"/>
          <w:vertAlign w:val="baseline"/>
        </w:rPr>
        <w:t>, vol. 36, 2015, p. 279-328, cités par </w:t>
      </w:r>
      <w:hyperlink r:id="rId8">
        <w:r>
          <w:rPr>
            <w:sz w:val="20"/>
            <w:vertAlign w:val="baseline"/>
          </w:rPr>
          <w:t>Yann TEPHANY</w:t>
        </w:r>
      </w:hyperlink>
      <w:r>
        <w:rPr>
          <w:sz w:val="20"/>
          <w:vertAlign w:val="baseline"/>
        </w:rPr>
        <w:t>, La CNUDM et la lutte contre les activités illicites en mer, loc.cit.</w:t>
      </w:r>
    </w:p>
    <w:p>
      <w:pPr>
        <w:spacing w:before="0"/>
        <w:ind w:left="141" w:right="0" w:firstLine="0"/>
        <w:jc w:val="both"/>
        <w:rPr>
          <w:sz w:val="20"/>
        </w:rPr>
      </w:pPr>
      <w:r>
        <w:rPr>
          <w:sz w:val="20"/>
          <w:vertAlign w:val="superscript"/>
        </w:rPr>
        <w:t>38</w:t>
      </w:r>
      <w:r>
        <w:rPr>
          <w:sz w:val="20"/>
          <w:vertAlign w:val="baseline"/>
        </w:rPr>
        <w:t>C.</w:t>
      </w:r>
      <w:r>
        <w:rPr>
          <w:spacing w:val="-12"/>
          <w:sz w:val="20"/>
          <w:vertAlign w:val="baseline"/>
        </w:rPr>
        <w:t> </w:t>
      </w:r>
      <w:r>
        <w:rPr>
          <w:sz w:val="20"/>
          <w:vertAlign w:val="baseline"/>
        </w:rPr>
        <w:t>L</w:t>
      </w:r>
      <w:r>
        <w:rPr>
          <w:sz w:val="16"/>
          <w:vertAlign w:val="baseline"/>
        </w:rPr>
        <w:t>OMBOIS</w:t>
      </w:r>
      <w:r>
        <w:rPr>
          <w:sz w:val="20"/>
          <w:vertAlign w:val="baseline"/>
        </w:rPr>
        <w:t>,</w:t>
      </w:r>
      <w:r>
        <w:rPr>
          <w:spacing w:val="-2"/>
          <w:sz w:val="20"/>
          <w:vertAlign w:val="baseline"/>
        </w:rPr>
        <w:t> </w:t>
      </w:r>
      <w:r>
        <w:rPr>
          <w:i/>
          <w:sz w:val="20"/>
          <w:vertAlign w:val="baseline"/>
        </w:rPr>
        <w:t>Droit</w:t>
      </w:r>
      <w:r>
        <w:rPr>
          <w:i/>
          <w:spacing w:val="-2"/>
          <w:sz w:val="20"/>
          <w:vertAlign w:val="baseline"/>
        </w:rPr>
        <w:t> </w:t>
      </w:r>
      <w:r>
        <w:rPr>
          <w:i/>
          <w:sz w:val="20"/>
          <w:vertAlign w:val="baseline"/>
        </w:rPr>
        <w:t>pénal</w:t>
      </w:r>
      <w:r>
        <w:rPr>
          <w:i/>
          <w:spacing w:val="-2"/>
          <w:sz w:val="20"/>
          <w:vertAlign w:val="baseline"/>
        </w:rPr>
        <w:t> </w:t>
      </w:r>
      <w:r>
        <w:rPr>
          <w:i/>
          <w:sz w:val="20"/>
          <w:vertAlign w:val="baseline"/>
        </w:rPr>
        <w:t>international</w:t>
      </w:r>
      <w:r>
        <w:rPr>
          <w:sz w:val="20"/>
          <w:vertAlign w:val="baseline"/>
        </w:rPr>
        <w:t>,</w:t>
      </w:r>
      <w:r>
        <w:rPr>
          <w:spacing w:val="-1"/>
          <w:sz w:val="20"/>
          <w:vertAlign w:val="baseline"/>
        </w:rPr>
        <w:t> </w:t>
      </w:r>
      <w:r>
        <w:rPr>
          <w:sz w:val="20"/>
          <w:vertAlign w:val="baseline"/>
        </w:rPr>
        <w:t>2</w:t>
      </w:r>
      <w:r>
        <w:rPr>
          <w:sz w:val="20"/>
          <w:vertAlign w:val="superscript"/>
        </w:rPr>
        <w:t>e</w:t>
      </w:r>
      <w:r>
        <w:rPr>
          <w:spacing w:val="-2"/>
          <w:sz w:val="20"/>
          <w:vertAlign w:val="baseline"/>
        </w:rPr>
        <w:t> </w:t>
      </w:r>
      <w:r>
        <w:rPr>
          <w:sz w:val="20"/>
          <w:vertAlign w:val="baseline"/>
        </w:rPr>
        <w:t>éd.,</w:t>
      </w:r>
      <w:r>
        <w:rPr>
          <w:spacing w:val="-2"/>
          <w:sz w:val="20"/>
          <w:vertAlign w:val="baseline"/>
        </w:rPr>
        <w:t> </w:t>
      </w:r>
      <w:r>
        <w:rPr>
          <w:sz w:val="20"/>
          <w:vertAlign w:val="baseline"/>
        </w:rPr>
        <w:t>Dalloz,</w:t>
      </w:r>
      <w:r>
        <w:rPr>
          <w:spacing w:val="-2"/>
          <w:sz w:val="20"/>
          <w:vertAlign w:val="baseline"/>
        </w:rPr>
        <w:t> </w:t>
      </w:r>
      <w:r>
        <w:rPr>
          <w:sz w:val="20"/>
          <w:vertAlign w:val="baseline"/>
        </w:rPr>
        <w:t>1979,</w:t>
      </w:r>
      <w:r>
        <w:rPr>
          <w:spacing w:val="-2"/>
          <w:sz w:val="20"/>
          <w:vertAlign w:val="baseline"/>
        </w:rPr>
        <w:t> </w:t>
      </w:r>
      <w:r>
        <w:rPr>
          <w:sz w:val="20"/>
          <w:vertAlign w:val="baseline"/>
        </w:rPr>
        <w:t>p.</w:t>
      </w:r>
      <w:r>
        <w:rPr>
          <w:spacing w:val="-2"/>
          <w:sz w:val="20"/>
          <w:vertAlign w:val="baseline"/>
        </w:rPr>
        <w:t> </w:t>
      </w:r>
      <w:r>
        <w:rPr>
          <w:sz w:val="20"/>
          <w:vertAlign w:val="baseline"/>
        </w:rPr>
        <w:t>227,</w:t>
      </w:r>
      <w:r>
        <w:rPr>
          <w:spacing w:val="-2"/>
          <w:sz w:val="20"/>
          <w:vertAlign w:val="baseline"/>
        </w:rPr>
        <w:t> </w:t>
      </w:r>
      <w:r>
        <w:rPr>
          <w:sz w:val="20"/>
          <w:vertAlign w:val="baseline"/>
        </w:rPr>
        <w:t>ibid.,</w:t>
      </w:r>
      <w:r>
        <w:rPr>
          <w:spacing w:val="-1"/>
          <w:sz w:val="20"/>
          <w:vertAlign w:val="baseline"/>
        </w:rPr>
        <w:t> </w:t>
      </w:r>
      <w:r>
        <w:rPr>
          <w:spacing w:val="-2"/>
          <w:sz w:val="20"/>
          <w:vertAlign w:val="baseline"/>
        </w:rPr>
        <w:t>n°17.</w:t>
      </w:r>
    </w:p>
    <w:p>
      <w:pPr>
        <w:spacing w:before="0"/>
        <w:ind w:left="141" w:right="0" w:firstLine="0"/>
        <w:jc w:val="both"/>
        <w:rPr>
          <w:sz w:val="20"/>
        </w:rPr>
      </w:pPr>
      <w:r>
        <w:rPr>
          <w:sz w:val="20"/>
          <w:vertAlign w:val="superscript"/>
        </w:rPr>
        <w:t>39</w:t>
      </w:r>
      <w:hyperlink r:id="rId8">
        <w:r>
          <w:rPr>
            <w:sz w:val="20"/>
            <w:vertAlign w:val="baseline"/>
          </w:rPr>
          <w:t>Yann</w:t>
        </w:r>
        <w:r>
          <w:rPr>
            <w:spacing w:val="-3"/>
            <w:sz w:val="20"/>
            <w:vertAlign w:val="baseline"/>
          </w:rPr>
          <w:t> </w:t>
        </w:r>
        <w:r>
          <w:rPr>
            <w:sz w:val="20"/>
            <w:vertAlign w:val="baseline"/>
          </w:rPr>
          <w:t>TEPHANY</w:t>
        </w:r>
      </w:hyperlink>
      <w:r>
        <w:rPr>
          <w:sz w:val="20"/>
          <w:vertAlign w:val="baseline"/>
        </w:rPr>
        <w:t>,</w:t>
      </w:r>
      <w:r>
        <w:rPr>
          <w:spacing w:val="-3"/>
          <w:sz w:val="20"/>
          <w:vertAlign w:val="baseline"/>
        </w:rPr>
        <w:t> </w:t>
      </w:r>
      <w:r>
        <w:rPr>
          <w:sz w:val="20"/>
          <w:vertAlign w:val="baseline"/>
        </w:rPr>
        <w:t>La</w:t>
      </w:r>
      <w:r>
        <w:rPr>
          <w:spacing w:val="-2"/>
          <w:sz w:val="20"/>
          <w:vertAlign w:val="baseline"/>
        </w:rPr>
        <w:t> </w:t>
      </w:r>
      <w:r>
        <w:rPr>
          <w:sz w:val="20"/>
          <w:vertAlign w:val="baseline"/>
        </w:rPr>
        <w:t>CNUDM</w:t>
      </w:r>
      <w:r>
        <w:rPr>
          <w:spacing w:val="-3"/>
          <w:sz w:val="20"/>
          <w:vertAlign w:val="baseline"/>
        </w:rPr>
        <w:t> </w:t>
      </w:r>
      <w:r>
        <w:rPr>
          <w:sz w:val="20"/>
          <w:vertAlign w:val="baseline"/>
        </w:rPr>
        <w:t>et</w:t>
      </w:r>
      <w:r>
        <w:rPr>
          <w:spacing w:val="-3"/>
          <w:sz w:val="20"/>
          <w:vertAlign w:val="baseline"/>
        </w:rPr>
        <w:t> </w:t>
      </w:r>
      <w:r>
        <w:rPr>
          <w:sz w:val="20"/>
          <w:vertAlign w:val="baseline"/>
        </w:rPr>
        <w:t>la</w:t>
      </w:r>
      <w:r>
        <w:rPr>
          <w:spacing w:val="-2"/>
          <w:sz w:val="20"/>
          <w:vertAlign w:val="baseline"/>
        </w:rPr>
        <w:t> </w:t>
      </w:r>
      <w:r>
        <w:rPr>
          <w:sz w:val="20"/>
          <w:vertAlign w:val="baseline"/>
        </w:rPr>
        <w:t>lutte</w:t>
      </w:r>
      <w:r>
        <w:rPr>
          <w:spacing w:val="-3"/>
          <w:sz w:val="20"/>
          <w:vertAlign w:val="baseline"/>
        </w:rPr>
        <w:t> </w:t>
      </w:r>
      <w:r>
        <w:rPr>
          <w:sz w:val="20"/>
          <w:vertAlign w:val="baseline"/>
        </w:rPr>
        <w:t>contre</w:t>
      </w:r>
      <w:r>
        <w:rPr>
          <w:spacing w:val="-2"/>
          <w:sz w:val="20"/>
          <w:vertAlign w:val="baseline"/>
        </w:rPr>
        <w:t> </w:t>
      </w:r>
      <w:r>
        <w:rPr>
          <w:sz w:val="20"/>
          <w:vertAlign w:val="baseline"/>
        </w:rPr>
        <w:t>les</w:t>
      </w:r>
      <w:r>
        <w:rPr>
          <w:spacing w:val="-3"/>
          <w:sz w:val="20"/>
          <w:vertAlign w:val="baseline"/>
        </w:rPr>
        <w:t> </w:t>
      </w:r>
      <w:r>
        <w:rPr>
          <w:sz w:val="20"/>
          <w:vertAlign w:val="baseline"/>
        </w:rPr>
        <w:t>activités</w:t>
      </w:r>
      <w:r>
        <w:rPr>
          <w:spacing w:val="-3"/>
          <w:sz w:val="20"/>
          <w:vertAlign w:val="baseline"/>
        </w:rPr>
        <w:t> </w:t>
      </w:r>
      <w:r>
        <w:rPr>
          <w:sz w:val="20"/>
          <w:vertAlign w:val="baseline"/>
        </w:rPr>
        <w:t>illicites</w:t>
      </w:r>
      <w:r>
        <w:rPr>
          <w:spacing w:val="-2"/>
          <w:sz w:val="20"/>
          <w:vertAlign w:val="baseline"/>
        </w:rPr>
        <w:t> </w:t>
      </w:r>
      <w:r>
        <w:rPr>
          <w:sz w:val="20"/>
          <w:vertAlign w:val="baseline"/>
        </w:rPr>
        <w:t>en</w:t>
      </w:r>
      <w:r>
        <w:rPr>
          <w:spacing w:val="-3"/>
          <w:sz w:val="20"/>
          <w:vertAlign w:val="baseline"/>
        </w:rPr>
        <w:t> </w:t>
      </w:r>
      <w:r>
        <w:rPr>
          <w:sz w:val="20"/>
          <w:vertAlign w:val="baseline"/>
        </w:rPr>
        <w:t>mer,</w:t>
      </w:r>
      <w:r>
        <w:rPr>
          <w:spacing w:val="-2"/>
          <w:sz w:val="20"/>
          <w:vertAlign w:val="baseline"/>
        </w:rPr>
        <w:t> loc.cit.</w:t>
      </w:r>
    </w:p>
    <w:p>
      <w:pPr>
        <w:spacing w:after="0"/>
        <w:jc w:val="both"/>
        <w:rPr>
          <w:sz w:val="20"/>
        </w:rPr>
        <w:sectPr>
          <w:pgSz w:w="11910" w:h="16840"/>
          <w:pgMar w:header="0" w:footer="1005" w:top="1320" w:bottom="1200" w:left="1275" w:right="1133"/>
        </w:sectPr>
      </w:pPr>
    </w:p>
    <w:p>
      <w:pPr>
        <w:pStyle w:val="BodyText"/>
        <w:spacing w:before="79"/>
        <w:ind w:left="142"/>
      </w:pPr>
      <w:r>
        <w:rPr/>
        <w:t>Il en résulte que la piraterie maritime relève principalement de la compétence des États, ce qui confirme son caractère d’infraction pénale nationale.</w:t>
      </w:r>
    </w:p>
    <w:p>
      <w:pPr>
        <w:pStyle w:val="BodyText"/>
        <w:spacing w:before="4"/>
      </w:pPr>
    </w:p>
    <w:p>
      <w:pPr>
        <w:pStyle w:val="BodyText"/>
        <w:ind w:left="142" w:right="143"/>
      </w:pPr>
      <w:r>
        <w:rPr/>
        <w:t>En tout cas, la piraterie maritime ne saurait pleinement constituer une véritable infraction internationale, à défaut d’une juridiction pénale internationale dédiée à sa poursuite</w:t>
      </w:r>
      <w:r>
        <w:rPr>
          <w:vertAlign w:val="superscript"/>
        </w:rPr>
        <w:t>40</w:t>
      </w:r>
      <w:r>
        <w:rPr>
          <w:vertAlign w:val="baseline"/>
        </w:rPr>
        <w:t>. Le Tribunal</w:t>
      </w:r>
      <w:r>
        <w:rPr>
          <w:spacing w:val="-3"/>
          <w:vertAlign w:val="baseline"/>
        </w:rPr>
        <w:t> </w:t>
      </w:r>
      <w:r>
        <w:rPr>
          <w:vertAlign w:val="baseline"/>
        </w:rPr>
        <w:t>international</w:t>
      </w:r>
      <w:r>
        <w:rPr>
          <w:spacing w:val="-3"/>
          <w:vertAlign w:val="baseline"/>
        </w:rPr>
        <w:t> </w:t>
      </w:r>
      <w:r>
        <w:rPr>
          <w:vertAlign w:val="baseline"/>
        </w:rPr>
        <w:t>du</w:t>
      </w:r>
      <w:r>
        <w:rPr>
          <w:spacing w:val="-3"/>
          <w:vertAlign w:val="baseline"/>
        </w:rPr>
        <w:t> </w:t>
      </w:r>
      <w:r>
        <w:rPr>
          <w:vertAlign w:val="baseline"/>
        </w:rPr>
        <w:t>droit</w:t>
      </w:r>
      <w:r>
        <w:rPr>
          <w:spacing w:val="-3"/>
          <w:vertAlign w:val="baseline"/>
        </w:rPr>
        <w:t> </w:t>
      </w:r>
      <w:r>
        <w:rPr>
          <w:vertAlign w:val="baseline"/>
        </w:rPr>
        <w:t>de</w:t>
      </w:r>
      <w:r>
        <w:rPr>
          <w:spacing w:val="-3"/>
          <w:vertAlign w:val="baseline"/>
        </w:rPr>
        <w:t> </w:t>
      </w:r>
      <w:r>
        <w:rPr>
          <w:vertAlign w:val="baseline"/>
        </w:rPr>
        <w:t>la</w:t>
      </w:r>
      <w:r>
        <w:rPr>
          <w:spacing w:val="-3"/>
          <w:vertAlign w:val="baseline"/>
        </w:rPr>
        <w:t> </w:t>
      </w:r>
      <w:r>
        <w:rPr>
          <w:vertAlign w:val="baseline"/>
        </w:rPr>
        <w:t>mer</w:t>
      </w:r>
      <w:r>
        <w:rPr>
          <w:spacing w:val="-3"/>
          <w:vertAlign w:val="baseline"/>
        </w:rPr>
        <w:t> </w:t>
      </w:r>
      <w:r>
        <w:rPr>
          <w:vertAlign w:val="baseline"/>
        </w:rPr>
        <w:t>(TIDM),</w:t>
      </w:r>
      <w:r>
        <w:rPr>
          <w:spacing w:val="-3"/>
          <w:vertAlign w:val="baseline"/>
        </w:rPr>
        <w:t> </w:t>
      </w:r>
      <w:r>
        <w:rPr>
          <w:vertAlign w:val="baseline"/>
        </w:rPr>
        <w:t>quant</w:t>
      </w:r>
      <w:r>
        <w:rPr>
          <w:spacing w:val="-3"/>
          <w:vertAlign w:val="baseline"/>
        </w:rPr>
        <w:t> </w:t>
      </w:r>
      <w:r>
        <w:rPr>
          <w:vertAlign w:val="baseline"/>
        </w:rPr>
        <w:t>à</w:t>
      </w:r>
      <w:r>
        <w:rPr>
          <w:spacing w:val="-3"/>
          <w:vertAlign w:val="baseline"/>
        </w:rPr>
        <w:t> </w:t>
      </w:r>
      <w:r>
        <w:rPr>
          <w:vertAlign w:val="baseline"/>
        </w:rPr>
        <w:t>lui,</w:t>
      </w:r>
      <w:r>
        <w:rPr>
          <w:spacing w:val="-3"/>
          <w:vertAlign w:val="baseline"/>
        </w:rPr>
        <w:t> </w:t>
      </w:r>
      <w:r>
        <w:rPr>
          <w:vertAlign w:val="baseline"/>
        </w:rPr>
        <w:t>n’a</w:t>
      </w:r>
      <w:r>
        <w:rPr>
          <w:spacing w:val="-3"/>
          <w:vertAlign w:val="baseline"/>
        </w:rPr>
        <w:t> </w:t>
      </w:r>
      <w:r>
        <w:rPr>
          <w:vertAlign w:val="baseline"/>
        </w:rPr>
        <w:t>aucune</w:t>
      </w:r>
      <w:r>
        <w:rPr>
          <w:spacing w:val="-3"/>
          <w:vertAlign w:val="baseline"/>
        </w:rPr>
        <w:t> </w:t>
      </w:r>
      <w:r>
        <w:rPr>
          <w:vertAlign w:val="baseline"/>
        </w:rPr>
        <w:t>compétence</w:t>
      </w:r>
      <w:r>
        <w:rPr>
          <w:spacing w:val="-3"/>
          <w:vertAlign w:val="baseline"/>
        </w:rPr>
        <w:t> </w:t>
      </w:r>
      <w:r>
        <w:rPr>
          <w:vertAlign w:val="baseline"/>
        </w:rPr>
        <w:t>pénale</w:t>
      </w:r>
      <w:r>
        <w:rPr>
          <w:spacing w:val="-3"/>
          <w:vertAlign w:val="baseline"/>
        </w:rPr>
        <w:t> </w:t>
      </w:r>
      <w:r>
        <w:rPr>
          <w:vertAlign w:val="baseline"/>
        </w:rPr>
        <w:t>et se limite aux différends relatifs à l’interprétation et à l’application du droit de la mer.</w:t>
      </w:r>
    </w:p>
    <w:p>
      <w:pPr>
        <w:pStyle w:val="BodyText"/>
        <w:spacing w:before="4"/>
      </w:pPr>
    </w:p>
    <w:p>
      <w:pPr>
        <w:pStyle w:val="BodyText"/>
        <w:ind w:left="142" w:right="141"/>
        <w:jc w:val="both"/>
      </w:pPr>
      <w:r>
        <w:rPr/>
        <w:t>Ainsi, malgré la reconnaissance de la compétence universelle</w:t>
      </w:r>
      <w:r>
        <w:rPr>
          <w:vertAlign w:val="superscript"/>
        </w:rPr>
        <w:t>41</w:t>
      </w:r>
      <w:r>
        <w:rPr>
          <w:vertAlign w:val="baseline"/>
        </w:rPr>
        <w:t>, la répression de la piraterie dépend entièrement de l’existence d’une incrimination dans les droits internes. À défaut, le principe de légalité pénale empêche toute poursuite.</w:t>
      </w:r>
    </w:p>
    <w:p>
      <w:pPr>
        <w:pStyle w:val="BodyText"/>
        <w:spacing w:before="4"/>
      </w:pPr>
    </w:p>
    <w:p>
      <w:pPr>
        <w:pStyle w:val="Heading4"/>
        <w:numPr>
          <w:ilvl w:val="1"/>
          <w:numId w:val="1"/>
        </w:numPr>
        <w:tabs>
          <w:tab w:pos="518" w:val="left" w:leader="none"/>
        </w:tabs>
        <w:spacing w:line="240" w:lineRule="auto" w:before="0" w:after="0"/>
        <w:ind w:left="142" w:right="147" w:firstLine="0"/>
        <w:jc w:val="both"/>
        <w:rPr>
          <w:color w:val="145F82"/>
        </w:rPr>
      </w:pPr>
      <w:r>
        <w:rPr>
          <w:color w:val="145F82"/>
        </w:rPr>
        <w:t>La coopération judiciaire internationale : un mécanisme indispensable mais inégalement structuré</w:t>
      </w:r>
    </w:p>
    <w:p>
      <w:pPr>
        <w:pStyle w:val="BodyText"/>
        <w:ind w:left="141" w:right="140"/>
        <w:jc w:val="both"/>
      </w:pPr>
      <w:r>
        <w:rPr/>
        <w:t>La nature transnationale de la piraterie maritime impose le recours à des mécanismes de coopération judiciaire internationale. L’un des instruments essentiels est le </w:t>
      </w:r>
      <w:r>
        <w:rPr>
          <w:i/>
        </w:rPr>
        <w:t>droit de poursuite</w:t>
      </w:r>
      <w:r>
        <w:rPr>
          <w:i/>
          <w:spacing w:val="40"/>
        </w:rPr>
        <w:t> </w:t>
      </w:r>
      <w:r>
        <w:rPr>
          <w:i/>
        </w:rPr>
        <w:t>en mer</w:t>
      </w:r>
      <w:r>
        <w:rPr/>
        <w:t>, prévu à l’article 111 de la CNUDM, qui permet à un État de poursuivre un navire suspect au-delà de ses eaux territoriales jusqu’en haute mer</w:t>
      </w:r>
      <w:r>
        <w:rPr>
          <w:color w:val="252525"/>
          <w:vertAlign w:val="superscript"/>
        </w:rPr>
        <w:t>42</w:t>
      </w:r>
      <w:r>
        <w:rPr>
          <w:vertAlign w:val="baseline"/>
        </w:rPr>
        <w:t>. </w:t>
      </w:r>
      <w:r>
        <w:rPr>
          <w:color w:val="252525"/>
          <w:vertAlign w:val="baseline"/>
        </w:rPr>
        <w:t>Le droit de poursuite</w:t>
      </w:r>
      <w:r>
        <w:rPr>
          <w:vertAlign w:val="superscript"/>
        </w:rPr>
        <w:t>43</w:t>
      </w:r>
      <w:r>
        <w:rPr>
          <w:color w:val="252525"/>
          <w:vertAlign w:val="baseline"/>
        </w:rPr>
        <w:t>est ainsi la chasse d’un navire auteur de certaines infractions depuis la mer territoriale, la zone contigüe, la ZEE, le plateau continental jusqu’en haute mer. Visiblement, ce droit de poursuite constitue</w:t>
      </w:r>
      <w:r>
        <w:rPr>
          <w:color w:val="252525"/>
          <w:spacing w:val="40"/>
          <w:vertAlign w:val="baseline"/>
        </w:rPr>
        <w:t> </w:t>
      </w:r>
      <w:r>
        <w:rPr>
          <w:color w:val="252525"/>
          <w:vertAlign w:val="baseline"/>
        </w:rPr>
        <w:t>une exception à la règle de la compétence exclusive de l’État du pavillon dans les eaux </w:t>
      </w:r>
      <w:r>
        <w:rPr>
          <w:color w:val="252525"/>
          <w:spacing w:val="-2"/>
          <w:vertAlign w:val="baseline"/>
        </w:rPr>
        <w:t>internationales</w:t>
      </w:r>
      <w:r>
        <w:rPr>
          <w:spacing w:val="-2"/>
          <w:vertAlign w:val="superscript"/>
        </w:rPr>
        <w:t>44</w:t>
      </w:r>
      <w:r>
        <w:rPr>
          <w:color w:val="252525"/>
          <w:spacing w:val="-2"/>
          <w:vertAlign w:val="baseline"/>
        </w:rPr>
        <w:t>.</w:t>
      </w:r>
    </w:p>
    <w:p>
      <w:pPr>
        <w:pStyle w:val="BodyText"/>
        <w:spacing w:before="160"/>
        <w:ind w:left="141" w:right="144"/>
        <w:jc w:val="both"/>
      </w:pPr>
      <w:r>
        <w:rPr/>
        <w:t>Toutefois, ce mécanisme classique du droit de poursuite est insuffisant pour traiter</w:t>
      </w:r>
      <w:r>
        <w:rPr>
          <w:spacing w:val="80"/>
        </w:rPr>
        <w:t> </w:t>
      </w:r>
      <w:r>
        <w:rPr/>
        <w:t>efficacement la piraterie, qui se déroule généralement en haute mer. A noter que ce droit de poursuite</w:t>
      </w:r>
      <w:r>
        <w:rPr>
          <w:spacing w:val="-1"/>
        </w:rPr>
        <w:t> </w:t>
      </w:r>
      <w:r>
        <w:rPr/>
        <w:t>classique</w:t>
      </w:r>
      <w:r>
        <w:rPr>
          <w:spacing w:val="-1"/>
        </w:rPr>
        <w:t> </w:t>
      </w:r>
      <w:r>
        <w:rPr/>
        <w:t>cesse</w:t>
      </w:r>
      <w:r>
        <w:rPr>
          <w:spacing w:val="-1"/>
        </w:rPr>
        <w:t> </w:t>
      </w:r>
      <w:r>
        <w:rPr/>
        <w:t>dès</w:t>
      </w:r>
      <w:r>
        <w:rPr>
          <w:spacing w:val="-1"/>
        </w:rPr>
        <w:t> </w:t>
      </w:r>
      <w:r>
        <w:rPr/>
        <w:t>que</w:t>
      </w:r>
      <w:r>
        <w:rPr>
          <w:spacing w:val="-1"/>
        </w:rPr>
        <w:t> </w:t>
      </w:r>
      <w:r>
        <w:rPr/>
        <w:t>le</w:t>
      </w:r>
      <w:r>
        <w:rPr>
          <w:spacing w:val="-1"/>
        </w:rPr>
        <w:t> </w:t>
      </w:r>
      <w:r>
        <w:rPr/>
        <w:t>navire</w:t>
      </w:r>
      <w:r>
        <w:rPr>
          <w:spacing w:val="-1"/>
        </w:rPr>
        <w:t> </w:t>
      </w:r>
      <w:r>
        <w:rPr/>
        <w:t>poursuivi</w:t>
      </w:r>
      <w:r>
        <w:rPr>
          <w:spacing w:val="-1"/>
        </w:rPr>
        <w:t> </w:t>
      </w:r>
      <w:r>
        <w:rPr/>
        <w:t>entre</w:t>
      </w:r>
      <w:r>
        <w:rPr>
          <w:spacing w:val="-1"/>
        </w:rPr>
        <w:t> </w:t>
      </w:r>
      <w:r>
        <w:rPr/>
        <w:t>dans</w:t>
      </w:r>
      <w:r>
        <w:rPr>
          <w:spacing w:val="-1"/>
        </w:rPr>
        <w:t> </w:t>
      </w:r>
      <w:r>
        <w:rPr/>
        <w:t>la</w:t>
      </w:r>
      <w:r>
        <w:rPr>
          <w:spacing w:val="-1"/>
        </w:rPr>
        <w:t> </w:t>
      </w:r>
      <w:r>
        <w:rPr/>
        <w:t>mer</w:t>
      </w:r>
      <w:r>
        <w:rPr>
          <w:spacing w:val="-1"/>
        </w:rPr>
        <w:t> </w:t>
      </w:r>
      <w:r>
        <w:rPr/>
        <w:t>territoriale</w:t>
      </w:r>
      <w:r>
        <w:rPr>
          <w:spacing w:val="-1"/>
        </w:rPr>
        <w:t> </w:t>
      </w:r>
      <w:r>
        <w:rPr/>
        <w:t>de</w:t>
      </w:r>
      <w:r>
        <w:rPr>
          <w:spacing w:val="-1"/>
        </w:rPr>
        <w:t> </w:t>
      </w:r>
      <w:r>
        <w:rPr/>
        <w:t>l’Etat</w:t>
      </w:r>
      <w:r>
        <w:rPr>
          <w:spacing w:val="-1"/>
        </w:rPr>
        <w:t> </w:t>
      </w:r>
      <w:r>
        <w:rPr/>
        <w:t>dont il bat le pavillon ou d’un autre Etat</w:t>
      </w:r>
      <w:r>
        <w:rPr>
          <w:vertAlign w:val="superscript"/>
        </w:rPr>
        <w:t>45</w:t>
      </w:r>
      <w:r>
        <w:rPr>
          <w:color w:val="252525"/>
          <w:vertAlign w:val="baseline"/>
        </w:rPr>
        <w:t>. </w:t>
      </w:r>
      <w:r>
        <w:rPr>
          <w:vertAlign w:val="baseline"/>
        </w:rPr>
        <w:t>D’où l’émergence doctrinale du « droit de poursuite inversé »</w:t>
      </w:r>
      <w:r>
        <w:rPr>
          <w:color w:val="252525"/>
          <w:vertAlign w:val="superscript"/>
        </w:rPr>
        <w:t>46</w:t>
      </w:r>
      <w:r>
        <w:rPr>
          <w:vertAlign w:val="baseline"/>
        </w:rPr>
        <w:t>, impliquant une coopération entre États pour permettre la poursuite et la remise des pirates après capture. </w:t>
      </w:r>
      <w:r>
        <w:rPr>
          <w:color w:val="252525"/>
          <w:vertAlign w:val="baseline"/>
        </w:rPr>
        <w:t>L</w:t>
      </w:r>
      <w:r>
        <w:rPr>
          <w:vertAlign w:val="baseline"/>
        </w:rPr>
        <w:t>e droit de poursuite inversé figure parmi les solutions globales adoptées dans le cadre de la lutte contre la criminalité maritime.</w:t>
      </w:r>
    </w:p>
    <w:p>
      <w:pPr>
        <w:pStyle w:val="BodyText"/>
        <w:spacing w:before="8"/>
        <w:rPr>
          <w:sz w:val="11"/>
        </w:rPr>
      </w:pPr>
      <w:r>
        <w:rPr>
          <w:sz w:val="11"/>
        </w:rPr>
        <mc:AlternateContent>
          <mc:Choice Requires="wps">
            <w:drawing>
              <wp:anchor distT="0" distB="0" distL="0" distR="0" allowOverlap="1" layoutInCell="1" locked="0" behindDoc="1" simplePos="0" relativeHeight="487592448">
                <wp:simplePos x="0" y="0"/>
                <wp:positionH relativeFrom="page">
                  <wp:posOffset>899794</wp:posOffset>
                </wp:positionH>
                <wp:positionV relativeFrom="paragraph">
                  <wp:posOffset>100875</wp:posOffset>
                </wp:positionV>
                <wp:extent cx="1800225" cy="127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1800225" cy="1270"/>
                        </a:xfrm>
                        <a:custGeom>
                          <a:avLst/>
                          <a:gdLst/>
                          <a:ahLst/>
                          <a:cxnLst/>
                          <a:rect l="l" t="t" r="r" b="b"/>
                          <a:pathLst>
                            <a:path w="1800225" h="0">
                              <a:moveTo>
                                <a:pt x="0" y="0"/>
                              </a:moveTo>
                              <a:lnTo>
                                <a:pt x="1799996" y="0"/>
                              </a:lnTo>
                            </a:path>
                          </a:pathLst>
                        </a:custGeom>
                        <a:ln w="776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7.942985pt;width:141.75pt;height:.1pt;mso-position-horizontal-relative:page;mso-position-vertical-relative:paragraph;z-index:-15724032;mso-wrap-distance-left:0;mso-wrap-distance-right:0" id="docshape10" coordorigin="1417,159" coordsize="2835,0" path="m1417,159l4252,159e" filled="false" stroked="true" strokeweight=".61109pt" strokecolor="#000000">
                <v:path arrowok="t"/>
                <v:stroke dashstyle="solid"/>
                <w10:wrap type="topAndBottom"/>
              </v:shape>
            </w:pict>
          </mc:Fallback>
        </mc:AlternateContent>
      </w:r>
    </w:p>
    <w:p>
      <w:pPr>
        <w:spacing w:before="144"/>
        <w:ind w:left="141" w:right="143" w:firstLine="0"/>
        <w:jc w:val="both"/>
        <w:rPr>
          <w:sz w:val="20"/>
        </w:rPr>
      </w:pPr>
      <w:r>
        <w:rPr>
          <w:sz w:val="20"/>
          <w:vertAlign w:val="superscript"/>
        </w:rPr>
        <w:t>40</w:t>
      </w:r>
      <w:r>
        <w:rPr>
          <w:sz w:val="20"/>
          <w:vertAlign w:val="baseline"/>
        </w:rPr>
        <w:t>Les crimes contre l’humanité, le crime de génocide, les crimes de guerre et le crime d'agression sont des infractions pénales internationales puisqu’ils peuvent être jugés par la Cour Pénale Internationale.</w:t>
      </w:r>
    </w:p>
    <w:p>
      <w:pPr>
        <w:spacing w:before="0"/>
        <w:ind w:left="141" w:right="139" w:firstLine="0"/>
        <w:jc w:val="both"/>
        <w:rPr>
          <w:sz w:val="20"/>
        </w:rPr>
      </w:pPr>
      <w:r>
        <w:rPr>
          <w:sz w:val="20"/>
          <w:vertAlign w:val="superscript"/>
        </w:rPr>
        <w:t>41</w:t>
      </w:r>
      <w:r>
        <w:rPr>
          <w:sz w:val="20"/>
          <w:vertAlign w:val="baseline"/>
        </w:rPr>
        <w:t>CNUDM, article 105 : « </w:t>
      </w:r>
      <w:r>
        <w:rPr>
          <w:b/>
          <w:sz w:val="20"/>
          <w:vertAlign w:val="baseline"/>
        </w:rPr>
        <w:t>Tout Etat peut</w:t>
      </w:r>
      <w:r>
        <w:rPr>
          <w:sz w:val="20"/>
          <w:vertAlign w:val="baseline"/>
        </w:rPr>
        <w:t>, en haute mer ou en tout autre lieu ne relevant de la juridiction d'aucun Etat, </w:t>
      </w:r>
      <w:r>
        <w:rPr>
          <w:b/>
          <w:sz w:val="20"/>
          <w:vertAlign w:val="baseline"/>
        </w:rPr>
        <w:t>saisir un navire ou un aéronef pirate</w:t>
      </w:r>
      <w:r>
        <w:rPr>
          <w:sz w:val="20"/>
          <w:vertAlign w:val="baseline"/>
        </w:rPr>
        <w:t>, ou un navire ou un aéronef capturé à la suite d'</w:t>
      </w:r>
      <w:r>
        <w:rPr>
          <w:b/>
          <w:sz w:val="20"/>
          <w:vertAlign w:val="baseline"/>
        </w:rPr>
        <w:t>un acte de piraterie</w:t>
      </w:r>
      <w:r>
        <w:rPr>
          <w:b/>
          <w:spacing w:val="40"/>
          <w:sz w:val="20"/>
          <w:vertAlign w:val="baseline"/>
        </w:rPr>
        <w:t> </w:t>
      </w:r>
      <w:r>
        <w:rPr>
          <w:sz w:val="20"/>
          <w:vertAlign w:val="baseline"/>
        </w:rPr>
        <w:t>et </w:t>
      </w:r>
      <w:r>
        <w:rPr>
          <w:b/>
          <w:sz w:val="20"/>
          <w:vertAlign w:val="baseline"/>
        </w:rPr>
        <w:t>aux mains de pirates</w:t>
      </w:r>
      <w:r>
        <w:rPr>
          <w:sz w:val="20"/>
          <w:vertAlign w:val="baseline"/>
        </w:rPr>
        <w:t>, et </w:t>
      </w:r>
      <w:r>
        <w:rPr>
          <w:b/>
          <w:sz w:val="20"/>
          <w:vertAlign w:val="baseline"/>
        </w:rPr>
        <w:t>appréhender les personnes et saisir les biens se trouvant à bord</w:t>
      </w:r>
      <w:r>
        <w:rPr>
          <w:sz w:val="20"/>
          <w:vertAlign w:val="baseline"/>
        </w:rPr>
        <w:t>. Les tribunaux de l'Etat qui a opéré la saisie peuvent se prononcer sur les peines à infliger, ainsi que sur les mesures à prendre en ce qui concerne le navire, l'aéronef ou les biens, réserve faite des tiers de bonne foi ».</w:t>
      </w:r>
    </w:p>
    <w:p>
      <w:pPr>
        <w:spacing w:before="0"/>
        <w:ind w:left="142" w:right="0" w:firstLine="0"/>
        <w:jc w:val="both"/>
        <w:rPr>
          <w:sz w:val="20"/>
        </w:rPr>
      </w:pPr>
      <w:r>
        <w:rPr>
          <w:sz w:val="20"/>
          <w:vertAlign w:val="superscript"/>
        </w:rPr>
        <w:t>42</w:t>
      </w:r>
      <w:r>
        <w:rPr>
          <w:sz w:val="20"/>
          <w:vertAlign w:val="baseline"/>
        </w:rPr>
        <w:t>N.</w:t>
      </w:r>
      <w:r>
        <w:rPr>
          <w:spacing w:val="-5"/>
          <w:sz w:val="20"/>
          <w:vertAlign w:val="baseline"/>
        </w:rPr>
        <w:t> </w:t>
      </w:r>
      <w:r>
        <w:rPr>
          <w:sz w:val="20"/>
          <w:vertAlign w:val="baseline"/>
        </w:rPr>
        <w:t>P</w:t>
      </w:r>
      <w:r>
        <w:rPr>
          <w:sz w:val="16"/>
          <w:vertAlign w:val="baseline"/>
        </w:rPr>
        <w:t>OÙLANTZAS</w:t>
      </w:r>
      <w:r>
        <w:rPr>
          <w:sz w:val="20"/>
          <w:vertAlign w:val="baseline"/>
        </w:rPr>
        <w:t>,</w:t>
      </w:r>
      <w:r>
        <w:rPr>
          <w:spacing w:val="4"/>
          <w:sz w:val="20"/>
          <w:vertAlign w:val="baseline"/>
        </w:rPr>
        <w:t> </w:t>
      </w:r>
      <w:r>
        <w:rPr>
          <w:i/>
          <w:sz w:val="20"/>
          <w:vertAlign w:val="baseline"/>
        </w:rPr>
        <w:t>The</w:t>
      </w:r>
      <w:r>
        <w:rPr>
          <w:i/>
          <w:spacing w:val="5"/>
          <w:sz w:val="20"/>
          <w:vertAlign w:val="baseline"/>
        </w:rPr>
        <w:t> </w:t>
      </w:r>
      <w:r>
        <w:rPr>
          <w:i/>
          <w:sz w:val="20"/>
          <w:vertAlign w:val="baseline"/>
        </w:rPr>
        <w:t>right</w:t>
      </w:r>
      <w:r>
        <w:rPr>
          <w:i/>
          <w:spacing w:val="5"/>
          <w:sz w:val="20"/>
          <w:vertAlign w:val="baseline"/>
        </w:rPr>
        <w:t> </w:t>
      </w:r>
      <w:r>
        <w:rPr>
          <w:i/>
          <w:sz w:val="20"/>
          <w:vertAlign w:val="baseline"/>
        </w:rPr>
        <w:t>of</w:t>
      </w:r>
      <w:r>
        <w:rPr>
          <w:i/>
          <w:spacing w:val="5"/>
          <w:sz w:val="20"/>
          <w:vertAlign w:val="baseline"/>
        </w:rPr>
        <w:t> </w:t>
      </w:r>
      <w:r>
        <w:rPr>
          <w:i/>
          <w:sz w:val="20"/>
          <w:vertAlign w:val="baseline"/>
        </w:rPr>
        <w:t>hot</w:t>
      </w:r>
      <w:r>
        <w:rPr>
          <w:i/>
          <w:spacing w:val="4"/>
          <w:sz w:val="20"/>
          <w:vertAlign w:val="baseline"/>
        </w:rPr>
        <w:t> </w:t>
      </w:r>
      <w:r>
        <w:rPr>
          <w:i/>
          <w:sz w:val="20"/>
          <w:vertAlign w:val="baseline"/>
        </w:rPr>
        <w:t>pursuit</w:t>
      </w:r>
      <w:r>
        <w:rPr>
          <w:i/>
          <w:spacing w:val="5"/>
          <w:sz w:val="20"/>
          <w:vertAlign w:val="baseline"/>
        </w:rPr>
        <w:t> </w:t>
      </w:r>
      <w:r>
        <w:rPr>
          <w:i/>
          <w:sz w:val="20"/>
          <w:vertAlign w:val="baseline"/>
        </w:rPr>
        <w:t>in</w:t>
      </w:r>
      <w:r>
        <w:rPr>
          <w:i/>
          <w:spacing w:val="5"/>
          <w:sz w:val="20"/>
          <w:vertAlign w:val="baseline"/>
        </w:rPr>
        <w:t> </w:t>
      </w:r>
      <w:r>
        <w:rPr>
          <w:i/>
          <w:sz w:val="20"/>
          <w:vertAlign w:val="baseline"/>
        </w:rPr>
        <w:t>international</w:t>
      </w:r>
      <w:r>
        <w:rPr>
          <w:i/>
          <w:spacing w:val="5"/>
          <w:sz w:val="20"/>
          <w:vertAlign w:val="baseline"/>
        </w:rPr>
        <w:t> </w:t>
      </w:r>
      <w:r>
        <w:rPr>
          <w:i/>
          <w:sz w:val="20"/>
          <w:vertAlign w:val="baseline"/>
        </w:rPr>
        <w:t>law</w:t>
      </w:r>
      <w:r>
        <w:rPr>
          <w:sz w:val="20"/>
          <w:vertAlign w:val="baseline"/>
        </w:rPr>
        <w:t>,</w:t>
      </w:r>
      <w:r>
        <w:rPr>
          <w:spacing w:val="4"/>
          <w:sz w:val="20"/>
          <w:vertAlign w:val="baseline"/>
        </w:rPr>
        <w:t> </w:t>
      </w:r>
      <w:r>
        <w:rPr>
          <w:sz w:val="20"/>
          <w:vertAlign w:val="baseline"/>
        </w:rPr>
        <w:t>2</w:t>
      </w:r>
      <w:r>
        <w:rPr>
          <w:sz w:val="20"/>
          <w:vertAlign w:val="superscript"/>
        </w:rPr>
        <w:t>e</w:t>
      </w:r>
      <w:r>
        <w:rPr>
          <w:spacing w:val="5"/>
          <w:sz w:val="20"/>
          <w:vertAlign w:val="baseline"/>
        </w:rPr>
        <w:t> </w:t>
      </w:r>
      <w:r>
        <w:rPr>
          <w:sz w:val="20"/>
          <w:vertAlign w:val="baseline"/>
        </w:rPr>
        <w:t>éd.,</w:t>
      </w:r>
      <w:r>
        <w:rPr>
          <w:spacing w:val="5"/>
          <w:sz w:val="20"/>
          <w:vertAlign w:val="baseline"/>
        </w:rPr>
        <w:t> </w:t>
      </w:r>
      <w:r>
        <w:rPr>
          <w:sz w:val="20"/>
          <w:vertAlign w:val="baseline"/>
        </w:rPr>
        <w:t>Martinus</w:t>
      </w:r>
      <w:r>
        <w:rPr>
          <w:spacing w:val="5"/>
          <w:sz w:val="20"/>
          <w:vertAlign w:val="baseline"/>
        </w:rPr>
        <w:t> </w:t>
      </w:r>
      <w:r>
        <w:rPr>
          <w:sz w:val="20"/>
          <w:vertAlign w:val="baseline"/>
        </w:rPr>
        <w:t>Nijhoff</w:t>
      </w:r>
      <w:r>
        <w:rPr>
          <w:spacing w:val="4"/>
          <w:sz w:val="20"/>
          <w:vertAlign w:val="baseline"/>
        </w:rPr>
        <w:t> </w:t>
      </w:r>
      <w:r>
        <w:rPr>
          <w:sz w:val="20"/>
          <w:vertAlign w:val="baseline"/>
        </w:rPr>
        <w:t>Publishers,</w:t>
      </w:r>
      <w:r>
        <w:rPr>
          <w:spacing w:val="5"/>
          <w:sz w:val="20"/>
          <w:vertAlign w:val="baseline"/>
        </w:rPr>
        <w:t> </w:t>
      </w:r>
      <w:r>
        <w:rPr>
          <w:sz w:val="20"/>
          <w:vertAlign w:val="baseline"/>
        </w:rPr>
        <w:t>2002,</w:t>
      </w:r>
      <w:r>
        <w:rPr>
          <w:spacing w:val="5"/>
          <w:sz w:val="20"/>
          <w:vertAlign w:val="baseline"/>
        </w:rPr>
        <w:t> </w:t>
      </w:r>
      <w:r>
        <w:rPr>
          <w:sz w:val="20"/>
          <w:vertAlign w:val="baseline"/>
        </w:rPr>
        <w:t>468</w:t>
      </w:r>
      <w:r>
        <w:rPr>
          <w:spacing w:val="5"/>
          <w:sz w:val="20"/>
          <w:vertAlign w:val="baseline"/>
        </w:rPr>
        <w:t> </w:t>
      </w:r>
      <w:r>
        <w:rPr>
          <w:sz w:val="20"/>
          <w:vertAlign w:val="baseline"/>
        </w:rPr>
        <w:t>p</w:t>
      </w:r>
      <w:r>
        <w:rPr>
          <w:spacing w:val="5"/>
          <w:sz w:val="20"/>
          <w:vertAlign w:val="baseline"/>
        </w:rPr>
        <w:t> </w:t>
      </w:r>
      <w:r>
        <w:rPr>
          <w:spacing w:val="-10"/>
          <w:sz w:val="20"/>
          <w:vertAlign w:val="baseline"/>
        </w:rPr>
        <w:t>;</w:t>
      </w:r>
    </w:p>
    <w:p>
      <w:pPr>
        <w:spacing w:before="0"/>
        <w:ind w:left="142" w:right="139" w:firstLine="0"/>
        <w:jc w:val="both"/>
        <w:rPr>
          <w:sz w:val="20"/>
        </w:rPr>
      </w:pPr>
      <w:r>
        <w:rPr>
          <w:sz w:val="20"/>
        </w:rPr>
        <w:t>R.</w:t>
      </w:r>
      <w:r>
        <w:rPr>
          <w:spacing w:val="-1"/>
          <w:sz w:val="20"/>
        </w:rPr>
        <w:t> </w:t>
      </w:r>
      <w:r>
        <w:rPr>
          <w:sz w:val="20"/>
        </w:rPr>
        <w:t>C.</w:t>
      </w:r>
      <w:r>
        <w:rPr>
          <w:spacing w:val="-1"/>
          <w:sz w:val="20"/>
        </w:rPr>
        <w:t> </w:t>
      </w:r>
      <w:r>
        <w:rPr>
          <w:sz w:val="20"/>
        </w:rPr>
        <w:t>R</w:t>
      </w:r>
      <w:r>
        <w:rPr>
          <w:sz w:val="16"/>
        </w:rPr>
        <w:t>EULAND</w:t>
      </w:r>
      <w:r>
        <w:rPr>
          <w:sz w:val="20"/>
        </w:rPr>
        <w:t>, « The customary right of hot pursuit onto the high seas: Annotations to article 111 of the law of the sea convention », </w:t>
      </w:r>
      <w:r>
        <w:rPr>
          <w:i/>
          <w:sz w:val="20"/>
        </w:rPr>
        <w:t>Va. J. Int’l L</w:t>
      </w:r>
      <w:r>
        <w:rPr>
          <w:sz w:val="20"/>
        </w:rPr>
        <w:t>., vol. 33, 1992-1993, p. 557-589, cités par </w:t>
      </w:r>
      <w:hyperlink r:id="rId8">
        <w:r>
          <w:rPr>
            <w:sz w:val="20"/>
          </w:rPr>
          <w:t>Yann TEPHANY</w:t>
        </w:r>
      </w:hyperlink>
      <w:r>
        <w:rPr>
          <w:sz w:val="20"/>
        </w:rPr>
        <w:t>, La CNUDM et la lutte contre les activités illicites en mer, op.cit., n°39.</w:t>
      </w:r>
    </w:p>
    <w:p>
      <w:pPr>
        <w:spacing w:before="0"/>
        <w:ind w:left="142" w:right="141" w:firstLine="0"/>
        <w:jc w:val="both"/>
        <w:rPr>
          <w:sz w:val="20"/>
        </w:rPr>
      </w:pPr>
      <w:r>
        <w:rPr>
          <w:sz w:val="20"/>
          <w:vertAlign w:val="superscript"/>
        </w:rPr>
        <w:t>43</w:t>
      </w:r>
      <w:r>
        <w:rPr>
          <w:sz w:val="20"/>
          <w:vertAlign w:val="baseline"/>
        </w:rPr>
        <w:t>Yann TEPHANY, Droit de poursuite et pêche illicite, </w:t>
      </w:r>
      <w:hyperlink r:id="rId11">
        <w:r>
          <w:rPr>
            <w:sz w:val="20"/>
            <w:vertAlign w:val="baseline"/>
          </w:rPr>
          <w:t>16/03/2017</w:t>
        </w:r>
      </w:hyperlink>
      <w:r>
        <w:rPr>
          <w:sz w:val="20"/>
          <w:vertAlign w:val="baseline"/>
        </w:rPr>
        <w:t> : </w:t>
      </w:r>
      <w:r>
        <w:rPr>
          <w:color w:val="252525"/>
          <w:sz w:val="20"/>
          <w:vertAlign w:val="baseline"/>
        </w:rPr>
        <w:t>L</w:t>
      </w:r>
      <w:r>
        <w:rPr>
          <w:sz w:val="20"/>
          <w:vertAlign w:val="baseline"/>
        </w:rPr>
        <w:t>e </w:t>
      </w:r>
      <w:r>
        <w:rPr>
          <w:b/>
          <w:sz w:val="20"/>
          <w:vertAlign w:val="baseline"/>
        </w:rPr>
        <w:t>droit de poursuite </w:t>
      </w:r>
      <w:r>
        <w:rPr>
          <w:sz w:val="20"/>
          <w:vertAlign w:val="baseline"/>
        </w:rPr>
        <w:t>venait d’une pratique anglo-saxonne et s’internationalisait avant de se voir consacrer par la Convention de Genève sur la haute mer de 1958, puis par la Convention des Nations-Unies sur le droit de la mer de 1982. En ligne </w:t>
      </w:r>
      <w:hyperlink r:id="rId11">
        <w:r>
          <w:rPr>
            <w:color w:val="0000FF"/>
            <w:sz w:val="20"/>
            <w:u w:val="single" w:color="0000FF"/>
            <w:vertAlign w:val="baseline"/>
          </w:rPr>
          <w:t>https://humansea.hypotheses.org/798#identifier 5798</w:t>
        </w:r>
      </w:hyperlink>
      <w:r>
        <w:rPr>
          <w:sz w:val="20"/>
          <w:vertAlign w:val="baseline"/>
        </w:rPr>
        <w:t>.</w:t>
      </w:r>
    </w:p>
    <w:p>
      <w:pPr>
        <w:spacing w:before="0"/>
        <w:ind w:left="142" w:right="139" w:hanging="1"/>
        <w:jc w:val="both"/>
        <w:rPr>
          <w:sz w:val="20"/>
        </w:rPr>
      </w:pPr>
      <w:r>
        <w:rPr>
          <w:sz w:val="20"/>
          <w:vertAlign w:val="superscript"/>
        </w:rPr>
        <w:t>44</w:t>
      </w:r>
      <w:r>
        <w:rPr>
          <w:sz w:val="20"/>
          <w:vertAlign w:val="baseline"/>
        </w:rPr>
        <w:t>CNUDM, article 92 (1) :« Les navires naviguent sous le pavillon d'un seul Etat et </w:t>
      </w:r>
      <w:r>
        <w:rPr>
          <w:b/>
          <w:sz w:val="20"/>
          <w:vertAlign w:val="baseline"/>
        </w:rPr>
        <w:t>sont soumis</w:t>
      </w:r>
      <w:r>
        <w:rPr>
          <w:sz w:val="20"/>
          <w:vertAlign w:val="baseline"/>
        </w:rPr>
        <w:t>, sauf dans les cas exceptionnels expressément prévus par des traités internationaux ou par la Convention, </w:t>
      </w:r>
      <w:r>
        <w:rPr>
          <w:b/>
          <w:sz w:val="20"/>
          <w:vertAlign w:val="baseline"/>
        </w:rPr>
        <w:t>à sa juridiction exclusive en haute mer</w:t>
      </w:r>
      <w:r>
        <w:rPr>
          <w:sz w:val="20"/>
          <w:vertAlign w:val="baseline"/>
        </w:rPr>
        <w:t>. Aucun changement de pavillon ne peut intervenir au cours d'un voyage ou d'une escale, sauf en cas de transfert réel de la propriété ou de changement d'immatriculation ».</w:t>
      </w:r>
    </w:p>
    <w:p>
      <w:pPr>
        <w:spacing w:before="0"/>
        <w:ind w:left="142" w:right="0" w:firstLine="0"/>
        <w:jc w:val="both"/>
        <w:rPr>
          <w:sz w:val="20"/>
        </w:rPr>
      </w:pPr>
      <w:r>
        <w:rPr>
          <w:sz w:val="20"/>
          <w:vertAlign w:val="superscript"/>
        </w:rPr>
        <w:t>45</w:t>
      </w:r>
      <w:r>
        <w:rPr>
          <w:sz w:val="20"/>
          <w:vertAlign w:val="baseline"/>
        </w:rPr>
        <w:t>CNUDM,</w:t>
      </w:r>
      <w:r>
        <w:rPr>
          <w:spacing w:val="-3"/>
          <w:sz w:val="20"/>
          <w:vertAlign w:val="baseline"/>
        </w:rPr>
        <w:t> </w:t>
      </w:r>
      <w:r>
        <w:rPr>
          <w:sz w:val="20"/>
          <w:vertAlign w:val="baseline"/>
        </w:rPr>
        <w:t>article</w:t>
      </w:r>
      <w:r>
        <w:rPr>
          <w:spacing w:val="-3"/>
          <w:sz w:val="20"/>
          <w:vertAlign w:val="baseline"/>
        </w:rPr>
        <w:t> </w:t>
      </w:r>
      <w:r>
        <w:rPr>
          <w:spacing w:val="-2"/>
          <w:sz w:val="20"/>
          <w:vertAlign w:val="baseline"/>
        </w:rPr>
        <w:t>111(3).</w:t>
      </w:r>
    </w:p>
    <w:p>
      <w:pPr>
        <w:spacing w:before="0"/>
        <w:ind w:left="142" w:right="139" w:firstLine="0"/>
        <w:jc w:val="both"/>
        <w:rPr>
          <w:sz w:val="20"/>
        </w:rPr>
      </w:pPr>
      <w:r>
        <w:rPr>
          <w:sz w:val="20"/>
          <w:vertAlign w:val="superscript"/>
        </w:rPr>
        <w:t>46</w:t>
      </w:r>
      <w:r>
        <w:rPr>
          <w:color w:val="252525"/>
          <w:sz w:val="20"/>
          <w:vertAlign w:val="baseline"/>
        </w:rPr>
        <w:t>Cf., Résolutions du Conseil de sécurité consacrées à la piraterie somalienne (notamment C. S./Rés. 1816 [2008], 6 novembre 2008) ; P. B</w:t>
      </w:r>
      <w:r>
        <w:rPr>
          <w:color w:val="252525"/>
          <w:sz w:val="16"/>
          <w:vertAlign w:val="baseline"/>
        </w:rPr>
        <w:t>ONASSIES</w:t>
      </w:r>
      <w:r>
        <w:rPr>
          <w:color w:val="252525"/>
          <w:sz w:val="20"/>
          <w:vertAlign w:val="baseline"/>
        </w:rPr>
        <w:t>, « Du régime de l’arrestation de pirates par un navire français dans les eaux territoriales</w:t>
      </w:r>
      <w:r>
        <w:rPr>
          <w:color w:val="252525"/>
          <w:spacing w:val="-1"/>
          <w:sz w:val="20"/>
          <w:vertAlign w:val="baseline"/>
        </w:rPr>
        <w:t> </w:t>
      </w:r>
      <w:r>
        <w:rPr>
          <w:color w:val="252525"/>
          <w:sz w:val="20"/>
          <w:vertAlign w:val="baseline"/>
        </w:rPr>
        <w:t>somaliennes</w:t>
      </w:r>
      <w:r>
        <w:rPr>
          <w:color w:val="252525"/>
          <w:spacing w:val="-1"/>
          <w:sz w:val="20"/>
          <w:vertAlign w:val="baseline"/>
        </w:rPr>
        <w:t> </w:t>
      </w:r>
      <w:r>
        <w:rPr>
          <w:color w:val="252525"/>
          <w:sz w:val="20"/>
          <w:vertAlign w:val="baseline"/>
        </w:rPr>
        <w:t>», </w:t>
      </w:r>
      <w:r>
        <w:rPr>
          <w:i/>
          <w:color w:val="252525"/>
          <w:sz w:val="20"/>
          <w:vertAlign w:val="baseline"/>
        </w:rPr>
        <w:t>DMF</w:t>
      </w:r>
      <w:r>
        <w:rPr>
          <w:color w:val="252525"/>
          <w:sz w:val="20"/>
          <w:vertAlign w:val="baseline"/>
        </w:rPr>
        <w:t>,</w:t>
      </w:r>
      <w:r>
        <w:rPr>
          <w:color w:val="252525"/>
          <w:spacing w:val="-1"/>
          <w:sz w:val="20"/>
          <w:vertAlign w:val="baseline"/>
        </w:rPr>
        <w:t> </w:t>
      </w:r>
      <w:r>
        <w:rPr>
          <w:color w:val="252525"/>
          <w:sz w:val="20"/>
          <w:vertAlign w:val="baseline"/>
        </w:rPr>
        <w:t>n°</w:t>
      </w:r>
      <w:r>
        <w:rPr>
          <w:color w:val="252525"/>
          <w:spacing w:val="-1"/>
          <w:sz w:val="20"/>
          <w:vertAlign w:val="baseline"/>
        </w:rPr>
        <w:t> </w:t>
      </w:r>
      <w:r>
        <w:rPr>
          <w:color w:val="252525"/>
          <w:sz w:val="20"/>
          <w:vertAlign w:val="baseline"/>
        </w:rPr>
        <w:t>726,</w:t>
      </w:r>
      <w:r>
        <w:rPr>
          <w:color w:val="252525"/>
          <w:spacing w:val="-1"/>
          <w:sz w:val="20"/>
          <w:vertAlign w:val="baseline"/>
        </w:rPr>
        <w:t> </w:t>
      </w:r>
      <w:r>
        <w:rPr>
          <w:color w:val="252525"/>
          <w:sz w:val="20"/>
          <w:vertAlign w:val="baseline"/>
        </w:rPr>
        <w:t>2011,</w:t>
      </w:r>
      <w:r>
        <w:rPr>
          <w:color w:val="252525"/>
          <w:spacing w:val="-1"/>
          <w:sz w:val="20"/>
          <w:vertAlign w:val="baseline"/>
        </w:rPr>
        <w:t> </w:t>
      </w:r>
      <w:r>
        <w:rPr>
          <w:color w:val="252525"/>
          <w:sz w:val="20"/>
          <w:vertAlign w:val="baseline"/>
        </w:rPr>
        <w:t>p.</w:t>
      </w:r>
      <w:r>
        <w:rPr>
          <w:color w:val="252525"/>
          <w:spacing w:val="-1"/>
          <w:sz w:val="20"/>
          <w:vertAlign w:val="baseline"/>
        </w:rPr>
        <w:t> </w:t>
      </w:r>
      <w:r>
        <w:rPr>
          <w:color w:val="252525"/>
          <w:sz w:val="20"/>
          <w:vertAlign w:val="baseline"/>
        </w:rPr>
        <w:t>569</w:t>
      </w:r>
      <w:r>
        <w:rPr>
          <w:color w:val="252525"/>
          <w:spacing w:val="-1"/>
          <w:sz w:val="20"/>
          <w:vertAlign w:val="baseline"/>
        </w:rPr>
        <w:t> </w:t>
      </w:r>
      <w:r>
        <w:rPr>
          <w:color w:val="252525"/>
          <w:sz w:val="20"/>
          <w:vertAlign w:val="baseline"/>
        </w:rPr>
        <w:t>;</w:t>
      </w:r>
      <w:r>
        <w:rPr>
          <w:color w:val="252525"/>
          <w:spacing w:val="-1"/>
          <w:sz w:val="20"/>
          <w:vertAlign w:val="baseline"/>
        </w:rPr>
        <w:t> </w:t>
      </w:r>
      <w:r>
        <w:rPr>
          <w:color w:val="252525"/>
          <w:sz w:val="20"/>
          <w:vertAlign w:val="baseline"/>
        </w:rPr>
        <w:t>B.</w:t>
      </w:r>
      <w:r>
        <w:rPr>
          <w:color w:val="252525"/>
          <w:spacing w:val="-11"/>
          <w:sz w:val="20"/>
          <w:vertAlign w:val="baseline"/>
        </w:rPr>
        <w:t> </w:t>
      </w:r>
      <w:r>
        <w:rPr>
          <w:color w:val="252525"/>
          <w:sz w:val="20"/>
          <w:vertAlign w:val="baseline"/>
        </w:rPr>
        <w:t>D</w:t>
      </w:r>
      <w:r>
        <w:rPr>
          <w:color w:val="252525"/>
          <w:sz w:val="16"/>
          <w:vertAlign w:val="baseline"/>
        </w:rPr>
        <w:t>ROBENKO</w:t>
      </w:r>
      <w:r>
        <w:rPr>
          <w:color w:val="252525"/>
          <w:sz w:val="20"/>
          <w:vertAlign w:val="baseline"/>
        </w:rPr>
        <w:t>,</w:t>
      </w:r>
      <w:r>
        <w:rPr>
          <w:color w:val="252525"/>
          <w:spacing w:val="-1"/>
          <w:sz w:val="20"/>
          <w:vertAlign w:val="baseline"/>
        </w:rPr>
        <w:t> </w:t>
      </w:r>
      <w:r>
        <w:rPr>
          <w:color w:val="252525"/>
          <w:sz w:val="20"/>
          <w:vertAlign w:val="baseline"/>
        </w:rPr>
        <w:t>«</w:t>
      </w:r>
      <w:r>
        <w:rPr>
          <w:color w:val="252525"/>
          <w:spacing w:val="-1"/>
          <w:sz w:val="20"/>
          <w:vertAlign w:val="baseline"/>
        </w:rPr>
        <w:t> </w:t>
      </w:r>
      <w:r>
        <w:rPr>
          <w:color w:val="252525"/>
          <w:sz w:val="20"/>
          <w:vertAlign w:val="baseline"/>
        </w:rPr>
        <w:t>Vers</w:t>
      </w:r>
      <w:r>
        <w:rPr>
          <w:color w:val="252525"/>
          <w:spacing w:val="-1"/>
          <w:sz w:val="20"/>
          <w:vertAlign w:val="baseline"/>
        </w:rPr>
        <w:t> </w:t>
      </w:r>
      <w:r>
        <w:rPr>
          <w:color w:val="252525"/>
          <w:sz w:val="20"/>
          <w:vertAlign w:val="baseline"/>
        </w:rPr>
        <w:t>un</w:t>
      </w:r>
      <w:r>
        <w:rPr>
          <w:color w:val="252525"/>
          <w:spacing w:val="-1"/>
          <w:sz w:val="20"/>
          <w:vertAlign w:val="baseline"/>
        </w:rPr>
        <w:t> </w:t>
      </w:r>
      <w:r>
        <w:rPr>
          <w:color w:val="252525"/>
          <w:sz w:val="20"/>
          <w:vertAlign w:val="baseline"/>
        </w:rPr>
        <w:t>statut</w:t>
      </w:r>
      <w:r>
        <w:rPr>
          <w:color w:val="252525"/>
          <w:spacing w:val="-1"/>
          <w:sz w:val="20"/>
          <w:vertAlign w:val="baseline"/>
        </w:rPr>
        <w:t> </w:t>
      </w:r>
      <w:r>
        <w:rPr>
          <w:color w:val="252525"/>
          <w:sz w:val="20"/>
          <w:vertAlign w:val="baseline"/>
        </w:rPr>
        <w:t>de</w:t>
      </w:r>
      <w:r>
        <w:rPr>
          <w:color w:val="252525"/>
          <w:spacing w:val="-1"/>
          <w:sz w:val="20"/>
          <w:vertAlign w:val="baseline"/>
        </w:rPr>
        <w:t> </w:t>
      </w:r>
      <w:r>
        <w:rPr>
          <w:color w:val="252525"/>
          <w:sz w:val="20"/>
          <w:vertAlign w:val="baseline"/>
        </w:rPr>
        <w:t>la</w:t>
      </w:r>
      <w:r>
        <w:rPr>
          <w:color w:val="252525"/>
          <w:spacing w:val="-1"/>
          <w:sz w:val="20"/>
          <w:vertAlign w:val="baseline"/>
        </w:rPr>
        <w:t> </w:t>
      </w:r>
      <w:r>
        <w:rPr>
          <w:color w:val="252525"/>
          <w:sz w:val="20"/>
          <w:vertAlign w:val="baseline"/>
        </w:rPr>
        <w:t>haute-mer</w:t>
      </w:r>
      <w:r>
        <w:rPr>
          <w:color w:val="252525"/>
          <w:spacing w:val="-1"/>
          <w:sz w:val="20"/>
          <w:vertAlign w:val="baseline"/>
        </w:rPr>
        <w:t> </w:t>
      </w:r>
      <w:r>
        <w:rPr>
          <w:color w:val="252525"/>
          <w:sz w:val="20"/>
          <w:vertAlign w:val="baseline"/>
        </w:rPr>
        <w:t>?</w:t>
      </w:r>
      <w:r>
        <w:rPr>
          <w:color w:val="252525"/>
          <w:spacing w:val="-1"/>
          <w:sz w:val="20"/>
          <w:vertAlign w:val="baseline"/>
        </w:rPr>
        <w:t> </w:t>
      </w:r>
      <w:r>
        <w:rPr>
          <w:color w:val="252525"/>
          <w:sz w:val="20"/>
          <w:vertAlign w:val="baseline"/>
        </w:rPr>
        <w:t>», </w:t>
      </w:r>
      <w:r>
        <w:rPr>
          <w:i/>
          <w:color w:val="252525"/>
          <w:sz w:val="20"/>
          <w:vertAlign w:val="baseline"/>
        </w:rPr>
        <w:t>DMF</w:t>
      </w:r>
      <w:r>
        <w:rPr>
          <w:color w:val="252525"/>
          <w:sz w:val="20"/>
          <w:vertAlign w:val="baseline"/>
        </w:rPr>
        <w:t>, n°</w:t>
      </w:r>
      <w:r>
        <w:rPr>
          <w:color w:val="252525"/>
          <w:spacing w:val="-1"/>
          <w:sz w:val="20"/>
          <w:vertAlign w:val="baseline"/>
        </w:rPr>
        <w:t> </w:t>
      </w:r>
      <w:r>
        <w:rPr>
          <w:color w:val="252525"/>
          <w:sz w:val="20"/>
          <w:vertAlign w:val="baseline"/>
        </w:rPr>
        <w:t>765,</w:t>
      </w:r>
      <w:r>
        <w:rPr>
          <w:color w:val="252525"/>
          <w:spacing w:val="-1"/>
          <w:sz w:val="20"/>
          <w:vertAlign w:val="baseline"/>
        </w:rPr>
        <w:t> </w:t>
      </w:r>
      <w:r>
        <w:rPr>
          <w:color w:val="252525"/>
          <w:sz w:val="20"/>
          <w:vertAlign w:val="baseline"/>
        </w:rPr>
        <w:t>2015,</w:t>
      </w:r>
      <w:r>
        <w:rPr>
          <w:color w:val="252525"/>
          <w:spacing w:val="-1"/>
          <w:sz w:val="20"/>
          <w:vertAlign w:val="baseline"/>
        </w:rPr>
        <w:t> </w:t>
      </w:r>
      <w:r>
        <w:rPr>
          <w:color w:val="252525"/>
          <w:sz w:val="20"/>
          <w:vertAlign w:val="baseline"/>
        </w:rPr>
        <w:t>p.</w:t>
      </w:r>
      <w:r>
        <w:rPr>
          <w:color w:val="252525"/>
          <w:spacing w:val="-1"/>
          <w:sz w:val="20"/>
          <w:vertAlign w:val="baseline"/>
        </w:rPr>
        <w:t> </w:t>
      </w:r>
      <w:r>
        <w:rPr>
          <w:color w:val="252525"/>
          <w:sz w:val="20"/>
          <w:vertAlign w:val="baseline"/>
        </w:rPr>
        <w:t>237,</w:t>
      </w:r>
      <w:r>
        <w:rPr>
          <w:color w:val="252525"/>
          <w:spacing w:val="-1"/>
          <w:sz w:val="20"/>
          <w:vertAlign w:val="baseline"/>
        </w:rPr>
        <w:t> </w:t>
      </w:r>
      <w:r>
        <w:rPr>
          <w:color w:val="252525"/>
          <w:sz w:val="20"/>
          <w:vertAlign w:val="baseline"/>
        </w:rPr>
        <w:t>cités</w:t>
      </w:r>
      <w:r>
        <w:rPr>
          <w:color w:val="252525"/>
          <w:spacing w:val="-1"/>
          <w:sz w:val="20"/>
          <w:vertAlign w:val="baseline"/>
        </w:rPr>
        <w:t> </w:t>
      </w:r>
      <w:r>
        <w:rPr>
          <w:color w:val="252525"/>
          <w:sz w:val="20"/>
          <w:vertAlign w:val="baseline"/>
        </w:rPr>
        <w:t>par</w:t>
      </w:r>
      <w:r>
        <w:rPr>
          <w:color w:val="252525"/>
          <w:spacing w:val="-1"/>
          <w:sz w:val="20"/>
          <w:vertAlign w:val="baseline"/>
        </w:rPr>
        <w:t> </w:t>
      </w:r>
      <w:hyperlink r:id="rId8">
        <w:r>
          <w:rPr>
            <w:sz w:val="20"/>
            <w:vertAlign w:val="baseline"/>
          </w:rPr>
          <w:t>Yann</w:t>
        </w:r>
        <w:r>
          <w:rPr>
            <w:spacing w:val="-1"/>
            <w:sz w:val="20"/>
            <w:vertAlign w:val="baseline"/>
          </w:rPr>
          <w:t> </w:t>
        </w:r>
        <w:r>
          <w:rPr>
            <w:sz w:val="20"/>
            <w:vertAlign w:val="baseline"/>
          </w:rPr>
          <w:t>TEPHANY</w:t>
        </w:r>
      </w:hyperlink>
      <w:r>
        <w:rPr>
          <w:sz w:val="20"/>
          <w:vertAlign w:val="baseline"/>
        </w:rPr>
        <w:t>,</w:t>
      </w:r>
      <w:r>
        <w:rPr>
          <w:spacing w:val="-1"/>
          <w:sz w:val="20"/>
          <w:vertAlign w:val="baseline"/>
        </w:rPr>
        <w:t> </w:t>
      </w:r>
      <w:r>
        <w:rPr>
          <w:sz w:val="20"/>
          <w:vertAlign w:val="baseline"/>
        </w:rPr>
        <w:t>La</w:t>
      </w:r>
      <w:r>
        <w:rPr>
          <w:spacing w:val="-1"/>
          <w:sz w:val="20"/>
          <w:vertAlign w:val="baseline"/>
        </w:rPr>
        <w:t> </w:t>
      </w:r>
      <w:r>
        <w:rPr>
          <w:sz w:val="20"/>
          <w:vertAlign w:val="baseline"/>
        </w:rPr>
        <w:t>CNUDM</w:t>
      </w:r>
      <w:r>
        <w:rPr>
          <w:spacing w:val="-1"/>
          <w:sz w:val="20"/>
          <w:vertAlign w:val="baseline"/>
        </w:rPr>
        <w:t> </w:t>
      </w:r>
      <w:r>
        <w:rPr>
          <w:sz w:val="20"/>
          <w:vertAlign w:val="baseline"/>
        </w:rPr>
        <w:t>et</w:t>
      </w:r>
      <w:r>
        <w:rPr>
          <w:spacing w:val="-1"/>
          <w:sz w:val="20"/>
          <w:vertAlign w:val="baseline"/>
        </w:rPr>
        <w:t> </w:t>
      </w:r>
      <w:r>
        <w:rPr>
          <w:sz w:val="20"/>
          <w:vertAlign w:val="baseline"/>
        </w:rPr>
        <w:t>la</w:t>
      </w:r>
      <w:r>
        <w:rPr>
          <w:spacing w:val="-1"/>
          <w:sz w:val="20"/>
          <w:vertAlign w:val="baseline"/>
        </w:rPr>
        <w:t> </w:t>
      </w:r>
      <w:r>
        <w:rPr>
          <w:sz w:val="20"/>
          <w:vertAlign w:val="baseline"/>
        </w:rPr>
        <w:t>lutte</w:t>
      </w:r>
      <w:r>
        <w:rPr>
          <w:spacing w:val="-1"/>
          <w:sz w:val="20"/>
          <w:vertAlign w:val="baseline"/>
        </w:rPr>
        <w:t> </w:t>
      </w:r>
      <w:r>
        <w:rPr>
          <w:sz w:val="20"/>
          <w:vertAlign w:val="baseline"/>
        </w:rPr>
        <w:t>contre</w:t>
      </w:r>
      <w:r>
        <w:rPr>
          <w:spacing w:val="-1"/>
          <w:sz w:val="20"/>
          <w:vertAlign w:val="baseline"/>
        </w:rPr>
        <w:t> </w:t>
      </w:r>
      <w:r>
        <w:rPr>
          <w:sz w:val="20"/>
          <w:vertAlign w:val="baseline"/>
        </w:rPr>
        <w:t>les</w:t>
      </w:r>
      <w:r>
        <w:rPr>
          <w:spacing w:val="-1"/>
          <w:sz w:val="20"/>
          <w:vertAlign w:val="baseline"/>
        </w:rPr>
        <w:t> </w:t>
      </w:r>
      <w:r>
        <w:rPr>
          <w:sz w:val="20"/>
          <w:vertAlign w:val="baseline"/>
        </w:rPr>
        <w:t>activités</w:t>
      </w:r>
      <w:r>
        <w:rPr>
          <w:spacing w:val="-1"/>
          <w:sz w:val="20"/>
          <w:vertAlign w:val="baseline"/>
        </w:rPr>
        <w:t> </w:t>
      </w:r>
      <w:r>
        <w:rPr>
          <w:sz w:val="20"/>
          <w:vertAlign w:val="baseline"/>
        </w:rPr>
        <w:t>illicites</w:t>
      </w:r>
      <w:r>
        <w:rPr>
          <w:spacing w:val="-1"/>
          <w:sz w:val="20"/>
          <w:vertAlign w:val="baseline"/>
        </w:rPr>
        <w:t> </w:t>
      </w:r>
      <w:r>
        <w:rPr>
          <w:sz w:val="20"/>
          <w:vertAlign w:val="baseline"/>
        </w:rPr>
        <w:t>en</w:t>
      </w:r>
      <w:r>
        <w:rPr>
          <w:spacing w:val="-1"/>
          <w:sz w:val="20"/>
          <w:vertAlign w:val="baseline"/>
        </w:rPr>
        <w:t> </w:t>
      </w:r>
      <w:r>
        <w:rPr>
          <w:sz w:val="20"/>
          <w:vertAlign w:val="baseline"/>
        </w:rPr>
        <w:t>mer,</w:t>
      </w:r>
      <w:r>
        <w:rPr>
          <w:spacing w:val="-1"/>
          <w:sz w:val="20"/>
          <w:vertAlign w:val="baseline"/>
        </w:rPr>
        <w:t> </w:t>
      </w:r>
      <w:r>
        <w:rPr>
          <w:sz w:val="20"/>
          <w:vertAlign w:val="baseline"/>
        </w:rPr>
        <w:t>loc.cit.</w:t>
      </w:r>
    </w:p>
    <w:p>
      <w:pPr>
        <w:spacing w:after="0"/>
        <w:jc w:val="both"/>
        <w:rPr>
          <w:sz w:val="20"/>
        </w:rPr>
        <w:sectPr>
          <w:pgSz w:w="11910" w:h="16840"/>
          <w:pgMar w:header="0" w:footer="1005" w:top="1320" w:bottom="1200" w:left="1275" w:right="1133"/>
        </w:sectPr>
      </w:pPr>
    </w:p>
    <w:p>
      <w:pPr>
        <w:pStyle w:val="BodyText"/>
        <w:spacing w:before="79"/>
        <w:ind w:left="141" w:right="139"/>
        <w:jc w:val="both"/>
      </w:pPr>
      <w:r>
        <w:rPr/>
        <w:t>Ce nouveau mécanisme de poursuite s’exerce dans un cadre de coopération renforcée</w:t>
      </w:r>
      <w:r>
        <w:rPr>
          <w:vertAlign w:val="superscript"/>
        </w:rPr>
        <w:t>47</w:t>
      </w:r>
      <w:r>
        <w:rPr>
          <w:vertAlign w:val="baseline"/>
        </w:rPr>
        <w:t>. Selon la théorie du « droit de poursuite inversé », un État côtier peut exercer un droit de poursuite contre un navire pirate jusque dans les eaux territoriales </w:t>
      </w:r>
      <w:r>
        <w:rPr>
          <w:color w:val="252525"/>
          <w:vertAlign w:val="baseline"/>
        </w:rPr>
        <w:t>de l’État dont il bat le pavillon ou dans celles d’un autre État </w:t>
      </w:r>
      <w:r>
        <w:rPr>
          <w:vertAlign w:val="baseline"/>
        </w:rPr>
        <w:t>afin de réprimer les actes de piraterie ainsi que les vols à main armée en mer</w:t>
      </w:r>
      <w:r>
        <w:rPr>
          <w:vertAlign w:val="superscript"/>
        </w:rPr>
        <w:t>48</w:t>
      </w:r>
      <w:r>
        <w:rPr>
          <w:vertAlign w:val="baseline"/>
        </w:rPr>
        <w:t>, etc...</w:t>
      </w:r>
    </w:p>
    <w:p>
      <w:pPr>
        <w:pStyle w:val="BodyText"/>
        <w:spacing w:before="4"/>
      </w:pPr>
    </w:p>
    <w:p>
      <w:pPr>
        <w:pStyle w:val="BodyText"/>
        <w:ind w:left="141" w:right="143"/>
        <w:jc w:val="both"/>
      </w:pPr>
      <w:r>
        <w:rPr/>
        <w:t>Les</w:t>
      </w:r>
      <w:r>
        <w:rPr>
          <w:spacing w:val="-3"/>
        </w:rPr>
        <w:t> </w:t>
      </w:r>
      <w:r>
        <w:rPr/>
        <w:t>instruments</w:t>
      </w:r>
      <w:r>
        <w:rPr>
          <w:spacing w:val="-3"/>
        </w:rPr>
        <w:t> </w:t>
      </w:r>
      <w:r>
        <w:rPr/>
        <w:t>juridiques</w:t>
      </w:r>
      <w:r>
        <w:rPr>
          <w:spacing w:val="-3"/>
        </w:rPr>
        <w:t> </w:t>
      </w:r>
      <w:r>
        <w:rPr/>
        <w:t>actuels</w:t>
      </w:r>
      <w:r>
        <w:rPr>
          <w:spacing w:val="-3"/>
        </w:rPr>
        <w:t> </w:t>
      </w:r>
      <w:r>
        <w:rPr/>
        <w:t>restent</w:t>
      </w:r>
      <w:r>
        <w:rPr>
          <w:spacing w:val="-3"/>
        </w:rPr>
        <w:t> </w:t>
      </w:r>
      <w:r>
        <w:rPr/>
        <w:t>fragmentaires</w:t>
      </w:r>
      <w:r>
        <w:rPr>
          <w:spacing w:val="-3"/>
        </w:rPr>
        <w:t> </w:t>
      </w:r>
      <w:r>
        <w:rPr/>
        <w:t>en</w:t>
      </w:r>
      <w:r>
        <w:rPr>
          <w:spacing w:val="-3"/>
        </w:rPr>
        <w:t> </w:t>
      </w:r>
      <w:r>
        <w:rPr/>
        <w:t>la</w:t>
      </w:r>
      <w:r>
        <w:rPr>
          <w:spacing w:val="-3"/>
        </w:rPr>
        <w:t> </w:t>
      </w:r>
      <w:r>
        <w:rPr/>
        <w:t>matière.</w:t>
      </w:r>
      <w:r>
        <w:rPr>
          <w:spacing w:val="-3"/>
        </w:rPr>
        <w:t> </w:t>
      </w:r>
      <w:r>
        <w:rPr/>
        <w:t>Au</w:t>
      </w:r>
      <w:r>
        <w:rPr>
          <w:spacing w:val="-3"/>
        </w:rPr>
        <w:t> </w:t>
      </w:r>
      <w:r>
        <w:rPr/>
        <w:t>niveau</w:t>
      </w:r>
      <w:r>
        <w:rPr>
          <w:spacing w:val="-3"/>
        </w:rPr>
        <w:t> </w:t>
      </w:r>
      <w:r>
        <w:rPr/>
        <w:t>bilatéral,</w:t>
      </w:r>
      <w:r>
        <w:rPr>
          <w:spacing w:val="-3"/>
        </w:rPr>
        <w:t> </w:t>
      </w:r>
      <w:r>
        <w:rPr/>
        <w:t>seuls quelques accords isolés existent en matière de pêche, notamment entre la France et l’Australie en 2003</w:t>
      </w:r>
      <w:r>
        <w:rPr>
          <w:vertAlign w:val="superscript"/>
        </w:rPr>
        <w:t>49</w:t>
      </w:r>
      <w:r>
        <w:rPr>
          <w:vertAlign w:val="baseline"/>
        </w:rPr>
        <w:t>et en 2007</w:t>
      </w:r>
      <w:r>
        <w:rPr>
          <w:vertAlign w:val="superscript"/>
        </w:rPr>
        <w:t>50</w:t>
      </w:r>
      <w:r>
        <w:rPr>
          <w:vertAlign w:val="baseline"/>
        </w:rPr>
        <w:t>. Au niveau multilatéral, ni la CNUDM ni la Convention SUA de 1988 ne consacrent explicitement ce mécanisme.</w:t>
      </w:r>
    </w:p>
    <w:p>
      <w:pPr>
        <w:pStyle w:val="BodyText"/>
        <w:spacing w:before="4"/>
      </w:pPr>
    </w:p>
    <w:p>
      <w:pPr>
        <w:pStyle w:val="BodyText"/>
        <w:ind w:left="141" w:right="140"/>
        <w:jc w:val="both"/>
      </w:pPr>
      <w:r>
        <w:rPr/>
        <w:t>La résolution 1816 du Conseil de sécurité des Nations Unies constitue une avancée notable, mais son champ d’application limité (Somalie</w:t>
      </w:r>
      <w:r>
        <w:rPr>
          <w:vertAlign w:val="superscript"/>
        </w:rPr>
        <w:t>51</w:t>
      </w:r>
      <w:r>
        <w:rPr>
          <w:vertAlign w:val="baseline"/>
        </w:rPr>
        <w:t>, durée déterminée</w:t>
      </w:r>
      <w:r>
        <w:rPr>
          <w:vertAlign w:val="superscript"/>
        </w:rPr>
        <w:t>52</w:t>
      </w:r>
      <w:r>
        <w:rPr>
          <w:vertAlign w:val="baseline"/>
        </w:rPr>
        <w:t>, consentement du gouvernement somalien</w:t>
      </w:r>
      <w:r>
        <w:rPr>
          <w:vertAlign w:val="superscript"/>
        </w:rPr>
        <w:t>53</w:t>
      </w:r>
      <w:r>
        <w:rPr>
          <w:vertAlign w:val="baseline"/>
        </w:rPr>
        <w:t>) réduit considérablement sa portée normative. Cette situation amène parfois à craindre que la théorie du droit de poursuite inversé ne s’érode à mesure de</w:t>
      </w:r>
      <w:r>
        <w:rPr>
          <w:spacing w:val="40"/>
          <w:vertAlign w:val="baseline"/>
        </w:rPr>
        <w:t> </w:t>
      </w:r>
      <w:r>
        <w:rPr>
          <w:vertAlign w:val="baseline"/>
        </w:rPr>
        <w:t>l’évolution du monde maritime et ne se désuétise au fil du temps</w:t>
      </w:r>
      <w:r>
        <w:rPr>
          <w:vertAlign w:val="superscript"/>
        </w:rPr>
        <w:t>54</w:t>
      </w:r>
      <w:r>
        <w:rPr>
          <w:vertAlign w:val="baseline"/>
        </w:rPr>
        <w:t>. Fort heureusement, ladite résolution onusienne s’appliquait tant aux vols à main armée (infractions de droit commun) qu’aux actes de piraterie</w:t>
      </w:r>
      <w:r>
        <w:rPr>
          <w:vertAlign w:val="superscript"/>
        </w:rPr>
        <w:t>55</w:t>
      </w:r>
      <w:r>
        <w:rPr>
          <w:vertAlign w:val="baseline"/>
        </w:rPr>
        <w:t>.</w:t>
      </w:r>
    </w:p>
    <w:p>
      <w:pPr>
        <w:pStyle w:val="BodyText"/>
        <w:spacing w:before="4"/>
      </w:pPr>
    </w:p>
    <w:p>
      <w:pPr>
        <w:pStyle w:val="BodyText"/>
        <w:ind w:left="141" w:right="147"/>
        <w:jc w:val="both"/>
      </w:pPr>
      <w:r>
        <w:rPr/>
        <w:t>En définitive, les résultats montrent une dualité structurelle : d’une part, une définition</w:t>
      </w:r>
      <w:r>
        <w:rPr>
          <w:spacing w:val="40"/>
        </w:rPr>
        <w:t> </w:t>
      </w:r>
      <w:r>
        <w:rPr/>
        <w:t>juridique internationale de la piraterie relativement précise mais restrictive ; d’autre part, une absence d’unification pénale internationale contraignante, obligeant les États à combler les lacunes par leurs droits internes et des mécanismes de coopération ad hoc.</w:t>
      </w:r>
    </w:p>
    <w:p>
      <w:pPr>
        <w:pStyle w:val="BodyText"/>
        <w:spacing w:before="4"/>
      </w:pPr>
    </w:p>
    <w:p>
      <w:pPr>
        <w:pStyle w:val="Heading4"/>
        <w:ind w:left="141" w:firstLine="0"/>
        <w:jc w:val="both"/>
      </w:pPr>
      <w:r>
        <w:rPr>
          <w:color w:val="145F82"/>
        </w:rPr>
        <w:t>Figure</w:t>
      </w:r>
      <w:r>
        <w:rPr>
          <w:color w:val="145F82"/>
          <w:spacing w:val="-3"/>
        </w:rPr>
        <w:t> </w:t>
      </w:r>
      <w:r>
        <w:rPr>
          <w:color w:val="145F82"/>
        </w:rPr>
        <w:t>2:</w:t>
      </w:r>
      <w:r>
        <w:rPr>
          <w:color w:val="145F82"/>
          <w:spacing w:val="-3"/>
        </w:rPr>
        <w:t> </w:t>
      </w:r>
      <w:r>
        <w:rPr>
          <w:color w:val="145F82"/>
        </w:rPr>
        <w:t>Résultats</w:t>
      </w:r>
      <w:r>
        <w:rPr>
          <w:color w:val="145F82"/>
          <w:spacing w:val="-3"/>
        </w:rPr>
        <w:t> </w:t>
      </w:r>
      <w:r>
        <w:rPr>
          <w:color w:val="145F82"/>
        </w:rPr>
        <w:t>de</w:t>
      </w:r>
      <w:r>
        <w:rPr>
          <w:color w:val="145F82"/>
          <w:spacing w:val="-2"/>
        </w:rPr>
        <w:t> recherches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4"/>
        <w:rPr>
          <w:b/>
          <w:sz w:val="20"/>
        </w:rPr>
      </w:pPr>
      <w:r>
        <w:rPr>
          <w:b/>
          <w:sz w:val="20"/>
        </w:rPr>
        <mc:AlternateContent>
          <mc:Choice Requires="wps">
            <w:drawing>
              <wp:anchor distT="0" distB="0" distL="0" distR="0" allowOverlap="1" layoutInCell="1" locked="0" behindDoc="1" simplePos="0" relativeHeight="487592960">
                <wp:simplePos x="0" y="0"/>
                <wp:positionH relativeFrom="page">
                  <wp:posOffset>899794</wp:posOffset>
                </wp:positionH>
                <wp:positionV relativeFrom="paragraph">
                  <wp:posOffset>170727</wp:posOffset>
                </wp:positionV>
                <wp:extent cx="1800225" cy="127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1800225" cy="1270"/>
                        </a:xfrm>
                        <a:custGeom>
                          <a:avLst/>
                          <a:gdLst/>
                          <a:ahLst/>
                          <a:cxnLst/>
                          <a:rect l="l" t="t" r="r" b="b"/>
                          <a:pathLst>
                            <a:path w="1800225" h="0">
                              <a:moveTo>
                                <a:pt x="0" y="0"/>
                              </a:moveTo>
                              <a:lnTo>
                                <a:pt x="1799996" y="0"/>
                              </a:lnTo>
                            </a:path>
                          </a:pathLst>
                        </a:custGeom>
                        <a:ln w="776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3.443132pt;width:141.75pt;height:.1pt;mso-position-horizontal-relative:page;mso-position-vertical-relative:paragraph;z-index:-15723520;mso-wrap-distance-left:0;mso-wrap-distance-right:0" id="docshape11" coordorigin="1417,269" coordsize="2835,0" path="m1417,269l4252,269e" filled="false" stroked="true" strokeweight=".61109pt" strokecolor="#000000">
                <v:path arrowok="t"/>
                <v:stroke dashstyle="solid"/>
                <w10:wrap type="topAndBottom"/>
              </v:shape>
            </w:pict>
          </mc:Fallback>
        </mc:AlternateContent>
      </w:r>
    </w:p>
    <w:p>
      <w:pPr>
        <w:spacing w:before="144"/>
        <w:ind w:left="141" w:right="143" w:firstLine="0"/>
        <w:jc w:val="left"/>
        <w:rPr>
          <w:sz w:val="20"/>
        </w:rPr>
      </w:pPr>
      <w:r>
        <w:rPr>
          <w:sz w:val="20"/>
          <w:vertAlign w:val="superscript"/>
        </w:rPr>
        <w:t>47</w:t>
      </w:r>
      <w:r>
        <w:rPr>
          <w:sz w:val="20"/>
          <w:vertAlign w:val="baseline"/>
        </w:rPr>
        <w:t>Rappr.</w:t>
      </w:r>
      <w:r>
        <w:rPr>
          <w:spacing w:val="80"/>
          <w:sz w:val="20"/>
          <w:vertAlign w:val="baseline"/>
        </w:rPr>
        <w:t> </w:t>
      </w:r>
      <w:r>
        <w:rPr>
          <w:sz w:val="20"/>
          <w:vertAlign w:val="baseline"/>
        </w:rPr>
        <w:t>Bernard</w:t>
      </w:r>
      <w:r>
        <w:rPr>
          <w:spacing w:val="80"/>
          <w:sz w:val="20"/>
          <w:vertAlign w:val="baseline"/>
        </w:rPr>
        <w:t> </w:t>
      </w:r>
      <w:r>
        <w:rPr>
          <w:sz w:val="20"/>
          <w:vertAlign w:val="baseline"/>
        </w:rPr>
        <w:t>DROBENKO,</w:t>
      </w:r>
      <w:r>
        <w:rPr>
          <w:spacing w:val="80"/>
          <w:sz w:val="20"/>
          <w:vertAlign w:val="baseline"/>
        </w:rPr>
        <w:t> </w:t>
      </w:r>
      <w:r>
        <w:rPr>
          <w:sz w:val="20"/>
          <w:vertAlign w:val="baseline"/>
        </w:rPr>
        <w:t>La</w:t>
      </w:r>
      <w:r>
        <w:rPr>
          <w:spacing w:val="80"/>
          <w:sz w:val="20"/>
          <w:vertAlign w:val="baseline"/>
        </w:rPr>
        <w:t> </w:t>
      </w:r>
      <w:r>
        <w:rPr>
          <w:sz w:val="20"/>
          <w:vertAlign w:val="baseline"/>
        </w:rPr>
        <w:t>piraterie</w:t>
      </w:r>
      <w:r>
        <w:rPr>
          <w:spacing w:val="80"/>
          <w:sz w:val="20"/>
          <w:vertAlign w:val="baseline"/>
        </w:rPr>
        <w:t> </w:t>
      </w:r>
      <w:r>
        <w:rPr>
          <w:sz w:val="20"/>
          <w:vertAlign w:val="baseline"/>
        </w:rPr>
        <w:t>saisie</w:t>
      </w:r>
      <w:r>
        <w:rPr>
          <w:spacing w:val="80"/>
          <w:sz w:val="20"/>
          <w:vertAlign w:val="baseline"/>
        </w:rPr>
        <w:t> </w:t>
      </w:r>
      <w:r>
        <w:rPr>
          <w:sz w:val="20"/>
          <w:vertAlign w:val="baseline"/>
        </w:rPr>
        <w:t>par</w:t>
      </w:r>
      <w:r>
        <w:rPr>
          <w:spacing w:val="80"/>
          <w:sz w:val="20"/>
          <w:vertAlign w:val="baseline"/>
        </w:rPr>
        <w:t> </w:t>
      </w:r>
      <w:r>
        <w:rPr>
          <w:sz w:val="20"/>
          <w:vertAlign w:val="baseline"/>
        </w:rPr>
        <w:t>le</w:t>
      </w:r>
      <w:r>
        <w:rPr>
          <w:spacing w:val="80"/>
          <w:sz w:val="20"/>
          <w:vertAlign w:val="baseline"/>
        </w:rPr>
        <w:t> </w:t>
      </w:r>
      <w:r>
        <w:rPr>
          <w:sz w:val="20"/>
          <w:vertAlign w:val="baseline"/>
        </w:rPr>
        <w:t>droit,</w:t>
      </w:r>
      <w:r>
        <w:rPr>
          <w:spacing w:val="80"/>
          <w:sz w:val="20"/>
          <w:vertAlign w:val="baseline"/>
        </w:rPr>
        <w:t> </w:t>
      </w:r>
      <w:r>
        <w:rPr>
          <w:sz w:val="20"/>
          <w:vertAlign w:val="baseline"/>
        </w:rPr>
        <w:t>14</w:t>
      </w:r>
      <w:r>
        <w:rPr>
          <w:spacing w:val="80"/>
          <w:sz w:val="20"/>
          <w:vertAlign w:val="baseline"/>
        </w:rPr>
        <w:t> </w:t>
      </w:r>
      <w:r>
        <w:rPr>
          <w:sz w:val="20"/>
          <w:vertAlign w:val="baseline"/>
        </w:rPr>
        <w:t>Novembre</w:t>
      </w:r>
      <w:r>
        <w:rPr>
          <w:spacing w:val="80"/>
          <w:sz w:val="20"/>
          <w:vertAlign w:val="baseline"/>
        </w:rPr>
        <w:t> </w:t>
      </w:r>
      <w:r>
        <w:rPr>
          <w:sz w:val="20"/>
          <w:vertAlign w:val="baseline"/>
        </w:rPr>
        <w:t>2020,</w:t>
      </w:r>
      <w:r>
        <w:rPr>
          <w:spacing w:val="80"/>
          <w:sz w:val="20"/>
          <w:vertAlign w:val="baseline"/>
        </w:rPr>
        <w:t> </w:t>
      </w:r>
      <w:r>
        <w:rPr>
          <w:sz w:val="20"/>
          <w:vertAlign w:val="baseline"/>
        </w:rPr>
        <w:t>p.10.</w:t>
      </w:r>
      <w:r>
        <w:rPr>
          <w:spacing w:val="80"/>
          <w:sz w:val="20"/>
          <w:vertAlign w:val="baseline"/>
        </w:rPr>
        <w:t> </w:t>
      </w:r>
      <w:r>
        <w:rPr>
          <w:sz w:val="20"/>
          <w:vertAlign w:val="baseline"/>
        </w:rPr>
        <w:t>En</w:t>
      </w:r>
      <w:r>
        <w:rPr>
          <w:spacing w:val="80"/>
          <w:sz w:val="20"/>
          <w:vertAlign w:val="baseline"/>
        </w:rPr>
        <w:t> </w:t>
      </w:r>
      <w:r>
        <w:rPr>
          <w:sz w:val="20"/>
          <w:vertAlign w:val="baseline"/>
        </w:rPr>
        <w:t>ligne</w:t>
      </w:r>
      <w:r>
        <w:rPr>
          <w:spacing w:val="40"/>
          <w:sz w:val="20"/>
          <w:vertAlign w:val="baseline"/>
        </w:rPr>
        <w:t> </w:t>
      </w:r>
      <w:hyperlink r:id="rId12">
        <w:r>
          <w:rPr>
            <w:color w:val="0000FF"/>
            <w:spacing w:val="-2"/>
            <w:sz w:val="20"/>
            <w:u w:val="single" w:color="0000FF"/>
            <w:vertAlign w:val="baseline"/>
          </w:rPr>
          <w:t>https://hal.science/hal-03005439/document</w:t>
        </w:r>
      </w:hyperlink>
      <w:r>
        <w:rPr>
          <w:spacing w:val="-2"/>
          <w:sz w:val="20"/>
          <w:vertAlign w:val="baseline"/>
        </w:rPr>
        <w:t>.</w:t>
      </w:r>
    </w:p>
    <w:p>
      <w:pPr>
        <w:spacing w:before="0"/>
        <w:ind w:left="141" w:right="0" w:firstLine="0"/>
        <w:jc w:val="left"/>
        <w:rPr>
          <w:sz w:val="20"/>
        </w:rPr>
      </w:pPr>
      <w:r>
        <w:rPr>
          <w:sz w:val="20"/>
          <w:vertAlign w:val="superscript"/>
        </w:rPr>
        <w:t>48</w:t>
      </w:r>
      <w:r>
        <w:rPr>
          <w:sz w:val="20"/>
          <w:vertAlign w:val="baseline"/>
        </w:rPr>
        <w:t>Résolution</w:t>
      </w:r>
      <w:r>
        <w:rPr>
          <w:spacing w:val="5"/>
          <w:sz w:val="20"/>
          <w:vertAlign w:val="baseline"/>
        </w:rPr>
        <w:t> </w:t>
      </w:r>
      <w:r>
        <w:rPr>
          <w:sz w:val="20"/>
          <w:vertAlign w:val="baseline"/>
        </w:rPr>
        <w:t>1816</w:t>
      </w:r>
      <w:r>
        <w:rPr>
          <w:spacing w:val="6"/>
          <w:sz w:val="20"/>
          <w:vertAlign w:val="baseline"/>
        </w:rPr>
        <w:t> </w:t>
      </w:r>
      <w:r>
        <w:rPr>
          <w:sz w:val="20"/>
          <w:vertAlign w:val="baseline"/>
        </w:rPr>
        <w:t>(2008)</w:t>
      </w:r>
      <w:r>
        <w:rPr>
          <w:spacing w:val="5"/>
          <w:sz w:val="20"/>
          <w:vertAlign w:val="baseline"/>
        </w:rPr>
        <w:t> </w:t>
      </w:r>
      <w:r>
        <w:rPr>
          <w:sz w:val="20"/>
          <w:vertAlign w:val="baseline"/>
        </w:rPr>
        <w:t>du</w:t>
      </w:r>
      <w:r>
        <w:rPr>
          <w:spacing w:val="6"/>
          <w:sz w:val="20"/>
          <w:vertAlign w:val="baseline"/>
        </w:rPr>
        <w:t> </w:t>
      </w:r>
      <w:r>
        <w:rPr>
          <w:sz w:val="20"/>
          <w:vertAlign w:val="baseline"/>
        </w:rPr>
        <w:t>2</w:t>
      </w:r>
      <w:r>
        <w:rPr>
          <w:spacing w:val="5"/>
          <w:sz w:val="20"/>
          <w:vertAlign w:val="baseline"/>
        </w:rPr>
        <w:t> </w:t>
      </w:r>
      <w:r>
        <w:rPr>
          <w:sz w:val="20"/>
          <w:vertAlign w:val="baseline"/>
        </w:rPr>
        <w:t>Juin</w:t>
      </w:r>
      <w:r>
        <w:rPr>
          <w:spacing w:val="6"/>
          <w:sz w:val="20"/>
          <w:vertAlign w:val="baseline"/>
        </w:rPr>
        <w:t> </w:t>
      </w:r>
      <w:r>
        <w:rPr>
          <w:sz w:val="20"/>
          <w:vertAlign w:val="baseline"/>
        </w:rPr>
        <w:t>2008,</w:t>
      </w:r>
      <w:r>
        <w:rPr>
          <w:spacing w:val="5"/>
          <w:sz w:val="20"/>
          <w:vertAlign w:val="baseline"/>
        </w:rPr>
        <w:t> </w:t>
      </w:r>
      <w:r>
        <w:rPr>
          <w:sz w:val="20"/>
          <w:vertAlign w:val="baseline"/>
        </w:rPr>
        <w:t>Conseil</w:t>
      </w:r>
      <w:r>
        <w:rPr>
          <w:spacing w:val="6"/>
          <w:sz w:val="20"/>
          <w:vertAlign w:val="baseline"/>
        </w:rPr>
        <w:t> </w:t>
      </w:r>
      <w:r>
        <w:rPr>
          <w:sz w:val="20"/>
          <w:vertAlign w:val="baseline"/>
        </w:rPr>
        <w:t>de</w:t>
      </w:r>
      <w:r>
        <w:rPr>
          <w:spacing w:val="6"/>
          <w:sz w:val="20"/>
          <w:vertAlign w:val="baseline"/>
        </w:rPr>
        <w:t> </w:t>
      </w:r>
      <w:r>
        <w:rPr>
          <w:sz w:val="20"/>
          <w:vertAlign w:val="baseline"/>
        </w:rPr>
        <w:t>sécurité,</w:t>
      </w:r>
      <w:r>
        <w:rPr>
          <w:spacing w:val="5"/>
          <w:sz w:val="20"/>
          <w:vertAlign w:val="baseline"/>
        </w:rPr>
        <w:t> </w:t>
      </w:r>
      <w:r>
        <w:rPr>
          <w:sz w:val="20"/>
          <w:vertAlign w:val="baseline"/>
        </w:rPr>
        <w:t>5902</w:t>
      </w:r>
      <w:r>
        <w:rPr>
          <w:sz w:val="20"/>
          <w:vertAlign w:val="superscript"/>
        </w:rPr>
        <w:t>e</w:t>
      </w:r>
      <w:r>
        <w:rPr>
          <w:spacing w:val="-11"/>
          <w:sz w:val="20"/>
          <w:vertAlign w:val="baseline"/>
        </w:rPr>
        <w:t> </w:t>
      </w:r>
      <w:r>
        <w:rPr>
          <w:sz w:val="20"/>
          <w:vertAlign w:val="baseline"/>
        </w:rPr>
        <w:t>séance,</w:t>
      </w:r>
      <w:r>
        <w:rPr>
          <w:spacing w:val="5"/>
          <w:sz w:val="20"/>
          <w:vertAlign w:val="baseline"/>
        </w:rPr>
        <w:t> </w:t>
      </w:r>
      <w:r>
        <w:rPr>
          <w:sz w:val="20"/>
          <w:vertAlign w:val="baseline"/>
        </w:rPr>
        <w:t>Nations-Unies,</w:t>
      </w:r>
      <w:r>
        <w:rPr>
          <w:spacing w:val="6"/>
          <w:sz w:val="20"/>
          <w:vertAlign w:val="baseline"/>
        </w:rPr>
        <w:t> </w:t>
      </w:r>
      <w:r>
        <w:rPr>
          <w:sz w:val="20"/>
          <w:vertAlign w:val="baseline"/>
        </w:rPr>
        <w:t>[S/RES/1816</w:t>
      </w:r>
      <w:r>
        <w:rPr>
          <w:spacing w:val="6"/>
          <w:sz w:val="20"/>
          <w:vertAlign w:val="baseline"/>
        </w:rPr>
        <w:t> </w:t>
      </w:r>
      <w:r>
        <w:rPr>
          <w:spacing w:val="-2"/>
          <w:sz w:val="20"/>
          <w:vertAlign w:val="baseline"/>
        </w:rPr>
        <w:t>(2008)],</w:t>
      </w:r>
    </w:p>
    <w:p>
      <w:pPr>
        <w:spacing w:before="0"/>
        <w:ind w:left="141" w:right="0" w:firstLine="0"/>
        <w:jc w:val="left"/>
        <w:rPr>
          <w:sz w:val="20"/>
        </w:rPr>
      </w:pPr>
      <w:r>
        <w:rPr>
          <w:spacing w:val="-5"/>
          <w:sz w:val="20"/>
        </w:rPr>
        <w:t>§7.</w:t>
      </w:r>
    </w:p>
    <w:p>
      <w:pPr>
        <w:spacing w:before="0"/>
        <w:ind w:left="141" w:right="141" w:firstLine="0"/>
        <w:jc w:val="both"/>
        <w:rPr>
          <w:sz w:val="20"/>
        </w:rPr>
      </w:pPr>
      <w:r>
        <w:rPr>
          <w:sz w:val="20"/>
          <w:vertAlign w:val="superscript"/>
        </w:rPr>
        <w:t>49</w:t>
      </w:r>
      <w:r>
        <w:rPr>
          <w:sz w:val="20"/>
          <w:vertAlign w:val="baseline"/>
        </w:rPr>
        <w:t>Traité entre le Gouvernement de la République française et le Gouvernement de l’Australie relatif à la coopération dans les zones maritimes adjacentes aux Terres australes et antarctiques françaises (TAAF), à l’île Heard et aux îles McDonald (ensemble trois annexes), signé à Canberra le 24 Novembre 2003. Décret portant publication n°2005-1076 du 23 Août 2005, J. O. 1 Septembre 2005, p. 14166.</w:t>
      </w:r>
    </w:p>
    <w:p>
      <w:pPr>
        <w:spacing w:before="0"/>
        <w:ind w:left="141" w:right="142" w:firstLine="0"/>
        <w:jc w:val="both"/>
        <w:rPr>
          <w:sz w:val="20"/>
        </w:rPr>
      </w:pPr>
      <w:r>
        <w:rPr>
          <w:sz w:val="20"/>
          <w:vertAlign w:val="superscript"/>
        </w:rPr>
        <w:t>50</w:t>
      </w:r>
      <w:r>
        <w:rPr>
          <w:sz w:val="20"/>
          <w:vertAlign w:val="baseline"/>
        </w:rPr>
        <w:t>Accord entre le Gouvernement de la République française et le Gouvernement de l’Australie relatif à la coopération en matière d’application de la législation relative à la pêche dans les zones maritimes adjacentes aux terres australes et antarctiques françaises, à l’île Heard et aux îles McDonald, signé à Paris le 8 Janvier 2007. Loi d’autorisation d’approbation n°2008-474 du 22 Mai 2008, J.O. 23 Mai 2008, p. 8 378.</w:t>
      </w:r>
    </w:p>
    <w:p>
      <w:pPr>
        <w:spacing w:before="0"/>
        <w:ind w:left="141" w:right="0" w:firstLine="0"/>
        <w:jc w:val="both"/>
        <w:rPr>
          <w:sz w:val="20"/>
        </w:rPr>
      </w:pPr>
      <w:r>
        <w:rPr>
          <w:sz w:val="20"/>
          <w:vertAlign w:val="superscript"/>
        </w:rPr>
        <w:t>51</w:t>
      </w:r>
      <w:r>
        <w:rPr>
          <w:sz w:val="20"/>
          <w:vertAlign w:val="baseline"/>
        </w:rPr>
        <w:t>Résolution 1816 (2008), § </w:t>
      </w:r>
      <w:r>
        <w:rPr>
          <w:spacing w:val="-5"/>
          <w:sz w:val="20"/>
          <w:vertAlign w:val="baseline"/>
        </w:rPr>
        <w:t>9.</w:t>
      </w:r>
    </w:p>
    <w:p>
      <w:pPr>
        <w:spacing w:before="0"/>
        <w:ind w:left="141" w:right="0" w:firstLine="0"/>
        <w:jc w:val="both"/>
        <w:rPr>
          <w:sz w:val="20"/>
        </w:rPr>
      </w:pPr>
      <w:r>
        <w:rPr>
          <w:sz w:val="20"/>
          <w:vertAlign w:val="superscript"/>
        </w:rPr>
        <w:t>52</w:t>
      </w:r>
      <w:r>
        <w:rPr>
          <w:sz w:val="20"/>
          <w:vertAlign w:val="baseline"/>
        </w:rPr>
        <w:t>Ibid.,</w:t>
      </w:r>
      <w:r>
        <w:rPr>
          <w:spacing w:val="-1"/>
          <w:sz w:val="20"/>
          <w:vertAlign w:val="baseline"/>
        </w:rPr>
        <w:t> </w:t>
      </w:r>
      <w:r>
        <w:rPr>
          <w:sz w:val="20"/>
          <w:vertAlign w:val="baseline"/>
        </w:rPr>
        <w:t>§7</w:t>
      </w:r>
      <w:r>
        <w:rPr>
          <w:spacing w:val="-1"/>
          <w:sz w:val="20"/>
          <w:vertAlign w:val="baseline"/>
        </w:rPr>
        <w:t> </w:t>
      </w:r>
      <w:r>
        <w:rPr>
          <w:sz w:val="20"/>
          <w:vertAlign w:val="baseline"/>
        </w:rPr>
        <w:t>préc.</w:t>
      </w:r>
      <w:r>
        <w:rPr>
          <w:spacing w:val="-1"/>
          <w:sz w:val="20"/>
          <w:vertAlign w:val="baseline"/>
        </w:rPr>
        <w:t> </w:t>
      </w:r>
      <w:r>
        <w:rPr>
          <w:sz w:val="20"/>
          <w:vertAlign w:val="baseline"/>
        </w:rPr>
        <w:t>:</w:t>
      </w:r>
      <w:r>
        <w:rPr>
          <w:spacing w:val="-1"/>
          <w:sz w:val="20"/>
          <w:vertAlign w:val="baseline"/>
        </w:rPr>
        <w:t> </w:t>
      </w:r>
      <w:r>
        <w:rPr>
          <w:sz w:val="20"/>
          <w:vertAlign w:val="baseline"/>
        </w:rPr>
        <w:t>Pour</w:t>
      </w:r>
      <w:r>
        <w:rPr>
          <w:spacing w:val="-1"/>
          <w:sz w:val="20"/>
          <w:vertAlign w:val="baseline"/>
        </w:rPr>
        <w:t> </w:t>
      </w:r>
      <w:r>
        <w:rPr>
          <w:sz w:val="20"/>
          <w:vertAlign w:val="baseline"/>
        </w:rPr>
        <w:t>une</w:t>
      </w:r>
      <w:r>
        <w:rPr>
          <w:spacing w:val="-1"/>
          <w:sz w:val="20"/>
          <w:vertAlign w:val="baseline"/>
        </w:rPr>
        <w:t> </w:t>
      </w:r>
      <w:r>
        <w:rPr>
          <w:sz w:val="20"/>
          <w:vertAlign w:val="baseline"/>
        </w:rPr>
        <w:t>période</w:t>
      </w:r>
      <w:r>
        <w:rPr>
          <w:spacing w:val="-1"/>
          <w:sz w:val="20"/>
          <w:vertAlign w:val="baseline"/>
        </w:rPr>
        <w:t> </w:t>
      </w:r>
      <w:r>
        <w:rPr>
          <w:sz w:val="20"/>
          <w:vertAlign w:val="baseline"/>
        </w:rPr>
        <w:t>de</w:t>
      </w:r>
      <w:r>
        <w:rPr>
          <w:spacing w:val="-1"/>
          <w:sz w:val="20"/>
          <w:vertAlign w:val="baseline"/>
        </w:rPr>
        <w:t> </w:t>
      </w:r>
      <w:r>
        <w:rPr>
          <w:sz w:val="20"/>
          <w:vertAlign w:val="baseline"/>
        </w:rPr>
        <w:t>six</w:t>
      </w:r>
      <w:r>
        <w:rPr>
          <w:spacing w:val="-1"/>
          <w:sz w:val="20"/>
          <w:vertAlign w:val="baseline"/>
        </w:rPr>
        <w:t> </w:t>
      </w:r>
      <w:r>
        <w:rPr>
          <w:sz w:val="20"/>
          <w:vertAlign w:val="baseline"/>
        </w:rPr>
        <w:t>mois</w:t>
      </w:r>
      <w:r>
        <w:rPr>
          <w:spacing w:val="-1"/>
          <w:sz w:val="20"/>
          <w:vertAlign w:val="baseline"/>
        </w:rPr>
        <w:t> </w:t>
      </w:r>
      <w:r>
        <w:rPr>
          <w:sz w:val="20"/>
          <w:vertAlign w:val="baseline"/>
        </w:rPr>
        <w:t>à</w:t>
      </w:r>
      <w:r>
        <w:rPr>
          <w:spacing w:val="-1"/>
          <w:sz w:val="20"/>
          <w:vertAlign w:val="baseline"/>
        </w:rPr>
        <w:t> </w:t>
      </w:r>
      <w:r>
        <w:rPr>
          <w:sz w:val="20"/>
          <w:vertAlign w:val="baseline"/>
        </w:rPr>
        <w:t>compter</w:t>
      </w:r>
      <w:r>
        <w:rPr>
          <w:spacing w:val="-1"/>
          <w:sz w:val="20"/>
          <w:vertAlign w:val="baseline"/>
        </w:rPr>
        <w:t> </w:t>
      </w:r>
      <w:r>
        <w:rPr>
          <w:sz w:val="20"/>
          <w:vertAlign w:val="baseline"/>
        </w:rPr>
        <w:t>de</w:t>
      </w:r>
      <w:r>
        <w:rPr>
          <w:spacing w:val="-1"/>
          <w:sz w:val="20"/>
          <w:vertAlign w:val="baseline"/>
        </w:rPr>
        <w:t> </w:t>
      </w:r>
      <w:r>
        <w:rPr>
          <w:sz w:val="20"/>
          <w:vertAlign w:val="baseline"/>
        </w:rPr>
        <w:t>l’adoption</w:t>
      </w:r>
      <w:r>
        <w:rPr>
          <w:spacing w:val="-1"/>
          <w:sz w:val="20"/>
          <w:vertAlign w:val="baseline"/>
        </w:rPr>
        <w:t> </w:t>
      </w:r>
      <w:r>
        <w:rPr>
          <w:sz w:val="20"/>
          <w:vertAlign w:val="baseline"/>
        </w:rPr>
        <w:t>de</w:t>
      </w:r>
      <w:r>
        <w:rPr>
          <w:spacing w:val="-1"/>
          <w:sz w:val="20"/>
          <w:vertAlign w:val="baseline"/>
        </w:rPr>
        <w:t> </w:t>
      </w:r>
      <w:r>
        <w:rPr>
          <w:sz w:val="20"/>
          <w:vertAlign w:val="baseline"/>
        </w:rPr>
        <w:t>la </w:t>
      </w:r>
      <w:r>
        <w:rPr>
          <w:spacing w:val="-2"/>
          <w:sz w:val="20"/>
          <w:vertAlign w:val="baseline"/>
        </w:rPr>
        <w:t>résolution.</w:t>
      </w:r>
    </w:p>
    <w:p>
      <w:pPr>
        <w:spacing w:before="0"/>
        <w:ind w:left="141" w:right="0" w:firstLine="0"/>
        <w:jc w:val="both"/>
        <w:rPr>
          <w:sz w:val="20"/>
        </w:rPr>
      </w:pPr>
      <w:r>
        <w:rPr>
          <w:sz w:val="20"/>
          <w:vertAlign w:val="superscript"/>
        </w:rPr>
        <w:t>53</w:t>
      </w:r>
      <w:r>
        <w:rPr>
          <w:sz w:val="20"/>
          <w:vertAlign w:val="baseline"/>
        </w:rPr>
        <w:t>Ibid., § 9 </w:t>
      </w:r>
      <w:r>
        <w:rPr>
          <w:spacing w:val="-2"/>
          <w:sz w:val="20"/>
          <w:vertAlign w:val="baseline"/>
        </w:rPr>
        <w:t>préc.</w:t>
      </w:r>
    </w:p>
    <w:p>
      <w:pPr>
        <w:spacing w:before="0"/>
        <w:ind w:left="141" w:right="142" w:firstLine="0"/>
        <w:jc w:val="both"/>
        <w:rPr>
          <w:sz w:val="20"/>
        </w:rPr>
      </w:pPr>
      <w:r>
        <w:rPr>
          <w:sz w:val="20"/>
          <w:vertAlign w:val="superscript"/>
        </w:rPr>
        <w:t>54</w:t>
      </w:r>
      <w:r>
        <w:rPr>
          <w:sz w:val="20"/>
          <w:vertAlign w:val="baseline"/>
        </w:rPr>
        <w:t> P. A. VAILLANCOURT, « Hot pursuit : moyen dépassé pour assurer le respect des normes dans les eaux d’un État</w:t>
      </w:r>
      <w:r>
        <w:rPr>
          <w:spacing w:val="-1"/>
          <w:sz w:val="20"/>
          <w:vertAlign w:val="baseline"/>
        </w:rPr>
        <w:t> </w:t>
      </w:r>
      <w:r>
        <w:rPr>
          <w:sz w:val="20"/>
          <w:vertAlign w:val="baseline"/>
        </w:rPr>
        <w:t>côtier</w:t>
      </w:r>
      <w:r>
        <w:rPr>
          <w:spacing w:val="2"/>
          <w:sz w:val="20"/>
          <w:vertAlign w:val="baseline"/>
        </w:rPr>
        <w:t> </w:t>
      </w:r>
      <w:r>
        <w:rPr>
          <w:sz w:val="20"/>
          <w:vertAlign w:val="baseline"/>
        </w:rPr>
        <w:t>?</w:t>
      </w:r>
      <w:r>
        <w:rPr>
          <w:spacing w:val="2"/>
          <w:sz w:val="20"/>
          <w:vertAlign w:val="baseline"/>
        </w:rPr>
        <w:t> </w:t>
      </w:r>
      <w:r>
        <w:rPr>
          <w:sz w:val="20"/>
          <w:vertAlign w:val="baseline"/>
        </w:rPr>
        <w:t>»,</w:t>
      </w:r>
      <w:r>
        <w:rPr>
          <w:spacing w:val="2"/>
          <w:sz w:val="20"/>
          <w:vertAlign w:val="baseline"/>
        </w:rPr>
        <w:t> </w:t>
      </w:r>
      <w:r>
        <w:rPr>
          <w:i/>
          <w:sz w:val="20"/>
          <w:vertAlign w:val="baseline"/>
        </w:rPr>
        <w:t>RQDI</w:t>
      </w:r>
      <w:r>
        <w:rPr>
          <w:sz w:val="20"/>
          <w:vertAlign w:val="baseline"/>
        </w:rPr>
        <w:t>,</w:t>
      </w:r>
      <w:r>
        <w:rPr>
          <w:spacing w:val="2"/>
          <w:sz w:val="20"/>
          <w:vertAlign w:val="baseline"/>
        </w:rPr>
        <w:t> </w:t>
      </w:r>
      <w:r>
        <w:rPr>
          <w:sz w:val="20"/>
          <w:vertAlign w:val="baseline"/>
        </w:rPr>
        <w:t>vol.</w:t>
      </w:r>
      <w:r>
        <w:rPr>
          <w:spacing w:val="2"/>
          <w:sz w:val="20"/>
          <w:vertAlign w:val="baseline"/>
        </w:rPr>
        <w:t> </w:t>
      </w:r>
      <w:r>
        <w:rPr>
          <w:sz w:val="20"/>
          <w:vertAlign w:val="baseline"/>
        </w:rPr>
        <w:t>27,</w:t>
      </w:r>
      <w:r>
        <w:rPr>
          <w:spacing w:val="2"/>
          <w:sz w:val="20"/>
          <w:vertAlign w:val="baseline"/>
        </w:rPr>
        <w:t> </w:t>
      </w:r>
      <w:r>
        <w:rPr>
          <w:sz w:val="20"/>
          <w:vertAlign w:val="baseline"/>
        </w:rPr>
        <w:t>2014,</w:t>
      </w:r>
      <w:r>
        <w:rPr>
          <w:spacing w:val="1"/>
          <w:sz w:val="20"/>
          <w:vertAlign w:val="baseline"/>
        </w:rPr>
        <w:t> </w:t>
      </w:r>
      <w:r>
        <w:rPr>
          <w:sz w:val="20"/>
          <w:vertAlign w:val="baseline"/>
        </w:rPr>
        <w:t>p.</w:t>
      </w:r>
      <w:r>
        <w:rPr>
          <w:spacing w:val="2"/>
          <w:sz w:val="20"/>
          <w:vertAlign w:val="baseline"/>
        </w:rPr>
        <w:t> </w:t>
      </w:r>
      <w:r>
        <w:rPr>
          <w:sz w:val="20"/>
          <w:vertAlign w:val="baseline"/>
        </w:rPr>
        <w:t>159,</w:t>
      </w:r>
      <w:r>
        <w:rPr>
          <w:spacing w:val="2"/>
          <w:sz w:val="20"/>
          <w:vertAlign w:val="baseline"/>
        </w:rPr>
        <w:t> </w:t>
      </w:r>
      <w:r>
        <w:rPr>
          <w:sz w:val="20"/>
          <w:vertAlign w:val="baseline"/>
        </w:rPr>
        <w:t>cité</w:t>
      </w:r>
      <w:r>
        <w:rPr>
          <w:spacing w:val="2"/>
          <w:sz w:val="20"/>
          <w:vertAlign w:val="baseline"/>
        </w:rPr>
        <w:t> </w:t>
      </w:r>
      <w:r>
        <w:rPr>
          <w:sz w:val="20"/>
          <w:vertAlign w:val="baseline"/>
        </w:rPr>
        <w:t>par</w:t>
      </w:r>
      <w:r>
        <w:rPr>
          <w:spacing w:val="2"/>
          <w:sz w:val="20"/>
          <w:vertAlign w:val="baseline"/>
        </w:rPr>
        <w:t> </w:t>
      </w:r>
      <w:r>
        <w:rPr>
          <w:sz w:val="20"/>
          <w:vertAlign w:val="baseline"/>
        </w:rPr>
        <w:t>Yann</w:t>
      </w:r>
      <w:r>
        <w:rPr>
          <w:spacing w:val="2"/>
          <w:sz w:val="20"/>
          <w:vertAlign w:val="baseline"/>
        </w:rPr>
        <w:t> </w:t>
      </w:r>
      <w:r>
        <w:rPr>
          <w:sz w:val="20"/>
          <w:vertAlign w:val="baseline"/>
        </w:rPr>
        <w:t>TEPHANY,</w:t>
      </w:r>
      <w:r>
        <w:rPr>
          <w:spacing w:val="2"/>
          <w:sz w:val="20"/>
          <w:vertAlign w:val="baseline"/>
        </w:rPr>
        <w:t> </w:t>
      </w:r>
      <w:r>
        <w:rPr>
          <w:sz w:val="20"/>
          <w:vertAlign w:val="baseline"/>
        </w:rPr>
        <w:t>Droit</w:t>
      </w:r>
      <w:r>
        <w:rPr>
          <w:spacing w:val="1"/>
          <w:sz w:val="20"/>
          <w:vertAlign w:val="baseline"/>
        </w:rPr>
        <w:t> </w:t>
      </w:r>
      <w:r>
        <w:rPr>
          <w:sz w:val="20"/>
          <w:vertAlign w:val="baseline"/>
        </w:rPr>
        <w:t>de</w:t>
      </w:r>
      <w:r>
        <w:rPr>
          <w:spacing w:val="2"/>
          <w:sz w:val="20"/>
          <w:vertAlign w:val="baseline"/>
        </w:rPr>
        <w:t> </w:t>
      </w:r>
      <w:r>
        <w:rPr>
          <w:sz w:val="20"/>
          <w:vertAlign w:val="baseline"/>
        </w:rPr>
        <w:t>poursuite</w:t>
      </w:r>
      <w:r>
        <w:rPr>
          <w:spacing w:val="2"/>
          <w:sz w:val="20"/>
          <w:vertAlign w:val="baseline"/>
        </w:rPr>
        <w:t> </w:t>
      </w:r>
      <w:r>
        <w:rPr>
          <w:sz w:val="20"/>
          <w:vertAlign w:val="baseline"/>
        </w:rPr>
        <w:t>et</w:t>
      </w:r>
      <w:r>
        <w:rPr>
          <w:spacing w:val="2"/>
          <w:sz w:val="20"/>
          <w:vertAlign w:val="baseline"/>
        </w:rPr>
        <w:t> </w:t>
      </w:r>
      <w:r>
        <w:rPr>
          <w:sz w:val="20"/>
          <w:vertAlign w:val="baseline"/>
        </w:rPr>
        <w:t>pêche</w:t>
      </w:r>
      <w:r>
        <w:rPr>
          <w:spacing w:val="2"/>
          <w:sz w:val="20"/>
          <w:vertAlign w:val="baseline"/>
        </w:rPr>
        <w:t> </w:t>
      </w:r>
      <w:r>
        <w:rPr>
          <w:sz w:val="20"/>
          <w:vertAlign w:val="baseline"/>
        </w:rPr>
        <w:t>illicite,</w:t>
      </w:r>
      <w:r>
        <w:rPr>
          <w:spacing w:val="2"/>
          <w:sz w:val="20"/>
          <w:vertAlign w:val="baseline"/>
        </w:rPr>
        <w:t> </w:t>
      </w:r>
      <w:r>
        <w:rPr>
          <w:sz w:val="20"/>
          <w:vertAlign w:val="baseline"/>
        </w:rPr>
        <w:t>op.cit.</w:t>
      </w:r>
      <w:r>
        <w:rPr>
          <w:spacing w:val="2"/>
          <w:sz w:val="20"/>
          <w:vertAlign w:val="baseline"/>
        </w:rPr>
        <w:t> </w:t>
      </w:r>
      <w:r>
        <w:rPr>
          <w:spacing w:val="-10"/>
          <w:sz w:val="20"/>
          <w:vertAlign w:val="baseline"/>
        </w:rPr>
        <w:t>:</w:t>
      </w:r>
    </w:p>
    <w:p>
      <w:pPr>
        <w:spacing w:before="0"/>
        <w:ind w:left="141" w:right="143" w:firstLine="0"/>
        <w:jc w:val="both"/>
        <w:rPr>
          <w:sz w:val="20"/>
        </w:rPr>
      </w:pPr>
      <w:r>
        <w:rPr>
          <w:sz w:val="20"/>
        </w:rPr>
        <w:t>« Il est évident que devant la stagnation du droit de poursuite dans un monde qui évolue de plus en plus rapidement, son rôle sera appelé à diminuer, possiblement au profit de nouvelles façons d’intervenir. Toutefois, comme le droit de la mer est un corps en constante évolution, le droit de poursuite se doit de suivre le mouvement sans quoi il sera voué à disparaitre ».</w:t>
      </w:r>
    </w:p>
    <w:p>
      <w:pPr>
        <w:spacing w:before="0"/>
        <w:ind w:left="141" w:right="0" w:firstLine="0"/>
        <w:jc w:val="both"/>
        <w:rPr>
          <w:sz w:val="20"/>
        </w:rPr>
      </w:pPr>
      <w:r>
        <w:rPr>
          <w:sz w:val="20"/>
          <w:vertAlign w:val="superscript"/>
        </w:rPr>
        <w:t>55</w:t>
      </w:r>
      <w:r>
        <w:rPr>
          <w:sz w:val="20"/>
          <w:vertAlign w:val="baseline"/>
        </w:rPr>
        <w:t>Ibid., </w:t>
      </w:r>
      <w:r>
        <w:rPr>
          <w:spacing w:val="-2"/>
          <w:sz w:val="20"/>
          <w:vertAlign w:val="baseline"/>
        </w:rPr>
        <w:t>§7préc.</w:t>
      </w:r>
    </w:p>
    <w:p>
      <w:pPr>
        <w:spacing w:after="0"/>
        <w:jc w:val="both"/>
        <w:rPr>
          <w:sz w:val="20"/>
        </w:rPr>
        <w:sectPr>
          <w:pgSz w:w="11910" w:h="16840"/>
          <w:pgMar w:header="0" w:footer="1005" w:top="1320" w:bottom="1200" w:left="1275" w:right="1133"/>
        </w:sectPr>
      </w:pPr>
    </w:p>
    <w:p>
      <w:pPr>
        <w:spacing w:line="240" w:lineRule="auto"/>
        <w:ind w:left="142" w:right="0" w:firstLine="0"/>
        <w:rPr>
          <w:sz w:val="20"/>
        </w:rPr>
      </w:pPr>
      <w:r>
        <w:rPr>
          <w:sz w:val="20"/>
        </w:rPr>
        <w:drawing>
          <wp:inline distT="0" distB="0" distL="0" distR="0">
            <wp:extent cx="5594633" cy="3729132"/>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3" cstate="print"/>
                    <a:stretch>
                      <a:fillRect/>
                    </a:stretch>
                  </pic:blipFill>
                  <pic:spPr>
                    <a:xfrm>
                      <a:off x="0" y="0"/>
                      <a:ext cx="5594633" cy="3729132"/>
                    </a:xfrm>
                    <a:prstGeom prst="rect">
                      <a:avLst/>
                    </a:prstGeom>
                  </pic:spPr>
                </pic:pic>
              </a:graphicData>
            </a:graphic>
          </wp:inline>
        </w:drawing>
      </w:r>
      <w:r>
        <w:rPr>
          <w:sz w:val="20"/>
        </w:rPr>
      </w:r>
    </w:p>
    <w:p>
      <w:pPr>
        <w:spacing w:after="0" w:line="240" w:lineRule="auto"/>
        <w:rPr>
          <w:sz w:val="20"/>
        </w:rPr>
        <w:sectPr>
          <w:pgSz w:w="11910" w:h="16840"/>
          <w:pgMar w:header="0" w:footer="1005" w:top="1400" w:bottom="1200" w:left="1275" w:right="1133"/>
        </w:sectPr>
      </w:pPr>
    </w:p>
    <w:p>
      <w:pPr>
        <w:pStyle w:val="Heading1"/>
        <w:numPr>
          <w:ilvl w:val="0"/>
          <w:numId w:val="1"/>
        </w:numPr>
        <w:tabs>
          <w:tab w:pos="1275" w:val="left" w:leader="none"/>
        </w:tabs>
        <w:spacing w:line="240" w:lineRule="auto" w:before="59" w:after="0"/>
        <w:ind w:left="1275" w:right="0" w:hanging="1079"/>
        <w:jc w:val="both"/>
        <w:rPr>
          <w:sz w:val="24"/>
        </w:rPr>
      </w:pPr>
      <w:r>
        <w:rPr>
          <w:spacing w:val="-2"/>
        </w:rPr>
        <w:t>DISCUSSION</w:t>
      </w:r>
    </w:p>
    <w:p>
      <w:pPr>
        <w:pStyle w:val="BodyText"/>
        <w:spacing w:before="280"/>
        <w:ind w:left="142" w:right="146"/>
        <w:jc w:val="both"/>
      </w:pPr>
      <w:r>
        <w:rPr/>
        <w:t>Les résultats obtenus mettent en évidence une tension fondamentale entre la construction normative du droit international de la piraterie et les exigences contemporaines de sécurité maritime. Cette situation soulève plusieurs enjeux doctrinaux, institutionnels et pratiques.</w:t>
      </w:r>
    </w:p>
    <w:p>
      <w:pPr>
        <w:pStyle w:val="BodyText"/>
        <w:spacing w:before="4"/>
      </w:pPr>
    </w:p>
    <w:p>
      <w:pPr>
        <w:pStyle w:val="Heading4"/>
        <w:numPr>
          <w:ilvl w:val="1"/>
          <w:numId w:val="1"/>
        </w:numPr>
        <w:tabs>
          <w:tab w:pos="382" w:val="left" w:leader="none"/>
        </w:tabs>
        <w:spacing w:line="240" w:lineRule="auto" w:before="0" w:after="0"/>
        <w:ind w:left="382" w:right="0" w:hanging="240"/>
        <w:jc w:val="left"/>
        <w:rPr>
          <w:color w:val="145F82"/>
        </w:rPr>
      </w:pPr>
      <w:r>
        <w:rPr>
          <w:color w:val="145F82"/>
        </w:rPr>
        <w:t>Une</w:t>
      </w:r>
      <w:r>
        <w:rPr>
          <w:color w:val="145F82"/>
          <w:spacing w:val="-7"/>
        </w:rPr>
        <w:t> </w:t>
      </w:r>
      <w:r>
        <w:rPr>
          <w:color w:val="145F82"/>
        </w:rPr>
        <w:t>définition</w:t>
      </w:r>
      <w:r>
        <w:rPr>
          <w:color w:val="145F82"/>
          <w:spacing w:val="-5"/>
        </w:rPr>
        <w:t> </w:t>
      </w:r>
      <w:r>
        <w:rPr>
          <w:color w:val="145F82"/>
        </w:rPr>
        <w:t>juridique</w:t>
      </w:r>
      <w:r>
        <w:rPr>
          <w:color w:val="145F82"/>
          <w:spacing w:val="-4"/>
        </w:rPr>
        <w:t> </w:t>
      </w:r>
      <w:r>
        <w:rPr>
          <w:color w:val="145F82"/>
        </w:rPr>
        <w:t>inadaptée</w:t>
      </w:r>
      <w:r>
        <w:rPr>
          <w:color w:val="145F82"/>
          <w:spacing w:val="-5"/>
        </w:rPr>
        <w:t> </w:t>
      </w:r>
      <w:r>
        <w:rPr>
          <w:color w:val="145F82"/>
        </w:rPr>
        <w:t>aux</w:t>
      </w:r>
      <w:r>
        <w:rPr>
          <w:color w:val="145F82"/>
          <w:spacing w:val="-5"/>
        </w:rPr>
        <w:t> </w:t>
      </w:r>
      <w:r>
        <w:rPr>
          <w:color w:val="145F82"/>
        </w:rPr>
        <w:t>réalités</w:t>
      </w:r>
      <w:r>
        <w:rPr>
          <w:color w:val="145F82"/>
          <w:spacing w:val="-4"/>
        </w:rPr>
        <w:t> </w:t>
      </w:r>
      <w:r>
        <w:rPr>
          <w:color w:val="145F82"/>
          <w:spacing w:val="-2"/>
        </w:rPr>
        <w:t>contemporaines</w:t>
      </w:r>
    </w:p>
    <w:p>
      <w:pPr>
        <w:pStyle w:val="BodyText"/>
        <w:spacing w:before="4"/>
        <w:rPr>
          <w:b/>
        </w:rPr>
      </w:pPr>
    </w:p>
    <w:p>
      <w:pPr>
        <w:pStyle w:val="BodyText"/>
        <w:ind w:left="142" w:right="146"/>
        <w:jc w:val="both"/>
      </w:pPr>
      <w:r>
        <w:rPr/>
        <w:t>La définition de la piraterie issue de la CNUDM apparaît aujourd’hui insuffisante face à l’évolution des formes de criminalité maritime. La restriction spatiale à la haute mer constitue une limite majeure, dans la mesure où les attaques les plus fréquentes se produisent dans les zones côtières.</w:t>
      </w:r>
    </w:p>
    <w:p>
      <w:pPr>
        <w:pStyle w:val="BodyText"/>
        <w:spacing w:before="4"/>
      </w:pPr>
    </w:p>
    <w:p>
      <w:pPr>
        <w:pStyle w:val="BodyText"/>
        <w:ind w:left="142" w:right="148"/>
        <w:jc w:val="both"/>
      </w:pPr>
      <w:r>
        <w:rPr/>
        <w:t>Cette</w:t>
      </w:r>
      <w:r>
        <w:rPr>
          <w:spacing w:val="-3"/>
        </w:rPr>
        <w:t> </w:t>
      </w:r>
      <w:r>
        <w:rPr/>
        <w:t>fragmentation</w:t>
      </w:r>
      <w:r>
        <w:rPr>
          <w:spacing w:val="-3"/>
        </w:rPr>
        <w:t> </w:t>
      </w:r>
      <w:r>
        <w:rPr/>
        <w:t>juridique</w:t>
      </w:r>
      <w:r>
        <w:rPr>
          <w:spacing w:val="-3"/>
        </w:rPr>
        <w:t> </w:t>
      </w:r>
      <w:r>
        <w:rPr/>
        <w:t>entre</w:t>
      </w:r>
      <w:r>
        <w:rPr>
          <w:spacing w:val="-3"/>
        </w:rPr>
        <w:t> </w:t>
      </w:r>
      <w:r>
        <w:rPr/>
        <w:t>piraterie</w:t>
      </w:r>
      <w:r>
        <w:rPr>
          <w:spacing w:val="-3"/>
        </w:rPr>
        <w:t> </w:t>
      </w:r>
      <w:r>
        <w:rPr/>
        <w:t>(haute</w:t>
      </w:r>
      <w:r>
        <w:rPr>
          <w:spacing w:val="-3"/>
        </w:rPr>
        <w:t> </w:t>
      </w:r>
      <w:r>
        <w:rPr/>
        <w:t>mer)</w:t>
      </w:r>
      <w:r>
        <w:rPr>
          <w:spacing w:val="-3"/>
        </w:rPr>
        <w:t> </w:t>
      </w:r>
      <w:r>
        <w:rPr/>
        <w:t>et</w:t>
      </w:r>
      <w:r>
        <w:rPr>
          <w:spacing w:val="-3"/>
        </w:rPr>
        <w:t> </w:t>
      </w:r>
      <w:r>
        <w:rPr/>
        <w:t>vol</w:t>
      </w:r>
      <w:r>
        <w:rPr>
          <w:spacing w:val="-3"/>
        </w:rPr>
        <w:t> </w:t>
      </w:r>
      <w:r>
        <w:rPr/>
        <w:t>à</w:t>
      </w:r>
      <w:r>
        <w:rPr>
          <w:spacing w:val="-3"/>
        </w:rPr>
        <w:t> </w:t>
      </w:r>
      <w:r>
        <w:rPr/>
        <w:t>main</w:t>
      </w:r>
      <w:r>
        <w:rPr>
          <w:spacing w:val="-3"/>
        </w:rPr>
        <w:t> </w:t>
      </w:r>
      <w:r>
        <w:rPr/>
        <w:t>armée</w:t>
      </w:r>
      <w:r>
        <w:rPr>
          <w:spacing w:val="-3"/>
        </w:rPr>
        <w:t> </w:t>
      </w:r>
      <w:r>
        <w:rPr/>
        <w:t>(eaux</w:t>
      </w:r>
      <w:r>
        <w:rPr>
          <w:spacing w:val="-3"/>
        </w:rPr>
        <w:t> </w:t>
      </w:r>
      <w:r>
        <w:rPr/>
        <w:t>territoriales) crée une incohérence opérationnelle, freinant la qualification uniforme des actes criminels. En pratique, cette distinction artificielle complique la coopération judiciaire et affaiblit l’efficacité des poursuites.</w:t>
      </w:r>
    </w:p>
    <w:p>
      <w:pPr>
        <w:pStyle w:val="BodyText"/>
        <w:spacing w:before="4"/>
      </w:pPr>
    </w:p>
    <w:p>
      <w:pPr>
        <w:pStyle w:val="Heading4"/>
        <w:numPr>
          <w:ilvl w:val="1"/>
          <w:numId w:val="1"/>
        </w:numPr>
        <w:tabs>
          <w:tab w:pos="382" w:val="left" w:leader="none"/>
        </w:tabs>
        <w:spacing w:line="240" w:lineRule="auto" w:before="0" w:after="0"/>
        <w:ind w:left="382" w:right="0" w:hanging="240"/>
        <w:jc w:val="left"/>
        <w:rPr>
          <w:color w:val="145F82"/>
        </w:rPr>
      </w:pPr>
      <w:r>
        <w:rPr>
          <w:color w:val="145F82"/>
        </w:rPr>
        <w:t>Une</w:t>
      </w:r>
      <w:r>
        <w:rPr>
          <w:color w:val="145F82"/>
          <w:spacing w:val="-6"/>
        </w:rPr>
        <w:t> </w:t>
      </w:r>
      <w:r>
        <w:rPr>
          <w:color w:val="145F82"/>
        </w:rPr>
        <w:t>absence</w:t>
      </w:r>
      <w:r>
        <w:rPr>
          <w:color w:val="145F82"/>
          <w:spacing w:val="-6"/>
        </w:rPr>
        <w:t> </w:t>
      </w:r>
      <w:r>
        <w:rPr>
          <w:color w:val="145F82"/>
        </w:rPr>
        <w:t>de</w:t>
      </w:r>
      <w:r>
        <w:rPr>
          <w:color w:val="145F82"/>
          <w:spacing w:val="-5"/>
        </w:rPr>
        <w:t> </w:t>
      </w:r>
      <w:r>
        <w:rPr>
          <w:color w:val="145F82"/>
        </w:rPr>
        <w:t>pénalisation</w:t>
      </w:r>
      <w:r>
        <w:rPr>
          <w:color w:val="145F82"/>
          <w:spacing w:val="-6"/>
        </w:rPr>
        <w:t> </w:t>
      </w:r>
      <w:r>
        <w:rPr>
          <w:color w:val="145F82"/>
        </w:rPr>
        <w:t>internationale</w:t>
      </w:r>
      <w:r>
        <w:rPr>
          <w:color w:val="145F82"/>
          <w:spacing w:val="-5"/>
        </w:rPr>
        <w:t> </w:t>
      </w:r>
      <w:r>
        <w:rPr>
          <w:color w:val="145F82"/>
          <w:spacing w:val="-2"/>
        </w:rPr>
        <w:t>effective</w:t>
      </w:r>
    </w:p>
    <w:p>
      <w:pPr>
        <w:pStyle w:val="BodyText"/>
        <w:spacing w:before="4"/>
        <w:rPr>
          <w:b/>
        </w:rPr>
      </w:pPr>
    </w:p>
    <w:p>
      <w:pPr>
        <w:pStyle w:val="BodyText"/>
        <w:ind w:left="142" w:right="146"/>
        <w:jc w:val="both"/>
      </w:pPr>
      <w:r>
        <w:rPr/>
        <w:t>L’absence d’incrimination pénale internationale autonome de la piraterie constitue une</w:t>
      </w:r>
      <w:r>
        <w:rPr>
          <w:spacing w:val="40"/>
        </w:rPr>
        <w:t> </w:t>
      </w:r>
      <w:r>
        <w:rPr/>
        <w:t>faiblesse structurelle du système juridique actuel. Le recours exclusif aux législations</w:t>
      </w:r>
      <w:r>
        <w:rPr>
          <w:spacing w:val="40"/>
        </w:rPr>
        <w:t> </w:t>
      </w:r>
      <w:r>
        <w:rPr/>
        <w:t>nationales engendre une fragmentation des réponses juridiques et une application inégale du </w:t>
      </w:r>
      <w:r>
        <w:rPr>
          <w:spacing w:val="-2"/>
        </w:rPr>
        <w:t>droit.</w:t>
      </w:r>
    </w:p>
    <w:p>
      <w:pPr>
        <w:pStyle w:val="BodyText"/>
        <w:spacing w:before="4"/>
      </w:pPr>
    </w:p>
    <w:p>
      <w:pPr>
        <w:pStyle w:val="BodyText"/>
        <w:ind w:left="142" w:right="148"/>
        <w:jc w:val="both"/>
      </w:pPr>
      <w:r>
        <w:rPr/>
        <w:t>Cette situation confirme que la piraterie maritime reste une infraction essentiellement nationale dans sa mise en œuvre, malgré sa nature transnationale. Cette contradiction affaiblit l’idée même d’un droit international pénal cohérent en matière maritime.</w:t>
      </w:r>
    </w:p>
    <w:p>
      <w:pPr>
        <w:pStyle w:val="BodyText"/>
        <w:spacing w:before="4"/>
      </w:pPr>
    </w:p>
    <w:p>
      <w:pPr>
        <w:pStyle w:val="Heading4"/>
        <w:numPr>
          <w:ilvl w:val="1"/>
          <w:numId w:val="1"/>
        </w:numPr>
        <w:tabs>
          <w:tab w:pos="382" w:val="left" w:leader="none"/>
        </w:tabs>
        <w:spacing w:line="240" w:lineRule="auto" w:before="0" w:after="0"/>
        <w:ind w:left="382" w:right="0" w:hanging="240"/>
        <w:jc w:val="left"/>
        <w:rPr>
          <w:color w:val="145F82"/>
        </w:rPr>
      </w:pPr>
      <w:r>
        <w:rPr>
          <w:color w:val="145F82"/>
        </w:rPr>
        <w:t>Une</w:t>
      </w:r>
      <w:r>
        <w:rPr>
          <w:color w:val="145F82"/>
          <w:spacing w:val="-6"/>
        </w:rPr>
        <w:t> </w:t>
      </w:r>
      <w:r>
        <w:rPr>
          <w:color w:val="145F82"/>
        </w:rPr>
        <w:t>coopération</w:t>
      </w:r>
      <w:r>
        <w:rPr>
          <w:color w:val="145F82"/>
          <w:spacing w:val="-6"/>
        </w:rPr>
        <w:t> </w:t>
      </w:r>
      <w:r>
        <w:rPr>
          <w:color w:val="145F82"/>
        </w:rPr>
        <w:t>judiciaire</w:t>
      </w:r>
      <w:r>
        <w:rPr>
          <w:color w:val="145F82"/>
          <w:spacing w:val="-6"/>
        </w:rPr>
        <w:t> </w:t>
      </w:r>
      <w:r>
        <w:rPr>
          <w:color w:val="145F82"/>
        </w:rPr>
        <w:t>internationale</w:t>
      </w:r>
      <w:r>
        <w:rPr>
          <w:color w:val="145F82"/>
          <w:spacing w:val="-6"/>
        </w:rPr>
        <w:t> </w:t>
      </w:r>
      <w:r>
        <w:rPr>
          <w:color w:val="145F82"/>
        </w:rPr>
        <w:t>encore</w:t>
      </w:r>
      <w:r>
        <w:rPr>
          <w:color w:val="145F82"/>
          <w:spacing w:val="-5"/>
        </w:rPr>
        <w:t> </w:t>
      </w:r>
      <w:r>
        <w:rPr>
          <w:color w:val="145F82"/>
          <w:spacing w:val="-2"/>
        </w:rPr>
        <w:t>insuffisante</w:t>
      </w:r>
    </w:p>
    <w:p>
      <w:pPr>
        <w:pStyle w:val="BodyText"/>
        <w:spacing w:before="4"/>
        <w:rPr>
          <w:b/>
        </w:rPr>
      </w:pPr>
    </w:p>
    <w:p>
      <w:pPr>
        <w:pStyle w:val="BodyText"/>
        <w:ind w:left="142" w:right="146"/>
        <w:jc w:val="both"/>
      </w:pPr>
      <w:r>
        <w:rPr/>
        <w:t>Bien que des mécanismes de coopération existent, leur efficacité demeure limitée. Le droit de poursuite classique ne répond pas aux exigences spécifiques de la piraterie, tandis que le droit de poursuite inversé reste dépourvu de base conventionnelle universelle.</w:t>
      </w:r>
    </w:p>
    <w:p>
      <w:pPr>
        <w:pStyle w:val="BodyText"/>
        <w:spacing w:before="4"/>
      </w:pPr>
    </w:p>
    <w:p>
      <w:pPr>
        <w:pStyle w:val="BodyText"/>
        <w:ind w:left="142" w:right="145"/>
        <w:jc w:val="both"/>
      </w:pPr>
      <w:r>
        <w:rPr/>
        <w:t>L’absence d’un instrument international contraignant et global constitue une faiblesse majeure du dispositif actuel. La résolution 1816 du Conseil de sécurité, bien qu’innovante, reste une réponse circonstancielle et non structurelle.</w:t>
      </w:r>
    </w:p>
    <w:p>
      <w:pPr>
        <w:pStyle w:val="BodyText"/>
        <w:spacing w:before="4"/>
      </w:pPr>
    </w:p>
    <w:p>
      <w:pPr>
        <w:pStyle w:val="Heading4"/>
        <w:numPr>
          <w:ilvl w:val="1"/>
          <w:numId w:val="1"/>
        </w:numPr>
        <w:tabs>
          <w:tab w:pos="382" w:val="left" w:leader="none"/>
        </w:tabs>
        <w:spacing w:line="240" w:lineRule="auto" w:before="0" w:after="0"/>
        <w:ind w:left="382" w:right="0" w:hanging="240"/>
        <w:jc w:val="left"/>
        <w:rPr>
          <w:color w:val="145F82"/>
        </w:rPr>
      </w:pPr>
      <w:r>
        <w:rPr>
          <w:color w:val="145F82"/>
        </w:rPr>
        <w:t>Le</w:t>
      </w:r>
      <w:r>
        <w:rPr>
          <w:color w:val="145F82"/>
          <w:spacing w:val="-5"/>
        </w:rPr>
        <w:t> </w:t>
      </w:r>
      <w:r>
        <w:rPr>
          <w:color w:val="145F82"/>
        </w:rPr>
        <w:t>principe</w:t>
      </w:r>
      <w:r>
        <w:rPr>
          <w:color w:val="145F82"/>
          <w:spacing w:val="-3"/>
        </w:rPr>
        <w:t> </w:t>
      </w:r>
      <w:r>
        <w:rPr>
          <w:color w:val="145F82"/>
        </w:rPr>
        <w:t>aut</w:t>
      </w:r>
      <w:r>
        <w:rPr>
          <w:color w:val="145F82"/>
          <w:spacing w:val="-3"/>
        </w:rPr>
        <w:t> </w:t>
      </w:r>
      <w:r>
        <w:rPr>
          <w:color w:val="145F82"/>
        </w:rPr>
        <w:t>dedere</w:t>
      </w:r>
      <w:r>
        <w:rPr>
          <w:color w:val="145F82"/>
          <w:spacing w:val="-2"/>
        </w:rPr>
        <w:t> </w:t>
      </w:r>
      <w:r>
        <w:rPr>
          <w:color w:val="145F82"/>
        </w:rPr>
        <w:t>aut</w:t>
      </w:r>
      <w:r>
        <w:rPr>
          <w:color w:val="145F82"/>
          <w:spacing w:val="-3"/>
        </w:rPr>
        <w:t> </w:t>
      </w:r>
      <w:r>
        <w:rPr>
          <w:color w:val="145F82"/>
        </w:rPr>
        <w:t>judicare</w:t>
      </w:r>
      <w:r>
        <w:rPr>
          <w:color w:val="145F82"/>
          <w:spacing w:val="-3"/>
        </w:rPr>
        <w:t> </w:t>
      </w:r>
      <w:r>
        <w:rPr>
          <w:color w:val="145F82"/>
        </w:rPr>
        <w:t>comme</w:t>
      </w:r>
      <w:r>
        <w:rPr>
          <w:color w:val="145F82"/>
          <w:spacing w:val="-3"/>
        </w:rPr>
        <w:t> </w:t>
      </w:r>
      <w:r>
        <w:rPr>
          <w:color w:val="145F82"/>
        </w:rPr>
        <w:t>solution</w:t>
      </w:r>
      <w:r>
        <w:rPr>
          <w:color w:val="145F82"/>
          <w:spacing w:val="-2"/>
        </w:rPr>
        <w:t> partielle</w:t>
      </w:r>
    </w:p>
    <w:p>
      <w:pPr>
        <w:pStyle w:val="BodyText"/>
        <w:spacing w:before="4"/>
        <w:rPr>
          <w:b/>
        </w:rPr>
      </w:pPr>
    </w:p>
    <w:p>
      <w:pPr>
        <w:pStyle w:val="BodyText"/>
        <w:ind w:left="141" w:right="141"/>
        <w:jc w:val="both"/>
      </w:pPr>
      <w:r>
        <w:rPr/>
        <w:t>Le principe « aut dedere aut judicare » constitue un mécanisme essentiel dans la lutte contre l’impunité</w:t>
      </w:r>
      <w:r>
        <w:rPr>
          <w:spacing w:val="-2"/>
        </w:rPr>
        <w:t> </w:t>
      </w:r>
      <w:r>
        <w:rPr/>
        <w:t>des</w:t>
      </w:r>
      <w:r>
        <w:rPr>
          <w:spacing w:val="-2"/>
        </w:rPr>
        <w:t> </w:t>
      </w:r>
      <w:r>
        <w:rPr/>
        <w:t>pirates.</w:t>
      </w:r>
      <w:r>
        <w:rPr>
          <w:spacing w:val="-2"/>
        </w:rPr>
        <w:t> </w:t>
      </w:r>
      <w:r>
        <w:rPr/>
        <w:t>Il</w:t>
      </w:r>
      <w:r>
        <w:rPr>
          <w:spacing w:val="-2"/>
        </w:rPr>
        <w:t> </w:t>
      </w:r>
      <w:r>
        <w:rPr/>
        <w:t>impose</w:t>
      </w:r>
      <w:r>
        <w:rPr>
          <w:spacing w:val="-2"/>
        </w:rPr>
        <w:t> </w:t>
      </w:r>
      <w:r>
        <w:rPr/>
        <w:t>aux</w:t>
      </w:r>
      <w:r>
        <w:rPr>
          <w:spacing w:val="-2"/>
        </w:rPr>
        <w:t> </w:t>
      </w:r>
      <w:r>
        <w:rPr/>
        <w:t>États</w:t>
      </w:r>
      <w:r>
        <w:rPr>
          <w:spacing w:val="-2"/>
        </w:rPr>
        <w:t> </w:t>
      </w:r>
      <w:r>
        <w:rPr/>
        <w:t>soit</w:t>
      </w:r>
      <w:r>
        <w:rPr>
          <w:spacing w:val="-2"/>
        </w:rPr>
        <w:t> </w:t>
      </w:r>
      <w:r>
        <w:rPr/>
        <w:t>d’extrader</w:t>
      </w:r>
      <w:r>
        <w:rPr>
          <w:spacing w:val="-2"/>
        </w:rPr>
        <w:t> </w:t>
      </w:r>
      <w:r>
        <w:rPr/>
        <w:t>les</w:t>
      </w:r>
      <w:r>
        <w:rPr>
          <w:spacing w:val="-2"/>
        </w:rPr>
        <w:t> </w:t>
      </w:r>
      <w:r>
        <w:rPr/>
        <w:t>suspects,</w:t>
      </w:r>
      <w:r>
        <w:rPr>
          <w:spacing w:val="-2"/>
        </w:rPr>
        <w:t> </w:t>
      </w:r>
      <w:r>
        <w:rPr/>
        <w:t>soit</w:t>
      </w:r>
      <w:r>
        <w:rPr>
          <w:spacing w:val="-2"/>
        </w:rPr>
        <w:t> </w:t>
      </w:r>
      <w:r>
        <w:rPr/>
        <w:t>de</w:t>
      </w:r>
      <w:r>
        <w:rPr>
          <w:spacing w:val="-2"/>
        </w:rPr>
        <w:t> </w:t>
      </w:r>
      <w:r>
        <w:rPr/>
        <w:t>les</w:t>
      </w:r>
      <w:r>
        <w:rPr>
          <w:spacing w:val="-2"/>
        </w:rPr>
        <w:t> </w:t>
      </w:r>
      <w:r>
        <w:rPr/>
        <w:t>poursuivre</w:t>
      </w:r>
      <w:r>
        <w:rPr>
          <w:spacing w:val="-2"/>
        </w:rPr>
        <w:t> </w:t>
      </w:r>
      <w:r>
        <w:rPr/>
        <w:t>sur leur propre territoire en cas de refus d’extradition ou de remise</w:t>
      </w:r>
      <w:r>
        <w:rPr>
          <w:vertAlign w:val="superscript"/>
        </w:rPr>
        <w:t>56</w:t>
      </w:r>
      <w:r>
        <w:rPr>
          <w:vertAlign w:val="baseline"/>
        </w:rPr>
        <w:t>. Ce principe « aut dedere aut judicare » signifie, dans notre contexte, que lorsqu’un Etat poursuivant refuse de remettre (ou d’extrader)</w:t>
      </w:r>
      <w:r>
        <w:rPr>
          <w:spacing w:val="29"/>
          <w:vertAlign w:val="baseline"/>
        </w:rPr>
        <w:t> </w:t>
      </w:r>
      <w:r>
        <w:rPr>
          <w:vertAlign w:val="baseline"/>
        </w:rPr>
        <w:t>les</w:t>
      </w:r>
      <w:r>
        <w:rPr>
          <w:spacing w:val="32"/>
          <w:vertAlign w:val="baseline"/>
        </w:rPr>
        <w:t> </w:t>
      </w:r>
      <w:r>
        <w:rPr>
          <w:vertAlign w:val="baseline"/>
        </w:rPr>
        <w:t>pirates</w:t>
      </w:r>
      <w:r>
        <w:rPr>
          <w:spacing w:val="31"/>
          <w:vertAlign w:val="baseline"/>
        </w:rPr>
        <w:t> </w:t>
      </w:r>
      <w:r>
        <w:rPr>
          <w:vertAlign w:val="baseline"/>
        </w:rPr>
        <w:t>qu’il</w:t>
      </w:r>
      <w:r>
        <w:rPr>
          <w:spacing w:val="32"/>
          <w:vertAlign w:val="baseline"/>
        </w:rPr>
        <w:t> </w:t>
      </w:r>
      <w:r>
        <w:rPr>
          <w:vertAlign w:val="baseline"/>
        </w:rPr>
        <w:t>a</w:t>
      </w:r>
      <w:r>
        <w:rPr>
          <w:spacing w:val="32"/>
          <w:vertAlign w:val="baseline"/>
        </w:rPr>
        <w:t> </w:t>
      </w:r>
      <w:r>
        <w:rPr>
          <w:vertAlign w:val="baseline"/>
        </w:rPr>
        <w:t>appréhendés,</w:t>
      </w:r>
      <w:r>
        <w:rPr>
          <w:spacing w:val="31"/>
          <w:vertAlign w:val="baseline"/>
        </w:rPr>
        <w:t> </w:t>
      </w:r>
      <w:r>
        <w:rPr>
          <w:vertAlign w:val="baseline"/>
        </w:rPr>
        <w:t>il</w:t>
      </w:r>
      <w:r>
        <w:rPr>
          <w:spacing w:val="32"/>
          <w:vertAlign w:val="baseline"/>
        </w:rPr>
        <w:t> </w:t>
      </w:r>
      <w:r>
        <w:rPr>
          <w:vertAlign w:val="baseline"/>
        </w:rPr>
        <w:t>doit</w:t>
      </w:r>
      <w:r>
        <w:rPr>
          <w:spacing w:val="31"/>
          <w:vertAlign w:val="baseline"/>
        </w:rPr>
        <w:t> </w:t>
      </w:r>
      <w:r>
        <w:rPr>
          <w:vertAlign w:val="baseline"/>
        </w:rPr>
        <w:t>les</w:t>
      </w:r>
      <w:r>
        <w:rPr>
          <w:spacing w:val="32"/>
          <w:vertAlign w:val="baseline"/>
        </w:rPr>
        <w:t> </w:t>
      </w:r>
      <w:r>
        <w:rPr>
          <w:vertAlign w:val="baseline"/>
        </w:rPr>
        <w:t>soumettre</w:t>
      </w:r>
      <w:r>
        <w:rPr>
          <w:spacing w:val="32"/>
          <w:vertAlign w:val="baseline"/>
        </w:rPr>
        <w:t> </w:t>
      </w:r>
      <w:r>
        <w:rPr>
          <w:vertAlign w:val="baseline"/>
        </w:rPr>
        <w:t>à</w:t>
      </w:r>
      <w:r>
        <w:rPr>
          <w:spacing w:val="31"/>
          <w:vertAlign w:val="baseline"/>
        </w:rPr>
        <w:t> </w:t>
      </w:r>
      <w:r>
        <w:rPr>
          <w:vertAlign w:val="baseline"/>
        </w:rPr>
        <w:t>ses</w:t>
      </w:r>
      <w:r>
        <w:rPr>
          <w:spacing w:val="32"/>
          <w:vertAlign w:val="baseline"/>
        </w:rPr>
        <w:t> </w:t>
      </w:r>
      <w:r>
        <w:rPr>
          <w:vertAlign w:val="baseline"/>
        </w:rPr>
        <w:t>juridictions</w:t>
      </w:r>
      <w:r>
        <w:rPr>
          <w:spacing w:val="32"/>
          <w:vertAlign w:val="baseline"/>
        </w:rPr>
        <w:t> </w:t>
      </w:r>
      <w:r>
        <w:rPr>
          <w:spacing w:val="-2"/>
          <w:vertAlign w:val="baseline"/>
        </w:rPr>
        <w:t>nationales</w:t>
      </w:r>
    </w:p>
    <w:p>
      <w:pPr>
        <w:pStyle w:val="BodyText"/>
        <w:rPr>
          <w:sz w:val="20"/>
        </w:rPr>
      </w:pPr>
    </w:p>
    <w:p>
      <w:pPr>
        <w:pStyle w:val="BodyText"/>
        <w:spacing w:before="74"/>
        <w:rPr>
          <w:sz w:val="20"/>
        </w:rPr>
      </w:pPr>
      <w:r>
        <w:rPr>
          <w:sz w:val="20"/>
        </w:rPr>
        <mc:AlternateContent>
          <mc:Choice Requires="wps">
            <w:drawing>
              <wp:anchor distT="0" distB="0" distL="0" distR="0" allowOverlap="1" layoutInCell="1" locked="0" behindDoc="1" simplePos="0" relativeHeight="487593472">
                <wp:simplePos x="0" y="0"/>
                <wp:positionH relativeFrom="page">
                  <wp:posOffset>899794</wp:posOffset>
                </wp:positionH>
                <wp:positionV relativeFrom="paragraph">
                  <wp:posOffset>208814</wp:posOffset>
                </wp:positionV>
                <wp:extent cx="1800225" cy="1270"/>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1800225" cy="1270"/>
                        </a:xfrm>
                        <a:custGeom>
                          <a:avLst/>
                          <a:gdLst/>
                          <a:ahLst/>
                          <a:cxnLst/>
                          <a:rect l="l" t="t" r="r" b="b"/>
                          <a:pathLst>
                            <a:path w="1800225" h="0">
                              <a:moveTo>
                                <a:pt x="0" y="0"/>
                              </a:moveTo>
                              <a:lnTo>
                                <a:pt x="1799996" y="0"/>
                              </a:lnTo>
                            </a:path>
                          </a:pathLst>
                        </a:custGeom>
                        <a:ln w="776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16.442102pt;width:141.75pt;height:.1pt;mso-position-horizontal-relative:page;mso-position-vertical-relative:paragraph;z-index:-15723008;mso-wrap-distance-left:0;mso-wrap-distance-right:0" id="docshape12" coordorigin="1417,329" coordsize="2835,0" path="m1417,329l4252,329e" filled="false" stroked="true" strokeweight=".61109pt" strokecolor="#000000">
                <v:path arrowok="t"/>
                <v:stroke dashstyle="solid"/>
                <w10:wrap type="topAndBottom"/>
              </v:shape>
            </w:pict>
          </mc:Fallback>
        </mc:AlternateContent>
      </w:r>
    </w:p>
    <w:p>
      <w:pPr>
        <w:spacing w:before="144"/>
        <w:ind w:left="141" w:right="99" w:firstLine="0"/>
        <w:jc w:val="left"/>
        <w:rPr>
          <w:sz w:val="20"/>
        </w:rPr>
      </w:pPr>
      <w:r>
        <w:rPr>
          <w:sz w:val="20"/>
          <w:vertAlign w:val="superscript"/>
        </w:rPr>
        <w:t>56</w:t>
      </w:r>
      <w:r>
        <w:rPr>
          <w:sz w:val="20"/>
          <w:vertAlign w:val="baseline"/>
        </w:rPr>
        <w:t>Commission</w:t>
      </w:r>
      <w:r>
        <w:rPr>
          <w:spacing w:val="25"/>
          <w:sz w:val="20"/>
          <w:vertAlign w:val="baseline"/>
        </w:rPr>
        <w:t> </w:t>
      </w:r>
      <w:r>
        <w:rPr>
          <w:sz w:val="20"/>
          <w:vertAlign w:val="baseline"/>
        </w:rPr>
        <w:t>du</w:t>
      </w:r>
      <w:r>
        <w:rPr>
          <w:spacing w:val="25"/>
          <w:sz w:val="20"/>
          <w:vertAlign w:val="baseline"/>
        </w:rPr>
        <w:t> </w:t>
      </w:r>
      <w:r>
        <w:rPr>
          <w:sz w:val="20"/>
          <w:vertAlign w:val="baseline"/>
        </w:rPr>
        <w:t>droit</w:t>
      </w:r>
      <w:r>
        <w:rPr>
          <w:spacing w:val="25"/>
          <w:sz w:val="20"/>
          <w:vertAlign w:val="baseline"/>
        </w:rPr>
        <w:t> </w:t>
      </w:r>
      <w:r>
        <w:rPr>
          <w:sz w:val="20"/>
          <w:vertAlign w:val="baseline"/>
        </w:rPr>
        <w:t>international,</w:t>
      </w:r>
      <w:r>
        <w:rPr>
          <w:spacing w:val="25"/>
          <w:sz w:val="20"/>
          <w:vertAlign w:val="baseline"/>
        </w:rPr>
        <w:t> </w:t>
      </w:r>
      <w:r>
        <w:rPr>
          <w:sz w:val="20"/>
          <w:vertAlign w:val="baseline"/>
        </w:rPr>
        <w:t>Obligation</w:t>
      </w:r>
      <w:r>
        <w:rPr>
          <w:spacing w:val="25"/>
          <w:sz w:val="20"/>
          <w:vertAlign w:val="baseline"/>
        </w:rPr>
        <w:t> </w:t>
      </w:r>
      <w:r>
        <w:rPr>
          <w:sz w:val="20"/>
          <w:vertAlign w:val="baseline"/>
        </w:rPr>
        <w:t>d’extrader</w:t>
      </w:r>
      <w:r>
        <w:rPr>
          <w:spacing w:val="25"/>
          <w:sz w:val="20"/>
          <w:vertAlign w:val="baseline"/>
        </w:rPr>
        <w:t> </w:t>
      </w:r>
      <w:r>
        <w:rPr>
          <w:sz w:val="20"/>
          <w:vertAlign w:val="baseline"/>
        </w:rPr>
        <w:t>ou</w:t>
      </w:r>
      <w:r>
        <w:rPr>
          <w:spacing w:val="25"/>
          <w:sz w:val="20"/>
          <w:vertAlign w:val="baseline"/>
        </w:rPr>
        <w:t> </w:t>
      </w:r>
      <w:r>
        <w:rPr>
          <w:sz w:val="20"/>
          <w:vertAlign w:val="baseline"/>
        </w:rPr>
        <w:t>de</w:t>
      </w:r>
      <w:r>
        <w:rPr>
          <w:spacing w:val="25"/>
          <w:sz w:val="20"/>
          <w:vertAlign w:val="baseline"/>
        </w:rPr>
        <w:t> </w:t>
      </w:r>
      <w:r>
        <w:rPr>
          <w:sz w:val="20"/>
          <w:vertAlign w:val="baseline"/>
        </w:rPr>
        <w:t>poursuivre</w:t>
      </w:r>
      <w:r>
        <w:rPr>
          <w:spacing w:val="25"/>
          <w:sz w:val="20"/>
          <w:vertAlign w:val="baseline"/>
        </w:rPr>
        <w:t> </w:t>
      </w:r>
      <w:r>
        <w:rPr>
          <w:sz w:val="20"/>
          <w:vertAlign w:val="baseline"/>
        </w:rPr>
        <w:t>(aut</w:t>
      </w:r>
      <w:r>
        <w:rPr>
          <w:spacing w:val="25"/>
          <w:sz w:val="20"/>
          <w:vertAlign w:val="baseline"/>
        </w:rPr>
        <w:t> </w:t>
      </w:r>
      <w:r>
        <w:rPr>
          <w:sz w:val="20"/>
          <w:vertAlign w:val="baseline"/>
        </w:rPr>
        <w:t>dedere</w:t>
      </w:r>
      <w:r>
        <w:rPr>
          <w:spacing w:val="25"/>
          <w:sz w:val="20"/>
          <w:vertAlign w:val="baseline"/>
        </w:rPr>
        <w:t> </w:t>
      </w:r>
      <w:r>
        <w:rPr>
          <w:sz w:val="20"/>
          <w:vertAlign w:val="baseline"/>
        </w:rPr>
        <w:t>aut</w:t>
      </w:r>
      <w:r>
        <w:rPr>
          <w:spacing w:val="25"/>
          <w:sz w:val="20"/>
          <w:vertAlign w:val="baseline"/>
        </w:rPr>
        <w:t> </w:t>
      </w:r>
      <w:r>
        <w:rPr>
          <w:sz w:val="20"/>
          <w:vertAlign w:val="baseline"/>
        </w:rPr>
        <w:t>judicare),</w:t>
      </w:r>
      <w:r>
        <w:rPr>
          <w:spacing w:val="25"/>
          <w:sz w:val="20"/>
          <w:vertAlign w:val="baseline"/>
        </w:rPr>
        <w:t> </w:t>
      </w:r>
      <w:r>
        <w:rPr>
          <w:sz w:val="20"/>
          <w:vertAlign w:val="baseline"/>
        </w:rPr>
        <w:t>Rapport final de sa 66</w:t>
      </w:r>
      <w:r>
        <w:rPr>
          <w:sz w:val="20"/>
          <w:vertAlign w:val="superscript"/>
        </w:rPr>
        <w:t>e</w:t>
      </w:r>
      <w:r>
        <w:rPr>
          <w:sz w:val="20"/>
          <w:vertAlign w:val="baseline"/>
        </w:rPr>
        <w:t> session, Nations-Unies, 2014, p.14.</w:t>
      </w:r>
    </w:p>
    <w:p>
      <w:pPr>
        <w:spacing w:after="0"/>
        <w:jc w:val="left"/>
        <w:rPr>
          <w:sz w:val="20"/>
        </w:rPr>
        <w:sectPr>
          <w:pgSz w:w="11910" w:h="16840"/>
          <w:pgMar w:header="0" w:footer="1005" w:top="1340" w:bottom="1200" w:left="1275" w:right="1133"/>
        </w:sectPr>
      </w:pPr>
    </w:p>
    <w:p>
      <w:pPr>
        <w:pStyle w:val="BodyText"/>
        <w:spacing w:before="79"/>
        <w:ind w:left="142" w:right="144"/>
        <w:jc w:val="both"/>
      </w:pPr>
      <w:r>
        <w:rPr/>
        <w:t>compétentes</w:t>
      </w:r>
      <w:r>
        <w:rPr>
          <w:vertAlign w:val="superscript"/>
        </w:rPr>
        <w:t>57</w:t>
      </w:r>
      <w:r>
        <w:rPr>
          <w:vertAlign w:val="baseline"/>
        </w:rPr>
        <w:t>. Ce devoir de traduire en justice les pirates, en cas de refus de leur remise, contribue à la lutte contre leur impunité.</w:t>
      </w:r>
    </w:p>
    <w:p>
      <w:pPr>
        <w:pStyle w:val="BodyText"/>
        <w:spacing w:before="4"/>
      </w:pPr>
    </w:p>
    <w:p>
      <w:pPr>
        <w:pStyle w:val="BodyText"/>
        <w:ind w:left="142" w:right="147"/>
        <w:jc w:val="both"/>
      </w:pPr>
      <w:r>
        <w:rPr/>
        <w:t>Cependant, ce principe reste dépendant de la volonté politique des États et de leur capacité judiciaire. Il ne constitue donc qu’une solution partielle aux insuffisances structurelles du système international.</w:t>
      </w:r>
    </w:p>
    <w:p>
      <w:pPr>
        <w:pStyle w:val="BodyText"/>
        <w:spacing w:before="4"/>
      </w:pPr>
    </w:p>
    <w:p>
      <w:pPr>
        <w:pStyle w:val="BodyText"/>
        <w:spacing w:line="271" w:lineRule="auto"/>
        <w:ind w:left="142" w:right="141"/>
        <w:jc w:val="both"/>
        <w:rPr>
          <w:rFonts w:ascii="MingLiU_HKSCS-ExtB" w:hAnsi="MingLiU_HKSCS-ExtB"/>
        </w:rPr>
      </w:pPr>
      <w:r>
        <w:rPr/>
        <w:t>A noter au passage qu’au lieu de « aut dedere aut punire</w:t>
      </w:r>
      <w:r>
        <w:rPr>
          <w:vertAlign w:val="superscript"/>
        </w:rPr>
        <w:t>58</w:t>
      </w:r>
      <w:r>
        <w:rPr>
          <w:vertAlign w:val="baseline"/>
        </w:rPr>
        <w:t>» et/ou « aut dedere aut judicare », la tendance actuelle opte pour </w:t>
      </w:r>
      <w:r>
        <w:rPr>
          <w:b/>
          <w:vertAlign w:val="baseline"/>
        </w:rPr>
        <w:t>« aut dedere aut prosequi »</w:t>
      </w:r>
      <w:r>
        <w:rPr>
          <w:rFonts w:ascii="MingLiU_HKSCS-ExtB" w:hAnsi="MingLiU_HKSCS-ExtB"/>
          <w:vertAlign w:val="superscript"/>
        </w:rPr>
        <w:t>59</w:t>
      </w:r>
      <w:r>
        <w:rPr>
          <w:rFonts w:ascii="MingLiU_HKSCS-ExtB" w:hAnsi="MingLiU_HKSCS-ExtB"/>
          <w:vertAlign w:val="baseline"/>
        </w:rPr>
        <w:t>.</w:t>
      </w:r>
    </w:p>
    <w:p>
      <w:pPr>
        <w:pStyle w:val="BodyText"/>
        <w:spacing w:line="256" w:lineRule="auto" w:before="258"/>
        <w:ind w:left="142" w:right="146"/>
        <w:jc w:val="both"/>
        <w:rPr>
          <w:rFonts w:ascii="MingLiU_HKSCS-ExtB" w:hAnsi="MingLiU_HKSCS-ExtB"/>
        </w:rPr>
      </w:pPr>
      <w:r>
        <w:rPr/>
        <w:t>Par ailleurs, en application de cet adage et dans l’hypothèse du refus de remise des pirates de la part de l’Etat poursuivant, l’éventuelle autorité judiciaire requérante a intérêt à lui adresser une dénonciation officielle pour justement le contraindre à les poursuivre effectivement en Justice</w:t>
      </w:r>
      <w:r>
        <w:rPr>
          <w:rFonts w:ascii="MingLiU_HKSCS-ExtB" w:hAnsi="MingLiU_HKSCS-ExtB"/>
        </w:rPr>
        <w:t>.</w:t>
      </w:r>
    </w:p>
    <w:p>
      <w:pPr>
        <w:pStyle w:val="BodyText"/>
        <w:spacing w:line="261" w:lineRule="auto" w:before="275"/>
        <w:ind w:left="142" w:right="143"/>
        <w:jc w:val="both"/>
      </w:pPr>
      <w:r>
        <w:rPr/>
        <w:t>Ici, la </w:t>
      </w:r>
      <w:r>
        <w:rPr>
          <w:i/>
        </w:rPr>
        <w:t>dénonciation officielle </w:t>
      </w:r>
      <w:r>
        <w:rPr/>
        <w:t>s’entend « de l’acte par lequel le Procureur de la République ou le Procureur Général d’une Cour d’Appel d’un Etat requérant, selon les dispositions de la législation interne, demande à l’Etat poursuivant d’intenter des poursuites contre le(s) pirates lorsque celui-ci refuse de les remettre »</w:t>
      </w:r>
      <w:r>
        <w:rPr>
          <w:rFonts w:ascii="MingLiU_HKSCS-ExtB" w:hAnsi="MingLiU_HKSCS-ExtB"/>
          <w:vertAlign w:val="superscript"/>
        </w:rPr>
        <w:t>60</w:t>
      </w:r>
      <w:r>
        <w:rPr>
          <w:vertAlign w:val="baseline"/>
        </w:rPr>
        <w:t>. Comme toute autre entraide judiciaire, la</w:t>
      </w:r>
      <w:r>
        <w:rPr>
          <w:spacing w:val="40"/>
          <w:vertAlign w:val="baseline"/>
        </w:rPr>
        <w:t> </w:t>
      </w:r>
      <w:r>
        <w:rPr>
          <w:vertAlign w:val="baseline"/>
        </w:rPr>
        <w:t>dénonciation aux fins de poursuite obéit également aux conditions de « double incrimination » et</w:t>
      </w:r>
      <w:r>
        <w:rPr>
          <w:spacing w:val="-6"/>
          <w:vertAlign w:val="baseline"/>
        </w:rPr>
        <w:t> </w:t>
      </w:r>
      <w:r>
        <w:rPr>
          <w:vertAlign w:val="baseline"/>
        </w:rPr>
        <w:t>de « non bis in idem »</w:t>
      </w:r>
      <w:r>
        <w:rPr>
          <w:rFonts w:ascii="MingLiU_HKSCS-ExtB" w:hAnsi="MingLiU_HKSCS-ExtB"/>
          <w:vertAlign w:val="superscript"/>
        </w:rPr>
        <w:t>61</w:t>
      </w:r>
      <w:r>
        <w:rPr>
          <w:rFonts w:ascii="MingLiU_HKSCS-ExtB" w:hAnsi="MingLiU_HKSCS-ExtB"/>
          <w:vertAlign w:val="baseline"/>
        </w:rPr>
        <w:t>.</w:t>
      </w:r>
      <w:r>
        <w:rPr>
          <w:rFonts w:ascii="MingLiU_HKSCS-ExtB" w:hAnsi="MingLiU_HKSCS-ExtB"/>
          <w:spacing w:val="-30"/>
          <w:vertAlign w:val="baseline"/>
        </w:rPr>
        <w:t> </w:t>
      </w:r>
      <w:r>
        <w:rPr>
          <w:vertAlign w:val="baseline"/>
        </w:rPr>
        <w:t>La demande de dénonciation officielle s’effectue, en principe, par voie classique</w:t>
      </w:r>
      <w:r>
        <w:rPr>
          <w:rFonts w:ascii="MingLiU_HKSCS-ExtB" w:hAnsi="MingLiU_HKSCS-ExtB"/>
          <w:vertAlign w:val="superscript"/>
        </w:rPr>
        <w:t>62</w:t>
      </w:r>
      <w:r>
        <w:rPr>
          <w:vertAlign w:val="baseline"/>
        </w:rPr>
        <w:t>de demande d’entraide judiciaire, transitant par l’« autorité centrale » du Ministère de la Justice</w:t>
      </w:r>
      <w:r>
        <w:rPr>
          <w:rFonts w:ascii="MingLiU_HKSCS-ExtB" w:hAnsi="MingLiU_HKSCS-ExtB"/>
          <w:vertAlign w:val="superscript"/>
        </w:rPr>
        <w:t>63</w:t>
      </w:r>
      <w:r>
        <w:rPr>
          <w:vertAlign w:val="baseline"/>
        </w:rPr>
        <w:t>dont relève le Procureur de la République ou le Procureur Général auteur d’une telle dénonciation.</w:t>
      </w:r>
    </w:p>
    <w:p>
      <w:pPr>
        <w:pStyle w:val="Heading4"/>
        <w:numPr>
          <w:ilvl w:val="1"/>
          <w:numId w:val="1"/>
        </w:numPr>
        <w:tabs>
          <w:tab w:pos="382" w:val="left" w:leader="none"/>
        </w:tabs>
        <w:spacing w:line="240" w:lineRule="auto" w:before="145" w:after="0"/>
        <w:ind w:left="382" w:right="0" w:hanging="240"/>
        <w:jc w:val="both"/>
        <w:rPr>
          <w:color w:val="145F82"/>
        </w:rPr>
      </w:pPr>
      <w:r>
        <w:rPr>
          <w:color w:val="145F82"/>
        </w:rPr>
        <w:t>Vers</w:t>
      </w:r>
      <w:r>
        <w:rPr>
          <w:color w:val="145F82"/>
          <w:spacing w:val="-5"/>
        </w:rPr>
        <w:t> </w:t>
      </w:r>
      <w:r>
        <w:rPr>
          <w:color w:val="145F82"/>
        </w:rPr>
        <w:t>une</w:t>
      </w:r>
      <w:r>
        <w:rPr>
          <w:color w:val="145F82"/>
          <w:spacing w:val="-3"/>
        </w:rPr>
        <w:t> </w:t>
      </w:r>
      <w:r>
        <w:rPr>
          <w:color w:val="145F82"/>
        </w:rPr>
        <w:t>nécessaire</w:t>
      </w:r>
      <w:r>
        <w:rPr>
          <w:color w:val="145F82"/>
          <w:spacing w:val="-2"/>
        </w:rPr>
        <w:t> </w:t>
      </w:r>
      <w:r>
        <w:rPr>
          <w:color w:val="145F82"/>
        </w:rPr>
        <w:t>réforme</w:t>
      </w:r>
      <w:r>
        <w:rPr>
          <w:color w:val="145F82"/>
          <w:spacing w:val="-3"/>
        </w:rPr>
        <w:t> </w:t>
      </w:r>
      <w:r>
        <w:rPr>
          <w:color w:val="145F82"/>
        </w:rPr>
        <w:t>du</w:t>
      </w:r>
      <w:r>
        <w:rPr>
          <w:color w:val="145F82"/>
          <w:spacing w:val="-3"/>
        </w:rPr>
        <w:t> </w:t>
      </w:r>
      <w:r>
        <w:rPr>
          <w:color w:val="145F82"/>
        </w:rPr>
        <w:t>droit</w:t>
      </w:r>
      <w:r>
        <w:rPr>
          <w:color w:val="145F82"/>
          <w:spacing w:val="-2"/>
        </w:rPr>
        <w:t> </w:t>
      </w:r>
      <w:r>
        <w:rPr>
          <w:color w:val="145F82"/>
        </w:rPr>
        <w:t>international</w:t>
      </w:r>
      <w:r>
        <w:rPr>
          <w:color w:val="145F82"/>
          <w:spacing w:val="-3"/>
        </w:rPr>
        <w:t> </w:t>
      </w:r>
      <w:r>
        <w:rPr>
          <w:color w:val="145F82"/>
        </w:rPr>
        <w:t>de</w:t>
      </w:r>
      <w:r>
        <w:rPr>
          <w:color w:val="145F82"/>
          <w:spacing w:val="-3"/>
        </w:rPr>
        <w:t> </w:t>
      </w:r>
      <w:r>
        <w:rPr>
          <w:color w:val="145F82"/>
        </w:rPr>
        <w:t>la</w:t>
      </w:r>
      <w:r>
        <w:rPr>
          <w:color w:val="145F82"/>
          <w:spacing w:val="-2"/>
        </w:rPr>
        <w:t> piraterie</w:t>
      </w:r>
    </w:p>
    <w:p>
      <w:pPr>
        <w:pStyle w:val="BodyText"/>
        <w:spacing w:before="3"/>
        <w:rPr>
          <w:b/>
        </w:rPr>
      </w:pPr>
    </w:p>
    <w:p>
      <w:pPr>
        <w:pStyle w:val="BodyText"/>
        <w:spacing w:before="1"/>
        <w:ind w:left="142" w:right="149"/>
        <w:jc w:val="both"/>
      </w:pPr>
      <w:r>
        <w:rPr/>
        <w:t>L’analyse conduit à constater la nécessité d’une réforme profonde du droit international applicable à la piraterie maritime. Cette réforme pourrait inclure :</w:t>
      </w:r>
    </w:p>
    <w:p>
      <w:pPr>
        <w:pStyle w:val="BodyText"/>
        <w:spacing w:before="3"/>
      </w:pPr>
    </w:p>
    <w:p>
      <w:pPr>
        <w:pStyle w:val="ListParagraph"/>
        <w:numPr>
          <w:ilvl w:val="0"/>
          <w:numId w:val="5"/>
        </w:numPr>
        <w:tabs>
          <w:tab w:pos="861" w:val="left" w:leader="none"/>
        </w:tabs>
        <w:spacing w:line="240" w:lineRule="auto" w:before="1" w:after="0"/>
        <w:ind w:left="861" w:right="0" w:hanging="359"/>
        <w:jc w:val="left"/>
        <w:rPr>
          <w:sz w:val="24"/>
        </w:rPr>
      </w:pPr>
      <w:r>
        <w:rPr>
          <w:sz w:val="24"/>
        </w:rPr>
        <w:t>une</w:t>
      </w:r>
      <w:r>
        <w:rPr>
          <w:spacing w:val="-6"/>
          <w:sz w:val="24"/>
        </w:rPr>
        <w:t> </w:t>
      </w:r>
      <w:r>
        <w:rPr>
          <w:sz w:val="24"/>
        </w:rPr>
        <w:t>redéfinition</w:t>
      </w:r>
      <w:r>
        <w:rPr>
          <w:spacing w:val="-3"/>
          <w:sz w:val="24"/>
        </w:rPr>
        <w:t> </w:t>
      </w:r>
      <w:r>
        <w:rPr>
          <w:sz w:val="24"/>
        </w:rPr>
        <w:t>plus</w:t>
      </w:r>
      <w:r>
        <w:rPr>
          <w:spacing w:val="-3"/>
          <w:sz w:val="24"/>
        </w:rPr>
        <w:t> </w:t>
      </w:r>
      <w:r>
        <w:rPr>
          <w:sz w:val="24"/>
        </w:rPr>
        <w:t>large</w:t>
      </w:r>
      <w:r>
        <w:rPr>
          <w:spacing w:val="-3"/>
          <w:sz w:val="24"/>
        </w:rPr>
        <w:t> </w:t>
      </w:r>
      <w:r>
        <w:rPr>
          <w:sz w:val="24"/>
        </w:rPr>
        <w:t>et</w:t>
      </w:r>
      <w:r>
        <w:rPr>
          <w:spacing w:val="-3"/>
          <w:sz w:val="24"/>
        </w:rPr>
        <w:t> </w:t>
      </w:r>
      <w:r>
        <w:rPr>
          <w:sz w:val="24"/>
        </w:rPr>
        <w:t>plus</w:t>
      </w:r>
      <w:r>
        <w:rPr>
          <w:spacing w:val="-3"/>
          <w:sz w:val="24"/>
        </w:rPr>
        <w:t> </w:t>
      </w:r>
      <w:r>
        <w:rPr>
          <w:sz w:val="24"/>
        </w:rPr>
        <w:t>fonctionnelle</w:t>
      </w:r>
      <w:r>
        <w:rPr>
          <w:spacing w:val="-3"/>
          <w:sz w:val="24"/>
        </w:rPr>
        <w:t> </w:t>
      </w:r>
      <w:r>
        <w:rPr>
          <w:sz w:val="24"/>
        </w:rPr>
        <w:t>de</w:t>
      </w:r>
      <w:r>
        <w:rPr>
          <w:spacing w:val="-3"/>
          <w:sz w:val="24"/>
        </w:rPr>
        <w:t> </w:t>
      </w:r>
      <w:r>
        <w:rPr>
          <w:sz w:val="24"/>
        </w:rPr>
        <w:t>la</w:t>
      </w:r>
      <w:r>
        <w:rPr>
          <w:spacing w:val="-3"/>
          <w:sz w:val="24"/>
        </w:rPr>
        <w:t> </w:t>
      </w:r>
      <w:r>
        <w:rPr>
          <w:sz w:val="24"/>
        </w:rPr>
        <w:t>piraterie</w:t>
      </w:r>
      <w:r>
        <w:rPr>
          <w:spacing w:val="-3"/>
          <w:sz w:val="24"/>
        </w:rPr>
        <w:t> </w:t>
      </w:r>
      <w:r>
        <w:rPr>
          <w:spacing w:val="-10"/>
          <w:sz w:val="24"/>
        </w:rPr>
        <w:t>;</w:t>
      </w:r>
    </w:p>
    <w:p>
      <w:pPr>
        <w:pStyle w:val="ListParagraph"/>
        <w:numPr>
          <w:ilvl w:val="0"/>
          <w:numId w:val="5"/>
        </w:numPr>
        <w:tabs>
          <w:tab w:pos="861" w:val="left" w:leader="none"/>
        </w:tabs>
        <w:spacing w:line="240" w:lineRule="auto" w:before="120" w:after="0"/>
        <w:ind w:left="861" w:right="0" w:hanging="359"/>
        <w:jc w:val="left"/>
        <w:rPr>
          <w:sz w:val="24"/>
        </w:rPr>
      </w:pPr>
      <w:r>
        <w:rPr>
          <w:sz w:val="24"/>
        </w:rPr>
        <w:t>une</w:t>
      </w:r>
      <w:r>
        <w:rPr>
          <w:spacing w:val="-5"/>
          <w:sz w:val="24"/>
        </w:rPr>
        <w:t> </w:t>
      </w:r>
      <w:r>
        <w:rPr>
          <w:sz w:val="24"/>
        </w:rPr>
        <w:t>harmonisation</w:t>
      </w:r>
      <w:r>
        <w:rPr>
          <w:spacing w:val="-5"/>
          <w:sz w:val="24"/>
        </w:rPr>
        <w:t> </w:t>
      </w:r>
      <w:r>
        <w:rPr>
          <w:sz w:val="24"/>
        </w:rPr>
        <w:t>des</w:t>
      </w:r>
      <w:r>
        <w:rPr>
          <w:spacing w:val="-5"/>
          <w:sz w:val="24"/>
        </w:rPr>
        <w:t> </w:t>
      </w:r>
      <w:r>
        <w:rPr>
          <w:sz w:val="24"/>
        </w:rPr>
        <w:t>législations</w:t>
      </w:r>
      <w:r>
        <w:rPr>
          <w:spacing w:val="-5"/>
          <w:sz w:val="24"/>
        </w:rPr>
        <w:t> </w:t>
      </w:r>
      <w:r>
        <w:rPr>
          <w:sz w:val="24"/>
        </w:rPr>
        <w:t>nationales</w:t>
      </w:r>
      <w:r>
        <w:rPr>
          <w:spacing w:val="-5"/>
          <w:sz w:val="24"/>
        </w:rPr>
        <w:t> </w:t>
      </w:r>
      <w:r>
        <w:rPr>
          <w:spacing w:val="-10"/>
          <w:sz w:val="24"/>
        </w:rPr>
        <w:t>;</w:t>
      </w:r>
    </w:p>
    <w:p>
      <w:pPr>
        <w:pStyle w:val="BodyText"/>
        <w:spacing w:before="8"/>
        <w:rPr>
          <w:sz w:val="9"/>
        </w:rPr>
      </w:pPr>
      <w:r>
        <w:rPr>
          <w:sz w:val="9"/>
        </w:rPr>
        <mc:AlternateContent>
          <mc:Choice Requires="wps">
            <w:drawing>
              <wp:anchor distT="0" distB="0" distL="0" distR="0" allowOverlap="1" layoutInCell="1" locked="0" behindDoc="1" simplePos="0" relativeHeight="487593984">
                <wp:simplePos x="0" y="0"/>
                <wp:positionH relativeFrom="page">
                  <wp:posOffset>899794</wp:posOffset>
                </wp:positionH>
                <wp:positionV relativeFrom="paragraph">
                  <wp:posOffset>86050</wp:posOffset>
                </wp:positionV>
                <wp:extent cx="1800225" cy="127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1800225" cy="1270"/>
                        </a:xfrm>
                        <a:custGeom>
                          <a:avLst/>
                          <a:gdLst/>
                          <a:ahLst/>
                          <a:cxnLst/>
                          <a:rect l="l" t="t" r="r" b="b"/>
                          <a:pathLst>
                            <a:path w="1800225" h="0">
                              <a:moveTo>
                                <a:pt x="0" y="0"/>
                              </a:moveTo>
                              <a:lnTo>
                                <a:pt x="1799996" y="0"/>
                              </a:lnTo>
                            </a:path>
                          </a:pathLst>
                        </a:custGeom>
                        <a:ln w="776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0.849998pt;margin-top:6.775625pt;width:141.75pt;height:.1pt;mso-position-horizontal-relative:page;mso-position-vertical-relative:paragraph;z-index:-15722496;mso-wrap-distance-left:0;mso-wrap-distance-right:0" id="docshape13" coordorigin="1417,136" coordsize="2835,0" path="m1417,136l4252,136e" filled="false" stroked="true" strokeweight=".61109pt" strokecolor="#000000">
                <v:path arrowok="t"/>
                <v:stroke dashstyle="solid"/>
                <w10:wrap type="topAndBottom"/>
              </v:shape>
            </w:pict>
          </mc:Fallback>
        </mc:AlternateContent>
      </w:r>
    </w:p>
    <w:p>
      <w:pPr>
        <w:spacing w:before="144"/>
        <w:ind w:left="141" w:right="143" w:firstLine="0"/>
        <w:jc w:val="both"/>
        <w:rPr>
          <w:sz w:val="20"/>
        </w:rPr>
      </w:pPr>
      <w:r>
        <w:rPr>
          <w:sz w:val="20"/>
          <w:vertAlign w:val="superscript"/>
        </w:rPr>
        <w:t>57</w:t>
      </w:r>
      <w:r>
        <w:rPr>
          <w:sz w:val="20"/>
          <w:vertAlign w:val="baseline"/>
        </w:rPr>
        <w:t>Solofo</w:t>
      </w:r>
      <w:r>
        <w:rPr>
          <w:spacing w:val="-1"/>
          <w:sz w:val="20"/>
          <w:vertAlign w:val="baseline"/>
        </w:rPr>
        <w:t> </w:t>
      </w:r>
      <w:r>
        <w:rPr>
          <w:sz w:val="20"/>
          <w:vertAlign w:val="baseline"/>
        </w:rPr>
        <w:t>Théodore</w:t>
      </w:r>
      <w:r>
        <w:rPr>
          <w:spacing w:val="-1"/>
          <w:sz w:val="20"/>
          <w:vertAlign w:val="baseline"/>
        </w:rPr>
        <w:t> </w:t>
      </w:r>
      <w:r>
        <w:rPr>
          <w:sz w:val="20"/>
          <w:vertAlign w:val="baseline"/>
        </w:rPr>
        <w:t>RANDRIANJAFY,</w:t>
      </w:r>
      <w:r>
        <w:rPr>
          <w:spacing w:val="-1"/>
          <w:sz w:val="20"/>
          <w:vertAlign w:val="baseline"/>
        </w:rPr>
        <w:t> </w:t>
      </w:r>
      <w:r>
        <w:rPr>
          <w:sz w:val="20"/>
          <w:vertAlign w:val="baseline"/>
        </w:rPr>
        <w:t>Le</w:t>
      </w:r>
      <w:r>
        <w:rPr>
          <w:spacing w:val="-1"/>
          <w:sz w:val="20"/>
          <w:vertAlign w:val="baseline"/>
        </w:rPr>
        <w:t> </w:t>
      </w:r>
      <w:r>
        <w:rPr>
          <w:sz w:val="20"/>
          <w:vertAlign w:val="baseline"/>
        </w:rPr>
        <w:t>processus</w:t>
      </w:r>
      <w:r>
        <w:rPr>
          <w:spacing w:val="-1"/>
          <w:sz w:val="20"/>
          <w:vertAlign w:val="baseline"/>
        </w:rPr>
        <w:t> </w:t>
      </w:r>
      <w:r>
        <w:rPr>
          <w:sz w:val="20"/>
          <w:vertAlign w:val="baseline"/>
        </w:rPr>
        <w:t>de</w:t>
      </w:r>
      <w:r>
        <w:rPr>
          <w:spacing w:val="-1"/>
          <w:sz w:val="20"/>
          <w:vertAlign w:val="baseline"/>
        </w:rPr>
        <w:t> </w:t>
      </w:r>
      <w:r>
        <w:rPr>
          <w:sz w:val="20"/>
          <w:vertAlign w:val="baseline"/>
        </w:rPr>
        <w:t>coopération</w:t>
      </w:r>
      <w:r>
        <w:rPr>
          <w:spacing w:val="-1"/>
          <w:sz w:val="20"/>
          <w:vertAlign w:val="baseline"/>
        </w:rPr>
        <w:t> </w:t>
      </w:r>
      <w:r>
        <w:rPr>
          <w:sz w:val="20"/>
          <w:vertAlign w:val="baseline"/>
        </w:rPr>
        <w:t>judiciaire</w:t>
      </w:r>
      <w:r>
        <w:rPr>
          <w:spacing w:val="-1"/>
          <w:sz w:val="20"/>
          <w:vertAlign w:val="baseline"/>
        </w:rPr>
        <w:t> </w:t>
      </w:r>
      <w:r>
        <w:rPr>
          <w:sz w:val="20"/>
          <w:vertAlign w:val="baseline"/>
        </w:rPr>
        <w:t>internationale,</w:t>
      </w:r>
      <w:r>
        <w:rPr>
          <w:spacing w:val="-1"/>
          <w:sz w:val="20"/>
          <w:vertAlign w:val="baseline"/>
        </w:rPr>
        <w:t> </w:t>
      </w:r>
      <w:r>
        <w:rPr>
          <w:sz w:val="20"/>
          <w:vertAlign w:val="baseline"/>
        </w:rPr>
        <w:t>Thèse</w:t>
      </w:r>
      <w:r>
        <w:rPr>
          <w:spacing w:val="-1"/>
          <w:sz w:val="20"/>
          <w:vertAlign w:val="baseline"/>
        </w:rPr>
        <w:t> </w:t>
      </w:r>
      <w:r>
        <w:rPr>
          <w:sz w:val="20"/>
          <w:vertAlign w:val="baseline"/>
        </w:rPr>
        <w:t>en</w:t>
      </w:r>
      <w:r>
        <w:rPr>
          <w:spacing w:val="-1"/>
          <w:sz w:val="20"/>
          <w:vertAlign w:val="baseline"/>
        </w:rPr>
        <w:t> </w:t>
      </w:r>
      <w:r>
        <w:rPr>
          <w:sz w:val="20"/>
          <w:vertAlign w:val="baseline"/>
        </w:rPr>
        <w:t>Droit</w:t>
      </w:r>
      <w:r>
        <w:rPr>
          <w:spacing w:val="-1"/>
          <w:sz w:val="20"/>
          <w:vertAlign w:val="baseline"/>
        </w:rPr>
        <w:t> </w:t>
      </w:r>
      <w:r>
        <w:rPr>
          <w:sz w:val="20"/>
          <w:vertAlign w:val="baseline"/>
        </w:rPr>
        <w:t>privé, Fianarantsoa, Vol.1, 2019, p.284.</w:t>
      </w:r>
    </w:p>
    <w:p>
      <w:pPr>
        <w:spacing w:before="0"/>
        <w:ind w:left="141" w:right="145" w:firstLine="0"/>
        <w:jc w:val="both"/>
        <w:rPr>
          <w:sz w:val="20"/>
        </w:rPr>
      </w:pPr>
      <w:r>
        <w:rPr>
          <w:sz w:val="20"/>
          <w:vertAlign w:val="superscript"/>
        </w:rPr>
        <w:t>58</w:t>
      </w:r>
      <w:r>
        <w:rPr>
          <w:sz w:val="20"/>
          <w:vertAlign w:val="baseline"/>
        </w:rPr>
        <w:t>L’adage « aut dedere aut punire » est une obligation de punir pour l’Etat requis non-extradant. Cette règle est, à notre sens, attentatoire au principe de l’opportunité de poursuite du Ministère public de l’Etat requis.</w:t>
      </w:r>
    </w:p>
    <w:p>
      <w:pPr>
        <w:spacing w:before="0"/>
        <w:ind w:left="141" w:right="141" w:firstLine="0"/>
        <w:jc w:val="both"/>
        <w:rPr>
          <w:sz w:val="20"/>
        </w:rPr>
      </w:pPr>
      <w:r>
        <w:rPr>
          <w:sz w:val="20"/>
          <w:vertAlign w:val="superscript"/>
        </w:rPr>
        <w:t>59</w:t>
      </w:r>
      <w:r>
        <w:rPr>
          <w:sz w:val="20"/>
          <w:vertAlign w:val="baseline"/>
        </w:rPr>
        <w:t>Solofo Théodore RANDRIANJAFY, op.cit., n°37, p.41 ; adde, Bertrand BAUCHOT, Thèse en Droit, Sanctions pénales nationales et Droit international, Lille2, 2007, n°</w:t>
      </w:r>
      <w:r>
        <w:rPr>
          <w:sz w:val="20"/>
          <w:vertAlign w:val="superscript"/>
        </w:rPr>
        <w:t>s</w:t>
      </w:r>
      <w:r>
        <w:rPr>
          <w:sz w:val="20"/>
          <w:vertAlign w:val="baseline"/>
        </w:rPr>
        <w:t>768.</w:t>
      </w:r>
    </w:p>
    <w:p>
      <w:pPr>
        <w:spacing w:before="0"/>
        <w:ind w:left="142" w:right="0" w:firstLine="0"/>
        <w:jc w:val="both"/>
        <w:rPr>
          <w:sz w:val="20"/>
        </w:rPr>
      </w:pPr>
      <w:r>
        <w:rPr>
          <w:sz w:val="20"/>
          <w:vertAlign w:val="superscript"/>
        </w:rPr>
        <w:t>60</w:t>
      </w:r>
      <w:r>
        <w:rPr>
          <w:sz w:val="20"/>
          <w:vertAlign w:val="baseline"/>
        </w:rPr>
        <w:t>Rappr.</w:t>
      </w:r>
      <w:r>
        <w:rPr>
          <w:spacing w:val="-2"/>
          <w:sz w:val="20"/>
          <w:vertAlign w:val="baseline"/>
        </w:rPr>
        <w:t> </w:t>
      </w:r>
      <w:r>
        <w:rPr>
          <w:sz w:val="20"/>
          <w:vertAlign w:val="baseline"/>
        </w:rPr>
        <w:t>Solofo</w:t>
      </w:r>
      <w:r>
        <w:rPr>
          <w:spacing w:val="-1"/>
          <w:sz w:val="20"/>
          <w:vertAlign w:val="baseline"/>
        </w:rPr>
        <w:t> </w:t>
      </w:r>
      <w:r>
        <w:rPr>
          <w:sz w:val="20"/>
          <w:vertAlign w:val="baseline"/>
        </w:rPr>
        <w:t>Théodore</w:t>
      </w:r>
      <w:r>
        <w:rPr>
          <w:spacing w:val="-1"/>
          <w:sz w:val="20"/>
          <w:vertAlign w:val="baseline"/>
        </w:rPr>
        <w:t> </w:t>
      </w:r>
      <w:r>
        <w:rPr>
          <w:sz w:val="20"/>
          <w:vertAlign w:val="baseline"/>
        </w:rPr>
        <w:t>RANDRIANJAFY,</w:t>
      </w:r>
      <w:r>
        <w:rPr>
          <w:spacing w:val="-1"/>
          <w:sz w:val="20"/>
          <w:vertAlign w:val="baseline"/>
        </w:rPr>
        <w:t> </w:t>
      </w:r>
      <w:r>
        <w:rPr>
          <w:sz w:val="20"/>
          <w:vertAlign w:val="baseline"/>
        </w:rPr>
        <w:t>op.cit.,</w:t>
      </w:r>
      <w:r>
        <w:rPr>
          <w:spacing w:val="-1"/>
          <w:sz w:val="20"/>
          <w:vertAlign w:val="baseline"/>
        </w:rPr>
        <w:t> </w:t>
      </w:r>
      <w:r>
        <w:rPr>
          <w:sz w:val="20"/>
          <w:vertAlign w:val="baseline"/>
        </w:rPr>
        <w:t>n°153,</w:t>
      </w:r>
      <w:r>
        <w:rPr>
          <w:spacing w:val="-1"/>
          <w:sz w:val="20"/>
          <w:vertAlign w:val="baseline"/>
        </w:rPr>
        <w:t> </w:t>
      </w:r>
      <w:r>
        <w:rPr>
          <w:sz w:val="20"/>
          <w:vertAlign w:val="baseline"/>
        </w:rPr>
        <w:t>pp.286-</w:t>
      </w:r>
      <w:r>
        <w:rPr>
          <w:spacing w:val="-4"/>
          <w:sz w:val="20"/>
          <w:vertAlign w:val="baseline"/>
        </w:rPr>
        <w:t>287.</w:t>
      </w:r>
    </w:p>
    <w:p>
      <w:pPr>
        <w:spacing w:before="30"/>
        <w:ind w:left="142" w:right="0" w:firstLine="0"/>
        <w:jc w:val="both"/>
        <w:rPr>
          <w:sz w:val="20"/>
        </w:rPr>
      </w:pPr>
      <w:r>
        <w:rPr>
          <w:rFonts w:ascii="MingLiU_HKSCS-ExtB" w:hAnsi="MingLiU_HKSCS-ExtB"/>
          <w:position w:val="7"/>
          <w:sz w:val="13"/>
        </w:rPr>
        <w:t>61</w:t>
      </w:r>
      <w:r>
        <w:rPr>
          <w:sz w:val="20"/>
        </w:rPr>
        <w:t>Adama</w:t>
      </w:r>
      <w:r>
        <w:rPr>
          <w:spacing w:val="-1"/>
          <w:sz w:val="20"/>
        </w:rPr>
        <w:t> </w:t>
      </w:r>
      <w:r>
        <w:rPr>
          <w:sz w:val="20"/>
        </w:rPr>
        <w:t>KAFANDO,</w:t>
      </w:r>
      <w:r>
        <w:rPr>
          <w:spacing w:val="2"/>
          <w:sz w:val="20"/>
        </w:rPr>
        <w:t> </w:t>
      </w:r>
      <w:r>
        <w:rPr>
          <w:sz w:val="20"/>
        </w:rPr>
        <w:t>La</w:t>
      </w:r>
      <w:r>
        <w:rPr>
          <w:spacing w:val="2"/>
          <w:sz w:val="20"/>
        </w:rPr>
        <w:t> </w:t>
      </w:r>
      <w:r>
        <w:rPr>
          <w:sz w:val="20"/>
        </w:rPr>
        <w:t>coopération</w:t>
      </w:r>
      <w:r>
        <w:rPr>
          <w:spacing w:val="1"/>
          <w:sz w:val="20"/>
        </w:rPr>
        <w:t> </w:t>
      </w:r>
      <w:r>
        <w:rPr>
          <w:sz w:val="20"/>
        </w:rPr>
        <w:t>judiciaire</w:t>
      </w:r>
      <w:r>
        <w:rPr>
          <w:spacing w:val="2"/>
          <w:sz w:val="20"/>
        </w:rPr>
        <w:t> </w:t>
      </w:r>
      <w:r>
        <w:rPr>
          <w:sz w:val="20"/>
        </w:rPr>
        <w:t>en</w:t>
      </w:r>
      <w:r>
        <w:rPr>
          <w:spacing w:val="2"/>
          <w:sz w:val="20"/>
        </w:rPr>
        <w:t> </w:t>
      </w:r>
      <w:r>
        <w:rPr>
          <w:sz w:val="20"/>
        </w:rPr>
        <w:t>matière</w:t>
      </w:r>
      <w:r>
        <w:rPr>
          <w:spacing w:val="1"/>
          <w:sz w:val="20"/>
        </w:rPr>
        <w:t> </w:t>
      </w:r>
      <w:r>
        <w:rPr>
          <w:sz w:val="20"/>
        </w:rPr>
        <w:t>de</w:t>
      </w:r>
      <w:r>
        <w:rPr>
          <w:spacing w:val="2"/>
          <w:sz w:val="20"/>
        </w:rPr>
        <w:t> </w:t>
      </w:r>
      <w:r>
        <w:rPr>
          <w:sz w:val="20"/>
        </w:rPr>
        <w:t>blanchiment</w:t>
      </w:r>
      <w:r>
        <w:rPr>
          <w:spacing w:val="2"/>
          <w:sz w:val="20"/>
        </w:rPr>
        <w:t> </w:t>
      </w:r>
      <w:r>
        <w:rPr>
          <w:sz w:val="20"/>
        </w:rPr>
        <w:t>dans</w:t>
      </w:r>
      <w:r>
        <w:rPr>
          <w:spacing w:val="1"/>
          <w:sz w:val="20"/>
        </w:rPr>
        <w:t> </w:t>
      </w:r>
      <w:r>
        <w:rPr>
          <w:sz w:val="20"/>
        </w:rPr>
        <w:t>l’espace</w:t>
      </w:r>
      <w:r>
        <w:rPr>
          <w:spacing w:val="2"/>
          <w:sz w:val="20"/>
        </w:rPr>
        <w:t> </w:t>
      </w:r>
      <w:r>
        <w:rPr>
          <w:sz w:val="20"/>
        </w:rPr>
        <w:t>UEMOA</w:t>
      </w:r>
      <w:r>
        <w:rPr>
          <w:spacing w:val="2"/>
          <w:sz w:val="20"/>
        </w:rPr>
        <w:t> </w:t>
      </w:r>
      <w:r>
        <w:rPr>
          <w:sz w:val="20"/>
        </w:rPr>
        <w:t>:</w:t>
      </w:r>
      <w:r>
        <w:rPr>
          <w:spacing w:val="1"/>
          <w:sz w:val="20"/>
        </w:rPr>
        <w:t> </w:t>
      </w:r>
      <w:r>
        <w:rPr>
          <w:sz w:val="20"/>
        </w:rPr>
        <w:t>état</w:t>
      </w:r>
      <w:r>
        <w:rPr>
          <w:spacing w:val="2"/>
          <w:sz w:val="20"/>
        </w:rPr>
        <w:t> </w:t>
      </w:r>
      <w:r>
        <w:rPr>
          <w:sz w:val="20"/>
        </w:rPr>
        <w:t>des</w:t>
      </w:r>
      <w:r>
        <w:rPr>
          <w:spacing w:val="2"/>
          <w:sz w:val="20"/>
        </w:rPr>
        <w:t> </w:t>
      </w:r>
      <w:r>
        <w:rPr>
          <w:spacing w:val="-2"/>
          <w:sz w:val="20"/>
        </w:rPr>
        <w:t>lieux</w:t>
      </w:r>
    </w:p>
    <w:p>
      <w:pPr>
        <w:spacing w:before="54"/>
        <w:ind w:left="142" w:right="140" w:firstLine="0"/>
        <w:jc w:val="both"/>
        <w:rPr>
          <w:sz w:val="20"/>
        </w:rPr>
      </w:pPr>
      <w:r>
        <w:rPr>
          <w:sz w:val="20"/>
        </w:rPr>
        <w:t>et perspectives, Thèse en Droit, Bordeaux, 2019, n°</w:t>
      </w:r>
      <w:r>
        <w:rPr>
          <w:sz w:val="20"/>
          <w:vertAlign w:val="superscript"/>
        </w:rPr>
        <w:t>s</w:t>
      </w:r>
      <w:r>
        <w:rPr>
          <w:sz w:val="20"/>
          <w:vertAlign w:val="baseline"/>
        </w:rPr>
        <w:t>43, 44 et 45, pp.38 et s. : « Il serait incongru qu’un Etat dénonce des faits à l’intention d’un autre Etat qui ne connaît pas cette infraction ». Il ne fallait pas, en outre, que</w:t>
      </w:r>
      <w:r>
        <w:rPr>
          <w:spacing w:val="40"/>
          <w:sz w:val="20"/>
          <w:vertAlign w:val="baseline"/>
        </w:rPr>
        <w:t> </w:t>
      </w:r>
      <w:r>
        <w:rPr>
          <w:sz w:val="20"/>
          <w:vertAlign w:val="baseline"/>
        </w:rPr>
        <w:t>les faits dénoncés eussent déjà été jugés dans l’Etat requis.</w:t>
      </w:r>
    </w:p>
    <w:p>
      <w:pPr>
        <w:spacing w:line="295" w:lineRule="auto" w:before="31"/>
        <w:ind w:left="142" w:right="147" w:firstLine="0"/>
        <w:jc w:val="both"/>
        <w:rPr>
          <w:sz w:val="20"/>
        </w:rPr>
      </w:pPr>
      <w:r>
        <w:rPr>
          <w:rFonts w:ascii="MingLiU_HKSCS-ExtB" w:hAnsi="MingLiU_HKSCS-ExtB"/>
          <w:position w:val="7"/>
          <w:sz w:val="13"/>
        </w:rPr>
        <w:t>62</w:t>
      </w:r>
      <w:r>
        <w:rPr>
          <w:sz w:val="20"/>
        </w:rPr>
        <w:t>C’est-à-dire par la voie diplomatique, sauf dans un espace judiciaire communautaire où l’on préconise la transmission directe « d’autorité judiciaire à autorité judiciaire » entre les Etats membres.</w:t>
      </w:r>
    </w:p>
    <w:p>
      <w:pPr>
        <w:spacing w:line="222" w:lineRule="exact" w:before="0"/>
        <w:ind w:left="142" w:right="0" w:firstLine="0"/>
        <w:jc w:val="both"/>
        <w:rPr>
          <w:sz w:val="20"/>
        </w:rPr>
      </w:pPr>
      <w:r>
        <w:rPr>
          <w:rFonts w:ascii="MingLiU_HKSCS-ExtB" w:hAnsi="MingLiU_HKSCS-ExtB"/>
          <w:position w:val="7"/>
          <w:sz w:val="13"/>
        </w:rPr>
        <w:t>63</w:t>
      </w:r>
      <w:r>
        <w:rPr>
          <w:sz w:val="20"/>
        </w:rPr>
        <w:t>Annexe</w:t>
      </w:r>
      <w:r>
        <w:rPr>
          <w:spacing w:val="-2"/>
          <w:sz w:val="20"/>
        </w:rPr>
        <w:t> </w:t>
      </w:r>
      <w:r>
        <w:rPr>
          <w:sz w:val="20"/>
        </w:rPr>
        <w:t>I</w:t>
      </w:r>
      <w:r>
        <w:rPr>
          <w:spacing w:val="-1"/>
          <w:sz w:val="20"/>
        </w:rPr>
        <w:t> </w:t>
      </w:r>
      <w:r>
        <w:rPr>
          <w:sz w:val="20"/>
        </w:rPr>
        <w:t>de</w:t>
      </w:r>
      <w:r>
        <w:rPr>
          <w:spacing w:val="-2"/>
          <w:sz w:val="20"/>
        </w:rPr>
        <w:t> </w:t>
      </w:r>
      <w:r>
        <w:rPr>
          <w:sz w:val="20"/>
        </w:rPr>
        <w:t>l’accord</w:t>
      </w:r>
      <w:r>
        <w:rPr>
          <w:spacing w:val="-1"/>
          <w:sz w:val="20"/>
        </w:rPr>
        <w:t> </w:t>
      </w:r>
      <w:r>
        <w:rPr>
          <w:sz w:val="20"/>
        </w:rPr>
        <w:t>de</w:t>
      </w:r>
      <w:r>
        <w:rPr>
          <w:spacing w:val="-2"/>
          <w:sz w:val="20"/>
        </w:rPr>
        <w:t> </w:t>
      </w:r>
      <w:r>
        <w:rPr>
          <w:sz w:val="20"/>
        </w:rPr>
        <w:t>coopération</w:t>
      </w:r>
      <w:r>
        <w:rPr>
          <w:spacing w:val="-1"/>
          <w:sz w:val="20"/>
        </w:rPr>
        <w:t> </w:t>
      </w:r>
      <w:r>
        <w:rPr>
          <w:sz w:val="20"/>
        </w:rPr>
        <w:t>judiciaire</w:t>
      </w:r>
      <w:r>
        <w:rPr>
          <w:spacing w:val="-1"/>
          <w:sz w:val="20"/>
        </w:rPr>
        <w:t> </w:t>
      </w:r>
      <w:r>
        <w:rPr>
          <w:sz w:val="20"/>
        </w:rPr>
        <w:t>franco-malgache</w:t>
      </w:r>
      <w:r>
        <w:rPr>
          <w:spacing w:val="-2"/>
          <w:sz w:val="20"/>
        </w:rPr>
        <w:t> </w:t>
      </w:r>
      <w:r>
        <w:rPr>
          <w:sz w:val="20"/>
        </w:rPr>
        <w:t>du</w:t>
      </w:r>
      <w:r>
        <w:rPr>
          <w:spacing w:val="-1"/>
          <w:sz w:val="20"/>
        </w:rPr>
        <w:t> </w:t>
      </w:r>
      <w:r>
        <w:rPr>
          <w:sz w:val="20"/>
        </w:rPr>
        <w:t>04</w:t>
      </w:r>
      <w:r>
        <w:rPr>
          <w:spacing w:val="-2"/>
          <w:sz w:val="20"/>
        </w:rPr>
        <w:t> </w:t>
      </w:r>
      <w:r>
        <w:rPr>
          <w:sz w:val="20"/>
        </w:rPr>
        <w:t>Juin</w:t>
      </w:r>
      <w:r>
        <w:rPr>
          <w:spacing w:val="-1"/>
          <w:sz w:val="20"/>
        </w:rPr>
        <w:t> </w:t>
      </w:r>
      <w:r>
        <w:rPr>
          <w:sz w:val="20"/>
        </w:rPr>
        <w:t>1973</w:t>
      </w:r>
      <w:r>
        <w:rPr>
          <w:spacing w:val="-2"/>
          <w:sz w:val="20"/>
        </w:rPr>
        <w:t> </w:t>
      </w:r>
      <w:r>
        <w:rPr>
          <w:sz w:val="20"/>
        </w:rPr>
        <w:t>concernant</w:t>
      </w:r>
      <w:r>
        <w:rPr>
          <w:spacing w:val="-1"/>
          <w:sz w:val="20"/>
        </w:rPr>
        <w:t> </w:t>
      </w:r>
      <w:r>
        <w:rPr>
          <w:sz w:val="20"/>
        </w:rPr>
        <w:t>l’entraide</w:t>
      </w:r>
      <w:r>
        <w:rPr>
          <w:spacing w:val="-1"/>
          <w:sz w:val="20"/>
        </w:rPr>
        <w:t> </w:t>
      </w:r>
      <w:r>
        <w:rPr>
          <w:spacing w:val="-2"/>
          <w:sz w:val="20"/>
        </w:rPr>
        <w:t>judiciaire,</w:t>
      </w:r>
    </w:p>
    <w:p>
      <w:pPr>
        <w:spacing w:before="53"/>
        <w:ind w:left="142" w:right="143" w:firstLine="0"/>
        <w:jc w:val="both"/>
        <w:rPr>
          <w:sz w:val="20"/>
        </w:rPr>
      </w:pPr>
      <w:r>
        <w:rPr>
          <w:sz w:val="20"/>
        </w:rPr>
        <w:t>article 21 : « Toute dénonciation adressée par l’un des deux Etats en vue de poursuites devant les tribunaux de l’autre fait l’objet de communications entre Ministères de la justice.</w:t>
      </w:r>
    </w:p>
    <w:p>
      <w:pPr>
        <w:spacing w:before="0"/>
        <w:ind w:left="142" w:right="145" w:firstLine="0"/>
        <w:jc w:val="both"/>
        <w:rPr>
          <w:sz w:val="20"/>
        </w:rPr>
      </w:pPr>
      <w:r>
        <w:rPr>
          <w:sz w:val="20"/>
        </w:rPr>
        <w:t>L’Etat requis fait connaître la suite donnée à cette dénonciation et transmet, s’il y a lieu, copie de la décision intervenue ».</w:t>
      </w:r>
    </w:p>
    <w:p>
      <w:pPr>
        <w:spacing w:after="0"/>
        <w:jc w:val="both"/>
        <w:rPr>
          <w:sz w:val="20"/>
        </w:rPr>
        <w:sectPr>
          <w:pgSz w:w="11910" w:h="16840"/>
          <w:pgMar w:header="0" w:footer="1005" w:top="1320" w:bottom="1200" w:left="1275" w:right="1133"/>
        </w:sectPr>
      </w:pPr>
    </w:p>
    <w:p>
      <w:pPr>
        <w:pStyle w:val="ListParagraph"/>
        <w:numPr>
          <w:ilvl w:val="0"/>
          <w:numId w:val="5"/>
        </w:numPr>
        <w:tabs>
          <w:tab w:pos="861" w:val="left" w:leader="none"/>
        </w:tabs>
        <w:spacing w:line="240" w:lineRule="auto" w:before="79" w:after="0"/>
        <w:ind w:left="861" w:right="0" w:hanging="359"/>
        <w:jc w:val="left"/>
        <w:rPr>
          <w:sz w:val="24"/>
        </w:rPr>
      </w:pPr>
      <w:r>
        <w:rPr>
          <w:sz w:val="24"/>
        </w:rPr>
        <w:t>la</w:t>
      </w:r>
      <w:r>
        <w:rPr>
          <w:spacing w:val="-6"/>
          <w:sz w:val="24"/>
        </w:rPr>
        <w:t> </w:t>
      </w:r>
      <w:r>
        <w:rPr>
          <w:sz w:val="24"/>
        </w:rPr>
        <w:t>création</w:t>
      </w:r>
      <w:r>
        <w:rPr>
          <w:spacing w:val="-4"/>
          <w:sz w:val="24"/>
        </w:rPr>
        <w:t> </w:t>
      </w:r>
      <w:r>
        <w:rPr>
          <w:sz w:val="24"/>
        </w:rPr>
        <w:t>d’un</w:t>
      </w:r>
      <w:r>
        <w:rPr>
          <w:spacing w:val="-4"/>
          <w:sz w:val="24"/>
        </w:rPr>
        <w:t> </w:t>
      </w:r>
      <w:r>
        <w:rPr>
          <w:sz w:val="24"/>
        </w:rPr>
        <w:t>mécanisme</w:t>
      </w:r>
      <w:r>
        <w:rPr>
          <w:spacing w:val="-3"/>
          <w:sz w:val="24"/>
        </w:rPr>
        <w:t> </w:t>
      </w:r>
      <w:r>
        <w:rPr>
          <w:sz w:val="24"/>
        </w:rPr>
        <w:t>international</w:t>
      </w:r>
      <w:r>
        <w:rPr>
          <w:spacing w:val="-4"/>
          <w:sz w:val="24"/>
        </w:rPr>
        <w:t> </w:t>
      </w:r>
      <w:r>
        <w:rPr>
          <w:sz w:val="24"/>
        </w:rPr>
        <w:t>de</w:t>
      </w:r>
      <w:r>
        <w:rPr>
          <w:spacing w:val="-4"/>
          <w:sz w:val="24"/>
        </w:rPr>
        <w:t> </w:t>
      </w:r>
      <w:r>
        <w:rPr>
          <w:sz w:val="24"/>
        </w:rPr>
        <w:t>coordination</w:t>
      </w:r>
      <w:r>
        <w:rPr>
          <w:spacing w:val="-4"/>
          <w:sz w:val="24"/>
        </w:rPr>
        <w:t> </w:t>
      </w:r>
      <w:r>
        <w:rPr>
          <w:sz w:val="24"/>
        </w:rPr>
        <w:t>judiciaire</w:t>
      </w:r>
      <w:r>
        <w:rPr>
          <w:spacing w:val="-3"/>
          <w:sz w:val="24"/>
        </w:rPr>
        <w:t> </w:t>
      </w:r>
      <w:r>
        <w:rPr>
          <w:spacing w:val="-10"/>
          <w:sz w:val="24"/>
        </w:rPr>
        <w:t>;</w:t>
      </w:r>
    </w:p>
    <w:p>
      <w:pPr>
        <w:pStyle w:val="ListParagraph"/>
        <w:numPr>
          <w:ilvl w:val="0"/>
          <w:numId w:val="5"/>
        </w:numPr>
        <w:tabs>
          <w:tab w:pos="861" w:val="left" w:leader="none"/>
        </w:tabs>
        <w:spacing w:line="240" w:lineRule="auto" w:before="120" w:after="0"/>
        <w:ind w:left="861" w:right="0" w:hanging="359"/>
        <w:jc w:val="left"/>
        <w:rPr>
          <w:sz w:val="24"/>
        </w:rPr>
      </w:pPr>
      <w:r>
        <w:rPr>
          <w:sz w:val="24"/>
        </w:rPr>
        <w:t>la</w:t>
      </w:r>
      <w:r>
        <w:rPr>
          <w:spacing w:val="-5"/>
          <w:sz w:val="24"/>
        </w:rPr>
        <w:t> </w:t>
      </w:r>
      <w:r>
        <w:rPr>
          <w:sz w:val="24"/>
        </w:rPr>
        <w:t>reconnaissance</w:t>
      </w:r>
      <w:r>
        <w:rPr>
          <w:spacing w:val="-5"/>
          <w:sz w:val="24"/>
        </w:rPr>
        <w:t> </w:t>
      </w:r>
      <w:r>
        <w:rPr>
          <w:sz w:val="24"/>
        </w:rPr>
        <w:t>conventionnelle</w:t>
      </w:r>
      <w:r>
        <w:rPr>
          <w:spacing w:val="-5"/>
          <w:sz w:val="24"/>
        </w:rPr>
        <w:t> </w:t>
      </w:r>
      <w:r>
        <w:rPr>
          <w:sz w:val="24"/>
        </w:rPr>
        <w:t>du</w:t>
      </w:r>
      <w:r>
        <w:rPr>
          <w:spacing w:val="-4"/>
          <w:sz w:val="24"/>
        </w:rPr>
        <w:t> </w:t>
      </w:r>
      <w:r>
        <w:rPr>
          <w:sz w:val="24"/>
        </w:rPr>
        <w:t>droit</w:t>
      </w:r>
      <w:r>
        <w:rPr>
          <w:spacing w:val="-5"/>
          <w:sz w:val="24"/>
        </w:rPr>
        <w:t> </w:t>
      </w:r>
      <w:r>
        <w:rPr>
          <w:sz w:val="24"/>
        </w:rPr>
        <w:t>de</w:t>
      </w:r>
      <w:r>
        <w:rPr>
          <w:spacing w:val="-5"/>
          <w:sz w:val="24"/>
        </w:rPr>
        <w:t> </w:t>
      </w:r>
      <w:r>
        <w:rPr>
          <w:sz w:val="24"/>
        </w:rPr>
        <w:t>poursuite</w:t>
      </w:r>
      <w:r>
        <w:rPr>
          <w:spacing w:val="-5"/>
          <w:sz w:val="24"/>
        </w:rPr>
        <w:t> </w:t>
      </w:r>
      <w:r>
        <w:rPr>
          <w:sz w:val="24"/>
        </w:rPr>
        <w:t>inversé</w:t>
      </w:r>
      <w:r>
        <w:rPr>
          <w:spacing w:val="-4"/>
          <w:sz w:val="24"/>
        </w:rPr>
        <w:t> </w:t>
      </w:r>
      <w:r>
        <w:rPr>
          <w:spacing w:val="-10"/>
          <w:sz w:val="24"/>
        </w:rPr>
        <w:t>;</w:t>
      </w:r>
    </w:p>
    <w:p>
      <w:pPr>
        <w:pStyle w:val="ListParagraph"/>
        <w:numPr>
          <w:ilvl w:val="0"/>
          <w:numId w:val="5"/>
        </w:numPr>
        <w:tabs>
          <w:tab w:pos="861" w:val="left" w:leader="none"/>
        </w:tabs>
        <w:spacing w:line="240" w:lineRule="auto" w:before="120" w:after="0"/>
        <w:ind w:left="861" w:right="0" w:hanging="359"/>
        <w:jc w:val="left"/>
        <w:rPr>
          <w:sz w:val="24"/>
        </w:rPr>
      </w:pPr>
      <w:r>
        <w:rPr>
          <w:sz w:val="24"/>
        </w:rPr>
        <w:t>le</w:t>
      </w:r>
      <w:r>
        <w:rPr>
          <w:spacing w:val="-4"/>
          <w:sz w:val="24"/>
        </w:rPr>
        <w:t> </w:t>
      </w:r>
      <w:r>
        <w:rPr>
          <w:sz w:val="24"/>
        </w:rPr>
        <w:t>renforcement</w:t>
      </w:r>
      <w:r>
        <w:rPr>
          <w:spacing w:val="-3"/>
          <w:sz w:val="24"/>
        </w:rPr>
        <w:t> </w:t>
      </w:r>
      <w:r>
        <w:rPr>
          <w:sz w:val="24"/>
        </w:rPr>
        <w:t>du</w:t>
      </w:r>
      <w:r>
        <w:rPr>
          <w:spacing w:val="-4"/>
          <w:sz w:val="24"/>
        </w:rPr>
        <w:t> </w:t>
      </w:r>
      <w:r>
        <w:rPr>
          <w:sz w:val="24"/>
        </w:rPr>
        <w:t>rôle</w:t>
      </w:r>
      <w:r>
        <w:rPr>
          <w:spacing w:val="-3"/>
          <w:sz w:val="24"/>
        </w:rPr>
        <w:t> </w:t>
      </w:r>
      <w:r>
        <w:rPr>
          <w:sz w:val="24"/>
        </w:rPr>
        <w:t>des</w:t>
      </w:r>
      <w:r>
        <w:rPr>
          <w:spacing w:val="-4"/>
          <w:sz w:val="24"/>
        </w:rPr>
        <w:t> </w:t>
      </w:r>
      <w:r>
        <w:rPr>
          <w:sz w:val="24"/>
        </w:rPr>
        <w:t>organisations</w:t>
      </w:r>
      <w:r>
        <w:rPr>
          <w:spacing w:val="-3"/>
          <w:sz w:val="24"/>
        </w:rPr>
        <w:t> </w:t>
      </w:r>
      <w:r>
        <w:rPr>
          <w:sz w:val="24"/>
        </w:rPr>
        <w:t>internationales</w:t>
      </w:r>
      <w:r>
        <w:rPr>
          <w:spacing w:val="-4"/>
          <w:sz w:val="24"/>
        </w:rPr>
        <w:t> </w:t>
      </w:r>
      <w:r>
        <w:rPr>
          <w:sz w:val="24"/>
        </w:rPr>
        <w:t>comme</w:t>
      </w:r>
      <w:r>
        <w:rPr>
          <w:spacing w:val="-3"/>
          <w:sz w:val="24"/>
        </w:rPr>
        <w:t> </w:t>
      </w:r>
      <w:r>
        <w:rPr>
          <w:sz w:val="24"/>
        </w:rPr>
        <w:t>l’OMI</w:t>
      </w:r>
      <w:r>
        <w:rPr>
          <w:spacing w:val="-4"/>
          <w:sz w:val="24"/>
        </w:rPr>
        <w:t> </w:t>
      </w:r>
      <w:r>
        <w:rPr>
          <w:sz w:val="24"/>
        </w:rPr>
        <w:t>et</w:t>
      </w:r>
      <w:r>
        <w:rPr>
          <w:spacing w:val="-3"/>
          <w:sz w:val="24"/>
        </w:rPr>
        <w:t> </w:t>
      </w:r>
      <w:r>
        <w:rPr>
          <w:spacing w:val="-2"/>
          <w:sz w:val="24"/>
        </w:rPr>
        <w:t>l’ONU.</w:t>
      </w:r>
    </w:p>
    <w:p>
      <w:pPr>
        <w:pStyle w:val="BodyText"/>
        <w:spacing w:before="4"/>
      </w:pPr>
    </w:p>
    <w:p>
      <w:pPr>
        <w:pStyle w:val="BodyText"/>
        <w:ind w:left="142" w:right="146"/>
        <w:jc w:val="both"/>
      </w:pPr>
      <w:r>
        <w:rPr/>
        <w:t>Une telle évolution permettrait de passer d’un système fragmenté à un système cohérent et efficace de répression.</w:t>
      </w:r>
    </w:p>
    <w:p>
      <w:pPr>
        <w:pStyle w:val="BodyText"/>
        <w:spacing w:before="4"/>
      </w:pPr>
    </w:p>
    <w:p>
      <w:pPr>
        <w:pStyle w:val="BodyText"/>
        <w:ind w:left="142" w:right="147"/>
        <w:jc w:val="both"/>
      </w:pPr>
      <w:r>
        <w:rPr/>
        <w:t>En somme, la lutte contre la piraterie maritime révèle les limites actuelles du droit international pénal en matière de criminalité transnationale. Elle met en évidence la nécessité d’une</w:t>
      </w:r>
      <w:r>
        <w:rPr>
          <w:spacing w:val="40"/>
        </w:rPr>
        <w:t> </w:t>
      </w:r>
      <w:r>
        <w:rPr/>
        <w:t>meilleure articulation entre droit international, droits nationaux et coopération judiciaire, afin</w:t>
      </w:r>
      <w:r>
        <w:rPr>
          <w:spacing w:val="40"/>
        </w:rPr>
        <w:t> </w:t>
      </w:r>
      <w:r>
        <w:rPr/>
        <w:t>de garantir une répression efficace et uniforme de ce phénomène.</w:t>
      </w:r>
    </w:p>
    <w:p>
      <w:pPr>
        <w:pStyle w:val="BodyText"/>
        <w:spacing w:after="0"/>
        <w:jc w:val="both"/>
        <w:sectPr>
          <w:pgSz w:w="11910" w:h="16840"/>
          <w:pgMar w:header="0" w:footer="1005" w:top="1320" w:bottom="1200" w:left="1275" w:right="1133"/>
        </w:sectPr>
      </w:pPr>
    </w:p>
    <w:p>
      <w:pPr>
        <w:pStyle w:val="Heading1"/>
      </w:pPr>
      <w:r>
        <w:rPr>
          <w:spacing w:val="-2"/>
        </w:rPr>
        <w:t>CONCLUSION</w:t>
      </w:r>
    </w:p>
    <w:p>
      <w:pPr>
        <w:pStyle w:val="BodyText"/>
        <w:spacing w:before="96"/>
        <w:rPr>
          <w:b/>
          <w:sz w:val="32"/>
        </w:rPr>
      </w:pPr>
    </w:p>
    <w:p>
      <w:pPr>
        <w:pStyle w:val="BodyText"/>
        <w:ind w:left="142" w:right="146"/>
        <w:jc w:val="both"/>
      </w:pPr>
      <w:r>
        <w:rPr/>
        <w:t>La piraterie maritime, bien qu’elle soit principalement commise en haute mer, espace international ne relevant de la souveraineté d’aucun État, demeure en pratique appréhendée et jugée par les juridictions nationales. Cette situation s’explique par l’application du principe de la compétence universelle, qui autorise tout État à poursuivre et à juger les auteurs d’actes de piraterie, indépendamment du lieu de commission de l’infraction ou de la nationalité des </w:t>
      </w:r>
      <w:r>
        <w:rPr>
          <w:spacing w:val="-2"/>
        </w:rPr>
        <w:t>auteurs.</w:t>
      </w:r>
    </w:p>
    <w:p>
      <w:pPr>
        <w:pStyle w:val="BodyText"/>
        <w:spacing w:before="4"/>
      </w:pPr>
    </w:p>
    <w:p>
      <w:pPr>
        <w:pStyle w:val="BodyText"/>
        <w:ind w:left="142" w:right="146"/>
        <w:jc w:val="both"/>
      </w:pPr>
      <w:r>
        <w:rPr/>
        <w:t>Toutefois, l’effectivité de ce principe est étroitement liée à l’existence, dans l’ordre juridique interne des États, d’une incrimination claire et précise de la piraterie maritime. En effet, sans base légale nationale conforme au principe de légalité d’infraction et de peines, aucun État ne peut valablement exercer sa compétence universelle, même si le droit international lui en reconnaît la faculté. Cette exigence met en évidence la nécessité d’une harmonisation des législations internes afin d’assurer une répression uniforme et efficace de la piraterie maritime.</w:t>
      </w:r>
    </w:p>
    <w:p>
      <w:pPr>
        <w:pStyle w:val="BodyText"/>
        <w:spacing w:before="4"/>
      </w:pPr>
    </w:p>
    <w:p>
      <w:pPr>
        <w:pStyle w:val="BodyText"/>
        <w:ind w:left="142" w:right="146"/>
        <w:jc w:val="both"/>
      </w:pPr>
      <w:r>
        <w:rPr/>
        <w:t>Par ailleurs, la lutte contre ce phénomène transnational nécessite une coopération judiciaire renforcée entre les États. En raison de la mobilité des auteurs d’actes de piraterie et de la nature extraterritoriale des faits, la poursuite peut dépasser les limites territoriales de l’État initiateur. Dans ce contexte, la mise en œuvre de mécanismes de coopération, notamment la théorie du « droit de poursuite inversé », apparaît comme un instrument juridique essentiel pour garantir l’efficacité des opérations de répression.</w:t>
      </w:r>
    </w:p>
    <w:p>
      <w:pPr>
        <w:pStyle w:val="BodyText"/>
        <w:spacing w:before="4"/>
      </w:pPr>
    </w:p>
    <w:p>
      <w:pPr>
        <w:pStyle w:val="BodyText"/>
        <w:ind w:left="142" w:right="147"/>
        <w:jc w:val="both"/>
      </w:pPr>
      <w:r>
        <w:rPr/>
        <w:t>Dès lors, le succès de la lutte contre la piraterie maritime dépend largement de la consécration de cette théorie dans les instruments juridiques bilatéraux et multilatéraux, ainsi que de la consolidation des mécanismes de coopération judiciaire internationale.</w:t>
      </w:r>
    </w:p>
    <w:p>
      <w:pPr>
        <w:pStyle w:val="BodyText"/>
        <w:spacing w:before="4"/>
      </w:pPr>
    </w:p>
    <w:p>
      <w:pPr>
        <w:pStyle w:val="Heading2"/>
      </w:pPr>
      <w:r>
        <w:rPr>
          <w:color w:val="145F82"/>
          <w:spacing w:val="-2"/>
        </w:rPr>
        <w:t>Recommandations</w:t>
      </w:r>
    </w:p>
    <w:p>
      <w:pPr>
        <w:pStyle w:val="BodyText"/>
        <w:spacing w:before="143"/>
        <w:ind w:left="142" w:right="146"/>
        <w:jc w:val="both"/>
      </w:pPr>
      <w:r>
        <w:rPr/>
        <w:t>Il est recommandé, en premier lieu, que les États procèdent à une harmonisation de leurs législations internes relatives à la piraterie maritime afin de garantir une application cohérente et effective du principe de compétence universelle. Une telle démarche permettrait de réduire les divergences juridiques existantes et de renforcer la sécurité juridique dans la répression de cette infraction.</w:t>
      </w:r>
    </w:p>
    <w:p>
      <w:pPr>
        <w:pStyle w:val="BodyText"/>
        <w:spacing w:before="120"/>
        <w:ind w:left="142" w:right="147"/>
        <w:jc w:val="both"/>
      </w:pPr>
      <w:r>
        <w:rPr/>
        <w:t>En deuxième lieu, il apparaît nécessaire de consolider le cadre juridique international par l’adoption d’un instrument conventionnel spécifique consacré à la piraterie maritime. Cet instrument devrait moderniser la définition de la piraterie, consacrer explicitement le droit de poursuite inversé et organiser de manière plus précise les mécanismes de coopération judiciaire </w:t>
      </w:r>
      <w:r>
        <w:rPr>
          <w:spacing w:val="-2"/>
        </w:rPr>
        <w:t>internationale.</w:t>
      </w:r>
    </w:p>
    <w:p>
      <w:pPr>
        <w:pStyle w:val="BodyText"/>
        <w:spacing w:before="120"/>
        <w:ind w:left="142" w:right="147"/>
        <w:jc w:val="both"/>
      </w:pPr>
      <w:r>
        <w:rPr/>
        <w:t>En troisième lieu, les États devraient renforcer leurs mécanismes de coordination opérationnelle, particulièrement dans les zones maritimes exposées à des risques élevés. Cela implique un partage rapide des informations, le développement de systèmes régionaux de surveillance et une coopération accrue entre autorités navales et judiciaires.</w:t>
      </w:r>
    </w:p>
    <w:p>
      <w:pPr>
        <w:pStyle w:val="BodyText"/>
        <w:spacing w:before="120"/>
        <w:ind w:left="142" w:right="145"/>
        <w:jc w:val="both"/>
      </w:pPr>
      <w:r>
        <w:rPr/>
        <w:t>Par ailleurs, les organisations internationales compétentes, notamment l’OMI, l’ONU et Interpol, devraient intensifier leur soutien technique, leur rôle de coordination et leurs actions de centralisation des données.</w:t>
      </w:r>
    </w:p>
    <w:p>
      <w:pPr>
        <w:pStyle w:val="BodyText"/>
        <w:spacing w:before="120"/>
        <w:ind w:left="142" w:right="147"/>
        <w:jc w:val="both"/>
      </w:pPr>
      <w:r>
        <w:rPr/>
        <w:t>Enfin, la formation spécialisée des magistrats, enquêteurs et forces de sécurité maritime doit être renforcée afin d’améliorer l’efficacité des enquêtes et des poursuites.</w:t>
      </w:r>
    </w:p>
    <w:p>
      <w:pPr>
        <w:pStyle w:val="BodyText"/>
        <w:spacing w:after="0"/>
        <w:jc w:val="both"/>
        <w:sectPr>
          <w:pgSz w:w="11910" w:h="16840"/>
          <w:pgMar w:header="0" w:footer="1005" w:top="1340" w:bottom="1200" w:left="1275" w:right="1133"/>
        </w:sectPr>
      </w:pPr>
    </w:p>
    <w:p>
      <w:pPr>
        <w:pStyle w:val="BodyText"/>
        <w:spacing w:before="4"/>
        <w:rPr>
          <w:sz w:val="17"/>
        </w:rPr>
      </w:pPr>
    </w:p>
    <w:p>
      <w:pPr>
        <w:pStyle w:val="BodyText"/>
        <w:spacing w:after="0"/>
        <w:rPr>
          <w:sz w:val="17"/>
        </w:rPr>
        <w:sectPr>
          <w:pgSz w:w="11910" w:h="16840"/>
          <w:pgMar w:header="0" w:footer="1005" w:top="1920" w:bottom="1200" w:left="1275" w:right="1133"/>
        </w:sectPr>
      </w:pPr>
    </w:p>
    <w:p>
      <w:pPr>
        <w:pStyle w:val="Heading1"/>
      </w:pPr>
      <w:r>
        <w:rPr>
          <w:spacing w:val="-2"/>
        </w:rPr>
        <w:t>BIBLIOGRAPHIE</w:t>
      </w:r>
    </w:p>
    <w:p>
      <w:pPr>
        <w:pStyle w:val="BodyText"/>
        <w:spacing w:before="96"/>
        <w:rPr>
          <w:b/>
          <w:sz w:val="32"/>
        </w:rPr>
      </w:pPr>
    </w:p>
    <w:p>
      <w:pPr>
        <w:pStyle w:val="Heading3"/>
        <w:numPr>
          <w:ilvl w:val="0"/>
          <w:numId w:val="6"/>
        </w:numPr>
        <w:tabs>
          <w:tab w:pos="355" w:val="left" w:leader="none"/>
        </w:tabs>
        <w:spacing w:line="240" w:lineRule="auto" w:before="0" w:after="0"/>
        <w:ind w:left="355" w:right="0" w:hanging="213"/>
        <w:jc w:val="left"/>
      </w:pPr>
      <w:r>
        <w:rPr>
          <w:color w:val="145F82"/>
        </w:rPr>
        <w:t>THÈSES</w:t>
      </w:r>
      <w:r>
        <w:rPr>
          <w:color w:val="145F82"/>
          <w:spacing w:val="-1"/>
        </w:rPr>
        <w:t> </w:t>
      </w:r>
      <w:r>
        <w:rPr>
          <w:color w:val="145F82"/>
        </w:rPr>
        <w:t>ET</w:t>
      </w:r>
      <w:r>
        <w:rPr>
          <w:color w:val="145F82"/>
          <w:spacing w:val="-1"/>
        </w:rPr>
        <w:t> </w:t>
      </w:r>
      <w:r>
        <w:rPr>
          <w:color w:val="145F82"/>
          <w:spacing w:val="-2"/>
        </w:rPr>
        <w:t>MÉMOIRES</w:t>
      </w:r>
    </w:p>
    <w:p>
      <w:pPr>
        <w:pStyle w:val="ListParagraph"/>
        <w:numPr>
          <w:ilvl w:val="1"/>
          <w:numId w:val="6"/>
        </w:numPr>
        <w:tabs>
          <w:tab w:pos="856" w:val="left" w:leader="none"/>
        </w:tabs>
        <w:spacing w:line="240" w:lineRule="auto" w:before="0" w:after="0"/>
        <w:ind w:left="856" w:right="147" w:hanging="357"/>
        <w:jc w:val="left"/>
        <w:rPr>
          <w:sz w:val="24"/>
        </w:rPr>
      </w:pPr>
      <w:r>
        <w:rPr>
          <w:sz w:val="24"/>
        </w:rPr>
        <w:t>Adama</w:t>
      </w:r>
      <w:r>
        <w:rPr>
          <w:spacing w:val="-4"/>
          <w:sz w:val="24"/>
        </w:rPr>
        <w:t> </w:t>
      </w:r>
      <w:r>
        <w:rPr>
          <w:sz w:val="24"/>
        </w:rPr>
        <w:t>KAFANDO,</w:t>
      </w:r>
      <w:r>
        <w:rPr>
          <w:spacing w:val="-4"/>
          <w:sz w:val="24"/>
        </w:rPr>
        <w:t> </w:t>
      </w:r>
      <w:r>
        <w:rPr>
          <w:i/>
          <w:sz w:val="24"/>
        </w:rPr>
        <w:t>La</w:t>
      </w:r>
      <w:r>
        <w:rPr>
          <w:i/>
          <w:spacing w:val="-4"/>
          <w:sz w:val="24"/>
        </w:rPr>
        <w:t> </w:t>
      </w:r>
      <w:r>
        <w:rPr>
          <w:i/>
          <w:sz w:val="24"/>
        </w:rPr>
        <w:t>coopération</w:t>
      </w:r>
      <w:r>
        <w:rPr>
          <w:i/>
          <w:spacing w:val="-4"/>
          <w:sz w:val="24"/>
        </w:rPr>
        <w:t> </w:t>
      </w:r>
      <w:r>
        <w:rPr>
          <w:i/>
          <w:sz w:val="24"/>
        </w:rPr>
        <w:t>judiciaire</w:t>
      </w:r>
      <w:r>
        <w:rPr>
          <w:i/>
          <w:spacing w:val="-4"/>
          <w:sz w:val="24"/>
        </w:rPr>
        <w:t> </w:t>
      </w:r>
      <w:r>
        <w:rPr>
          <w:i/>
          <w:sz w:val="24"/>
        </w:rPr>
        <w:t>en</w:t>
      </w:r>
      <w:r>
        <w:rPr>
          <w:i/>
          <w:spacing w:val="-4"/>
          <w:sz w:val="24"/>
        </w:rPr>
        <w:t> </w:t>
      </w:r>
      <w:r>
        <w:rPr>
          <w:i/>
          <w:sz w:val="24"/>
        </w:rPr>
        <w:t>matière</w:t>
      </w:r>
      <w:r>
        <w:rPr>
          <w:i/>
          <w:spacing w:val="-4"/>
          <w:sz w:val="24"/>
        </w:rPr>
        <w:t> </w:t>
      </w:r>
      <w:r>
        <w:rPr>
          <w:i/>
          <w:sz w:val="24"/>
        </w:rPr>
        <w:t>de</w:t>
      </w:r>
      <w:r>
        <w:rPr>
          <w:i/>
          <w:spacing w:val="-4"/>
          <w:sz w:val="24"/>
        </w:rPr>
        <w:t> </w:t>
      </w:r>
      <w:r>
        <w:rPr>
          <w:i/>
          <w:sz w:val="24"/>
        </w:rPr>
        <w:t>blanchiment</w:t>
      </w:r>
      <w:r>
        <w:rPr>
          <w:i/>
          <w:spacing w:val="-4"/>
          <w:sz w:val="24"/>
        </w:rPr>
        <w:t> </w:t>
      </w:r>
      <w:r>
        <w:rPr>
          <w:i/>
          <w:sz w:val="24"/>
        </w:rPr>
        <w:t>dans</w:t>
      </w:r>
      <w:r>
        <w:rPr>
          <w:i/>
          <w:spacing w:val="-4"/>
          <w:sz w:val="24"/>
        </w:rPr>
        <w:t> </w:t>
      </w:r>
      <w:r>
        <w:rPr>
          <w:i/>
          <w:sz w:val="24"/>
        </w:rPr>
        <w:t>l’espace UEMOA : état des lieux et perspectives</w:t>
      </w:r>
      <w:r>
        <w:rPr>
          <w:sz w:val="24"/>
        </w:rPr>
        <w:t>, Thèse de doctorat en droit, Université de Bordeaux, 2019, 398 p.</w:t>
      </w:r>
    </w:p>
    <w:p>
      <w:pPr>
        <w:pStyle w:val="ListParagraph"/>
        <w:numPr>
          <w:ilvl w:val="1"/>
          <w:numId w:val="6"/>
        </w:numPr>
        <w:tabs>
          <w:tab w:pos="861" w:val="left" w:leader="none"/>
        </w:tabs>
        <w:spacing w:line="240" w:lineRule="auto" w:before="0" w:after="0"/>
        <w:ind w:left="861" w:right="616" w:hanging="360"/>
        <w:jc w:val="left"/>
        <w:rPr>
          <w:sz w:val="24"/>
        </w:rPr>
      </w:pPr>
      <w:r>
        <w:rPr>
          <w:sz w:val="24"/>
        </w:rPr>
        <w:t>Bertrand</w:t>
      </w:r>
      <w:r>
        <w:rPr>
          <w:spacing w:val="-4"/>
          <w:sz w:val="24"/>
        </w:rPr>
        <w:t> </w:t>
      </w:r>
      <w:r>
        <w:rPr>
          <w:sz w:val="24"/>
        </w:rPr>
        <w:t>BAUCHOT,</w:t>
      </w:r>
      <w:r>
        <w:rPr>
          <w:spacing w:val="-3"/>
          <w:sz w:val="24"/>
        </w:rPr>
        <w:t> </w:t>
      </w:r>
      <w:r>
        <w:rPr>
          <w:i/>
          <w:sz w:val="24"/>
        </w:rPr>
        <w:t>Sanctions</w:t>
      </w:r>
      <w:r>
        <w:rPr>
          <w:i/>
          <w:spacing w:val="-4"/>
          <w:sz w:val="24"/>
        </w:rPr>
        <w:t> </w:t>
      </w:r>
      <w:r>
        <w:rPr>
          <w:i/>
          <w:sz w:val="24"/>
        </w:rPr>
        <w:t>pénales</w:t>
      </w:r>
      <w:r>
        <w:rPr>
          <w:i/>
          <w:spacing w:val="-4"/>
          <w:sz w:val="24"/>
        </w:rPr>
        <w:t> </w:t>
      </w:r>
      <w:r>
        <w:rPr>
          <w:i/>
          <w:sz w:val="24"/>
        </w:rPr>
        <w:t>nationales</w:t>
      </w:r>
      <w:r>
        <w:rPr>
          <w:i/>
          <w:spacing w:val="-4"/>
          <w:sz w:val="24"/>
        </w:rPr>
        <w:t> </w:t>
      </w:r>
      <w:r>
        <w:rPr>
          <w:i/>
          <w:sz w:val="24"/>
        </w:rPr>
        <w:t>et</w:t>
      </w:r>
      <w:r>
        <w:rPr>
          <w:i/>
          <w:spacing w:val="-4"/>
          <w:sz w:val="24"/>
        </w:rPr>
        <w:t> </w:t>
      </w:r>
      <w:r>
        <w:rPr>
          <w:i/>
          <w:sz w:val="24"/>
        </w:rPr>
        <w:t>droit</w:t>
      </w:r>
      <w:r>
        <w:rPr>
          <w:i/>
          <w:spacing w:val="-4"/>
          <w:sz w:val="24"/>
        </w:rPr>
        <w:t> </w:t>
      </w:r>
      <w:r>
        <w:rPr>
          <w:i/>
          <w:sz w:val="24"/>
        </w:rPr>
        <w:t>international</w:t>
      </w:r>
      <w:r>
        <w:rPr>
          <w:sz w:val="24"/>
        </w:rPr>
        <w:t>,</w:t>
      </w:r>
      <w:r>
        <w:rPr>
          <w:spacing w:val="-4"/>
          <w:sz w:val="24"/>
        </w:rPr>
        <w:t> </w:t>
      </w:r>
      <w:r>
        <w:rPr>
          <w:sz w:val="24"/>
        </w:rPr>
        <w:t>Thèse</w:t>
      </w:r>
      <w:r>
        <w:rPr>
          <w:spacing w:val="-4"/>
          <w:sz w:val="24"/>
        </w:rPr>
        <w:t> </w:t>
      </w:r>
      <w:r>
        <w:rPr>
          <w:sz w:val="24"/>
        </w:rPr>
        <w:t>de doctorat en droit, Université de Lille 2, 2007, 622 p.</w:t>
      </w:r>
    </w:p>
    <w:p>
      <w:pPr>
        <w:pStyle w:val="ListParagraph"/>
        <w:numPr>
          <w:ilvl w:val="1"/>
          <w:numId w:val="6"/>
        </w:numPr>
        <w:tabs>
          <w:tab w:pos="861" w:val="left" w:leader="none"/>
        </w:tabs>
        <w:spacing w:line="240" w:lineRule="auto" w:before="0" w:after="0"/>
        <w:ind w:left="861" w:right="270" w:hanging="360"/>
        <w:jc w:val="left"/>
        <w:rPr>
          <w:sz w:val="24"/>
        </w:rPr>
      </w:pPr>
      <w:r>
        <w:rPr>
          <w:sz w:val="24"/>
        </w:rPr>
        <w:t>Kodjovi ABOBOYAYA, </w:t>
      </w:r>
      <w:r>
        <w:rPr>
          <w:i/>
          <w:sz w:val="24"/>
        </w:rPr>
        <w:t>Les infractions en mer : étude comparative entre les droits français</w:t>
      </w:r>
      <w:r>
        <w:rPr>
          <w:i/>
          <w:spacing w:val="-4"/>
          <w:sz w:val="24"/>
        </w:rPr>
        <w:t> </w:t>
      </w:r>
      <w:r>
        <w:rPr>
          <w:i/>
          <w:sz w:val="24"/>
        </w:rPr>
        <w:t>et</w:t>
      </w:r>
      <w:r>
        <w:rPr>
          <w:i/>
          <w:spacing w:val="-4"/>
          <w:sz w:val="24"/>
        </w:rPr>
        <w:t> </w:t>
      </w:r>
      <w:r>
        <w:rPr>
          <w:i/>
          <w:sz w:val="24"/>
        </w:rPr>
        <w:t>togolais</w:t>
      </w:r>
      <w:r>
        <w:rPr>
          <w:sz w:val="24"/>
        </w:rPr>
        <w:t>,</w:t>
      </w:r>
      <w:r>
        <w:rPr>
          <w:spacing w:val="-4"/>
          <w:sz w:val="24"/>
        </w:rPr>
        <w:t> </w:t>
      </w:r>
      <w:r>
        <w:rPr>
          <w:sz w:val="24"/>
        </w:rPr>
        <w:t>Thèse</w:t>
      </w:r>
      <w:r>
        <w:rPr>
          <w:spacing w:val="-4"/>
          <w:sz w:val="24"/>
        </w:rPr>
        <w:t> </w:t>
      </w:r>
      <w:r>
        <w:rPr>
          <w:sz w:val="24"/>
        </w:rPr>
        <w:t>de</w:t>
      </w:r>
      <w:r>
        <w:rPr>
          <w:spacing w:val="-4"/>
          <w:sz w:val="24"/>
        </w:rPr>
        <w:t> </w:t>
      </w:r>
      <w:r>
        <w:rPr>
          <w:sz w:val="24"/>
        </w:rPr>
        <w:t>doctorat</w:t>
      </w:r>
      <w:r>
        <w:rPr>
          <w:spacing w:val="-4"/>
          <w:sz w:val="24"/>
        </w:rPr>
        <w:t> </w:t>
      </w:r>
      <w:r>
        <w:rPr>
          <w:sz w:val="24"/>
        </w:rPr>
        <w:t>en</w:t>
      </w:r>
      <w:r>
        <w:rPr>
          <w:spacing w:val="-4"/>
          <w:sz w:val="24"/>
        </w:rPr>
        <w:t> </w:t>
      </w:r>
      <w:r>
        <w:rPr>
          <w:sz w:val="24"/>
        </w:rPr>
        <w:t>droit</w:t>
      </w:r>
      <w:r>
        <w:rPr>
          <w:spacing w:val="-4"/>
          <w:sz w:val="24"/>
        </w:rPr>
        <w:t> </w:t>
      </w:r>
      <w:r>
        <w:rPr>
          <w:sz w:val="24"/>
        </w:rPr>
        <w:t>privé</w:t>
      </w:r>
      <w:r>
        <w:rPr>
          <w:spacing w:val="-4"/>
          <w:sz w:val="24"/>
        </w:rPr>
        <w:t> </w:t>
      </w:r>
      <w:r>
        <w:rPr>
          <w:sz w:val="24"/>
        </w:rPr>
        <w:t>et</w:t>
      </w:r>
      <w:r>
        <w:rPr>
          <w:spacing w:val="-4"/>
          <w:sz w:val="24"/>
        </w:rPr>
        <w:t> </w:t>
      </w:r>
      <w:r>
        <w:rPr>
          <w:sz w:val="24"/>
        </w:rPr>
        <w:t>sciences</w:t>
      </w:r>
      <w:r>
        <w:rPr>
          <w:spacing w:val="-4"/>
          <w:sz w:val="24"/>
        </w:rPr>
        <w:t> </w:t>
      </w:r>
      <w:r>
        <w:rPr>
          <w:sz w:val="24"/>
        </w:rPr>
        <w:t>criminelles,</w:t>
      </w:r>
      <w:r>
        <w:rPr>
          <w:spacing w:val="-4"/>
          <w:sz w:val="24"/>
        </w:rPr>
        <w:t> </w:t>
      </w:r>
      <w:r>
        <w:rPr>
          <w:sz w:val="24"/>
        </w:rPr>
        <w:t>Université de Bordeaux, 2022, 505 p.</w:t>
      </w:r>
    </w:p>
    <w:p>
      <w:pPr>
        <w:pStyle w:val="ListParagraph"/>
        <w:numPr>
          <w:ilvl w:val="1"/>
          <w:numId w:val="6"/>
        </w:numPr>
        <w:tabs>
          <w:tab w:pos="861" w:val="left" w:leader="none"/>
        </w:tabs>
        <w:spacing w:line="240" w:lineRule="auto" w:before="0" w:after="0"/>
        <w:ind w:left="861" w:right="329" w:hanging="360"/>
        <w:jc w:val="left"/>
        <w:rPr>
          <w:sz w:val="24"/>
        </w:rPr>
      </w:pPr>
      <w:r>
        <w:rPr>
          <w:sz w:val="24"/>
        </w:rPr>
        <w:t>Solofo Théodore RANDRIANJAFY, </w:t>
      </w:r>
      <w:r>
        <w:rPr>
          <w:i/>
          <w:sz w:val="24"/>
        </w:rPr>
        <w:t>Le processus de coopération judiciaire internationale</w:t>
      </w:r>
      <w:r>
        <w:rPr>
          <w:sz w:val="24"/>
        </w:rPr>
        <w:t>,</w:t>
      </w:r>
      <w:r>
        <w:rPr>
          <w:spacing w:val="-4"/>
          <w:sz w:val="24"/>
        </w:rPr>
        <w:t> </w:t>
      </w:r>
      <w:r>
        <w:rPr>
          <w:sz w:val="24"/>
        </w:rPr>
        <w:t>Thèse</w:t>
      </w:r>
      <w:r>
        <w:rPr>
          <w:spacing w:val="-4"/>
          <w:sz w:val="24"/>
        </w:rPr>
        <w:t> </w:t>
      </w:r>
      <w:r>
        <w:rPr>
          <w:sz w:val="24"/>
        </w:rPr>
        <w:t>de</w:t>
      </w:r>
      <w:r>
        <w:rPr>
          <w:spacing w:val="-4"/>
          <w:sz w:val="24"/>
        </w:rPr>
        <w:t> </w:t>
      </w:r>
      <w:r>
        <w:rPr>
          <w:sz w:val="24"/>
        </w:rPr>
        <w:t>doctorat</w:t>
      </w:r>
      <w:r>
        <w:rPr>
          <w:spacing w:val="-4"/>
          <w:sz w:val="24"/>
        </w:rPr>
        <w:t> </w:t>
      </w:r>
      <w:r>
        <w:rPr>
          <w:sz w:val="24"/>
        </w:rPr>
        <w:t>en</w:t>
      </w:r>
      <w:r>
        <w:rPr>
          <w:spacing w:val="-4"/>
          <w:sz w:val="24"/>
        </w:rPr>
        <w:t> </w:t>
      </w:r>
      <w:r>
        <w:rPr>
          <w:sz w:val="24"/>
        </w:rPr>
        <w:t>droit</w:t>
      </w:r>
      <w:r>
        <w:rPr>
          <w:spacing w:val="-4"/>
          <w:sz w:val="24"/>
        </w:rPr>
        <w:t> </w:t>
      </w:r>
      <w:r>
        <w:rPr>
          <w:sz w:val="24"/>
        </w:rPr>
        <w:t>privé,</w:t>
      </w:r>
      <w:r>
        <w:rPr>
          <w:spacing w:val="-4"/>
          <w:sz w:val="24"/>
        </w:rPr>
        <w:t> </w:t>
      </w:r>
      <w:r>
        <w:rPr>
          <w:sz w:val="24"/>
        </w:rPr>
        <w:t>Université</w:t>
      </w:r>
      <w:r>
        <w:rPr>
          <w:spacing w:val="-4"/>
          <w:sz w:val="24"/>
        </w:rPr>
        <w:t> </w:t>
      </w:r>
      <w:r>
        <w:rPr>
          <w:sz w:val="24"/>
        </w:rPr>
        <w:t>de</w:t>
      </w:r>
      <w:r>
        <w:rPr>
          <w:spacing w:val="-4"/>
          <w:sz w:val="24"/>
        </w:rPr>
        <w:t> </w:t>
      </w:r>
      <w:r>
        <w:rPr>
          <w:sz w:val="24"/>
        </w:rPr>
        <w:t>Fianarantsoa,</w:t>
      </w:r>
      <w:r>
        <w:rPr>
          <w:spacing w:val="-4"/>
          <w:sz w:val="24"/>
        </w:rPr>
        <w:t> </w:t>
      </w:r>
      <w:r>
        <w:rPr>
          <w:sz w:val="24"/>
        </w:rPr>
        <w:t>2019,</w:t>
      </w:r>
      <w:r>
        <w:rPr>
          <w:spacing w:val="-4"/>
          <w:sz w:val="24"/>
        </w:rPr>
        <w:t> </w:t>
      </w:r>
      <w:r>
        <w:rPr>
          <w:sz w:val="24"/>
        </w:rPr>
        <w:t>597 </w:t>
      </w:r>
      <w:r>
        <w:rPr>
          <w:spacing w:val="-6"/>
          <w:sz w:val="24"/>
        </w:rPr>
        <w:t>p.</w:t>
      </w:r>
    </w:p>
    <w:p>
      <w:pPr>
        <w:pStyle w:val="ListParagraph"/>
        <w:numPr>
          <w:ilvl w:val="1"/>
          <w:numId w:val="6"/>
        </w:numPr>
        <w:tabs>
          <w:tab w:pos="861" w:val="left" w:leader="none"/>
        </w:tabs>
        <w:spacing w:line="240" w:lineRule="auto" w:before="0" w:after="0"/>
        <w:ind w:left="861" w:right="956" w:hanging="360"/>
        <w:jc w:val="left"/>
        <w:rPr>
          <w:sz w:val="24"/>
        </w:rPr>
      </w:pPr>
      <w:r>
        <w:rPr>
          <w:sz w:val="24"/>
        </w:rPr>
        <w:t>James</w:t>
      </w:r>
      <w:r>
        <w:rPr>
          <w:spacing w:val="-5"/>
          <w:sz w:val="24"/>
        </w:rPr>
        <w:t> </w:t>
      </w:r>
      <w:r>
        <w:rPr>
          <w:sz w:val="24"/>
        </w:rPr>
        <w:t>Kraska,</w:t>
      </w:r>
      <w:r>
        <w:rPr>
          <w:spacing w:val="-4"/>
          <w:sz w:val="24"/>
        </w:rPr>
        <w:t> </w:t>
      </w:r>
      <w:r>
        <w:rPr>
          <w:i/>
          <w:sz w:val="24"/>
        </w:rPr>
        <w:t>Contemporary</w:t>
      </w:r>
      <w:r>
        <w:rPr>
          <w:i/>
          <w:spacing w:val="-5"/>
          <w:sz w:val="24"/>
        </w:rPr>
        <w:t> </w:t>
      </w:r>
      <w:r>
        <w:rPr>
          <w:i/>
          <w:sz w:val="24"/>
        </w:rPr>
        <w:t>Maritime</w:t>
      </w:r>
      <w:r>
        <w:rPr>
          <w:i/>
          <w:spacing w:val="-5"/>
          <w:sz w:val="24"/>
        </w:rPr>
        <w:t> </w:t>
      </w:r>
      <w:r>
        <w:rPr>
          <w:i/>
          <w:sz w:val="24"/>
        </w:rPr>
        <w:t>Piracy</w:t>
      </w:r>
      <w:r>
        <w:rPr>
          <w:i/>
          <w:spacing w:val="-5"/>
          <w:sz w:val="24"/>
        </w:rPr>
        <w:t> </w:t>
      </w:r>
      <w:r>
        <w:rPr>
          <w:i/>
          <w:sz w:val="24"/>
        </w:rPr>
        <w:t>and</w:t>
      </w:r>
      <w:r>
        <w:rPr>
          <w:i/>
          <w:spacing w:val="-5"/>
          <w:sz w:val="24"/>
        </w:rPr>
        <w:t> </w:t>
      </w:r>
      <w:r>
        <w:rPr>
          <w:i/>
          <w:sz w:val="24"/>
        </w:rPr>
        <w:t>International</w:t>
      </w:r>
      <w:r>
        <w:rPr>
          <w:i/>
          <w:spacing w:val="-5"/>
          <w:sz w:val="24"/>
        </w:rPr>
        <w:t> </w:t>
      </w:r>
      <w:r>
        <w:rPr>
          <w:i/>
          <w:sz w:val="24"/>
        </w:rPr>
        <w:t>Law</w:t>
      </w:r>
      <w:r>
        <w:rPr>
          <w:sz w:val="24"/>
        </w:rPr>
        <w:t>,</w:t>
      </w:r>
      <w:r>
        <w:rPr>
          <w:spacing w:val="-5"/>
          <w:sz w:val="24"/>
        </w:rPr>
        <w:t> </w:t>
      </w:r>
      <w:r>
        <w:rPr>
          <w:sz w:val="24"/>
        </w:rPr>
        <w:t>Doctoral research references and publications, Naval War College, USA.</w:t>
      </w:r>
    </w:p>
    <w:p>
      <w:pPr>
        <w:pStyle w:val="Heading3"/>
        <w:numPr>
          <w:ilvl w:val="0"/>
          <w:numId w:val="6"/>
        </w:numPr>
        <w:tabs>
          <w:tab w:pos="447" w:val="left" w:leader="none"/>
        </w:tabs>
        <w:spacing w:line="240" w:lineRule="auto" w:before="120" w:after="0"/>
        <w:ind w:left="447" w:right="0" w:hanging="306"/>
        <w:jc w:val="left"/>
      </w:pPr>
      <w:r>
        <w:rPr>
          <w:color w:val="145F82"/>
        </w:rPr>
        <w:t>TEXTES</w:t>
      </w:r>
      <w:r>
        <w:rPr>
          <w:color w:val="145F82"/>
          <w:spacing w:val="-3"/>
        </w:rPr>
        <w:t> </w:t>
      </w:r>
      <w:r>
        <w:rPr>
          <w:color w:val="145F82"/>
          <w:spacing w:val="-2"/>
        </w:rPr>
        <w:t>JURIDIQUES</w:t>
      </w:r>
    </w:p>
    <w:p>
      <w:pPr>
        <w:pStyle w:val="Heading4"/>
        <w:numPr>
          <w:ilvl w:val="0"/>
          <w:numId w:val="7"/>
        </w:numPr>
        <w:tabs>
          <w:tab w:pos="434" w:val="left" w:leader="none"/>
        </w:tabs>
        <w:spacing w:line="240" w:lineRule="auto" w:before="120" w:after="0"/>
        <w:ind w:left="434" w:right="0" w:hanging="293"/>
        <w:jc w:val="left"/>
      </w:pPr>
      <w:r>
        <w:rPr>
          <w:color w:val="145F82"/>
        </w:rPr>
        <w:t>Instruments</w:t>
      </w:r>
      <w:r>
        <w:rPr>
          <w:color w:val="145F82"/>
          <w:spacing w:val="-8"/>
        </w:rPr>
        <w:t> </w:t>
      </w:r>
      <w:r>
        <w:rPr>
          <w:color w:val="145F82"/>
          <w:spacing w:val="-2"/>
        </w:rPr>
        <w:t>internationaux</w:t>
      </w:r>
    </w:p>
    <w:p>
      <w:pPr>
        <w:pStyle w:val="ListParagraph"/>
        <w:numPr>
          <w:ilvl w:val="1"/>
          <w:numId w:val="1"/>
        </w:numPr>
        <w:tabs>
          <w:tab w:pos="861" w:val="left" w:leader="none"/>
        </w:tabs>
        <w:spacing w:line="240" w:lineRule="auto" w:before="0" w:after="0"/>
        <w:ind w:left="861" w:right="0" w:hanging="360"/>
        <w:jc w:val="left"/>
        <w:rPr>
          <w:sz w:val="24"/>
        </w:rPr>
      </w:pPr>
      <w:r>
        <w:rPr>
          <w:sz w:val="24"/>
        </w:rPr>
        <w:t>Convention</w:t>
      </w:r>
      <w:r>
        <w:rPr>
          <w:spacing w:val="-4"/>
          <w:sz w:val="24"/>
        </w:rPr>
        <w:t> </w:t>
      </w:r>
      <w:r>
        <w:rPr>
          <w:sz w:val="24"/>
        </w:rPr>
        <w:t>sur</w:t>
      </w:r>
      <w:r>
        <w:rPr>
          <w:spacing w:val="-2"/>
          <w:sz w:val="24"/>
        </w:rPr>
        <w:t> </w:t>
      </w:r>
      <w:r>
        <w:rPr>
          <w:sz w:val="24"/>
        </w:rPr>
        <w:t>la</w:t>
      </w:r>
      <w:r>
        <w:rPr>
          <w:spacing w:val="-2"/>
          <w:sz w:val="24"/>
        </w:rPr>
        <w:t> </w:t>
      </w:r>
      <w:r>
        <w:rPr>
          <w:sz w:val="24"/>
        </w:rPr>
        <w:t>haute</w:t>
      </w:r>
      <w:r>
        <w:rPr>
          <w:spacing w:val="-1"/>
          <w:sz w:val="24"/>
        </w:rPr>
        <w:t> </w:t>
      </w:r>
      <w:r>
        <w:rPr>
          <w:sz w:val="24"/>
        </w:rPr>
        <w:t>mer,</w:t>
      </w:r>
      <w:r>
        <w:rPr>
          <w:spacing w:val="-2"/>
          <w:sz w:val="24"/>
        </w:rPr>
        <w:t> </w:t>
      </w:r>
      <w:r>
        <w:rPr>
          <w:sz w:val="24"/>
        </w:rPr>
        <w:t>Genève,</w:t>
      </w:r>
      <w:r>
        <w:rPr>
          <w:spacing w:val="-2"/>
          <w:sz w:val="24"/>
        </w:rPr>
        <w:t> </w:t>
      </w:r>
      <w:r>
        <w:rPr>
          <w:sz w:val="24"/>
        </w:rPr>
        <w:t>29</w:t>
      </w:r>
      <w:r>
        <w:rPr>
          <w:spacing w:val="-2"/>
          <w:sz w:val="24"/>
        </w:rPr>
        <w:t> </w:t>
      </w:r>
      <w:r>
        <w:rPr>
          <w:sz w:val="24"/>
        </w:rPr>
        <w:t>avril</w:t>
      </w:r>
      <w:r>
        <w:rPr>
          <w:spacing w:val="-1"/>
          <w:sz w:val="24"/>
        </w:rPr>
        <w:t> </w:t>
      </w:r>
      <w:r>
        <w:rPr>
          <w:spacing w:val="-2"/>
          <w:sz w:val="24"/>
        </w:rPr>
        <w:t>1958.</w:t>
      </w:r>
    </w:p>
    <w:p>
      <w:pPr>
        <w:pStyle w:val="ListParagraph"/>
        <w:numPr>
          <w:ilvl w:val="1"/>
          <w:numId w:val="1"/>
        </w:numPr>
        <w:tabs>
          <w:tab w:pos="861" w:val="left" w:leader="none"/>
        </w:tabs>
        <w:spacing w:line="240" w:lineRule="auto" w:before="0" w:after="0"/>
        <w:ind w:left="861" w:right="753" w:hanging="360"/>
        <w:jc w:val="left"/>
        <w:rPr>
          <w:sz w:val="24"/>
        </w:rPr>
      </w:pPr>
      <w:r>
        <w:rPr>
          <w:sz w:val="24"/>
        </w:rPr>
        <w:t>Convention</w:t>
      </w:r>
      <w:r>
        <w:rPr>
          <w:spacing w:val="-3"/>
          <w:sz w:val="24"/>
        </w:rPr>
        <w:t> </w:t>
      </w:r>
      <w:r>
        <w:rPr>
          <w:sz w:val="24"/>
        </w:rPr>
        <w:t>des</w:t>
      </w:r>
      <w:r>
        <w:rPr>
          <w:spacing w:val="-3"/>
          <w:sz w:val="24"/>
        </w:rPr>
        <w:t> </w:t>
      </w:r>
      <w:r>
        <w:rPr>
          <w:sz w:val="24"/>
        </w:rPr>
        <w:t>Nations</w:t>
      </w:r>
      <w:r>
        <w:rPr>
          <w:spacing w:val="-3"/>
          <w:sz w:val="24"/>
        </w:rPr>
        <w:t> </w:t>
      </w:r>
      <w:r>
        <w:rPr>
          <w:sz w:val="24"/>
        </w:rPr>
        <w:t>Unies</w:t>
      </w:r>
      <w:r>
        <w:rPr>
          <w:spacing w:val="-3"/>
          <w:sz w:val="24"/>
        </w:rPr>
        <w:t> </w:t>
      </w:r>
      <w:r>
        <w:rPr>
          <w:sz w:val="24"/>
        </w:rPr>
        <w:t>sur</w:t>
      </w:r>
      <w:r>
        <w:rPr>
          <w:spacing w:val="-3"/>
          <w:sz w:val="24"/>
        </w:rPr>
        <w:t> </w:t>
      </w:r>
      <w:r>
        <w:rPr>
          <w:sz w:val="24"/>
        </w:rPr>
        <w:t>le</w:t>
      </w:r>
      <w:r>
        <w:rPr>
          <w:spacing w:val="-3"/>
          <w:sz w:val="24"/>
        </w:rPr>
        <w:t> </w:t>
      </w:r>
      <w:r>
        <w:rPr>
          <w:sz w:val="24"/>
        </w:rPr>
        <w:t>droit</w:t>
      </w:r>
      <w:r>
        <w:rPr>
          <w:spacing w:val="-3"/>
          <w:sz w:val="24"/>
        </w:rPr>
        <w:t> </w:t>
      </w:r>
      <w:r>
        <w:rPr>
          <w:sz w:val="24"/>
        </w:rPr>
        <w:t>de</w:t>
      </w:r>
      <w:r>
        <w:rPr>
          <w:spacing w:val="-3"/>
          <w:sz w:val="24"/>
        </w:rPr>
        <w:t> </w:t>
      </w:r>
      <w:r>
        <w:rPr>
          <w:sz w:val="24"/>
        </w:rPr>
        <w:t>la</w:t>
      </w:r>
      <w:r>
        <w:rPr>
          <w:spacing w:val="-3"/>
          <w:sz w:val="24"/>
        </w:rPr>
        <w:t> </w:t>
      </w:r>
      <w:r>
        <w:rPr>
          <w:sz w:val="24"/>
        </w:rPr>
        <w:t>mer</w:t>
      </w:r>
      <w:r>
        <w:rPr>
          <w:spacing w:val="-3"/>
          <w:sz w:val="24"/>
        </w:rPr>
        <w:t> </w:t>
      </w:r>
      <w:r>
        <w:rPr>
          <w:sz w:val="24"/>
        </w:rPr>
        <w:t>(CNUDM),</w:t>
      </w:r>
      <w:r>
        <w:rPr>
          <w:spacing w:val="-3"/>
          <w:sz w:val="24"/>
        </w:rPr>
        <w:t> </w:t>
      </w:r>
      <w:r>
        <w:rPr>
          <w:sz w:val="24"/>
        </w:rPr>
        <w:t>Montego</w:t>
      </w:r>
      <w:r>
        <w:rPr>
          <w:spacing w:val="-3"/>
          <w:sz w:val="24"/>
        </w:rPr>
        <w:t> </w:t>
      </w:r>
      <w:r>
        <w:rPr>
          <w:sz w:val="24"/>
        </w:rPr>
        <w:t>Bay,</w:t>
      </w:r>
      <w:r>
        <w:rPr>
          <w:spacing w:val="-3"/>
          <w:sz w:val="24"/>
        </w:rPr>
        <w:t> </w:t>
      </w:r>
      <w:r>
        <w:rPr>
          <w:sz w:val="24"/>
        </w:rPr>
        <w:t>10 décembre 1982.</w:t>
      </w:r>
    </w:p>
    <w:p>
      <w:pPr>
        <w:pStyle w:val="ListParagraph"/>
        <w:numPr>
          <w:ilvl w:val="1"/>
          <w:numId w:val="1"/>
        </w:numPr>
        <w:tabs>
          <w:tab w:pos="861" w:val="left" w:leader="none"/>
        </w:tabs>
        <w:spacing w:line="240" w:lineRule="auto" w:before="0" w:after="0"/>
        <w:ind w:left="861" w:right="943" w:hanging="360"/>
        <w:jc w:val="left"/>
        <w:rPr>
          <w:sz w:val="24"/>
        </w:rPr>
      </w:pPr>
      <w:r>
        <w:rPr>
          <w:sz w:val="24"/>
        </w:rPr>
        <w:t>Convention</w:t>
      </w:r>
      <w:r>
        <w:rPr>
          <w:spacing w:val="-4"/>
          <w:sz w:val="24"/>
        </w:rPr>
        <w:t> </w:t>
      </w:r>
      <w:r>
        <w:rPr>
          <w:sz w:val="24"/>
        </w:rPr>
        <w:t>pour</w:t>
      </w:r>
      <w:r>
        <w:rPr>
          <w:spacing w:val="-4"/>
          <w:sz w:val="24"/>
        </w:rPr>
        <w:t> </w:t>
      </w:r>
      <w:r>
        <w:rPr>
          <w:sz w:val="24"/>
        </w:rPr>
        <w:t>la</w:t>
      </w:r>
      <w:r>
        <w:rPr>
          <w:spacing w:val="-4"/>
          <w:sz w:val="24"/>
        </w:rPr>
        <w:t> </w:t>
      </w:r>
      <w:r>
        <w:rPr>
          <w:sz w:val="24"/>
        </w:rPr>
        <w:t>répression</w:t>
      </w:r>
      <w:r>
        <w:rPr>
          <w:spacing w:val="-4"/>
          <w:sz w:val="24"/>
        </w:rPr>
        <w:t> </w:t>
      </w:r>
      <w:r>
        <w:rPr>
          <w:sz w:val="24"/>
        </w:rPr>
        <w:t>d’actes</w:t>
      </w:r>
      <w:r>
        <w:rPr>
          <w:spacing w:val="-4"/>
          <w:sz w:val="24"/>
        </w:rPr>
        <w:t> </w:t>
      </w:r>
      <w:r>
        <w:rPr>
          <w:sz w:val="24"/>
        </w:rPr>
        <w:t>illicites</w:t>
      </w:r>
      <w:r>
        <w:rPr>
          <w:spacing w:val="-4"/>
          <w:sz w:val="24"/>
        </w:rPr>
        <w:t> </w:t>
      </w:r>
      <w:r>
        <w:rPr>
          <w:sz w:val="24"/>
        </w:rPr>
        <w:t>contre</w:t>
      </w:r>
      <w:r>
        <w:rPr>
          <w:spacing w:val="-4"/>
          <w:sz w:val="24"/>
        </w:rPr>
        <w:t> </w:t>
      </w:r>
      <w:r>
        <w:rPr>
          <w:sz w:val="24"/>
        </w:rPr>
        <w:t>la</w:t>
      </w:r>
      <w:r>
        <w:rPr>
          <w:spacing w:val="-4"/>
          <w:sz w:val="24"/>
        </w:rPr>
        <w:t> </w:t>
      </w:r>
      <w:r>
        <w:rPr>
          <w:sz w:val="24"/>
        </w:rPr>
        <w:t>sécurité</w:t>
      </w:r>
      <w:r>
        <w:rPr>
          <w:spacing w:val="-4"/>
          <w:sz w:val="24"/>
        </w:rPr>
        <w:t> </w:t>
      </w:r>
      <w:r>
        <w:rPr>
          <w:sz w:val="24"/>
        </w:rPr>
        <w:t>de</w:t>
      </w:r>
      <w:r>
        <w:rPr>
          <w:spacing w:val="-4"/>
          <w:sz w:val="24"/>
        </w:rPr>
        <w:t> </w:t>
      </w:r>
      <w:r>
        <w:rPr>
          <w:sz w:val="24"/>
        </w:rPr>
        <w:t>la</w:t>
      </w:r>
      <w:r>
        <w:rPr>
          <w:spacing w:val="-4"/>
          <w:sz w:val="24"/>
        </w:rPr>
        <w:t> </w:t>
      </w:r>
      <w:r>
        <w:rPr>
          <w:sz w:val="24"/>
        </w:rPr>
        <w:t>navigation maritime (Convention SUA), Rome, 10 mars 1988.</w:t>
      </w:r>
    </w:p>
    <w:p>
      <w:pPr>
        <w:pStyle w:val="ListParagraph"/>
        <w:numPr>
          <w:ilvl w:val="1"/>
          <w:numId w:val="1"/>
        </w:numPr>
        <w:tabs>
          <w:tab w:pos="861" w:val="left" w:leader="none"/>
        </w:tabs>
        <w:spacing w:line="240" w:lineRule="auto" w:before="0" w:after="0"/>
        <w:ind w:left="861" w:right="0" w:hanging="360"/>
        <w:jc w:val="left"/>
        <w:rPr>
          <w:sz w:val="24"/>
        </w:rPr>
      </w:pPr>
      <w:r>
        <w:rPr>
          <w:sz w:val="24"/>
        </w:rPr>
        <w:t>Protocole</w:t>
      </w:r>
      <w:r>
        <w:rPr>
          <w:spacing w:val="-3"/>
          <w:sz w:val="24"/>
        </w:rPr>
        <w:t> </w:t>
      </w:r>
      <w:r>
        <w:rPr>
          <w:sz w:val="24"/>
        </w:rPr>
        <w:t>de</w:t>
      </w:r>
      <w:r>
        <w:rPr>
          <w:spacing w:val="-2"/>
          <w:sz w:val="24"/>
        </w:rPr>
        <w:t> </w:t>
      </w:r>
      <w:r>
        <w:rPr>
          <w:sz w:val="24"/>
        </w:rPr>
        <w:t>2005</w:t>
      </w:r>
      <w:r>
        <w:rPr>
          <w:spacing w:val="-2"/>
          <w:sz w:val="24"/>
        </w:rPr>
        <w:t> </w:t>
      </w:r>
      <w:r>
        <w:rPr>
          <w:sz w:val="24"/>
        </w:rPr>
        <w:t>relatif</w:t>
      </w:r>
      <w:r>
        <w:rPr>
          <w:spacing w:val="-2"/>
          <w:sz w:val="24"/>
        </w:rPr>
        <w:t> </w:t>
      </w:r>
      <w:r>
        <w:rPr>
          <w:sz w:val="24"/>
        </w:rPr>
        <w:t>à</w:t>
      </w:r>
      <w:r>
        <w:rPr>
          <w:spacing w:val="-2"/>
          <w:sz w:val="24"/>
        </w:rPr>
        <w:t> </w:t>
      </w:r>
      <w:r>
        <w:rPr>
          <w:sz w:val="24"/>
        </w:rPr>
        <w:t>la</w:t>
      </w:r>
      <w:r>
        <w:rPr>
          <w:spacing w:val="-2"/>
          <w:sz w:val="24"/>
        </w:rPr>
        <w:t> </w:t>
      </w:r>
      <w:r>
        <w:rPr>
          <w:sz w:val="24"/>
        </w:rPr>
        <w:t>Convention</w:t>
      </w:r>
      <w:r>
        <w:rPr>
          <w:spacing w:val="-2"/>
          <w:sz w:val="24"/>
        </w:rPr>
        <w:t> </w:t>
      </w:r>
      <w:r>
        <w:rPr>
          <w:sz w:val="24"/>
        </w:rPr>
        <w:t>SUA,</w:t>
      </w:r>
      <w:r>
        <w:rPr>
          <w:spacing w:val="-2"/>
          <w:sz w:val="24"/>
        </w:rPr>
        <w:t> </w:t>
      </w:r>
      <w:r>
        <w:rPr>
          <w:sz w:val="24"/>
        </w:rPr>
        <w:t>adopté</w:t>
      </w:r>
      <w:r>
        <w:rPr>
          <w:spacing w:val="-2"/>
          <w:sz w:val="24"/>
        </w:rPr>
        <w:t> </w:t>
      </w:r>
      <w:r>
        <w:rPr>
          <w:sz w:val="24"/>
        </w:rPr>
        <w:t>à</w:t>
      </w:r>
      <w:r>
        <w:rPr>
          <w:spacing w:val="-2"/>
          <w:sz w:val="24"/>
        </w:rPr>
        <w:t> </w:t>
      </w:r>
      <w:r>
        <w:rPr>
          <w:sz w:val="24"/>
        </w:rPr>
        <w:t>Londres,</w:t>
      </w:r>
      <w:r>
        <w:rPr>
          <w:spacing w:val="-2"/>
          <w:sz w:val="24"/>
        </w:rPr>
        <w:t> </w:t>
      </w:r>
      <w:r>
        <w:rPr>
          <w:sz w:val="24"/>
        </w:rPr>
        <w:t>14</w:t>
      </w:r>
      <w:r>
        <w:rPr>
          <w:spacing w:val="-2"/>
          <w:sz w:val="24"/>
        </w:rPr>
        <w:t> </w:t>
      </w:r>
      <w:r>
        <w:rPr>
          <w:sz w:val="24"/>
        </w:rPr>
        <w:t>octobre</w:t>
      </w:r>
      <w:r>
        <w:rPr>
          <w:spacing w:val="-2"/>
          <w:sz w:val="24"/>
        </w:rPr>
        <w:t> 2005.</w:t>
      </w:r>
    </w:p>
    <w:p>
      <w:pPr>
        <w:pStyle w:val="ListParagraph"/>
        <w:numPr>
          <w:ilvl w:val="1"/>
          <w:numId w:val="1"/>
        </w:numPr>
        <w:tabs>
          <w:tab w:pos="861" w:val="left" w:leader="none"/>
        </w:tabs>
        <w:spacing w:line="240" w:lineRule="auto" w:before="0" w:after="0"/>
        <w:ind w:left="861" w:right="577" w:hanging="360"/>
        <w:jc w:val="left"/>
        <w:rPr>
          <w:sz w:val="24"/>
        </w:rPr>
      </w:pPr>
      <w:r>
        <w:rPr>
          <w:sz w:val="24"/>
        </w:rPr>
        <w:t>Code</w:t>
      </w:r>
      <w:r>
        <w:rPr>
          <w:spacing w:val="-3"/>
          <w:sz w:val="24"/>
        </w:rPr>
        <w:t> </w:t>
      </w:r>
      <w:r>
        <w:rPr>
          <w:sz w:val="24"/>
        </w:rPr>
        <w:t>de</w:t>
      </w:r>
      <w:r>
        <w:rPr>
          <w:spacing w:val="-3"/>
          <w:sz w:val="24"/>
        </w:rPr>
        <w:t> </w:t>
      </w:r>
      <w:r>
        <w:rPr>
          <w:sz w:val="24"/>
        </w:rPr>
        <w:t>conduite</w:t>
      </w:r>
      <w:r>
        <w:rPr>
          <w:spacing w:val="-3"/>
          <w:sz w:val="24"/>
        </w:rPr>
        <w:t> </w:t>
      </w:r>
      <w:r>
        <w:rPr>
          <w:sz w:val="24"/>
        </w:rPr>
        <w:t>de</w:t>
      </w:r>
      <w:r>
        <w:rPr>
          <w:spacing w:val="-3"/>
          <w:sz w:val="24"/>
        </w:rPr>
        <w:t> </w:t>
      </w:r>
      <w:r>
        <w:rPr>
          <w:sz w:val="24"/>
        </w:rPr>
        <w:t>Djibouti</w:t>
      </w:r>
      <w:r>
        <w:rPr>
          <w:spacing w:val="-3"/>
          <w:sz w:val="24"/>
        </w:rPr>
        <w:t> </w:t>
      </w:r>
      <w:r>
        <w:rPr>
          <w:sz w:val="24"/>
        </w:rPr>
        <w:t>relatif</w:t>
      </w:r>
      <w:r>
        <w:rPr>
          <w:spacing w:val="-3"/>
          <w:sz w:val="24"/>
        </w:rPr>
        <w:t> </w:t>
      </w:r>
      <w:r>
        <w:rPr>
          <w:sz w:val="24"/>
        </w:rPr>
        <w:t>à</w:t>
      </w:r>
      <w:r>
        <w:rPr>
          <w:spacing w:val="-3"/>
          <w:sz w:val="24"/>
        </w:rPr>
        <w:t> </w:t>
      </w:r>
      <w:r>
        <w:rPr>
          <w:sz w:val="24"/>
        </w:rPr>
        <w:t>la</w:t>
      </w:r>
      <w:r>
        <w:rPr>
          <w:spacing w:val="-3"/>
          <w:sz w:val="24"/>
        </w:rPr>
        <w:t> </w:t>
      </w:r>
      <w:r>
        <w:rPr>
          <w:sz w:val="24"/>
        </w:rPr>
        <w:t>répression</w:t>
      </w:r>
      <w:r>
        <w:rPr>
          <w:spacing w:val="-3"/>
          <w:sz w:val="24"/>
        </w:rPr>
        <w:t> </w:t>
      </w:r>
      <w:r>
        <w:rPr>
          <w:sz w:val="24"/>
        </w:rPr>
        <w:t>de</w:t>
      </w:r>
      <w:r>
        <w:rPr>
          <w:spacing w:val="-3"/>
          <w:sz w:val="24"/>
        </w:rPr>
        <w:t> </w:t>
      </w:r>
      <w:r>
        <w:rPr>
          <w:sz w:val="24"/>
        </w:rPr>
        <w:t>la</w:t>
      </w:r>
      <w:r>
        <w:rPr>
          <w:spacing w:val="-3"/>
          <w:sz w:val="24"/>
        </w:rPr>
        <w:t> </w:t>
      </w:r>
      <w:r>
        <w:rPr>
          <w:sz w:val="24"/>
        </w:rPr>
        <w:t>piraterie</w:t>
      </w:r>
      <w:r>
        <w:rPr>
          <w:spacing w:val="-3"/>
          <w:sz w:val="24"/>
        </w:rPr>
        <w:t> </w:t>
      </w:r>
      <w:r>
        <w:rPr>
          <w:sz w:val="24"/>
        </w:rPr>
        <w:t>et</w:t>
      </w:r>
      <w:r>
        <w:rPr>
          <w:spacing w:val="-3"/>
          <w:sz w:val="24"/>
        </w:rPr>
        <w:t> </w:t>
      </w:r>
      <w:r>
        <w:rPr>
          <w:sz w:val="24"/>
        </w:rPr>
        <w:t>des</w:t>
      </w:r>
      <w:r>
        <w:rPr>
          <w:spacing w:val="-3"/>
          <w:sz w:val="24"/>
        </w:rPr>
        <w:t> </w:t>
      </w:r>
      <w:r>
        <w:rPr>
          <w:sz w:val="24"/>
        </w:rPr>
        <w:t>vols</w:t>
      </w:r>
      <w:r>
        <w:rPr>
          <w:spacing w:val="-3"/>
          <w:sz w:val="24"/>
        </w:rPr>
        <w:t> </w:t>
      </w:r>
      <w:r>
        <w:rPr>
          <w:sz w:val="24"/>
        </w:rPr>
        <w:t>à</w:t>
      </w:r>
      <w:r>
        <w:rPr>
          <w:spacing w:val="-3"/>
          <w:sz w:val="24"/>
        </w:rPr>
        <w:t> </w:t>
      </w:r>
      <w:r>
        <w:rPr>
          <w:sz w:val="24"/>
        </w:rPr>
        <w:t>main armée contre les navires, 29 janvier 2009, amendé à Djeddah le 12 janvier 2017.</w:t>
      </w:r>
    </w:p>
    <w:p>
      <w:pPr>
        <w:pStyle w:val="ListParagraph"/>
        <w:numPr>
          <w:ilvl w:val="1"/>
          <w:numId w:val="1"/>
        </w:numPr>
        <w:tabs>
          <w:tab w:pos="861" w:val="left" w:leader="none"/>
        </w:tabs>
        <w:spacing w:line="240" w:lineRule="auto" w:before="0" w:after="0"/>
        <w:ind w:left="861" w:right="0" w:hanging="360"/>
        <w:jc w:val="left"/>
        <w:rPr>
          <w:sz w:val="24"/>
        </w:rPr>
      </w:pPr>
      <w:r>
        <w:rPr>
          <w:sz w:val="24"/>
        </w:rPr>
        <w:t>Résolution</w:t>
      </w:r>
      <w:r>
        <w:rPr>
          <w:spacing w:val="-2"/>
          <w:sz w:val="24"/>
        </w:rPr>
        <w:t> </w:t>
      </w:r>
      <w:r>
        <w:rPr>
          <w:sz w:val="24"/>
        </w:rPr>
        <w:t>1816</w:t>
      </w:r>
      <w:r>
        <w:rPr>
          <w:spacing w:val="-2"/>
          <w:sz w:val="24"/>
        </w:rPr>
        <w:t> </w:t>
      </w:r>
      <w:r>
        <w:rPr>
          <w:sz w:val="24"/>
        </w:rPr>
        <w:t>(2008)</w:t>
      </w:r>
      <w:r>
        <w:rPr>
          <w:spacing w:val="-2"/>
          <w:sz w:val="24"/>
        </w:rPr>
        <w:t> </w:t>
      </w:r>
      <w:r>
        <w:rPr>
          <w:sz w:val="24"/>
        </w:rPr>
        <w:t>du</w:t>
      </w:r>
      <w:r>
        <w:rPr>
          <w:spacing w:val="-2"/>
          <w:sz w:val="24"/>
        </w:rPr>
        <w:t> </w:t>
      </w:r>
      <w:r>
        <w:rPr>
          <w:sz w:val="24"/>
        </w:rPr>
        <w:t>Conseil</w:t>
      </w:r>
      <w:r>
        <w:rPr>
          <w:spacing w:val="-2"/>
          <w:sz w:val="24"/>
        </w:rPr>
        <w:t> </w:t>
      </w:r>
      <w:r>
        <w:rPr>
          <w:sz w:val="24"/>
        </w:rPr>
        <w:t>de</w:t>
      </w:r>
      <w:r>
        <w:rPr>
          <w:spacing w:val="-2"/>
          <w:sz w:val="24"/>
        </w:rPr>
        <w:t> </w:t>
      </w:r>
      <w:r>
        <w:rPr>
          <w:sz w:val="24"/>
        </w:rPr>
        <w:t>sécurité</w:t>
      </w:r>
      <w:r>
        <w:rPr>
          <w:spacing w:val="-2"/>
          <w:sz w:val="24"/>
        </w:rPr>
        <w:t> </w:t>
      </w:r>
      <w:r>
        <w:rPr>
          <w:sz w:val="24"/>
        </w:rPr>
        <w:t>des</w:t>
      </w:r>
      <w:r>
        <w:rPr>
          <w:spacing w:val="-2"/>
          <w:sz w:val="24"/>
        </w:rPr>
        <w:t> </w:t>
      </w:r>
      <w:r>
        <w:rPr>
          <w:sz w:val="24"/>
        </w:rPr>
        <w:t>Nations</w:t>
      </w:r>
      <w:r>
        <w:rPr>
          <w:spacing w:val="-2"/>
          <w:sz w:val="24"/>
        </w:rPr>
        <w:t> </w:t>
      </w:r>
      <w:r>
        <w:rPr>
          <w:sz w:val="24"/>
        </w:rPr>
        <w:t>Unies,</w:t>
      </w:r>
      <w:r>
        <w:rPr>
          <w:spacing w:val="-2"/>
          <w:sz w:val="24"/>
        </w:rPr>
        <w:t> </w:t>
      </w:r>
      <w:r>
        <w:rPr>
          <w:sz w:val="24"/>
        </w:rPr>
        <w:t>S/RES/1816</w:t>
      </w:r>
      <w:r>
        <w:rPr>
          <w:spacing w:val="-1"/>
          <w:sz w:val="24"/>
        </w:rPr>
        <w:t> </w:t>
      </w:r>
      <w:r>
        <w:rPr>
          <w:spacing w:val="-2"/>
          <w:sz w:val="24"/>
        </w:rPr>
        <w:t>(2008),</w:t>
      </w:r>
    </w:p>
    <w:p>
      <w:pPr>
        <w:pStyle w:val="BodyText"/>
        <w:ind w:left="861"/>
      </w:pPr>
      <w:r>
        <w:rPr/>
        <w:t>2 juin </w:t>
      </w:r>
      <w:r>
        <w:rPr>
          <w:spacing w:val="-2"/>
        </w:rPr>
        <w:t>2008.</w:t>
      </w:r>
    </w:p>
    <w:p>
      <w:pPr>
        <w:pStyle w:val="ListParagraph"/>
        <w:numPr>
          <w:ilvl w:val="1"/>
          <w:numId w:val="1"/>
        </w:numPr>
        <w:tabs>
          <w:tab w:pos="861" w:val="left" w:leader="none"/>
        </w:tabs>
        <w:spacing w:line="240" w:lineRule="auto" w:before="0" w:after="0"/>
        <w:ind w:left="861" w:right="0" w:hanging="360"/>
        <w:jc w:val="left"/>
        <w:rPr>
          <w:sz w:val="24"/>
        </w:rPr>
      </w:pPr>
      <w:r>
        <w:rPr>
          <w:sz w:val="24"/>
        </w:rPr>
        <w:t>Résolution</w:t>
      </w:r>
      <w:r>
        <w:rPr>
          <w:spacing w:val="-2"/>
          <w:sz w:val="24"/>
        </w:rPr>
        <w:t> </w:t>
      </w:r>
      <w:r>
        <w:rPr>
          <w:sz w:val="24"/>
        </w:rPr>
        <w:t>2240</w:t>
      </w:r>
      <w:r>
        <w:rPr>
          <w:spacing w:val="-2"/>
          <w:sz w:val="24"/>
        </w:rPr>
        <w:t> </w:t>
      </w:r>
      <w:r>
        <w:rPr>
          <w:sz w:val="24"/>
        </w:rPr>
        <w:t>(2015)</w:t>
      </w:r>
      <w:r>
        <w:rPr>
          <w:spacing w:val="-2"/>
          <w:sz w:val="24"/>
        </w:rPr>
        <w:t> </w:t>
      </w:r>
      <w:r>
        <w:rPr>
          <w:sz w:val="24"/>
        </w:rPr>
        <w:t>du</w:t>
      </w:r>
      <w:r>
        <w:rPr>
          <w:spacing w:val="-2"/>
          <w:sz w:val="24"/>
        </w:rPr>
        <w:t> </w:t>
      </w:r>
      <w:r>
        <w:rPr>
          <w:sz w:val="24"/>
        </w:rPr>
        <w:t>Conseil</w:t>
      </w:r>
      <w:r>
        <w:rPr>
          <w:spacing w:val="-2"/>
          <w:sz w:val="24"/>
        </w:rPr>
        <w:t> </w:t>
      </w:r>
      <w:r>
        <w:rPr>
          <w:sz w:val="24"/>
        </w:rPr>
        <w:t>de</w:t>
      </w:r>
      <w:r>
        <w:rPr>
          <w:spacing w:val="-2"/>
          <w:sz w:val="24"/>
        </w:rPr>
        <w:t> </w:t>
      </w:r>
      <w:r>
        <w:rPr>
          <w:sz w:val="24"/>
        </w:rPr>
        <w:t>sécurité</w:t>
      </w:r>
      <w:r>
        <w:rPr>
          <w:spacing w:val="-2"/>
          <w:sz w:val="24"/>
        </w:rPr>
        <w:t> </w:t>
      </w:r>
      <w:r>
        <w:rPr>
          <w:sz w:val="24"/>
        </w:rPr>
        <w:t>des</w:t>
      </w:r>
      <w:r>
        <w:rPr>
          <w:spacing w:val="-2"/>
          <w:sz w:val="24"/>
        </w:rPr>
        <w:t> </w:t>
      </w:r>
      <w:r>
        <w:rPr>
          <w:sz w:val="24"/>
        </w:rPr>
        <w:t>Nations</w:t>
      </w:r>
      <w:r>
        <w:rPr>
          <w:spacing w:val="-2"/>
          <w:sz w:val="24"/>
        </w:rPr>
        <w:t> </w:t>
      </w:r>
      <w:r>
        <w:rPr>
          <w:sz w:val="24"/>
        </w:rPr>
        <w:t>Unies,</w:t>
      </w:r>
      <w:r>
        <w:rPr>
          <w:spacing w:val="-2"/>
          <w:sz w:val="24"/>
        </w:rPr>
        <w:t> </w:t>
      </w:r>
      <w:r>
        <w:rPr>
          <w:sz w:val="24"/>
        </w:rPr>
        <w:t>9</w:t>
      </w:r>
      <w:r>
        <w:rPr>
          <w:spacing w:val="-2"/>
          <w:sz w:val="24"/>
        </w:rPr>
        <w:t> </w:t>
      </w:r>
      <w:r>
        <w:rPr>
          <w:sz w:val="24"/>
        </w:rPr>
        <w:t>octobre</w:t>
      </w:r>
      <w:r>
        <w:rPr>
          <w:spacing w:val="-2"/>
          <w:sz w:val="24"/>
        </w:rPr>
        <w:t> 2015.</w:t>
      </w:r>
    </w:p>
    <w:p>
      <w:pPr>
        <w:pStyle w:val="ListParagraph"/>
        <w:numPr>
          <w:ilvl w:val="1"/>
          <w:numId w:val="1"/>
        </w:numPr>
        <w:tabs>
          <w:tab w:pos="861" w:val="left" w:leader="none"/>
        </w:tabs>
        <w:spacing w:line="240" w:lineRule="auto" w:before="0" w:after="0"/>
        <w:ind w:left="861" w:right="618" w:hanging="360"/>
        <w:jc w:val="left"/>
        <w:rPr>
          <w:sz w:val="24"/>
        </w:rPr>
      </w:pPr>
      <w:r>
        <w:rPr>
          <w:sz w:val="24"/>
        </w:rPr>
        <w:t>Convention</w:t>
      </w:r>
      <w:r>
        <w:rPr>
          <w:spacing w:val="-4"/>
          <w:sz w:val="24"/>
        </w:rPr>
        <w:t> </w:t>
      </w:r>
      <w:r>
        <w:rPr>
          <w:sz w:val="24"/>
        </w:rPr>
        <w:t>de</w:t>
      </w:r>
      <w:r>
        <w:rPr>
          <w:spacing w:val="-4"/>
          <w:sz w:val="24"/>
        </w:rPr>
        <w:t> </w:t>
      </w:r>
      <w:r>
        <w:rPr>
          <w:sz w:val="24"/>
        </w:rPr>
        <w:t>Genève</w:t>
      </w:r>
      <w:r>
        <w:rPr>
          <w:spacing w:val="-4"/>
          <w:sz w:val="24"/>
        </w:rPr>
        <w:t> </w:t>
      </w:r>
      <w:r>
        <w:rPr>
          <w:sz w:val="24"/>
        </w:rPr>
        <w:t>relative</w:t>
      </w:r>
      <w:r>
        <w:rPr>
          <w:spacing w:val="-4"/>
          <w:sz w:val="24"/>
        </w:rPr>
        <w:t> </w:t>
      </w:r>
      <w:r>
        <w:rPr>
          <w:sz w:val="24"/>
        </w:rPr>
        <w:t>à</w:t>
      </w:r>
      <w:r>
        <w:rPr>
          <w:spacing w:val="-4"/>
          <w:sz w:val="24"/>
        </w:rPr>
        <w:t> </w:t>
      </w:r>
      <w:r>
        <w:rPr>
          <w:sz w:val="24"/>
        </w:rPr>
        <w:t>la</w:t>
      </w:r>
      <w:r>
        <w:rPr>
          <w:spacing w:val="-4"/>
          <w:sz w:val="24"/>
        </w:rPr>
        <w:t> </w:t>
      </w:r>
      <w:r>
        <w:rPr>
          <w:sz w:val="24"/>
        </w:rPr>
        <w:t>haute</w:t>
      </w:r>
      <w:r>
        <w:rPr>
          <w:spacing w:val="-4"/>
          <w:sz w:val="24"/>
        </w:rPr>
        <w:t> </w:t>
      </w:r>
      <w:r>
        <w:rPr>
          <w:sz w:val="24"/>
        </w:rPr>
        <w:t>mer</w:t>
      </w:r>
      <w:r>
        <w:rPr>
          <w:spacing w:val="-4"/>
          <w:sz w:val="24"/>
        </w:rPr>
        <w:t> </w:t>
      </w:r>
      <w:r>
        <w:rPr>
          <w:sz w:val="24"/>
        </w:rPr>
        <w:t>(complément</w:t>
      </w:r>
      <w:r>
        <w:rPr>
          <w:spacing w:val="-4"/>
          <w:sz w:val="24"/>
        </w:rPr>
        <w:t> </w:t>
      </w:r>
      <w:r>
        <w:rPr>
          <w:sz w:val="24"/>
        </w:rPr>
        <w:t>doctrinal</w:t>
      </w:r>
      <w:r>
        <w:rPr>
          <w:spacing w:val="-4"/>
          <w:sz w:val="24"/>
        </w:rPr>
        <w:t> </w:t>
      </w:r>
      <w:r>
        <w:rPr>
          <w:sz w:val="24"/>
        </w:rPr>
        <w:t>et</w:t>
      </w:r>
      <w:r>
        <w:rPr>
          <w:spacing w:val="-4"/>
          <w:sz w:val="24"/>
        </w:rPr>
        <w:t> </w:t>
      </w:r>
      <w:r>
        <w:rPr>
          <w:sz w:val="24"/>
        </w:rPr>
        <w:t>historique), </w:t>
      </w:r>
      <w:r>
        <w:rPr>
          <w:spacing w:val="-2"/>
          <w:sz w:val="24"/>
        </w:rPr>
        <w:t>1958.</w:t>
      </w:r>
    </w:p>
    <w:p>
      <w:pPr>
        <w:pStyle w:val="ListParagraph"/>
        <w:numPr>
          <w:ilvl w:val="1"/>
          <w:numId w:val="1"/>
        </w:numPr>
        <w:tabs>
          <w:tab w:pos="861" w:val="left" w:leader="none"/>
        </w:tabs>
        <w:spacing w:line="240" w:lineRule="auto" w:before="0" w:after="0"/>
        <w:ind w:left="861" w:right="413" w:hanging="360"/>
        <w:jc w:val="left"/>
        <w:rPr>
          <w:sz w:val="24"/>
        </w:rPr>
      </w:pPr>
      <w:r>
        <w:rPr>
          <w:sz w:val="24"/>
        </w:rPr>
        <w:t>International</w:t>
      </w:r>
      <w:r>
        <w:rPr>
          <w:spacing w:val="-5"/>
          <w:sz w:val="24"/>
        </w:rPr>
        <w:t> </w:t>
      </w:r>
      <w:r>
        <w:rPr>
          <w:sz w:val="24"/>
        </w:rPr>
        <w:t>Maritime</w:t>
      </w:r>
      <w:r>
        <w:rPr>
          <w:spacing w:val="-5"/>
          <w:sz w:val="24"/>
        </w:rPr>
        <w:t> </w:t>
      </w:r>
      <w:r>
        <w:rPr>
          <w:sz w:val="24"/>
        </w:rPr>
        <w:t>Organization</w:t>
      </w:r>
      <w:r>
        <w:rPr>
          <w:spacing w:val="-5"/>
          <w:sz w:val="24"/>
        </w:rPr>
        <w:t> </w:t>
      </w:r>
      <w:r>
        <w:rPr>
          <w:sz w:val="24"/>
        </w:rPr>
        <w:t>(IMO),</w:t>
      </w:r>
      <w:r>
        <w:rPr>
          <w:spacing w:val="-1"/>
          <w:sz w:val="24"/>
        </w:rPr>
        <w:t> </w:t>
      </w:r>
      <w:r>
        <w:rPr>
          <w:i/>
          <w:sz w:val="24"/>
        </w:rPr>
        <w:t>Guidelines</w:t>
      </w:r>
      <w:r>
        <w:rPr>
          <w:i/>
          <w:spacing w:val="-5"/>
          <w:sz w:val="24"/>
        </w:rPr>
        <w:t> </w:t>
      </w:r>
      <w:r>
        <w:rPr>
          <w:i/>
          <w:sz w:val="24"/>
        </w:rPr>
        <w:t>on</w:t>
      </w:r>
      <w:r>
        <w:rPr>
          <w:i/>
          <w:spacing w:val="-5"/>
          <w:sz w:val="24"/>
        </w:rPr>
        <w:t> </w:t>
      </w:r>
      <w:r>
        <w:rPr>
          <w:i/>
          <w:sz w:val="24"/>
        </w:rPr>
        <w:t>piracy</w:t>
      </w:r>
      <w:r>
        <w:rPr>
          <w:i/>
          <w:spacing w:val="-5"/>
          <w:sz w:val="24"/>
        </w:rPr>
        <w:t> </w:t>
      </w:r>
      <w:r>
        <w:rPr>
          <w:i/>
          <w:sz w:val="24"/>
        </w:rPr>
        <w:t>and</w:t>
      </w:r>
      <w:r>
        <w:rPr>
          <w:i/>
          <w:spacing w:val="-5"/>
          <w:sz w:val="24"/>
        </w:rPr>
        <w:t> </w:t>
      </w:r>
      <w:r>
        <w:rPr>
          <w:i/>
          <w:sz w:val="24"/>
        </w:rPr>
        <w:t>armed</w:t>
      </w:r>
      <w:r>
        <w:rPr>
          <w:i/>
          <w:spacing w:val="-5"/>
          <w:sz w:val="24"/>
        </w:rPr>
        <w:t> </w:t>
      </w:r>
      <w:r>
        <w:rPr>
          <w:i/>
          <w:sz w:val="24"/>
        </w:rPr>
        <w:t>robbery against ships</w:t>
      </w:r>
      <w:r>
        <w:rPr>
          <w:sz w:val="24"/>
        </w:rPr>
        <w:t>, rapports officiels.</w:t>
      </w:r>
    </w:p>
    <w:p>
      <w:pPr>
        <w:pStyle w:val="Heading4"/>
        <w:numPr>
          <w:ilvl w:val="0"/>
          <w:numId w:val="7"/>
        </w:numPr>
        <w:tabs>
          <w:tab w:pos="421" w:val="left" w:leader="none"/>
        </w:tabs>
        <w:spacing w:line="240" w:lineRule="auto" w:before="120" w:after="0"/>
        <w:ind w:left="421" w:right="0" w:hanging="280"/>
        <w:jc w:val="left"/>
      </w:pPr>
      <w:r>
        <w:rPr>
          <w:color w:val="145F82"/>
        </w:rPr>
        <w:t>Accords</w:t>
      </w:r>
      <w:r>
        <w:rPr>
          <w:color w:val="145F82"/>
          <w:spacing w:val="-3"/>
        </w:rPr>
        <w:t> </w:t>
      </w:r>
      <w:r>
        <w:rPr>
          <w:color w:val="145F82"/>
        </w:rPr>
        <w:t>bilatéraux</w:t>
      </w:r>
      <w:r>
        <w:rPr>
          <w:color w:val="145F82"/>
          <w:spacing w:val="-3"/>
        </w:rPr>
        <w:t> </w:t>
      </w:r>
      <w:r>
        <w:rPr>
          <w:color w:val="145F82"/>
        </w:rPr>
        <w:t>et</w:t>
      </w:r>
      <w:r>
        <w:rPr>
          <w:color w:val="145F82"/>
          <w:spacing w:val="-2"/>
        </w:rPr>
        <w:t> régionaux</w:t>
      </w:r>
    </w:p>
    <w:p>
      <w:pPr>
        <w:pStyle w:val="ListParagraph"/>
        <w:numPr>
          <w:ilvl w:val="1"/>
          <w:numId w:val="1"/>
        </w:numPr>
        <w:tabs>
          <w:tab w:pos="861" w:val="left" w:leader="none"/>
        </w:tabs>
        <w:spacing w:line="240" w:lineRule="auto" w:before="0" w:after="0"/>
        <w:ind w:left="861" w:right="1102" w:hanging="360"/>
        <w:jc w:val="left"/>
        <w:rPr>
          <w:sz w:val="24"/>
        </w:rPr>
      </w:pPr>
      <w:r>
        <w:rPr>
          <w:sz w:val="24"/>
        </w:rPr>
        <w:t>Accord</w:t>
      </w:r>
      <w:r>
        <w:rPr>
          <w:spacing w:val="-5"/>
          <w:sz w:val="24"/>
        </w:rPr>
        <w:t> </w:t>
      </w:r>
      <w:r>
        <w:rPr>
          <w:sz w:val="24"/>
        </w:rPr>
        <w:t>de</w:t>
      </w:r>
      <w:r>
        <w:rPr>
          <w:spacing w:val="-5"/>
          <w:sz w:val="24"/>
        </w:rPr>
        <w:t> </w:t>
      </w:r>
      <w:r>
        <w:rPr>
          <w:sz w:val="24"/>
        </w:rPr>
        <w:t>coopération</w:t>
      </w:r>
      <w:r>
        <w:rPr>
          <w:spacing w:val="-5"/>
          <w:sz w:val="24"/>
        </w:rPr>
        <w:t> </w:t>
      </w:r>
      <w:r>
        <w:rPr>
          <w:sz w:val="24"/>
        </w:rPr>
        <w:t>judiciaire</w:t>
      </w:r>
      <w:r>
        <w:rPr>
          <w:spacing w:val="-5"/>
          <w:sz w:val="24"/>
        </w:rPr>
        <w:t> </w:t>
      </w:r>
      <w:r>
        <w:rPr>
          <w:sz w:val="24"/>
        </w:rPr>
        <w:t>franco-malgache</w:t>
      </w:r>
      <w:r>
        <w:rPr>
          <w:spacing w:val="-5"/>
          <w:sz w:val="24"/>
        </w:rPr>
        <w:t> </w:t>
      </w:r>
      <w:r>
        <w:rPr>
          <w:sz w:val="24"/>
        </w:rPr>
        <w:t>du</w:t>
      </w:r>
      <w:r>
        <w:rPr>
          <w:spacing w:val="-5"/>
          <w:sz w:val="24"/>
        </w:rPr>
        <w:t> </w:t>
      </w:r>
      <w:r>
        <w:rPr>
          <w:sz w:val="24"/>
        </w:rPr>
        <w:t>04</w:t>
      </w:r>
      <w:r>
        <w:rPr>
          <w:spacing w:val="-5"/>
          <w:sz w:val="24"/>
        </w:rPr>
        <w:t> </w:t>
      </w:r>
      <w:r>
        <w:rPr>
          <w:sz w:val="24"/>
        </w:rPr>
        <w:t>Juin</w:t>
      </w:r>
      <w:r>
        <w:rPr>
          <w:spacing w:val="-5"/>
          <w:sz w:val="24"/>
        </w:rPr>
        <w:t> </w:t>
      </w:r>
      <w:r>
        <w:rPr>
          <w:sz w:val="24"/>
        </w:rPr>
        <w:t>1973</w:t>
      </w:r>
      <w:r>
        <w:rPr>
          <w:spacing w:val="-5"/>
          <w:sz w:val="24"/>
        </w:rPr>
        <w:t> </w:t>
      </w:r>
      <w:r>
        <w:rPr>
          <w:sz w:val="24"/>
        </w:rPr>
        <w:t>concernant l’entraide judiciaire.</w:t>
      </w:r>
    </w:p>
    <w:p>
      <w:pPr>
        <w:pStyle w:val="ListParagraph"/>
        <w:numPr>
          <w:ilvl w:val="1"/>
          <w:numId w:val="1"/>
        </w:numPr>
        <w:tabs>
          <w:tab w:pos="861" w:val="left" w:leader="none"/>
        </w:tabs>
        <w:spacing w:line="240" w:lineRule="auto" w:before="0" w:after="0"/>
        <w:ind w:left="861" w:right="698" w:hanging="360"/>
        <w:jc w:val="left"/>
        <w:rPr>
          <w:sz w:val="24"/>
        </w:rPr>
      </w:pPr>
      <w:r>
        <w:rPr>
          <w:sz w:val="24"/>
        </w:rPr>
        <w:t>Accord</w:t>
      </w:r>
      <w:r>
        <w:rPr>
          <w:spacing w:val="-4"/>
          <w:sz w:val="24"/>
        </w:rPr>
        <w:t> </w:t>
      </w:r>
      <w:r>
        <w:rPr>
          <w:sz w:val="24"/>
        </w:rPr>
        <w:t>entre</w:t>
      </w:r>
      <w:r>
        <w:rPr>
          <w:spacing w:val="-4"/>
          <w:sz w:val="24"/>
        </w:rPr>
        <w:t> </w:t>
      </w:r>
      <w:r>
        <w:rPr>
          <w:sz w:val="24"/>
        </w:rPr>
        <w:t>la</w:t>
      </w:r>
      <w:r>
        <w:rPr>
          <w:spacing w:val="-4"/>
          <w:sz w:val="24"/>
        </w:rPr>
        <w:t> </w:t>
      </w:r>
      <w:r>
        <w:rPr>
          <w:sz w:val="24"/>
        </w:rPr>
        <w:t>République</w:t>
      </w:r>
      <w:r>
        <w:rPr>
          <w:spacing w:val="-4"/>
          <w:sz w:val="24"/>
        </w:rPr>
        <w:t> </w:t>
      </w:r>
      <w:r>
        <w:rPr>
          <w:sz w:val="24"/>
        </w:rPr>
        <w:t>française</w:t>
      </w:r>
      <w:r>
        <w:rPr>
          <w:spacing w:val="-4"/>
          <w:sz w:val="24"/>
        </w:rPr>
        <w:t> </w:t>
      </w:r>
      <w:r>
        <w:rPr>
          <w:sz w:val="24"/>
        </w:rPr>
        <w:t>et</w:t>
      </w:r>
      <w:r>
        <w:rPr>
          <w:spacing w:val="-4"/>
          <w:sz w:val="24"/>
        </w:rPr>
        <w:t> </w:t>
      </w:r>
      <w:r>
        <w:rPr>
          <w:sz w:val="24"/>
        </w:rPr>
        <w:t>l’Australie</w:t>
      </w:r>
      <w:r>
        <w:rPr>
          <w:spacing w:val="-4"/>
          <w:sz w:val="24"/>
        </w:rPr>
        <w:t> </w:t>
      </w:r>
      <w:r>
        <w:rPr>
          <w:sz w:val="24"/>
        </w:rPr>
        <w:t>relatif</w:t>
      </w:r>
      <w:r>
        <w:rPr>
          <w:spacing w:val="-4"/>
          <w:sz w:val="24"/>
        </w:rPr>
        <w:t> </w:t>
      </w:r>
      <w:r>
        <w:rPr>
          <w:sz w:val="24"/>
        </w:rPr>
        <w:t>à</w:t>
      </w:r>
      <w:r>
        <w:rPr>
          <w:spacing w:val="-4"/>
          <w:sz w:val="24"/>
        </w:rPr>
        <w:t> </w:t>
      </w:r>
      <w:r>
        <w:rPr>
          <w:sz w:val="24"/>
        </w:rPr>
        <w:t>la</w:t>
      </w:r>
      <w:r>
        <w:rPr>
          <w:spacing w:val="-4"/>
          <w:sz w:val="24"/>
        </w:rPr>
        <w:t> </w:t>
      </w:r>
      <w:r>
        <w:rPr>
          <w:sz w:val="24"/>
        </w:rPr>
        <w:t>coopération</w:t>
      </w:r>
      <w:r>
        <w:rPr>
          <w:spacing w:val="-4"/>
          <w:sz w:val="24"/>
        </w:rPr>
        <w:t> </w:t>
      </w:r>
      <w:r>
        <w:rPr>
          <w:sz w:val="24"/>
        </w:rPr>
        <w:t>dans</w:t>
      </w:r>
      <w:r>
        <w:rPr>
          <w:spacing w:val="-4"/>
          <w:sz w:val="24"/>
        </w:rPr>
        <w:t> </w:t>
      </w:r>
      <w:r>
        <w:rPr>
          <w:sz w:val="24"/>
        </w:rPr>
        <w:t>les zones maritimes adjacentes aux TAAF, Canberra, 24 novembre 2003.</w:t>
      </w:r>
    </w:p>
    <w:p>
      <w:pPr>
        <w:pStyle w:val="ListParagraph"/>
        <w:numPr>
          <w:ilvl w:val="1"/>
          <w:numId w:val="1"/>
        </w:numPr>
        <w:tabs>
          <w:tab w:pos="861" w:val="left" w:leader="none"/>
        </w:tabs>
        <w:spacing w:line="240" w:lineRule="auto" w:before="0" w:after="0"/>
        <w:ind w:left="861" w:right="459" w:hanging="360"/>
        <w:jc w:val="left"/>
        <w:rPr>
          <w:sz w:val="24"/>
        </w:rPr>
      </w:pPr>
      <w:r>
        <w:rPr>
          <w:sz w:val="24"/>
        </w:rPr>
        <w:t>Accord</w:t>
      </w:r>
      <w:r>
        <w:rPr>
          <w:spacing w:val="-4"/>
          <w:sz w:val="24"/>
        </w:rPr>
        <w:t> </w:t>
      </w:r>
      <w:r>
        <w:rPr>
          <w:sz w:val="24"/>
        </w:rPr>
        <w:t>entre</w:t>
      </w:r>
      <w:r>
        <w:rPr>
          <w:spacing w:val="-4"/>
          <w:sz w:val="24"/>
        </w:rPr>
        <w:t> </w:t>
      </w:r>
      <w:r>
        <w:rPr>
          <w:sz w:val="24"/>
        </w:rPr>
        <w:t>la</w:t>
      </w:r>
      <w:r>
        <w:rPr>
          <w:spacing w:val="-4"/>
          <w:sz w:val="24"/>
        </w:rPr>
        <w:t> </w:t>
      </w:r>
      <w:r>
        <w:rPr>
          <w:sz w:val="24"/>
        </w:rPr>
        <w:t>République</w:t>
      </w:r>
      <w:r>
        <w:rPr>
          <w:spacing w:val="-4"/>
          <w:sz w:val="24"/>
        </w:rPr>
        <w:t> </w:t>
      </w:r>
      <w:r>
        <w:rPr>
          <w:sz w:val="24"/>
        </w:rPr>
        <w:t>française</w:t>
      </w:r>
      <w:r>
        <w:rPr>
          <w:spacing w:val="-4"/>
          <w:sz w:val="24"/>
        </w:rPr>
        <w:t> </w:t>
      </w:r>
      <w:r>
        <w:rPr>
          <w:sz w:val="24"/>
        </w:rPr>
        <w:t>et</w:t>
      </w:r>
      <w:r>
        <w:rPr>
          <w:spacing w:val="-4"/>
          <w:sz w:val="24"/>
        </w:rPr>
        <w:t> </w:t>
      </w:r>
      <w:r>
        <w:rPr>
          <w:sz w:val="24"/>
        </w:rPr>
        <w:t>l’Australie</w:t>
      </w:r>
      <w:r>
        <w:rPr>
          <w:spacing w:val="-4"/>
          <w:sz w:val="24"/>
        </w:rPr>
        <w:t> </w:t>
      </w:r>
      <w:r>
        <w:rPr>
          <w:sz w:val="24"/>
        </w:rPr>
        <w:t>relatif</w:t>
      </w:r>
      <w:r>
        <w:rPr>
          <w:spacing w:val="-4"/>
          <w:sz w:val="24"/>
        </w:rPr>
        <w:t> </w:t>
      </w:r>
      <w:r>
        <w:rPr>
          <w:sz w:val="24"/>
        </w:rPr>
        <w:t>à</w:t>
      </w:r>
      <w:r>
        <w:rPr>
          <w:spacing w:val="-4"/>
          <w:sz w:val="24"/>
        </w:rPr>
        <w:t> </w:t>
      </w:r>
      <w:r>
        <w:rPr>
          <w:sz w:val="24"/>
        </w:rPr>
        <w:t>la</w:t>
      </w:r>
      <w:r>
        <w:rPr>
          <w:spacing w:val="-4"/>
          <w:sz w:val="24"/>
        </w:rPr>
        <w:t> </w:t>
      </w:r>
      <w:r>
        <w:rPr>
          <w:sz w:val="24"/>
        </w:rPr>
        <w:t>coopération</w:t>
      </w:r>
      <w:r>
        <w:rPr>
          <w:spacing w:val="-4"/>
          <w:sz w:val="24"/>
        </w:rPr>
        <w:t> </w:t>
      </w:r>
      <w:r>
        <w:rPr>
          <w:sz w:val="24"/>
        </w:rPr>
        <w:t>en</w:t>
      </w:r>
      <w:r>
        <w:rPr>
          <w:spacing w:val="-4"/>
          <w:sz w:val="24"/>
        </w:rPr>
        <w:t> </w:t>
      </w:r>
      <w:r>
        <w:rPr>
          <w:sz w:val="24"/>
        </w:rPr>
        <w:t>matière d’application de la législation de pêche, Paris, 8 janvier 2007.</w:t>
      </w:r>
    </w:p>
    <w:p>
      <w:pPr>
        <w:pStyle w:val="Heading4"/>
        <w:numPr>
          <w:ilvl w:val="0"/>
          <w:numId w:val="7"/>
        </w:numPr>
        <w:tabs>
          <w:tab w:pos="434" w:val="left" w:leader="none"/>
        </w:tabs>
        <w:spacing w:line="240" w:lineRule="auto" w:before="120" w:after="0"/>
        <w:ind w:left="434" w:right="0" w:hanging="293"/>
        <w:jc w:val="left"/>
      </w:pPr>
      <w:r>
        <w:rPr>
          <w:color w:val="145F82"/>
        </w:rPr>
        <w:t>Textes</w:t>
      </w:r>
      <w:r>
        <w:rPr>
          <w:color w:val="145F82"/>
          <w:spacing w:val="-2"/>
        </w:rPr>
        <w:t> nationaux</w:t>
      </w:r>
    </w:p>
    <w:p>
      <w:pPr>
        <w:pStyle w:val="ListParagraph"/>
        <w:numPr>
          <w:ilvl w:val="1"/>
          <w:numId w:val="7"/>
        </w:numPr>
        <w:tabs>
          <w:tab w:pos="861" w:val="left" w:leader="none"/>
        </w:tabs>
        <w:spacing w:line="240" w:lineRule="auto" w:before="0" w:after="0"/>
        <w:ind w:left="861" w:right="0" w:hanging="360"/>
        <w:jc w:val="left"/>
        <w:rPr>
          <w:sz w:val="24"/>
        </w:rPr>
      </w:pPr>
      <w:r>
        <w:rPr>
          <w:sz w:val="24"/>
        </w:rPr>
        <w:t>Loi</w:t>
      </w:r>
      <w:r>
        <w:rPr>
          <w:spacing w:val="-4"/>
          <w:sz w:val="24"/>
        </w:rPr>
        <w:t> </w:t>
      </w:r>
      <w:r>
        <w:rPr>
          <w:sz w:val="24"/>
        </w:rPr>
        <w:t>malgache</w:t>
      </w:r>
      <w:r>
        <w:rPr>
          <w:spacing w:val="-2"/>
          <w:sz w:val="24"/>
        </w:rPr>
        <w:t> </w:t>
      </w:r>
      <w:r>
        <w:rPr>
          <w:sz w:val="24"/>
        </w:rPr>
        <w:t>n°99-028</w:t>
      </w:r>
      <w:r>
        <w:rPr>
          <w:spacing w:val="-2"/>
          <w:sz w:val="24"/>
        </w:rPr>
        <w:t> </w:t>
      </w:r>
      <w:r>
        <w:rPr>
          <w:sz w:val="24"/>
        </w:rPr>
        <w:t>du</w:t>
      </w:r>
      <w:r>
        <w:rPr>
          <w:spacing w:val="-2"/>
          <w:sz w:val="24"/>
        </w:rPr>
        <w:t> </w:t>
      </w:r>
      <w:r>
        <w:rPr>
          <w:sz w:val="24"/>
        </w:rPr>
        <w:t>3</w:t>
      </w:r>
      <w:r>
        <w:rPr>
          <w:spacing w:val="-2"/>
          <w:sz w:val="24"/>
        </w:rPr>
        <w:t> </w:t>
      </w:r>
      <w:r>
        <w:rPr>
          <w:sz w:val="24"/>
        </w:rPr>
        <w:t>février</w:t>
      </w:r>
      <w:r>
        <w:rPr>
          <w:spacing w:val="-2"/>
          <w:sz w:val="24"/>
        </w:rPr>
        <w:t> </w:t>
      </w:r>
      <w:r>
        <w:rPr>
          <w:sz w:val="24"/>
        </w:rPr>
        <w:t>2000</w:t>
      </w:r>
      <w:r>
        <w:rPr>
          <w:spacing w:val="-2"/>
          <w:sz w:val="24"/>
        </w:rPr>
        <w:t> </w:t>
      </w:r>
      <w:r>
        <w:rPr>
          <w:sz w:val="24"/>
        </w:rPr>
        <w:t>portant</w:t>
      </w:r>
      <w:r>
        <w:rPr>
          <w:spacing w:val="-2"/>
          <w:sz w:val="24"/>
        </w:rPr>
        <w:t> </w:t>
      </w:r>
      <w:r>
        <w:rPr>
          <w:sz w:val="24"/>
        </w:rPr>
        <w:t>refonte</w:t>
      </w:r>
      <w:r>
        <w:rPr>
          <w:spacing w:val="-2"/>
          <w:sz w:val="24"/>
        </w:rPr>
        <w:t> </w:t>
      </w:r>
      <w:r>
        <w:rPr>
          <w:sz w:val="24"/>
        </w:rPr>
        <w:t>du</w:t>
      </w:r>
      <w:r>
        <w:rPr>
          <w:spacing w:val="-2"/>
          <w:sz w:val="24"/>
        </w:rPr>
        <w:t> </w:t>
      </w:r>
      <w:r>
        <w:rPr>
          <w:sz w:val="24"/>
        </w:rPr>
        <w:t>Code</w:t>
      </w:r>
      <w:r>
        <w:rPr>
          <w:spacing w:val="-2"/>
          <w:sz w:val="24"/>
        </w:rPr>
        <w:t> maritime.</w:t>
      </w:r>
    </w:p>
    <w:p>
      <w:pPr>
        <w:pStyle w:val="ListParagraph"/>
        <w:numPr>
          <w:ilvl w:val="1"/>
          <w:numId w:val="7"/>
        </w:numPr>
        <w:tabs>
          <w:tab w:pos="861" w:val="left" w:leader="none"/>
        </w:tabs>
        <w:spacing w:line="240" w:lineRule="auto" w:before="0" w:after="0"/>
        <w:ind w:left="861" w:right="163" w:hanging="360"/>
        <w:jc w:val="left"/>
        <w:rPr>
          <w:sz w:val="24"/>
        </w:rPr>
      </w:pPr>
      <w:r>
        <w:rPr>
          <w:sz w:val="24"/>
        </w:rPr>
        <w:t>Code</w:t>
      </w:r>
      <w:r>
        <w:rPr>
          <w:spacing w:val="-4"/>
          <w:sz w:val="24"/>
        </w:rPr>
        <w:t> </w:t>
      </w:r>
      <w:r>
        <w:rPr>
          <w:sz w:val="24"/>
        </w:rPr>
        <w:t>pénal</w:t>
      </w:r>
      <w:r>
        <w:rPr>
          <w:spacing w:val="-4"/>
          <w:sz w:val="24"/>
        </w:rPr>
        <w:t> </w:t>
      </w:r>
      <w:r>
        <w:rPr>
          <w:sz w:val="24"/>
        </w:rPr>
        <w:t>français</w:t>
      </w:r>
      <w:r>
        <w:rPr>
          <w:spacing w:val="-4"/>
          <w:sz w:val="24"/>
        </w:rPr>
        <w:t> </w:t>
      </w:r>
      <w:r>
        <w:rPr>
          <w:sz w:val="24"/>
        </w:rPr>
        <w:t>(dispositions</w:t>
      </w:r>
      <w:r>
        <w:rPr>
          <w:spacing w:val="-4"/>
          <w:sz w:val="24"/>
        </w:rPr>
        <w:t> </w:t>
      </w:r>
      <w:r>
        <w:rPr>
          <w:sz w:val="24"/>
        </w:rPr>
        <w:t>relatives</w:t>
      </w:r>
      <w:r>
        <w:rPr>
          <w:spacing w:val="-4"/>
          <w:sz w:val="24"/>
        </w:rPr>
        <w:t> </w:t>
      </w:r>
      <w:r>
        <w:rPr>
          <w:sz w:val="24"/>
        </w:rPr>
        <w:t>aux</w:t>
      </w:r>
      <w:r>
        <w:rPr>
          <w:spacing w:val="-4"/>
          <w:sz w:val="24"/>
        </w:rPr>
        <w:t> </w:t>
      </w:r>
      <w:r>
        <w:rPr>
          <w:sz w:val="24"/>
        </w:rPr>
        <w:t>infractions</w:t>
      </w:r>
      <w:r>
        <w:rPr>
          <w:spacing w:val="-4"/>
          <w:sz w:val="24"/>
        </w:rPr>
        <w:t> </w:t>
      </w:r>
      <w:r>
        <w:rPr>
          <w:sz w:val="24"/>
        </w:rPr>
        <w:t>maritimes</w:t>
      </w:r>
      <w:r>
        <w:rPr>
          <w:spacing w:val="-4"/>
          <w:sz w:val="24"/>
        </w:rPr>
        <w:t> </w:t>
      </w:r>
      <w:r>
        <w:rPr>
          <w:sz w:val="24"/>
        </w:rPr>
        <w:t>et</w:t>
      </w:r>
      <w:r>
        <w:rPr>
          <w:spacing w:val="-4"/>
          <w:sz w:val="24"/>
        </w:rPr>
        <w:t> </w:t>
      </w:r>
      <w:r>
        <w:rPr>
          <w:sz w:val="24"/>
        </w:rPr>
        <w:t>détournement</w:t>
      </w:r>
      <w:r>
        <w:rPr>
          <w:spacing w:val="-4"/>
          <w:sz w:val="24"/>
        </w:rPr>
        <w:t> </w:t>
      </w:r>
      <w:r>
        <w:rPr>
          <w:sz w:val="24"/>
        </w:rPr>
        <w:t>de </w:t>
      </w:r>
      <w:r>
        <w:rPr>
          <w:spacing w:val="-2"/>
          <w:sz w:val="24"/>
        </w:rPr>
        <w:t>navire).</w:t>
      </w:r>
    </w:p>
    <w:p>
      <w:pPr>
        <w:pStyle w:val="Heading3"/>
        <w:numPr>
          <w:ilvl w:val="0"/>
          <w:numId w:val="6"/>
        </w:numPr>
        <w:tabs>
          <w:tab w:pos="541" w:val="left" w:leader="none"/>
        </w:tabs>
        <w:spacing w:line="240" w:lineRule="auto" w:before="120" w:after="0"/>
        <w:ind w:left="541" w:right="0" w:hanging="400"/>
        <w:jc w:val="left"/>
      </w:pPr>
      <w:r>
        <w:rPr>
          <w:color w:val="145F82"/>
        </w:rPr>
        <w:t>DOCUMENTS</w:t>
      </w:r>
      <w:r>
        <w:rPr>
          <w:color w:val="145F82"/>
          <w:spacing w:val="-3"/>
        </w:rPr>
        <w:t> </w:t>
      </w:r>
      <w:r>
        <w:rPr>
          <w:color w:val="145F82"/>
        </w:rPr>
        <w:t>OFFICIELS</w:t>
      </w:r>
      <w:r>
        <w:rPr>
          <w:color w:val="145F82"/>
          <w:spacing w:val="-3"/>
        </w:rPr>
        <w:t> </w:t>
      </w:r>
      <w:r>
        <w:rPr>
          <w:color w:val="145F82"/>
        </w:rPr>
        <w:t>ET</w:t>
      </w:r>
      <w:r>
        <w:rPr>
          <w:color w:val="145F82"/>
          <w:spacing w:val="-3"/>
        </w:rPr>
        <w:t> </w:t>
      </w:r>
      <w:r>
        <w:rPr>
          <w:color w:val="145F82"/>
          <w:spacing w:val="-2"/>
        </w:rPr>
        <w:t>RAPPORTS</w:t>
      </w:r>
    </w:p>
    <w:p>
      <w:pPr>
        <w:pStyle w:val="ListParagraph"/>
        <w:numPr>
          <w:ilvl w:val="1"/>
          <w:numId w:val="7"/>
        </w:numPr>
        <w:tabs>
          <w:tab w:pos="855" w:val="left" w:leader="none"/>
        </w:tabs>
        <w:spacing w:line="240" w:lineRule="auto" w:before="0" w:after="0"/>
        <w:ind w:left="855" w:right="265" w:hanging="358"/>
        <w:jc w:val="left"/>
        <w:rPr>
          <w:sz w:val="24"/>
        </w:rPr>
      </w:pPr>
      <w:r>
        <w:rPr>
          <w:sz w:val="24"/>
        </w:rPr>
        <w:t>Commission</w:t>
      </w:r>
      <w:r>
        <w:rPr>
          <w:spacing w:val="-4"/>
          <w:sz w:val="24"/>
        </w:rPr>
        <w:t> </w:t>
      </w:r>
      <w:r>
        <w:rPr>
          <w:sz w:val="24"/>
        </w:rPr>
        <w:t>du</w:t>
      </w:r>
      <w:r>
        <w:rPr>
          <w:spacing w:val="-4"/>
          <w:sz w:val="24"/>
        </w:rPr>
        <w:t> </w:t>
      </w:r>
      <w:r>
        <w:rPr>
          <w:sz w:val="24"/>
        </w:rPr>
        <w:t>droit</w:t>
      </w:r>
      <w:r>
        <w:rPr>
          <w:spacing w:val="-4"/>
          <w:sz w:val="24"/>
        </w:rPr>
        <w:t> </w:t>
      </w:r>
      <w:r>
        <w:rPr>
          <w:sz w:val="24"/>
        </w:rPr>
        <w:t>international,</w:t>
      </w:r>
      <w:r>
        <w:rPr>
          <w:spacing w:val="-3"/>
          <w:sz w:val="24"/>
        </w:rPr>
        <w:t> </w:t>
      </w:r>
      <w:r>
        <w:rPr>
          <w:i/>
          <w:sz w:val="24"/>
        </w:rPr>
        <w:t>Obligation</w:t>
      </w:r>
      <w:r>
        <w:rPr>
          <w:i/>
          <w:spacing w:val="-4"/>
          <w:sz w:val="24"/>
        </w:rPr>
        <w:t> </w:t>
      </w:r>
      <w:r>
        <w:rPr>
          <w:i/>
          <w:sz w:val="24"/>
        </w:rPr>
        <w:t>d’extrader</w:t>
      </w:r>
      <w:r>
        <w:rPr>
          <w:i/>
          <w:spacing w:val="-4"/>
          <w:sz w:val="24"/>
        </w:rPr>
        <w:t> </w:t>
      </w:r>
      <w:r>
        <w:rPr>
          <w:i/>
          <w:sz w:val="24"/>
        </w:rPr>
        <w:t>ou</w:t>
      </w:r>
      <w:r>
        <w:rPr>
          <w:i/>
          <w:spacing w:val="-4"/>
          <w:sz w:val="24"/>
        </w:rPr>
        <w:t> </w:t>
      </w:r>
      <w:r>
        <w:rPr>
          <w:i/>
          <w:sz w:val="24"/>
        </w:rPr>
        <w:t>de</w:t>
      </w:r>
      <w:r>
        <w:rPr>
          <w:i/>
          <w:spacing w:val="-4"/>
          <w:sz w:val="24"/>
        </w:rPr>
        <w:t> </w:t>
      </w:r>
      <w:r>
        <w:rPr>
          <w:i/>
          <w:sz w:val="24"/>
        </w:rPr>
        <w:t>poursuivre</w:t>
      </w:r>
      <w:r>
        <w:rPr>
          <w:i/>
          <w:spacing w:val="-4"/>
          <w:sz w:val="24"/>
        </w:rPr>
        <w:t> </w:t>
      </w:r>
      <w:r>
        <w:rPr>
          <w:i/>
          <w:sz w:val="24"/>
        </w:rPr>
        <w:t>(aut</w:t>
      </w:r>
      <w:r>
        <w:rPr>
          <w:i/>
          <w:spacing w:val="-4"/>
          <w:sz w:val="24"/>
        </w:rPr>
        <w:t> </w:t>
      </w:r>
      <w:r>
        <w:rPr>
          <w:i/>
          <w:sz w:val="24"/>
        </w:rPr>
        <w:t>dedere aut judicare)</w:t>
      </w:r>
      <w:r>
        <w:rPr>
          <w:sz w:val="24"/>
        </w:rPr>
        <w:t>, Rapport final, 66e session, Nations Unies, 2014.</w:t>
      </w:r>
    </w:p>
    <w:p>
      <w:pPr>
        <w:pStyle w:val="ListParagraph"/>
        <w:spacing w:after="0" w:line="240" w:lineRule="auto"/>
        <w:jc w:val="left"/>
        <w:rPr>
          <w:sz w:val="24"/>
        </w:rPr>
        <w:sectPr>
          <w:pgSz w:w="11910" w:h="16840"/>
          <w:pgMar w:header="0" w:footer="1005" w:top="1340" w:bottom="1200" w:left="1275" w:right="1133"/>
        </w:sectPr>
      </w:pPr>
    </w:p>
    <w:p>
      <w:pPr>
        <w:pStyle w:val="ListParagraph"/>
        <w:numPr>
          <w:ilvl w:val="1"/>
          <w:numId w:val="7"/>
        </w:numPr>
        <w:tabs>
          <w:tab w:pos="856" w:val="left" w:leader="none"/>
        </w:tabs>
        <w:spacing w:line="240" w:lineRule="auto" w:before="79" w:after="0"/>
        <w:ind w:left="856" w:right="1050" w:hanging="357"/>
        <w:jc w:val="left"/>
        <w:rPr>
          <w:sz w:val="24"/>
        </w:rPr>
      </w:pPr>
      <w:r>
        <w:rPr>
          <w:sz w:val="24"/>
        </w:rPr>
        <w:t>International</w:t>
      </w:r>
      <w:r>
        <w:rPr>
          <w:spacing w:val="-5"/>
          <w:sz w:val="24"/>
        </w:rPr>
        <w:t> </w:t>
      </w:r>
      <w:r>
        <w:rPr>
          <w:sz w:val="24"/>
        </w:rPr>
        <w:t>Maritime</w:t>
      </w:r>
      <w:r>
        <w:rPr>
          <w:spacing w:val="-5"/>
          <w:sz w:val="24"/>
        </w:rPr>
        <w:t> </w:t>
      </w:r>
      <w:r>
        <w:rPr>
          <w:sz w:val="24"/>
        </w:rPr>
        <w:t>Organization</w:t>
      </w:r>
      <w:r>
        <w:rPr>
          <w:spacing w:val="-5"/>
          <w:sz w:val="24"/>
        </w:rPr>
        <w:t> </w:t>
      </w:r>
      <w:r>
        <w:rPr>
          <w:sz w:val="24"/>
        </w:rPr>
        <w:t>(IMO),</w:t>
      </w:r>
      <w:r>
        <w:rPr>
          <w:spacing w:val="-2"/>
          <w:sz w:val="24"/>
        </w:rPr>
        <w:t> </w:t>
      </w:r>
      <w:r>
        <w:rPr>
          <w:i/>
          <w:sz w:val="24"/>
        </w:rPr>
        <w:t>Contribution</w:t>
      </w:r>
      <w:r>
        <w:rPr>
          <w:i/>
          <w:spacing w:val="-5"/>
          <w:sz w:val="24"/>
        </w:rPr>
        <w:t> </w:t>
      </w:r>
      <w:r>
        <w:rPr>
          <w:i/>
          <w:sz w:val="24"/>
        </w:rPr>
        <w:t>to</w:t>
      </w:r>
      <w:r>
        <w:rPr>
          <w:i/>
          <w:spacing w:val="-5"/>
          <w:sz w:val="24"/>
        </w:rPr>
        <w:t> </w:t>
      </w:r>
      <w:r>
        <w:rPr>
          <w:i/>
          <w:sz w:val="24"/>
        </w:rPr>
        <w:t>the</w:t>
      </w:r>
      <w:r>
        <w:rPr>
          <w:i/>
          <w:spacing w:val="-5"/>
          <w:sz w:val="24"/>
        </w:rPr>
        <w:t> </w:t>
      </w:r>
      <w:r>
        <w:rPr>
          <w:i/>
          <w:sz w:val="24"/>
        </w:rPr>
        <w:t>UN</w:t>
      </w:r>
      <w:r>
        <w:rPr>
          <w:i/>
          <w:spacing w:val="-5"/>
          <w:sz w:val="24"/>
        </w:rPr>
        <w:t> </w:t>
      </w:r>
      <w:r>
        <w:rPr>
          <w:i/>
          <w:sz w:val="24"/>
        </w:rPr>
        <w:t>Secretary-General’s Report on Universal Jurisdiction</w:t>
      </w:r>
      <w:r>
        <w:rPr>
          <w:sz w:val="24"/>
        </w:rPr>
        <w:t>, 2020.</w:t>
      </w:r>
    </w:p>
    <w:p>
      <w:pPr>
        <w:pStyle w:val="ListParagraph"/>
        <w:numPr>
          <w:ilvl w:val="1"/>
          <w:numId w:val="7"/>
        </w:numPr>
        <w:tabs>
          <w:tab w:pos="856" w:val="left" w:leader="none"/>
        </w:tabs>
        <w:spacing w:line="240" w:lineRule="auto" w:before="0" w:after="0"/>
        <w:ind w:left="856" w:right="464" w:hanging="357"/>
        <w:jc w:val="left"/>
        <w:rPr>
          <w:sz w:val="24"/>
        </w:rPr>
      </w:pPr>
      <w:r>
        <w:rPr>
          <w:sz w:val="24"/>
        </w:rPr>
        <w:t>United</w:t>
      </w:r>
      <w:r>
        <w:rPr>
          <w:spacing w:val="-4"/>
          <w:sz w:val="24"/>
        </w:rPr>
        <w:t> </w:t>
      </w:r>
      <w:r>
        <w:rPr>
          <w:sz w:val="24"/>
        </w:rPr>
        <w:t>Nations</w:t>
      </w:r>
      <w:r>
        <w:rPr>
          <w:spacing w:val="-4"/>
          <w:sz w:val="24"/>
        </w:rPr>
        <w:t> </w:t>
      </w:r>
      <w:r>
        <w:rPr>
          <w:sz w:val="24"/>
        </w:rPr>
        <w:t>Office</w:t>
      </w:r>
      <w:r>
        <w:rPr>
          <w:spacing w:val="-4"/>
          <w:sz w:val="24"/>
        </w:rPr>
        <w:t> </w:t>
      </w:r>
      <w:r>
        <w:rPr>
          <w:sz w:val="24"/>
        </w:rPr>
        <w:t>on</w:t>
      </w:r>
      <w:r>
        <w:rPr>
          <w:spacing w:val="-4"/>
          <w:sz w:val="24"/>
        </w:rPr>
        <w:t> </w:t>
      </w:r>
      <w:r>
        <w:rPr>
          <w:sz w:val="24"/>
        </w:rPr>
        <w:t>Drugs</w:t>
      </w:r>
      <w:r>
        <w:rPr>
          <w:spacing w:val="-4"/>
          <w:sz w:val="24"/>
        </w:rPr>
        <w:t> </w:t>
      </w:r>
      <w:r>
        <w:rPr>
          <w:sz w:val="24"/>
        </w:rPr>
        <w:t>and</w:t>
      </w:r>
      <w:r>
        <w:rPr>
          <w:spacing w:val="-4"/>
          <w:sz w:val="24"/>
        </w:rPr>
        <w:t> </w:t>
      </w:r>
      <w:r>
        <w:rPr>
          <w:sz w:val="24"/>
        </w:rPr>
        <w:t>Crime</w:t>
      </w:r>
      <w:r>
        <w:rPr>
          <w:spacing w:val="-4"/>
          <w:sz w:val="24"/>
        </w:rPr>
        <w:t> </w:t>
      </w:r>
      <w:r>
        <w:rPr>
          <w:sz w:val="24"/>
        </w:rPr>
        <w:t>(UNODC),</w:t>
      </w:r>
      <w:r>
        <w:rPr>
          <w:spacing w:val="-2"/>
          <w:sz w:val="24"/>
        </w:rPr>
        <w:t> </w:t>
      </w:r>
      <w:r>
        <w:rPr>
          <w:i/>
          <w:sz w:val="24"/>
        </w:rPr>
        <w:t>Maritime</w:t>
      </w:r>
      <w:r>
        <w:rPr>
          <w:i/>
          <w:spacing w:val="-4"/>
          <w:sz w:val="24"/>
        </w:rPr>
        <w:t> </w:t>
      </w:r>
      <w:r>
        <w:rPr>
          <w:i/>
          <w:sz w:val="24"/>
        </w:rPr>
        <w:t>Crime</w:t>
      </w:r>
      <w:r>
        <w:rPr>
          <w:i/>
          <w:spacing w:val="-4"/>
          <w:sz w:val="24"/>
        </w:rPr>
        <w:t> </w:t>
      </w:r>
      <w:r>
        <w:rPr>
          <w:i/>
          <w:sz w:val="24"/>
        </w:rPr>
        <w:t>Programme: Piracy and Armed Robbery at Sea</w:t>
      </w:r>
      <w:r>
        <w:rPr>
          <w:sz w:val="24"/>
        </w:rPr>
        <w:t>, rapports annuels.</w:t>
      </w:r>
    </w:p>
    <w:p>
      <w:pPr>
        <w:pStyle w:val="Heading3"/>
        <w:numPr>
          <w:ilvl w:val="0"/>
          <w:numId w:val="6"/>
        </w:numPr>
        <w:tabs>
          <w:tab w:pos="528" w:val="left" w:leader="none"/>
        </w:tabs>
        <w:spacing w:line="240" w:lineRule="auto" w:before="120" w:after="0"/>
        <w:ind w:left="528" w:right="0" w:hanging="386"/>
        <w:jc w:val="left"/>
      </w:pPr>
      <w:r>
        <w:rPr>
          <w:color w:val="145F82"/>
          <w:spacing w:val="-2"/>
        </w:rPr>
        <w:t>WEBOGRAPHIE</w:t>
      </w:r>
    </w:p>
    <w:p>
      <w:pPr>
        <w:pStyle w:val="Heading4"/>
        <w:numPr>
          <w:ilvl w:val="0"/>
          <w:numId w:val="8"/>
        </w:numPr>
        <w:tabs>
          <w:tab w:pos="435" w:val="left" w:leader="none"/>
        </w:tabs>
        <w:spacing w:line="240" w:lineRule="auto" w:before="120" w:after="0"/>
        <w:ind w:left="435" w:right="0" w:hanging="293"/>
        <w:jc w:val="left"/>
      </w:pPr>
      <w:r>
        <w:rPr>
          <w:color w:val="145F82"/>
        </w:rPr>
        <w:t>Articles</w:t>
      </w:r>
      <w:r>
        <w:rPr>
          <w:color w:val="145F82"/>
          <w:spacing w:val="-5"/>
        </w:rPr>
        <w:t> </w:t>
      </w:r>
      <w:r>
        <w:rPr>
          <w:color w:val="145F82"/>
        </w:rPr>
        <w:t>scientifiques</w:t>
      </w:r>
      <w:r>
        <w:rPr>
          <w:color w:val="145F82"/>
          <w:spacing w:val="-4"/>
        </w:rPr>
        <w:t> </w:t>
      </w:r>
      <w:r>
        <w:rPr>
          <w:color w:val="145F82"/>
        </w:rPr>
        <w:t>et</w:t>
      </w:r>
      <w:r>
        <w:rPr>
          <w:color w:val="145F82"/>
          <w:spacing w:val="-4"/>
        </w:rPr>
        <w:t> </w:t>
      </w:r>
      <w:r>
        <w:rPr>
          <w:color w:val="145F82"/>
          <w:spacing w:val="-2"/>
        </w:rPr>
        <w:t>académiques</w:t>
      </w:r>
    </w:p>
    <w:p>
      <w:pPr>
        <w:pStyle w:val="ListParagraph"/>
        <w:numPr>
          <w:ilvl w:val="1"/>
          <w:numId w:val="7"/>
        </w:numPr>
        <w:tabs>
          <w:tab w:pos="862" w:val="left" w:leader="none"/>
        </w:tabs>
        <w:spacing w:line="240" w:lineRule="auto" w:before="0" w:after="0"/>
        <w:ind w:left="862" w:right="515" w:hanging="360"/>
        <w:jc w:val="left"/>
        <w:rPr>
          <w:sz w:val="24"/>
        </w:rPr>
      </w:pPr>
      <w:r>
        <w:rPr>
          <w:sz w:val="24"/>
        </w:rPr>
        <w:t>Bernard</w:t>
      </w:r>
      <w:r>
        <w:rPr>
          <w:spacing w:val="-4"/>
          <w:sz w:val="24"/>
        </w:rPr>
        <w:t> </w:t>
      </w:r>
      <w:r>
        <w:rPr>
          <w:sz w:val="24"/>
        </w:rPr>
        <w:t>DROBENKO,</w:t>
      </w:r>
      <w:r>
        <w:rPr>
          <w:spacing w:val="-4"/>
          <w:sz w:val="24"/>
        </w:rPr>
        <w:t> </w:t>
      </w:r>
      <w:r>
        <w:rPr>
          <w:sz w:val="24"/>
        </w:rPr>
        <w:t>«</w:t>
      </w:r>
      <w:r>
        <w:rPr>
          <w:spacing w:val="-4"/>
          <w:sz w:val="24"/>
        </w:rPr>
        <w:t> </w:t>
      </w:r>
      <w:r>
        <w:rPr>
          <w:sz w:val="24"/>
        </w:rPr>
        <w:t>La</w:t>
      </w:r>
      <w:r>
        <w:rPr>
          <w:spacing w:val="-4"/>
          <w:sz w:val="24"/>
        </w:rPr>
        <w:t> </w:t>
      </w:r>
      <w:r>
        <w:rPr>
          <w:sz w:val="24"/>
        </w:rPr>
        <w:t>piraterie</w:t>
      </w:r>
      <w:r>
        <w:rPr>
          <w:spacing w:val="-4"/>
          <w:sz w:val="24"/>
        </w:rPr>
        <w:t> </w:t>
      </w:r>
      <w:r>
        <w:rPr>
          <w:sz w:val="24"/>
        </w:rPr>
        <w:t>saisie</w:t>
      </w:r>
      <w:r>
        <w:rPr>
          <w:spacing w:val="-4"/>
          <w:sz w:val="24"/>
        </w:rPr>
        <w:t> </w:t>
      </w:r>
      <w:r>
        <w:rPr>
          <w:sz w:val="24"/>
        </w:rPr>
        <w:t>par</w:t>
      </w:r>
      <w:r>
        <w:rPr>
          <w:spacing w:val="-4"/>
          <w:sz w:val="24"/>
        </w:rPr>
        <w:t> </w:t>
      </w:r>
      <w:r>
        <w:rPr>
          <w:sz w:val="24"/>
        </w:rPr>
        <w:t>le</w:t>
      </w:r>
      <w:r>
        <w:rPr>
          <w:spacing w:val="-4"/>
          <w:sz w:val="24"/>
        </w:rPr>
        <w:t> </w:t>
      </w:r>
      <w:r>
        <w:rPr>
          <w:sz w:val="24"/>
        </w:rPr>
        <w:t>droit</w:t>
      </w:r>
      <w:r>
        <w:rPr>
          <w:spacing w:val="-4"/>
          <w:sz w:val="24"/>
        </w:rPr>
        <w:t> </w:t>
      </w:r>
      <w:r>
        <w:rPr>
          <w:sz w:val="24"/>
        </w:rPr>
        <w:t>»,</w:t>
      </w:r>
      <w:r>
        <w:rPr>
          <w:spacing w:val="-4"/>
          <w:sz w:val="24"/>
        </w:rPr>
        <w:t> </w:t>
      </w:r>
      <w:r>
        <w:rPr>
          <w:sz w:val="24"/>
        </w:rPr>
        <w:t>HAL</w:t>
      </w:r>
      <w:r>
        <w:rPr>
          <w:spacing w:val="-4"/>
          <w:sz w:val="24"/>
        </w:rPr>
        <w:t> </w:t>
      </w:r>
      <w:r>
        <w:rPr>
          <w:sz w:val="24"/>
        </w:rPr>
        <w:t>Open</w:t>
      </w:r>
      <w:r>
        <w:rPr>
          <w:spacing w:val="-4"/>
          <w:sz w:val="24"/>
        </w:rPr>
        <w:t> </w:t>
      </w:r>
      <w:r>
        <w:rPr>
          <w:sz w:val="24"/>
        </w:rPr>
        <w:t>Science,</w:t>
      </w:r>
      <w:r>
        <w:rPr>
          <w:spacing w:val="-4"/>
          <w:sz w:val="24"/>
        </w:rPr>
        <w:t> </w:t>
      </w:r>
      <w:r>
        <w:rPr>
          <w:sz w:val="24"/>
        </w:rPr>
        <w:t>2020. </w:t>
      </w:r>
      <w:hyperlink r:id="rId12">
        <w:r>
          <w:rPr>
            <w:color w:val="0000FF"/>
            <w:sz w:val="24"/>
            <w:u w:val="single" w:color="0000FF"/>
          </w:rPr>
          <w:t>https://hal.science/hal-03005439/document</w:t>
        </w:r>
      </w:hyperlink>
      <w:r>
        <w:rPr>
          <w:color w:val="0000FF"/>
          <w:sz w:val="24"/>
        </w:rPr>
        <w:t> </w:t>
      </w:r>
      <w:r>
        <w:rPr>
          <w:sz w:val="24"/>
        </w:rPr>
        <w:t>(consulté le 15 mars 2025).</w:t>
      </w:r>
    </w:p>
    <w:p>
      <w:pPr>
        <w:pStyle w:val="ListParagraph"/>
        <w:numPr>
          <w:ilvl w:val="1"/>
          <w:numId w:val="7"/>
        </w:numPr>
        <w:tabs>
          <w:tab w:pos="861" w:val="left" w:leader="none"/>
        </w:tabs>
        <w:spacing w:line="240" w:lineRule="auto" w:before="0" w:after="0"/>
        <w:ind w:left="861" w:right="2197" w:hanging="360"/>
        <w:jc w:val="left"/>
        <w:rPr>
          <w:sz w:val="24"/>
        </w:rPr>
      </w:pPr>
      <w:r>
        <w:rPr>
          <w:sz w:val="24"/>
        </w:rPr>
        <w:t>Yann TEPHANY, « Droit de poursuite et pêche illicite », 2017. </w:t>
      </w:r>
      <w:hyperlink r:id="rId11">
        <w:r>
          <w:rPr>
            <w:color w:val="0000FF"/>
            <w:sz w:val="24"/>
            <w:u w:val="single" w:color="0000FF"/>
          </w:rPr>
          <w:t>https://humansea.hypotheses.org/798</w:t>
        </w:r>
      </w:hyperlink>
      <w:r>
        <w:rPr>
          <w:color w:val="0000FF"/>
          <w:spacing w:val="-5"/>
          <w:sz w:val="24"/>
        </w:rPr>
        <w:t> </w:t>
      </w:r>
      <w:r>
        <w:rPr>
          <w:sz w:val="24"/>
        </w:rPr>
        <w:t>(consulté</w:t>
      </w:r>
      <w:r>
        <w:rPr>
          <w:spacing w:val="-8"/>
          <w:sz w:val="24"/>
        </w:rPr>
        <w:t> </w:t>
      </w:r>
      <w:r>
        <w:rPr>
          <w:sz w:val="24"/>
        </w:rPr>
        <w:t>le</w:t>
      </w:r>
      <w:r>
        <w:rPr>
          <w:spacing w:val="-8"/>
          <w:sz w:val="24"/>
        </w:rPr>
        <w:t> </w:t>
      </w:r>
      <w:r>
        <w:rPr>
          <w:sz w:val="24"/>
        </w:rPr>
        <w:t>23</w:t>
      </w:r>
      <w:r>
        <w:rPr>
          <w:spacing w:val="-8"/>
          <w:sz w:val="24"/>
        </w:rPr>
        <w:t> </w:t>
      </w:r>
      <w:r>
        <w:rPr>
          <w:sz w:val="24"/>
        </w:rPr>
        <w:t>janvier</w:t>
      </w:r>
      <w:r>
        <w:rPr>
          <w:spacing w:val="-8"/>
          <w:sz w:val="24"/>
        </w:rPr>
        <w:t> </w:t>
      </w:r>
      <w:r>
        <w:rPr>
          <w:sz w:val="24"/>
        </w:rPr>
        <w:t>2025).</w:t>
      </w:r>
    </w:p>
    <w:p>
      <w:pPr>
        <w:pStyle w:val="ListParagraph"/>
        <w:numPr>
          <w:ilvl w:val="1"/>
          <w:numId w:val="7"/>
        </w:numPr>
        <w:tabs>
          <w:tab w:pos="861" w:val="left" w:leader="none"/>
        </w:tabs>
        <w:spacing w:line="240" w:lineRule="auto" w:before="0" w:after="0"/>
        <w:ind w:left="861" w:right="907" w:hanging="360"/>
        <w:jc w:val="left"/>
        <w:rPr>
          <w:sz w:val="24"/>
        </w:rPr>
      </w:pPr>
      <w:r>
        <w:rPr>
          <w:sz w:val="24"/>
        </w:rPr>
        <w:t>Yann</w:t>
      </w:r>
      <w:r>
        <w:rPr>
          <w:spacing w:val="-3"/>
          <w:sz w:val="24"/>
        </w:rPr>
        <w:t> </w:t>
      </w:r>
      <w:r>
        <w:rPr>
          <w:sz w:val="24"/>
        </w:rPr>
        <w:t>TEPHANY,</w:t>
      </w:r>
      <w:r>
        <w:rPr>
          <w:spacing w:val="-3"/>
          <w:sz w:val="24"/>
        </w:rPr>
        <w:t> </w:t>
      </w:r>
      <w:r>
        <w:rPr>
          <w:sz w:val="24"/>
        </w:rPr>
        <w:t>«</w:t>
      </w:r>
      <w:r>
        <w:rPr>
          <w:spacing w:val="-3"/>
          <w:sz w:val="24"/>
        </w:rPr>
        <w:t> </w:t>
      </w:r>
      <w:r>
        <w:rPr>
          <w:sz w:val="24"/>
        </w:rPr>
        <w:t>La</w:t>
      </w:r>
      <w:r>
        <w:rPr>
          <w:spacing w:val="-3"/>
          <w:sz w:val="24"/>
        </w:rPr>
        <w:t> </w:t>
      </w:r>
      <w:r>
        <w:rPr>
          <w:sz w:val="24"/>
        </w:rPr>
        <w:t>CNUDM</w:t>
      </w:r>
      <w:r>
        <w:rPr>
          <w:spacing w:val="-3"/>
          <w:sz w:val="24"/>
        </w:rPr>
        <w:t> </w:t>
      </w:r>
      <w:r>
        <w:rPr>
          <w:sz w:val="24"/>
        </w:rPr>
        <w:t>et</w:t>
      </w:r>
      <w:r>
        <w:rPr>
          <w:spacing w:val="-3"/>
          <w:sz w:val="24"/>
        </w:rPr>
        <w:t> </w:t>
      </w:r>
      <w:r>
        <w:rPr>
          <w:sz w:val="24"/>
        </w:rPr>
        <w:t>la</w:t>
      </w:r>
      <w:r>
        <w:rPr>
          <w:spacing w:val="-3"/>
          <w:sz w:val="24"/>
        </w:rPr>
        <w:t> </w:t>
      </w:r>
      <w:r>
        <w:rPr>
          <w:sz w:val="24"/>
        </w:rPr>
        <w:t>lutte</w:t>
      </w:r>
      <w:r>
        <w:rPr>
          <w:spacing w:val="-3"/>
          <w:sz w:val="24"/>
        </w:rPr>
        <w:t> </w:t>
      </w:r>
      <w:r>
        <w:rPr>
          <w:sz w:val="24"/>
        </w:rPr>
        <w:t>contre</w:t>
      </w:r>
      <w:r>
        <w:rPr>
          <w:spacing w:val="-3"/>
          <w:sz w:val="24"/>
        </w:rPr>
        <w:t> </w:t>
      </w:r>
      <w:r>
        <w:rPr>
          <w:sz w:val="24"/>
        </w:rPr>
        <w:t>les</w:t>
      </w:r>
      <w:r>
        <w:rPr>
          <w:spacing w:val="-3"/>
          <w:sz w:val="24"/>
        </w:rPr>
        <w:t> </w:t>
      </w:r>
      <w:r>
        <w:rPr>
          <w:sz w:val="24"/>
        </w:rPr>
        <w:t>activités</w:t>
      </w:r>
      <w:r>
        <w:rPr>
          <w:spacing w:val="-3"/>
          <w:sz w:val="24"/>
        </w:rPr>
        <w:t> </w:t>
      </w:r>
      <w:r>
        <w:rPr>
          <w:sz w:val="24"/>
        </w:rPr>
        <w:t>illicites</w:t>
      </w:r>
      <w:r>
        <w:rPr>
          <w:spacing w:val="-3"/>
          <w:sz w:val="24"/>
        </w:rPr>
        <w:t> </w:t>
      </w:r>
      <w:r>
        <w:rPr>
          <w:sz w:val="24"/>
        </w:rPr>
        <w:t>en</w:t>
      </w:r>
      <w:r>
        <w:rPr>
          <w:spacing w:val="-3"/>
          <w:sz w:val="24"/>
        </w:rPr>
        <w:t> </w:t>
      </w:r>
      <w:r>
        <w:rPr>
          <w:sz w:val="24"/>
        </w:rPr>
        <w:t>mer</w:t>
      </w:r>
      <w:r>
        <w:rPr>
          <w:spacing w:val="-3"/>
          <w:sz w:val="24"/>
        </w:rPr>
        <w:t> </w:t>
      </w:r>
      <w:r>
        <w:rPr>
          <w:sz w:val="24"/>
        </w:rPr>
        <w:t>», OpenEdition, DICE, 2020.</w:t>
      </w:r>
    </w:p>
    <w:p>
      <w:pPr>
        <w:pStyle w:val="BodyText"/>
        <w:ind w:left="861"/>
      </w:pPr>
      <w:hyperlink r:id="rId14">
        <w:r>
          <w:rPr>
            <w:color w:val="0000FF"/>
            <w:u w:val="single" w:color="0000FF"/>
          </w:rPr>
          <w:t>https://books.openedition.org/dice/17057</w:t>
        </w:r>
      </w:hyperlink>
      <w:r>
        <w:rPr>
          <w:color w:val="0000FF"/>
          <w:spacing w:val="-6"/>
        </w:rPr>
        <w:t> </w:t>
      </w:r>
      <w:r>
        <w:rPr/>
        <w:t>(consulté</w:t>
      </w:r>
      <w:r>
        <w:rPr>
          <w:spacing w:val="-8"/>
        </w:rPr>
        <w:t> </w:t>
      </w:r>
      <w:r>
        <w:rPr/>
        <w:t>le</w:t>
      </w:r>
      <w:r>
        <w:rPr>
          <w:spacing w:val="-8"/>
        </w:rPr>
        <w:t> </w:t>
      </w:r>
      <w:r>
        <w:rPr/>
        <w:t>23</w:t>
      </w:r>
      <w:r>
        <w:rPr>
          <w:spacing w:val="-8"/>
        </w:rPr>
        <w:t> </w:t>
      </w:r>
      <w:r>
        <w:rPr/>
        <w:t>janvier</w:t>
      </w:r>
      <w:r>
        <w:rPr>
          <w:spacing w:val="-8"/>
        </w:rPr>
        <w:t> </w:t>
      </w:r>
      <w:r>
        <w:rPr>
          <w:spacing w:val="-2"/>
        </w:rPr>
        <w:t>2025).</w:t>
      </w:r>
    </w:p>
    <w:p>
      <w:pPr>
        <w:pStyle w:val="ListParagraph"/>
        <w:numPr>
          <w:ilvl w:val="1"/>
          <w:numId w:val="7"/>
        </w:numPr>
        <w:tabs>
          <w:tab w:pos="861" w:val="left" w:leader="none"/>
        </w:tabs>
        <w:spacing w:line="240" w:lineRule="auto" w:before="0" w:after="0"/>
        <w:ind w:left="861" w:right="958" w:hanging="360"/>
        <w:jc w:val="left"/>
        <w:rPr>
          <w:sz w:val="24"/>
        </w:rPr>
      </w:pPr>
      <w:r>
        <w:rPr>
          <w:sz w:val="24"/>
        </w:rPr>
        <w:t>Michael</w:t>
      </w:r>
      <w:r>
        <w:rPr>
          <w:spacing w:val="-4"/>
          <w:sz w:val="24"/>
        </w:rPr>
        <w:t> </w:t>
      </w:r>
      <w:r>
        <w:rPr>
          <w:sz w:val="24"/>
        </w:rPr>
        <w:t>Scharf,</w:t>
      </w:r>
      <w:r>
        <w:rPr>
          <w:spacing w:val="-4"/>
          <w:sz w:val="24"/>
        </w:rPr>
        <w:t> </w:t>
      </w:r>
      <w:r>
        <w:rPr>
          <w:i/>
          <w:sz w:val="24"/>
        </w:rPr>
        <w:t>Maritime</w:t>
      </w:r>
      <w:r>
        <w:rPr>
          <w:i/>
          <w:spacing w:val="-4"/>
          <w:sz w:val="24"/>
        </w:rPr>
        <w:t> </w:t>
      </w:r>
      <w:r>
        <w:rPr>
          <w:i/>
          <w:sz w:val="24"/>
        </w:rPr>
        <w:t>Piracy</w:t>
      </w:r>
      <w:r>
        <w:rPr>
          <w:i/>
          <w:spacing w:val="-4"/>
          <w:sz w:val="24"/>
        </w:rPr>
        <w:t> </w:t>
      </w:r>
      <w:r>
        <w:rPr>
          <w:i/>
          <w:sz w:val="24"/>
        </w:rPr>
        <w:t>and</w:t>
      </w:r>
      <w:r>
        <w:rPr>
          <w:i/>
          <w:spacing w:val="-4"/>
          <w:sz w:val="24"/>
        </w:rPr>
        <w:t> </w:t>
      </w:r>
      <w:r>
        <w:rPr>
          <w:i/>
          <w:sz w:val="24"/>
        </w:rPr>
        <w:t>International</w:t>
      </w:r>
      <w:r>
        <w:rPr>
          <w:i/>
          <w:spacing w:val="-4"/>
          <w:sz w:val="24"/>
        </w:rPr>
        <w:t> </w:t>
      </w:r>
      <w:r>
        <w:rPr>
          <w:i/>
          <w:sz w:val="24"/>
        </w:rPr>
        <w:t>Law</w:t>
      </w:r>
      <w:r>
        <w:rPr>
          <w:sz w:val="24"/>
        </w:rPr>
        <w:t>,</w:t>
      </w:r>
      <w:r>
        <w:rPr>
          <w:spacing w:val="-4"/>
          <w:sz w:val="24"/>
        </w:rPr>
        <w:t> </w:t>
      </w:r>
      <w:r>
        <w:rPr>
          <w:sz w:val="24"/>
        </w:rPr>
        <w:t>academic</w:t>
      </w:r>
      <w:r>
        <w:rPr>
          <w:spacing w:val="-4"/>
          <w:sz w:val="24"/>
        </w:rPr>
        <w:t> </w:t>
      </w:r>
      <w:r>
        <w:rPr>
          <w:sz w:val="24"/>
        </w:rPr>
        <w:t>article,</w:t>
      </w:r>
      <w:r>
        <w:rPr>
          <w:spacing w:val="-4"/>
          <w:sz w:val="24"/>
        </w:rPr>
        <w:t> </w:t>
      </w:r>
      <w:r>
        <w:rPr>
          <w:sz w:val="24"/>
        </w:rPr>
        <w:t>Case Western Reserve University.</w:t>
      </w:r>
    </w:p>
    <w:p>
      <w:pPr>
        <w:pStyle w:val="Heading4"/>
        <w:numPr>
          <w:ilvl w:val="0"/>
          <w:numId w:val="8"/>
        </w:numPr>
        <w:tabs>
          <w:tab w:pos="421" w:val="left" w:leader="none"/>
        </w:tabs>
        <w:spacing w:line="240" w:lineRule="auto" w:before="120" w:after="0"/>
        <w:ind w:left="421" w:right="0" w:hanging="280"/>
        <w:jc w:val="left"/>
      </w:pPr>
      <w:r>
        <w:rPr>
          <w:color w:val="145F82"/>
        </w:rPr>
        <w:t>Documents</w:t>
      </w:r>
      <w:r>
        <w:rPr>
          <w:color w:val="145F82"/>
          <w:spacing w:val="-7"/>
        </w:rPr>
        <w:t> </w:t>
      </w:r>
      <w:r>
        <w:rPr>
          <w:color w:val="145F82"/>
        </w:rPr>
        <w:t>institutionnels</w:t>
      </w:r>
      <w:r>
        <w:rPr>
          <w:color w:val="145F82"/>
          <w:spacing w:val="-6"/>
        </w:rPr>
        <w:t> </w:t>
      </w:r>
      <w:r>
        <w:rPr>
          <w:color w:val="145F82"/>
        </w:rPr>
        <w:t>et</w:t>
      </w:r>
      <w:r>
        <w:rPr>
          <w:color w:val="145F82"/>
          <w:spacing w:val="-6"/>
        </w:rPr>
        <w:t> </w:t>
      </w:r>
      <w:r>
        <w:rPr>
          <w:color w:val="145F82"/>
          <w:spacing w:val="-2"/>
        </w:rPr>
        <w:t>rapports</w:t>
      </w:r>
    </w:p>
    <w:p>
      <w:pPr>
        <w:pStyle w:val="ListParagraph"/>
        <w:numPr>
          <w:ilvl w:val="1"/>
          <w:numId w:val="7"/>
        </w:numPr>
        <w:tabs>
          <w:tab w:pos="861" w:val="left" w:leader="none"/>
        </w:tabs>
        <w:spacing w:line="240" w:lineRule="auto" w:before="0" w:after="0"/>
        <w:ind w:left="861" w:right="397" w:hanging="360"/>
        <w:jc w:val="left"/>
        <w:rPr>
          <w:sz w:val="24"/>
        </w:rPr>
      </w:pPr>
      <w:r>
        <w:rPr>
          <w:sz w:val="24"/>
        </w:rPr>
        <w:t>Association</w:t>
      </w:r>
      <w:r>
        <w:rPr>
          <w:spacing w:val="-4"/>
          <w:sz w:val="24"/>
        </w:rPr>
        <w:t> </w:t>
      </w:r>
      <w:r>
        <w:rPr>
          <w:sz w:val="24"/>
        </w:rPr>
        <w:t>Legisplaisance,</w:t>
      </w:r>
      <w:r>
        <w:rPr>
          <w:spacing w:val="-4"/>
          <w:sz w:val="24"/>
        </w:rPr>
        <w:t> </w:t>
      </w:r>
      <w:r>
        <w:rPr>
          <w:sz w:val="24"/>
        </w:rPr>
        <w:t>«</w:t>
      </w:r>
      <w:r>
        <w:rPr>
          <w:spacing w:val="-4"/>
          <w:sz w:val="24"/>
        </w:rPr>
        <w:t> </w:t>
      </w:r>
      <w:r>
        <w:rPr>
          <w:sz w:val="24"/>
        </w:rPr>
        <w:t>Infraction</w:t>
      </w:r>
      <w:r>
        <w:rPr>
          <w:spacing w:val="-4"/>
          <w:sz w:val="24"/>
        </w:rPr>
        <w:t> </w:t>
      </w:r>
      <w:r>
        <w:rPr>
          <w:sz w:val="24"/>
        </w:rPr>
        <w:t>pénale</w:t>
      </w:r>
      <w:r>
        <w:rPr>
          <w:spacing w:val="-4"/>
          <w:sz w:val="24"/>
        </w:rPr>
        <w:t> </w:t>
      </w:r>
      <w:r>
        <w:rPr>
          <w:sz w:val="24"/>
        </w:rPr>
        <w:t>en</w:t>
      </w:r>
      <w:r>
        <w:rPr>
          <w:spacing w:val="-4"/>
          <w:sz w:val="24"/>
        </w:rPr>
        <w:t> </w:t>
      </w:r>
      <w:r>
        <w:rPr>
          <w:sz w:val="24"/>
        </w:rPr>
        <w:t>haute</w:t>
      </w:r>
      <w:r>
        <w:rPr>
          <w:spacing w:val="-4"/>
          <w:sz w:val="24"/>
        </w:rPr>
        <w:t> </w:t>
      </w:r>
      <w:r>
        <w:rPr>
          <w:sz w:val="24"/>
        </w:rPr>
        <w:t>mer</w:t>
      </w:r>
      <w:r>
        <w:rPr>
          <w:spacing w:val="-4"/>
          <w:sz w:val="24"/>
        </w:rPr>
        <w:t> </w:t>
      </w:r>
      <w:r>
        <w:rPr>
          <w:sz w:val="24"/>
        </w:rPr>
        <w:t>:</w:t>
      </w:r>
      <w:r>
        <w:rPr>
          <w:spacing w:val="-4"/>
          <w:sz w:val="24"/>
        </w:rPr>
        <w:t> </w:t>
      </w:r>
      <w:r>
        <w:rPr>
          <w:sz w:val="24"/>
        </w:rPr>
        <w:t>un</w:t>
      </w:r>
      <w:r>
        <w:rPr>
          <w:spacing w:val="-4"/>
          <w:sz w:val="24"/>
        </w:rPr>
        <w:t> </w:t>
      </w:r>
      <w:r>
        <w:rPr>
          <w:sz w:val="24"/>
        </w:rPr>
        <w:t>désert</w:t>
      </w:r>
      <w:r>
        <w:rPr>
          <w:spacing w:val="-4"/>
          <w:sz w:val="24"/>
        </w:rPr>
        <w:t> </w:t>
      </w:r>
      <w:r>
        <w:rPr>
          <w:sz w:val="24"/>
        </w:rPr>
        <w:t>juridique</w:t>
      </w:r>
      <w:r>
        <w:rPr>
          <w:spacing w:val="-4"/>
          <w:sz w:val="24"/>
        </w:rPr>
        <w:t> </w:t>
      </w:r>
      <w:r>
        <w:rPr>
          <w:sz w:val="24"/>
        </w:rPr>
        <w:t>?</w:t>
      </w:r>
      <w:r>
        <w:rPr>
          <w:spacing w:val="-4"/>
          <w:sz w:val="24"/>
        </w:rPr>
        <w:t> </w:t>
      </w:r>
      <w:r>
        <w:rPr>
          <w:sz w:val="24"/>
        </w:rPr>
        <w:t>», </w:t>
      </w:r>
      <w:r>
        <w:rPr>
          <w:spacing w:val="-2"/>
          <w:sz w:val="24"/>
        </w:rPr>
        <w:t>2020.</w:t>
      </w:r>
    </w:p>
    <w:p>
      <w:pPr>
        <w:pStyle w:val="BodyText"/>
        <w:ind w:left="861"/>
      </w:pPr>
      <w:hyperlink r:id="rId15">
        <w:r>
          <w:rPr>
            <w:color w:val="0000FF"/>
            <w:u w:val="single" w:color="0000FF"/>
          </w:rPr>
          <w:t>https://www.legisplaisance.fr</w:t>
        </w:r>
      </w:hyperlink>
      <w:r>
        <w:rPr>
          <w:color w:val="0000FF"/>
          <w:spacing w:val="-5"/>
        </w:rPr>
        <w:t> </w:t>
      </w:r>
      <w:r>
        <w:rPr/>
        <w:t>(consulté</w:t>
      </w:r>
      <w:r>
        <w:rPr>
          <w:spacing w:val="-7"/>
        </w:rPr>
        <w:t> </w:t>
      </w:r>
      <w:r>
        <w:rPr/>
        <w:t>le</w:t>
      </w:r>
      <w:r>
        <w:rPr>
          <w:spacing w:val="-6"/>
        </w:rPr>
        <w:t> </w:t>
      </w:r>
      <w:r>
        <w:rPr/>
        <w:t>23</w:t>
      </w:r>
      <w:r>
        <w:rPr>
          <w:spacing w:val="-7"/>
        </w:rPr>
        <w:t> </w:t>
      </w:r>
      <w:r>
        <w:rPr/>
        <w:t>janvier</w:t>
      </w:r>
      <w:r>
        <w:rPr>
          <w:spacing w:val="-6"/>
        </w:rPr>
        <w:t> </w:t>
      </w:r>
      <w:r>
        <w:rPr>
          <w:spacing w:val="-2"/>
        </w:rPr>
        <w:t>2025).</w:t>
      </w:r>
    </w:p>
    <w:p>
      <w:pPr>
        <w:pStyle w:val="ListParagraph"/>
        <w:numPr>
          <w:ilvl w:val="1"/>
          <w:numId w:val="7"/>
        </w:numPr>
        <w:tabs>
          <w:tab w:pos="861" w:val="left" w:leader="none"/>
        </w:tabs>
        <w:spacing w:line="240" w:lineRule="auto" w:before="0" w:after="0"/>
        <w:ind w:left="861" w:right="2355" w:hanging="360"/>
        <w:jc w:val="left"/>
        <w:rPr>
          <w:sz w:val="24"/>
        </w:rPr>
      </w:pPr>
      <w:r>
        <w:rPr>
          <w:sz w:val="24"/>
        </w:rPr>
        <w:t>International</w:t>
      </w:r>
      <w:r>
        <w:rPr>
          <w:spacing w:val="-8"/>
          <w:sz w:val="24"/>
        </w:rPr>
        <w:t> </w:t>
      </w:r>
      <w:r>
        <w:rPr>
          <w:sz w:val="24"/>
        </w:rPr>
        <w:t>Maritime</w:t>
      </w:r>
      <w:r>
        <w:rPr>
          <w:spacing w:val="-8"/>
          <w:sz w:val="24"/>
        </w:rPr>
        <w:t> </w:t>
      </w:r>
      <w:r>
        <w:rPr>
          <w:sz w:val="24"/>
        </w:rPr>
        <w:t>Organization</w:t>
      </w:r>
      <w:r>
        <w:rPr>
          <w:spacing w:val="-8"/>
          <w:sz w:val="24"/>
        </w:rPr>
        <w:t> </w:t>
      </w:r>
      <w:r>
        <w:rPr>
          <w:sz w:val="24"/>
        </w:rPr>
        <w:t>(IMO),</w:t>
      </w:r>
      <w:r>
        <w:rPr>
          <w:spacing w:val="-8"/>
          <w:sz w:val="24"/>
        </w:rPr>
        <w:t> </w:t>
      </w:r>
      <w:r>
        <w:rPr>
          <w:sz w:val="24"/>
        </w:rPr>
        <w:t>official</w:t>
      </w:r>
      <w:r>
        <w:rPr>
          <w:spacing w:val="-8"/>
          <w:sz w:val="24"/>
        </w:rPr>
        <w:t> </w:t>
      </w:r>
      <w:r>
        <w:rPr>
          <w:sz w:val="24"/>
        </w:rPr>
        <w:t>publications. </w:t>
      </w:r>
      <w:hyperlink r:id="rId16">
        <w:r>
          <w:rPr>
            <w:color w:val="0000FF"/>
            <w:spacing w:val="-2"/>
            <w:sz w:val="24"/>
            <w:u w:val="single" w:color="0000FF"/>
          </w:rPr>
          <w:t>https://www.imo.org</w:t>
        </w:r>
      </w:hyperlink>
    </w:p>
    <w:p>
      <w:pPr>
        <w:pStyle w:val="ListParagraph"/>
        <w:numPr>
          <w:ilvl w:val="1"/>
          <w:numId w:val="7"/>
        </w:numPr>
        <w:tabs>
          <w:tab w:pos="861" w:val="left" w:leader="none"/>
        </w:tabs>
        <w:spacing w:line="240" w:lineRule="auto" w:before="0" w:after="0"/>
        <w:ind w:left="861" w:right="1257" w:hanging="360"/>
        <w:jc w:val="left"/>
        <w:rPr>
          <w:sz w:val="24"/>
        </w:rPr>
      </w:pPr>
      <w:r>
        <w:rPr>
          <w:sz w:val="24"/>
        </w:rPr>
        <w:t>Tribunal</w:t>
      </w:r>
      <w:r>
        <w:rPr>
          <w:spacing w:val="-5"/>
          <w:sz w:val="24"/>
        </w:rPr>
        <w:t> </w:t>
      </w:r>
      <w:r>
        <w:rPr>
          <w:sz w:val="24"/>
        </w:rPr>
        <w:t>international</w:t>
      </w:r>
      <w:r>
        <w:rPr>
          <w:spacing w:val="-5"/>
          <w:sz w:val="24"/>
        </w:rPr>
        <w:t> </w:t>
      </w:r>
      <w:r>
        <w:rPr>
          <w:sz w:val="24"/>
        </w:rPr>
        <w:t>du</w:t>
      </w:r>
      <w:r>
        <w:rPr>
          <w:spacing w:val="-5"/>
          <w:sz w:val="24"/>
        </w:rPr>
        <w:t> </w:t>
      </w:r>
      <w:r>
        <w:rPr>
          <w:sz w:val="24"/>
        </w:rPr>
        <w:t>droit</w:t>
      </w:r>
      <w:r>
        <w:rPr>
          <w:spacing w:val="-5"/>
          <w:sz w:val="24"/>
        </w:rPr>
        <w:t> </w:t>
      </w:r>
      <w:r>
        <w:rPr>
          <w:sz w:val="24"/>
        </w:rPr>
        <w:t>de</w:t>
      </w:r>
      <w:r>
        <w:rPr>
          <w:spacing w:val="-5"/>
          <w:sz w:val="24"/>
        </w:rPr>
        <w:t> </w:t>
      </w:r>
      <w:r>
        <w:rPr>
          <w:sz w:val="24"/>
        </w:rPr>
        <w:t>la</w:t>
      </w:r>
      <w:r>
        <w:rPr>
          <w:spacing w:val="-5"/>
          <w:sz w:val="24"/>
        </w:rPr>
        <w:t> </w:t>
      </w:r>
      <w:r>
        <w:rPr>
          <w:sz w:val="24"/>
        </w:rPr>
        <w:t>mer</w:t>
      </w:r>
      <w:r>
        <w:rPr>
          <w:spacing w:val="-5"/>
          <w:sz w:val="24"/>
        </w:rPr>
        <w:t> </w:t>
      </w:r>
      <w:r>
        <w:rPr>
          <w:sz w:val="24"/>
        </w:rPr>
        <w:t>(TIDM),</w:t>
      </w:r>
      <w:r>
        <w:rPr>
          <w:spacing w:val="-5"/>
          <w:sz w:val="24"/>
        </w:rPr>
        <w:t> </w:t>
      </w:r>
      <w:r>
        <w:rPr>
          <w:sz w:val="24"/>
        </w:rPr>
        <w:t>actualités</w:t>
      </w:r>
      <w:r>
        <w:rPr>
          <w:spacing w:val="-5"/>
          <w:sz w:val="24"/>
        </w:rPr>
        <w:t> </w:t>
      </w:r>
      <w:r>
        <w:rPr>
          <w:sz w:val="24"/>
        </w:rPr>
        <w:t>et</w:t>
      </w:r>
      <w:r>
        <w:rPr>
          <w:spacing w:val="-5"/>
          <w:sz w:val="24"/>
        </w:rPr>
        <w:t> </w:t>
      </w:r>
      <w:r>
        <w:rPr>
          <w:sz w:val="24"/>
        </w:rPr>
        <w:t>jurisprudence. </w:t>
      </w:r>
      <w:hyperlink r:id="rId17">
        <w:r>
          <w:rPr>
            <w:color w:val="0000FF"/>
            <w:spacing w:val="-2"/>
            <w:sz w:val="24"/>
            <w:u w:val="single" w:color="0000FF"/>
          </w:rPr>
          <w:t>https://www.itlos.org/fr</w:t>
        </w:r>
      </w:hyperlink>
    </w:p>
    <w:p>
      <w:pPr>
        <w:pStyle w:val="ListParagraph"/>
        <w:numPr>
          <w:ilvl w:val="1"/>
          <w:numId w:val="7"/>
        </w:numPr>
        <w:tabs>
          <w:tab w:pos="862" w:val="left" w:leader="none"/>
        </w:tabs>
        <w:spacing w:line="240" w:lineRule="auto" w:before="0" w:after="0"/>
        <w:ind w:left="862" w:right="3061" w:hanging="361"/>
        <w:jc w:val="left"/>
        <w:rPr>
          <w:sz w:val="24"/>
        </w:rPr>
      </w:pPr>
      <w:r>
        <w:rPr>
          <w:sz w:val="24"/>
        </w:rPr>
        <w:t>United</w:t>
      </w:r>
      <w:r>
        <w:rPr>
          <w:spacing w:val="-5"/>
          <w:sz w:val="24"/>
        </w:rPr>
        <w:t> </w:t>
      </w:r>
      <w:r>
        <w:rPr>
          <w:sz w:val="24"/>
        </w:rPr>
        <w:t>Nations,</w:t>
      </w:r>
      <w:r>
        <w:rPr>
          <w:spacing w:val="-4"/>
          <w:sz w:val="24"/>
        </w:rPr>
        <w:t> </w:t>
      </w:r>
      <w:r>
        <w:rPr>
          <w:i/>
          <w:sz w:val="24"/>
        </w:rPr>
        <w:t>Piracy</w:t>
      </w:r>
      <w:r>
        <w:rPr>
          <w:i/>
          <w:spacing w:val="-5"/>
          <w:sz w:val="24"/>
        </w:rPr>
        <w:t> </w:t>
      </w:r>
      <w:r>
        <w:rPr>
          <w:i/>
          <w:sz w:val="24"/>
        </w:rPr>
        <w:t>and</w:t>
      </w:r>
      <w:r>
        <w:rPr>
          <w:i/>
          <w:spacing w:val="-5"/>
          <w:sz w:val="24"/>
        </w:rPr>
        <w:t> </w:t>
      </w:r>
      <w:r>
        <w:rPr>
          <w:i/>
          <w:sz w:val="24"/>
        </w:rPr>
        <w:t>armed</w:t>
      </w:r>
      <w:r>
        <w:rPr>
          <w:i/>
          <w:spacing w:val="-5"/>
          <w:sz w:val="24"/>
        </w:rPr>
        <w:t> </w:t>
      </w:r>
      <w:r>
        <w:rPr>
          <w:i/>
          <w:sz w:val="24"/>
        </w:rPr>
        <w:t>robbery</w:t>
      </w:r>
      <w:r>
        <w:rPr>
          <w:i/>
          <w:spacing w:val="-5"/>
          <w:sz w:val="24"/>
        </w:rPr>
        <w:t> </w:t>
      </w:r>
      <w:r>
        <w:rPr>
          <w:i/>
          <w:sz w:val="24"/>
        </w:rPr>
        <w:t>at</w:t>
      </w:r>
      <w:r>
        <w:rPr>
          <w:i/>
          <w:spacing w:val="-5"/>
          <w:sz w:val="24"/>
        </w:rPr>
        <w:t> </w:t>
      </w:r>
      <w:r>
        <w:rPr>
          <w:i/>
          <w:sz w:val="24"/>
        </w:rPr>
        <w:t>sea</w:t>
      </w:r>
      <w:r>
        <w:rPr>
          <w:i/>
          <w:spacing w:val="-5"/>
          <w:sz w:val="24"/>
        </w:rPr>
        <w:t> </w:t>
      </w:r>
      <w:r>
        <w:rPr>
          <w:i/>
          <w:sz w:val="24"/>
        </w:rPr>
        <w:t>reports</w:t>
      </w:r>
      <w:r>
        <w:rPr>
          <w:sz w:val="24"/>
        </w:rPr>
        <w:t>. </w:t>
      </w:r>
      <w:hyperlink r:id="rId18">
        <w:r>
          <w:rPr>
            <w:color w:val="0000FF"/>
            <w:spacing w:val="-2"/>
            <w:sz w:val="24"/>
            <w:u w:val="single" w:color="0000FF"/>
          </w:rPr>
          <w:t>https://www.un.org</w:t>
        </w:r>
      </w:hyperlink>
    </w:p>
    <w:p>
      <w:pPr>
        <w:pStyle w:val="ListParagraph"/>
        <w:numPr>
          <w:ilvl w:val="1"/>
          <w:numId w:val="7"/>
        </w:numPr>
        <w:tabs>
          <w:tab w:pos="861" w:val="left" w:leader="none"/>
        </w:tabs>
        <w:spacing w:line="240" w:lineRule="auto" w:before="0" w:after="0"/>
        <w:ind w:left="861" w:right="1210" w:hanging="360"/>
        <w:jc w:val="left"/>
        <w:rPr>
          <w:sz w:val="24"/>
        </w:rPr>
      </w:pPr>
      <w:r>
        <w:rPr>
          <w:sz w:val="24"/>
        </w:rPr>
        <w:t>LINFO.RE,</w:t>
      </w:r>
      <w:r>
        <w:rPr>
          <w:spacing w:val="-4"/>
          <w:sz w:val="24"/>
        </w:rPr>
        <w:t> </w:t>
      </w:r>
      <w:r>
        <w:rPr>
          <w:sz w:val="24"/>
        </w:rPr>
        <w:t>«</w:t>
      </w:r>
      <w:r>
        <w:rPr>
          <w:spacing w:val="-4"/>
          <w:sz w:val="24"/>
        </w:rPr>
        <w:t> </w:t>
      </w:r>
      <w:r>
        <w:rPr>
          <w:sz w:val="24"/>
        </w:rPr>
        <w:t>Madagascar</w:t>
      </w:r>
      <w:r>
        <w:rPr>
          <w:spacing w:val="-4"/>
          <w:sz w:val="24"/>
        </w:rPr>
        <w:t> </w:t>
      </w:r>
      <w:r>
        <w:rPr>
          <w:sz w:val="24"/>
        </w:rPr>
        <w:t>s’implique</w:t>
      </w:r>
      <w:r>
        <w:rPr>
          <w:spacing w:val="-4"/>
          <w:sz w:val="24"/>
        </w:rPr>
        <w:t> </w:t>
      </w:r>
      <w:r>
        <w:rPr>
          <w:sz w:val="24"/>
        </w:rPr>
        <w:t>dans</w:t>
      </w:r>
      <w:r>
        <w:rPr>
          <w:spacing w:val="-4"/>
          <w:sz w:val="24"/>
        </w:rPr>
        <w:t> </w:t>
      </w:r>
      <w:r>
        <w:rPr>
          <w:sz w:val="24"/>
        </w:rPr>
        <w:t>la</w:t>
      </w:r>
      <w:r>
        <w:rPr>
          <w:spacing w:val="-4"/>
          <w:sz w:val="24"/>
        </w:rPr>
        <w:t> </w:t>
      </w:r>
      <w:r>
        <w:rPr>
          <w:sz w:val="24"/>
        </w:rPr>
        <w:t>lutte</w:t>
      </w:r>
      <w:r>
        <w:rPr>
          <w:spacing w:val="-4"/>
          <w:sz w:val="24"/>
        </w:rPr>
        <w:t> </w:t>
      </w:r>
      <w:r>
        <w:rPr>
          <w:sz w:val="24"/>
        </w:rPr>
        <w:t>contre</w:t>
      </w:r>
      <w:r>
        <w:rPr>
          <w:spacing w:val="-4"/>
          <w:sz w:val="24"/>
        </w:rPr>
        <w:t> </w:t>
      </w:r>
      <w:r>
        <w:rPr>
          <w:sz w:val="24"/>
        </w:rPr>
        <w:t>la</w:t>
      </w:r>
      <w:r>
        <w:rPr>
          <w:spacing w:val="-4"/>
          <w:sz w:val="24"/>
        </w:rPr>
        <w:t> </w:t>
      </w:r>
      <w:r>
        <w:rPr>
          <w:sz w:val="24"/>
        </w:rPr>
        <w:t>piraterie</w:t>
      </w:r>
      <w:r>
        <w:rPr>
          <w:spacing w:val="-4"/>
          <w:sz w:val="24"/>
        </w:rPr>
        <w:t> </w:t>
      </w:r>
      <w:r>
        <w:rPr>
          <w:sz w:val="24"/>
        </w:rPr>
        <w:t>»,</w:t>
      </w:r>
      <w:r>
        <w:rPr>
          <w:spacing w:val="-4"/>
          <w:sz w:val="24"/>
        </w:rPr>
        <w:t> </w:t>
      </w:r>
      <w:r>
        <w:rPr>
          <w:sz w:val="24"/>
        </w:rPr>
        <w:t>2013. </w:t>
      </w:r>
      <w:hyperlink r:id="rId19">
        <w:r>
          <w:rPr>
            <w:color w:val="0000FF"/>
            <w:sz w:val="24"/>
            <w:u w:val="single" w:color="0000FF"/>
          </w:rPr>
          <w:t>https://www.linfo.re</w:t>
        </w:r>
      </w:hyperlink>
      <w:r>
        <w:rPr>
          <w:color w:val="0000FF"/>
          <w:sz w:val="24"/>
        </w:rPr>
        <w:t> </w:t>
      </w:r>
      <w:r>
        <w:rPr>
          <w:sz w:val="24"/>
        </w:rPr>
        <w:t>(consulté le 24 janvier 2025).</w:t>
      </w:r>
    </w:p>
    <w:p>
      <w:pPr>
        <w:pStyle w:val="Heading3"/>
        <w:numPr>
          <w:ilvl w:val="0"/>
          <w:numId w:val="6"/>
        </w:numPr>
        <w:tabs>
          <w:tab w:pos="434" w:val="left" w:leader="none"/>
        </w:tabs>
        <w:spacing w:line="240" w:lineRule="auto" w:before="120" w:after="0"/>
        <w:ind w:left="434" w:right="0" w:hanging="293"/>
        <w:jc w:val="left"/>
      </w:pPr>
      <w:r>
        <w:rPr>
          <w:color w:val="145F82"/>
        </w:rPr>
        <w:t>OUVRAGES</w:t>
      </w:r>
      <w:r>
        <w:rPr>
          <w:color w:val="145F82"/>
          <w:spacing w:val="-7"/>
        </w:rPr>
        <w:t> </w:t>
      </w:r>
      <w:r>
        <w:rPr>
          <w:color w:val="145F82"/>
        </w:rPr>
        <w:t>DOCTRINAUX</w:t>
      </w:r>
      <w:r>
        <w:rPr>
          <w:color w:val="145F82"/>
          <w:spacing w:val="-7"/>
        </w:rPr>
        <w:t> </w:t>
      </w:r>
      <w:r>
        <w:rPr>
          <w:color w:val="145F82"/>
          <w:spacing w:val="-2"/>
        </w:rPr>
        <w:t>COMPLÉMENTAIRES</w:t>
      </w:r>
    </w:p>
    <w:p>
      <w:pPr>
        <w:pStyle w:val="ListParagraph"/>
        <w:numPr>
          <w:ilvl w:val="1"/>
          <w:numId w:val="7"/>
        </w:numPr>
        <w:tabs>
          <w:tab w:pos="862" w:val="left" w:leader="none"/>
        </w:tabs>
        <w:spacing w:line="240" w:lineRule="auto" w:before="0" w:after="0"/>
        <w:ind w:left="862" w:right="177" w:hanging="360"/>
        <w:jc w:val="left"/>
        <w:rPr>
          <w:sz w:val="24"/>
        </w:rPr>
      </w:pPr>
      <w:r>
        <w:rPr>
          <w:sz w:val="24"/>
        </w:rPr>
        <w:t>Guilfoyle</w:t>
      </w:r>
      <w:r>
        <w:rPr>
          <w:spacing w:val="-4"/>
          <w:sz w:val="24"/>
        </w:rPr>
        <w:t> </w:t>
      </w:r>
      <w:r>
        <w:rPr>
          <w:sz w:val="24"/>
        </w:rPr>
        <w:t>Douglas,</w:t>
      </w:r>
      <w:r>
        <w:rPr>
          <w:spacing w:val="-2"/>
          <w:sz w:val="24"/>
        </w:rPr>
        <w:t> </w:t>
      </w:r>
      <w:r>
        <w:rPr>
          <w:i/>
          <w:sz w:val="24"/>
        </w:rPr>
        <w:t>Shipping</w:t>
      </w:r>
      <w:r>
        <w:rPr>
          <w:i/>
          <w:spacing w:val="-4"/>
          <w:sz w:val="24"/>
        </w:rPr>
        <w:t> </w:t>
      </w:r>
      <w:r>
        <w:rPr>
          <w:i/>
          <w:sz w:val="24"/>
        </w:rPr>
        <w:t>Interdiction</w:t>
      </w:r>
      <w:r>
        <w:rPr>
          <w:i/>
          <w:spacing w:val="-4"/>
          <w:sz w:val="24"/>
        </w:rPr>
        <w:t> </w:t>
      </w:r>
      <w:r>
        <w:rPr>
          <w:i/>
          <w:sz w:val="24"/>
        </w:rPr>
        <w:t>and</w:t>
      </w:r>
      <w:r>
        <w:rPr>
          <w:i/>
          <w:spacing w:val="-4"/>
          <w:sz w:val="24"/>
        </w:rPr>
        <w:t> </w:t>
      </w:r>
      <w:r>
        <w:rPr>
          <w:i/>
          <w:sz w:val="24"/>
        </w:rPr>
        <w:t>the</w:t>
      </w:r>
      <w:r>
        <w:rPr>
          <w:i/>
          <w:spacing w:val="-4"/>
          <w:sz w:val="24"/>
        </w:rPr>
        <w:t> </w:t>
      </w:r>
      <w:r>
        <w:rPr>
          <w:i/>
          <w:sz w:val="24"/>
        </w:rPr>
        <w:t>Law</w:t>
      </w:r>
      <w:r>
        <w:rPr>
          <w:i/>
          <w:spacing w:val="-4"/>
          <w:sz w:val="24"/>
        </w:rPr>
        <w:t> </w:t>
      </w:r>
      <w:r>
        <w:rPr>
          <w:i/>
          <w:sz w:val="24"/>
        </w:rPr>
        <w:t>of</w:t>
      </w:r>
      <w:r>
        <w:rPr>
          <w:i/>
          <w:spacing w:val="-4"/>
          <w:sz w:val="24"/>
        </w:rPr>
        <w:t> </w:t>
      </w:r>
      <w:r>
        <w:rPr>
          <w:i/>
          <w:sz w:val="24"/>
        </w:rPr>
        <w:t>the</w:t>
      </w:r>
      <w:r>
        <w:rPr>
          <w:i/>
          <w:spacing w:val="-4"/>
          <w:sz w:val="24"/>
        </w:rPr>
        <w:t> </w:t>
      </w:r>
      <w:r>
        <w:rPr>
          <w:i/>
          <w:sz w:val="24"/>
        </w:rPr>
        <w:t>Sea</w:t>
      </w:r>
      <w:r>
        <w:rPr>
          <w:sz w:val="24"/>
        </w:rPr>
        <w:t>,</w:t>
      </w:r>
      <w:r>
        <w:rPr>
          <w:spacing w:val="-4"/>
          <w:sz w:val="24"/>
        </w:rPr>
        <w:t> </w:t>
      </w:r>
      <w:r>
        <w:rPr>
          <w:sz w:val="24"/>
        </w:rPr>
        <w:t>Cambridge</w:t>
      </w:r>
      <w:r>
        <w:rPr>
          <w:spacing w:val="-4"/>
          <w:sz w:val="24"/>
        </w:rPr>
        <w:t> </w:t>
      </w:r>
      <w:r>
        <w:rPr>
          <w:sz w:val="24"/>
        </w:rPr>
        <w:t>University Press, 2009.</w:t>
      </w:r>
    </w:p>
    <w:p>
      <w:pPr>
        <w:pStyle w:val="ListParagraph"/>
        <w:numPr>
          <w:ilvl w:val="1"/>
          <w:numId w:val="7"/>
        </w:numPr>
        <w:tabs>
          <w:tab w:pos="862" w:val="left" w:leader="none"/>
        </w:tabs>
        <w:spacing w:line="240" w:lineRule="auto" w:before="0" w:after="0"/>
        <w:ind w:left="862" w:right="0" w:hanging="360"/>
        <w:jc w:val="left"/>
        <w:rPr>
          <w:sz w:val="24"/>
        </w:rPr>
      </w:pPr>
      <w:r>
        <w:rPr>
          <w:sz w:val="24"/>
        </w:rPr>
        <w:t>Kraska</w:t>
      </w:r>
      <w:r>
        <w:rPr>
          <w:spacing w:val="-2"/>
          <w:sz w:val="24"/>
        </w:rPr>
        <w:t> </w:t>
      </w:r>
      <w:r>
        <w:rPr>
          <w:sz w:val="24"/>
        </w:rPr>
        <w:t>James,</w:t>
      </w:r>
      <w:r>
        <w:rPr>
          <w:spacing w:val="-1"/>
          <w:sz w:val="24"/>
        </w:rPr>
        <w:t> </w:t>
      </w:r>
      <w:r>
        <w:rPr>
          <w:i/>
          <w:sz w:val="24"/>
        </w:rPr>
        <w:t>Maritime</w:t>
      </w:r>
      <w:r>
        <w:rPr>
          <w:i/>
          <w:spacing w:val="-2"/>
          <w:sz w:val="24"/>
        </w:rPr>
        <w:t> </w:t>
      </w:r>
      <w:r>
        <w:rPr>
          <w:i/>
          <w:sz w:val="24"/>
        </w:rPr>
        <w:t>Power</w:t>
      </w:r>
      <w:r>
        <w:rPr>
          <w:i/>
          <w:spacing w:val="-2"/>
          <w:sz w:val="24"/>
        </w:rPr>
        <w:t> </w:t>
      </w:r>
      <w:r>
        <w:rPr>
          <w:i/>
          <w:sz w:val="24"/>
        </w:rPr>
        <w:t>and</w:t>
      </w:r>
      <w:r>
        <w:rPr>
          <w:i/>
          <w:spacing w:val="-2"/>
          <w:sz w:val="24"/>
        </w:rPr>
        <w:t> </w:t>
      </w:r>
      <w:r>
        <w:rPr>
          <w:i/>
          <w:sz w:val="24"/>
        </w:rPr>
        <w:t>the</w:t>
      </w:r>
      <w:r>
        <w:rPr>
          <w:i/>
          <w:spacing w:val="-2"/>
          <w:sz w:val="24"/>
        </w:rPr>
        <w:t> </w:t>
      </w:r>
      <w:r>
        <w:rPr>
          <w:i/>
          <w:sz w:val="24"/>
        </w:rPr>
        <w:t>Law</w:t>
      </w:r>
      <w:r>
        <w:rPr>
          <w:i/>
          <w:spacing w:val="-2"/>
          <w:sz w:val="24"/>
        </w:rPr>
        <w:t> </w:t>
      </w:r>
      <w:r>
        <w:rPr>
          <w:i/>
          <w:sz w:val="24"/>
        </w:rPr>
        <w:t>of</w:t>
      </w:r>
      <w:r>
        <w:rPr>
          <w:i/>
          <w:spacing w:val="-2"/>
          <w:sz w:val="24"/>
        </w:rPr>
        <w:t> </w:t>
      </w:r>
      <w:r>
        <w:rPr>
          <w:i/>
          <w:sz w:val="24"/>
        </w:rPr>
        <w:t>the</w:t>
      </w:r>
      <w:r>
        <w:rPr>
          <w:i/>
          <w:spacing w:val="-2"/>
          <w:sz w:val="24"/>
        </w:rPr>
        <w:t> </w:t>
      </w:r>
      <w:r>
        <w:rPr>
          <w:i/>
          <w:sz w:val="24"/>
        </w:rPr>
        <w:t>Sea</w:t>
      </w:r>
      <w:r>
        <w:rPr>
          <w:sz w:val="24"/>
        </w:rPr>
        <w:t>,</w:t>
      </w:r>
      <w:r>
        <w:rPr>
          <w:spacing w:val="-2"/>
          <w:sz w:val="24"/>
        </w:rPr>
        <w:t> </w:t>
      </w:r>
      <w:r>
        <w:rPr>
          <w:sz w:val="24"/>
        </w:rPr>
        <w:t>Oxford</w:t>
      </w:r>
      <w:r>
        <w:rPr>
          <w:spacing w:val="-2"/>
          <w:sz w:val="24"/>
        </w:rPr>
        <w:t> </w:t>
      </w:r>
      <w:r>
        <w:rPr>
          <w:sz w:val="24"/>
        </w:rPr>
        <w:t>University</w:t>
      </w:r>
      <w:r>
        <w:rPr>
          <w:spacing w:val="-2"/>
          <w:sz w:val="24"/>
        </w:rPr>
        <w:t> </w:t>
      </w:r>
      <w:r>
        <w:rPr>
          <w:sz w:val="24"/>
        </w:rPr>
        <w:t>Press,</w:t>
      </w:r>
      <w:r>
        <w:rPr>
          <w:spacing w:val="-1"/>
          <w:sz w:val="24"/>
        </w:rPr>
        <w:t> </w:t>
      </w:r>
      <w:r>
        <w:rPr>
          <w:spacing w:val="-2"/>
          <w:sz w:val="24"/>
        </w:rPr>
        <w:t>2011.</w:t>
      </w:r>
    </w:p>
    <w:p>
      <w:pPr>
        <w:pStyle w:val="ListParagraph"/>
        <w:numPr>
          <w:ilvl w:val="1"/>
          <w:numId w:val="7"/>
        </w:numPr>
        <w:tabs>
          <w:tab w:pos="861" w:val="left" w:leader="none"/>
        </w:tabs>
        <w:spacing w:line="240" w:lineRule="auto" w:before="0" w:after="0"/>
        <w:ind w:left="861" w:right="570" w:hanging="360"/>
        <w:jc w:val="left"/>
        <w:rPr>
          <w:sz w:val="24"/>
        </w:rPr>
      </w:pPr>
      <w:r>
        <w:rPr>
          <w:sz w:val="24"/>
        </w:rPr>
        <w:t>Churchill</w:t>
      </w:r>
      <w:r>
        <w:rPr>
          <w:spacing w:val="-3"/>
          <w:sz w:val="24"/>
        </w:rPr>
        <w:t> </w:t>
      </w:r>
      <w:r>
        <w:rPr>
          <w:sz w:val="24"/>
        </w:rPr>
        <w:t>R.R.</w:t>
      </w:r>
      <w:r>
        <w:rPr>
          <w:spacing w:val="-3"/>
          <w:sz w:val="24"/>
        </w:rPr>
        <w:t> </w:t>
      </w:r>
      <w:r>
        <w:rPr>
          <w:sz w:val="24"/>
        </w:rPr>
        <w:t>&amp;</w:t>
      </w:r>
      <w:r>
        <w:rPr>
          <w:spacing w:val="-3"/>
          <w:sz w:val="24"/>
        </w:rPr>
        <w:t> </w:t>
      </w:r>
      <w:r>
        <w:rPr>
          <w:sz w:val="24"/>
        </w:rPr>
        <w:t>Lowe</w:t>
      </w:r>
      <w:r>
        <w:rPr>
          <w:spacing w:val="-3"/>
          <w:sz w:val="24"/>
        </w:rPr>
        <w:t> </w:t>
      </w:r>
      <w:r>
        <w:rPr>
          <w:sz w:val="24"/>
        </w:rPr>
        <w:t>A.V.,</w:t>
      </w:r>
      <w:r>
        <w:rPr>
          <w:spacing w:val="-2"/>
          <w:sz w:val="24"/>
        </w:rPr>
        <w:t> </w:t>
      </w:r>
      <w:r>
        <w:rPr>
          <w:i/>
          <w:sz w:val="24"/>
        </w:rPr>
        <w:t>The</w:t>
      </w:r>
      <w:r>
        <w:rPr>
          <w:i/>
          <w:spacing w:val="-3"/>
          <w:sz w:val="24"/>
        </w:rPr>
        <w:t> </w:t>
      </w:r>
      <w:r>
        <w:rPr>
          <w:i/>
          <w:sz w:val="24"/>
        </w:rPr>
        <w:t>Law</w:t>
      </w:r>
      <w:r>
        <w:rPr>
          <w:i/>
          <w:spacing w:val="-3"/>
          <w:sz w:val="24"/>
        </w:rPr>
        <w:t> </w:t>
      </w:r>
      <w:r>
        <w:rPr>
          <w:i/>
          <w:sz w:val="24"/>
        </w:rPr>
        <w:t>of</w:t>
      </w:r>
      <w:r>
        <w:rPr>
          <w:i/>
          <w:spacing w:val="-3"/>
          <w:sz w:val="24"/>
        </w:rPr>
        <w:t> </w:t>
      </w:r>
      <w:r>
        <w:rPr>
          <w:i/>
          <w:sz w:val="24"/>
        </w:rPr>
        <w:t>the</w:t>
      </w:r>
      <w:r>
        <w:rPr>
          <w:i/>
          <w:spacing w:val="-3"/>
          <w:sz w:val="24"/>
        </w:rPr>
        <w:t> </w:t>
      </w:r>
      <w:r>
        <w:rPr>
          <w:i/>
          <w:sz w:val="24"/>
        </w:rPr>
        <w:t>Sea</w:t>
      </w:r>
      <w:r>
        <w:rPr>
          <w:sz w:val="24"/>
        </w:rPr>
        <w:t>,</w:t>
      </w:r>
      <w:r>
        <w:rPr>
          <w:spacing w:val="-3"/>
          <w:sz w:val="24"/>
        </w:rPr>
        <w:t> </w:t>
      </w:r>
      <w:r>
        <w:rPr>
          <w:sz w:val="24"/>
        </w:rPr>
        <w:t>Manchester</w:t>
      </w:r>
      <w:r>
        <w:rPr>
          <w:spacing w:val="-3"/>
          <w:sz w:val="24"/>
        </w:rPr>
        <w:t> </w:t>
      </w:r>
      <w:r>
        <w:rPr>
          <w:sz w:val="24"/>
        </w:rPr>
        <w:t>University</w:t>
      </w:r>
      <w:r>
        <w:rPr>
          <w:spacing w:val="-3"/>
          <w:sz w:val="24"/>
        </w:rPr>
        <w:t> </w:t>
      </w:r>
      <w:r>
        <w:rPr>
          <w:sz w:val="24"/>
        </w:rPr>
        <w:t>Press,</w:t>
      </w:r>
      <w:r>
        <w:rPr>
          <w:spacing w:val="-3"/>
          <w:sz w:val="24"/>
        </w:rPr>
        <w:t> </w:t>
      </w:r>
      <w:r>
        <w:rPr>
          <w:sz w:val="24"/>
        </w:rPr>
        <w:t>3rd </w:t>
      </w:r>
      <w:r>
        <w:rPr>
          <w:spacing w:val="-2"/>
          <w:sz w:val="24"/>
        </w:rPr>
        <w:t>edition.</w:t>
      </w:r>
    </w:p>
    <w:p>
      <w:pPr>
        <w:pStyle w:val="ListParagraph"/>
        <w:numPr>
          <w:ilvl w:val="1"/>
          <w:numId w:val="7"/>
        </w:numPr>
        <w:tabs>
          <w:tab w:pos="861" w:val="left" w:leader="none"/>
        </w:tabs>
        <w:spacing w:line="240" w:lineRule="auto" w:before="0" w:after="0"/>
        <w:ind w:left="861" w:right="0" w:hanging="360"/>
        <w:jc w:val="left"/>
        <w:rPr>
          <w:sz w:val="24"/>
        </w:rPr>
      </w:pPr>
      <w:r>
        <w:rPr>
          <w:sz w:val="24"/>
        </w:rPr>
        <w:t>Guilherme</w:t>
      </w:r>
      <w:r>
        <w:rPr>
          <w:spacing w:val="-7"/>
          <w:sz w:val="24"/>
        </w:rPr>
        <w:t> </w:t>
      </w:r>
      <w:r>
        <w:rPr>
          <w:sz w:val="24"/>
        </w:rPr>
        <w:t>de</w:t>
      </w:r>
      <w:r>
        <w:rPr>
          <w:spacing w:val="-4"/>
          <w:sz w:val="24"/>
        </w:rPr>
        <w:t> </w:t>
      </w:r>
      <w:r>
        <w:rPr>
          <w:sz w:val="24"/>
        </w:rPr>
        <w:t>Oliveira,</w:t>
      </w:r>
      <w:r>
        <w:rPr>
          <w:spacing w:val="-3"/>
          <w:sz w:val="24"/>
        </w:rPr>
        <w:t> </w:t>
      </w:r>
      <w:r>
        <w:rPr>
          <w:i/>
          <w:sz w:val="24"/>
        </w:rPr>
        <w:t>International</w:t>
      </w:r>
      <w:r>
        <w:rPr>
          <w:i/>
          <w:spacing w:val="-4"/>
          <w:sz w:val="24"/>
        </w:rPr>
        <w:t> </w:t>
      </w:r>
      <w:r>
        <w:rPr>
          <w:i/>
          <w:sz w:val="24"/>
        </w:rPr>
        <w:t>Maritime</w:t>
      </w:r>
      <w:r>
        <w:rPr>
          <w:i/>
          <w:spacing w:val="-5"/>
          <w:sz w:val="24"/>
        </w:rPr>
        <w:t> </w:t>
      </w:r>
      <w:r>
        <w:rPr>
          <w:i/>
          <w:sz w:val="24"/>
        </w:rPr>
        <w:t>Law</w:t>
      </w:r>
      <w:r>
        <w:rPr>
          <w:i/>
          <w:spacing w:val="-4"/>
          <w:sz w:val="24"/>
        </w:rPr>
        <w:t> </w:t>
      </w:r>
      <w:r>
        <w:rPr>
          <w:i/>
          <w:sz w:val="24"/>
        </w:rPr>
        <w:t>and</w:t>
      </w:r>
      <w:r>
        <w:rPr>
          <w:i/>
          <w:spacing w:val="-5"/>
          <w:sz w:val="24"/>
        </w:rPr>
        <w:t> </w:t>
      </w:r>
      <w:r>
        <w:rPr>
          <w:i/>
          <w:sz w:val="24"/>
        </w:rPr>
        <w:t>Security</w:t>
      </w:r>
      <w:r>
        <w:rPr>
          <w:sz w:val="24"/>
        </w:rPr>
        <w:t>,</w:t>
      </w:r>
      <w:r>
        <w:rPr>
          <w:spacing w:val="-4"/>
          <w:sz w:val="24"/>
        </w:rPr>
        <w:t> </w:t>
      </w:r>
      <w:r>
        <w:rPr>
          <w:sz w:val="24"/>
        </w:rPr>
        <w:t>Springer,</w:t>
      </w:r>
      <w:r>
        <w:rPr>
          <w:spacing w:val="-4"/>
          <w:sz w:val="24"/>
        </w:rPr>
        <w:t> </w:t>
      </w:r>
      <w:r>
        <w:rPr>
          <w:spacing w:val="-2"/>
          <w:sz w:val="24"/>
        </w:rPr>
        <w:t>2018.</w:t>
      </w:r>
    </w:p>
    <w:sectPr>
      <w:pgSz w:w="11910" w:h="16840"/>
      <w:pgMar w:header="0" w:footer="1005" w:top="1320" w:bottom="1200" w:left="1275" w:right="113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MingLiU_HKSCS-ExtB">
    <w:altName w:val="MingLiU_HKSCS-ExtB"/>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10336">
              <wp:simplePos x="0" y="0"/>
              <wp:positionH relativeFrom="page">
                <wp:posOffset>3743007</wp:posOffset>
              </wp:positionH>
              <wp:positionV relativeFrom="page">
                <wp:posOffset>9914502</wp:posOffset>
              </wp:positionV>
              <wp:extent cx="165100" cy="18034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65100" cy="180340"/>
                      </a:xfrm>
                      <a:prstGeom prst="rect">
                        <a:avLst/>
                      </a:prstGeom>
                    </wps:spPr>
                    <wps:txbx>
                      <w:txbxContent>
                        <w:p>
                          <w:pPr>
                            <w:spacing w:before="10"/>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4.725006pt;margin-top:780.669495pt;width:13pt;height:14.2pt;mso-position-horizontal-relative:page;mso-position-vertical-relative:page;z-index:-16006144" type="#_x0000_t202" id="docshape1" filled="false" stroked="false">
              <v:textbox inset="0,0,0,0">
                <w:txbxContent>
                  <w:p>
                    <w:pPr>
                      <w:spacing w:before="10"/>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upperLetter"/>
      <w:lvlText w:val="%1."/>
      <w:lvlJc w:val="left"/>
      <w:pPr>
        <w:ind w:left="435" w:hanging="294"/>
        <w:jc w:val="left"/>
      </w:pPr>
      <w:rPr>
        <w:rFonts w:hint="default" w:ascii="Times New Roman" w:hAnsi="Times New Roman" w:eastAsia="Times New Roman" w:cs="Times New Roman"/>
        <w:b/>
        <w:bCs/>
        <w:i w:val="0"/>
        <w:iCs w:val="0"/>
        <w:color w:val="145F82"/>
        <w:spacing w:val="0"/>
        <w:w w:val="100"/>
        <w:sz w:val="24"/>
        <w:szCs w:val="24"/>
        <w:lang w:val="fr-FR" w:eastAsia="en-US" w:bidi="ar-SA"/>
      </w:rPr>
    </w:lvl>
    <w:lvl w:ilvl="1">
      <w:start w:val="0"/>
      <w:numFmt w:val="bullet"/>
      <w:lvlText w:val="•"/>
      <w:lvlJc w:val="left"/>
      <w:pPr>
        <w:ind w:left="1345" w:hanging="294"/>
      </w:pPr>
      <w:rPr>
        <w:rFonts w:hint="default"/>
        <w:lang w:val="fr-FR" w:eastAsia="en-US" w:bidi="ar-SA"/>
      </w:rPr>
    </w:lvl>
    <w:lvl w:ilvl="2">
      <w:start w:val="0"/>
      <w:numFmt w:val="bullet"/>
      <w:lvlText w:val="•"/>
      <w:lvlJc w:val="left"/>
      <w:pPr>
        <w:ind w:left="2251" w:hanging="294"/>
      </w:pPr>
      <w:rPr>
        <w:rFonts w:hint="default"/>
        <w:lang w:val="fr-FR" w:eastAsia="en-US" w:bidi="ar-SA"/>
      </w:rPr>
    </w:lvl>
    <w:lvl w:ilvl="3">
      <w:start w:val="0"/>
      <w:numFmt w:val="bullet"/>
      <w:lvlText w:val="•"/>
      <w:lvlJc w:val="left"/>
      <w:pPr>
        <w:ind w:left="3157" w:hanging="294"/>
      </w:pPr>
      <w:rPr>
        <w:rFonts w:hint="default"/>
        <w:lang w:val="fr-FR" w:eastAsia="en-US" w:bidi="ar-SA"/>
      </w:rPr>
    </w:lvl>
    <w:lvl w:ilvl="4">
      <w:start w:val="0"/>
      <w:numFmt w:val="bullet"/>
      <w:lvlText w:val="•"/>
      <w:lvlJc w:val="left"/>
      <w:pPr>
        <w:ind w:left="4063" w:hanging="294"/>
      </w:pPr>
      <w:rPr>
        <w:rFonts w:hint="default"/>
        <w:lang w:val="fr-FR" w:eastAsia="en-US" w:bidi="ar-SA"/>
      </w:rPr>
    </w:lvl>
    <w:lvl w:ilvl="5">
      <w:start w:val="0"/>
      <w:numFmt w:val="bullet"/>
      <w:lvlText w:val="•"/>
      <w:lvlJc w:val="left"/>
      <w:pPr>
        <w:ind w:left="4969" w:hanging="294"/>
      </w:pPr>
      <w:rPr>
        <w:rFonts w:hint="default"/>
        <w:lang w:val="fr-FR" w:eastAsia="en-US" w:bidi="ar-SA"/>
      </w:rPr>
    </w:lvl>
    <w:lvl w:ilvl="6">
      <w:start w:val="0"/>
      <w:numFmt w:val="bullet"/>
      <w:lvlText w:val="•"/>
      <w:lvlJc w:val="left"/>
      <w:pPr>
        <w:ind w:left="5874" w:hanging="294"/>
      </w:pPr>
      <w:rPr>
        <w:rFonts w:hint="default"/>
        <w:lang w:val="fr-FR" w:eastAsia="en-US" w:bidi="ar-SA"/>
      </w:rPr>
    </w:lvl>
    <w:lvl w:ilvl="7">
      <w:start w:val="0"/>
      <w:numFmt w:val="bullet"/>
      <w:lvlText w:val="•"/>
      <w:lvlJc w:val="left"/>
      <w:pPr>
        <w:ind w:left="6780" w:hanging="294"/>
      </w:pPr>
      <w:rPr>
        <w:rFonts w:hint="default"/>
        <w:lang w:val="fr-FR" w:eastAsia="en-US" w:bidi="ar-SA"/>
      </w:rPr>
    </w:lvl>
    <w:lvl w:ilvl="8">
      <w:start w:val="0"/>
      <w:numFmt w:val="bullet"/>
      <w:lvlText w:val="•"/>
      <w:lvlJc w:val="left"/>
      <w:pPr>
        <w:ind w:left="7686" w:hanging="294"/>
      </w:pPr>
      <w:rPr>
        <w:rFonts w:hint="default"/>
        <w:lang w:val="fr-FR" w:eastAsia="en-US" w:bidi="ar-SA"/>
      </w:rPr>
    </w:lvl>
  </w:abstractNum>
  <w:abstractNum w:abstractNumId="6">
    <w:multiLevelType w:val="hybridMultilevel"/>
    <w:lvl w:ilvl="0">
      <w:start w:val="1"/>
      <w:numFmt w:val="upperLetter"/>
      <w:lvlText w:val="%1."/>
      <w:lvlJc w:val="left"/>
      <w:pPr>
        <w:ind w:left="435" w:hanging="294"/>
        <w:jc w:val="left"/>
      </w:pPr>
      <w:rPr>
        <w:rFonts w:hint="default" w:ascii="Times New Roman" w:hAnsi="Times New Roman" w:eastAsia="Times New Roman" w:cs="Times New Roman"/>
        <w:b/>
        <w:bCs/>
        <w:i w:val="0"/>
        <w:iCs w:val="0"/>
        <w:color w:val="145F82"/>
        <w:spacing w:val="0"/>
        <w:w w:val="100"/>
        <w:sz w:val="24"/>
        <w:szCs w:val="24"/>
        <w:lang w:val="fr-FR" w:eastAsia="en-US" w:bidi="ar-SA"/>
      </w:rPr>
    </w:lvl>
    <w:lvl w:ilvl="1">
      <w:start w:val="17"/>
      <w:numFmt w:val="decimal"/>
      <w:lvlText w:val="%2."/>
      <w:lvlJc w:val="left"/>
      <w:pPr>
        <w:ind w:left="861" w:hanging="360"/>
        <w:jc w:val="left"/>
      </w:pPr>
      <w:rPr>
        <w:rFonts w:hint="default" w:ascii="Times New Roman" w:hAnsi="Times New Roman" w:eastAsia="Times New Roman" w:cs="Times New Roman"/>
        <w:b w:val="0"/>
        <w:bCs w:val="0"/>
        <w:i w:val="0"/>
        <w:iCs w:val="0"/>
        <w:spacing w:val="0"/>
        <w:w w:val="100"/>
        <w:sz w:val="24"/>
        <w:szCs w:val="24"/>
        <w:lang w:val="fr-FR" w:eastAsia="en-US" w:bidi="ar-SA"/>
      </w:rPr>
    </w:lvl>
    <w:lvl w:ilvl="2">
      <w:start w:val="0"/>
      <w:numFmt w:val="bullet"/>
      <w:lvlText w:val="•"/>
      <w:lvlJc w:val="left"/>
      <w:pPr>
        <w:ind w:left="1819" w:hanging="360"/>
      </w:pPr>
      <w:rPr>
        <w:rFonts w:hint="default"/>
        <w:lang w:val="fr-FR" w:eastAsia="en-US" w:bidi="ar-SA"/>
      </w:rPr>
    </w:lvl>
    <w:lvl w:ilvl="3">
      <w:start w:val="0"/>
      <w:numFmt w:val="bullet"/>
      <w:lvlText w:val="•"/>
      <w:lvlJc w:val="left"/>
      <w:pPr>
        <w:ind w:left="2779" w:hanging="360"/>
      </w:pPr>
      <w:rPr>
        <w:rFonts w:hint="default"/>
        <w:lang w:val="fr-FR" w:eastAsia="en-US" w:bidi="ar-SA"/>
      </w:rPr>
    </w:lvl>
    <w:lvl w:ilvl="4">
      <w:start w:val="0"/>
      <w:numFmt w:val="bullet"/>
      <w:lvlText w:val="•"/>
      <w:lvlJc w:val="left"/>
      <w:pPr>
        <w:ind w:left="3739" w:hanging="360"/>
      </w:pPr>
      <w:rPr>
        <w:rFonts w:hint="default"/>
        <w:lang w:val="fr-FR" w:eastAsia="en-US" w:bidi="ar-SA"/>
      </w:rPr>
    </w:lvl>
    <w:lvl w:ilvl="5">
      <w:start w:val="0"/>
      <w:numFmt w:val="bullet"/>
      <w:lvlText w:val="•"/>
      <w:lvlJc w:val="left"/>
      <w:pPr>
        <w:ind w:left="4699" w:hanging="360"/>
      </w:pPr>
      <w:rPr>
        <w:rFonts w:hint="default"/>
        <w:lang w:val="fr-FR" w:eastAsia="en-US" w:bidi="ar-SA"/>
      </w:rPr>
    </w:lvl>
    <w:lvl w:ilvl="6">
      <w:start w:val="0"/>
      <w:numFmt w:val="bullet"/>
      <w:lvlText w:val="•"/>
      <w:lvlJc w:val="left"/>
      <w:pPr>
        <w:ind w:left="5658" w:hanging="360"/>
      </w:pPr>
      <w:rPr>
        <w:rFonts w:hint="default"/>
        <w:lang w:val="fr-FR" w:eastAsia="en-US" w:bidi="ar-SA"/>
      </w:rPr>
    </w:lvl>
    <w:lvl w:ilvl="7">
      <w:start w:val="0"/>
      <w:numFmt w:val="bullet"/>
      <w:lvlText w:val="•"/>
      <w:lvlJc w:val="left"/>
      <w:pPr>
        <w:ind w:left="6618" w:hanging="360"/>
      </w:pPr>
      <w:rPr>
        <w:rFonts w:hint="default"/>
        <w:lang w:val="fr-FR" w:eastAsia="en-US" w:bidi="ar-SA"/>
      </w:rPr>
    </w:lvl>
    <w:lvl w:ilvl="8">
      <w:start w:val="0"/>
      <w:numFmt w:val="bullet"/>
      <w:lvlText w:val="•"/>
      <w:lvlJc w:val="left"/>
      <w:pPr>
        <w:ind w:left="7578" w:hanging="360"/>
      </w:pPr>
      <w:rPr>
        <w:rFonts w:hint="default"/>
        <w:lang w:val="fr-FR" w:eastAsia="en-US" w:bidi="ar-SA"/>
      </w:rPr>
    </w:lvl>
  </w:abstractNum>
  <w:abstractNum w:abstractNumId="5">
    <w:multiLevelType w:val="hybridMultilevel"/>
    <w:lvl w:ilvl="0">
      <w:start w:val="1"/>
      <w:numFmt w:val="upperRoman"/>
      <w:lvlText w:val="%1."/>
      <w:lvlJc w:val="left"/>
      <w:pPr>
        <w:ind w:left="355" w:hanging="214"/>
        <w:jc w:val="left"/>
      </w:pPr>
      <w:rPr>
        <w:rFonts w:hint="default" w:ascii="Times New Roman" w:hAnsi="Times New Roman" w:eastAsia="Times New Roman" w:cs="Times New Roman"/>
        <w:b/>
        <w:bCs/>
        <w:i w:val="0"/>
        <w:iCs w:val="0"/>
        <w:color w:val="145F82"/>
        <w:spacing w:val="0"/>
        <w:w w:val="100"/>
        <w:sz w:val="24"/>
        <w:szCs w:val="24"/>
        <w:lang w:val="fr-FR" w:eastAsia="en-US" w:bidi="ar-SA"/>
      </w:rPr>
    </w:lvl>
    <w:lvl w:ilvl="1">
      <w:start w:val="1"/>
      <w:numFmt w:val="decimal"/>
      <w:lvlText w:val="%2."/>
      <w:lvlJc w:val="left"/>
      <w:pPr>
        <w:ind w:left="856" w:hanging="357"/>
        <w:jc w:val="left"/>
      </w:pPr>
      <w:rPr>
        <w:rFonts w:hint="default" w:ascii="Times New Roman" w:hAnsi="Times New Roman" w:eastAsia="Times New Roman" w:cs="Times New Roman"/>
        <w:b w:val="0"/>
        <w:bCs w:val="0"/>
        <w:i w:val="0"/>
        <w:iCs w:val="0"/>
        <w:spacing w:val="0"/>
        <w:w w:val="100"/>
        <w:sz w:val="24"/>
        <w:szCs w:val="24"/>
        <w:lang w:val="fr-FR" w:eastAsia="en-US" w:bidi="ar-SA"/>
      </w:rPr>
    </w:lvl>
    <w:lvl w:ilvl="2">
      <w:start w:val="0"/>
      <w:numFmt w:val="bullet"/>
      <w:lvlText w:val="•"/>
      <w:lvlJc w:val="left"/>
      <w:pPr>
        <w:ind w:left="1819" w:hanging="357"/>
      </w:pPr>
      <w:rPr>
        <w:rFonts w:hint="default"/>
        <w:lang w:val="fr-FR" w:eastAsia="en-US" w:bidi="ar-SA"/>
      </w:rPr>
    </w:lvl>
    <w:lvl w:ilvl="3">
      <w:start w:val="0"/>
      <w:numFmt w:val="bullet"/>
      <w:lvlText w:val="•"/>
      <w:lvlJc w:val="left"/>
      <w:pPr>
        <w:ind w:left="2779" w:hanging="357"/>
      </w:pPr>
      <w:rPr>
        <w:rFonts w:hint="default"/>
        <w:lang w:val="fr-FR" w:eastAsia="en-US" w:bidi="ar-SA"/>
      </w:rPr>
    </w:lvl>
    <w:lvl w:ilvl="4">
      <w:start w:val="0"/>
      <w:numFmt w:val="bullet"/>
      <w:lvlText w:val="•"/>
      <w:lvlJc w:val="left"/>
      <w:pPr>
        <w:ind w:left="3739" w:hanging="357"/>
      </w:pPr>
      <w:rPr>
        <w:rFonts w:hint="default"/>
        <w:lang w:val="fr-FR" w:eastAsia="en-US" w:bidi="ar-SA"/>
      </w:rPr>
    </w:lvl>
    <w:lvl w:ilvl="5">
      <w:start w:val="0"/>
      <w:numFmt w:val="bullet"/>
      <w:lvlText w:val="•"/>
      <w:lvlJc w:val="left"/>
      <w:pPr>
        <w:ind w:left="4699" w:hanging="357"/>
      </w:pPr>
      <w:rPr>
        <w:rFonts w:hint="default"/>
        <w:lang w:val="fr-FR" w:eastAsia="en-US" w:bidi="ar-SA"/>
      </w:rPr>
    </w:lvl>
    <w:lvl w:ilvl="6">
      <w:start w:val="0"/>
      <w:numFmt w:val="bullet"/>
      <w:lvlText w:val="•"/>
      <w:lvlJc w:val="left"/>
      <w:pPr>
        <w:ind w:left="5658" w:hanging="357"/>
      </w:pPr>
      <w:rPr>
        <w:rFonts w:hint="default"/>
        <w:lang w:val="fr-FR" w:eastAsia="en-US" w:bidi="ar-SA"/>
      </w:rPr>
    </w:lvl>
    <w:lvl w:ilvl="7">
      <w:start w:val="0"/>
      <w:numFmt w:val="bullet"/>
      <w:lvlText w:val="•"/>
      <w:lvlJc w:val="left"/>
      <w:pPr>
        <w:ind w:left="6618" w:hanging="357"/>
      </w:pPr>
      <w:rPr>
        <w:rFonts w:hint="default"/>
        <w:lang w:val="fr-FR" w:eastAsia="en-US" w:bidi="ar-SA"/>
      </w:rPr>
    </w:lvl>
    <w:lvl w:ilvl="8">
      <w:start w:val="0"/>
      <w:numFmt w:val="bullet"/>
      <w:lvlText w:val="•"/>
      <w:lvlJc w:val="left"/>
      <w:pPr>
        <w:ind w:left="7578" w:hanging="357"/>
      </w:pPr>
      <w:rPr>
        <w:rFonts w:hint="default"/>
        <w:lang w:val="fr-FR" w:eastAsia="en-US" w:bidi="ar-SA"/>
      </w:rPr>
    </w:lvl>
  </w:abstractNum>
  <w:abstractNum w:abstractNumId="4">
    <w:multiLevelType w:val="hybridMultilevel"/>
    <w:lvl w:ilvl="0">
      <w:start w:val="0"/>
      <w:numFmt w:val="bullet"/>
      <w:lvlText w:val="•"/>
      <w:lvlJc w:val="left"/>
      <w:pPr>
        <w:ind w:left="862" w:hanging="360"/>
      </w:pPr>
      <w:rPr>
        <w:rFonts w:hint="default" w:ascii="Arial MT" w:hAnsi="Arial MT" w:eastAsia="Arial MT" w:cs="Arial MT"/>
        <w:b w:val="0"/>
        <w:bCs w:val="0"/>
        <w:i w:val="0"/>
        <w:iCs w:val="0"/>
        <w:spacing w:val="0"/>
        <w:w w:val="117"/>
        <w:sz w:val="20"/>
        <w:szCs w:val="20"/>
        <w:lang w:val="fr-FR" w:eastAsia="en-US" w:bidi="ar-SA"/>
      </w:rPr>
    </w:lvl>
    <w:lvl w:ilvl="1">
      <w:start w:val="0"/>
      <w:numFmt w:val="bullet"/>
      <w:lvlText w:val="•"/>
      <w:lvlJc w:val="left"/>
      <w:pPr>
        <w:ind w:left="1723" w:hanging="360"/>
      </w:pPr>
      <w:rPr>
        <w:rFonts w:hint="default"/>
        <w:lang w:val="fr-FR" w:eastAsia="en-US" w:bidi="ar-SA"/>
      </w:rPr>
    </w:lvl>
    <w:lvl w:ilvl="2">
      <w:start w:val="0"/>
      <w:numFmt w:val="bullet"/>
      <w:lvlText w:val="•"/>
      <w:lvlJc w:val="left"/>
      <w:pPr>
        <w:ind w:left="2587" w:hanging="360"/>
      </w:pPr>
      <w:rPr>
        <w:rFonts w:hint="default"/>
        <w:lang w:val="fr-FR" w:eastAsia="en-US" w:bidi="ar-SA"/>
      </w:rPr>
    </w:lvl>
    <w:lvl w:ilvl="3">
      <w:start w:val="0"/>
      <w:numFmt w:val="bullet"/>
      <w:lvlText w:val="•"/>
      <w:lvlJc w:val="left"/>
      <w:pPr>
        <w:ind w:left="3451" w:hanging="360"/>
      </w:pPr>
      <w:rPr>
        <w:rFonts w:hint="default"/>
        <w:lang w:val="fr-FR" w:eastAsia="en-US" w:bidi="ar-SA"/>
      </w:rPr>
    </w:lvl>
    <w:lvl w:ilvl="4">
      <w:start w:val="0"/>
      <w:numFmt w:val="bullet"/>
      <w:lvlText w:val="•"/>
      <w:lvlJc w:val="left"/>
      <w:pPr>
        <w:ind w:left="4315" w:hanging="360"/>
      </w:pPr>
      <w:rPr>
        <w:rFonts w:hint="default"/>
        <w:lang w:val="fr-FR" w:eastAsia="en-US" w:bidi="ar-SA"/>
      </w:rPr>
    </w:lvl>
    <w:lvl w:ilvl="5">
      <w:start w:val="0"/>
      <w:numFmt w:val="bullet"/>
      <w:lvlText w:val="•"/>
      <w:lvlJc w:val="left"/>
      <w:pPr>
        <w:ind w:left="5179" w:hanging="360"/>
      </w:pPr>
      <w:rPr>
        <w:rFonts w:hint="default"/>
        <w:lang w:val="fr-FR" w:eastAsia="en-US" w:bidi="ar-SA"/>
      </w:rPr>
    </w:lvl>
    <w:lvl w:ilvl="6">
      <w:start w:val="0"/>
      <w:numFmt w:val="bullet"/>
      <w:lvlText w:val="•"/>
      <w:lvlJc w:val="left"/>
      <w:pPr>
        <w:ind w:left="6042" w:hanging="360"/>
      </w:pPr>
      <w:rPr>
        <w:rFonts w:hint="default"/>
        <w:lang w:val="fr-FR" w:eastAsia="en-US" w:bidi="ar-SA"/>
      </w:rPr>
    </w:lvl>
    <w:lvl w:ilvl="7">
      <w:start w:val="0"/>
      <w:numFmt w:val="bullet"/>
      <w:lvlText w:val="•"/>
      <w:lvlJc w:val="left"/>
      <w:pPr>
        <w:ind w:left="6906" w:hanging="360"/>
      </w:pPr>
      <w:rPr>
        <w:rFonts w:hint="default"/>
        <w:lang w:val="fr-FR" w:eastAsia="en-US" w:bidi="ar-SA"/>
      </w:rPr>
    </w:lvl>
    <w:lvl w:ilvl="8">
      <w:start w:val="0"/>
      <w:numFmt w:val="bullet"/>
      <w:lvlText w:val="•"/>
      <w:lvlJc w:val="left"/>
      <w:pPr>
        <w:ind w:left="7770" w:hanging="360"/>
      </w:pPr>
      <w:rPr>
        <w:rFonts w:hint="default"/>
        <w:lang w:val="fr-FR" w:eastAsia="en-US" w:bidi="ar-SA"/>
      </w:rPr>
    </w:lvl>
  </w:abstractNum>
  <w:abstractNum w:abstractNumId="3">
    <w:multiLevelType w:val="hybridMultilevel"/>
    <w:lvl w:ilvl="0">
      <w:start w:val="1"/>
      <w:numFmt w:val="lowerLetter"/>
      <w:lvlText w:val="%1)"/>
      <w:lvlJc w:val="left"/>
      <w:pPr>
        <w:ind w:left="401" w:hanging="260"/>
        <w:jc w:val="left"/>
      </w:pPr>
      <w:rPr>
        <w:rFonts w:hint="default" w:ascii="Times New Roman" w:hAnsi="Times New Roman" w:eastAsia="Times New Roman" w:cs="Times New Roman"/>
        <w:b/>
        <w:bCs/>
        <w:i/>
        <w:iCs/>
        <w:color w:val="145F82"/>
        <w:spacing w:val="0"/>
        <w:w w:val="100"/>
        <w:sz w:val="24"/>
        <w:szCs w:val="24"/>
        <w:lang w:val="fr-FR" w:eastAsia="en-US" w:bidi="ar-SA"/>
      </w:rPr>
    </w:lvl>
    <w:lvl w:ilvl="1">
      <w:start w:val="0"/>
      <w:numFmt w:val="bullet"/>
      <w:lvlText w:val="•"/>
      <w:lvlJc w:val="left"/>
      <w:pPr>
        <w:ind w:left="1309" w:hanging="260"/>
      </w:pPr>
      <w:rPr>
        <w:rFonts w:hint="default"/>
        <w:lang w:val="fr-FR" w:eastAsia="en-US" w:bidi="ar-SA"/>
      </w:rPr>
    </w:lvl>
    <w:lvl w:ilvl="2">
      <w:start w:val="0"/>
      <w:numFmt w:val="bullet"/>
      <w:lvlText w:val="•"/>
      <w:lvlJc w:val="left"/>
      <w:pPr>
        <w:ind w:left="2219" w:hanging="260"/>
      </w:pPr>
      <w:rPr>
        <w:rFonts w:hint="default"/>
        <w:lang w:val="fr-FR" w:eastAsia="en-US" w:bidi="ar-SA"/>
      </w:rPr>
    </w:lvl>
    <w:lvl w:ilvl="3">
      <w:start w:val="0"/>
      <w:numFmt w:val="bullet"/>
      <w:lvlText w:val="•"/>
      <w:lvlJc w:val="left"/>
      <w:pPr>
        <w:ind w:left="3129" w:hanging="260"/>
      </w:pPr>
      <w:rPr>
        <w:rFonts w:hint="default"/>
        <w:lang w:val="fr-FR" w:eastAsia="en-US" w:bidi="ar-SA"/>
      </w:rPr>
    </w:lvl>
    <w:lvl w:ilvl="4">
      <w:start w:val="0"/>
      <w:numFmt w:val="bullet"/>
      <w:lvlText w:val="•"/>
      <w:lvlJc w:val="left"/>
      <w:pPr>
        <w:ind w:left="4039" w:hanging="260"/>
      </w:pPr>
      <w:rPr>
        <w:rFonts w:hint="default"/>
        <w:lang w:val="fr-FR" w:eastAsia="en-US" w:bidi="ar-SA"/>
      </w:rPr>
    </w:lvl>
    <w:lvl w:ilvl="5">
      <w:start w:val="0"/>
      <w:numFmt w:val="bullet"/>
      <w:lvlText w:val="•"/>
      <w:lvlJc w:val="left"/>
      <w:pPr>
        <w:ind w:left="4949" w:hanging="260"/>
      </w:pPr>
      <w:rPr>
        <w:rFonts w:hint="default"/>
        <w:lang w:val="fr-FR" w:eastAsia="en-US" w:bidi="ar-SA"/>
      </w:rPr>
    </w:lvl>
    <w:lvl w:ilvl="6">
      <w:start w:val="0"/>
      <w:numFmt w:val="bullet"/>
      <w:lvlText w:val="•"/>
      <w:lvlJc w:val="left"/>
      <w:pPr>
        <w:ind w:left="5858" w:hanging="260"/>
      </w:pPr>
      <w:rPr>
        <w:rFonts w:hint="default"/>
        <w:lang w:val="fr-FR" w:eastAsia="en-US" w:bidi="ar-SA"/>
      </w:rPr>
    </w:lvl>
    <w:lvl w:ilvl="7">
      <w:start w:val="0"/>
      <w:numFmt w:val="bullet"/>
      <w:lvlText w:val="•"/>
      <w:lvlJc w:val="left"/>
      <w:pPr>
        <w:ind w:left="6768" w:hanging="260"/>
      </w:pPr>
      <w:rPr>
        <w:rFonts w:hint="default"/>
        <w:lang w:val="fr-FR" w:eastAsia="en-US" w:bidi="ar-SA"/>
      </w:rPr>
    </w:lvl>
    <w:lvl w:ilvl="8">
      <w:start w:val="0"/>
      <w:numFmt w:val="bullet"/>
      <w:lvlText w:val="•"/>
      <w:lvlJc w:val="left"/>
      <w:pPr>
        <w:ind w:left="7678" w:hanging="260"/>
      </w:pPr>
      <w:rPr>
        <w:rFonts w:hint="default"/>
        <w:lang w:val="fr-FR" w:eastAsia="en-US" w:bidi="ar-SA"/>
      </w:rPr>
    </w:lvl>
  </w:abstractNum>
  <w:abstractNum w:abstractNumId="2">
    <w:multiLevelType w:val="hybridMultilevel"/>
    <w:lvl w:ilvl="0">
      <w:start w:val="2"/>
      <w:numFmt w:val="decimal"/>
      <w:lvlText w:val="%1"/>
      <w:lvlJc w:val="left"/>
      <w:pPr>
        <w:ind w:left="562" w:hanging="420"/>
        <w:jc w:val="left"/>
      </w:pPr>
      <w:rPr>
        <w:rFonts w:hint="default"/>
        <w:lang w:val="fr-FR" w:eastAsia="en-US" w:bidi="ar-SA"/>
      </w:rPr>
    </w:lvl>
    <w:lvl w:ilvl="1">
      <w:start w:val="1"/>
      <w:numFmt w:val="decimal"/>
      <w:lvlText w:val="%1.%2."/>
      <w:lvlJc w:val="left"/>
      <w:pPr>
        <w:ind w:left="562" w:hanging="420"/>
        <w:jc w:val="left"/>
      </w:pPr>
      <w:rPr>
        <w:rFonts w:hint="default" w:ascii="Times New Roman" w:hAnsi="Times New Roman" w:eastAsia="Times New Roman" w:cs="Times New Roman"/>
        <w:b/>
        <w:bCs/>
        <w:i w:val="0"/>
        <w:iCs w:val="0"/>
        <w:color w:val="145F82"/>
        <w:spacing w:val="0"/>
        <w:w w:val="100"/>
        <w:sz w:val="24"/>
        <w:szCs w:val="24"/>
        <w:lang w:val="fr-FR" w:eastAsia="en-US" w:bidi="ar-SA"/>
      </w:rPr>
    </w:lvl>
    <w:lvl w:ilvl="2">
      <w:start w:val="0"/>
      <w:numFmt w:val="bullet"/>
      <w:lvlText w:val="•"/>
      <w:lvlJc w:val="left"/>
      <w:pPr>
        <w:ind w:left="142" w:hanging="145"/>
      </w:pPr>
      <w:rPr>
        <w:rFonts w:hint="default" w:ascii="Times New Roman" w:hAnsi="Times New Roman" w:eastAsia="Times New Roman" w:cs="Times New Roman"/>
        <w:b w:val="0"/>
        <w:bCs w:val="0"/>
        <w:i w:val="0"/>
        <w:iCs w:val="0"/>
        <w:spacing w:val="0"/>
        <w:w w:val="100"/>
        <w:sz w:val="24"/>
        <w:szCs w:val="24"/>
        <w:lang w:val="fr-FR" w:eastAsia="en-US" w:bidi="ar-SA"/>
      </w:rPr>
    </w:lvl>
    <w:lvl w:ilvl="3">
      <w:start w:val="0"/>
      <w:numFmt w:val="bullet"/>
      <w:lvlText w:val="•"/>
      <w:lvlJc w:val="left"/>
      <w:pPr>
        <w:ind w:left="2546" w:hanging="145"/>
      </w:pPr>
      <w:rPr>
        <w:rFonts w:hint="default"/>
        <w:lang w:val="fr-FR" w:eastAsia="en-US" w:bidi="ar-SA"/>
      </w:rPr>
    </w:lvl>
    <w:lvl w:ilvl="4">
      <w:start w:val="0"/>
      <w:numFmt w:val="bullet"/>
      <w:lvlText w:val="•"/>
      <w:lvlJc w:val="left"/>
      <w:pPr>
        <w:ind w:left="3539" w:hanging="145"/>
      </w:pPr>
      <w:rPr>
        <w:rFonts w:hint="default"/>
        <w:lang w:val="fr-FR" w:eastAsia="en-US" w:bidi="ar-SA"/>
      </w:rPr>
    </w:lvl>
    <w:lvl w:ilvl="5">
      <w:start w:val="0"/>
      <w:numFmt w:val="bullet"/>
      <w:lvlText w:val="•"/>
      <w:lvlJc w:val="left"/>
      <w:pPr>
        <w:ind w:left="4532" w:hanging="145"/>
      </w:pPr>
      <w:rPr>
        <w:rFonts w:hint="default"/>
        <w:lang w:val="fr-FR" w:eastAsia="en-US" w:bidi="ar-SA"/>
      </w:rPr>
    </w:lvl>
    <w:lvl w:ilvl="6">
      <w:start w:val="0"/>
      <w:numFmt w:val="bullet"/>
      <w:lvlText w:val="•"/>
      <w:lvlJc w:val="left"/>
      <w:pPr>
        <w:ind w:left="5525" w:hanging="145"/>
      </w:pPr>
      <w:rPr>
        <w:rFonts w:hint="default"/>
        <w:lang w:val="fr-FR" w:eastAsia="en-US" w:bidi="ar-SA"/>
      </w:rPr>
    </w:lvl>
    <w:lvl w:ilvl="7">
      <w:start w:val="0"/>
      <w:numFmt w:val="bullet"/>
      <w:lvlText w:val="•"/>
      <w:lvlJc w:val="left"/>
      <w:pPr>
        <w:ind w:left="6518" w:hanging="145"/>
      </w:pPr>
      <w:rPr>
        <w:rFonts w:hint="default"/>
        <w:lang w:val="fr-FR" w:eastAsia="en-US" w:bidi="ar-SA"/>
      </w:rPr>
    </w:lvl>
    <w:lvl w:ilvl="8">
      <w:start w:val="0"/>
      <w:numFmt w:val="bullet"/>
      <w:lvlText w:val="•"/>
      <w:lvlJc w:val="left"/>
      <w:pPr>
        <w:ind w:left="7511" w:hanging="145"/>
      </w:pPr>
      <w:rPr>
        <w:rFonts w:hint="default"/>
        <w:lang w:val="fr-FR" w:eastAsia="en-US" w:bidi="ar-SA"/>
      </w:rPr>
    </w:lvl>
  </w:abstractNum>
  <w:abstractNum w:abstractNumId="1">
    <w:multiLevelType w:val="hybridMultilevel"/>
    <w:lvl w:ilvl="0">
      <w:start w:val="0"/>
      <w:numFmt w:val="bullet"/>
      <w:lvlText w:val="•"/>
      <w:lvlJc w:val="left"/>
      <w:pPr>
        <w:ind w:left="862" w:hanging="360"/>
      </w:pPr>
      <w:rPr>
        <w:rFonts w:hint="default" w:ascii="Arial MT" w:hAnsi="Arial MT" w:eastAsia="Arial MT" w:cs="Arial MT"/>
        <w:b w:val="0"/>
        <w:bCs w:val="0"/>
        <w:i w:val="0"/>
        <w:iCs w:val="0"/>
        <w:spacing w:val="0"/>
        <w:w w:val="117"/>
        <w:sz w:val="20"/>
        <w:szCs w:val="20"/>
        <w:lang w:val="fr-FR" w:eastAsia="en-US" w:bidi="ar-SA"/>
      </w:rPr>
    </w:lvl>
    <w:lvl w:ilvl="1">
      <w:start w:val="0"/>
      <w:numFmt w:val="bullet"/>
      <w:lvlText w:val="•"/>
      <w:lvlJc w:val="left"/>
      <w:pPr>
        <w:ind w:left="1723" w:hanging="360"/>
      </w:pPr>
      <w:rPr>
        <w:rFonts w:hint="default"/>
        <w:lang w:val="fr-FR" w:eastAsia="en-US" w:bidi="ar-SA"/>
      </w:rPr>
    </w:lvl>
    <w:lvl w:ilvl="2">
      <w:start w:val="0"/>
      <w:numFmt w:val="bullet"/>
      <w:lvlText w:val="•"/>
      <w:lvlJc w:val="left"/>
      <w:pPr>
        <w:ind w:left="2587" w:hanging="360"/>
      </w:pPr>
      <w:rPr>
        <w:rFonts w:hint="default"/>
        <w:lang w:val="fr-FR" w:eastAsia="en-US" w:bidi="ar-SA"/>
      </w:rPr>
    </w:lvl>
    <w:lvl w:ilvl="3">
      <w:start w:val="0"/>
      <w:numFmt w:val="bullet"/>
      <w:lvlText w:val="•"/>
      <w:lvlJc w:val="left"/>
      <w:pPr>
        <w:ind w:left="3451" w:hanging="360"/>
      </w:pPr>
      <w:rPr>
        <w:rFonts w:hint="default"/>
        <w:lang w:val="fr-FR" w:eastAsia="en-US" w:bidi="ar-SA"/>
      </w:rPr>
    </w:lvl>
    <w:lvl w:ilvl="4">
      <w:start w:val="0"/>
      <w:numFmt w:val="bullet"/>
      <w:lvlText w:val="•"/>
      <w:lvlJc w:val="left"/>
      <w:pPr>
        <w:ind w:left="4315" w:hanging="360"/>
      </w:pPr>
      <w:rPr>
        <w:rFonts w:hint="default"/>
        <w:lang w:val="fr-FR" w:eastAsia="en-US" w:bidi="ar-SA"/>
      </w:rPr>
    </w:lvl>
    <w:lvl w:ilvl="5">
      <w:start w:val="0"/>
      <w:numFmt w:val="bullet"/>
      <w:lvlText w:val="•"/>
      <w:lvlJc w:val="left"/>
      <w:pPr>
        <w:ind w:left="5179" w:hanging="360"/>
      </w:pPr>
      <w:rPr>
        <w:rFonts w:hint="default"/>
        <w:lang w:val="fr-FR" w:eastAsia="en-US" w:bidi="ar-SA"/>
      </w:rPr>
    </w:lvl>
    <w:lvl w:ilvl="6">
      <w:start w:val="0"/>
      <w:numFmt w:val="bullet"/>
      <w:lvlText w:val="•"/>
      <w:lvlJc w:val="left"/>
      <w:pPr>
        <w:ind w:left="6042" w:hanging="360"/>
      </w:pPr>
      <w:rPr>
        <w:rFonts w:hint="default"/>
        <w:lang w:val="fr-FR" w:eastAsia="en-US" w:bidi="ar-SA"/>
      </w:rPr>
    </w:lvl>
    <w:lvl w:ilvl="7">
      <w:start w:val="0"/>
      <w:numFmt w:val="bullet"/>
      <w:lvlText w:val="•"/>
      <w:lvlJc w:val="left"/>
      <w:pPr>
        <w:ind w:left="6906" w:hanging="360"/>
      </w:pPr>
      <w:rPr>
        <w:rFonts w:hint="default"/>
        <w:lang w:val="fr-FR" w:eastAsia="en-US" w:bidi="ar-SA"/>
      </w:rPr>
    </w:lvl>
    <w:lvl w:ilvl="8">
      <w:start w:val="0"/>
      <w:numFmt w:val="bullet"/>
      <w:lvlText w:val="•"/>
      <w:lvlJc w:val="left"/>
      <w:pPr>
        <w:ind w:left="7770" w:hanging="360"/>
      </w:pPr>
      <w:rPr>
        <w:rFonts w:hint="default"/>
        <w:lang w:val="fr-FR" w:eastAsia="en-US" w:bidi="ar-SA"/>
      </w:rPr>
    </w:lvl>
  </w:abstractNum>
  <w:abstractNum w:abstractNumId="0">
    <w:multiLevelType w:val="hybridMultilevel"/>
    <w:lvl w:ilvl="0">
      <w:start w:val="1"/>
      <w:numFmt w:val="upperRoman"/>
      <w:lvlText w:val="%1-"/>
      <w:lvlJc w:val="left"/>
      <w:pPr>
        <w:ind w:left="1222" w:hanging="720"/>
        <w:jc w:val="right"/>
      </w:pPr>
      <w:rPr>
        <w:rFonts w:hint="default"/>
        <w:spacing w:val="0"/>
        <w:w w:val="100"/>
        <w:lang w:val="fr-FR" w:eastAsia="en-US" w:bidi="ar-SA"/>
      </w:rPr>
    </w:lvl>
    <w:lvl w:ilvl="1">
      <w:start w:val="1"/>
      <w:numFmt w:val="decimal"/>
      <w:lvlText w:val="%2."/>
      <w:lvlJc w:val="left"/>
      <w:pPr>
        <w:ind w:left="382" w:hanging="240"/>
        <w:jc w:val="right"/>
      </w:pPr>
      <w:rPr>
        <w:rFonts w:hint="default"/>
        <w:spacing w:val="0"/>
        <w:w w:val="100"/>
        <w:lang w:val="fr-FR" w:eastAsia="en-US" w:bidi="ar-SA"/>
      </w:rPr>
    </w:lvl>
    <w:lvl w:ilvl="2">
      <w:start w:val="1"/>
      <w:numFmt w:val="decimal"/>
      <w:lvlText w:val="%2.%3."/>
      <w:lvlJc w:val="left"/>
      <w:pPr>
        <w:ind w:left="562" w:hanging="240"/>
        <w:jc w:val="left"/>
      </w:pPr>
      <w:rPr>
        <w:rFonts w:hint="default" w:ascii="Times New Roman" w:hAnsi="Times New Roman" w:eastAsia="Times New Roman" w:cs="Times New Roman"/>
        <w:b/>
        <w:bCs/>
        <w:i w:val="0"/>
        <w:iCs w:val="0"/>
        <w:color w:val="145F82"/>
        <w:spacing w:val="0"/>
        <w:w w:val="100"/>
        <w:sz w:val="24"/>
        <w:szCs w:val="24"/>
        <w:lang w:val="fr-FR" w:eastAsia="en-US" w:bidi="ar-SA"/>
      </w:rPr>
    </w:lvl>
    <w:lvl w:ilvl="3">
      <w:start w:val="0"/>
      <w:numFmt w:val="bullet"/>
      <w:lvlText w:val="•"/>
      <w:lvlJc w:val="left"/>
      <w:pPr>
        <w:ind w:left="862" w:hanging="240"/>
      </w:pPr>
      <w:rPr>
        <w:rFonts w:hint="default" w:ascii="Arial MT" w:hAnsi="Arial MT" w:eastAsia="Arial MT" w:cs="Arial MT"/>
        <w:b w:val="0"/>
        <w:bCs w:val="0"/>
        <w:i w:val="0"/>
        <w:iCs w:val="0"/>
        <w:spacing w:val="0"/>
        <w:w w:val="117"/>
        <w:sz w:val="20"/>
        <w:szCs w:val="20"/>
        <w:lang w:val="fr-FR" w:eastAsia="en-US" w:bidi="ar-SA"/>
      </w:rPr>
    </w:lvl>
    <w:lvl w:ilvl="4">
      <w:start w:val="0"/>
      <w:numFmt w:val="bullet"/>
      <w:lvlText w:val="•"/>
      <w:lvlJc w:val="left"/>
      <w:pPr>
        <w:ind w:left="1220" w:hanging="240"/>
      </w:pPr>
      <w:rPr>
        <w:rFonts w:hint="default"/>
        <w:lang w:val="fr-FR" w:eastAsia="en-US" w:bidi="ar-SA"/>
      </w:rPr>
    </w:lvl>
    <w:lvl w:ilvl="5">
      <w:start w:val="0"/>
      <w:numFmt w:val="bullet"/>
      <w:lvlText w:val="•"/>
      <w:lvlJc w:val="left"/>
      <w:pPr>
        <w:ind w:left="2599" w:hanging="240"/>
      </w:pPr>
      <w:rPr>
        <w:rFonts w:hint="default"/>
        <w:lang w:val="fr-FR" w:eastAsia="en-US" w:bidi="ar-SA"/>
      </w:rPr>
    </w:lvl>
    <w:lvl w:ilvl="6">
      <w:start w:val="0"/>
      <w:numFmt w:val="bullet"/>
      <w:lvlText w:val="•"/>
      <w:lvlJc w:val="left"/>
      <w:pPr>
        <w:ind w:left="3979" w:hanging="240"/>
      </w:pPr>
      <w:rPr>
        <w:rFonts w:hint="default"/>
        <w:lang w:val="fr-FR" w:eastAsia="en-US" w:bidi="ar-SA"/>
      </w:rPr>
    </w:lvl>
    <w:lvl w:ilvl="7">
      <w:start w:val="0"/>
      <w:numFmt w:val="bullet"/>
      <w:lvlText w:val="•"/>
      <w:lvlJc w:val="left"/>
      <w:pPr>
        <w:ind w:left="5359" w:hanging="240"/>
      </w:pPr>
      <w:rPr>
        <w:rFonts w:hint="default"/>
        <w:lang w:val="fr-FR" w:eastAsia="en-US" w:bidi="ar-SA"/>
      </w:rPr>
    </w:lvl>
    <w:lvl w:ilvl="8">
      <w:start w:val="0"/>
      <w:numFmt w:val="bullet"/>
      <w:lvlText w:val="•"/>
      <w:lvlJc w:val="left"/>
      <w:pPr>
        <w:ind w:left="6738" w:hanging="240"/>
      </w:pPr>
      <w:rPr>
        <w:rFonts w:hint="default"/>
        <w:lang w:val="fr-FR" w:eastAsia="en-US" w:bidi="ar-SA"/>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fr-FR"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fr-FR" w:eastAsia="en-US" w:bidi="ar-SA"/>
    </w:rPr>
  </w:style>
  <w:style w:styleId="Heading1" w:type="paragraph">
    <w:name w:val="Heading 1"/>
    <w:basedOn w:val="Normal"/>
    <w:uiPriority w:val="1"/>
    <w:qFormat/>
    <w:pPr>
      <w:spacing w:before="59"/>
      <w:ind w:left="142"/>
      <w:outlineLvl w:val="1"/>
    </w:pPr>
    <w:rPr>
      <w:rFonts w:ascii="Times New Roman" w:hAnsi="Times New Roman" w:eastAsia="Times New Roman" w:cs="Times New Roman"/>
      <w:b/>
      <w:bCs/>
      <w:sz w:val="32"/>
      <w:szCs w:val="32"/>
      <w:lang w:val="fr-FR" w:eastAsia="en-US" w:bidi="ar-SA"/>
    </w:rPr>
  </w:style>
  <w:style w:styleId="Heading2" w:type="paragraph">
    <w:name w:val="Heading 2"/>
    <w:basedOn w:val="Normal"/>
    <w:uiPriority w:val="1"/>
    <w:qFormat/>
    <w:pPr>
      <w:ind w:left="142"/>
      <w:outlineLvl w:val="2"/>
    </w:pPr>
    <w:rPr>
      <w:rFonts w:ascii="Arial" w:hAnsi="Arial" w:eastAsia="Arial" w:cs="Arial"/>
      <w:b/>
      <w:bCs/>
      <w:sz w:val="26"/>
      <w:szCs w:val="26"/>
      <w:lang w:val="fr-FR" w:eastAsia="en-US" w:bidi="ar-SA"/>
    </w:rPr>
  </w:style>
  <w:style w:styleId="Heading3" w:type="paragraph">
    <w:name w:val="Heading 3"/>
    <w:basedOn w:val="Normal"/>
    <w:uiPriority w:val="1"/>
    <w:qFormat/>
    <w:pPr>
      <w:spacing w:before="120"/>
      <w:ind w:left="355" w:hanging="400"/>
      <w:outlineLvl w:val="3"/>
    </w:pPr>
    <w:rPr>
      <w:rFonts w:ascii="Times New Roman" w:hAnsi="Times New Roman" w:eastAsia="Times New Roman" w:cs="Times New Roman"/>
      <w:b/>
      <w:bCs/>
      <w:sz w:val="24"/>
      <w:szCs w:val="24"/>
      <w:lang w:val="fr-FR" w:eastAsia="en-US" w:bidi="ar-SA"/>
    </w:rPr>
  </w:style>
  <w:style w:styleId="Heading4" w:type="paragraph">
    <w:name w:val="Heading 4"/>
    <w:basedOn w:val="Normal"/>
    <w:uiPriority w:val="1"/>
    <w:qFormat/>
    <w:pPr>
      <w:ind w:left="382" w:hanging="420"/>
      <w:outlineLvl w:val="4"/>
    </w:pPr>
    <w:rPr>
      <w:rFonts w:ascii="Times New Roman" w:hAnsi="Times New Roman" w:eastAsia="Times New Roman" w:cs="Times New Roman"/>
      <w:b/>
      <w:bCs/>
      <w:sz w:val="24"/>
      <w:szCs w:val="24"/>
      <w:lang w:val="fr-FR" w:eastAsia="en-US" w:bidi="ar-SA"/>
    </w:rPr>
  </w:style>
  <w:style w:styleId="Heading5" w:type="paragraph">
    <w:name w:val="Heading 5"/>
    <w:basedOn w:val="Normal"/>
    <w:uiPriority w:val="1"/>
    <w:qFormat/>
    <w:pPr>
      <w:ind w:left="401" w:hanging="259"/>
      <w:outlineLvl w:val="5"/>
    </w:pPr>
    <w:rPr>
      <w:rFonts w:ascii="Times New Roman" w:hAnsi="Times New Roman" w:eastAsia="Times New Roman" w:cs="Times New Roman"/>
      <w:b/>
      <w:bCs/>
      <w:i/>
      <w:iCs/>
      <w:sz w:val="24"/>
      <w:szCs w:val="24"/>
      <w:lang w:val="fr-FR" w:eastAsia="en-US" w:bidi="ar-SA"/>
    </w:rPr>
  </w:style>
  <w:style w:styleId="ListParagraph" w:type="paragraph">
    <w:name w:val="List Paragraph"/>
    <w:basedOn w:val="Normal"/>
    <w:uiPriority w:val="1"/>
    <w:qFormat/>
    <w:pPr>
      <w:ind w:left="861" w:hanging="360"/>
    </w:pPr>
    <w:rPr>
      <w:rFonts w:ascii="Times New Roman" w:hAnsi="Times New Roman" w:eastAsia="Times New Roman" w:cs="Times New Roman"/>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https://www.linfo.re/ocean-indien/madagascar/madagascar-s-implique-dans-la-lutte-contre-la-piraterie" TargetMode="External"/><Relationship Id="rId7" Type="http://schemas.openxmlformats.org/officeDocument/2006/relationships/image" Target="media/image1.png"/><Relationship Id="rId8" Type="http://schemas.openxmlformats.org/officeDocument/2006/relationships/hyperlink" Target="https://books.openedition.org/dice/person/16152" TargetMode="External"/><Relationship Id="rId9" Type="http://schemas.openxmlformats.org/officeDocument/2006/relationships/hyperlink" Target="https://books.openedition.org/dice/17057?lang=fr" TargetMode="External"/><Relationship Id="rId10" Type="http://schemas.openxmlformats.org/officeDocument/2006/relationships/hyperlink" Target="https://dcoc.org/" TargetMode="External"/><Relationship Id="rId11" Type="http://schemas.openxmlformats.org/officeDocument/2006/relationships/hyperlink" Target="https://humansea.hypotheses.org/798" TargetMode="External"/><Relationship Id="rId12" Type="http://schemas.openxmlformats.org/officeDocument/2006/relationships/hyperlink" Target="https://hal.science/hal-03005439/document" TargetMode="External"/><Relationship Id="rId13" Type="http://schemas.openxmlformats.org/officeDocument/2006/relationships/image" Target="media/image2.png"/><Relationship Id="rId14" Type="http://schemas.openxmlformats.org/officeDocument/2006/relationships/hyperlink" Target="https://books.openedition.org/dice/17057" TargetMode="External"/><Relationship Id="rId15" Type="http://schemas.openxmlformats.org/officeDocument/2006/relationships/hyperlink" Target="https://www.legisplaisance.fr/" TargetMode="External"/><Relationship Id="rId16" Type="http://schemas.openxmlformats.org/officeDocument/2006/relationships/hyperlink" Target="https://www.imo.org/" TargetMode="External"/><Relationship Id="rId17" Type="http://schemas.openxmlformats.org/officeDocument/2006/relationships/hyperlink" Target="https://www.itlos.org/fr" TargetMode="External"/><Relationship Id="rId18" Type="http://schemas.openxmlformats.org/officeDocument/2006/relationships/hyperlink" Target="https://www.un.org/" TargetMode="External"/><Relationship Id="rId19" Type="http://schemas.openxmlformats.org/officeDocument/2006/relationships/hyperlink" Target="https://www.linfo.re/" TargetMode="External"/><Relationship Id="rId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2026-06-26T08:29:47Z</dcterms:created>
  <dcterms:modified xsi:type="dcterms:W3CDTF">2026-06-26T08:29:47Z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2026-06-26T00:00:00Z</vt:filetime>
  </property>
  <property fmtid="{D5CDD505-2E9C-101B-9397-08002B2CF9AE}" pid="4" name="LastSaved">
    <vt:filetime>2026-06-26T00:00:00Z</vt:filetime>
  </property>
  <property fmtid="{D5CDD505-2E9C-101B-9397-08002B2CF9AE}" pid="5" name="Producer">
    <vt:lpwstr>Pdftools SDK</vt:lpwstr>
  </property>
</Properties>
</file>