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1777" w14:textId="22D1C9BD" w:rsidR="009A07DA" w:rsidRPr="00794EBB" w:rsidRDefault="00D56A18" w:rsidP="00794EBB">
      <w:pPr>
        <w:tabs>
          <w:tab w:val="left" w:pos="1170"/>
        </w:tabs>
        <w:spacing w:after="240" w:line="240" w:lineRule="auto"/>
        <w:ind w:right="-14"/>
        <w:jc w:val="center"/>
        <w:rPr>
          <w:rFonts w:ascii="Times New Roman" w:hAnsi="Times New Roman" w:cs="Times New Roman"/>
          <w:b/>
          <w:bCs/>
          <w:sz w:val="36"/>
          <w:szCs w:val="36"/>
        </w:rPr>
      </w:pPr>
      <w:r w:rsidRPr="00794EBB">
        <w:rPr>
          <w:rFonts w:ascii="Times New Roman" w:hAnsi="Times New Roman" w:cs="Times New Roman"/>
          <w:b/>
          <w:bCs/>
          <w:sz w:val="36"/>
          <w:szCs w:val="36"/>
        </w:rPr>
        <w:t xml:space="preserve">Leadership Practices </w:t>
      </w:r>
      <w:r w:rsidR="00794EBB" w:rsidRPr="00794EBB">
        <w:rPr>
          <w:rFonts w:ascii="Times New Roman" w:hAnsi="Times New Roman" w:cs="Times New Roman"/>
          <w:b/>
          <w:bCs/>
          <w:sz w:val="36"/>
          <w:szCs w:val="36"/>
        </w:rPr>
        <w:t xml:space="preserve">of </w:t>
      </w:r>
      <w:r w:rsidRPr="00794EBB">
        <w:rPr>
          <w:rFonts w:ascii="Times New Roman" w:hAnsi="Times New Roman" w:cs="Times New Roman"/>
          <w:b/>
          <w:bCs/>
          <w:sz w:val="36"/>
          <w:szCs w:val="36"/>
        </w:rPr>
        <w:t xml:space="preserve">Exemplary Principals </w:t>
      </w:r>
      <w:r w:rsidR="00794EBB" w:rsidRPr="00794EBB">
        <w:rPr>
          <w:rFonts w:ascii="Times New Roman" w:hAnsi="Times New Roman" w:cs="Times New Roman"/>
          <w:b/>
          <w:bCs/>
          <w:sz w:val="36"/>
          <w:szCs w:val="36"/>
        </w:rPr>
        <w:t xml:space="preserve">in </w:t>
      </w:r>
      <w:r w:rsidRPr="00794EBB">
        <w:rPr>
          <w:rFonts w:ascii="Times New Roman" w:hAnsi="Times New Roman" w:cs="Times New Roman"/>
          <w:b/>
          <w:bCs/>
          <w:sz w:val="36"/>
          <w:szCs w:val="36"/>
        </w:rPr>
        <w:t>Malaysian Secondary Schools</w:t>
      </w:r>
      <w:r w:rsidR="00794EBB" w:rsidRPr="00794EBB">
        <w:rPr>
          <w:rFonts w:ascii="Times New Roman" w:hAnsi="Times New Roman" w:cs="Times New Roman"/>
          <w:b/>
          <w:bCs/>
          <w:sz w:val="36"/>
          <w:szCs w:val="36"/>
        </w:rPr>
        <w:t xml:space="preserve">: </w:t>
      </w:r>
      <w:r w:rsidRPr="00794EBB">
        <w:rPr>
          <w:rFonts w:ascii="Times New Roman" w:hAnsi="Times New Roman" w:cs="Times New Roman"/>
          <w:b/>
          <w:bCs/>
          <w:sz w:val="36"/>
          <w:szCs w:val="36"/>
        </w:rPr>
        <w:t xml:space="preserve">Evidence </w:t>
      </w:r>
      <w:r w:rsidR="00794EBB" w:rsidRPr="00794EBB">
        <w:rPr>
          <w:rFonts w:ascii="Times New Roman" w:hAnsi="Times New Roman" w:cs="Times New Roman"/>
          <w:b/>
          <w:bCs/>
          <w:sz w:val="36"/>
          <w:szCs w:val="36"/>
        </w:rPr>
        <w:t xml:space="preserve">from </w:t>
      </w:r>
      <w:r w:rsidRPr="00794EBB">
        <w:rPr>
          <w:rFonts w:ascii="Times New Roman" w:hAnsi="Times New Roman" w:cs="Times New Roman"/>
          <w:b/>
          <w:bCs/>
          <w:sz w:val="36"/>
          <w:szCs w:val="36"/>
        </w:rPr>
        <w:t>Pahang</w:t>
      </w:r>
    </w:p>
    <w:p w14:paraId="7D60C65E" w14:textId="28B237F9" w:rsidR="001F423C" w:rsidRDefault="000330E5" w:rsidP="00794EBB">
      <w:pPr>
        <w:tabs>
          <w:tab w:val="left" w:pos="1170"/>
        </w:tabs>
        <w:spacing w:after="240" w:line="240" w:lineRule="auto"/>
        <w:ind w:right="-14"/>
        <w:jc w:val="center"/>
        <w:rPr>
          <w:rFonts w:ascii="Times New Roman" w:hAnsi="Times New Roman" w:cs="Times New Roman"/>
          <w:b/>
          <w:bCs/>
          <w:sz w:val="24"/>
          <w:szCs w:val="24"/>
          <w:vertAlign w:val="superscript"/>
        </w:rPr>
      </w:pPr>
      <w:r w:rsidRPr="00794EBB">
        <w:rPr>
          <w:rFonts w:ascii="Times New Roman" w:hAnsi="Times New Roman" w:cs="Times New Roman"/>
          <w:b/>
          <w:bCs/>
          <w:sz w:val="24"/>
          <w:szCs w:val="24"/>
        </w:rPr>
        <w:t>Noor Faizah Idris</w:t>
      </w:r>
      <w:r w:rsidR="001F423C" w:rsidRPr="00794EBB">
        <w:rPr>
          <w:rFonts w:ascii="Times New Roman" w:hAnsi="Times New Roman" w:cs="Times New Roman"/>
          <w:b/>
          <w:bCs/>
          <w:sz w:val="24"/>
          <w:szCs w:val="24"/>
          <w:vertAlign w:val="superscript"/>
        </w:rPr>
        <w:t>1*</w:t>
      </w:r>
      <w:r w:rsidR="001F423C" w:rsidRPr="00794EBB">
        <w:rPr>
          <w:rFonts w:ascii="Times New Roman" w:hAnsi="Times New Roman" w:cs="Times New Roman"/>
          <w:b/>
          <w:bCs/>
          <w:sz w:val="24"/>
          <w:szCs w:val="24"/>
        </w:rPr>
        <w:t xml:space="preserve">, </w:t>
      </w:r>
      <w:proofErr w:type="spellStart"/>
      <w:r w:rsidRPr="00794EBB">
        <w:rPr>
          <w:rFonts w:ascii="Times New Roman" w:hAnsi="Times New Roman" w:cs="Times New Roman"/>
          <w:b/>
          <w:bCs/>
          <w:sz w:val="24"/>
          <w:szCs w:val="24"/>
        </w:rPr>
        <w:t>Badaruddin</w:t>
      </w:r>
      <w:proofErr w:type="spellEnd"/>
      <w:r w:rsidRPr="00794EBB">
        <w:rPr>
          <w:rFonts w:ascii="Times New Roman" w:hAnsi="Times New Roman" w:cs="Times New Roman"/>
          <w:b/>
          <w:bCs/>
          <w:sz w:val="24"/>
          <w:szCs w:val="24"/>
        </w:rPr>
        <w:t xml:space="preserve"> Ibrahim</w:t>
      </w:r>
      <w:r w:rsidRPr="00794EBB">
        <w:rPr>
          <w:rFonts w:ascii="Times New Roman" w:hAnsi="Times New Roman" w:cs="Times New Roman"/>
          <w:b/>
          <w:bCs/>
          <w:sz w:val="24"/>
          <w:szCs w:val="24"/>
          <w:vertAlign w:val="superscript"/>
        </w:rPr>
        <w:t xml:space="preserve"> </w:t>
      </w:r>
      <w:r w:rsidR="001F423C" w:rsidRPr="00794EBB">
        <w:rPr>
          <w:rFonts w:ascii="Times New Roman" w:hAnsi="Times New Roman" w:cs="Times New Roman"/>
          <w:b/>
          <w:bCs/>
          <w:sz w:val="24"/>
          <w:szCs w:val="24"/>
          <w:vertAlign w:val="superscript"/>
        </w:rPr>
        <w:t>2</w:t>
      </w:r>
    </w:p>
    <w:p w14:paraId="12F0B714" w14:textId="77777777" w:rsidR="00794EBB" w:rsidRPr="00794EBB" w:rsidRDefault="00794EBB" w:rsidP="00794EBB">
      <w:pPr>
        <w:jc w:val="center"/>
        <w:rPr>
          <w:rFonts w:ascii="Times New Roman" w:hAnsi="Times New Roman" w:cs="Times New Roman"/>
          <w:b/>
          <w:bCs/>
          <w:sz w:val="24"/>
          <w:szCs w:val="24"/>
        </w:rPr>
      </w:pPr>
      <w:r w:rsidRPr="00794EBB">
        <w:rPr>
          <w:rFonts w:ascii="Times New Roman" w:hAnsi="Times New Roman" w:cs="Times New Roman"/>
          <w:b/>
          <w:bCs/>
          <w:sz w:val="24"/>
          <w:szCs w:val="24"/>
          <w:vertAlign w:val="superscript"/>
        </w:rPr>
        <w:t>1, 2</w:t>
      </w:r>
      <w:r w:rsidRPr="00794EBB">
        <w:rPr>
          <w:rFonts w:ascii="Times New Roman" w:hAnsi="Times New Roman" w:cs="Times New Roman"/>
          <w:b/>
          <w:bCs/>
          <w:sz w:val="24"/>
          <w:szCs w:val="24"/>
        </w:rPr>
        <w:t>Faculty of Technical and Vocational Education, Tun Hussein Onn University of Malaysia</w:t>
      </w:r>
    </w:p>
    <w:p w14:paraId="37AC24AD" w14:textId="418E31A4" w:rsidR="00794EBB" w:rsidRPr="00794EBB" w:rsidRDefault="00794EBB" w:rsidP="00794EBB">
      <w:pPr>
        <w:jc w:val="center"/>
        <w:rPr>
          <w:rFonts w:ascii="Times New Roman" w:hAnsi="Times New Roman" w:cs="Times New Roman"/>
          <w:b/>
          <w:bCs/>
          <w:sz w:val="24"/>
          <w:szCs w:val="24"/>
        </w:rPr>
      </w:pPr>
      <w:r w:rsidRPr="00794EBB">
        <w:rPr>
          <w:rFonts w:ascii="Times New Roman" w:hAnsi="Times New Roman" w:cs="Times New Roman"/>
          <w:b/>
          <w:bCs/>
          <w:sz w:val="24"/>
          <w:szCs w:val="24"/>
          <w:vertAlign w:val="superscript"/>
        </w:rPr>
        <w:t>1</w:t>
      </w:r>
      <w:r w:rsidRPr="00794EBB">
        <w:rPr>
          <w:rFonts w:ascii="Times New Roman" w:hAnsi="Times New Roman" w:cs="Times New Roman"/>
          <w:b/>
          <w:bCs/>
          <w:sz w:val="24"/>
          <w:szCs w:val="24"/>
        </w:rPr>
        <w:t>Educational Sponsorship Division, Ministry of Education Malaysia, Cyberjaya, Malaysia</w:t>
      </w:r>
    </w:p>
    <w:p w14:paraId="6207D358" w14:textId="4A7EFA24" w:rsidR="00794EBB" w:rsidRPr="00794EBB" w:rsidRDefault="00794EBB" w:rsidP="00794EBB">
      <w:pPr>
        <w:jc w:val="center"/>
        <w:rPr>
          <w:rFonts w:ascii="Times New Roman" w:hAnsi="Times New Roman" w:cs="Times New Roman"/>
          <w:b/>
          <w:bCs/>
          <w:sz w:val="24"/>
          <w:szCs w:val="24"/>
        </w:rPr>
      </w:pPr>
      <w:r w:rsidRPr="00794EBB">
        <w:rPr>
          <w:rFonts w:ascii="Times New Roman" w:hAnsi="Times New Roman" w:cs="Times New Roman"/>
          <w:b/>
          <w:bCs/>
          <w:sz w:val="24"/>
          <w:szCs w:val="24"/>
        </w:rPr>
        <w:t xml:space="preserve">*Corresponding </w:t>
      </w:r>
      <w:r w:rsidRPr="00794EBB">
        <w:rPr>
          <w:rFonts w:ascii="Times New Roman" w:hAnsi="Times New Roman" w:cs="Times New Roman"/>
          <w:b/>
          <w:bCs/>
          <w:sz w:val="24"/>
          <w:szCs w:val="24"/>
        </w:rPr>
        <w:t>A</w:t>
      </w:r>
      <w:r w:rsidRPr="00794EBB">
        <w:rPr>
          <w:rFonts w:ascii="Times New Roman" w:hAnsi="Times New Roman" w:cs="Times New Roman"/>
          <w:b/>
          <w:bCs/>
          <w:sz w:val="24"/>
          <w:szCs w:val="24"/>
        </w:rPr>
        <w:t>uthor</w:t>
      </w:r>
    </w:p>
    <w:p w14:paraId="224F4098" w14:textId="77777777" w:rsidR="00794EBB" w:rsidRPr="00FA794B" w:rsidRDefault="00794EBB" w:rsidP="00794EBB">
      <w:pPr>
        <w:tabs>
          <w:tab w:val="left" w:pos="360"/>
        </w:tabs>
        <w:spacing w:after="240" w:line="240" w:lineRule="auto"/>
        <w:ind w:right="-28"/>
        <w:jc w:val="center"/>
        <w:rPr>
          <w:rFonts w:ascii="Times New Roman" w:hAnsi="Times New Roman" w:cs="Times New Roman"/>
          <w:b/>
          <w:sz w:val="24"/>
          <w:szCs w:val="24"/>
          <w:lang w:val="en-GB"/>
        </w:rPr>
      </w:pPr>
      <w:r w:rsidRPr="00FA794B">
        <w:rPr>
          <w:rFonts w:ascii="Times New Roman" w:eastAsia="Aptos" w:hAnsi="Times New Roman" w:cs="Times New Roman"/>
          <w:b/>
          <w:bCs/>
          <w:sz w:val="24"/>
          <w:szCs w:val="24"/>
          <w:lang w:val="en-GB"/>
        </w:rPr>
        <w:t xml:space="preserve">DOI: </w:t>
      </w:r>
      <w:hyperlink r:id="rId8" w:history="1">
        <w:r w:rsidRPr="00FA794B">
          <w:rPr>
            <w:rFonts w:ascii="Times New Roman" w:eastAsia="Aptos" w:hAnsi="Times New Roman" w:cs="Times New Roman"/>
            <w:b/>
            <w:bCs/>
            <w:color w:val="467886"/>
            <w:sz w:val="24"/>
            <w:szCs w:val="24"/>
            <w:u w:val="single"/>
            <w:lang w:val="en-GB"/>
          </w:rPr>
          <w:t>https://doi.org/10.47772/IJRISS.2026.10100046</w:t>
        </w:r>
      </w:hyperlink>
    </w:p>
    <w:p w14:paraId="556DC2F0" w14:textId="77777777" w:rsidR="00794EBB" w:rsidRPr="00FA794B" w:rsidRDefault="00794EBB" w:rsidP="00794EBB">
      <w:pPr>
        <w:tabs>
          <w:tab w:val="left" w:pos="360"/>
        </w:tabs>
        <w:spacing w:after="120" w:line="240" w:lineRule="auto"/>
        <w:ind w:right="-28"/>
        <w:jc w:val="center"/>
        <w:rPr>
          <w:rFonts w:ascii="Times New Roman" w:hAnsi="Times New Roman" w:cs="Times New Roman"/>
          <w:b/>
          <w:sz w:val="24"/>
          <w:szCs w:val="24"/>
          <w:lang w:val="en-GB"/>
        </w:rPr>
      </w:pPr>
      <w:r w:rsidRPr="00FA794B">
        <w:rPr>
          <w:rFonts w:ascii="Times New Roman" w:eastAsia="Aptos" w:hAnsi="Times New Roman" w:cs="Times New Roman"/>
          <w:b/>
          <w:bCs/>
          <w:sz w:val="24"/>
          <w:szCs w:val="24"/>
          <w:lang w:val="en-GB"/>
        </w:rPr>
        <w:t>Received: 29 December 2025; Accepted: 06 January 2026; Published: 20 January 2026</w:t>
      </w:r>
    </w:p>
    <w:p w14:paraId="0A7BE1CE" w14:textId="5723AD68" w:rsidR="00C3224F" w:rsidRPr="00794EBB" w:rsidRDefault="00C3224F" w:rsidP="00794EBB">
      <w:pPr>
        <w:tabs>
          <w:tab w:val="left" w:pos="1170"/>
        </w:tabs>
        <w:spacing w:after="240" w:line="240" w:lineRule="auto"/>
        <w:ind w:right="-14"/>
        <w:jc w:val="both"/>
        <w:rPr>
          <w:rFonts w:ascii="Times New Roman" w:hAnsi="Times New Roman" w:cs="Times New Roman"/>
          <w:b/>
          <w:bCs/>
          <w:sz w:val="28"/>
        </w:rPr>
      </w:pPr>
      <w:r w:rsidRPr="00794EBB">
        <w:rPr>
          <w:rFonts w:ascii="Times New Roman" w:hAnsi="Times New Roman" w:cs="Times New Roman"/>
          <w:b/>
          <w:bCs/>
          <w:sz w:val="28"/>
        </w:rPr>
        <w:t>ABSTRACT</w:t>
      </w:r>
    </w:p>
    <w:p w14:paraId="76CB5794" w14:textId="11919DB4" w:rsidR="00526A74" w:rsidRPr="00794EBB" w:rsidRDefault="00526A74" w:rsidP="00794EBB">
      <w:pPr>
        <w:tabs>
          <w:tab w:val="left" w:pos="1170"/>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School leadership remains the most significant organizational factor after classroom teaching in influencing student learning. Aligned with the aspirations of the Malaysian Education Blueprint 2013-2025, this study evaluates exemplary principal leadership practices using the Successful School Leadership (SSL) framework and </w:t>
      </w:r>
      <w:r w:rsidR="00D34AEC" w:rsidRPr="00794EBB">
        <w:rPr>
          <w:rFonts w:ascii="Times New Roman" w:hAnsi="Times New Roman" w:cs="Times New Roman"/>
          <w:sz w:val="24"/>
          <w:szCs w:val="24"/>
        </w:rPr>
        <w:t>examine</w:t>
      </w:r>
      <w:r w:rsidR="00204789" w:rsidRPr="00794EBB">
        <w:rPr>
          <w:rFonts w:ascii="Times New Roman" w:hAnsi="Times New Roman" w:cs="Times New Roman"/>
          <w:sz w:val="24"/>
          <w:szCs w:val="24"/>
        </w:rPr>
        <w:t>s</w:t>
      </w:r>
      <w:r w:rsidR="00D34AEC" w:rsidRPr="00794EBB">
        <w:rPr>
          <w:rFonts w:ascii="Times New Roman" w:hAnsi="Times New Roman" w:cs="Times New Roman"/>
          <w:sz w:val="24"/>
          <w:szCs w:val="24"/>
        </w:rPr>
        <w:t xml:space="preserve"> </w:t>
      </w:r>
      <w:r w:rsidRPr="00794EBB">
        <w:rPr>
          <w:rFonts w:ascii="Times New Roman" w:hAnsi="Times New Roman" w:cs="Times New Roman"/>
          <w:sz w:val="24"/>
          <w:szCs w:val="24"/>
        </w:rPr>
        <w:t>the reliability of the Successful School Leadership Survey (SSLS)</w:t>
      </w:r>
      <w:r w:rsidR="00D34AEC" w:rsidRPr="00794EBB">
        <w:rPr>
          <w:rFonts w:ascii="Times New Roman" w:hAnsi="Times New Roman" w:cs="Times New Roman"/>
          <w:sz w:val="24"/>
          <w:szCs w:val="24"/>
        </w:rPr>
        <w:t xml:space="preserve"> </w:t>
      </w:r>
      <w:r w:rsidR="0021640E" w:rsidRPr="00794EBB">
        <w:rPr>
          <w:rFonts w:ascii="Times New Roman" w:hAnsi="Times New Roman" w:cs="Times New Roman"/>
          <w:sz w:val="24"/>
          <w:szCs w:val="24"/>
        </w:rPr>
        <w:t>in</w:t>
      </w:r>
      <w:r w:rsidR="00D34AEC" w:rsidRPr="00794EBB">
        <w:rPr>
          <w:rFonts w:ascii="Times New Roman" w:hAnsi="Times New Roman" w:cs="Times New Roman"/>
          <w:sz w:val="24"/>
          <w:szCs w:val="24"/>
        </w:rPr>
        <w:t xml:space="preserve"> </w:t>
      </w:r>
      <w:r w:rsidRPr="00794EBB">
        <w:rPr>
          <w:rFonts w:ascii="Times New Roman" w:hAnsi="Times New Roman" w:cs="Times New Roman"/>
          <w:sz w:val="24"/>
          <w:szCs w:val="24"/>
        </w:rPr>
        <w:t>the context of Pahang secondary schools. This quantitative survey involved three national secondary schools selected through purposive sampling based on exemplary principal criteria</w:t>
      </w:r>
      <w:r w:rsidR="0021640E" w:rsidRPr="00794EBB">
        <w:rPr>
          <w:rFonts w:ascii="Times New Roman" w:hAnsi="Times New Roman" w:cs="Times New Roman"/>
          <w:sz w:val="24"/>
          <w:szCs w:val="24"/>
        </w:rPr>
        <w:t xml:space="preserve">, including </w:t>
      </w:r>
      <w:r w:rsidRPr="00794EBB">
        <w:rPr>
          <w:rFonts w:ascii="Times New Roman" w:hAnsi="Times New Roman" w:cs="Times New Roman"/>
          <w:sz w:val="24"/>
          <w:szCs w:val="24"/>
        </w:rPr>
        <w:t>recent excellence awards, consistent</w:t>
      </w:r>
      <w:r w:rsidR="0021640E" w:rsidRPr="00794EBB">
        <w:rPr>
          <w:rFonts w:ascii="Times New Roman" w:hAnsi="Times New Roman" w:cs="Times New Roman"/>
          <w:sz w:val="24"/>
          <w:szCs w:val="24"/>
        </w:rPr>
        <w:t xml:space="preserve"> top-quartile</w:t>
      </w:r>
      <w:r w:rsidRPr="00794EBB">
        <w:rPr>
          <w:rFonts w:ascii="Times New Roman" w:hAnsi="Times New Roman" w:cs="Times New Roman"/>
          <w:sz w:val="24"/>
          <w:szCs w:val="24"/>
        </w:rPr>
        <w:t xml:space="preserve"> academic performance and State Education Department recommendations. Respondents co</w:t>
      </w:r>
      <w:r w:rsidR="0021640E" w:rsidRPr="00794EBB">
        <w:rPr>
          <w:rFonts w:ascii="Times New Roman" w:hAnsi="Times New Roman" w:cs="Times New Roman"/>
          <w:sz w:val="24"/>
          <w:szCs w:val="24"/>
        </w:rPr>
        <w:t xml:space="preserve">mprised </w:t>
      </w:r>
      <w:r w:rsidRPr="00794EBB">
        <w:rPr>
          <w:rFonts w:ascii="Times New Roman" w:hAnsi="Times New Roman" w:cs="Times New Roman"/>
          <w:sz w:val="24"/>
          <w:szCs w:val="24"/>
        </w:rPr>
        <w:t>152 teachers (98.1% response rate) from two urban schools and one rural school. The teacher version of SSLS (22 items</w:t>
      </w:r>
      <w:r w:rsidR="0021640E" w:rsidRPr="00794EBB">
        <w:rPr>
          <w:rFonts w:ascii="Times New Roman" w:hAnsi="Times New Roman" w:cs="Times New Roman"/>
          <w:sz w:val="24"/>
          <w:szCs w:val="24"/>
        </w:rPr>
        <w:t xml:space="preserve"> across four </w:t>
      </w:r>
      <w:r w:rsidRPr="00794EBB">
        <w:rPr>
          <w:rFonts w:ascii="Times New Roman" w:hAnsi="Times New Roman" w:cs="Times New Roman"/>
          <w:sz w:val="24"/>
          <w:szCs w:val="24"/>
        </w:rPr>
        <w:t>domains: Setting Directions, Building Relationships and Developing People, (Re)Designing the Organization</w:t>
      </w:r>
      <w:r w:rsidR="0021640E" w:rsidRPr="00794EBB">
        <w:rPr>
          <w:rFonts w:ascii="Times New Roman" w:hAnsi="Times New Roman" w:cs="Times New Roman"/>
          <w:sz w:val="24"/>
          <w:szCs w:val="24"/>
        </w:rPr>
        <w:t xml:space="preserve"> and </w:t>
      </w:r>
      <w:r w:rsidRPr="00794EBB">
        <w:rPr>
          <w:rFonts w:ascii="Times New Roman" w:hAnsi="Times New Roman" w:cs="Times New Roman"/>
          <w:sz w:val="24"/>
          <w:szCs w:val="24"/>
        </w:rPr>
        <w:t xml:space="preserve">Improving the Instructional Program) was administered using a five-point Likert scale. Data were </w:t>
      </w:r>
      <w:r w:rsidR="00405F40" w:rsidRPr="00794EBB">
        <w:rPr>
          <w:rFonts w:ascii="Times New Roman" w:hAnsi="Times New Roman" w:cs="Times New Roman"/>
          <w:sz w:val="24"/>
          <w:szCs w:val="24"/>
        </w:rPr>
        <w:t>analysed</w:t>
      </w:r>
      <w:r w:rsidRPr="00794EBB">
        <w:rPr>
          <w:rFonts w:ascii="Times New Roman" w:hAnsi="Times New Roman" w:cs="Times New Roman"/>
          <w:sz w:val="24"/>
          <w:szCs w:val="24"/>
        </w:rPr>
        <w:t xml:space="preserve"> using descriptive statistics, Cronbach's alpha, one-way ANOVA</w:t>
      </w:r>
      <w:r w:rsidR="0021640E" w:rsidRPr="00794EBB">
        <w:rPr>
          <w:rFonts w:ascii="Times New Roman" w:hAnsi="Times New Roman" w:cs="Times New Roman"/>
          <w:sz w:val="24"/>
          <w:szCs w:val="24"/>
        </w:rPr>
        <w:t xml:space="preserve"> with </w:t>
      </w:r>
      <w:r w:rsidRPr="00794EBB">
        <w:rPr>
          <w:rFonts w:ascii="Times New Roman" w:hAnsi="Times New Roman" w:cs="Times New Roman"/>
          <w:sz w:val="24"/>
          <w:szCs w:val="24"/>
        </w:rPr>
        <w:t>Games-Howell post hoc</w:t>
      </w:r>
      <w:r w:rsidR="0021640E" w:rsidRPr="00794EBB">
        <w:rPr>
          <w:rFonts w:ascii="Times New Roman" w:hAnsi="Times New Roman" w:cs="Times New Roman"/>
          <w:sz w:val="24"/>
          <w:szCs w:val="24"/>
        </w:rPr>
        <w:t xml:space="preserve"> comparisons </w:t>
      </w:r>
      <w:r w:rsidRPr="00794EBB">
        <w:rPr>
          <w:rFonts w:ascii="Times New Roman" w:hAnsi="Times New Roman" w:cs="Times New Roman"/>
          <w:sz w:val="24"/>
          <w:szCs w:val="24"/>
        </w:rPr>
        <w:t>and independent samples t-tests (Welch), with Cohen's d effect sizes reported. Findings</w:t>
      </w:r>
      <w:r w:rsidR="0021640E" w:rsidRPr="00794EBB">
        <w:rPr>
          <w:rFonts w:ascii="Times New Roman" w:hAnsi="Times New Roman" w:cs="Times New Roman"/>
          <w:sz w:val="24"/>
          <w:szCs w:val="24"/>
        </w:rPr>
        <w:t xml:space="preserve"> indicated </w:t>
      </w:r>
      <w:r w:rsidRPr="00794EBB">
        <w:rPr>
          <w:rFonts w:ascii="Times New Roman" w:hAnsi="Times New Roman" w:cs="Times New Roman"/>
          <w:sz w:val="24"/>
          <w:szCs w:val="24"/>
        </w:rPr>
        <w:t>that exemplary principal leadership practices were rated</w:t>
      </w:r>
      <w:r w:rsidR="0021640E" w:rsidRPr="00794EBB">
        <w:rPr>
          <w:rFonts w:ascii="Times New Roman" w:hAnsi="Times New Roman" w:cs="Times New Roman"/>
          <w:sz w:val="24"/>
          <w:szCs w:val="24"/>
        </w:rPr>
        <w:t xml:space="preserve"> at </w:t>
      </w:r>
      <w:r w:rsidRPr="00794EBB">
        <w:rPr>
          <w:rFonts w:ascii="Times New Roman" w:hAnsi="Times New Roman" w:cs="Times New Roman"/>
          <w:sz w:val="24"/>
          <w:szCs w:val="24"/>
        </w:rPr>
        <w:t>high</w:t>
      </w:r>
      <w:r w:rsidR="0021640E" w:rsidRPr="00794EBB">
        <w:rPr>
          <w:rFonts w:ascii="Times New Roman" w:hAnsi="Times New Roman" w:cs="Times New Roman"/>
          <w:sz w:val="24"/>
          <w:szCs w:val="24"/>
        </w:rPr>
        <w:t xml:space="preserve"> level</w:t>
      </w:r>
      <w:r w:rsidR="00D4515A" w:rsidRPr="00794EBB">
        <w:rPr>
          <w:rFonts w:ascii="Times New Roman" w:hAnsi="Times New Roman" w:cs="Times New Roman"/>
          <w:sz w:val="24"/>
          <w:szCs w:val="24"/>
        </w:rPr>
        <w:t>s</w:t>
      </w:r>
      <w:r w:rsidRPr="00794EBB">
        <w:rPr>
          <w:rFonts w:ascii="Times New Roman" w:hAnsi="Times New Roman" w:cs="Times New Roman"/>
          <w:sz w:val="24"/>
          <w:szCs w:val="24"/>
        </w:rPr>
        <w:t xml:space="preserve"> (M = 4.40, SD = 0.56), with Setting Directions recording the highest mean (M = 4.46). </w:t>
      </w:r>
      <w:r w:rsidR="00D4515A" w:rsidRPr="00794EBB">
        <w:rPr>
          <w:rFonts w:ascii="Times New Roman" w:hAnsi="Times New Roman" w:cs="Times New Roman"/>
          <w:sz w:val="24"/>
          <w:szCs w:val="24"/>
        </w:rPr>
        <w:t xml:space="preserve">The </w:t>
      </w:r>
      <w:r w:rsidRPr="00794EBB">
        <w:rPr>
          <w:rFonts w:ascii="Times New Roman" w:hAnsi="Times New Roman" w:cs="Times New Roman"/>
          <w:sz w:val="24"/>
          <w:szCs w:val="24"/>
        </w:rPr>
        <w:t>SSLS demonstrated excellent internal consistency (overall α = .977; domain α = .904-.943). Comparative analyses revealed significant differences across schools (all p &lt; .001),</w:t>
      </w:r>
      <w:r w:rsidR="00D4515A" w:rsidRPr="00794EBB">
        <w:rPr>
          <w:rFonts w:ascii="Times New Roman" w:hAnsi="Times New Roman" w:cs="Times New Roman"/>
          <w:sz w:val="24"/>
          <w:szCs w:val="24"/>
        </w:rPr>
        <w:t xml:space="preserve"> with</w:t>
      </w:r>
      <w:r w:rsidRPr="00794EBB">
        <w:rPr>
          <w:rFonts w:ascii="Times New Roman" w:hAnsi="Times New Roman" w:cs="Times New Roman"/>
          <w:sz w:val="24"/>
          <w:szCs w:val="24"/>
        </w:rPr>
        <w:t xml:space="preserve"> rural schools report</w:t>
      </w:r>
      <w:r w:rsidR="00D4515A" w:rsidRPr="00794EBB">
        <w:rPr>
          <w:rFonts w:ascii="Times New Roman" w:hAnsi="Times New Roman" w:cs="Times New Roman"/>
          <w:sz w:val="24"/>
          <w:szCs w:val="24"/>
        </w:rPr>
        <w:t>ing</w:t>
      </w:r>
      <w:r w:rsidRPr="00794EBB">
        <w:rPr>
          <w:rFonts w:ascii="Times New Roman" w:hAnsi="Times New Roman" w:cs="Times New Roman"/>
          <w:sz w:val="24"/>
          <w:szCs w:val="24"/>
        </w:rPr>
        <w:t xml:space="preserve"> higher scores than urban schools</w:t>
      </w:r>
      <w:r w:rsidR="00D4515A" w:rsidRPr="00794EBB">
        <w:rPr>
          <w:rFonts w:ascii="Times New Roman" w:hAnsi="Times New Roman" w:cs="Times New Roman"/>
          <w:sz w:val="24"/>
          <w:szCs w:val="24"/>
        </w:rPr>
        <w:t xml:space="preserve"> across </w:t>
      </w:r>
      <w:r w:rsidRPr="00794EBB">
        <w:rPr>
          <w:rFonts w:ascii="Times New Roman" w:hAnsi="Times New Roman" w:cs="Times New Roman"/>
          <w:sz w:val="24"/>
          <w:szCs w:val="24"/>
        </w:rPr>
        <w:t xml:space="preserve">all domains with large effect sizes (d = 0.70-0.86). </w:t>
      </w:r>
      <w:r w:rsidR="00D4515A" w:rsidRPr="00794EBB">
        <w:rPr>
          <w:rFonts w:ascii="Times New Roman" w:hAnsi="Times New Roman" w:cs="Times New Roman"/>
          <w:sz w:val="24"/>
          <w:szCs w:val="24"/>
        </w:rPr>
        <w:t xml:space="preserve">These findings provide strong reliability evidence supporting the use of SSLS in the Malaysian context and offer practical implications for leadership development and benchmarking exemplary practices across diverse school settings. However, findings should be interpreted within the context of three purposively selected schools and warrant replication with broader samples. </w:t>
      </w:r>
    </w:p>
    <w:p w14:paraId="0C43AC13" w14:textId="7F24067F" w:rsidR="00526A74" w:rsidRPr="00794EBB" w:rsidRDefault="00597A6E" w:rsidP="00794EBB">
      <w:pPr>
        <w:tabs>
          <w:tab w:val="left" w:pos="1170"/>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b/>
          <w:bCs/>
          <w:sz w:val="24"/>
          <w:szCs w:val="24"/>
        </w:rPr>
        <w:t>Keywords:</w:t>
      </w:r>
      <w:r w:rsidRPr="00794EBB">
        <w:rPr>
          <w:rFonts w:ascii="Times New Roman" w:hAnsi="Times New Roman" w:cs="Times New Roman"/>
          <w:sz w:val="24"/>
          <w:szCs w:val="24"/>
        </w:rPr>
        <w:t xml:space="preserve"> </w:t>
      </w:r>
      <w:r w:rsidR="00526A74" w:rsidRPr="00794EBB">
        <w:rPr>
          <w:rFonts w:ascii="Times New Roman" w:hAnsi="Times New Roman" w:cs="Times New Roman"/>
          <w:sz w:val="24"/>
          <w:szCs w:val="24"/>
        </w:rPr>
        <w:t>Successful School Leadership</w:t>
      </w:r>
      <w:r w:rsidR="004E04DE" w:rsidRPr="00794EBB">
        <w:rPr>
          <w:rFonts w:ascii="Times New Roman" w:hAnsi="Times New Roman" w:cs="Times New Roman"/>
          <w:sz w:val="24"/>
          <w:szCs w:val="24"/>
        </w:rPr>
        <w:t>,</w:t>
      </w:r>
      <w:r w:rsidR="00526A74" w:rsidRPr="00794EBB">
        <w:rPr>
          <w:rFonts w:ascii="Times New Roman" w:hAnsi="Times New Roman" w:cs="Times New Roman"/>
          <w:sz w:val="24"/>
          <w:szCs w:val="24"/>
        </w:rPr>
        <w:t xml:space="preserve"> SSLS, exemplary principals, school leadership, secondary schools, urban-rural, Malaysia</w:t>
      </w:r>
    </w:p>
    <w:p w14:paraId="369010C4" w14:textId="7F6B0782" w:rsidR="00C3224F" w:rsidRPr="00794EBB" w:rsidRDefault="00C3224F" w:rsidP="00794EBB">
      <w:pPr>
        <w:tabs>
          <w:tab w:val="left" w:pos="1170"/>
        </w:tabs>
        <w:spacing w:after="240" w:line="240" w:lineRule="auto"/>
        <w:ind w:right="-14"/>
        <w:jc w:val="both"/>
        <w:rPr>
          <w:rFonts w:ascii="Times New Roman" w:hAnsi="Times New Roman" w:cs="Times New Roman"/>
          <w:b/>
          <w:bCs/>
          <w:sz w:val="28"/>
        </w:rPr>
      </w:pPr>
      <w:r w:rsidRPr="00794EBB">
        <w:rPr>
          <w:rFonts w:ascii="Times New Roman" w:hAnsi="Times New Roman" w:cs="Times New Roman"/>
          <w:b/>
          <w:bCs/>
          <w:sz w:val="28"/>
        </w:rPr>
        <w:t>INTRODUCTION</w:t>
      </w:r>
    </w:p>
    <w:p w14:paraId="70312895" w14:textId="24B797D6" w:rsidR="005E0E6D" w:rsidRPr="00794EBB" w:rsidRDefault="005E0E6D" w:rsidP="00794EBB">
      <w:pPr>
        <w:tabs>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School leadership is recognized as a primary determinant of educational organizational effectiveness, with meta-analytic evidence showing that principal leadership is the second most important factor influencing student learning after classroom teaching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2020; Robinson et al., 2008). In the Malaysian context, secondary school principals play critical roles in ensuring curriculum policy implementation, developing teacher capacity, and building high-achievement climates aligned with the Malaysian Education Blueprint (PPPM) 2013–2025 aspirations (Ministry of Education Malaysia, 2013).</w:t>
      </w:r>
    </w:p>
    <w:p w14:paraId="75E76EA1" w14:textId="63F5C079" w:rsidR="005E0E6D" w:rsidRPr="00794EBB" w:rsidRDefault="005E0E6D" w:rsidP="00794EBB">
      <w:pPr>
        <w:tabs>
          <w:tab w:val="left" w:pos="993"/>
          <w:tab w:val="left" w:pos="1170"/>
          <w:tab w:val="left" w:pos="1276"/>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The concept of exemplary principals refers to school leaders who not only meet established performance standards but also demonstrate consistent, innovative leadership practices with measurable positive impacts on school communities and student outcomes, serving as models worthy of emulation by other educational leaders (Emmanuel &amp; Valley, 2022). In Malaysia, exemplary principals (locally termed “</w:t>
      </w:r>
      <w:proofErr w:type="spellStart"/>
      <w:r w:rsidRPr="00794EBB">
        <w:rPr>
          <w:rFonts w:ascii="Times New Roman" w:hAnsi="Times New Roman" w:cs="Times New Roman"/>
          <w:sz w:val="24"/>
          <w:szCs w:val="24"/>
        </w:rPr>
        <w:t>Pengetua</w:t>
      </w:r>
      <w:proofErr w:type="spellEnd"/>
      <w:r w:rsidRPr="00794EBB">
        <w:rPr>
          <w:rFonts w:ascii="Times New Roman" w:hAnsi="Times New Roman" w:cs="Times New Roman"/>
          <w:sz w:val="24"/>
          <w:szCs w:val="24"/>
        </w:rPr>
        <w:t xml:space="preserve"> Cemerlang”) are specifically identified through formal recognition systems including the Time-Based Excellence System (TBBK) established by the Ministry of Education (MOE) and implemented by State Education Departments. These principals lead schools that achieve "Excellent Status" based on the Malaysian Education Quality Standards (SKPM) with 85% or higher achievement without academic decline (Ministry of Education Malaysia, 2024).</w:t>
      </w:r>
    </w:p>
    <w:p w14:paraId="47AD46B5" w14:textId="26DB3C25" w:rsidR="005E0E6D" w:rsidRPr="00794EBB" w:rsidRDefault="005E0E6D" w:rsidP="00794EBB">
      <w:pPr>
        <w:tabs>
          <w:tab w:val="left" w:pos="993"/>
          <w:tab w:val="left" w:pos="1170"/>
          <w:tab w:val="left" w:pos="1276"/>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lastRenderedPageBreak/>
        <w:t>Recent studies by Kusin et al. (2024) and Abdul Ghani et al. (2022) demonstrate that exemplary principals in Malaysia show more focused instructional leadership practices and stronger commitment to teacher development compared to typical principals. However, these studies used different instruments and did not comprehensively measure exemplary principal leadership constructs using established international theoretical frameworks. Empirical research that systematically measures exemplary principal leadership practices in Malaysia using psychometrically sound, validated instruments remains limited, particularly for urban–rural context comparisons which are increasingly important given Malaysia's geographical diversity and educational equity goals.</w:t>
      </w:r>
    </w:p>
    <w:p w14:paraId="6DB73EF8" w14:textId="65E5BF2A" w:rsidR="005E0E6D" w:rsidRPr="00794EBB" w:rsidRDefault="005E0E6D" w:rsidP="00794EBB">
      <w:pPr>
        <w:tabs>
          <w:tab w:val="left" w:pos="993"/>
          <w:tab w:val="left" w:pos="1170"/>
          <w:tab w:val="left" w:pos="1276"/>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Successful School Leadership (SSL) framework developed by Kenneth Leithwood and colleagues represents one of the most widely referenced and empirically validated school leadership models in international literature (Hitt &amp; Tucker, 2016;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2012). The framework was developed and refined over more than two decades based on research synthesis, large-scale mixed-methods studies, and evaluation of leadership development programs across multiple countries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2017;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2019). SSL contains four main domains of leadership practices proven to contribute to school success across diverse cultural and organizational contexts: Setting Directions, Building Relationships and Developing People, (Re)Designing the Organization, and Improving the Instructional Program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2023).</w:t>
      </w:r>
    </w:p>
    <w:p w14:paraId="11A2028E" w14:textId="439F1B54" w:rsidR="002B5F6C" w:rsidRPr="00794EBB" w:rsidRDefault="002B5F6C" w:rsidP="00794EBB">
      <w:pPr>
        <w:tabs>
          <w:tab w:val="left" w:pos="993"/>
          <w:tab w:val="left" w:pos="1170"/>
          <w:tab w:val="left" w:pos="1276"/>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The Successful School Leadership Survey (SSLS) was specifically developed to measure these four domains through 22 psychometrically validated items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2023). Recent comprehensive psychometric studies involving 1,401 teachers in 81 elementary schools in Texas showed very high internal consistency reliability (overall α = .99; domain α = .91–.94), robust four-domain factor structure through second-order confirmatory factor analysis with excellent model fit indices (χ²/df = 1.85, RMSEA = .03, GFI = .99), and measurement invariance across gender, teaching experience, and teacher qualification levels using Rasch Many-Facet analysis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2023). Subsequent studies in China using translated versions reported similar reliability (α ≈ .98), supporting cross-cultural validity generalization to Asian educational contexts (Sun et al., n.d.).</w:t>
      </w:r>
    </w:p>
    <w:p w14:paraId="058A56A9" w14:textId="49E82EB8" w:rsidR="002B5F6C" w:rsidRPr="00794EBB" w:rsidRDefault="002B5F6C" w:rsidP="00794EBB">
      <w:pPr>
        <w:tabs>
          <w:tab w:val="left" w:pos="993"/>
          <w:tab w:val="left" w:pos="1170"/>
          <w:tab w:val="left" w:pos="1276"/>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Despite the widespread use of SSL concepts in Malaysian educational leadership discourse, empirical application of SSLS remains notably limited in published research. This represents a significant gap given that Malaysian leadership standards and frameworks such as the “Standard </w:t>
      </w:r>
      <w:proofErr w:type="spellStart"/>
      <w:r w:rsidRPr="00794EBB">
        <w:rPr>
          <w:rFonts w:ascii="Times New Roman" w:hAnsi="Times New Roman" w:cs="Times New Roman"/>
          <w:sz w:val="24"/>
          <w:szCs w:val="24"/>
        </w:rPr>
        <w:t>Kualiti</w:t>
      </w:r>
      <w:proofErr w:type="spellEnd"/>
      <w:r w:rsidRPr="00794EBB">
        <w:rPr>
          <w:rFonts w:ascii="Times New Roman" w:hAnsi="Times New Roman" w:cs="Times New Roman"/>
          <w:sz w:val="24"/>
          <w:szCs w:val="24"/>
        </w:rPr>
        <w:t xml:space="preserve"> Pendidikan Malaysia (SKPM) </w:t>
      </w:r>
      <w:proofErr w:type="spellStart"/>
      <w:r w:rsidRPr="00794EBB">
        <w:rPr>
          <w:rFonts w:ascii="Times New Roman" w:hAnsi="Times New Roman" w:cs="Times New Roman"/>
          <w:sz w:val="24"/>
          <w:szCs w:val="24"/>
        </w:rPr>
        <w:t>Kualiti@Sekolah</w:t>
      </w:r>
      <w:proofErr w:type="spellEnd"/>
      <w:r w:rsidRPr="00794EBB">
        <w:rPr>
          <w:rFonts w:ascii="Times New Roman" w:hAnsi="Times New Roman" w:cs="Times New Roman"/>
          <w:sz w:val="24"/>
          <w:szCs w:val="24"/>
        </w:rPr>
        <w:t xml:space="preserve"> (SK@S)” and “Standard </w:t>
      </w:r>
      <w:proofErr w:type="spellStart"/>
      <w:r w:rsidRPr="00794EBB">
        <w:rPr>
          <w:rFonts w:ascii="Times New Roman" w:hAnsi="Times New Roman" w:cs="Times New Roman"/>
          <w:sz w:val="24"/>
          <w:szCs w:val="24"/>
        </w:rPr>
        <w:t>Kompetensi</w:t>
      </w:r>
      <w:proofErr w:type="spellEnd"/>
      <w:r w:rsidRPr="00794EBB">
        <w:rPr>
          <w:rFonts w:ascii="Times New Roman" w:hAnsi="Times New Roman" w:cs="Times New Roman"/>
          <w:sz w:val="24"/>
          <w:szCs w:val="24"/>
        </w:rPr>
        <w:t xml:space="preserve"> </w:t>
      </w:r>
      <w:proofErr w:type="spellStart"/>
      <w:r w:rsidRPr="00794EBB">
        <w:rPr>
          <w:rFonts w:ascii="Times New Roman" w:hAnsi="Times New Roman" w:cs="Times New Roman"/>
          <w:sz w:val="24"/>
          <w:szCs w:val="24"/>
        </w:rPr>
        <w:t>Kepengetuaan</w:t>
      </w:r>
      <w:proofErr w:type="spellEnd"/>
      <w:r w:rsidRPr="00794EBB">
        <w:rPr>
          <w:rFonts w:ascii="Times New Roman" w:hAnsi="Times New Roman" w:cs="Times New Roman"/>
          <w:sz w:val="24"/>
          <w:szCs w:val="24"/>
        </w:rPr>
        <w:t xml:space="preserve"> Sekolah Malaysia (SKKSM)” emphasize similar elements to those in the SSL framework, suggesting theoretical alignment but lacking empirical validation (Bush, 2021). Despite conceptual alignment between SSL and Malaysian leadership standards, empirical validation of SSLS in Malaysian secondary school contexts remains scarce, particularly among formally recognized exemplary principals.</w:t>
      </w:r>
    </w:p>
    <w:p w14:paraId="67F318DB" w14:textId="6B553470" w:rsidR="002B5F6C" w:rsidRPr="00794EBB" w:rsidRDefault="002B5F6C" w:rsidP="00794EBB">
      <w:pPr>
        <w:tabs>
          <w:tab w:val="left" w:pos="993"/>
          <w:tab w:val="left" w:pos="1170"/>
          <w:tab w:val="left" w:pos="1276"/>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This study addresses this gap with four specific aims: (1) to identify the level of exemplary principal leadership practices in Pahang secondary schools based on the four SSLS domains; (2) to evaluate the internal consistency reliability of SSLS when used among Pahang secondary school teachers, providing evidence for its suitability in the Malaysian context; (3) to compare teacher perceptions of exemplary principal leadership practices across three different schools with varying characteristics; and (4) to identify differences in teacher perceptions between urban and rural secondary school contexts, which has important implications for equitable leadership development policy.</w:t>
      </w:r>
    </w:p>
    <w:p w14:paraId="7C80B4F0" w14:textId="2857D4EA" w:rsidR="00C3224F" w:rsidRPr="00794EBB" w:rsidRDefault="00597A6E" w:rsidP="00794EBB">
      <w:pPr>
        <w:tabs>
          <w:tab w:val="left" w:pos="1170"/>
        </w:tabs>
        <w:spacing w:after="120" w:line="240" w:lineRule="auto"/>
        <w:ind w:right="-14"/>
        <w:jc w:val="both"/>
        <w:rPr>
          <w:rFonts w:ascii="Times New Roman" w:hAnsi="Times New Roman" w:cs="Times New Roman"/>
          <w:b/>
          <w:bCs/>
          <w:sz w:val="28"/>
        </w:rPr>
      </w:pPr>
      <w:r w:rsidRPr="00794EBB">
        <w:rPr>
          <w:rFonts w:ascii="Times New Roman" w:hAnsi="Times New Roman" w:cs="Times New Roman"/>
          <w:b/>
          <w:bCs/>
          <w:sz w:val="28"/>
        </w:rPr>
        <w:t>LITERATURE REVIEW</w:t>
      </w:r>
    </w:p>
    <w:p w14:paraId="0386D02D" w14:textId="1ADB309F" w:rsidR="008C123F" w:rsidRPr="00794EBB" w:rsidRDefault="008C123F" w:rsidP="00794EBB">
      <w:pPr>
        <w:tabs>
          <w:tab w:val="left" w:pos="1170"/>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Extensive empirical research across multiple countries has established that school leadership is the second most important factor influencing student learning after classroom teaching quality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2020). A landmark meta-analysis by Robinson et al. (2008) examined 27 studies and found that leadership focused on teaching and learning (instructional leadership) had three to five times greater effects on student achievement compared to transformational leadership alone, with effect sizes of d = 0.42 versus d = 0.11 respectively. However,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and Sun (2018) argue compellingly that the most effective leadership integrates transformational and instructional elements in balanced ways, creating what </w:t>
      </w:r>
      <w:proofErr w:type="gramStart"/>
      <w:r w:rsidRPr="00794EBB">
        <w:rPr>
          <w:rFonts w:ascii="Times New Roman" w:hAnsi="Times New Roman" w:cs="Times New Roman"/>
          <w:sz w:val="24"/>
          <w:szCs w:val="24"/>
        </w:rPr>
        <w:t>scholars</w:t>
      </w:r>
      <w:proofErr w:type="gramEnd"/>
      <w:r w:rsidRPr="00794EBB">
        <w:rPr>
          <w:rFonts w:ascii="Times New Roman" w:hAnsi="Times New Roman" w:cs="Times New Roman"/>
          <w:sz w:val="24"/>
          <w:szCs w:val="24"/>
        </w:rPr>
        <w:t xml:space="preserve"> term </w:t>
      </w:r>
      <w:r w:rsidR="00885441" w:rsidRPr="00794EBB">
        <w:rPr>
          <w:rFonts w:ascii="Times New Roman" w:hAnsi="Times New Roman" w:cs="Times New Roman"/>
          <w:sz w:val="24"/>
          <w:szCs w:val="24"/>
        </w:rPr>
        <w:t>‘</w:t>
      </w:r>
      <w:r w:rsidRPr="00794EBB">
        <w:rPr>
          <w:rFonts w:ascii="Times New Roman" w:hAnsi="Times New Roman" w:cs="Times New Roman"/>
          <w:sz w:val="24"/>
          <w:szCs w:val="24"/>
        </w:rPr>
        <w:t>integrated leadership</w:t>
      </w:r>
      <w:r w:rsidR="00885441" w:rsidRPr="00794EBB">
        <w:rPr>
          <w:rFonts w:ascii="Times New Roman" w:hAnsi="Times New Roman" w:cs="Times New Roman"/>
          <w:sz w:val="24"/>
          <w:szCs w:val="24"/>
        </w:rPr>
        <w:t xml:space="preserve">’ </w:t>
      </w:r>
      <w:r w:rsidRPr="00794EBB">
        <w:rPr>
          <w:rFonts w:ascii="Times New Roman" w:hAnsi="Times New Roman" w:cs="Times New Roman"/>
          <w:sz w:val="24"/>
          <w:szCs w:val="24"/>
        </w:rPr>
        <w:t>(Hallinger, 2003; Marks &amp; Printy, 2003).</w:t>
      </w:r>
    </w:p>
    <w:p w14:paraId="13637BC1" w14:textId="4C8FD60C" w:rsidR="008C123F" w:rsidRPr="00794EBB" w:rsidRDefault="008C123F"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Four Paths Model proposed by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(2020) provides a comprehensive theoretical framework showing how school leadership influences student achievement through four main pathways operating simultaneously: the Rational Path (academic press, disciplinary climate, instructional time use), Emotional Path </w:t>
      </w:r>
      <w:r w:rsidRPr="00794EBB">
        <w:rPr>
          <w:rFonts w:ascii="Times New Roman" w:hAnsi="Times New Roman" w:cs="Times New Roman"/>
          <w:sz w:val="24"/>
          <w:szCs w:val="24"/>
        </w:rPr>
        <w:lastRenderedPageBreak/>
        <w:t>(teacher commitment, interpersonal trust, collective efficacy), Organizational Path (safe and orderly environment, instructional time planning, collaborative cultures and structures), and Family Path (parent expectations, communication forms, family social and intellectual capital). Structural equation modeling using data from 81 schools in Texas revealed that the Rational Path had the most direct and strongest effect on student learning (β = .42, p &lt; .05), while other paths contributed indirectly through their influence on the Rational Path. Importantly, the leadership domains most strongly influencing the Rational Path were Improving the Instructional Program (β = .98, p &lt; .05) and Setting Directions (β = .37, p &lt; .05), highlighting their critical importance for student outcomes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2020).</w:t>
      </w:r>
    </w:p>
    <w:p w14:paraId="32AA7834" w14:textId="45135750" w:rsidR="008C123F" w:rsidRPr="00794EBB" w:rsidRDefault="008C123F"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SSL framework has been widely used as the conceptual foundation for school leadership research in over 20 countries through the International Successful School Principalship Project (ISSPP) initiated in 2001 (Gurr &amp; </w:t>
      </w:r>
      <w:proofErr w:type="spellStart"/>
      <w:r w:rsidRPr="00794EBB">
        <w:rPr>
          <w:rFonts w:ascii="Times New Roman" w:hAnsi="Times New Roman" w:cs="Times New Roman"/>
          <w:sz w:val="24"/>
          <w:szCs w:val="24"/>
        </w:rPr>
        <w:t>Moyi</w:t>
      </w:r>
      <w:proofErr w:type="spellEnd"/>
      <w:r w:rsidRPr="00794EBB">
        <w:rPr>
          <w:rFonts w:ascii="Times New Roman" w:hAnsi="Times New Roman" w:cs="Times New Roman"/>
          <w:sz w:val="24"/>
          <w:szCs w:val="24"/>
        </w:rPr>
        <w:t>, 2022). Studies within ISSPP consistently demonstrate that although cultural contexts, policy environments, and educational systems differ substantially, the four core leadership practice domains in the SSL framework remain relevant and can be effectively adapted to local needs and circumstances (Gurr et al., 2018). This finding suggests the existence of core universal leadership practices alongside context-specific adaptations.</w:t>
      </w:r>
    </w:p>
    <w:p w14:paraId="3F4F58E9" w14:textId="12096072" w:rsidR="008C123F" w:rsidRPr="00794EBB" w:rsidRDefault="008C123F"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Research specifically examining exemplary principals has identified consistent characteristics across cultural contexts. Emmanuel and Valley (2022) conducted qualitative case study research on exemplary principal leadership in the U.S. Virgin Islands using Kouzes and Posner's Five Practices framework and found that exemplary principals consistently demonstrated modelling the way, inspiring shared vision, challenging processes, enabling others to act, and encouraging the heart. These practices align closely with the SSL framework's emphasis on direction-setting, people development and organizational redesign.</w:t>
      </w:r>
    </w:p>
    <w:p w14:paraId="6C91B9B7" w14:textId="0CC5BABA" w:rsidR="008C123F" w:rsidRPr="00794EBB" w:rsidRDefault="008C123F"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The SSLS was developed through a rigorous, multi-phase process involving extensive theory synthesis, empirical review of existing leadership research, and iterative refinement based on field use in leadership development programs over more than a decade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2019). Each of the 22 items in SSLS corresponds to one specific leadership practice that has been identified through systematic research as contributing meaningfully to school success. Recent psychometric validation studies by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(2023) employed sophisticated analytical approaches including: (a) Rasch Many-Facet analysis to test measurement invariance across respondent characteristics and to examine item functioning; (b) second-order confirmatory factor analysis to validate the theoretical structure whereby 22 practices cluster into four domains, which in turn load onto a higher-order leadership factor; and (c) structural equation modelling to test predictive validity by examining relationships between SSLS scores and student achievement through mediating pathways.</w:t>
      </w:r>
    </w:p>
    <w:p w14:paraId="22FF4C35" w14:textId="189925B9" w:rsidR="008C123F" w:rsidRPr="00794EBB" w:rsidRDefault="008C123F"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In Malaysia, although SSL frameworks and concepts are frequently referenced as theoretical bases in academic discussions about school leadership policy and practice (Bush, 2021;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2008), actual use of the SSLS instrument in empirical research remains very limited in published literature. Most Malaysian school leadership studies employ alternative instruments such as the Principal Instructional Management Rating Scale (PIMRS) developed by Hallinger, or locally developed scales created specifically for Malaysian contexts. This represents a missed opportunity for international comparative research and limits the ability to benchmark Malaysian principals against validated international standards. Comparative research examining urban and rural </w:t>
      </w:r>
      <w:proofErr w:type="gramStart"/>
      <w:r w:rsidRPr="00794EBB">
        <w:rPr>
          <w:rFonts w:ascii="Times New Roman" w:hAnsi="Times New Roman" w:cs="Times New Roman"/>
          <w:sz w:val="24"/>
          <w:szCs w:val="24"/>
        </w:rPr>
        <w:t>schools</w:t>
      </w:r>
      <w:proofErr w:type="gramEnd"/>
      <w:r w:rsidRPr="00794EBB">
        <w:rPr>
          <w:rFonts w:ascii="Times New Roman" w:hAnsi="Times New Roman" w:cs="Times New Roman"/>
          <w:sz w:val="24"/>
          <w:szCs w:val="24"/>
        </w:rPr>
        <w:t xml:space="preserve"> reveals that rural school principals face unique challenges including teacher retention difficulties, limited access to physical and technological resources, geographical isolation, greater distances for professional development activities, and different patterns of parent and community involvement (Bush, 2021; Hardwick-Franco, 2019; Preston &amp; Barnes, 2017). However, systematic comparative studies of leadership practices across urban and rural contexts using validated instruments remain scarce in the Malaysian literature, despite the importance of this question for equitable policy development and resource allocation.</w:t>
      </w:r>
    </w:p>
    <w:p w14:paraId="13C2419C" w14:textId="76DA384F" w:rsidR="00597A6E" w:rsidRPr="00794EBB" w:rsidRDefault="00597A6E" w:rsidP="00794EBB">
      <w:pPr>
        <w:tabs>
          <w:tab w:val="left" w:pos="993"/>
          <w:tab w:val="left" w:pos="1170"/>
        </w:tabs>
        <w:spacing w:after="240" w:line="240" w:lineRule="auto"/>
        <w:ind w:right="-14"/>
        <w:jc w:val="both"/>
        <w:rPr>
          <w:rFonts w:ascii="Times New Roman" w:hAnsi="Times New Roman" w:cs="Times New Roman"/>
          <w:b/>
          <w:bCs/>
          <w:sz w:val="28"/>
        </w:rPr>
      </w:pPr>
      <w:r w:rsidRPr="00794EBB">
        <w:rPr>
          <w:rFonts w:ascii="Times New Roman" w:hAnsi="Times New Roman" w:cs="Times New Roman"/>
          <w:b/>
          <w:bCs/>
          <w:sz w:val="28"/>
        </w:rPr>
        <w:t>METHODOLOGY</w:t>
      </w:r>
    </w:p>
    <w:p w14:paraId="68FCF1DD" w14:textId="2CAF26A9" w:rsidR="00A501B9" w:rsidRPr="00794EBB" w:rsidRDefault="00A501B9"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Research Design and Sample</w:t>
      </w:r>
    </w:p>
    <w:p w14:paraId="391BB0A2" w14:textId="2FFDC487"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This study employed a quantitative descriptive and comparative survey design to examine exemplary principal leadership practices from teacher perspectives. Three secondary schools in Pahang were selected through purposive sampling based on clearly defined exemplary principal criteria: (a) recipients of district or state-level excellence awards for principals within the past three years (2021–2024); (b) consistent academic performance </w:t>
      </w:r>
      <w:r w:rsidRPr="00794EBB">
        <w:rPr>
          <w:rFonts w:ascii="Times New Roman" w:hAnsi="Times New Roman" w:cs="Times New Roman"/>
          <w:sz w:val="24"/>
          <w:szCs w:val="24"/>
        </w:rPr>
        <w:lastRenderedPageBreak/>
        <w:t>with national standardised examination results-specifically the Malaysian Certificate of Education (</w:t>
      </w:r>
      <w:r w:rsidRPr="00794EBB">
        <w:rPr>
          <w:rFonts w:ascii="Times New Roman" w:hAnsi="Times New Roman" w:cs="Times New Roman"/>
          <w:i/>
          <w:iCs/>
          <w:sz w:val="24"/>
          <w:szCs w:val="24"/>
        </w:rPr>
        <w:t>Sijil Pelajaran Malaysia, SPM</w:t>
      </w:r>
      <w:r w:rsidRPr="00794EBB">
        <w:rPr>
          <w:rFonts w:ascii="Times New Roman" w:hAnsi="Times New Roman" w:cs="Times New Roman"/>
          <w:sz w:val="24"/>
          <w:szCs w:val="24"/>
        </w:rPr>
        <w:t>) for Form 5 students and the Form 3 Assessment (</w:t>
      </w:r>
      <w:proofErr w:type="spellStart"/>
      <w:r w:rsidRPr="00794EBB">
        <w:rPr>
          <w:rFonts w:ascii="Times New Roman" w:hAnsi="Times New Roman" w:cs="Times New Roman"/>
          <w:i/>
          <w:iCs/>
          <w:sz w:val="24"/>
          <w:szCs w:val="24"/>
        </w:rPr>
        <w:t>Pentaksiran</w:t>
      </w:r>
      <w:proofErr w:type="spellEnd"/>
      <w:r w:rsidRPr="00794EBB">
        <w:rPr>
          <w:rFonts w:ascii="Times New Roman" w:hAnsi="Times New Roman" w:cs="Times New Roman"/>
          <w:i/>
          <w:iCs/>
          <w:sz w:val="24"/>
          <w:szCs w:val="24"/>
        </w:rPr>
        <w:t xml:space="preserve"> </w:t>
      </w:r>
      <w:proofErr w:type="spellStart"/>
      <w:r w:rsidRPr="00794EBB">
        <w:rPr>
          <w:rFonts w:ascii="Times New Roman" w:hAnsi="Times New Roman" w:cs="Times New Roman"/>
          <w:i/>
          <w:iCs/>
          <w:sz w:val="24"/>
          <w:szCs w:val="24"/>
        </w:rPr>
        <w:t>Tingkatan</w:t>
      </w:r>
      <w:proofErr w:type="spellEnd"/>
      <w:r w:rsidRPr="00794EBB">
        <w:rPr>
          <w:rFonts w:ascii="Times New Roman" w:hAnsi="Times New Roman" w:cs="Times New Roman"/>
          <w:i/>
          <w:iCs/>
          <w:sz w:val="24"/>
          <w:szCs w:val="24"/>
        </w:rPr>
        <w:t xml:space="preserve"> 3, PT3</w:t>
      </w:r>
      <w:r w:rsidRPr="00794EBB">
        <w:rPr>
          <w:rFonts w:ascii="Times New Roman" w:hAnsi="Times New Roman" w:cs="Times New Roman"/>
          <w:sz w:val="24"/>
          <w:szCs w:val="24"/>
        </w:rPr>
        <w:t>) for lower secondary students-in the top quartile compared to schools with similar demographic characteristics in the district; and (c) formal recommendations from the Pahang State Education Department based on documented performance records and leadership contributions. Purposive sampling was appropriate given the study's focus on information-rich cases of recognized exemplary principals (Patton, 2015).</w:t>
      </w:r>
    </w:p>
    <w:p w14:paraId="7DA12479" w14:textId="3AFA2042"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The three participating schools were: School A (urban, n = 48 teachers), School B (urban, n = 55 teachers), and School C (rural, n = 49 teachers). School A is in the Kuantan city centre with approximately 800 students from predominantly middle to upper-income families. School B is also in Kuantan with approximately 700 students in a residential school setting with selective admission. School C is in a rural district approximately 80 kilometres from the state capital with approximately 500 students, predominantly from lower to middle-income families engaged in agriculture and small businesses. A total of 152 complete questionnaire forms were received from an initial distribution of 155, yielding an excellent response rate of 98.1%.</w:t>
      </w:r>
    </w:p>
    <w:p w14:paraId="3C567185" w14:textId="64FEC46C" w:rsidR="00A501B9" w:rsidRPr="00794EBB" w:rsidRDefault="00A501B9"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Instrumentation</w:t>
      </w:r>
    </w:p>
    <w:p w14:paraId="6E2F5DCB" w14:textId="3FBC18D2"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study employed the teacher version of the Successful School Leadership Survey (SSLS) developed by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and colleagues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2023). SSLS contains 22 items distributed across four domains: Setting Directions (4 items; e.g., “Give staff a sense of overall purpose”, “Demonstrate high expectations for your work with students”); Building Relationships and Developing People (6 items; e.g., “Give you individual support to help you improve your teaching practices”, “Model a high level of professional practice”); (Re)Designing the Organization (5 items; e.g., “Develop an atmosphere of caring and trust among staff”, “Engage parents in the school's improvement efforts”); and Improving the Instructional Program (7 items; e.g., “Help improve instructional programs based on student data” and “Regularly observe classroom activities”).</w:t>
      </w:r>
    </w:p>
    <w:p w14:paraId="2CC5F123" w14:textId="1CC252A8"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Respondents rated their agreement with each statement using a five-point Likert scale: 1 = Strongly Disagree, 2 = Disagree, 3 = Neutral, 4 = Agree, 5 = Strongly Agree. Instructions asked teachers to rate “the extent to which you agree that most leaders in your school, as a group, do the following”, referring specifically to the exemplary principal and other school leaders such as senior teachers and department heads.</w:t>
      </w:r>
    </w:p>
    <w:p w14:paraId="3774F457" w14:textId="2A4D1A7B" w:rsidR="00A501B9" w:rsidRPr="00794EBB" w:rsidRDefault="00A501B9"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Translation and Adaptation</w:t>
      </w:r>
    </w:p>
    <w:p w14:paraId="65F71179" w14:textId="79B94B21"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The SSLS was translated into Bahasa Malaysia using rigorous back-to-back translation procedures following international guidelines (Beaton et al., 2000). Two independent education leadership experts fluent in both English and Bahasa Malaysia performed initial forward translations. A consensus panel including both translators and the researcher synthesized these into a single version, resolving discrepancies through discussion. An independent professional translator with no prior exposure to the original English version performed back-translation. The research team compared the back-translated version with the original to verify semantic equivalence, making minor adjustments where necessary. No items were removed or modified structurally following translation, preserving the original four-domain structure.</w:t>
      </w:r>
    </w:p>
    <w:p w14:paraId="0A9DE02F" w14:textId="6AFDB8A6"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Content validity was established through review by three Malaysian education leadership experts from public universities who evaluated translation accuracy, item appropriateness for Malaysian school contexts, and language clarity. A pilot test with 30 teachers from two secondary schools in Johor (excluded from the main study) was conducted to assess comprehension, completion time (average 12 minutes), and preliminary reliability (pilot α = .94).</w:t>
      </w:r>
    </w:p>
    <w:p w14:paraId="0939EC4A" w14:textId="22A19B96" w:rsidR="00A501B9" w:rsidRPr="00794EBB" w:rsidRDefault="00A501B9"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Data Collection Procedures and Ethical Considerations</w:t>
      </w:r>
    </w:p>
    <w:p w14:paraId="289CA7C0" w14:textId="5E964605"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Formal permission for data collection was obtained from the Pahang State Education Department and from principals of all three participating schools. Ethical approval was secured from the Ministry of Education (MOE) Educational Planning and Policy Research Division prior to data collection. Data were collected electronically using Google Forms over a two-week period in October 2024. The questionnaire link was distributed by principals through official school email and internal communication applications. The researcher was not physically present at schools during data collection to minimize response bias and ensure teachers felt free to provide honest assessments.</w:t>
      </w:r>
    </w:p>
    <w:p w14:paraId="50D27FDA" w14:textId="58DB9B05" w:rsidR="00E57001" w:rsidRPr="00794EBB" w:rsidRDefault="00E57001"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lastRenderedPageBreak/>
        <w:t>All participants received comprehensive information about the study through an electronic informed consent form, which clearly stated: (a) participation was entirely voluntary with no consequences for declining or withdrawing; (b) data would be used solely for academic research purposes; (c) no personally identifiable information would be collected; (d) results would be reported only in aggregate at the school level; (e) confidentiality would be strictly maintained; and (f) participants could skip any questions they were uncomfortable answering. Electronic consent was required before accessing the survey questions.</w:t>
      </w:r>
    </w:p>
    <w:p w14:paraId="2DF3C21D" w14:textId="7BD6E1C2" w:rsidR="00A501B9" w:rsidRPr="00794EBB" w:rsidRDefault="00A501B9"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Data Analysis</w:t>
      </w:r>
    </w:p>
    <w:p w14:paraId="4F55FC03" w14:textId="565C0F95" w:rsidR="00FD5FA0" w:rsidRPr="00794EBB" w:rsidRDefault="00FD5FA0" w:rsidP="00794EBB">
      <w:pPr>
        <w:tabs>
          <w:tab w:val="left" w:pos="993"/>
          <w:tab w:val="left" w:pos="1170"/>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Data were analysed using IBM SPSS Statistics Version 29.0. The analytical strategy included: (</w:t>
      </w:r>
      <w:proofErr w:type="spellStart"/>
      <w:r w:rsidRPr="00794EBB">
        <w:rPr>
          <w:rFonts w:ascii="Times New Roman" w:hAnsi="Times New Roman" w:cs="Times New Roman"/>
          <w:sz w:val="24"/>
          <w:szCs w:val="24"/>
        </w:rPr>
        <w:t>i</w:t>
      </w:r>
      <w:proofErr w:type="spellEnd"/>
      <w:r w:rsidRPr="00794EBB">
        <w:rPr>
          <w:rFonts w:ascii="Times New Roman" w:hAnsi="Times New Roman" w:cs="Times New Roman"/>
          <w:sz w:val="24"/>
          <w:szCs w:val="24"/>
        </w:rPr>
        <w:t>) Descriptive statistics: means and standard deviations were calculated for each domain and the overall SSLS score. Level interpretation followed established guidelines: 1.00–2.33 (low), 2.34–3.67 (moderate), 3.68–5.00 (high) (Pallant, 2020). (ii) Internal consistency reliability: Cronbach's alpha coefficients were calculated for the overall SSLS scale and each domain separately. Values of α ≥ .70 indicate acceptable reliability, α ≥ .80 indicate good reliability, and α ≥ .90 indicate excellent reliability (Nunnally &amp; Bernstein, 1994). Normality was assessed through skewness and kurtosis values, which fell within acceptable ranges (±2), supporting the use of parametric tests. (iii) One-way analysis of variance (ANOVA): used to test for significant differences in teacher perceptions across the three schools. Levene's test assessed homogeneity of variance assumptions. Given that variances were non-homogeneous (all Levene p &lt; .05), Welch's robust F-statistic was reported and Games-Howell post-hoc tests were employed to identify specific between-school differences while controlling family-wise error rate. (iv) Independent samples t-test: used to compare urban schools (School A and School B combined, n = 103) versus rural school (School C, n = 49). Given non-homogeneous variances (Levene p &lt; .05), Welch's t-test with adjusted degrees of freedom was reported. Cohen's d effect sizes were calculated with interpretation guidelines: d = 0.20 (small), d = 0.50 (medium), d = 0.80 (large) (Cohen, 1988).</w:t>
      </w:r>
    </w:p>
    <w:p w14:paraId="1DF50D0E" w14:textId="775F32FC" w:rsidR="00FD5FA0" w:rsidRPr="00794EBB" w:rsidRDefault="00FD5FA0" w:rsidP="00794EBB">
      <w:pPr>
        <w:tabs>
          <w:tab w:val="left" w:pos="993"/>
          <w:tab w:val="left" w:pos="1170"/>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Statistical significance was set at p &lt; .05 for all tests. Effect sizes were reported alongside significance tests to provide information about practical significance in addition to statistical significance.</w:t>
      </w:r>
    </w:p>
    <w:p w14:paraId="706624EE" w14:textId="1A33F40C" w:rsidR="00A501B9" w:rsidRPr="00794EBB" w:rsidRDefault="00A501B9" w:rsidP="00794EBB">
      <w:pPr>
        <w:tabs>
          <w:tab w:val="left" w:pos="993"/>
          <w:tab w:val="left" w:pos="1170"/>
        </w:tabs>
        <w:spacing w:after="240" w:line="240" w:lineRule="auto"/>
        <w:ind w:right="-14"/>
        <w:jc w:val="both"/>
        <w:rPr>
          <w:rFonts w:ascii="Times New Roman" w:hAnsi="Times New Roman" w:cs="Times New Roman"/>
          <w:b/>
          <w:bCs/>
          <w:sz w:val="28"/>
        </w:rPr>
      </w:pPr>
      <w:r w:rsidRPr="00794EBB">
        <w:rPr>
          <w:rFonts w:ascii="Times New Roman" w:hAnsi="Times New Roman" w:cs="Times New Roman"/>
          <w:b/>
          <w:bCs/>
          <w:sz w:val="28"/>
        </w:rPr>
        <w:t>RESULTS</w:t>
      </w:r>
    </w:p>
    <w:p w14:paraId="0EAEFBC2" w14:textId="37CF43B6" w:rsidR="00A501B9" w:rsidRPr="00794EBB" w:rsidRDefault="00A501B9" w:rsidP="00794EBB">
      <w:pPr>
        <w:tabs>
          <w:tab w:val="left" w:pos="993"/>
          <w:tab w:val="left" w:pos="1170"/>
        </w:tabs>
        <w:spacing w:after="12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Descriptive Statistics and Internal Consistency Reliability</w:t>
      </w:r>
    </w:p>
    <w:p w14:paraId="32D94154" w14:textId="1BE38E03" w:rsidR="00FD5FA0" w:rsidRPr="00794EBB" w:rsidRDefault="00FD5FA0" w:rsidP="00794EBB">
      <w:pPr>
        <w:tabs>
          <w:tab w:val="left" w:pos="993"/>
          <w:tab w:val="left" w:pos="1170"/>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Overall, exemplary principal leadership practices were rated at high levels by teachers (M = 4.40, SD = 0.56). Among the four domains, Setting Directions recorded the highest mean (M = 4.46, SD = 0.59), followed closely by (Re)Designing the Organization (M = 4.44, SD = 0.55), Building Relationships and Developing People (M = 4.42, SD = 0.60), and Improving the Instructional Program which, while still at high levels, recorded the lowest mean (M = 4.33, SD = 0.60).</w:t>
      </w:r>
    </w:p>
    <w:p w14:paraId="3CA8BA58" w14:textId="25655FCE" w:rsidR="00FD5FA0" w:rsidRPr="00794EBB" w:rsidRDefault="00FD5FA0" w:rsidP="00794EBB">
      <w:pPr>
        <w:tabs>
          <w:tab w:val="left" w:pos="993"/>
          <w:tab w:val="left" w:pos="1170"/>
        </w:tabs>
        <w:spacing w:after="12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SSLS demonstrated excellent internal consistency reliability with an overall Cronbach's alpha of .977, substantially exceeding conventional standards for research instruments. Domain-level reliability coefficients ranged from .904 to .943, all within the excellent range (α ≥ .90). These values are consistent with findings from the original psychometric validation study by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(2023) in Texas schools and support the cross-cultural validity of the instrument (Table 1).</w:t>
      </w:r>
    </w:p>
    <w:p w14:paraId="3E2613D2" w14:textId="3D192EA3" w:rsidR="00FD5FA0" w:rsidRPr="00794EBB" w:rsidRDefault="00FD5FA0"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Table 1. Descriptive Statistics and Internal Consistency Reliability (N = 152)</w:t>
      </w:r>
    </w:p>
    <w:tbl>
      <w:tblPr>
        <w:tblStyle w:val="TableGrid"/>
        <w:tblW w:w="8788" w:type="dxa"/>
        <w:tblLayout w:type="fixed"/>
        <w:tblLook w:val="04A0" w:firstRow="1" w:lastRow="0" w:firstColumn="1" w:lastColumn="0" w:noHBand="0" w:noVBand="1"/>
      </w:tblPr>
      <w:tblGrid>
        <w:gridCol w:w="2409"/>
        <w:gridCol w:w="1134"/>
        <w:gridCol w:w="993"/>
        <w:gridCol w:w="992"/>
        <w:gridCol w:w="1417"/>
        <w:gridCol w:w="1843"/>
      </w:tblGrid>
      <w:tr w:rsidR="00E664A9" w:rsidRPr="00794EBB" w14:paraId="6B85CED1" w14:textId="77777777" w:rsidTr="00794EBB">
        <w:tc>
          <w:tcPr>
            <w:tcW w:w="2409" w:type="dxa"/>
          </w:tcPr>
          <w:p w14:paraId="1EAE8D10" w14:textId="77777777" w:rsidR="00E664A9" w:rsidRPr="00794EBB" w:rsidRDefault="00E664A9" w:rsidP="00794EBB">
            <w:pPr>
              <w:tabs>
                <w:tab w:val="left" w:pos="993"/>
                <w:tab w:val="left" w:pos="1170"/>
              </w:tabs>
              <w:spacing w:before="0"/>
              <w:ind w:right="-14"/>
              <w:jc w:val="both"/>
              <w:rPr>
                <w:b/>
                <w:bCs/>
              </w:rPr>
            </w:pPr>
            <w:r w:rsidRPr="00794EBB">
              <w:rPr>
                <w:b/>
                <w:bCs/>
              </w:rPr>
              <w:t>Domain</w:t>
            </w:r>
          </w:p>
        </w:tc>
        <w:tc>
          <w:tcPr>
            <w:tcW w:w="1134" w:type="dxa"/>
          </w:tcPr>
          <w:p w14:paraId="29666087" w14:textId="77777777" w:rsidR="00E664A9" w:rsidRPr="00794EBB" w:rsidRDefault="00E664A9" w:rsidP="00794EBB">
            <w:pPr>
              <w:tabs>
                <w:tab w:val="left" w:pos="993"/>
                <w:tab w:val="left" w:pos="1170"/>
              </w:tabs>
              <w:spacing w:before="0"/>
              <w:ind w:right="-14"/>
              <w:jc w:val="both"/>
              <w:rPr>
                <w:b/>
                <w:bCs/>
              </w:rPr>
            </w:pPr>
            <w:r w:rsidRPr="00794EBB">
              <w:rPr>
                <w:b/>
                <w:bCs/>
              </w:rPr>
              <w:t>Items</w:t>
            </w:r>
          </w:p>
        </w:tc>
        <w:tc>
          <w:tcPr>
            <w:tcW w:w="993" w:type="dxa"/>
          </w:tcPr>
          <w:p w14:paraId="5791D9FB" w14:textId="77777777" w:rsidR="00E664A9" w:rsidRPr="00794EBB" w:rsidRDefault="00E664A9" w:rsidP="00794EBB">
            <w:pPr>
              <w:tabs>
                <w:tab w:val="left" w:pos="993"/>
                <w:tab w:val="left" w:pos="1170"/>
              </w:tabs>
              <w:spacing w:before="0"/>
              <w:ind w:right="-14"/>
              <w:jc w:val="both"/>
              <w:rPr>
                <w:b/>
                <w:bCs/>
              </w:rPr>
            </w:pPr>
            <w:r w:rsidRPr="00794EBB">
              <w:rPr>
                <w:b/>
                <w:bCs/>
              </w:rPr>
              <w:t>Mean</w:t>
            </w:r>
          </w:p>
        </w:tc>
        <w:tc>
          <w:tcPr>
            <w:tcW w:w="992" w:type="dxa"/>
          </w:tcPr>
          <w:p w14:paraId="11646234" w14:textId="77777777" w:rsidR="00E664A9" w:rsidRPr="00794EBB" w:rsidRDefault="00E664A9" w:rsidP="00794EBB">
            <w:pPr>
              <w:tabs>
                <w:tab w:val="left" w:pos="993"/>
                <w:tab w:val="left" w:pos="1170"/>
              </w:tabs>
              <w:spacing w:before="0"/>
              <w:ind w:right="-14"/>
              <w:jc w:val="both"/>
              <w:rPr>
                <w:b/>
                <w:bCs/>
              </w:rPr>
            </w:pPr>
            <w:r w:rsidRPr="00794EBB">
              <w:rPr>
                <w:b/>
                <w:bCs/>
              </w:rPr>
              <w:t>SD</w:t>
            </w:r>
          </w:p>
        </w:tc>
        <w:tc>
          <w:tcPr>
            <w:tcW w:w="1417" w:type="dxa"/>
          </w:tcPr>
          <w:p w14:paraId="53182D92" w14:textId="77777777" w:rsidR="00E664A9" w:rsidRPr="00794EBB" w:rsidRDefault="00E664A9" w:rsidP="00794EBB">
            <w:pPr>
              <w:tabs>
                <w:tab w:val="left" w:pos="993"/>
                <w:tab w:val="left" w:pos="1170"/>
              </w:tabs>
              <w:spacing w:before="0"/>
              <w:ind w:right="-14"/>
              <w:jc w:val="both"/>
              <w:rPr>
                <w:b/>
                <w:bCs/>
              </w:rPr>
            </w:pPr>
            <w:r w:rsidRPr="00794EBB">
              <w:rPr>
                <w:b/>
                <w:bCs/>
              </w:rPr>
              <w:t>Level</w:t>
            </w:r>
          </w:p>
        </w:tc>
        <w:tc>
          <w:tcPr>
            <w:tcW w:w="1843" w:type="dxa"/>
          </w:tcPr>
          <w:p w14:paraId="61991B38" w14:textId="77777777" w:rsidR="00E664A9" w:rsidRPr="00794EBB" w:rsidRDefault="00E664A9" w:rsidP="00794EBB">
            <w:pPr>
              <w:tabs>
                <w:tab w:val="left" w:pos="993"/>
                <w:tab w:val="left" w:pos="1170"/>
              </w:tabs>
              <w:spacing w:before="0"/>
              <w:ind w:right="-14"/>
              <w:jc w:val="both"/>
              <w:rPr>
                <w:b/>
                <w:bCs/>
              </w:rPr>
            </w:pPr>
            <w:r w:rsidRPr="00794EBB">
              <w:rPr>
                <w:b/>
                <w:bCs/>
              </w:rPr>
              <w:t>Cronbach's α</w:t>
            </w:r>
          </w:p>
          <w:p w14:paraId="49B623BC" w14:textId="77777777" w:rsidR="00E664A9" w:rsidRPr="00794EBB" w:rsidRDefault="00E664A9" w:rsidP="00794EBB">
            <w:pPr>
              <w:tabs>
                <w:tab w:val="left" w:pos="993"/>
                <w:tab w:val="left" w:pos="1170"/>
              </w:tabs>
              <w:spacing w:before="0"/>
              <w:ind w:right="-14"/>
              <w:jc w:val="both"/>
              <w:rPr>
                <w:b/>
                <w:bCs/>
              </w:rPr>
            </w:pPr>
          </w:p>
        </w:tc>
      </w:tr>
      <w:tr w:rsidR="00E664A9" w:rsidRPr="00794EBB" w14:paraId="55E5783D" w14:textId="77777777" w:rsidTr="00794EBB">
        <w:tc>
          <w:tcPr>
            <w:tcW w:w="2409" w:type="dxa"/>
          </w:tcPr>
          <w:p w14:paraId="075C1ADF" w14:textId="77777777" w:rsidR="00E664A9" w:rsidRPr="00794EBB" w:rsidRDefault="00E664A9" w:rsidP="00794EBB">
            <w:pPr>
              <w:tabs>
                <w:tab w:val="left" w:pos="993"/>
                <w:tab w:val="left" w:pos="1170"/>
              </w:tabs>
              <w:spacing w:before="0"/>
              <w:ind w:right="-14"/>
              <w:jc w:val="both"/>
            </w:pPr>
            <w:r w:rsidRPr="00794EBB">
              <w:t>Setting Directions</w:t>
            </w:r>
          </w:p>
        </w:tc>
        <w:tc>
          <w:tcPr>
            <w:tcW w:w="1134" w:type="dxa"/>
          </w:tcPr>
          <w:p w14:paraId="737F82B3" w14:textId="77777777" w:rsidR="00E664A9" w:rsidRPr="00794EBB" w:rsidRDefault="00E664A9" w:rsidP="00794EBB">
            <w:pPr>
              <w:tabs>
                <w:tab w:val="left" w:pos="993"/>
                <w:tab w:val="left" w:pos="1170"/>
              </w:tabs>
              <w:spacing w:before="0"/>
              <w:ind w:right="-14"/>
              <w:jc w:val="both"/>
            </w:pPr>
            <w:r w:rsidRPr="00794EBB">
              <w:t>4</w:t>
            </w:r>
          </w:p>
        </w:tc>
        <w:tc>
          <w:tcPr>
            <w:tcW w:w="993" w:type="dxa"/>
          </w:tcPr>
          <w:p w14:paraId="7DC5F4E0" w14:textId="77777777" w:rsidR="00E664A9" w:rsidRPr="00794EBB" w:rsidRDefault="00E664A9" w:rsidP="00794EBB">
            <w:pPr>
              <w:tabs>
                <w:tab w:val="left" w:pos="993"/>
                <w:tab w:val="left" w:pos="1170"/>
              </w:tabs>
              <w:spacing w:before="0"/>
              <w:ind w:right="-14"/>
              <w:jc w:val="both"/>
            </w:pPr>
            <w:r w:rsidRPr="00794EBB">
              <w:t>4.46</w:t>
            </w:r>
          </w:p>
        </w:tc>
        <w:tc>
          <w:tcPr>
            <w:tcW w:w="992" w:type="dxa"/>
          </w:tcPr>
          <w:p w14:paraId="2E502C4A" w14:textId="77777777" w:rsidR="00E664A9" w:rsidRPr="00794EBB" w:rsidRDefault="00E664A9" w:rsidP="00794EBB">
            <w:pPr>
              <w:tabs>
                <w:tab w:val="left" w:pos="993"/>
                <w:tab w:val="left" w:pos="1170"/>
              </w:tabs>
              <w:spacing w:before="0"/>
              <w:ind w:right="-14"/>
              <w:jc w:val="both"/>
            </w:pPr>
            <w:r w:rsidRPr="00794EBB">
              <w:t>0.59</w:t>
            </w:r>
          </w:p>
        </w:tc>
        <w:tc>
          <w:tcPr>
            <w:tcW w:w="1417" w:type="dxa"/>
          </w:tcPr>
          <w:p w14:paraId="54BFD08C" w14:textId="77777777" w:rsidR="00E664A9" w:rsidRPr="00794EBB" w:rsidRDefault="00E664A9" w:rsidP="00794EBB">
            <w:pPr>
              <w:tabs>
                <w:tab w:val="left" w:pos="993"/>
                <w:tab w:val="left" w:pos="1170"/>
              </w:tabs>
              <w:spacing w:before="0"/>
              <w:ind w:right="-14"/>
              <w:jc w:val="both"/>
            </w:pPr>
            <w:r w:rsidRPr="00794EBB">
              <w:t>High</w:t>
            </w:r>
          </w:p>
        </w:tc>
        <w:tc>
          <w:tcPr>
            <w:tcW w:w="1843" w:type="dxa"/>
          </w:tcPr>
          <w:p w14:paraId="5DB07781" w14:textId="77777777" w:rsidR="00E664A9" w:rsidRPr="00794EBB" w:rsidRDefault="00E664A9" w:rsidP="00794EBB">
            <w:pPr>
              <w:tabs>
                <w:tab w:val="left" w:pos="993"/>
                <w:tab w:val="left" w:pos="1170"/>
              </w:tabs>
              <w:spacing w:before="0"/>
              <w:ind w:right="-14"/>
              <w:jc w:val="both"/>
            </w:pPr>
            <w:r w:rsidRPr="00794EBB">
              <w:t>.910</w:t>
            </w:r>
          </w:p>
        </w:tc>
      </w:tr>
      <w:tr w:rsidR="00E664A9" w:rsidRPr="00794EBB" w14:paraId="41417041" w14:textId="77777777" w:rsidTr="00794EBB">
        <w:tc>
          <w:tcPr>
            <w:tcW w:w="2409" w:type="dxa"/>
          </w:tcPr>
          <w:p w14:paraId="5F4296F9" w14:textId="30A86671" w:rsidR="00E664A9" w:rsidRPr="00794EBB" w:rsidRDefault="00E664A9" w:rsidP="00794EBB">
            <w:pPr>
              <w:tabs>
                <w:tab w:val="left" w:pos="993"/>
                <w:tab w:val="left" w:pos="1170"/>
              </w:tabs>
              <w:spacing w:before="0"/>
              <w:ind w:right="-14"/>
              <w:jc w:val="both"/>
            </w:pPr>
            <w:r w:rsidRPr="00794EBB">
              <w:t xml:space="preserve">Building Relationships </w:t>
            </w:r>
            <w:r w:rsidR="00FC5353" w:rsidRPr="00794EBB">
              <w:t>and</w:t>
            </w:r>
            <w:r w:rsidRPr="00794EBB">
              <w:t xml:space="preserve"> Developing People</w:t>
            </w:r>
          </w:p>
        </w:tc>
        <w:tc>
          <w:tcPr>
            <w:tcW w:w="1134" w:type="dxa"/>
          </w:tcPr>
          <w:p w14:paraId="18A6ADFE" w14:textId="77777777" w:rsidR="00E664A9" w:rsidRPr="00794EBB" w:rsidRDefault="00E664A9" w:rsidP="00794EBB">
            <w:pPr>
              <w:tabs>
                <w:tab w:val="left" w:pos="993"/>
                <w:tab w:val="left" w:pos="1170"/>
              </w:tabs>
              <w:spacing w:before="0"/>
              <w:ind w:right="-14"/>
              <w:jc w:val="both"/>
            </w:pPr>
            <w:r w:rsidRPr="00794EBB">
              <w:t>6</w:t>
            </w:r>
          </w:p>
        </w:tc>
        <w:tc>
          <w:tcPr>
            <w:tcW w:w="993" w:type="dxa"/>
          </w:tcPr>
          <w:p w14:paraId="4D6DB374" w14:textId="77777777" w:rsidR="00E664A9" w:rsidRPr="00794EBB" w:rsidRDefault="00E664A9" w:rsidP="00794EBB">
            <w:pPr>
              <w:tabs>
                <w:tab w:val="left" w:pos="993"/>
                <w:tab w:val="left" w:pos="1170"/>
              </w:tabs>
              <w:spacing w:before="0"/>
              <w:ind w:right="-14"/>
              <w:jc w:val="both"/>
            </w:pPr>
            <w:r w:rsidRPr="00794EBB">
              <w:t>4.42</w:t>
            </w:r>
          </w:p>
        </w:tc>
        <w:tc>
          <w:tcPr>
            <w:tcW w:w="992" w:type="dxa"/>
          </w:tcPr>
          <w:p w14:paraId="048A3C3D" w14:textId="77777777" w:rsidR="00E664A9" w:rsidRPr="00794EBB" w:rsidRDefault="00E664A9" w:rsidP="00794EBB">
            <w:pPr>
              <w:tabs>
                <w:tab w:val="left" w:pos="993"/>
                <w:tab w:val="left" w:pos="1170"/>
              </w:tabs>
              <w:spacing w:before="0"/>
              <w:ind w:right="-14"/>
              <w:jc w:val="both"/>
            </w:pPr>
            <w:r w:rsidRPr="00794EBB">
              <w:t>0.60</w:t>
            </w:r>
          </w:p>
        </w:tc>
        <w:tc>
          <w:tcPr>
            <w:tcW w:w="1417" w:type="dxa"/>
          </w:tcPr>
          <w:p w14:paraId="4635B47F" w14:textId="77777777" w:rsidR="00E664A9" w:rsidRPr="00794EBB" w:rsidRDefault="00E664A9" w:rsidP="00794EBB">
            <w:pPr>
              <w:tabs>
                <w:tab w:val="left" w:pos="993"/>
                <w:tab w:val="left" w:pos="1170"/>
              </w:tabs>
              <w:spacing w:before="0"/>
              <w:ind w:right="-14"/>
              <w:jc w:val="both"/>
            </w:pPr>
            <w:r w:rsidRPr="00794EBB">
              <w:t>High</w:t>
            </w:r>
          </w:p>
        </w:tc>
        <w:tc>
          <w:tcPr>
            <w:tcW w:w="1843" w:type="dxa"/>
          </w:tcPr>
          <w:p w14:paraId="155A38CB" w14:textId="77777777" w:rsidR="00E664A9" w:rsidRPr="00794EBB" w:rsidRDefault="00E664A9" w:rsidP="00794EBB">
            <w:pPr>
              <w:tabs>
                <w:tab w:val="left" w:pos="993"/>
                <w:tab w:val="left" w:pos="1170"/>
              </w:tabs>
              <w:spacing w:before="0"/>
              <w:ind w:right="-14"/>
              <w:jc w:val="both"/>
            </w:pPr>
            <w:r w:rsidRPr="00794EBB">
              <w:t>.920</w:t>
            </w:r>
          </w:p>
        </w:tc>
      </w:tr>
      <w:tr w:rsidR="00E664A9" w:rsidRPr="00794EBB" w14:paraId="3D748E04" w14:textId="77777777" w:rsidTr="00794EBB">
        <w:tc>
          <w:tcPr>
            <w:tcW w:w="2409" w:type="dxa"/>
          </w:tcPr>
          <w:p w14:paraId="067C4369" w14:textId="77777777" w:rsidR="00E664A9" w:rsidRPr="00794EBB" w:rsidRDefault="00E664A9" w:rsidP="00794EBB">
            <w:pPr>
              <w:tabs>
                <w:tab w:val="left" w:pos="993"/>
                <w:tab w:val="left" w:pos="1170"/>
              </w:tabs>
              <w:spacing w:before="0"/>
              <w:ind w:right="-14"/>
              <w:jc w:val="both"/>
            </w:pPr>
            <w:r w:rsidRPr="00794EBB">
              <w:t>(Re)Designing the Organization</w:t>
            </w:r>
          </w:p>
        </w:tc>
        <w:tc>
          <w:tcPr>
            <w:tcW w:w="1134" w:type="dxa"/>
          </w:tcPr>
          <w:p w14:paraId="6832C5CB" w14:textId="77777777" w:rsidR="00E664A9" w:rsidRPr="00794EBB" w:rsidRDefault="00E664A9" w:rsidP="00794EBB">
            <w:pPr>
              <w:tabs>
                <w:tab w:val="left" w:pos="993"/>
                <w:tab w:val="left" w:pos="1170"/>
              </w:tabs>
              <w:spacing w:before="0"/>
              <w:ind w:right="-14"/>
              <w:jc w:val="both"/>
            </w:pPr>
            <w:r w:rsidRPr="00794EBB">
              <w:t>5</w:t>
            </w:r>
          </w:p>
        </w:tc>
        <w:tc>
          <w:tcPr>
            <w:tcW w:w="993" w:type="dxa"/>
          </w:tcPr>
          <w:p w14:paraId="7EDAF4DA" w14:textId="77777777" w:rsidR="00E664A9" w:rsidRPr="00794EBB" w:rsidRDefault="00E664A9" w:rsidP="00794EBB">
            <w:pPr>
              <w:tabs>
                <w:tab w:val="left" w:pos="993"/>
                <w:tab w:val="left" w:pos="1170"/>
              </w:tabs>
              <w:spacing w:before="0"/>
              <w:ind w:right="-14"/>
              <w:jc w:val="both"/>
            </w:pPr>
            <w:r w:rsidRPr="00794EBB">
              <w:t>4.44</w:t>
            </w:r>
          </w:p>
        </w:tc>
        <w:tc>
          <w:tcPr>
            <w:tcW w:w="992" w:type="dxa"/>
          </w:tcPr>
          <w:p w14:paraId="30F055EB" w14:textId="77777777" w:rsidR="00E664A9" w:rsidRPr="00794EBB" w:rsidRDefault="00E664A9" w:rsidP="00794EBB">
            <w:pPr>
              <w:tabs>
                <w:tab w:val="left" w:pos="993"/>
                <w:tab w:val="left" w:pos="1170"/>
              </w:tabs>
              <w:spacing w:before="0"/>
              <w:ind w:right="-14"/>
              <w:jc w:val="both"/>
            </w:pPr>
            <w:r w:rsidRPr="00794EBB">
              <w:t>0.55</w:t>
            </w:r>
          </w:p>
        </w:tc>
        <w:tc>
          <w:tcPr>
            <w:tcW w:w="1417" w:type="dxa"/>
          </w:tcPr>
          <w:p w14:paraId="0F1CE2A1" w14:textId="77777777" w:rsidR="00E664A9" w:rsidRPr="00794EBB" w:rsidRDefault="00E664A9" w:rsidP="00794EBB">
            <w:pPr>
              <w:tabs>
                <w:tab w:val="left" w:pos="993"/>
                <w:tab w:val="left" w:pos="1170"/>
              </w:tabs>
              <w:spacing w:before="0"/>
              <w:ind w:right="-14"/>
              <w:jc w:val="both"/>
            </w:pPr>
            <w:r w:rsidRPr="00794EBB">
              <w:t>High</w:t>
            </w:r>
          </w:p>
        </w:tc>
        <w:tc>
          <w:tcPr>
            <w:tcW w:w="1843" w:type="dxa"/>
          </w:tcPr>
          <w:p w14:paraId="622EEE30" w14:textId="77777777" w:rsidR="00E664A9" w:rsidRPr="00794EBB" w:rsidRDefault="00E664A9" w:rsidP="00794EBB">
            <w:pPr>
              <w:tabs>
                <w:tab w:val="left" w:pos="993"/>
                <w:tab w:val="left" w:pos="1170"/>
              </w:tabs>
              <w:spacing w:before="0"/>
              <w:ind w:right="-14"/>
              <w:jc w:val="both"/>
            </w:pPr>
            <w:r w:rsidRPr="00794EBB">
              <w:t>.904</w:t>
            </w:r>
          </w:p>
        </w:tc>
      </w:tr>
      <w:tr w:rsidR="00E664A9" w:rsidRPr="00794EBB" w14:paraId="334C8629" w14:textId="77777777" w:rsidTr="00794EBB">
        <w:tc>
          <w:tcPr>
            <w:tcW w:w="2409" w:type="dxa"/>
          </w:tcPr>
          <w:p w14:paraId="3B78FC7B" w14:textId="7D8D3A25" w:rsidR="00E664A9" w:rsidRPr="00794EBB" w:rsidRDefault="00E664A9" w:rsidP="00794EBB">
            <w:pPr>
              <w:tabs>
                <w:tab w:val="left" w:pos="993"/>
                <w:tab w:val="left" w:pos="1170"/>
              </w:tabs>
              <w:spacing w:before="0"/>
              <w:ind w:right="-14"/>
              <w:jc w:val="both"/>
            </w:pPr>
            <w:r w:rsidRPr="00794EBB">
              <w:t>Improving the Instructional Program</w:t>
            </w:r>
          </w:p>
        </w:tc>
        <w:tc>
          <w:tcPr>
            <w:tcW w:w="1134" w:type="dxa"/>
          </w:tcPr>
          <w:p w14:paraId="2B7ACA09" w14:textId="77777777" w:rsidR="00E664A9" w:rsidRPr="00794EBB" w:rsidRDefault="00E664A9" w:rsidP="00794EBB">
            <w:pPr>
              <w:tabs>
                <w:tab w:val="left" w:pos="993"/>
                <w:tab w:val="left" w:pos="1170"/>
              </w:tabs>
              <w:spacing w:before="0"/>
              <w:ind w:right="-14"/>
              <w:jc w:val="both"/>
            </w:pPr>
            <w:r w:rsidRPr="00794EBB">
              <w:t>7</w:t>
            </w:r>
          </w:p>
        </w:tc>
        <w:tc>
          <w:tcPr>
            <w:tcW w:w="993" w:type="dxa"/>
          </w:tcPr>
          <w:p w14:paraId="20A57C76" w14:textId="77777777" w:rsidR="00E664A9" w:rsidRPr="00794EBB" w:rsidRDefault="00E664A9" w:rsidP="00794EBB">
            <w:pPr>
              <w:tabs>
                <w:tab w:val="left" w:pos="993"/>
                <w:tab w:val="left" w:pos="1170"/>
              </w:tabs>
              <w:spacing w:before="0"/>
              <w:ind w:right="-14"/>
              <w:jc w:val="both"/>
            </w:pPr>
            <w:r w:rsidRPr="00794EBB">
              <w:t>4.33</w:t>
            </w:r>
          </w:p>
        </w:tc>
        <w:tc>
          <w:tcPr>
            <w:tcW w:w="992" w:type="dxa"/>
          </w:tcPr>
          <w:p w14:paraId="07A46F65" w14:textId="77777777" w:rsidR="00E664A9" w:rsidRPr="00794EBB" w:rsidRDefault="00E664A9" w:rsidP="00794EBB">
            <w:pPr>
              <w:tabs>
                <w:tab w:val="left" w:pos="993"/>
                <w:tab w:val="left" w:pos="1170"/>
              </w:tabs>
              <w:spacing w:before="0"/>
              <w:ind w:right="-14"/>
              <w:jc w:val="both"/>
            </w:pPr>
            <w:r w:rsidRPr="00794EBB">
              <w:t>0.60</w:t>
            </w:r>
          </w:p>
        </w:tc>
        <w:tc>
          <w:tcPr>
            <w:tcW w:w="1417" w:type="dxa"/>
          </w:tcPr>
          <w:p w14:paraId="4A5235D4" w14:textId="77777777" w:rsidR="00E664A9" w:rsidRPr="00794EBB" w:rsidRDefault="00E664A9" w:rsidP="00794EBB">
            <w:pPr>
              <w:tabs>
                <w:tab w:val="left" w:pos="993"/>
                <w:tab w:val="left" w:pos="1170"/>
              </w:tabs>
              <w:spacing w:before="0"/>
              <w:ind w:right="-14"/>
              <w:jc w:val="both"/>
            </w:pPr>
            <w:r w:rsidRPr="00794EBB">
              <w:t>High</w:t>
            </w:r>
          </w:p>
        </w:tc>
        <w:tc>
          <w:tcPr>
            <w:tcW w:w="1843" w:type="dxa"/>
          </w:tcPr>
          <w:p w14:paraId="4EE7F270" w14:textId="77777777" w:rsidR="00E664A9" w:rsidRPr="00794EBB" w:rsidRDefault="00E664A9" w:rsidP="00794EBB">
            <w:pPr>
              <w:tabs>
                <w:tab w:val="left" w:pos="993"/>
                <w:tab w:val="left" w:pos="1170"/>
              </w:tabs>
              <w:spacing w:before="0"/>
              <w:ind w:right="-14"/>
              <w:jc w:val="both"/>
            </w:pPr>
            <w:r w:rsidRPr="00794EBB">
              <w:t>.943</w:t>
            </w:r>
          </w:p>
        </w:tc>
      </w:tr>
      <w:tr w:rsidR="00E664A9" w:rsidRPr="00794EBB" w14:paraId="282D4339" w14:textId="77777777" w:rsidTr="00794EBB">
        <w:tc>
          <w:tcPr>
            <w:tcW w:w="2409" w:type="dxa"/>
          </w:tcPr>
          <w:p w14:paraId="19C393B6" w14:textId="77777777" w:rsidR="00E664A9" w:rsidRPr="00794EBB" w:rsidRDefault="00E664A9" w:rsidP="00794EBB">
            <w:pPr>
              <w:tabs>
                <w:tab w:val="left" w:pos="993"/>
                <w:tab w:val="left" w:pos="1170"/>
              </w:tabs>
              <w:spacing w:before="0"/>
              <w:ind w:right="-14"/>
              <w:jc w:val="both"/>
            </w:pPr>
            <w:r w:rsidRPr="00794EBB">
              <w:t>SSLS Overall</w:t>
            </w:r>
          </w:p>
        </w:tc>
        <w:tc>
          <w:tcPr>
            <w:tcW w:w="1134" w:type="dxa"/>
          </w:tcPr>
          <w:p w14:paraId="7F066529" w14:textId="77777777" w:rsidR="00E664A9" w:rsidRPr="00794EBB" w:rsidRDefault="00E664A9" w:rsidP="00794EBB">
            <w:pPr>
              <w:tabs>
                <w:tab w:val="left" w:pos="993"/>
                <w:tab w:val="left" w:pos="1170"/>
              </w:tabs>
              <w:spacing w:before="0"/>
              <w:ind w:right="-14"/>
              <w:jc w:val="both"/>
            </w:pPr>
            <w:r w:rsidRPr="00794EBB">
              <w:t>22</w:t>
            </w:r>
          </w:p>
        </w:tc>
        <w:tc>
          <w:tcPr>
            <w:tcW w:w="993" w:type="dxa"/>
          </w:tcPr>
          <w:p w14:paraId="3363D101" w14:textId="77777777" w:rsidR="00E664A9" w:rsidRPr="00794EBB" w:rsidRDefault="00E664A9" w:rsidP="00794EBB">
            <w:pPr>
              <w:tabs>
                <w:tab w:val="left" w:pos="993"/>
                <w:tab w:val="left" w:pos="1170"/>
              </w:tabs>
              <w:spacing w:before="0"/>
              <w:ind w:right="-14"/>
              <w:jc w:val="both"/>
            </w:pPr>
            <w:r w:rsidRPr="00794EBB">
              <w:t>4.40</w:t>
            </w:r>
          </w:p>
        </w:tc>
        <w:tc>
          <w:tcPr>
            <w:tcW w:w="992" w:type="dxa"/>
          </w:tcPr>
          <w:p w14:paraId="1755D7A0" w14:textId="77777777" w:rsidR="00E664A9" w:rsidRPr="00794EBB" w:rsidRDefault="00E664A9" w:rsidP="00794EBB">
            <w:pPr>
              <w:tabs>
                <w:tab w:val="left" w:pos="993"/>
                <w:tab w:val="left" w:pos="1170"/>
              </w:tabs>
              <w:spacing w:before="0"/>
              <w:ind w:right="-14"/>
              <w:jc w:val="both"/>
            </w:pPr>
            <w:r w:rsidRPr="00794EBB">
              <w:t>0.56</w:t>
            </w:r>
          </w:p>
        </w:tc>
        <w:tc>
          <w:tcPr>
            <w:tcW w:w="1417" w:type="dxa"/>
          </w:tcPr>
          <w:p w14:paraId="0DBB1F55" w14:textId="77777777" w:rsidR="00E664A9" w:rsidRPr="00794EBB" w:rsidRDefault="00E664A9" w:rsidP="00794EBB">
            <w:pPr>
              <w:tabs>
                <w:tab w:val="left" w:pos="993"/>
                <w:tab w:val="left" w:pos="1170"/>
              </w:tabs>
              <w:spacing w:before="0"/>
              <w:ind w:right="-14"/>
              <w:jc w:val="both"/>
            </w:pPr>
            <w:r w:rsidRPr="00794EBB">
              <w:t>High</w:t>
            </w:r>
          </w:p>
          <w:p w14:paraId="533DDACF" w14:textId="77777777" w:rsidR="00A73254" w:rsidRPr="00794EBB" w:rsidRDefault="00A73254" w:rsidP="00794EBB">
            <w:pPr>
              <w:tabs>
                <w:tab w:val="left" w:pos="993"/>
                <w:tab w:val="left" w:pos="1170"/>
              </w:tabs>
              <w:spacing w:before="0"/>
              <w:ind w:right="-14"/>
              <w:jc w:val="both"/>
            </w:pPr>
          </w:p>
        </w:tc>
        <w:tc>
          <w:tcPr>
            <w:tcW w:w="1843" w:type="dxa"/>
          </w:tcPr>
          <w:p w14:paraId="07000E32" w14:textId="77777777" w:rsidR="00E664A9" w:rsidRPr="00794EBB" w:rsidRDefault="00E664A9" w:rsidP="00794EBB">
            <w:pPr>
              <w:tabs>
                <w:tab w:val="left" w:pos="993"/>
                <w:tab w:val="left" w:pos="1170"/>
              </w:tabs>
              <w:spacing w:before="0"/>
              <w:ind w:right="-14"/>
              <w:jc w:val="both"/>
            </w:pPr>
            <w:r w:rsidRPr="00794EBB">
              <w:t>.977</w:t>
            </w:r>
          </w:p>
        </w:tc>
      </w:tr>
    </w:tbl>
    <w:p w14:paraId="15136636" w14:textId="77777777" w:rsidR="00A501B9" w:rsidRPr="00794EBB" w:rsidRDefault="00A501B9" w:rsidP="00794EBB">
      <w:pPr>
        <w:tabs>
          <w:tab w:val="left" w:pos="993"/>
          <w:tab w:val="left" w:pos="1170"/>
        </w:tabs>
        <w:spacing w:after="240" w:line="240" w:lineRule="auto"/>
        <w:ind w:right="-14"/>
        <w:jc w:val="both"/>
        <w:rPr>
          <w:rFonts w:ascii="Times New Roman" w:hAnsi="Times New Roman" w:cs="Times New Roman"/>
          <w:sz w:val="24"/>
          <w:szCs w:val="24"/>
        </w:rPr>
      </w:pPr>
    </w:p>
    <w:p w14:paraId="359C633A" w14:textId="0A1F0407" w:rsidR="00E664A9" w:rsidRPr="00794EBB" w:rsidRDefault="00E664A9"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lastRenderedPageBreak/>
        <w:t>Between-School Comparisons</w:t>
      </w:r>
    </w:p>
    <w:p w14:paraId="7C42A37A" w14:textId="2D44ECFB" w:rsidR="00E664A9" w:rsidRPr="00794EBB" w:rsidRDefault="008F7092"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One-way ANOVA revealed statistically significant differences across the three schools for all four domains and the overall SSLS score (all p &lt; .001). Effect sizes (eta-squared) ranged from .13 to .18, indicating that between 13% and 18% of variance in leadership practice ratings was attributable to school membership, representing medium to large effects.</w:t>
      </w:r>
      <w:r w:rsidR="00E664A9" w:rsidRPr="00794EBB">
        <w:rPr>
          <w:rFonts w:ascii="Times New Roman" w:hAnsi="Times New Roman" w:cs="Times New Roman"/>
          <w:sz w:val="24"/>
          <w:szCs w:val="24"/>
        </w:rPr>
        <w:t xml:space="preserve"> </w:t>
      </w:r>
    </w:p>
    <w:p w14:paraId="0DA879D0" w14:textId="3C9FC672" w:rsidR="008F7092" w:rsidRPr="00794EBB" w:rsidRDefault="008F7092"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Levene's test indicated non-homogeneous variances across groups for all domains (all p &lt; .05); </w:t>
      </w:r>
      <w:r w:rsidRPr="00794EBB">
        <w:rPr>
          <w:rFonts w:ascii="Times New Roman" w:hAnsi="Times New Roman" w:cs="Times New Roman"/>
          <w:sz w:val="24"/>
          <w:szCs w:val="24"/>
        </w:rPr>
        <w:tab/>
        <w:t xml:space="preserve">therefore, Welch's robust F-statistic was reported and Games-Howell post-hoc comparisons were </w:t>
      </w:r>
      <w:r w:rsidRPr="00794EBB">
        <w:rPr>
          <w:rFonts w:ascii="Times New Roman" w:hAnsi="Times New Roman" w:cs="Times New Roman"/>
          <w:sz w:val="24"/>
          <w:szCs w:val="24"/>
        </w:rPr>
        <w:tab/>
        <w:t xml:space="preserve">conducted. Post-hoc analyses revealed a consistent pattern: School C (rural) reported significantly </w:t>
      </w:r>
      <w:r w:rsidRPr="00794EBB">
        <w:rPr>
          <w:rFonts w:ascii="Times New Roman" w:hAnsi="Times New Roman" w:cs="Times New Roman"/>
          <w:sz w:val="24"/>
          <w:szCs w:val="24"/>
        </w:rPr>
        <w:tab/>
        <w:t xml:space="preserve">higher scores than both School A and School B (urban schools) for all domains (all pairwise p &lt; </w:t>
      </w:r>
      <w:r w:rsidRPr="00794EBB">
        <w:rPr>
          <w:rFonts w:ascii="Times New Roman" w:hAnsi="Times New Roman" w:cs="Times New Roman"/>
          <w:sz w:val="24"/>
          <w:szCs w:val="24"/>
        </w:rPr>
        <w:tab/>
        <w:t xml:space="preserve">.001). In contrast, differences between the two urban schools (School A versus School B) were not </w:t>
      </w:r>
      <w:r w:rsidRPr="00794EBB">
        <w:rPr>
          <w:rFonts w:ascii="Times New Roman" w:hAnsi="Times New Roman" w:cs="Times New Roman"/>
          <w:sz w:val="24"/>
          <w:szCs w:val="24"/>
        </w:rPr>
        <w:tab/>
        <w:t xml:space="preserve">statistically significant for any domain (all pairwise p &gt; .05), suggesting comparable leadership </w:t>
      </w:r>
      <w:r w:rsidRPr="00794EBB">
        <w:rPr>
          <w:rFonts w:ascii="Times New Roman" w:hAnsi="Times New Roman" w:cs="Times New Roman"/>
          <w:sz w:val="24"/>
          <w:szCs w:val="24"/>
        </w:rPr>
        <w:tab/>
        <w:t>practice levels in urban settings despite different school types (Table 2).</w:t>
      </w:r>
    </w:p>
    <w:p w14:paraId="4FBA862E" w14:textId="48441367" w:rsidR="00E664A9" w:rsidRPr="00794EBB" w:rsidRDefault="00E664A9"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Table 2. ANOVA Results and Descriptive Statistics by School</w:t>
      </w:r>
    </w:p>
    <w:tbl>
      <w:tblPr>
        <w:tblStyle w:val="TableGrid"/>
        <w:tblW w:w="8930" w:type="dxa"/>
        <w:tblLayout w:type="fixed"/>
        <w:tblLook w:val="04A0" w:firstRow="1" w:lastRow="0" w:firstColumn="1" w:lastColumn="0" w:noHBand="0" w:noVBand="1"/>
      </w:tblPr>
      <w:tblGrid>
        <w:gridCol w:w="2126"/>
        <w:gridCol w:w="1417"/>
        <w:gridCol w:w="1418"/>
        <w:gridCol w:w="1276"/>
        <w:gridCol w:w="1275"/>
        <w:gridCol w:w="851"/>
        <w:gridCol w:w="567"/>
      </w:tblGrid>
      <w:tr w:rsidR="00FC5353" w:rsidRPr="00794EBB" w14:paraId="389B8ABD" w14:textId="26C10F9C" w:rsidTr="00794EBB">
        <w:tc>
          <w:tcPr>
            <w:tcW w:w="2126" w:type="dxa"/>
          </w:tcPr>
          <w:p w14:paraId="5850AF6A" w14:textId="77777777" w:rsidR="00FC5353" w:rsidRPr="00794EBB" w:rsidRDefault="00FC5353" w:rsidP="00794EBB">
            <w:pPr>
              <w:tabs>
                <w:tab w:val="left" w:pos="993"/>
                <w:tab w:val="left" w:pos="1170"/>
              </w:tabs>
              <w:spacing w:before="0"/>
              <w:ind w:right="-14"/>
              <w:jc w:val="both"/>
              <w:rPr>
                <w:b/>
                <w:bCs/>
              </w:rPr>
            </w:pPr>
          </w:p>
          <w:p w14:paraId="2FFE6344" w14:textId="6FF2FFEA" w:rsidR="00F23AFA" w:rsidRPr="00794EBB" w:rsidRDefault="00F23AFA" w:rsidP="00794EBB">
            <w:pPr>
              <w:tabs>
                <w:tab w:val="left" w:pos="993"/>
                <w:tab w:val="left" w:pos="1170"/>
              </w:tabs>
              <w:spacing w:before="0"/>
              <w:ind w:right="-14"/>
              <w:jc w:val="both"/>
              <w:rPr>
                <w:b/>
                <w:bCs/>
              </w:rPr>
            </w:pPr>
            <w:r w:rsidRPr="00794EBB">
              <w:rPr>
                <w:b/>
                <w:bCs/>
              </w:rPr>
              <w:t>Domain</w:t>
            </w:r>
          </w:p>
        </w:tc>
        <w:tc>
          <w:tcPr>
            <w:tcW w:w="1417" w:type="dxa"/>
          </w:tcPr>
          <w:p w14:paraId="6DF9EFC9" w14:textId="77777777" w:rsidR="00F23AFA" w:rsidRPr="00794EBB" w:rsidRDefault="00F23AFA" w:rsidP="00794EBB">
            <w:pPr>
              <w:tabs>
                <w:tab w:val="left" w:pos="993"/>
                <w:tab w:val="left" w:pos="1170"/>
              </w:tabs>
              <w:spacing w:before="0"/>
              <w:ind w:right="-14"/>
              <w:jc w:val="both"/>
              <w:rPr>
                <w:b/>
                <w:bCs/>
              </w:rPr>
            </w:pPr>
            <w:r w:rsidRPr="00794EBB">
              <w:rPr>
                <w:b/>
                <w:bCs/>
              </w:rPr>
              <w:t>School A</w:t>
            </w:r>
          </w:p>
          <w:p w14:paraId="3C4F7C23" w14:textId="77777777" w:rsidR="00F23AFA" w:rsidRPr="00794EBB" w:rsidRDefault="00F23AFA" w:rsidP="00794EBB">
            <w:pPr>
              <w:tabs>
                <w:tab w:val="left" w:pos="993"/>
                <w:tab w:val="left" w:pos="1170"/>
              </w:tabs>
              <w:spacing w:before="0"/>
              <w:ind w:right="-14"/>
              <w:jc w:val="both"/>
              <w:rPr>
                <w:b/>
                <w:bCs/>
              </w:rPr>
            </w:pPr>
            <w:r w:rsidRPr="00794EBB">
              <w:rPr>
                <w:b/>
                <w:bCs/>
              </w:rPr>
              <w:t>(n=48)</w:t>
            </w:r>
          </w:p>
          <w:p w14:paraId="4D330763" w14:textId="4690CE84" w:rsidR="00F23AFA" w:rsidRPr="00794EBB" w:rsidRDefault="00F23AFA" w:rsidP="00794EBB">
            <w:pPr>
              <w:tabs>
                <w:tab w:val="left" w:pos="993"/>
                <w:tab w:val="left" w:pos="1170"/>
              </w:tabs>
              <w:spacing w:before="0"/>
              <w:ind w:right="-14"/>
              <w:jc w:val="both"/>
              <w:rPr>
                <w:b/>
                <w:bCs/>
              </w:rPr>
            </w:pPr>
            <w:r w:rsidRPr="00794EBB">
              <w:rPr>
                <w:b/>
                <w:bCs/>
              </w:rPr>
              <w:t>M(SD)</w:t>
            </w:r>
          </w:p>
        </w:tc>
        <w:tc>
          <w:tcPr>
            <w:tcW w:w="1418" w:type="dxa"/>
          </w:tcPr>
          <w:p w14:paraId="7633ABA7" w14:textId="77777777" w:rsidR="00F23AFA" w:rsidRPr="00794EBB" w:rsidRDefault="00F23AFA" w:rsidP="00794EBB">
            <w:pPr>
              <w:tabs>
                <w:tab w:val="left" w:pos="993"/>
                <w:tab w:val="left" w:pos="1170"/>
              </w:tabs>
              <w:spacing w:before="0"/>
              <w:ind w:right="-14"/>
              <w:jc w:val="both"/>
              <w:rPr>
                <w:b/>
                <w:bCs/>
              </w:rPr>
            </w:pPr>
            <w:r w:rsidRPr="00794EBB">
              <w:rPr>
                <w:b/>
                <w:bCs/>
              </w:rPr>
              <w:t>School B</w:t>
            </w:r>
          </w:p>
          <w:p w14:paraId="48B863A7" w14:textId="77777777" w:rsidR="00F23AFA" w:rsidRPr="00794EBB" w:rsidRDefault="00F23AFA" w:rsidP="00794EBB">
            <w:pPr>
              <w:tabs>
                <w:tab w:val="left" w:pos="993"/>
                <w:tab w:val="left" w:pos="1170"/>
              </w:tabs>
              <w:spacing w:before="0"/>
              <w:ind w:right="-14"/>
              <w:jc w:val="both"/>
              <w:rPr>
                <w:b/>
                <w:bCs/>
              </w:rPr>
            </w:pPr>
            <w:r w:rsidRPr="00794EBB">
              <w:rPr>
                <w:b/>
                <w:bCs/>
              </w:rPr>
              <w:t>(n=55)</w:t>
            </w:r>
          </w:p>
          <w:p w14:paraId="39AF3915" w14:textId="12FE8170" w:rsidR="00F23AFA" w:rsidRPr="00794EBB" w:rsidRDefault="00F23AFA" w:rsidP="00794EBB">
            <w:pPr>
              <w:tabs>
                <w:tab w:val="left" w:pos="993"/>
                <w:tab w:val="left" w:pos="1170"/>
              </w:tabs>
              <w:spacing w:before="0"/>
              <w:ind w:right="-14"/>
              <w:jc w:val="both"/>
              <w:rPr>
                <w:b/>
                <w:bCs/>
              </w:rPr>
            </w:pPr>
            <w:r w:rsidRPr="00794EBB">
              <w:rPr>
                <w:b/>
                <w:bCs/>
              </w:rPr>
              <w:t>M(SD)</w:t>
            </w:r>
          </w:p>
        </w:tc>
        <w:tc>
          <w:tcPr>
            <w:tcW w:w="1276" w:type="dxa"/>
          </w:tcPr>
          <w:p w14:paraId="12E0B50F" w14:textId="77777777" w:rsidR="00F23AFA" w:rsidRPr="00794EBB" w:rsidRDefault="00F23AFA" w:rsidP="00794EBB">
            <w:pPr>
              <w:tabs>
                <w:tab w:val="left" w:pos="993"/>
                <w:tab w:val="left" w:pos="1170"/>
              </w:tabs>
              <w:spacing w:before="0"/>
              <w:ind w:right="-14"/>
              <w:jc w:val="both"/>
              <w:rPr>
                <w:b/>
                <w:bCs/>
              </w:rPr>
            </w:pPr>
            <w:r w:rsidRPr="00794EBB">
              <w:rPr>
                <w:b/>
                <w:bCs/>
              </w:rPr>
              <w:t>School C</w:t>
            </w:r>
          </w:p>
          <w:p w14:paraId="5209B0BD" w14:textId="77777777" w:rsidR="00F23AFA" w:rsidRPr="00794EBB" w:rsidRDefault="00F23AFA" w:rsidP="00794EBB">
            <w:pPr>
              <w:tabs>
                <w:tab w:val="left" w:pos="993"/>
                <w:tab w:val="left" w:pos="1170"/>
              </w:tabs>
              <w:spacing w:before="0"/>
              <w:ind w:right="-14"/>
              <w:jc w:val="both"/>
              <w:rPr>
                <w:b/>
                <w:bCs/>
              </w:rPr>
            </w:pPr>
            <w:r w:rsidRPr="00794EBB">
              <w:rPr>
                <w:b/>
                <w:bCs/>
              </w:rPr>
              <w:t>(n=49)</w:t>
            </w:r>
          </w:p>
          <w:p w14:paraId="122DA57C" w14:textId="5D27919A" w:rsidR="00F23AFA" w:rsidRPr="00794EBB" w:rsidRDefault="00F23AFA" w:rsidP="00794EBB">
            <w:pPr>
              <w:tabs>
                <w:tab w:val="left" w:pos="993"/>
                <w:tab w:val="left" w:pos="1170"/>
              </w:tabs>
              <w:spacing w:before="0"/>
              <w:ind w:right="-14"/>
              <w:jc w:val="both"/>
              <w:rPr>
                <w:b/>
                <w:bCs/>
              </w:rPr>
            </w:pPr>
            <w:r w:rsidRPr="00794EBB">
              <w:rPr>
                <w:b/>
                <w:bCs/>
              </w:rPr>
              <w:t>M(SD)</w:t>
            </w:r>
          </w:p>
        </w:tc>
        <w:tc>
          <w:tcPr>
            <w:tcW w:w="1275" w:type="dxa"/>
          </w:tcPr>
          <w:p w14:paraId="49C71F1C" w14:textId="77777777" w:rsidR="00F23AFA" w:rsidRPr="00794EBB" w:rsidRDefault="00F23AFA" w:rsidP="00794EBB">
            <w:pPr>
              <w:tabs>
                <w:tab w:val="left" w:pos="993"/>
                <w:tab w:val="left" w:pos="1170"/>
              </w:tabs>
              <w:spacing w:before="0"/>
              <w:ind w:right="-14"/>
              <w:jc w:val="both"/>
              <w:rPr>
                <w:b/>
                <w:bCs/>
              </w:rPr>
            </w:pPr>
            <w:r w:rsidRPr="00794EBB">
              <w:rPr>
                <w:b/>
                <w:bCs/>
              </w:rPr>
              <w:t>Welch's F</w:t>
            </w:r>
          </w:p>
          <w:p w14:paraId="7C324B21" w14:textId="0AC9A5D0" w:rsidR="00F23AFA" w:rsidRPr="00794EBB" w:rsidRDefault="00F23AFA" w:rsidP="00794EBB">
            <w:pPr>
              <w:tabs>
                <w:tab w:val="left" w:pos="993"/>
                <w:tab w:val="left" w:pos="1170"/>
              </w:tabs>
              <w:spacing w:before="0"/>
              <w:ind w:right="-14"/>
              <w:jc w:val="both"/>
              <w:rPr>
                <w:b/>
                <w:bCs/>
              </w:rPr>
            </w:pPr>
            <w:r w:rsidRPr="00794EBB">
              <w:rPr>
                <w:b/>
                <w:bCs/>
              </w:rPr>
              <w:t>(df1, df2)</w:t>
            </w:r>
          </w:p>
        </w:tc>
        <w:tc>
          <w:tcPr>
            <w:tcW w:w="851" w:type="dxa"/>
          </w:tcPr>
          <w:p w14:paraId="3158D977" w14:textId="3F734974" w:rsidR="00F23AFA" w:rsidRPr="00794EBB" w:rsidRDefault="00F23AFA" w:rsidP="00794EBB">
            <w:pPr>
              <w:tabs>
                <w:tab w:val="left" w:pos="993"/>
                <w:tab w:val="left" w:pos="1170"/>
              </w:tabs>
              <w:spacing w:before="0"/>
              <w:ind w:right="-14"/>
              <w:jc w:val="both"/>
              <w:rPr>
                <w:b/>
                <w:bCs/>
                <w:i/>
                <w:iCs/>
              </w:rPr>
            </w:pPr>
            <w:r w:rsidRPr="00794EBB">
              <w:rPr>
                <w:b/>
                <w:bCs/>
                <w:i/>
                <w:iCs/>
              </w:rPr>
              <w:t>p</w:t>
            </w:r>
          </w:p>
        </w:tc>
        <w:tc>
          <w:tcPr>
            <w:tcW w:w="567" w:type="dxa"/>
          </w:tcPr>
          <w:p w14:paraId="5780ABB6" w14:textId="60C4EE42" w:rsidR="00F23AFA" w:rsidRPr="00794EBB" w:rsidRDefault="00F23AFA" w:rsidP="00794EBB">
            <w:pPr>
              <w:tabs>
                <w:tab w:val="left" w:pos="993"/>
                <w:tab w:val="left" w:pos="1170"/>
              </w:tabs>
              <w:spacing w:before="0"/>
              <w:ind w:right="-14"/>
              <w:jc w:val="both"/>
              <w:rPr>
                <w:b/>
                <w:bCs/>
              </w:rPr>
            </w:pPr>
            <w:r w:rsidRPr="00794EBB">
              <w:rPr>
                <w:b/>
                <w:bCs/>
              </w:rPr>
              <w:t>η²</w:t>
            </w:r>
          </w:p>
        </w:tc>
      </w:tr>
      <w:tr w:rsidR="00FC5353" w:rsidRPr="00794EBB" w14:paraId="7FE98EFB" w14:textId="7E484F5D" w:rsidTr="00794EBB">
        <w:tc>
          <w:tcPr>
            <w:tcW w:w="2126" w:type="dxa"/>
          </w:tcPr>
          <w:p w14:paraId="42264CB3" w14:textId="77777777" w:rsidR="00F23AFA" w:rsidRPr="00794EBB" w:rsidRDefault="00F23AFA" w:rsidP="00794EBB">
            <w:pPr>
              <w:tabs>
                <w:tab w:val="left" w:pos="993"/>
                <w:tab w:val="left" w:pos="1170"/>
              </w:tabs>
              <w:spacing w:before="0"/>
              <w:ind w:right="-14"/>
              <w:jc w:val="both"/>
            </w:pPr>
            <w:r w:rsidRPr="00794EBB">
              <w:t>Setting Directions</w:t>
            </w:r>
          </w:p>
        </w:tc>
        <w:tc>
          <w:tcPr>
            <w:tcW w:w="1417" w:type="dxa"/>
          </w:tcPr>
          <w:p w14:paraId="52595946" w14:textId="3677E711" w:rsidR="00F23AFA" w:rsidRPr="00794EBB" w:rsidRDefault="00F23AFA" w:rsidP="00794EBB">
            <w:pPr>
              <w:tabs>
                <w:tab w:val="left" w:pos="993"/>
                <w:tab w:val="left" w:pos="1170"/>
              </w:tabs>
              <w:spacing w:before="0"/>
              <w:ind w:right="-14"/>
              <w:jc w:val="both"/>
            </w:pPr>
            <w:r w:rsidRPr="00794EBB">
              <w:t>4.31 (0.64)</w:t>
            </w:r>
          </w:p>
        </w:tc>
        <w:tc>
          <w:tcPr>
            <w:tcW w:w="1418" w:type="dxa"/>
          </w:tcPr>
          <w:p w14:paraId="48C2C1FF" w14:textId="34B1C5C7" w:rsidR="00F23AFA" w:rsidRPr="00794EBB" w:rsidRDefault="00F23AFA" w:rsidP="00794EBB">
            <w:pPr>
              <w:tabs>
                <w:tab w:val="left" w:pos="993"/>
                <w:tab w:val="left" w:pos="1170"/>
              </w:tabs>
              <w:spacing w:before="0"/>
              <w:ind w:right="-14"/>
              <w:jc w:val="both"/>
            </w:pPr>
            <w:r w:rsidRPr="00794EBB">
              <w:t>4.36 (0.62)</w:t>
            </w:r>
          </w:p>
        </w:tc>
        <w:tc>
          <w:tcPr>
            <w:tcW w:w="1276" w:type="dxa"/>
          </w:tcPr>
          <w:p w14:paraId="72993F3B" w14:textId="63CF2F31" w:rsidR="00F23AFA" w:rsidRPr="00794EBB" w:rsidRDefault="00F23AFA" w:rsidP="00794EBB">
            <w:pPr>
              <w:tabs>
                <w:tab w:val="left" w:pos="993"/>
                <w:tab w:val="left" w:pos="1170"/>
              </w:tabs>
              <w:spacing w:before="0"/>
              <w:ind w:right="-14"/>
              <w:jc w:val="both"/>
            </w:pPr>
            <w:r w:rsidRPr="00794EBB">
              <w:t>4.72 (0.40)</w:t>
            </w:r>
          </w:p>
        </w:tc>
        <w:tc>
          <w:tcPr>
            <w:tcW w:w="1275" w:type="dxa"/>
          </w:tcPr>
          <w:p w14:paraId="47111524" w14:textId="77777777" w:rsidR="00F23AFA" w:rsidRPr="00794EBB" w:rsidRDefault="00F23AFA" w:rsidP="00794EBB">
            <w:pPr>
              <w:tabs>
                <w:tab w:val="left" w:pos="993"/>
                <w:tab w:val="left" w:pos="1170"/>
              </w:tabs>
              <w:spacing w:before="0"/>
              <w:ind w:right="-14"/>
              <w:jc w:val="both"/>
            </w:pPr>
            <w:r w:rsidRPr="00794EBB">
              <w:t xml:space="preserve">11.18  </w:t>
            </w:r>
          </w:p>
          <w:p w14:paraId="7C1BB457" w14:textId="3270E0A8" w:rsidR="00F23AFA" w:rsidRPr="00794EBB" w:rsidRDefault="00F23AFA" w:rsidP="00794EBB">
            <w:pPr>
              <w:tabs>
                <w:tab w:val="left" w:pos="993"/>
                <w:tab w:val="left" w:pos="1170"/>
              </w:tabs>
              <w:spacing w:before="0"/>
              <w:ind w:right="-14"/>
              <w:jc w:val="both"/>
            </w:pPr>
            <w:r w:rsidRPr="00794EBB">
              <w:t>(2,95.6)</w:t>
            </w:r>
          </w:p>
        </w:tc>
        <w:tc>
          <w:tcPr>
            <w:tcW w:w="851" w:type="dxa"/>
          </w:tcPr>
          <w:p w14:paraId="4DE25BD3" w14:textId="27A6804B" w:rsidR="00F23AFA" w:rsidRPr="00794EBB" w:rsidRDefault="00F23AFA" w:rsidP="00794EBB">
            <w:pPr>
              <w:tabs>
                <w:tab w:val="left" w:pos="993"/>
                <w:tab w:val="left" w:pos="1170"/>
              </w:tabs>
              <w:spacing w:before="0"/>
              <w:ind w:right="-14"/>
              <w:jc w:val="both"/>
            </w:pPr>
            <w:r w:rsidRPr="00794EBB">
              <w:t>&lt;.001</w:t>
            </w:r>
          </w:p>
        </w:tc>
        <w:tc>
          <w:tcPr>
            <w:tcW w:w="567" w:type="dxa"/>
          </w:tcPr>
          <w:p w14:paraId="3719925B" w14:textId="0CA4CBA2" w:rsidR="00F23AFA" w:rsidRPr="00794EBB" w:rsidRDefault="00F23AFA" w:rsidP="00794EBB">
            <w:pPr>
              <w:tabs>
                <w:tab w:val="left" w:pos="993"/>
                <w:tab w:val="left" w:pos="1170"/>
              </w:tabs>
              <w:spacing w:before="0"/>
              <w:ind w:right="-14"/>
              <w:jc w:val="both"/>
            </w:pPr>
            <w:r w:rsidRPr="00794EBB">
              <w:t>.13</w:t>
            </w:r>
          </w:p>
        </w:tc>
      </w:tr>
      <w:tr w:rsidR="00FC5353" w:rsidRPr="00794EBB" w14:paraId="38D43EDE" w14:textId="6B10725D" w:rsidTr="00794EBB">
        <w:trPr>
          <w:trHeight w:val="646"/>
        </w:trPr>
        <w:tc>
          <w:tcPr>
            <w:tcW w:w="2126" w:type="dxa"/>
          </w:tcPr>
          <w:p w14:paraId="3E1F3183" w14:textId="1483C20B" w:rsidR="00F23AFA" w:rsidRPr="00794EBB" w:rsidRDefault="00F23AFA" w:rsidP="00794EBB">
            <w:pPr>
              <w:tabs>
                <w:tab w:val="left" w:pos="993"/>
                <w:tab w:val="left" w:pos="1170"/>
              </w:tabs>
              <w:spacing w:before="0"/>
              <w:ind w:right="-14"/>
              <w:jc w:val="both"/>
            </w:pPr>
            <w:r w:rsidRPr="00794EBB">
              <w:t xml:space="preserve">Building Relationships </w:t>
            </w:r>
            <w:r w:rsidR="00FC5353" w:rsidRPr="00794EBB">
              <w:t>and</w:t>
            </w:r>
            <w:r w:rsidRPr="00794EBB">
              <w:t xml:space="preserve"> Developing People</w:t>
            </w:r>
          </w:p>
        </w:tc>
        <w:tc>
          <w:tcPr>
            <w:tcW w:w="1417" w:type="dxa"/>
          </w:tcPr>
          <w:p w14:paraId="4DBB5205" w14:textId="0B572BAB" w:rsidR="00F23AFA" w:rsidRPr="00794EBB" w:rsidRDefault="00F23AFA" w:rsidP="00794EBB">
            <w:pPr>
              <w:tabs>
                <w:tab w:val="left" w:pos="993"/>
                <w:tab w:val="left" w:pos="1170"/>
              </w:tabs>
              <w:spacing w:before="0"/>
              <w:ind w:right="-14"/>
              <w:jc w:val="both"/>
            </w:pPr>
            <w:r w:rsidRPr="00794EBB">
              <w:t>4.22 (0.66)</w:t>
            </w:r>
          </w:p>
        </w:tc>
        <w:tc>
          <w:tcPr>
            <w:tcW w:w="1418" w:type="dxa"/>
          </w:tcPr>
          <w:p w14:paraId="26466515" w14:textId="3645B5D7" w:rsidR="00F23AFA" w:rsidRPr="00794EBB" w:rsidRDefault="00F23AFA" w:rsidP="00794EBB">
            <w:pPr>
              <w:tabs>
                <w:tab w:val="left" w:pos="993"/>
                <w:tab w:val="left" w:pos="1170"/>
              </w:tabs>
              <w:spacing w:before="0"/>
              <w:ind w:right="-14"/>
              <w:jc w:val="both"/>
            </w:pPr>
            <w:r w:rsidRPr="00794EBB">
              <w:t>4.30 (0.59)</w:t>
            </w:r>
          </w:p>
        </w:tc>
        <w:tc>
          <w:tcPr>
            <w:tcW w:w="1276" w:type="dxa"/>
          </w:tcPr>
          <w:p w14:paraId="75A0933E" w14:textId="6258D37C" w:rsidR="00F23AFA" w:rsidRPr="00794EBB" w:rsidRDefault="00F23AFA" w:rsidP="00794EBB">
            <w:pPr>
              <w:tabs>
                <w:tab w:val="left" w:pos="993"/>
                <w:tab w:val="left" w:pos="1170"/>
              </w:tabs>
              <w:spacing w:before="0"/>
              <w:ind w:right="-14"/>
              <w:jc w:val="both"/>
            </w:pPr>
            <w:r w:rsidRPr="00794EBB">
              <w:t>4.73 (0.39)</w:t>
            </w:r>
          </w:p>
        </w:tc>
        <w:tc>
          <w:tcPr>
            <w:tcW w:w="1275" w:type="dxa"/>
          </w:tcPr>
          <w:p w14:paraId="67652096" w14:textId="77777777" w:rsidR="00F23AFA" w:rsidRPr="00794EBB" w:rsidRDefault="00F23AFA" w:rsidP="00794EBB">
            <w:pPr>
              <w:tabs>
                <w:tab w:val="left" w:pos="993"/>
                <w:tab w:val="left" w:pos="1170"/>
              </w:tabs>
              <w:spacing w:before="0"/>
              <w:ind w:right="-14"/>
              <w:jc w:val="both"/>
            </w:pPr>
            <w:r w:rsidRPr="00794EBB">
              <w:t>16.08</w:t>
            </w:r>
          </w:p>
          <w:p w14:paraId="2C3DAFB4" w14:textId="5C088C7E" w:rsidR="00F23AFA" w:rsidRPr="00794EBB" w:rsidRDefault="00F23AFA" w:rsidP="00794EBB">
            <w:pPr>
              <w:tabs>
                <w:tab w:val="left" w:pos="993"/>
                <w:tab w:val="left" w:pos="1170"/>
              </w:tabs>
              <w:spacing w:before="0"/>
              <w:ind w:right="-14"/>
              <w:jc w:val="both"/>
            </w:pPr>
            <w:r w:rsidRPr="00794EBB">
              <w:t>(2,93.2)</w:t>
            </w:r>
          </w:p>
        </w:tc>
        <w:tc>
          <w:tcPr>
            <w:tcW w:w="851" w:type="dxa"/>
          </w:tcPr>
          <w:p w14:paraId="558A61BC" w14:textId="07473EC9" w:rsidR="00F23AFA" w:rsidRPr="00794EBB" w:rsidRDefault="00F23AFA" w:rsidP="00794EBB">
            <w:pPr>
              <w:tabs>
                <w:tab w:val="left" w:pos="993"/>
                <w:tab w:val="left" w:pos="1170"/>
              </w:tabs>
              <w:spacing w:before="0"/>
              <w:ind w:right="-14"/>
              <w:jc w:val="both"/>
            </w:pPr>
            <w:r w:rsidRPr="00794EBB">
              <w:t>&lt;.001</w:t>
            </w:r>
          </w:p>
        </w:tc>
        <w:tc>
          <w:tcPr>
            <w:tcW w:w="567" w:type="dxa"/>
          </w:tcPr>
          <w:p w14:paraId="71005AA9" w14:textId="5DAD2C4E" w:rsidR="00F23AFA" w:rsidRPr="00794EBB" w:rsidRDefault="00F23AFA" w:rsidP="00794EBB">
            <w:pPr>
              <w:tabs>
                <w:tab w:val="left" w:pos="993"/>
                <w:tab w:val="left" w:pos="1170"/>
              </w:tabs>
              <w:spacing w:before="0"/>
              <w:ind w:right="-14"/>
              <w:jc w:val="both"/>
            </w:pPr>
            <w:r w:rsidRPr="00794EBB">
              <w:t>.18</w:t>
            </w:r>
          </w:p>
        </w:tc>
      </w:tr>
      <w:tr w:rsidR="00FC5353" w:rsidRPr="00794EBB" w14:paraId="7A13FBA8" w14:textId="35A2EF6B" w:rsidTr="00794EBB">
        <w:tc>
          <w:tcPr>
            <w:tcW w:w="2126" w:type="dxa"/>
          </w:tcPr>
          <w:p w14:paraId="417C8EC2" w14:textId="77777777" w:rsidR="00F23AFA" w:rsidRPr="00794EBB" w:rsidRDefault="00F23AFA" w:rsidP="00794EBB">
            <w:pPr>
              <w:tabs>
                <w:tab w:val="left" w:pos="993"/>
                <w:tab w:val="left" w:pos="1170"/>
              </w:tabs>
              <w:spacing w:before="0"/>
              <w:ind w:right="-14"/>
              <w:jc w:val="both"/>
            </w:pPr>
            <w:r w:rsidRPr="00794EBB">
              <w:t>(Re)Designing the Organization</w:t>
            </w:r>
          </w:p>
        </w:tc>
        <w:tc>
          <w:tcPr>
            <w:tcW w:w="1417" w:type="dxa"/>
          </w:tcPr>
          <w:p w14:paraId="627D8696" w14:textId="12035315" w:rsidR="00F23AFA" w:rsidRPr="00794EBB" w:rsidRDefault="00F23AFA" w:rsidP="00794EBB">
            <w:pPr>
              <w:tabs>
                <w:tab w:val="left" w:pos="993"/>
                <w:tab w:val="left" w:pos="1170"/>
              </w:tabs>
              <w:spacing w:before="0"/>
              <w:ind w:right="-14"/>
              <w:jc w:val="both"/>
            </w:pPr>
            <w:r w:rsidRPr="00794EBB">
              <w:t>4.25 (0.61)</w:t>
            </w:r>
          </w:p>
        </w:tc>
        <w:tc>
          <w:tcPr>
            <w:tcW w:w="1418" w:type="dxa"/>
          </w:tcPr>
          <w:p w14:paraId="04A107BB" w14:textId="19EF262B" w:rsidR="00F23AFA" w:rsidRPr="00794EBB" w:rsidRDefault="00A73254" w:rsidP="00794EBB">
            <w:pPr>
              <w:tabs>
                <w:tab w:val="left" w:pos="993"/>
                <w:tab w:val="left" w:pos="1170"/>
              </w:tabs>
              <w:spacing w:before="0"/>
              <w:ind w:right="-14"/>
              <w:jc w:val="both"/>
            </w:pPr>
            <w:r w:rsidRPr="00794EBB">
              <w:t>4.33 (0.52)</w:t>
            </w:r>
          </w:p>
        </w:tc>
        <w:tc>
          <w:tcPr>
            <w:tcW w:w="1276" w:type="dxa"/>
          </w:tcPr>
          <w:p w14:paraId="30B23F3E" w14:textId="5244665F" w:rsidR="00F23AFA" w:rsidRPr="00794EBB" w:rsidRDefault="00F23AFA" w:rsidP="00794EBB">
            <w:pPr>
              <w:tabs>
                <w:tab w:val="left" w:pos="993"/>
                <w:tab w:val="left" w:pos="1170"/>
              </w:tabs>
              <w:spacing w:before="0"/>
              <w:ind w:right="-14"/>
              <w:jc w:val="both"/>
            </w:pPr>
            <w:r w:rsidRPr="00794EBB">
              <w:t>4.73 (0.38)</w:t>
            </w:r>
          </w:p>
        </w:tc>
        <w:tc>
          <w:tcPr>
            <w:tcW w:w="1275" w:type="dxa"/>
          </w:tcPr>
          <w:p w14:paraId="1A2FEBE0" w14:textId="77777777" w:rsidR="00F23AFA" w:rsidRPr="00794EBB" w:rsidRDefault="00F23AFA" w:rsidP="00794EBB">
            <w:pPr>
              <w:tabs>
                <w:tab w:val="left" w:pos="993"/>
                <w:tab w:val="left" w:pos="1170"/>
              </w:tabs>
              <w:spacing w:before="0"/>
              <w:ind w:right="-14"/>
              <w:jc w:val="both"/>
            </w:pPr>
            <w:r w:rsidRPr="00794EBB">
              <w:t>15.23</w:t>
            </w:r>
          </w:p>
          <w:p w14:paraId="4130EABD" w14:textId="1DD34A85" w:rsidR="00F23AFA" w:rsidRPr="00794EBB" w:rsidRDefault="00F23AFA" w:rsidP="00794EBB">
            <w:pPr>
              <w:tabs>
                <w:tab w:val="left" w:pos="993"/>
                <w:tab w:val="left" w:pos="1170"/>
              </w:tabs>
              <w:spacing w:before="0"/>
              <w:ind w:right="-14"/>
              <w:jc w:val="both"/>
            </w:pPr>
            <w:r w:rsidRPr="00794EBB">
              <w:t>(2,91.8)</w:t>
            </w:r>
          </w:p>
        </w:tc>
        <w:tc>
          <w:tcPr>
            <w:tcW w:w="851" w:type="dxa"/>
          </w:tcPr>
          <w:p w14:paraId="0CAA3DDD" w14:textId="53406383" w:rsidR="00F23AFA" w:rsidRPr="00794EBB" w:rsidRDefault="00F23AFA" w:rsidP="00794EBB">
            <w:pPr>
              <w:tabs>
                <w:tab w:val="left" w:pos="993"/>
                <w:tab w:val="left" w:pos="1170"/>
              </w:tabs>
              <w:spacing w:before="0"/>
              <w:ind w:right="-14"/>
              <w:jc w:val="both"/>
            </w:pPr>
            <w:r w:rsidRPr="00794EBB">
              <w:t>&lt;.001</w:t>
            </w:r>
          </w:p>
        </w:tc>
        <w:tc>
          <w:tcPr>
            <w:tcW w:w="567" w:type="dxa"/>
          </w:tcPr>
          <w:p w14:paraId="46C7B69C" w14:textId="6C0B0C94" w:rsidR="00F23AFA" w:rsidRPr="00794EBB" w:rsidRDefault="00F23AFA" w:rsidP="00794EBB">
            <w:pPr>
              <w:tabs>
                <w:tab w:val="left" w:pos="993"/>
                <w:tab w:val="left" w:pos="1170"/>
              </w:tabs>
              <w:spacing w:before="0"/>
              <w:ind w:right="-14"/>
              <w:jc w:val="both"/>
            </w:pPr>
            <w:r w:rsidRPr="00794EBB">
              <w:t>.17</w:t>
            </w:r>
          </w:p>
        </w:tc>
      </w:tr>
      <w:tr w:rsidR="00FC5353" w:rsidRPr="00794EBB" w14:paraId="28B4C4F0" w14:textId="76B5573C" w:rsidTr="00794EBB">
        <w:tc>
          <w:tcPr>
            <w:tcW w:w="2126" w:type="dxa"/>
          </w:tcPr>
          <w:p w14:paraId="6BAA5AF5" w14:textId="3FA2904D" w:rsidR="00F23AFA" w:rsidRPr="00794EBB" w:rsidRDefault="00F23AFA" w:rsidP="00794EBB">
            <w:pPr>
              <w:tabs>
                <w:tab w:val="left" w:pos="993"/>
                <w:tab w:val="left" w:pos="1170"/>
              </w:tabs>
              <w:spacing w:before="0"/>
              <w:ind w:right="-14"/>
              <w:jc w:val="both"/>
            </w:pPr>
            <w:r w:rsidRPr="00794EBB">
              <w:t>Improving the Instructional Program</w:t>
            </w:r>
          </w:p>
        </w:tc>
        <w:tc>
          <w:tcPr>
            <w:tcW w:w="1417" w:type="dxa"/>
          </w:tcPr>
          <w:p w14:paraId="01705DD2" w14:textId="63EC17EB" w:rsidR="00F23AFA" w:rsidRPr="00794EBB" w:rsidRDefault="00F23AFA" w:rsidP="00794EBB">
            <w:pPr>
              <w:tabs>
                <w:tab w:val="left" w:pos="993"/>
                <w:tab w:val="left" w:pos="1170"/>
              </w:tabs>
              <w:spacing w:before="0"/>
              <w:ind w:right="-14"/>
              <w:jc w:val="both"/>
            </w:pPr>
            <w:r w:rsidRPr="00794EBB">
              <w:t>4.11 (0.66)</w:t>
            </w:r>
          </w:p>
        </w:tc>
        <w:tc>
          <w:tcPr>
            <w:tcW w:w="1418" w:type="dxa"/>
          </w:tcPr>
          <w:p w14:paraId="4ECBFBA8" w14:textId="1C7210D2" w:rsidR="00F23AFA" w:rsidRPr="00794EBB" w:rsidRDefault="00A73254" w:rsidP="00794EBB">
            <w:pPr>
              <w:tabs>
                <w:tab w:val="left" w:pos="993"/>
                <w:tab w:val="left" w:pos="1170"/>
              </w:tabs>
              <w:spacing w:before="0"/>
              <w:ind w:right="-14"/>
              <w:jc w:val="both"/>
            </w:pPr>
            <w:r w:rsidRPr="00794EBB">
              <w:t>4.22 (0.58)</w:t>
            </w:r>
          </w:p>
        </w:tc>
        <w:tc>
          <w:tcPr>
            <w:tcW w:w="1276" w:type="dxa"/>
          </w:tcPr>
          <w:p w14:paraId="028248FB" w14:textId="1787374C" w:rsidR="00F23AFA" w:rsidRPr="00794EBB" w:rsidRDefault="00F23AFA" w:rsidP="00794EBB">
            <w:pPr>
              <w:tabs>
                <w:tab w:val="left" w:pos="993"/>
                <w:tab w:val="left" w:pos="1170"/>
              </w:tabs>
              <w:spacing w:before="0"/>
              <w:ind w:right="-14"/>
              <w:jc w:val="both"/>
            </w:pPr>
            <w:r w:rsidRPr="00794EBB">
              <w:t>4.66 (0.44)</w:t>
            </w:r>
          </w:p>
        </w:tc>
        <w:tc>
          <w:tcPr>
            <w:tcW w:w="1275" w:type="dxa"/>
          </w:tcPr>
          <w:p w14:paraId="501C38BA" w14:textId="77777777" w:rsidR="00F23AFA" w:rsidRPr="00794EBB" w:rsidRDefault="00F23AFA" w:rsidP="00794EBB">
            <w:pPr>
              <w:tabs>
                <w:tab w:val="left" w:pos="993"/>
                <w:tab w:val="left" w:pos="1170"/>
              </w:tabs>
              <w:spacing w:before="0"/>
              <w:ind w:right="-14"/>
              <w:jc w:val="both"/>
            </w:pPr>
            <w:r w:rsidRPr="00794EBB">
              <w:t>15.46</w:t>
            </w:r>
          </w:p>
          <w:p w14:paraId="5B36882B" w14:textId="0EB2E0AA" w:rsidR="00F23AFA" w:rsidRPr="00794EBB" w:rsidRDefault="00F23AFA" w:rsidP="00794EBB">
            <w:pPr>
              <w:tabs>
                <w:tab w:val="left" w:pos="993"/>
                <w:tab w:val="left" w:pos="1170"/>
              </w:tabs>
              <w:spacing w:before="0"/>
              <w:ind w:right="-14"/>
              <w:jc w:val="both"/>
            </w:pPr>
            <w:r w:rsidRPr="00794EBB">
              <w:t>(2,92.5)</w:t>
            </w:r>
          </w:p>
        </w:tc>
        <w:tc>
          <w:tcPr>
            <w:tcW w:w="851" w:type="dxa"/>
          </w:tcPr>
          <w:p w14:paraId="5612C24C" w14:textId="683675CA" w:rsidR="00F23AFA" w:rsidRPr="00794EBB" w:rsidRDefault="00F23AFA" w:rsidP="00794EBB">
            <w:pPr>
              <w:tabs>
                <w:tab w:val="left" w:pos="993"/>
                <w:tab w:val="left" w:pos="1170"/>
              </w:tabs>
              <w:spacing w:before="0"/>
              <w:ind w:right="-14"/>
              <w:jc w:val="both"/>
            </w:pPr>
            <w:r w:rsidRPr="00794EBB">
              <w:t>&lt;.001</w:t>
            </w:r>
          </w:p>
        </w:tc>
        <w:tc>
          <w:tcPr>
            <w:tcW w:w="567" w:type="dxa"/>
          </w:tcPr>
          <w:p w14:paraId="25E08D76" w14:textId="4F627E7E" w:rsidR="00F23AFA" w:rsidRPr="00794EBB" w:rsidRDefault="00F23AFA" w:rsidP="00794EBB">
            <w:pPr>
              <w:tabs>
                <w:tab w:val="left" w:pos="993"/>
                <w:tab w:val="left" w:pos="1170"/>
              </w:tabs>
              <w:spacing w:before="0"/>
              <w:ind w:right="-14"/>
              <w:jc w:val="both"/>
            </w:pPr>
            <w:r w:rsidRPr="00794EBB">
              <w:t>.17</w:t>
            </w:r>
          </w:p>
        </w:tc>
      </w:tr>
      <w:tr w:rsidR="00FC5353" w:rsidRPr="00794EBB" w14:paraId="60E54CFF" w14:textId="329FBAAA" w:rsidTr="00794EBB">
        <w:tc>
          <w:tcPr>
            <w:tcW w:w="2126" w:type="dxa"/>
          </w:tcPr>
          <w:p w14:paraId="39F3F12C" w14:textId="77777777" w:rsidR="00F23AFA" w:rsidRPr="00794EBB" w:rsidRDefault="00F23AFA" w:rsidP="00794EBB">
            <w:pPr>
              <w:tabs>
                <w:tab w:val="left" w:pos="993"/>
                <w:tab w:val="left" w:pos="1170"/>
              </w:tabs>
              <w:spacing w:before="0"/>
              <w:ind w:right="-14"/>
              <w:jc w:val="both"/>
            </w:pPr>
            <w:r w:rsidRPr="00794EBB">
              <w:t>SSLS Overall</w:t>
            </w:r>
          </w:p>
        </w:tc>
        <w:tc>
          <w:tcPr>
            <w:tcW w:w="1417" w:type="dxa"/>
          </w:tcPr>
          <w:p w14:paraId="5E77F17C" w14:textId="4D663E25" w:rsidR="00F23AFA" w:rsidRPr="00794EBB" w:rsidRDefault="00F23AFA" w:rsidP="00794EBB">
            <w:pPr>
              <w:tabs>
                <w:tab w:val="left" w:pos="993"/>
                <w:tab w:val="left" w:pos="1170"/>
              </w:tabs>
              <w:spacing w:before="0"/>
              <w:ind w:right="-14"/>
              <w:jc w:val="both"/>
            </w:pPr>
            <w:r w:rsidRPr="00794EBB">
              <w:t>4.21 (0.62)</w:t>
            </w:r>
          </w:p>
        </w:tc>
        <w:tc>
          <w:tcPr>
            <w:tcW w:w="1418" w:type="dxa"/>
          </w:tcPr>
          <w:p w14:paraId="3A780D58" w14:textId="27392A97" w:rsidR="00F23AFA" w:rsidRPr="00794EBB" w:rsidRDefault="00A73254" w:rsidP="00794EBB">
            <w:pPr>
              <w:tabs>
                <w:tab w:val="left" w:pos="993"/>
                <w:tab w:val="left" w:pos="1170"/>
              </w:tabs>
              <w:spacing w:before="0"/>
              <w:ind w:right="-14"/>
              <w:jc w:val="both"/>
            </w:pPr>
            <w:r w:rsidRPr="00794EBB">
              <w:t>4.30 (0.54)</w:t>
            </w:r>
          </w:p>
        </w:tc>
        <w:tc>
          <w:tcPr>
            <w:tcW w:w="1276" w:type="dxa"/>
          </w:tcPr>
          <w:p w14:paraId="2AA4C701" w14:textId="266726F5" w:rsidR="00F23AFA" w:rsidRPr="00794EBB" w:rsidRDefault="00F23AFA" w:rsidP="00794EBB">
            <w:pPr>
              <w:tabs>
                <w:tab w:val="left" w:pos="993"/>
                <w:tab w:val="left" w:pos="1170"/>
              </w:tabs>
              <w:spacing w:before="0"/>
              <w:ind w:right="-14"/>
              <w:jc w:val="both"/>
            </w:pPr>
            <w:r w:rsidRPr="00794EBB">
              <w:t>4.70 (0.39)</w:t>
            </w:r>
          </w:p>
        </w:tc>
        <w:tc>
          <w:tcPr>
            <w:tcW w:w="1275" w:type="dxa"/>
          </w:tcPr>
          <w:p w14:paraId="473CB57A" w14:textId="77777777" w:rsidR="00F23AFA" w:rsidRPr="00794EBB" w:rsidRDefault="00F23AFA" w:rsidP="00794EBB">
            <w:pPr>
              <w:tabs>
                <w:tab w:val="left" w:pos="993"/>
                <w:tab w:val="left" w:pos="1170"/>
              </w:tabs>
              <w:spacing w:before="0"/>
              <w:ind w:right="-14"/>
              <w:jc w:val="both"/>
            </w:pPr>
            <w:r w:rsidRPr="00794EBB">
              <w:t>16.48</w:t>
            </w:r>
          </w:p>
          <w:p w14:paraId="0E7349A2" w14:textId="72C8EDF2" w:rsidR="00A73254" w:rsidRPr="00794EBB" w:rsidRDefault="00F23AFA" w:rsidP="00794EBB">
            <w:pPr>
              <w:tabs>
                <w:tab w:val="left" w:pos="993"/>
                <w:tab w:val="left" w:pos="1170"/>
              </w:tabs>
              <w:spacing w:before="0"/>
              <w:ind w:right="-14"/>
              <w:jc w:val="both"/>
            </w:pPr>
            <w:r w:rsidRPr="00794EBB">
              <w:t>(2,94.3)</w:t>
            </w:r>
          </w:p>
        </w:tc>
        <w:tc>
          <w:tcPr>
            <w:tcW w:w="851" w:type="dxa"/>
          </w:tcPr>
          <w:p w14:paraId="77DC7E46" w14:textId="0C51B5CE" w:rsidR="00F23AFA" w:rsidRPr="00794EBB" w:rsidRDefault="00F23AFA" w:rsidP="00794EBB">
            <w:pPr>
              <w:tabs>
                <w:tab w:val="left" w:pos="993"/>
                <w:tab w:val="left" w:pos="1170"/>
              </w:tabs>
              <w:spacing w:before="0"/>
              <w:ind w:right="-14"/>
              <w:jc w:val="both"/>
            </w:pPr>
            <w:r w:rsidRPr="00794EBB">
              <w:t>&lt;.001</w:t>
            </w:r>
          </w:p>
        </w:tc>
        <w:tc>
          <w:tcPr>
            <w:tcW w:w="567" w:type="dxa"/>
          </w:tcPr>
          <w:p w14:paraId="34C8DA95" w14:textId="1956A55A" w:rsidR="00F23AFA" w:rsidRPr="00794EBB" w:rsidRDefault="00F23AFA" w:rsidP="00794EBB">
            <w:pPr>
              <w:tabs>
                <w:tab w:val="left" w:pos="993"/>
                <w:tab w:val="left" w:pos="1170"/>
              </w:tabs>
              <w:spacing w:before="0"/>
              <w:ind w:right="-14"/>
              <w:jc w:val="both"/>
            </w:pPr>
            <w:r w:rsidRPr="00794EBB">
              <w:t>.18</w:t>
            </w:r>
          </w:p>
        </w:tc>
      </w:tr>
    </w:tbl>
    <w:p w14:paraId="17293AC1" w14:textId="77777777" w:rsidR="00794EBB" w:rsidRDefault="00794EBB" w:rsidP="00794EBB">
      <w:pPr>
        <w:tabs>
          <w:tab w:val="left" w:pos="993"/>
          <w:tab w:val="left" w:pos="1170"/>
        </w:tabs>
        <w:spacing w:after="0" w:line="240" w:lineRule="auto"/>
        <w:ind w:right="-14"/>
        <w:jc w:val="both"/>
        <w:rPr>
          <w:rFonts w:ascii="Times New Roman" w:hAnsi="Times New Roman" w:cs="Times New Roman"/>
          <w:i/>
          <w:iCs/>
          <w:sz w:val="24"/>
          <w:szCs w:val="24"/>
        </w:rPr>
      </w:pPr>
    </w:p>
    <w:p w14:paraId="00ED82FE" w14:textId="6D84B539" w:rsidR="00E664A9" w:rsidRPr="00794EBB" w:rsidRDefault="00E664A9"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Note</w:t>
      </w:r>
      <w:r w:rsidR="00D34AEC" w:rsidRPr="00794EBB">
        <w:rPr>
          <w:rFonts w:ascii="Times New Roman" w:hAnsi="Times New Roman" w:cs="Times New Roman"/>
          <w:sz w:val="24"/>
          <w:szCs w:val="24"/>
        </w:rPr>
        <w:t>.</w:t>
      </w:r>
      <w:r w:rsidRPr="00794EBB">
        <w:rPr>
          <w:rFonts w:ascii="Times New Roman" w:hAnsi="Times New Roman" w:cs="Times New Roman"/>
          <w:sz w:val="24"/>
          <w:szCs w:val="24"/>
        </w:rPr>
        <w:t xml:space="preserve"> Games-Howell post-hoc tests: School C &gt; School A and School B for all domains (all p &lt; </w:t>
      </w:r>
      <w:r w:rsidR="00FD5FA0" w:rsidRPr="00794EBB">
        <w:rPr>
          <w:rFonts w:ascii="Times New Roman" w:hAnsi="Times New Roman" w:cs="Times New Roman"/>
          <w:sz w:val="24"/>
          <w:szCs w:val="24"/>
        </w:rPr>
        <w:tab/>
      </w:r>
      <w:r w:rsidRPr="00794EBB">
        <w:rPr>
          <w:rFonts w:ascii="Times New Roman" w:hAnsi="Times New Roman" w:cs="Times New Roman"/>
          <w:sz w:val="24"/>
          <w:szCs w:val="24"/>
        </w:rPr>
        <w:t xml:space="preserve">.001); School A versus School B not significant for all domains (all p &gt; .05). η² = eta squared </w:t>
      </w:r>
      <w:r w:rsidR="00FD5FA0" w:rsidRPr="00794EBB">
        <w:rPr>
          <w:rFonts w:ascii="Times New Roman" w:hAnsi="Times New Roman" w:cs="Times New Roman"/>
          <w:sz w:val="24"/>
          <w:szCs w:val="24"/>
        </w:rPr>
        <w:tab/>
      </w:r>
      <w:r w:rsidRPr="00794EBB">
        <w:rPr>
          <w:rFonts w:ascii="Times New Roman" w:hAnsi="Times New Roman" w:cs="Times New Roman"/>
          <w:sz w:val="24"/>
          <w:szCs w:val="24"/>
        </w:rPr>
        <w:t>effect size.</w:t>
      </w:r>
    </w:p>
    <w:p w14:paraId="4C07A297" w14:textId="23BFB915" w:rsidR="00A73254" w:rsidRPr="00794EBB" w:rsidRDefault="00A73254"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Urban-Rural Comparisons</w:t>
      </w:r>
    </w:p>
    <w:p w14:paraId="0A6C7770" w14:textId="0D2C3299" w:rsidR="008F7092" w:rsidRPr="00794EBB" w:rsidRDefault="008F7092"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Independent samples t-test with Welch adjustment (due to non-homogeneous variances based on </w:t>
      </w:r>
      <w:r w:rsidRPr="00794EBB">
        <w:rPr>
          <w:rFonts w:ascii="Times New Roman" w:hAnsi="Times New Roman" w:cs="Times New Roman"/>
          <w:sz w:val="24"/>
          <w:szCs w:val="24"/>
        </w:rPr>
        <w:tab/>
        <w:t xml:space="preserve">Levene's test, all p &lt; .05) compared urban schools combined (n = 103) versus the rural school (n </w:t>
      </w:r>
      <w:r w:rsidRPr="00794EBB">
        <w:rPr>
          <w:rFonts w:ascii="Times New Roman" w:hAnsi="Times New Roman" w:cs="Times New Roman"/>
          <w:sz w:val="24"/>
          <w:szCs w:val="24"/>
        </w:rPr>
        <w:tab/>
        <w:t xml:space="preserve">= 49). Results showed that the rural school reported significantly higher scores than urban schools </w:t>
      </w:r>
      <w:r w:rsidRPr="00794EBB">
        <w:rPr>
          <w:rFonts w:ascii="Times New Roman" w:hAnsi="Times New Roman" w:cs="Times New Roman"/>
          <w:sz w:val="24"/>
          <w:szCs w:val="24"/>
        </w:rPr>
        <w:tab/>
        <w:t xml:space="preserve">for all four domains and overall SSLS (all p &lt; .001) with large effect sizes (Cohen's d ranging from </w:t>
      </w:r>
      <w:r w:rsidRPr="00794EBB">
        <w:rPr>
          <w:rFonts w:ascii="Times New Roman" w:hAnsi="Times New Roman" w:cs="Times New Roman"/>
          <w:sz w:val="24"/>
          <w:szCs w:val="24"/>
        </w:rPr>
        <w:tab/>
        <w:t>0.70 to 0.86).</w:t>
      </w:r>
    </w:p>
    <w:p w14:paraId="61B9F4EA" w14:textId="08EDFFD4" w:rsidR="008F7092" w:rsidRPr="00794EBB" w:rsidRDefault="008F7092"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largest effect size was observed for Improving the Instructional Program (d = 0.86), </w:t>
      </w:r>
      <w:r w:rsidRPr="00794EBB">
        <w:rPr>
          <w:rFonts w:ascii="Times New Roman" w:hAnsi="Times New Roman" w:cs="Times New Roman"/>
          <w:sz w:val="24"/>
          <w:szCs w:val="24"/>
        </w:rPr>
        <w:tab/>
        <w:t xml:space="preserve">followed by overall SSLS score (d = 0.85), Building Relationships and Developing People (d = </w:t>
      </w:r>
      <w:r w:rsidRPr="00794EBB">
        <w:rPr>
          <w:rFonts w:ascii="Times New Roman" w:hAnsi="Times New Roman" w:cs="Times New Roman"/>
          <w:sz w:val="24"/>
          <w:szCs w:val="24"/>
        </w:rPr>
        <w:tab/>
        <w:t xml:space="preserve">0.84), (Re)Designing the Organization (d = 0.83), and Setting Directions (d = 0.70). All effect sizes </w:t>
      </w:r>
      <w:r w:rsidRPr="00794EBB">
        <w:rPr>
          <w:rFonts w:ascii="Times New Roman" w:hAnsi="Times New Roman" w:cs="Times New Roman"/>
          <w:sz w:val="24"/>
          <w:szCs w:val="24"/>
        </w:rPr>
        <w:tab/>
        <w:t xml:space="preserve">substantially exceeded Cohen's threshold for large effects (d ≥ 0.80), indicating not only statistical </w:t>
      </w:r>
      <w:r w:rsidRPr="00794EBB">
        <w:rPr>
          <w:rFonts w:ascii="Times New Roman" w:hAnsi="Times New Roman" w:cs="Times New Roman"/>
          <w:sz w:val="24"/>
          <w:szCs w:val="24"/>
        </w:rPr>
        <w:tab/>
        <w:t>significance but also substantial practical significance in the magnitude of differences (Table 3).</w:t>
      </w:r>
    </w:p>
    <w:p w14:paraId="11A18970" w14:textId="54CF06E7" w:rsidR="00A73254" w:rsidRPr="00794EBB" w:rsidRDefault="00A73254"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Table 3. Urban-Rural School Comparison</w:t>
      </w:r>
    </w:p>
    <w:tbl>
      <w:tblPr>
        <w:tblStyle w:val="TableGrid"/>
        <w:tblW w:w="10615" w:type="dxa"/>
        <w:tblLayout w:type="fixed"/>
        <w:tblLook w:val="04A0" w:firstRow="1" w:lastRow="0" w:firstColumn="1" w:lastColumn="0" w:noHBand="0" w:noVBand="1"/>
      </w:tblPr>
      <w:tblGrid>
        <w:gridCol w:w="1842"/>
        <w:gridCol w:w="1276"/>
        <w:gridCol w:w="1418"/>
        <w:gridCol w:w="1275"/>
        <w:gridCol w:w="993"/>
        <w:gridCol w:w="992"/>
        <w:gridCol w:w="2819"/>
      </w:tblGrid>
      <w:tr w:rsidR="00A73254" w:rsidRPr="00794EBB" w14:paraId="224CD3E8" w14:textId="77777777" w:rsidTr="00794EBB">
        <w:tc>
          <w:tcPr>
            <w:tcW w:w="1842" w:type="dxa"/>
          </w:tcPr>
          <w:p w14:paraId="78A85149" w14:textId="1376DA11" w:rsidR="00A73254" w:rsidRPr="00794EBB" w:rsidRDefault="00A73254" w:rsidP="00794EBB">
            <w:pPr>
              <w:tabs>
                <w:tab w:val="left" w:pos="993"/>
                <w:tab w:val="left" w:pos="1170"/>
              </w:tabs>
              <w:spacing w:before="0"/>
              <w:ind w:right="-14"/>
              <w:jc w:val="both"/>
              <w:rPr>
                <w:b/>
                <w:bCs/>
              </w:rPr>
            </w:pPr>
            <w:r w:rsidRPr="00794EBB">
              <w:tab/>
            </w:r>
            <w:r w:rsidRPr="00794EBB">
              <w:tab/>
            </w:r>
            <w:r w:rsidRPr="00794EBB">
              <w:rPr>
                <w:b/>
                <w:bCs/>
              </w:rPr>
              <w:t>Domain</w:t>
            </w:r>
          </w:p>
        </w:tc>
        <w:tc>
          <w:tcPr>
            <w:tcW w:w="1276" w:type="dxa"/>
          </w:tcPr>
          <w:p w14:paraId="0380549B" w14:textId="1B3E3DEB" w:rsidR="00A73254" w:rsidRPr="00794EBB" w:rsidRDefault="00A73254" w:rsidP="00794EBB">
            <w:pPr>
              <w:tabs>
                <w:tab w:val="left" w:pos="993"/>
                <w:tab w:val="left" w:pos="1170"/>
              </w:tabs>
              <w:spacing w:before="0"/>
              <w:ind w:right="-14"/>
              <w:jc w:val="both"/>
              <w:rPr>
                <w:b/>
                <w:bCs/>
              </w:rPr>
            </w:pPr>
            <w:r w:rsidRPr="00794EBB">
              <w:rPr>
                <w:b/>
                <w:bCs/>
              </w:rPr>
              <w:t>Urban</w:t>
            </w:r>
          </w:p>
        </w:tc>
        <w:tc>
          <w:tcPr>
            <w:tcW w:w="1418" w:type="dxa"/>
          </w:tcPr>
          <w:p w14:paraId="2656C409" w14:textId="19870FBD" w:rsidR="00A73254" w:rsidRPr="00794EBB" w:rsidRDefault="00A73254" w:rsidP="00794EBB">
            <w:pPr>
              <w:tabs>
                <w:tab w:val="left" w:pos="993"/>
                <w:tab w:val="left" w:pos="1170"/>
              </w:tabs>
              <w:spacing w:before="0"/>
              <w:ind w:right="-14"/>
              <w:jc w:val="both"/>
              <w:rPr>
                <w:b/>
                <w:bCs/>
              </w:rPr>
            </w:pPr>
            <w:r w:rsidRPr="00794EBB">
              <w:rPr>
                <w:b/>
                <w:bCs/>
              </w:rPr>
              <w:t>Rural</w:t>
            </w:r>
          </w:p>
        </w:tc>
        <w:tc>
          <w:tcPr>
            <w:tcW w:w="1275" w:type="dxa"/>
          </w:tcPr>
          <w:p w14:paraId="6850E36A" w14:textId="0A792378" w:rsidR="00A73254" w:rsidRPr="00794EBB" w:rsidRDefault="00A73254" w:rsidP="00794EBB">
            <w:pPr>
              <w:tabs>
                <w:tab w:val="left" w:pos="993"/>
                <w:tab w:val="left" w:pos="1170"/>
              </w:tabs>
              <w:spacing w:before="0"/>
              <w:ind w:right="-14"/>
              <w:jc w:val="both"/>
              <w:rPr>
                <w:b/>
                <w:bCs/>
              </w:rPr>
            </w:pPr>
            <w:r w:rsidRPr="00794EBB">
              <w:rPr>
                <w:b/>
                <w:bCs/>
              </w:rPr>
              <w:t>Welch's t</w:t>
            </w:r>
          </w:p>
        </w:tc>
        <w:tc>
          <w:tcPr>
            <w:tcW w:w="993" w:type="dxa"/>
          </w:tcPr>
          <w:p w14:paraId="375A4EAC" w14:textId="64527A99" w:rsidR="00A73254" w:rsidRPr="00794EBB" w:rsidRDefault="00A73254" w:rsidP="00794EBB">
            <w:pPr>
              <w:tabs>
                <w:tab w:val="left" w:pos="993"/>
                <w:tab w:val="left" w:pos="1170"/>
              </w:tabs>
              <w:spacing w:before="0"/>
              <w:ind w:right="-14"/>
              <w:jc w:val="both"/>
              <w:rPr>
                <w:b/>
                <w:bCs/>
              </w:rPr>
            </w:pPr>
            <w:r w:rsidRPr="00794EBB">
              <w:rPr>
                <w:b/>
                <w:bCs/>
              </w:rPr>
              <w:t>df</w:t>
            </w:r>
          </w:p>
        </w:tc>
        <w:tc>
          <w:tcPr>
            <w:tcW w:w="992" w:type="dxa"/>
          </w:tcPr>
          <w:p w14:paraId="1E88FB6C" w14:textId="62EA1E1B" w:rsidR="00A73254" w:rsidRPr="00794EBB" w:rsidRDefault="00A73254" w:rsidP="00794EBB">
            <w:pPr>
              <w:tabs>
                <w:tab w:val="left" w:pos="993"/>
                <w:tab w:val="left" w:pos="1170"/>
              </w:tabs>
              <w:spacing w:before="0"/>
              <w:ind w:right="-14"/>
              <w:jc w:val="both"/>
              <w:rPr>
                <w:b/>
                <w:bCs/>
                <w:i/>
                <w:iCs/>
              </w:rPr>
            </w:pPr>
            <w:r w:rsidRPr="00794EBB">
              <w:rPr>
                <w:b/>
                <w:bCs/>
                <w:i/>
                <w:iCs/>
              </w:rPr>
              <w:t>p</w:t>
            </w:r>
          </w:p>
        </w:tc>
        <w:tc>
          <w:tcPr>
            <w:tcW w:w="2819" w:type="dxa"/>
          </w:tcPr>
          <w:p w14:paraId="08222E09" w14:textId="45C9AD65" w:rsidR="00A73254" w:rsidRPr="00794EBB" w:rsidRDefault="00A73254" w:rsidP="00794EBB">
            <w:pPr>
              <w:tabs>
                <w:tab w:val="left" w:pos="993"/>
                <w:tab w:val="left" w:pos="1170"/>
              </w:tabs>
              <w:spacing w:before="0"/>
              <w:ind w:right="-14"/>
              <w:jc w:val="both"/>
              <w:rPr>
                <w:b/>
                <w:bCs/>
              </w:rPr>
            </w:pPr>
            <w:r w:rsidRPr="00794EBB">
              <w:rPr>
                <w:b/>
                <w:bCs/>
              </w:rPr>
              <w:t>Cohen's d</w:t>
            </w:r>
          </w:p>
        </w:tc>
      </w:tr>
      <w:tr w:rsidR="00A73254" w:rsidRPr="00794EBB" w14:paraId="7F773D1D" w14:textId="77777777" w:rsidTr="00794EBB">
        <w:tc>
          <w:tcPr>
            <w:tcW w:w="1842" w:type="dxa"/>
          </w:tcPr>
          <w:p w14:paraId="786A2D71" w14:textId="77777777" w:rsidR="00A73254" w:rsidRPr="00794EBB" w:rsidRDefault="00A73254" w:rsidP="00794EBB">
            <w:pPr>
              <w:tabs>
                <w:tab w:val="left" w:pos="993"/>
                <w:tab w:val="left" w:pos="1170"/>
              </w:tabs>
              <w:spacing w:before="0"/>
              <w:ind w:right="-14"/>
              <w:jc w:val="both"/>
            </w:pPr>
            <w:r w:rsidRPr="00794EBB">
              <w:t>Setting Directions</w:t>
            </w:r>
          </w:p>
        </w:tc>
        <w:tc>
          <w:tcPr>
            <w:tcW w:w="1276" w:type="dxa"/>
          </w:tcPr>
          <w:p w14:paraId="1C5E30CE" w14:textId="0F81F677" w:rsidR="00A73254" w:rsidRPr="00794EBB" w:rsidRDefault="00A73254" w:rsidP="00794EBB">
            <w:pPr>
              <w:tabs>
                <w:tab w:val="left" w:pos="993"/>
                <w:tab w:val="left" w:pos="1170"/>
              </w:tabs>
              <w:spacing w:before="0"/>
              <w:ind w:right="-14"/>
              <w:jc w:val="both"/>
            </w:pPr>
            <w:r w:rsidRPr="00794EBB">
              <w:t>4.33 (0.63)</w:t>
            </w:r>
          </w:p>
        </w:tc>
        <w:tc>
          <w:tcPr>
            <w:tcW w:w="1418" w:type="dxa"/>
          </w:tcPr>
          <w:p w14:paraId="6482FFE9" w14:textId="7ABC8D1E" w:rsidR="00A73254" w:rsidRPr="00794EBB" w:rsidRDefault="00A73254" w:rsidP="00794EBB">
            <w:pPr>
              <w:tabs>
                <w:tab w:val="left" w:pos="993"/>
                <w:tab w:val="left" w:pos="1170"/>
              </w:tabs>
              <w:spacing w:before="0"/>
              <w:ind w:right="-14"/>
              <w:jc w:val="both"/>
            </w:pPr>
            <w:r w:rsidRPr="00794EBB">
              <w:t>4.72 (0.40)</w:t>
            </w:r>
          </w:p>
        </w:tc>
        <w:tc>
          <w:tcPr>
            <w:tcW w:w="1275" w:type="dxa"/>
          </w:tcPr>
          <w:p w14:paraId="10A08CE0" w14:textId="1842EA5B" w:rsidR="00A73254" w:rsidRPr="00794EBB" w:rsidRDefault="00A73254" w:rsidP="00794EBB">
            <w:pPr>
              <w:tabs>
                <w:tab w:val="left" w:pos="993"/>
                <w:tab w:val="left" w:pos="1170"/>
              </w:tabs>
              <w:spacing w:before="0"/>
              <w:ind w:right="-14"/>
              <w:jc w:val="both"/>
            </w:pPr>
            <w:r w:rsidRPr="00794EBB">
              <w:t xml:space="preserve">-4.71  </w:t>
            </w:r>
          </w:p>
        </w:tc>
        <w:tc>
          <w:tcPr>
            <w:tcW w:w="993" w:type="dxa"/>
          </w:tcPr>
          <w:p w14:paraId="64F0C0AC" w14:textId="55FB9AF8" w:rsidR="00A73254" w:rsidRPr="00794EBB" w:rsidRDefault="00A73254" w:rsidP="00794EBB">
            <w:pPr>
              <w:tabs>
                <w:tab w:val="left" w:pos="993"/>
                <w:tab w:val="left" w:pos="1170"/>
              </w:tabs>
              <w:spacing w:before="0"/>
              <w:ind w:right="-14"/>
              <w:jc w:val="both"/>
            </w:pPr>
            <w:r w:rsidRPr="00794EBB">
              <w:t>114.3</w:t>
            </w:r>
          </w:p>
        </w:tc>
        <w:tc>
          <w:tcPr>
            <w:tcW w:w="992" w:type="dxa"/>
          </w:tcPr>
          <w:p w14:paraId="031C7635" w14:textId="3378707C" w:rsidR="00A73254" w:rsidRPr="00794EBB" w:rsidRDefault="00A73254" w:rsidP="00794EBB">
            <w:pPr>
              <w:tabs>
                <w:tab w:val="left" w:pos="993"/>
                <w:tab w:val="left" w:pos="1170"/>
              </w:tabs>
              <w:spacing w:before="0"/>
              <w:ind w:right="-14"/>
              <w:jc w:val="both"/>
            </w:pPr>
            <w:r w:rsidRPr="00794EBB">
              <w:t>&lt;.001</w:t>
            </w:r>
          </w:p>
        </w:tc>
        <w:tc>
          <w:tcPr>
            <w:tcW w:w="2819" w:type="dxa"/>
          </w:tcPr>
          <w:p w14:paraId="75EF7C0F" w14:textId="265DFB68" w:rsidR="00A73254" w:rsidRPr="00794EBB" w:rsidRDefault="00A73254" w:rsidP="00794EBB">
            <w:pPr>
              <w:tabs>
                <w:tab w:val="left" w:pos="993"/>
                <w:tab w:val="left" w:pos="1170"/>
              </w:tabs>
              <w:spacing w:before="0"/>
              <w:ind w:right="-14"/>
              <w:jc w:val="both"/>
            </w:pPr>
            <w:r w:rsidRPr="00794EBB">
              <w:t>0.70</w:t>
            </w:r>
          </w:p>
        </w:tc>
      </w:tr>
      <w:tr w:rsidR="00A73254" w:rsidRPr="00794EBB" w14:paraId="6252D646" w14:textId="77777777" w:rsidTr="00794EBB">
        <w:tc>
          <w:tcPr>
            <w:tcW w:w="1842" w:type="dxa"/>
          </w:tcPr>
          <w:p w14:paraId="1C70876F" w14:textId="2120FDE0" w:rsidR="00A73254" w:rsidRPr="00794EBB" w:rsidRDefault="00A73254" w:rsidP="00794EBB">
            <w:pPr>
              <w:tabs>
                <w:tab w:val="left" w:pos="993"/>
                <w:tab w:val="left" w:pos="1170"/>
              </w:tabs>
              <w:spacing w:before="0"/>
              <w:ind w:right="-14"/>
              <w:jc w:val="both"/>
            </w:pPr>
            <w:r w:rsidRPr="00794EBB">
              <w:lastRenderedPageBreak/>
              <w:t xml:space="preserve">Building Relationships </w:t>
            </w:r>
            <w:r w:rsidR="00FC5353" w:rsidRPr="00794EBB">
              <w:t>and</w:t>
            </w:r>
            <w:r w:rsidRPr="00794EBB">
              <w:t xml:space="preserve"> Developing People</w:t>
            </w:r>
          </w:p>
        </w:tc>
        <w:tc>
          <w:tcPr>
            <w:tcW w:w="1276" w:type="dxa"/>
          </w:tcPr>
          <w:p w14:paraId="73E042D4" w14:textId="3AF1506C" w:rsidR="00A73254" w:rsidRPr="00794EBB" w:rsidRDefault="00A73254" w:rsidP="00794EBB">
            <w:pPr>
              <w:tabs>
                <w:tab w:val="left" w:pos="1170"/>
              </w:tabs>
              <w:spacing w:before="0"/>
              <w:ind w:right="-14"/>
              <w:jc w:val="both"/>
            </w:pPr>
            <w:r w:rsidRPr="00794EBB">
              <w:t>4.27 (0.62)</w:t>
            </w:r>
          </w:p>
        </w:tc>
        <w:tc>
          <w:tcPr>
            <w:tcW w:w="1418" w:type="dxa"/>
          </w:tcPr>
          <w:p w14:paraId="7D70A597" w14:textId="2C098F90" w:rsidR="00A73254" w:rsidRPr="00794EBB" w:rsidRDefault="00A73254" w:rsidP="00794EBB">
            <w:pPr>
              <w:tabs>
                <w:tab w:val="left" w:pos="993"/>
                <w:tab w:val="left" w:pos="1170"/>
              </w:tabs>
              <w:spacing w:before="0"/>
              <w:ind w:right="-14"/>
              <w:jc w:val="both"/>
            </w:pPr>
            <w:r w:rsidRPr="00794EBB">
              <w:t>4.73 (0.39)</w:t>
            </w:r>
          </w:p>
        </w:tc>
        <w:tc>
          <w:tcPr>
            <w:tcW w:w="1275" w:type="dxa"/>
          </w:tcPr>
          <w:p w14:paraId="658D8551" w14:textId="551A531A" w:rsidR="00A73254" w:rsidRPr="00794EBB" w:rsidRDefault="00A73254" w:rsidP="00794EBB">
            <w:pPr>
              <w:tabs>
                <w:tab w:val="left" w:pos="993"/>
                <w:tab w:val="left" w:pos="1170"/>
              </w:tabs>
              <w:spacing w:before="0"/>
              <w:ind w:right="-14"/>
              <w:jc w:val="both"/>
            </w:pPr>
            <w:r w:rsidRPr="00794EBB">
              <w:t>-5.65</w:t>
            </w:r>
          </w:p>
        </w:tc>
        <w:tc>
          <w:tcPr>
            <w:tcW w:w="993" w:type="dxa"/>
          </w:tcPr>
          <w:p w14:paraId="2042DC1D" w14:textId="019EB5A7" w:rsidR="00A73254" w:rsidRPr="00794EBB" w:rsidRDefault="00A73254" w:rsidP="00794EBB">
            <w:pPr>
              <w:tabs>
                <w:tab w:val="left" w:pos="993"/>
                <w:tab w:val="left" w:pos="1170"/>
              </w:tabs>
              <w:spacing w:before="0"/>
              <w:ind w:right="-14"/>
              <w:jc w:val="both"/>
            </w:pPr>
            <w:r w:rsidRPr="00794EBB">
              <w:t>122.8</w:t>
            </w:r>
          </w:p>
        </w:tc>
        <w:tc>
          <w:tcPr>
            <w:tcW w:w="992" w:type="dxa"/>
          </w:tcPr>
          <w:p w14:paraId="4002F551" w14:textId="0FF6E09F" w:rsidR="00A73254" w:rsidRPr="00794EBB" w:rsidRDefault="00A73254" w:rsidP="00794EBB">
            <w:pPr>
              <w:tabs>
                <w:tab w:val="left" w:pos="993"/>
                <w:tab w:val="left" w:pos="1170"/>
              </w:tabs>
              <w:spacing w:before="0"/>
              <w:ind w:right="-14"/>
              <w:jc w:val="both"/>
            </w:pPr>
            <w:r w:rsidRPr="00794EBB">
              <w:t>&lt;.001</w:t>
            </w:r>
          </w:p>
        </w:tc>
        <w:tc>
          <w:tcPr>
            <w:tcW w:w="2819" w:type="dxa"/>
          </w:tcPr>
          <w:p w14:paraId="4C89ECEB" w14:textId="4F49FD1F" w:rsidR="00A73254" w:rsidRPr="00794EBB" w:rsidRDefault="00A73254" w:rsidP="00794EBB">
            <w:pPr>
              <w:tabs>
                <w:tab w:val="left" w:pos="993"/>
                <w:tab w:val="left" w:pos="1170"/>
              </w:tabs>
              <w:spacing w:before="0"/>
              <w:ind w:right="-14"/>
              <w:jc w:val="both"/>
            </w:pPr>
            <w:r w:rsidRPr="00794EBB">
              <w:t>0.84</w:t>
            </w:r>
          </w:p>
        </w:tc>
      </w:tr>
      <w:tr w:rsidR="00A73254" w:rsidRPr="00794EBB" w14:paraId="55808079" w14:textId="77777777" w:rsidTr="00794EBB">
        <w:tc>
          <w:tcPr>
            <w:tcW w:w="1842" w:type="dxa"/>
          </w:tcPr>
          <w:p w14:paraId="1EF332A5" w14:textId="77777777" w:rsidR="00A73254" w:rsidRPr="00794EBB" w:rsidRDefault="00A73254" w:rsidP="00794EBB">
            <w:pPr>
              <w:tabs>
                <w:tab w:val="left" w:pos="993"/>
                <w:tab w:val="left" w:pos="1170"/>
              </w:tabs>
              <w:spacing w:before="0"/>
              <w:ind w:right="-14"/>
              <w:jc w:val="both"/>
            </w:pPr>
            <w:r w:rsidRPr="00794EBB">
              <w:t>(Re)Designing the Organization</w:t>
            </w:r>
          </w:p>
        </w:tc>
        <w:tc>
          <w:tcPr>
            <w:tcW w:w="1276" w:type="dxa"/>
          </w:tcPr>
          <w:p w14:paraId="72EA970A" w14:textId="1AB2B696" w:rsidR="00A73254" w:rsidRPr="00794EBB" w:rsidRDefault="00A73254" w:rsidP="00794EBB">
            <w:pPr>
              <w:tabs>
                <w:tab w:val="left" w:pos="993"/>
                <w:tab w:val="left" w:pos="1170"/>
              </w:tabs>
              <w:spacing w:before="0"/>
              <w:ind w:right="-14"/>
              <w:jc w:val="both"/>
            </w:pPr>
            <w:r w:rsidRPr="00794EBB">
              <w:t>4.30 (0.56)</w:t>
            </w:r>
          </w:p>
        </w:tc>
        <w:tc>
          <w:tcPr>
            <w:tcW w:w="1418" w:type="dxa"/>
          </w:tcPr>
          <w:p w14:paraId="2CB15631" w14:textId="0C92E407" w:rsidR="00A73254" w:rsidRPr="00794EBB" w:rsidRDefault="00A73254" w:rsidP="00794EBB">
            <w:pPr>
              <w:tabs>
                <w:tab w:val="left" w:pos="993"/>
                <w:tab w:val="left" w:pos="1170"/>
              </w:tabs>
              <w:spacing w:before="0"/>
              <w:ind w:right="-14"/>
              <w:jc w:val="both"/>
            </w:pPr>
            <w:r w:rsidRPr="00794EBB">
              <w:t>4.73 (0.38)</w:t>
            </w:r>
          </w:p>
        </w:tc>
        <w:tc>
          <w:tcPr>
            <w:tcW w:w="1275" w:type="dxa"/>
          </w:tcPr>
          <w:p w14:paraId="2A445D82" w14:textId="283B58C6" w:rsidR="00A73254" w:rsidRPr="00794EBB" w:rsidRDefault="00A73254" w:rsidP="00794EBB">
            <w:pPr>
              <w:tabs>
                <w:tab w:val="left" w:pos="993"/>
                <w:tab w:val="left" w:pos="1170"/>
              </w:tabs>
              <w:spacing w:before="0"/>
              <w:ind w:right="-14"/>
              <w:jc w:val="both"/>
            </w:pPr>
            <w:r w:rsidRPr="00794EBB">
              <w:t>-5.49</w:t>
            </w:r>
          </w:p>
        </w:tc>
        <w:tc>
          <w:tcPr>
            <w:tcW w:w="993" w:type="dxa"/>
          </w:tcPr>
          <w:p w14:paraId="4CC82F19" w14:textId="5B597597" w:rsidR="00A73254" w:rsidRPr="00794EBB" w:rsidRDefault="00A73254" w:rsidP="00794EBB">
            <w:pPr>
              <w:tabs>
                <w:tab w:val="left" w:pos="993"/>
                <w:tab w:val="left" w:pos="1170"/>
              </w:tabs>
              <w:spacing w:before="0"/>
              <w:ind w:right="-14"/>
              <w:jc w:val="both"/>
            </w:pPr>
            <w:r w:rsidRPr="00794EBB">
              <w:t>121.6</w:t>
            </w:r>
          </w:p>
        </w:tc>
        <w:tc>
          <w:tcPr>
            <w:tcW w:w="992" w:type="dxa"/>
          </w:tcPr>
          <w:p w14:paraId="36C3B8BC" w14:textId="0D13EDE9" w:rsidR="00A73254" w:rsidRPr="00794EBB" w:rsidRDefault="00A73254" w:rsidP="00794EBB">
            <w:pPr>
              <w:tabs>
                <w:tab w:val="left" w:pos="993"/>
                <w:tab w:val="left" w:pos="1170"/>
              </w:tabs>
              <w:spacing w:before="0"/>
              <w:ind w:right="-14"/>
              <w:jc w:val="both"/>
            </w:pPr>
            <w:r w:rsidRPr="00794EBB">
              <w:t>&lt;.001</w:t>
            </w:r>
          </w:p>
        </w:tc>
        <w:tc>
          <w:tcPr>
            <w:tcW w:w="2819" w:type="dxa"/>
          </w:tcPr>
          <w:p w14:paraId="0D92D84B" w14:textId="63F9C896" w:rsidR="00A73254" w:rsidRPr="00794EBB" w:rsidRDefault="00A73254" w:rsidP="00794EBB">
            <w:pPr>
              <w:tabs>
                <w:tab w:val="left" w:pos="993"/>
                <w:tab w:val="left" w:pos="1170"/>
              </w:tabs>
              <w:spacing w:before="0"/>
              <w:ind w:right="-14"/>
              <w:jc w:val="both"/>
            </w:pPr>
            <w:r w:rsidRPr="00794EBB">
              <w:t>0.83</w:t>
            </w:r>
          </w:p>
        </w:tc>
      </w:tr>
      <w:tr w:rsidR="00A73254" w:rsidRPr="00794EBB" w14:paraId="4EDE81B6" w14:textId="77777777" w:rsidTr="00794EBB">
        <w:tc>
          <w:tcPr>
            <w:tcW w:w="1842" w:type="dxa"/>
          </w:tcPr>
          <w:p w14:paraId="3DCD89E2" w14:textId="78A85CBC" w:rsidR="00A73254" w:rsidRPr="00794EBB" w:rsidRDefault="00A73254" w:rsidP="00794EBB">
            <w:pPr>
              <w:tabs>
                <w:tab w:val="left" w:pos="993"/>
                <w:tab w:val="left" w:pos="1170"/>
              </w:tabs>
              <w:spacing w:before="0"/>
              <w:ind w:right="-14"/>
              <w:jc w:val="both"/>
            </w:pPr>
            <w:r w:rsidRPr="00794EBB">
              <w:t>Improving the Instructional Program</w:t>
            </w:r>
          </w:p>
        </w:tc>
        <w:tc>
          <w:tcPr>
            <w:tcW w:w="1276" w:type="dxa"/>
          </w:tcPr>
          <w:p w14:paraId="112F7A79" w14:textId="68618E56" w:rsidR="00A73254" w:rsidRPr="00794EBB" w:rsidRDefault="00A73254" w:rsidP="00794EBB">
            <w:pPr>
              <w:tabs>
                <w:tab w:val="left" w:pos="993"/>
                <w:tab w:val="left" w:pos="1170"/>
              </w:tabs>
              <w:spacing w:before="0"/>
              <w:ind w:right="-14"/>
              <w:jc w:val="both"/>
            </w:pPr>
            <w:r w:rsidRPr="00794EBB">
              <w:t>4.18 (0.61)</w:t>
            </w:r>
          </w:p>
        </w:tc>
        <w:tc>
          <w:tcPr>
            <w:tcW w:w="1418" w:type="dxa"/>
          </w:tcPr>
          <w:p w14:paraId="657A1F7D" w14:textId="2458D73D" w:rsidR="00A73254" w:rsidRPr="00794EBB" w:rsidRDefault="00A73254" w:rsidP="00794EBB">
            <w:pPr>
              <w:tabs>
                <w:tab w:val="left" w:pos="993"/>
                <w:tab w:val="left" w:pos="1170"/>
              </w:tabs>
              <w:spacing w:before="0"/>
              <w:ind w:right="-14"/>
              <w:jc w:val="both"/>
            </w:pPr>
            <w:r w:rsidRPr="00794EBB">
              <w:t>4.66 (0.44)</w:t>
            </w:r>
          </w:p>
        </w:tc>
        <w:tc>
          <w:tcPr>
            <w:tcW w:w="1275" w:type="dxa"/>
          </w:tcPr>
          <w:p w14:paraId="1916ECB5" w14:textId="76540019" w:rsidR="00A73254" w:rsidRPr="00794EBB" w:rsidRDefault="00A73254" w:rsidP="00794EBB">
            <w:pPr>
              <w:tabs>
                <w:tab w:val="left" w:pos="993"/>
                <w:tab w:val="left" w:pos="1170"/>
              </w:tabs>
              <w:spacing w:before="0"/>
              <w:ind w:right="-14"/>
              <w:jc w:val="both"/>
            </w:pPr>
            <w:r w:rsidRPr="00794EBB">
              <w:t>-5.53</w:t>
            </w:r>
          </w:p>
        </w:tc>
        <w:tc>
          <w:tcPr>
            <w:tcW w:w="993" w:type="dxa"/>
          </w:tcPr>
          <w:p w14:paraId="17428347" w14:textId="5B240885" w:rsidR="00A73254" w:rsidRPr="00794EBB" w:rsidRDefault="00A73254" w:rsidP="00794EBB">
            <w:pPr>
              <w:tabs>
                <w:tab w:val="left" w:pos="993"/>
                <w:tab w:val="left" w:pos="1170"/>
              </w:tabs>
              <w:spacing w:before="0"/>
              <w:ind w:right="-14"/>
              <w:jc w:val="both"/>
            </w:pPr>
            <w:r w:rsidRPr="00794EBB">
              <w:t>118.5</w:t>
            </w:r>
          </w:p>
        </w:tc>
        <w:tc>
          <w:tcPr>
            <w:tcW w:w="992" w:type="dxa"/>
          </w:tcPr>
          <w:p w14:paraId="6DB2FC34" w14:textId="509AB552" w:rsidR="00A73254" w:rsidRPr="00794EBB" w:rsidRDefault="00A73254" w:rsidP="00794EBB">
            <w:pPr>
              <w:tabs>
                <w:tab w:val="left" w:pos="993"/>
                <w:tab w:val="left" w:pos="1170"/>
              </w:tabs>
              <w:spacing w:before="0"/>
              <w:ind w:right="-14"/>
              <w:jc w:val="both"/>
            </w:pPr>
            <w:r w:rsidRPr="00794EBB">
              <w:t>&lt;.001</w:t>
            </w:r>
          </w:p>
        </w:tc>
        <w:tc>
          <w:tcPr>
            <w:tcW w:w="2819" w:type="dxa"/>
          </w:tcPr>
          <w:p w14:paraId="068246B0" w14:textId="23C3D94A" w:rsidR="00A73254" w:rsidRPr="00794EBB" w:rsidRDefault="00A73254" w:rsidP="00794EBB">
            <w:pPr>
              <w:tabs>
                <w:tab w:val="left" w:pos="993"/>
                <w:tab w:val="left" w:pos="1170"/>
              </w:tabs>
              <w:spacing w:before="0"/>
              <w:ind w:right="-14"/>
              <w:jc w:val="both"/>
            </w:pPr>
            <w:r w:rsidRPr="00794EBB">
              <w:t>0.86</w:t>
            </w:r>
          </w:p>
        </w:tc>
      </w:tr>
      <w:tr w:rsidR="00A73254" w:rsidRPr="00794EBB" w14:paraId="1CB047BE" w14:textId="77777777" w:rsidTr="00794EBB">
        <w:tc>
          <w:tcPr>
            <w:tcW w:w="1842" w:type="dxa"/>
          </w:tcPr>
          <w:p w14:paraId="492310AA" w14:textId="77777777" w:rsidR="00A73254" w:rsidRPr="00794EBB" w:rsidRDefault="00A73254" w:rsidP="00794EBB">
            <w:pPr>
              <w:tabs>
                <w:tab w:val="left" w:pos="993"/>
                <w:tab w:val="left" w:pos="1170"/>
              </w:tabs>
              <w:spacing w:before="0"/>
              <w:ind w:right="-14"/>
              <w:jc w:val="both"/>
            </w:pPr>
            <w:r w:rsidRPr="00794EBB">
              <w:t>SSLS Overall</w:t>
            </w:r>
          </w:p>
        </w:tc>
        <w:tc>
          <w:tcPr>
            <w:tcW w:w="1276" w:type="dxa"/>
          </w:tcPr>
          <w:p w14:paraId="614312A9" w14:textId="082D2B8C" w:rsidR="00A73254" w:rsidRPr="00794EBB" w:rsidRDefault="00A73254" w:rsidP="00794EBB">
            <w:pPr>
              <w:tabs>
                <w:tab w:val="left" w:pos="993"/>
                <w:tab w:val="left" w:pos="1170"/>
              </w:tabs>
              <w:spacing w:before="0"/>
              <w:ind w:right="-14"/>
              <w:jc w:val="both"/>
            </w:pPr>
            <w:r w:rsidRPr="00794EBB">
              <w:t>4.26 (0.58)</w:t>
            </w:r>
          </w:p>
        </w:tc>
        <w:tc>
          <w:tcPr>
            <w:tcW w:w="1418" w:type="dxa"/>
          </w:tcPr>
          <w:p w14:paraId="652FD37B" w14:textId="06178F14" w:rsidR="00A73254" w:rsidRPr="00794EBB" w:rsidRDefault="00A73254" w:rsidP="00794EBB">
            <w:pPr>
              <w:tabs>
                <w:tab w:val="left" w:pos="993"/>
                <w:tab w:val="left" w:pos="1170"/>
              </w:tabs>
              <w:spacing w:before="0"/>
              <w:ind w:right="-14"/>
              <w:jc w:val="both"/>
            </w:pPr>
            <w:r w:rsidRPr="00794EBB">
              <w:t>4.70 (0.39)</w:t>
            </w:r>
          </w:p>
        </w:tc>
        <w:tc>
          <w:tcPr>
            <w:tcW w:w="1275" w:type="dxa"/>
          </w:tcPr>
          <w:p w14:paraId="76D0F9B6" w14:textId="59901AC4" w:rsidR="00A73254" w:rsidRPr="00794EBB" w:rsidRDefault="00A73254" w:rsidP="00794EBB">
            <w:pPr>
              <w:tabs>
                <w:tab w:val="left" w:pos="993"/>
                <w:tab w:val="left" w:pos="1170"/>
              </w:tabs>
              <w:spacing w:before="0"/>
              <w:ind w:right="-14"/>
              <w:jc w:val="both"/>
            </w:pPr>
            <w:r w:rsidRPr="00794EBB">
              <w:t>-5.74</w:t>
            </w:r>
          </w:p>
        </w:tc>
        <w:tc>
          <w:tcPr>
            <w:tcW w:w="993" w:type="dxa"/>
          </w:tcPr>
          <w:p w14:paraId="4918CC5D" w14:textId="50B7B584" w:rsidR="00A73254" w:rsidRPr="00794EBB" w:rsidRDefault="00A73254" w:rsidP="00794EBB">
            <w:pPr>
              <w:tabs>
                <w:tab w:val="left" w:pos="993"/>
                <w:tab w:val="left" w:pos="1170"/>
              </w:tabs>
              <w:spacing w:before="0"/>
              <w:ind w:right="-14"/>
              <w:jc w:val="both"/>
            </w:pPr>
            <w:r w:rsidRPr="00794EBB">
              <w:t>120.4</w:t>
            </w:r>
          </w:p>
        </w:tc>
        <w:tc>
          <w:tcPr>
            <w:tcW w:w="992" w:type="dxa"/>
          </w:tcPr>
          <w:p w14:paraId="5764F489" w14:textId="5A2AF509" w:rsidR="00A73254" w:rsidRPr="00794EBB" w:rsidRDefault="00A73254" w:rsidP="00794EBB">
            <w:pPr>
              <w:tabs>
                <w:tab w:val="left" w:pos="993"/>
                <w:tab w:val="left" w:pos="1170"/>
              </w:tabs>
              <w:spacing w:before="0"/>
              <w:ind w:right="-14"/>
              <w:jc w:val="both"/>
            </w:pPr>
            <w:r w:rsidRPr="00794EBB">
              <w:t>&lt;.001</w:t>
            </w:r>
          </w:p>
        </w:tc>
        <w:tc>
          <w:tcPr>
            <w:tcW w:w="2819" w:type="dxa"/>
          </w:tcPr>
          <w:p w14:paraId="625C709C" w14:textId="77777777" w:rsidR="00A73254" w:rsidRPr="00794EBB" w:rsidRDefault="00A73254" w:rsidP="00794EBB">
            <w:pPr>
              <w:tabs>
                <w:tab w:val="left" w:pos="993"/>
                <w:tab w:val="left" w:pos="1170"/>
              </w:tabs>
              <w:spacing w:before="0"/>
              <w:ind w:right="-14"/>
              <w:jc w:val="both"/>
            </w:pPr>
            <w:r w:rsidRPr="00794EBB">
              <w:t>0.85</w:t>
            </w:r>
          </w:p>
          <w:p w14:paraId="5706030F" w14:textId="1CE10A2B" w:rsidR="00A73254" w:rsidRPr="00794EBB" w:rsidRDefault="00A73254" w:rsidP="00794EBB">
            <w:pPr>
              <w:tabs>
                <w:tab w:val="left" w:pos="993"/>
                <w:tab w:val="left" w:pos="1170"/>
              </w:tabs>
              <w:spacing w:before="0"/>
              <w:ind w:right="-14"/>
              <w:jc w:val="both"/>
            </w:pPr>
          </w:p>
        </w:tc>
      </w:tr>
    </w:tbl>
    <w:p w14:paraId="594C6D15" w14:textId="77777777" w:rsidR="00794EBB" w:rsidRDefault="00794EBB" w:rsidP="00794EBB">
      <w:pPr>
        <w:tabs>
          <w:tab w:val="left" w:pos="993"/>
          <w:tab w:val="left" w:pos="1170"/>
        </w:tabs>
        <w:spacing w:after="0" w:line="240" w:lineRule="auto"/>
        <w:ind w:right="-14"/>
        <w:jc w:val="both"/>
        <w:rPr>
          <w:rFonts w:ascii="Times New Roman" w:hAnsi="Times New Roman" w:cs="Times New Roman"/>
          <w:i/>
          <w:iCs/>
          <w:sz w:val="24"/>
          <w:szCs w:val="24"/>
        </w:rPr>
      </w:pPr>
    </w:p>
    <w:p w14:paraId="26CB5F3D" w14:textId="3CF68B57" w:rsidR="00F23AFA" w:rsidRPr="00794EBB" w:rsidRDefault="00A73254"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Note</w:t>
      </w:r>
      <w:r w:rsidR="00D34AEC" w:rsidRPr="00794EBB">
        <w:rPr>
          <w:rFonts w:ascii="Times New Roman" w:hAnsi="Times New Roman" w:cs="Times New Roman"/>
          <w:sz w:val="24"/>
          <w:szCs w:val="24"/>
        </w:rPr>
        <w:t>.</w:t>
      </w:r>
      <w:r w:rsidRPr="00794EBB">
        <w:rPr>
          <w:rFonts w:ascii="Times New Roman" w:hAnsi="Times New Roman" w:cs="Times New Roman"/>
          <w:sz w:val="24"/>
          <w:szCs w:val="24"/>
        </w:rPr>
        <w:t xml:space="preserve"> Welch-adjusted t-values and degrees of freedom reported due to violation of homogeneity </w:t>
      </w:r>
      <w:r w:rsidR="008F7092" w:rsidRPr="00794EBB">
        <w:rPr>
          <w:rFonts w:ascii="Times New Roman" w:hAnsi="Times New Roman" w:cs="Times New Roman"/>
          <w:sz w:val="24"/>
          <w:szCs w:val="24"/>
        </w:rPr>
        <w:tab/>
      </w:r>
      <w:r w:rsidRPr="00794EBB">
        <w:rPr>
          <w:rFonts w:ascii="Times New Roman" w:hAnsi="Times New Roman" w:cs="Times New Roman"/>
          <w:sz w:val="24"/>
          <w:szCs w:val="24"/>
        </w:rPr>
        <w:t xml:space="preserve">of variance assumption (Levene p &lt; .05 for all domains). Cohen's d interpretation: 0.20 = small, </w:t>
      </w:r>
      <w:r w:rsidR="008F7092" w:rsidRPr="00794EBB">
        <w:rPr>
          <w:rFonts w:ascii="Times New Roman" w:hAnsi="Times New Roman" w:cs="Times New Roman"/>
          <w:sz w:val="24"/>
          <w:szCs w:val="24"/>
        </w:rPr>
        <w:tab/>
      </w:r>
      <w:r w:rsidRPr="00794EBB">
        <w:rPr>
          <w:rFonts w:ascii="Times New Roman" w:hAnsi="Times New Roman" w:cs="Times New Roman"/>
          <w:sz w:val="24"/>
          <w:szCs w:val="24"/>
        </w:rPr>
        <w:t xml:space="preserve">0.50 = </w:t>
      </w:r>
      <w:r w:rsidRPr="00794EBB">
        <w:rPr>
          <w:rFonts w:ascii="Times New Roman" w:hAnsi="Times New Roman" w:cs="Times New Roman"/>
          <w:sz w:val="24"/>
          <w:szCs w:val="24"/>
        </w:rPr>
        <w:tab/>
        <w:t>medium, 0.80 = large effect size.</w:t>
      </w:r>
    </w:p>
    <w:p w14:paraId="620E826E" w14:textId="2F98BEDB" w:rsidR="00874B83" w:rsidRPr="00794EBB" w:rsidRDefault="00874B83" w:rsidP="00794EBB">
      <w:pPr>
        <w:tabs>
          <w:tab w:val="left" w:pos="993"/>
          <w:tab w:val="left" w:pos="1170"/>
        </w:tabs>
        <w:spacing w:after="240" w:line="240" w:lineRule="auto"/>
        <w:ind w:right="-14"/>
        <w:jc w:val="both"/>
        <w:rPr>
          <w:rFonts w:ascii="Times New Roman" w:hAnsi="Times New Roman" w:cs="Times New Roman"/>
          <w:b/>
          <w:bCs/>
          <w:sz w:val="28"/>
        </w:rPr>
      </w:pPr>
      <w:r w:rsidRPr="00794EBB">
        <w:rPr>
          <w:rFonts w:ascii="Times New Roman" w:hAnsi="Times New Roman" w:cs="Times New Roman"/>
          <w:b/>
          <w:bCs/>
          <w:sz w:val="28"/>
        </w:rPr>
        <w:t>DISCUSSION</w:t>
      </w:r>
    </w:p>
    <w:p w14:paraId="00DDDC81" w14:textId="0D379286" w:rsidR="00874B83" w:rsidRPr="00794EBB" w:rsidRDefault="00874B83"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High Levels of Leadership Practices Among Exemplary Principals</w:t>
      </w:r>
    </w:p>
    <w:p w14:paraId="2834F992" w14:textId="27FCE856"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finding that exemplary principal leadership practices overall were rated at high levels (M = </w:t>
      </w:r>
      <w:r w:rsidRPr="00794EBB">
        <w:rPr>
          <w:rFonts w:ascii="Times New Roman" w:hAnsi="Times New Roman" w:cs="Times New Roman"/>
          <w:sz w:val="24"/>
          <w:szCs w:val="24"/>
        </w:rPr>
        <w:tab/>
        <w:t xml:space="preserve">4.40) aligns with international research using SSLS, though scores in this study exceeded those </w:t>
      </w:r>
      <w:r w:rsidRPr="00794EBB">
        <w:rPr>
          <w:rFonts w:ascii="Times New Roman" w:hAnsi="Times New Roman" w:cs="Times New Roman"/>
          <w:sz w:val="24"/>
          <w:szCs w:val="24"/>
        </w:rPr>
        <w:tab/>
        <w:t xml:space="preserve">reported by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et al. (2023) in Texas elementary schools (M = 3.89). This difference likely </w:t>
      </w:r>
      <w:r w:rsidRPr="00794EBB">
        <w:rPr>
          <w:rFonts w:ascii="Times New Roman" w:hAnsi="Times New Roman" w:cs="Times New Roman"/>
          <w:sz w:val="24"/>
          <w:szCs w:val="24"/>
        </w:rPr>
        <w:tab/>
        <w:t xml:space="preserve">reflects the purposive selection of formally recognized exemplary principals through TBBK and </w:t>
      </w:r>
      <w:r w:rsidRPr="00794EBB">
        <w:rPr>
          <w:rFonts w:ascii="Times New Roman" w:hAnsi="Times New Roman" w:cs="Times New Roman"/>
          <w:sz w:val="24"/>
          <w:szCs w:val="24"/>
        </w:rPr>
        <w:tab/>
        <w:t xml:space="preserve">excellence awards, whereas the Texas study involved general school samples without explicit </w:t>
      </w:r>
      <w:r w:rsidRPr="00794EBB">
        <w:rPr>
          <w:rFonts w:ascii="Times New Roman" w:hAnsi="Times New Roman" w:cs="Times New Roman"/>
          <w:sz w:val="24"/>
          <w:szCs w:val="24"/>
        </w:rPr>
        <w:tab/>
        <w:t xml:space="preserve">exemplary principal selection. The finding provides supporting evidence that principals </w:t>
      </w:r>
      <w:r w:rsidRPr="00794EBB">
        <w:rPr>
          <w:rFonts w:ascii="Times New Roman" w:hAnsi="Times New Roman" w:cs="Times New Roman"/>
          <w:sz w:val="24"/>
          <w:szCs w:val="24"/>
        </w:rPr>
        <w:tab/>
        <w:t>recognized as exemplary (</w:t>
      </w:r>
      <w:proofErr w:type="spellStart"/>
      <w:r w:rsidRPr="00794EBB">
        <w:rPr>
          <w:rFonts w:ascii="Times New Roman" w:hAnsi="Times New Roman" w:cs="Times New Roman"/>
          <w:sz w:val="24"/>
          <w:szCs w:val="24"/>
        </w:rPr>
        <w:t>Pengetua</w:t>
      </w:r>
      <w:proofErr w:type="spellEnd"/>
      <w:r w:rsidRPr="00794EBB">
        <w:rPr>
          <w:rFonts w:ascii="Times New Roman" w:hAnsi="Times New Roman" w:cs="Times New Roman"/>
          <w:sz w:val="24"/>
          <w:szCs w:val="24"/>
        </w:rPr>
        <w:t xml:space="preserve"> Cemerlang) through Malaysia's merit-based promotion system </w:t>
      </w:r>
      <w:r w:rsidRPr="00794EBB">
        <w:rPr>
          <w:rFonts w:ascii="Times New Roman" w:hAnsi="Times New Roman" w:cs="Times New Roman"/>
          <w:sz w:val="24"/>
          <w:szCs w:val="24"/>
        </w:rPr>
        <w:tab/>
        <w:t>demonstrate strong leadership practices as perceived by their teachers.</w:t>
      </w:r>
    </w:p>
    <w:p w14:paraId="3E31EDED" w14:textId="7978C210"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Setting Directions emerged as the highest-rated domain (M = 4.46), consistent with </w:t>
      </w:r>
      <w:r w:rsidRPr="00794EBB">
        <w:rPr>
          <w:rFonts w:ascii="Times New Roman" w:hAnsi="Times New Roman" w:cs="Times New Roman"/>
          <w:sz w:val="24"/>
          <w:szCs w:val="24"/>
        </w:rPr>
        <w:tab/>
        <w:t xml:space="preserve">international literature emphasizing that effective principals prioritize articulating clear vision, </w:t>
      </w:r>
      <w:r w:rsidRPr="00794EBB">
        <w:rPr>
          <w:rFonts w:ascii="Times New Roman" w:hAnsi="Times New Roman" w:cs="Times New Roman"/>
          <w:sz w:val="24"/>
          <w:szCs w:val="24"/>
        </w:rPr>
        <w:tab/>
        <w:t xml:space="preserve">communicating high expectations, and providing organizational direction as foundational </w:t>
      </w:r>
      <w:r w:rsidRPr="00794EBB">
        <w:rPr>
          <w:rFonts w:ascii="Times New Roman" w:hAnsi="Times New Roman" w:cs="Times New Roman"/>
          <w:sz w:val="24"/>
          <w:szCs w:val="24"/>
        </w:rPr>
        <w:tab/>
        <w:t xml:space="preserve">leadership mechanisms (Hallinger, 2018; Robinson et al., 2008). This pattern mirrors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w:t>
      </w:r>
      <w:r w:rsidRPr="00794EBB">
        <w:rPr>
          <w:rFonts w:ascii="Times New Roman" w:hAnsi="Times New Roman" w:cs="Times New Roman"/>
          <w:sz w:val="24"/>
          <w:szCs w:val="24"/>
        </w:rPr>
        <w:tab/>
        <w:t xml:space="preserve">et al.'s (2023) original findings where Setting Directions also received the highest ratings (M = </w:t>
      </w:r>
      <w:r w:rsidRPr="00794EBB">
        <w:rPr>
          <w:rFonts w:ascii="Times New Roman" w:hAnsi="Times New Roman" w:cs="Times New Roman"/>
          <w:sz w:val="24"/>
          <w:szCs w:val="24"/>
        </w:rPr>
        <w:tab/>
        <w:t xml:space="preserve">3.99). The consistency across cultural contexts suggests this domain represents a universal priority </w:t>
      </w:r>
      <w:r w:rsidRPr="00794EBB">
        <w:rPr>
          <w:rFonts w:ascii="Times New Roman" w:hAnsi="Times New Roman" w:cs="Times New Roman"/>
          <w:sz w:val="24"/>
          <w:szCs w:val="24"/>
        </w:rPr>
        <w:tab/>
        <w:t xml:space="preserve">for exemplary educational leadership. In the Malaysian policy context, emphasis on vision and </w:t>
      </w:r>
      <w:r w:rsidRPr="00794EBB">
        <w:rPr>
          <w:rFonts w:ascii="Times New Roman" w:hAnsi="Times New Roman" w:cs="Times New Roman"/>
          <w:sz w:val="24"/>
          <w:szCs w:val="24"/>
        </w:rPr>
        <w:tab/>
        <w:t xml:space="preserve">direction aligns well with PPPM 2013–2025 priorities emphasizing achievement-focused </w:t>
      </w:r>
      <w:r w:rsidRPr="00794EBB">
        <w:rPr>
          <w:rFonts w:ascii="Times New Roman" w:hAnsi="Times New Roman" w:cs="Times New Roman"/>
          <w:sz w:val="24"/>
          <w:szCs w:val="24"/>
        </w:rPr>
        <w:tab/>
        <w:t>leadership and organizational accountability (Ministry of Education Malaysia, 2013).</w:t>
      </w:r>
    </w:p>
    <w:p w14:paraId="401383BA" w14:textId="7B8515BC"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Improving the Instructional Program, while remaining at high levels overall, recorded relatively </w:t>
      </w:r>
      <w:r w:rsidRPr="00794EBB">
        <w:rPr>
          <w:rFonts w:ascii="Times New Roman" w:hAnsi="Times New Roman" w:cs="Times New Roman"/>
          <w:sz w:val="24"/>
          <w:szCs w:val="24"/>
        </w:rPr>
        <w:tab/>
        <w:t xml:space="preserve">lower scores (M = 4.33). This pattern echoes findings from Lazaridou and Iordanidis' (2011) Greek </w:t>
      </w:r>
      <w:r w:rsidRPr="00794EBB">
        <w:rPr>
          <w:rFonts w:ascii="Times New Roman" w:hAnsi="Times New Roman" w:cs="Times New Roman"/>
          <w:sz w:val="24"/>
          <w:szCs w:val="24"/>
        </w:rPr>
        <w:tab/>
        <w:t xml:space="preserve">study and may reflect inherent tensions between intensive instructional leadership demands and </w:t>
      </w:r>
      <w:r w:rsidRPr="00794EBB">
        <w:rPr>
          <w:rFonts w:ascii="Times New Roman" w:hAnsi="Times New Roman" w:cs="Times New Roman"/>
          <w:sz w:val="24"/>
          <w:szCs w:val="24"/>
        </w:rPr>
        <w:tab/>
        <w:t xml:space="preserve">competing time pressures from extensive administrative, reporting, and compliance </w:t>
      </w:r>
      <w:r w:rsidRPr="00794EBB">
        <w:rPr>
          <w:rFonts w:ascii="Times New Roman" w:hAnsi="Times New Roman" w:cs="Times New Roman"/>
          <w:sz w:val="24"/>
          <w:szCs w:val="24"/>
        </w:rPr>
        <w:tab/>
        <w:t xml:space="preserve">responsibilities that burden Malaysian principals (Bush, 2021). Despite Malaysia's policy </w:t>
      </w:r>
      <w:r w:rsidRPr="00794EBB">
        <w:rPr>
          <w:rFonts w:ascii="Times New Roman" w:hAnsi="Times New Roman" w:cs="Times New Roman"/>
          <w:sz w:val="24"/>
          <w:szCs w:val="24"/>
        </w:rPr>
        <w:tab/>
        <w:t xml:space="preserve">emphasis on principals as instructional leaders, structural and systemic constraints may limit the </w:t>
      </w:r>
      <w:r w:rsidRPr="00794EBB">
        <w:rPr>
          <w:rFonts w:ascii="Times New Roman" w:hAnsi="Times New Roman" w:cs="Times New Roman"/>
          <w:sz w:val="24"/>
          <w:szCs w:val="24"/>
        </w:rPr>
        <w:tab/>
        <w:t xml:space="preserve">time and attention even exemplary principals can devote to directly observing teaching, providing </w:t>
      </w:r>
      <w:r w:rsidRPr="00794EBB">
        <w:rPr>
          <w:rFonts w:ascii="Times New Roman" w:hAnsi="Times New Roman" w:cs="Times New Roman"/>
          <w:sz w:val="24"/>
          <w:szCs w:val="24"/>
        </w:rPr>
        <w:tab/>
        <w:t>feedback, and supporting pedagogical improvement.</w:t>
      </w:r>
    </w:p>
    <w:p w14:paraId="2AB9FE94" w14:textId="7D7E8F1A" w:rsidR="00874B83" w:rsidRPr="00794EBB" w:rsidRDefault="00874B83"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 xml:space="preserve">Psychometric </w:t>
      </w:r>
      <w:r w:rsidR="00F7717B" w:rsidRPr="00794EBB">
        <w:rPr>
          <w:rFonts w:ascii="Times New Roman" w:hAnsi="Times New Roman" w:cs="Times New Roman"/>
          <w:b/>
          <w:bCs/>
          <w:sz w:val="24"/>
          <w:szCs w:val="24"/>
        </w:rPr>
        <w:t>Evidence of SSLS in Malaysian Context</w:t>
      </w:r>
    </w:p>
    <w:p w14:paraId="09FD8182" w14:textId="7B44D379"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excellent internal consistency reliability (α = .977) closely matches findings from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xml:space="preserve"> </w:t>
      </w:r>
      <w:r w:rsidRPr="00794EBB">
        <w:rPr>
          <w:rFonts w:ascii="Times New Roman" w:hAnsi="Times New Roman" w:cs="Times New Roman"/>
          <w:sz w:val="24"/>
          <w:szCs w:val="24"/>
        </w:rPr>
        <w:tab/>
        <w:t xml:space="preserve">et al. (2023) in Texas (α = .91–.99) and translated Chinese versions (α ≈ .98), providing evidence </w:t>
      </w:r>
      <w:r w:rsidRPr="00794EBB">
        <w:rPr>
          <w:rFonts w:ascii="Times New Roman" w:hAnsi="Times New Roman" w:cs="Times New Roman"/>
          <w:sz w:val="24"/>
          <w:szCs w:val="24"/>
        </w:rPr>
        <w:tab/>
        <w:t xml:space="preserve">that SSLS functions reliably in Pahang secondary school contexts. All four domain-level alphas </w:t>
      </w:r>
      <w:r w:rsidRPr="00794EBB">
        <w:rPr>
          <w:rFonts w:ascii="Times New Roman" w:hAnsi="Times New Roman" w:cs="Times New Roman"/>
          <w:sz w:val="24"/>
          <w:szCs w:val="24"/>
        </w:rPr>
        <w:tab/>
        <w:t xml:space="preserve">exceeded the .90 threshold for excellent reliability, surpassing Nunnally and Bernstein's (1994) </w:t>
      </w:r>
      <w:r w:rsidRPr="00794EBB">
        <w:rPr>
          <w:rFonts w:ascii="Times New Roman" w:hAnsi="Times New Roman" w:cs="Times New Roman"/>
          <w:sz w:val="24"/>
          <w:szCs w:val="24"/>
        </w:rPr>
        <w:tab/>
        <w:t>recommended standards.</w:t>
      </w:r>
    </w:p>
    <w:p w14:paraId="0C3926B5" w14:textId="1BBA6A93"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These results support the concept of validity generalization for the SSL framework across </w:t>
      </w:r>
      <w:r w:rsidRPr="00794EBB">
        <w:rPr>
          <w:rFonts w:ascii="Times New Roman" w:hAnsi="Times New Roman" w:cs="Times New Roman"/>
          <w:sz w:val="24"/>
          <w:szCs w:val="24"/>
        </w:rPr>
        <w:tab/>
        <w:t xml:space="preserve">diverse cultural contexts and add evidence that leadership instruments developed through </w:t>
      </w:r>
      <w:r w:rsidRPr="00794EBB">
        <w:rPr>
          <w:rFonts w:ascii="Times New Roman" w:hAnsi="Times New Roman" w:cs="Times New Roman"/>
          <w:sz w:val="24"/>
          <w:szCs w:val="24"/>
        </w:rPr>
        <w:tab/>
        <w:t xml:space="preserve">international research synthesis can function effectively in Southeast Asian educational settings </w:t>
      </w:r>
      <w:r w:rsidRPr="00794EBB">
        <w:rPr>
          <w:rFonts w:ascii="Times New Roman" w:hAnsi="Times New Roman" w:cs="Times New Roman"/>
          <w:sz w:val="24"/>
          <w:szCs w:val="24"/>
        </w:rPr>
        <w:tab/>
        <w:t xml:space="preserve">when appropriate translation and </w:t>
      </w:r>
      <w:r w:rsidRPr="00794EBB">
        <w:rPr>
          <w:rFonts w:ascii="Times New Roman" w:hAnsi="Times New Roman" w:cs="Times New Roman"/>
          <w:sz w:val="24"/>
          <w:szCs w:val="24"/>
        </w:rPr>
        <w:lastRenderedPageBreak/>
        <w:t xml:space="preserve">cultural adaptation procedures are followed. This study </w:t>
      </w:r>
      <w:r w:rsidRPr="00794EBB">
        <w:rPr>
          <w:rFonts w:ascii="Times New Roman" w:hAnsi="Times New Roman" w:cs="Times New Roman"/>
          <w:sz w:val="24"/>
          <w:szCs w:val="24"/>
        </w:rPr>
        <w:tab/>
        <w:t xml:space="preserve">represents among the first published reliability studies of SSLS in Malaysian contexts, establishing </w:t>
      </w:r>
      <w:r w:rsidRPr="00794EBB">
        <w:rPr>
          <w:rFonts w:ascii="Times New Roman" w:hAnsi="Times New Roman" w:cs="Times New Roman"/>
          <w:sz w:val="24"/>
          <w:szCs w:val="24"/>
        </w:rPr>
        <w:tab/>
        <w:t>a foundation for broader research use.</w:t>
      </w:r>
    </w:p>
    <w:p w14:paraId="6152E1CA" w14:textId="59973C81" w:rsidR="00874B83" w:rsidRPr="00794EBB" w:rsidRDefault="00874B83" w:rsidP="00794EBB">
      <w:pPr>
        <w:tabs>
          <w:tab w:val="left" w:pos="993"/>
          <w:tab w:val="left" w:pos="1170"/>
        </w:tabs>
        <w:spacing w:after="240" w:line="240" w:lineRule="auto"/>
        <w:ind w:right="-14"/>
        <w:jc w:val="both"/>
        <w:rPr>
          <w:rFonts w:ascii="Times New Roman" w:hAnsi="Times New Roman" w:cs="Times New Roman"/>
          <w:b/>
          <w:bCs/>
          <w:sz w:val="24"/>
          <w:szCs w:val="24"/>
        </w:rPr>
      </w:pPr>
      <w:r w:rsidRPr="00794EBB">
        <w:rPr>
          <w:rFonts w:ascii="Times New Roman" w:hAnsi="Times New Roman" w:cs="Times New Roman"/>
          <w:b/>
          <w:bCs/>
          <w:sz w:val="24"/>
          <w:szCs w:val="24"/>
        </w:rPr>
        <w:t>Rural Leadership Excellence: Challenging Deficit Assumptions</w:t>
      </w:r>
    </w:p>
    <w:p w14:paraId="05486CCA" w14:textId="7F046514" w:rsidR="00874B83"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finding that rural schoolteachers reported significantly higher perceptions across all leadership domains (p &lt; .001, d = 0.70–0.86) represents this study's most striking contribution. This pattern </w:t>
      </w:r>
      <w:r w:rsidRPr="00794EBB">
        <w:rPr>
          <w:rFonts w:ascii="Times New Roman" w:hAnsi="Times New Roman" w:cs="Times New Roman"/>
          <w:sz w:val="24"/>
          <w:szCs w:val="24"/>
        </w:rPr>
        <w:tab/>
        <w:t xml:space="preserve">challenges deficit-oriented assumptions that urban schools with superior resource access and </w:t>
      </w:r>
      <w:r w:rsidRPr="00794EBB">
        <w:rPr>
          <w:rFonts w:ascii="Times New Roman" w:hAnsi="Times New Roman" w:cs="Times New Roman"/>
          <w:sz w:val="24"/>
          <w:szCs w:val="24"/>
        </w:rPr>
        <w:tab/>
        <w:t xml:space="preserve">professional development opportunities would demonstrate more effective leadership, even among </w:t>
      </w:r>
      <w:r w:rsidRPr="00794EBB">
        <w:rPr>
          <w:rFonts w:ascii="Times New Roman" w:hAnsi="Times New Roman" w:cs="Times New Roman"/>
          <w:sz w:val="24"/>
          <w:szCs w:val="24"/>
        </w:rPr>
        <w:tab/>
        <w:t>formally recognized exemplary principals. Several interconnected factors may explain this pattern.</w:t>
      </w:r>
    </w:p>
    <w:p w14:paraId="49E9E4D9" w14:textId="21C7549F"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First, school size and relationship intimacy effects likely play important roles. Smaller rural </w:t>
      </w:r>
      <w:r w:rsidRPr="00794EBB">
        <w:rPr>
          <w:rFonts w:ascii="Times New Roman" w:hAnsi="Times New Roman" w:cs="Times New Roman"/>
          <w:sz w:val="24"/>
          <w:szCs w:val="24"/>
        </w:rPr>
        <w:tab/>
        <w:t xml:space="preserve">schools (School C ≈ 500 students) compared to larger urban schools (School A ≈ 800; School B ≈ </w:t>
      </w:r>
      <w:r w:rsidRPr="00794EBB">
        <w:rPr>
          <w:rFonts w:ascii="Times New Roman" w:hAnsi="Times New Roman" w:cs="Times New Roman"/>
          <w:sz w:val="24"/>
          <w:szCs w:val="24"/>
        </w:rPr>
        <w:tab/>
        <w:t xml:space="preserve">700) enable principals to develop deeper personal relationships with individual teachers through </w:t>
      </w:r>
      <w:r w:rsidRPr="00794EBB">
        <w:rPr>
          <w:rFonts w:ascii="Times New Roman" w:hAnsi="Times New Roman" w:cs="Times New Roman"/>
          <w:sz w:val="24"/>
          <w:szCs w:val="24"/>
        </w:rPr>
        <w:tab/>
        <w:t xml:space="preserve">more frequent meaningful interactions. Relational leadership theory emphasizes relationship </w:t>
      </w:r>
      <w:r w:rsidRPr="00794EBB">
        <w:rPr>
          <w:rFonts w:ascii="Times New Roman" w:hAnsi="Times New Roman" w:cs="Times New Roman"/>
          <w:sz w:val="24"/>
          <w:szCs w:val="24"/>
        </w:rPr>
        <w:tab/>
        <w:t xml:space="preserve">quality between leaders and followers as foundational to leadership effectiveness (Uhl-Bien, </w:t>
      </w:r>
      <w:r w:rsidRPr="00794EBB">
        <w:rPr>
          <w:rFonts w:ascii="Times New Roman" w:hAnsi="Times New Roman" w:cs="Times New Roman"/>
          <w:sz w:val="24"/>
          <w:szCs w:val="24"/>
        </w:rPr>
        <w:tab/>
        <w:t xml:space="preserve">2006). In smaller schools, teachers may experience more direct interactions with the principal, </w:t>
      </w:r>
      <w:r w:rsidRPr="00794EBB">
        <w:rPr>
          <w:rFonts w:ascii="Times New Roman" w:hAnsi="Times New Roman" w:cs="Times New Roman"/>
          <w:sz w:val="24"/>
          <w:szCs w:val="24"/>
        </w:rPr>
        <w:tab/>
        <w:t xml:space="preserve">which can enhance perceived support and trust. This may particularly elevate ratings for Building </w:t>
      </w:r>
      <w:r w:rsidRPr="00794EBB">
        <w:rPr>
          <w:rFonts w:ascii="Times New Roman" w:hAnsi="Times New Roman" w:cs="Times New Roman"/>
          <w:sz w:val="24"/>
          <w:szCs w:val="24"/>
        </w:rPr>
        <w:tab/>
        <w:t>Relationships and Developing People (d = 0.84).</w:t>
      </w:r>
    </w:p>
    <w:p w14:paraId="00E0D89E" w14:textId="40D27356"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Second, comparative reference point theory suggests teachers' leadership evaluations depend </w:t>
      </w:r>
      <w:r w:rsidRPr="00794EBB">
        <w:rPr>
          <w:rFonts w:ascii="Times New Roman" w:hAnsi="Times New Roman" w:cs="Times New Roman"/>
          <w:sz w:val="24"/>
          <w:szCs w:val="24"/>
        </w:rPr>
        <w:tab/>
        <w:t xml:space="preserve">partly on comparison standards shaped by local contexts (Marsh &amp; Hau, 2003). In resource-limited </w:t>
      </w:r>
      <w:r w:rsidRPr="00794EBB">
        <w:rPr>
          <w:rFonts w:ascii="Times New Roman" w:hAnsi="Times New Roman" w:cs="Times New Roman"/>
          <w:sz w:val="24"/>
          <w:szCs w:val="24"/>
        </w:rPr>
        <w:tab/>
        <w:t xml:space="preserve">rural settings, exemplary principals' efforts to secure teaching materials, arrange professional </w:t>
      </w:r>
      <w:r w:rsidRPr="00794EBB">
        <w:rPr>
          <w:rFonts w:ascii="Times New Roman" w:hAnsi="Times New Roman" w:cs="Times New Roman"/>
          <w:sz w:val="24"/>
          <w:szCs w:val="24"/>
        </w:rPr>
        <w:tab/>
        <w:t xml:space="preserve">development despite geographical barriers, or improve facilities may be perceived as especially </w:t>
      </w:r>
      <w:r w:rsidRPr="00794EBB">
        <w:rPr>
          <w:rFonts w:ascii="Times New Roman" w:hAnsi="Times New Roman" w:cs="Times New Roman"/>
          <w:sz w:val="24"/>
          <w:szCs w:val="24"/>
        </w:rPr>
        <w:tab/>
        <w:t xml:space="preserve">effective compared to local expectations, whereas similar efforts by urban exemplary principals in </w:t>
      </w:r>
      <w:r w:rsidRPr="00794EBB">
        <w:rPr>
          <w:rFonts w:ascii="Times New Roman" w:hAnsi="Times New Roman" w:cs="Times New Roman"/>
          <w:sz w:val="24"/>
          <w:szCs w:val="24"/>
        </w:rPr>
        <w:tab/>
        <w:t>well-resourced schools may be viewed as routine.</w:t>
      </w:r>
    </w:p>
    <w:p w14:paraId="11FA8EC7" w14:textId="5792202D"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Third, the specific rural exemplary principal in this study (School C) may demonstrate </w:t>
      </w:r>
      <w:r w:rsidRPr="00794EBB">
        <w:rPr>
          <w:rFonts w:ascii="Times New Roman" w:hAnsi="Times New Roman" w:cs="Times New Roman"/>
          <w:sz w:val="24"/>
          <w:szCs w:val="24"/>
        </w:rPr>
        <w:tab/>
        <w:t xml:space="preserve">leadership practices well-suited to rural contexts. Qualitative case study research would be </w:t>
      </w:r>
      <w:r w:rsidRPr="00794EBB">
        <w:rPr>
          <w:rFonts w:ascii="Times New Roman" w:hAnsi="Times New Roman" w:cs="Times New Roman"/>
          <w:sz w:val="24"/>
          <w:szCs w:val="24"/>
        </w:rPr>
        <w:tab/>
        <w:t xml:space="preserve">valuable to identify specific strategies, daily practices, and leadership adaptations employed. </w:t>
      </w:r>
      <w:r w:rsidRPr="00794EBB">
        <w:rPr>
          <w:rFonts w:ascii="Times New Roman" w:hAnsi="Times New Roman" w:cs="Times New Roman"/>
          <w:sz w:val="24"/>
          <w:szCs w:val="24"/>
        </w:rPr>
        <w:tab/>
        <w:t xml:space="preserve">Exemplary rural principals may excel at fostering strong community partnerships, operating with </w:t>
      </w:r>
      <w:r w:rsidRPr="00794EBB">
        <w:rPr>
          <w:rFonts w:ascii="Times New Roman" w:hAnsi="Times New Roman" w:cs="Times New Roman"/>
          <w:sz w:val="24"/>
          <w:szCs w:val="24"/>
        </w:rPr>
        <w:tab/>
        <w:t xml:space="preserve">greater autonomy and flexibility, adapting through informal decision-making structures, and </w:t>
      </w:r>
      <w:r w:rsidRPr="00794EBB">
        <w:rPr>
          <w:rFonts w:ascii="Times New Roman" w:hAnsi="Times New Roman" w:cs="Times New Roman"/>
          <w:sz w:val="24"/>
          <w:szCs w:val="24"/>
        </w:rPr>
        <w:tab/>
        <w:t>building cohesive professional communities through necessity-driven collaboration.</w:t>
      </w:r>
    </w:p>
    <w:p w14:paraId="3E938C7F" w14:textId="616D2972"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Fourth, rural schools may benefit from reduced bureaucratic constraints compared to higher-</w:t>
      </w:r>
      <w:r w:rsidRPr="00794EBB">
        <w:rPr>
          <w:rFonts w:ascii="Times New Roman" w:hAnsi="Times New Roman" w:cs="Times New Roman"/>
          <w:sz w:val="24"/>
          <w:szCs w:val="24"/>
        </w:rPr>
        <w:tab/>
        <w:t xml:space="preserve">profile urban schools subject to intensive monitoring and compliance expectations. Greater </w:t>
      </w:r>
      <w:r w:rsidRPr="00794EBB">
        <w:rPr>
          <w:rFonts w:ascii="Times New Roman" w:hAnsi="Times New Roman" w:cs="Times New Roman"/>
          <w:sz w:val="24"/>
          <w:szCs w:val="24"/>
        </w:rPr>
        <w:tab/>
        <w:t xml:space="preserve">autonomy may enable innovation and responsive adaptation to local needs, contributing to stronger </w:t>
      </w:r>
      <w:r w:rsidRPr="00794EBB">
        <w:rPr>
          <w:rFonts w:ascii="Times New Roman" w:hAnsi="Times New Roman" w:cs="Times New Roman"/>
          <w:sz w:val="24"/>
          <w:szCs w:val="24"/>
        </w:rPr>
        <w:tab/>
        <w:t>perceived leadership (</w:t>
      </w:r>
      <w:proofErr w:type="spellStart"/>
      <w:r w:rsidRPr="00794EBB">
        <w:rPr>
          <w:rFonts w:ascii="Times New Roman" w:hAnsi="Times New Roman" w:cs="Times New Roman"/>
          <w:sz w:val="24"/>
          <w:szCs w:val="24"/>
        </w:rPr>
        <w:t>Leithwood</w:t>
      </w:r>
      <w:proofErr w:type="spellEnd"/>
      <w:r w:rsidRPr="00794EBB">
        <w:rPr>
          <w:rFonts w:ascii="Times New Roman" w:hAnsi="Times New Roman" w:cs="Times New Roman"/>
          <w:sz w:val="24"/>
          <w:szCs w:val="24"/>
        </w:rPr>
        <w:t>, 2021).</w:t>
      </w:r>
    </w:p>
    <w:p w14:paraId="3BD89B3E" w14:textId="17A92267"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The largest urban–rural difference emerged for Improving the Instructional Program (d = 0.86), </w:t>
      </w:r>
      <w:r w:rsidRPr="00794EBB">
        <w:rPr>
          <w:rFonts w:ascii="Times New Roman" w:hAnsi="Times New Roman" w:cs="Times New Roman"/>
          <w:sz w:val="24"/>
          <w:szCs w:val="24"/>
        </w:rPr>
        <w:tab/>
        <w:t xml:space="preserve">suggesting exemplary rural principals may invest more time in classroom observation, </w:t>
      </w:r>
      <w:r w:rsidRPr="00794EBB">
        <w:rPr>
          <w:rFonts w:ascii="Times New Roman" w:hAnsi="Times New Roman" w:cs="Times New Roman"/>
          <w:sz w:val="24"/>
          <w:szCs w:val="24"/>
        </w:rPr>
        <w:tab/>
        <w:t xml:space="preserve">instructional feedback, and pedagogical support compared to their urban counterparts. However, </w:t>
      </w:r>
      <w:r w:rsidRPr="00794EBB">
        <w:rPr>
          <w:rFonts w:ascii="Times New Roman" w:hAnsi="Times New Roman" w:cs="Times New Roman"/>
          <w:sz w:val="24"/>
          <w:szCs w:val="24"/>
        </w:rPr>
        <w:tab/>
        <w:t xml:space="preserve">given that only one rural school was included, replication across multiple rural contexts is </w:t>
      </w:r>
      <w:r w:rsidRPr="00794EBB">
        <w:rPr>
          <w:rFonts w:ascii="Times New Roman" w:hAnsi="Times New Roman" w:cs="Times New Roman"/>
          <w:sz w:val="24"/>
          <w:szCs w:val="24"/>
        </w:rPr>
        <w:tab/>
        <w:t>necessary before drawing broader conclusions.</w:t>
      </w:r>
    </w:p>
    <w:p w14:paraId="0DCADB3C" w14:textId="7BEBFBE3" w:rsidR="00874B83" w:rsidRPr="00794EBB" w:rsidRDefault="00874B83" w:rsidP="00794EBB">
      <w:pPr>
        <w:tabs>
          <w:tab w:val="left" w:pos="993"/>
          <w:tab w:val="left" w:pos="1170"/>
        </w:tabs>
        <w:spacing w:after="240" w:line="240" w:lineRule="auto"/>
        <w:ind w:right="-14"/>
        <w:jc w:val="both"/>
        <w:rPr>
          <w:rFonts w:ascii="Times New Roman" w:hAnsi="Times New Roman" w:cs="Times New Roman"/>
          <w:b/>
          <w:bCs/>
          <w:sz w:val="28"/>
        </w:rPr>
      </w:pPr>
      <w:r w:rsidRPr="00794EBB">
        <w:rPr>
          <w:rFonts w:ascii="Times New Roman" w:hAnsi="Times New Roman" w:cs="Times New Roman"/>
          <w:b/>
          <w:bCs/>
          <w:sz w:val="28"/>
        </w:rPr>
        <w:t>CONCLUSION</w:t>
      </w:r>
    </w:p>
    <w:p w14:paraId="1CCC72FD" w14:textId="272B2CED"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This study provides strong preliminary reliability evidence supporting the suitability of SSLS (α </w:t>
      </w:r>
      <w:r w:rsidRPr="00794EBB">
        <w:rPr>
          <w:rFonts w:ascii="Times New Roman" w:hAnsi="Times New Roman" w:cs="Times New Roman"/>
          <w:sz w:val="24"/>
          <w:szCs w:val="24"/>
        </w:rPr>
        <w:tab/>
        <w:t xml:space="preserve">= .977) for measuring exemplary principal leadership practices in Malaysian secondary school </w:t>
      </w:r>
      <w:r w:rsidRPr="00794EBB">
        <w:rPr>
          <w:rFonts w:ascii="Times New Roman" w:hAnsi="Times New Roman" w:cs="Times New Roman"/>
          <w:sz w:val="24"/>
          <w:szCs w:val="24"/>
        </w:rPr>
        <w:tab/>
        <w:t xml:space="preserve">contexts, supporting its use in future research, programme evaluation, and leadership assessment. </w:t>
      </w:r>
      <w:r w:rsidRPr="00794EBB">
        <w:rPr>
          <w:rFonts w:ascii="Times New Roman" w:hAnsi="Times New Roman" w:cs="Times New Roman"/>
          <w:sz w:val="24"/>
          <w:szCs w:val="24"/>
        </w:rPr>
        <w:tab/>
        <w:t xml:space="preserve">Findings suggest that internationally developed leadership frameworks such as SSL can function </w:t>
      </w:r>
      <w:r w:rsidRPr="00794EBB">
        <w:rPr>
          <w:rFonts w:ascii="Times New Roman" w:hAnsi="Times New Roman" w:cs="Times New Roman"/>
          <w:sz w:val="24"/>
          <w:szCs w:val="24"/>
        </w:rPr>
        <w:tab/>
        <w:t xml:space="preserve">effectively in Malaysian contexts when appropriately adapted. Exemplary principals in Pahang </w:t>
      </w:r>
      <w:r w:rsidRPr="00794EBB">
        <w:rPr>
          <w:rFonts w:ascii="Times New Roman" w:hAnsi="Times New Roman" w:cs="Times New Roman"/>
          <w:sz w:val="24"/>
          <w:szCs w:val="24"/>
        </w:rPr>
        <w:tab/>
        <w:t xml:space="preserve">demonstrate leadership practices at high levels across all SSL domains, with Setting Directions </w:t>
      </w:r>
      <w:r w:rsidRPr="00794EBB">
        <w:rPr>
          <w:rFonts w:ascii="Times New Roman" w:hAnsi="Times New Roman" w:cs="Times New Roman"/>
          <w:sz w:val="24"/>
          <w:szCs w:val="24"/>
        </w:rPr>
        <w:tab/>
        <w:t xml:space="preserve">receiving the highest ratings, consistent with international patterns and supporting Malaysia's </w:t>
      </w:r>
      <w:r w:rsidRPr="00794EBB">
        <w:rPr>
          <w:rFonts w:ascii="Times New Roman" w:hAnsi="Times New Roman" w:cs="Times New Roman"/>
          <w:sz w:val="24"/>
          <w:szCs w:val="24"/>
        </w:rPr>
        <w:tab/>
        <w:t>formal exemplary principal recognition system.</w:t>
      </w:r>
    </w:p>
    <w:p w14:paraId="7561EDC7" w14:textId="6D069546"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Most significantly, this study revealed substantial urban–rural differences with large effect sizes </w:t>
      </w:r>
      <w:r w:rsidRPr="00794EBB">
        <w:rPr>
          <w:rFonts w:ascii="Times New Roman" w:hAnsi="Times New Roman" w:cs="Times New Roman"/>
          <w:sz w:val="24"/>
          <w:szCs w:val="24"/>
        </w:rPr>
        <w:tab/>
        <w:t xml:space="preserve">(d = 0.70–0.86) favouring rural contexts, challenging deficit assumptions about rural education </w:t>
      </w:r>
      <w:r w:rsidRPr="00794EBB">
        <w:rPr>
          <w:rFonts w:ascii="Times New Roman" w:hAnsi="Times New Roman" w:cs="Times New Roman"/>
          <w:sz w:val="24"/>
          <w:szCs w:val="24"/>
        </w:rPr>
        <w:tab/>
        <w:t xml:space="preserve">and demonstrating that exemplary leadership can be perceived as strong in diverse settings. This </w:t>
      </w:r>
      <w:r w:rsidRPr="00794EBB">
        <w:rPr>
          <w:rFonts w:ascii="Times New Roman" w:hAnsi="Times New Roman" w:cs="Times New Roman"/>
          <w:sz w:val="24"/>
          <w:szCs w:val="24"/>
        </w:rPr>
        <w:tab/>
        <w:t xml:space="preserve">finding opens important research directions regarding contextual factors enabling rural exemplary </w:t>
      </w:r>
      <w:r w:rsidRPr="00794EBB">
        <w:rPr>
          <w:rFonts w:ascii="Times New Roman" w:hAnsi="Times New Roman" w:cs="Times New Roman"/>
          <w:sz w:val="24"/>
          <w:szCs w:val="24"/>
        </w:rPr>
        <w:tab/>
        <w:t>leadership success.</w:t>
      </w:r>
    </w:p>
    <w:p w14:paraId="0331ADC6" w14:textId="32651A11" w:rsidR="00F7717B"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lastRenderedPageBreak/>
        <w:t>Future research recommendations include: (</w:t>
      </w:r>
      <w:proofErr w:type="spellStart"/>
      <w:r w:rsidRPr="00794EBB">
        <w:rPr>
          <w:rFonts w:ascii="Times New Roman" w:hAnsi="Times New Roman" w:cs="Times New Roman"/>
          <w:sz w:val="24"/>
          <w:szCs w:val="24"/>
        </w:rPr>
        <w:t>i</w:t>
      </w:r>
      <w:proofErr w:type="spellEnd"/>
      <w:r w:rsidRPr="00794EBB">
        <w:rPr>
          <w:rFonts w:ascii="Times New Roman" w:hAnsi="Times New Roman" w:cs="Times New Roman"/>
          <w:sz w:val="24"/>
          <w:szCs w:val="24"/>
        </w:rPr>
        <w:t xml:space="preserve">) large-scale multi-state studies with random </w:t>
      </w:r>
      <w:r w:rsidRPr="00794EBB">
        <w:rPr>
          <w:rFonts w:ascii="Times New Roman" w:hAnsi="Times New Roman" w:cs="Times New Roman"/>
          <w:sz w:val="24"/>
          <w:szCs w:val="24"/>
        </w:rPr>
        <w:tab/>
        <w:t xml:space="preserve">sampling to enable national generalization; (ii) multiple-rater approaches incorporating principal </w:t>
      </w:r>
      <w:r w:rsidRPr="00794EBB">
        <w:rPr>
          <w:rFonts w:ascii="Times New Roman" w:hAnsi="Times New Roman" w:cs="Times New Roman"/>
          <w:sz w:val="24"/>
          <w:szCs w:val="24"/>
        </w:rPr>
        <w:tab/>
        <w:t xml:space="preserve">self-assessment, student perceptions, and parent perspectives for comprehensive triangulation; (iii) </w:t>
      </w:r>
      <w:r w:rsidRPr="00794EBB">
        <w:rPr>
          <w:rFonts w:ascii="Times New Roman" w:hAnsi="Times New Roman" w:cs="Times New Roman"/>
          <w:sz w:val="24"/>
          <w:szCs w:val="24"/>
        </w:rPr>
        <w:tab/>
        <w:t xml:space="preserve">longitudinal designs tracking leadership development trajectories and linking changes in </w:t>
      </w:r>
      <w:r w:rsidRPr="00794EBB">
        <w:rPr>
          <w:rFonts w:ascii="Times New Roman" w:hAnsi="Times New Roman" w:cs="Times New Roman"/>
          <w:sz w:val="24"/>
          <w:szCs w:val="24"/>
        </w:rPr>
        <w:tab/>
        <w:t xml:space="preserve">leadership practices to changes in school outcomes; (iv) comprehensive Four Paths Model testing using structural equation modelling to examine indirect effects through mediating variables; (v) </w:t>
      </w:r>
      <w:r w:rsidRPr="00794EBB">
        <w:rPr>
          <w:rFonts w:ascii="Times New Roman" w:hAnsi="Times New Roman" w:cs="Times New Roman"/>
          <w:sz w:val="24"/>
          <w:szCs w:val="24"/>
        </w:rPr>
        <w:tab/>
        <w:t xml:space="preserve">comparative studies of exemplary versus typical principals to identify differentiating practices that </w:t>
      </w:r>
      <w:r w:rsidRPr="00794EBB">
        <w:rPr>
          <w:rFonts w:ascii="Times New Roman" w:hAnsi="Times New Roman" w:cs="Times New Roman"/>
          <w:sz w:val="24"/>
          <w:szCs w:val="24"/>
        </w:rPr>
        <w:tab/>
        <w:t xml:space="preserve">distinguish excellence; and (vi) in-depth qualitative case studies of exemplary rural principals to </w:t>
      </w:r>
      <w:r w:rsidRPr="00794EBB">
        <w:rPr>
          <w:rFonts w:ascii="Times New Roman" w:hAnsi="Times New Roman" w:cs="Times New Roman"/>
          <w:sz w:val="24"/>
          <w:szCs w:val="24"/>
        </w:rPr>
        <w:tab/>
        <w:t>document specific strategies and contextual adaptations that enable their success.</w:t>
      </w:r>
    </w:p>
    <w:p w14:paraId="20E366F3" w14:textId="32A300DE" w:rsidR="00FC5353" w:rsidRPr="00794EBB" w:rsidRDefault="00F7717B" w:rsidP="00794EBB">
      <w:pPr>
        <w:tabs>
          <w:tab w:val="left" w:pos="993"/>
          <w:tab w:val="left" w:pos="1170"/>
        </w:tabs>
        <w:spacing w:after="240" w:line="240" w:lineRule="auto"/>
        <w:ind w:right="-14"/>
        <w:jc w:val="both"/>
        <w:rPr>
          <w:rFonts w:ascii="Times New Roman" w:hAnsi="Times New Roman" w:cs="Times New Roman"/>
          <w:sz w:val="24"/>
          <w:szCs w:val="24"/>
        </w:rPr>
      </w:pPr>
      <w:r w:rsidRPr="00794EBB">
        <w:rPr>
          <w:rFonts w:ascii="Times New Roman" w:hAnsi="Times New Roman" w:cs="Times New Roman"/>
          <w:sz w:val="24"/>
          <w:szCs w:val="24"/>
        </w:rPr>
        <w:t xml:space="preserve">This study has several limitations. The sample was confined to three schools in Pahang using </w:t>
      </w:r>
      <w:r w:rsidRPr="00794EBB">
        <w:rPr>
          <w:rFonts w:ascii="Times New Roman" w:hAnsi="Times New Roman" w:cs="Times New Roman"/>
          <w:sz w:val="24"/>
          <w:szCs w:val="24"/>
        </w:rPr>
        <w:tab/>
        <w:t xml:space="preserve">purposive sampling, limiting generalizability. Only one rural school was included. Future research </w:t>
      </w:r>
      <w:r w:rsidRPr="00794EBB">
        <w:rPr>
          <w:rFonts w:ascii="Times New Roman" w:hAnsi="Times New Roman" w:cs="Times New Roman"/>
          <w:sz w:val="24"/>
          <w:szCs w:val="24"/>
        </w:rPr>
        <w:tab/>
        <w:t xml:space="preserve">should </w:t>
      </w:r>
      <w:r w:rsidRPr="00794EBB">
        <w:rPr>
          <w:rFonts w:ascii="Times New Roman" w:hAnsi="Times New Roman" w:cs="Times New Roman"/>
          <w:sz w:val="24"/>
          <w:szCs w:val="24"/>
        </w:rPr>
        <w:tab/>
        <w:t xml:space="preserve">employ random sampling across multiple Malaysian states with larger </w:t>
      </w:r>
      <w:r w:rsidR="00FC5353" w:rsidRPr="00794EBB">
        <w:rPr>
          <w:rFonts w:ascii="Times New Roman" w:hAnsi="Times New Roman" w:cs="Times New Roman"/>
          <w:sz w:val="24"/>
          <w:szCs w:val="24"/>
        </w:rPr>
        <w:t xml:space="preserve">samples. </w:t>
      </w:r>
    </w:p>
    <w:p w14:paraId="117FCD63" w14:textId="11F8F1C1" w:rsidR="00154CCB" w:rsidRPr="00794EBB" w:rsidRDefault="00757026" w:rsidP="00794EBB">
      <w:pPr>
        <w:tabs>
          <w:tab w:val="left" w:pos="993"/>
          <w:tab w:val="left" w:pos="1170"/>
        </w:tabs>
        <w:spacing w:after="240" w:line="240" w:lineRule="auto"/>
        <w:ind w:right="-14"/>
        <w:jc w:val="both"/>
        <w:rPr>
          <w:rFonts w:ascii="Times New Roman" w:hAnsi="Times New Roman" w:cs="Times New Roman"/>
          <w:b/>
          <w:bCs/>
          <w:sz w:val="28"/>
        </w:rPr>
      </w:pPr>
      <w:r w:rsidRPr="00794EBB">
        <w:rPr>
          <w:rFonts w:ascii="Times New Roman" w:hAnsi="Times New Roman" w:cs="Times New Roman"/>
          <w:b/>
          <w:bCs/>
          <w:sz w:val="28"/>
        </w:rPr>
        <w:t>REFERENCES</w:t>
      </w:r>
    </w:p>
    <w:p w14:paraId="024A4ED1"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Abdul Ghani Kanesan Abdullah, </w:t>
      </w:r>
      <w:proofErr w:type="spellStart"/>
      <w:r w:rsidRPr="00794EBB">
        <w:rPr>
          <w:rFonts w:ascii="Times New Roman" w:hAnsi="Times New Roman" w:cs="Times New Roman"/>
          <w:sz w:val="24"/>
          <w:szCs w:val="24"/>
          <w:lang w:val="en-IN"/>
        </w:rPr>
        <w:t>Jamal@Nordin</w:t>
      </w:r>
      <w:proofErr w:type="spellEnd"/>
      <w:r w:rsidRPr="00794EBB">
        <w:rPr>
          <w:rFonts w:ascii="Times New Roman" w:hAnsi="Times New Roman" w:cs="Times New Roman"/>
          <w:sz w:val="24"/>
          <w:szCs w:val="24"/>
          <w:lang w:val="en-IN"/>
        </w:rPr>
        <w:t xml:space="preserve"> Yunus, &amp; Mohd </w:t>
      </w:r>
      <w:proofErr w:type="spellStart"/>
      <w:r w:rsidRPr="00794EBB">
        <w:rPr>
          <w:rFonts w:ascii="Times New Roman" w:hAnsi="Times New Roman" w:cs="Times New Roman"/>
          <w:sz w:val="24"/>
          <w:szCs w:val="24"/>
          <w:lang w:val="en-IN"/>
        </w:rPr>
        <w:t>Izham</w:t>
      </w:r>
      <w:proofErr w:type="spellEnd"/>
      <w:r w:rsidRPr="00794EBB">
        <w:rPr>
          <w:rFonts w:ascii="Times New Roman" w:hAnsi="Times New Roman" w:cs="Times New Roman"/>
          <w:sz w:val="24"/>
          <w:szCs w:val="24"/>
          <w:lang w:val="en-IN"/>
        </w:rPr>
        <w:t xml:space="preserve"> Mohd Hamzah. (2022). Amalan Kepimpinan </w:t>
      </w:r>
      <w:proofErr w:type="spellStart"/>
      <w:r w:rsidRPr="00794EBB">
        <w:rPr>
          <w:rFonts w:ascii="Times New Roman" w:hAnsi="Times New Roman" w:cs="Times New Roman"/>
          <w:sz w:val="24"/>
          <w:szCs w:val="24"/>
          <w:lang w:val="en-IN"/>
        </w:rPr>
        <w:t>Instruksional</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Pengetua</w:t>
      </w:r>
      <w:proofErr w:type="spellEnd"/>
      <w:r w:rsidRPr="00794EBB">
        <w:rPr>
          <w:rFonts w:ascii="Times New Roman" w:hAnsi="Times New Roman" w:cs="Times New Roman"/>
          <w:sz w:val="24"/>
          <w:szCs w:val="24"/>
          <w:lang w:val="en-IN"/>
        </w:rPr>
        <w:t xml:space="preserve"> Cemerlang Sekolah Menengah. Malaysian Journal of Social Sciences and Humanities, 7(3), e001404. </w:t>
      </w:r>
      <w:hyperlink r:id="rId9" w:history="1">
        <w:r w:rsidRPr="00794EBB">
          <w:rPr>
            <w:rStyle w:val="Hyperlink"/>
            <w:rFonts w:ascii="Times New Roman" w:hAnsi="Times New Roman" w:cs="Times New Roman"/>
            <w:sz w:val="24"/>
            <w:szCs w:val="24"/>
            <w:u w:val="none"/>
            <w:lang w:val="en-IN"/>
          </w:rPr>
          <w:t>https://doi.org/10.47405/mjssh.v7i3.1404</w:t>
        </w:r>
      </w:hyperlink>
    </w:p>
    <w:p w14:paraId="77BE546E"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Beaton, D. E., Bombardier, C., Guillemin, F., &amp; Ferraz, M. B. (2000). Guidelines for the process of cross-cultural adaptation of self-report measures. Spine, 25(24), 3186–3191.</w:t>
      </w:r>
    </w:p>
    <w:p w14:paraId="5BB9FC1E"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Bush, T. (2021). School leadership in Malaysia: Policy, research and practice. Routledge. </w:t>
      </w:r>
      <w:hyperlink r:id="rId10" w:history="1">
        <w:r w:rsidRPr="00794EBB">
          <w:rPr>
            <w:rStyle w:val="Hyperlink"/>
            <w:rFonts w:ascii="Times New Roman" w:hAnsi="Times New Roman" w:cs="Times New Roman"/>
            <w:sz w:val="24"/>
            <w:szCs w:val="24"/>
            <w:u w:val="none"/>
            <w:lang w:val="en-IN"/>
          </w:rPr>
          <w:t>https://doi.org/10.4324/9780367566098</w:t>
        </w:r>
      </w:hyperlink>
    </w:p>
    <w:p w14:paraId="0909FAEB"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Cohen, J. (1988). Statistical power analysis for the behavioral sciences (2nd ed.). Lawrence Erlbaum Associates.</w:t>
      </w:r>
    </w:p>
    <w:p w14:paraId="5EEBD20D"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Emmanuel, S., &amp; Valley, C. A. (2022). A qualitative case study of exemplary principal leadership in the United States Virgin Islands. Journal of School Leadership, 32(5), 420–444. </w:t>
      </w:r>
      <w:hyperlink r:id="rId11" w:history="1">
        <w:r w:rsidRPr="00794EBB">
          <w:rPr>
            <w:rStyle w:val="Hyperlink"/>
            <w:rFonts w:ascii="Times New Roman" w:hAnsi="Times New Roman" w:cs="Times New Roman"/>
            <w:sz w:val="24"/>
            <w:szCs w:val="24"/>
            <w:u w:val="none"/>
            <w:lang w:val="en-IN"/>
          </w:rPr>
          <w:t>https://doi.org/10.1177/1942775121990054</w:t>
        </w:r>
      </w:hyperlink>
    </w:p>
    <w:p w14:paraId="17E61DE8"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Gurr, D., &amp; </w:t>
      </w:r>
      <w:proofErr w:type="spellStart"/>
      <w:r w:rsidRPr="00794EBB">
        <w:rPr>
          <w:rFonts w:ascii="Times New Roman" w:hAnsi="Times New Roman" w:cs="Times New Roman"/>
          <w:sz w:val="24"/>
          <w:szCs w:val="24"/>
          <w:lang w:val="en-IN"/>
        </w:rPr>
        <w:t>Moyi</w:t>
      </w:r>
      <w:proofErr w:type="spellEnd"/>
      <w:r w:rsidRPr="00794EBB">
        <w:rPr>
          <w:rFonts w:ascii="Times New Roman" w:hAnsi="Times New Roman" w:cs="Times New Roman"/>
          <w:sz w:val="24"/>
          <w:szCs w:val="24"/>
          <w:lang w:val="en-IN"/>
        </w:rPr>
        <w:t xml:space="preserve">, P. (2022). The International Successful School Principalship Project: Reflections and possibilities. Journal of Educational Administration, 60(1), 1–4. </w:t>
      </w:r>
      <w:hyperlink r:id="rId12" w:history="1">
        <w:r w:rsidRPr="00794EBB">
          <w:rPr>
            <w:rStyle w:val="Hyperlink"/>
            <w:rFonts w:ascii="Times New Roman" w:hAnsi="Times New Roman" w:cs="Times New Roman"/>
            <w:sz w:val="24"/>
            <w:szCs w:val="24"/>
            <w:u w:val="none"/>
            <w:lang w:val="en-IN"/>
          </w:rPr>
          <w:t>https://doi.org/10.1108/JEA-01-2022-0001</w:t>
        </w:r>
      </w:hyperlink>
    </w:p>
    <w:p w14:paraId="7216174F"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Gurr, D., Drysdale, L., Longmuir, F., &amp; McCrohan, K. (2018). The leadership, culture and context nexus: Lessons from the leadership of improving schools. International Studies in Educational Administration, 46(1), 22–44.</w:t>
      </w:r>
    </w:p>
    <w:p w14:paraId="54891D38"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Hallinger, P. (2003). Leading educational change: Reflections on the practice of instructional and transformational leadership. Cambridge Journal of Education, 33(3), 329–352. </w:t>
      </w:r>
      <w:hyperlink r:id="rId13" w:history="1">
        <w:r w:rsidRPr="00794EBB">
          <w:rPr>
            <w:rStyle w:val="Hyperlink"/>
            <w:rFonts w:ascii="Times New Roman" w:hAnsi="Times New Roman" w:cs="Times New Roman"/>
            <w:sz w:val="24"/>
            <w:szCs w:val="24"/>
            <w:u w:val="none"/>
            <w:lang w:val="en-IN"/>
          </w:rPr>
          <w:t>https://doi.org/10.1080/0305764032000122005</w:t>
        </w:r>
      </w:hyperlink>
    </w:p>
    <w:p w14:paraId="2B32E05C"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Hallinger, P. (2018). Bringing context out of the shadows of leadership. Educational Management Administration &amp; Leadership, 46(1), 5–24. </w:t>
      </w:r>
      <w:hyperlink r:id="rId14" w:history="1">
        <w:r w:rsidRPr="00794EBB">
          <w:rPr>
            <w:rStyle w:val="Hyperlink"/>
            <w:rFonts w:ascii="Times New Roman" w:hAnsi="Times New Roman" w:cs="Times New Roman"/>
            <w:sz w:val="24"/>
            <w:szCs w:val="24"/>
            <w:u w:val="none"/>
            <w:lang w:val="en-IN"/>
          </w:rPr>
          <w:t>https://doi.org/10.1177/1741143216670652</w:t>
        </w:r>
      </w:hyperlink>
    </w:p>
    <w:p w14:paraId="59D5FC4B"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Hardwick-Franco, K. G. (2019). Educational leadership is different in the country: What support does the rural school principal need? International Journal of Leadership in Education, 22(3), 301–314. </w:t>
      </w:r>
      <w:hyperlink r:id="rId15" w:history="1">
        <w:r w:rsidRPr="00794EBB">
          <w:rPr>
            <w:rStyle w:val="Hyperlink"/>
            <w:rFonts w:ascii="Times New Roman" w:hAnsi="Times New Roman" w:cs="Times New Roman"/>
            <w:sz w:val="24"/>
            <w:szCs w:val="24"/>
            <w:u w:val="none"/>
            <w:lang w:val="en-IN"/>
          </w:rPr>
          <w:t>https://doi.org/10.1080/13603124.2018.1450996</w:t>
        </w:r>
      </w:hyperlink>
    </w:p>
    <w:p w14:paraId="013C9F0B"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Hitt, D. H., &amp; Tucker, P. D. (2016). Systematic review of key leader practices found to influence student achievement: A unified framework. Review of Educational Research, 86(2), 531–569. </w:t>
      </w:r>
      <w:hyperlink r:id="rId16" w:history="1">
        <w:r w:rsidRPr="00794EBB">
          <w:rPr>
            <w:rStyle w:val="Hyperlink"/>
            <w:rFonts w:ascii="Times New Roman" w:hAnsi="Times New Roman" w:cs="Times New Roman"/>
            <w:sz w:val="24"/>
            <w:szCs w:val="24"/>
            <w:u w:val="none"/>
            <w:lang w:val="en-IN"/>
          </w:rPr>
          <w:t>https://doi.org/10.3102/0034654315614911</w:t>
        </w:r>
      </w:hyperlink>
    </w:p>
    <w:p w14:paraId="0DAE1BA7"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Kusin, N. S., Othman, M. K., &amp; Kassim, M. A. (2024). </w:t>
      </w:r>
      <w:proofErr w:type="spellStart"/>
      <w:r w:rsidRPr="00794EBB">
        <w:rPr>
          <w:rFonts w:ascii="Times New Roman" w:hAnsi="Times New Roman" w:cs="Times New Roman"/>
          <w:sz w:val="24"/>
          <w:szCs w:val="24"/>
          <w:lang w:val="en-IN"/>
        </w:rPr>
        <w:t>Kompetensi</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kepimpinan</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pengetua</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cemerlang</w:t>
      </w:r>
      <w:proofErr w:type="spellEnd"/>
      <w:r w:rsidRPr="00794EBB">
        <w:rPr>
          <w:rFonts w:ascii="Times New Roman" w:hAnsi="Times New Roman" w:cs="Times New Roman"/>
          <w:sz w:val="24"/>
          <w:szCs w:val="24"/>
          <w:lang w:val="en-IN"/>
        </w:rPr>
        <w:t xml:space="preserve"> dalam </w:t>
      </w:r>
      <w:proofErr w:type="spellStart"/>
      <w:r w:rsidRPr="00794EBB">
        <w:rPr>
          <w:rFonts w:ascii="Times New Roman" w:hAnsi="Times New Roman" w:cs="Times New Roman"/>
          <w:sz w:val="24"/>
          <w:szCs w:val="24"/>
          <w:lang w:val="en-IN"/>
        </w:rPr>
        <w:t>meningkatkan</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kualiti</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sekolah</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Jurnal</w:t>
      </w:r>
      <w:proofErr w:type="spellEnd"/>
      <w:r w:rsidRPr="00794EBB">
        <w:rPr>
          <w:rFonts w:ascii="Times New Roman" w:hAnsi="Times New Roman" w:cs="Times New Roman"/>
          <w:sz w:val="24"/>
          <w:szCs w:val="24"/>
          <w:lang w:val="en-IN"/>
        </w:rPr>
        <w:t xml:space="preserve"> Kepimpinan Pendidikan, 11(1), 45–62.</w:t>
      </w:r>
    </w:p>
    <w:p w14:paraId="6B67810D"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Lazaridou, A., &amp; Iordanidis, G. (2011). The principal’s role in achieving school effectiveness. International Studies in Educational Administration, 39(3), 3–19.</w:t>
      </w:r>
    </w:p>
    <w:p w14:paraId="7CCEBB94"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K. (2012). The Ontario Leadership Framework: With a discussion of research foundations. Institute for Educational Leadership.</w:t>
      </w:r>
    </w:p>
    <w:p w14:paraId="21FF1BEC"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K. (2019). Leadership development on a large scale: Lessons for long-term success. Corwin Press.</w:t>
      </w:r>
    </w:p>
    <w:p w14:paraId="52DEE9A6"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xml:space="preserve">, K. (2021). A review of evidence about equitable school leadership. Education Sciences, 11(8), 377. </w:t>
      </w:r>
      <w:hyperlink r:id="rId17" w:history="1">
        <w:r w:rsidRPr="00794EBB">
          <w:rPr>
            <w:rStyle w:val="Hyperlink"/>
            <w:rFonts w:ascii="Times New Roman" w:hAnsi="Times New Roman" w:cs="Times New Roman"/>
            <w:sz w:val="24"/>
            <w:szCs w:val="24"/>
            <w:u w:val="none"/>
            <w:lang w:val="en-IN"/>
          </w:rPr>
          <w:t>https://doi.org/10.3390/educsci11080377</w:t>
        </w:r>
      </w:hyperlink>
    </w:p>
    <w:p w14:paraId="4CB678FE"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xml:space="preserve">, K., Harris, A., &amp; Hopkins, D. (2008). Seven strong claims about successful school leadership. School Leadership &amp; Management, 28(1), 27–42. </w:t>
      </w:r>
      <w:hyperlink r:id="rId18" w:history="1">
        <w:r w:rsidRPr="00794EBB">
          <w:rPr>
            <w:rStyle w:val="Hyperlink"/>
            <w:rFonts w:ascii="Times New Roman" w:hAnsi="Times New Roman" w:cs="Times New Roman"/>
            <w:sz w:val="24"/>
            <w:szCs w:val="24"/>
            <w:u w:val="none"/>
            <w:lang w:val="en-IN"/>
          </w:rPr>
          <w:t>https://doi.org/10.1080/13632430701800060</w:t>
        </w:r>
      </w:hyperlink>
    </w:p>
    <w:p w14:paraId="0F4C9380"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lastRenderedPageBreak/>
        <w:t>Leithwood</w:t>
      </w:r>
      <w:proofErr w:type="spellEnd"/>
      <w:r w:rsidRPr="00794EBB">
        <w:rPr>
          <w:rFonts w:ascii="Times New Roman" w:hAnsi="Times New Roman" w:cs="Times New Roman"/>
          <w:sz w:val="24"/>
          <w:szCs w:val="24"/>
          <w:lang w:val="en-IN"/>
        </w:rPr>
        <w:t xml:space="preserve">, K., &amp; Sun, J. (2018). Academic culture: A promising mediator of school leaders’ influence on student learning. Journal of Educational Administration, 56(3), 350–363. </w:t>
      </w:r>
      <w:hyperlink r:id="rId19" w:history="1">
        <w:r w:rsidRPr="00794EBB">
          <w:rPr>
            <w:rStyle w:val="Hyperlink"/>
            <w:rFonts w:ascii="Times New Roman" w:hAnsi="Times New Roman" w:cs="Times New Roman"/>
            <w:sz w:val="24"/>
            <w:szCs w:val="24"/>
            <w:u w:val="none"/>
            <w:lang w:val="en-IN"/>
          </w:rPr>
          <w:t>https://doi.org/10.1108/JEA-01-2017-0009</w:t>
        </w:r>
      </w:hyperlink>
    </w:p>
    <w:p w14:paraId="07C34635"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xml:space="preserve">, K., Sun, J., Schumacker, R., &amp; Hua, C. (2023). Psychometric properties of the Successful School Leadership Survey. Journal of Educational Administration, 61(4), 385–404. </w:t>
      </w:r>
      <w:hyperlink r:id="rId20" w:history="1">
        <w:r w:rsidRPr="00794EBB">
          <w:rPr>
            <w:rStyle w:val="Hyperlink"/>
            <w:rFonts w:ascii="Times New Roman" w:hAnsi="Times New Roman" w:cs="Times New Roman"/>
            <w:sz w:val="24"/>
            <w:szCs w:val="24"/>
            <w:u w:val="none"/>
            <w:lang w:val="en-IN"/>
          </w:rPr>
          <w:t>https://doi.org/10.1108/JEA-08-2022-0115</w:t>
        </w:r>
      </w:hyperlink>
    </w:p>
    <w:p w14:paraId="69691546"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xml:space="preserve">, K., Sun, J., &amp; Pollock, K. (Eds.). (2017). How school leaders contribute to student success: The four paths framework. Springer. </w:t>
      </w:r>
      <w:hyperlink r:id="rId21" w:history="1">
        <w:r w:rsidRPr="00794EBB">
          <w:rPr>
            <w:rStyle w:val="Hyperlink"/>
            <w:rFonts w:ascii="Times New Roman" w:hAnsi="Times New Roman" w:cs="Times New Roman"/>
            <w:sz w:val="24"/>
            <w:szCs w:val="24"/>
            <w:u w:val="none"/>
            <w:lang w:val="en-IN"/>
          </w:rPr>
          <w:t>https://doi.org/10.1007/978-3-319-50980-8</w:t>
        </w:r>
      </w:hyperlink>
    </w:p>
    <w:p w14:paraId="7F621D34"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xml:space="preserve">, K., Sun, J., &amp; Schumacker, R. (2020). How school leadership influences student learning: A test of “The four paths model.” Educational Administration Quarterly, 56(4), 570–599. </w:t>
      </w:r>
      <w:hyperlink r:id="rId22" w:history="1">
        <w:r w:rsidRPr="00794EBB">
          <w:rPr>
            <w:rStyle w:val="Hyperlink"/>
            <w:rFonts w:ascii="Times New Roman" w:hAnsi="Times New Roman" w:cs="Times New Roman"/>
            <w:sz w:val="24"/>
            <w:szCs w:val="24"/>
            <w:u w:val="none"/>
            <w:lang w:val="en-IN"/>
          </w:rPr>
          <w:t>https://doi.org/10.1177/0013161X19878772</w:t>
        </w:r>
      </w:hyperlink>
    </w:p>
    <w:p w14:paraId="720760FA"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Marks, H. M., &amp; Printy, S. M. (2003). Principal leadership and school performance: An integration of transformational and instructional leadership. Educational Administration Quarterly, 39(3), 370–397. </w:t>
      </w:r>
      <w:hyperlink r:id="rId23" w:history="1">
        <w:r w:rsidRPr="00794EBB">
          <w:rPr>
            <w:rStyle w:val="Hyperlink"/>
            <w:rFonts w:ascii="Times New Roman" w:hAnsi="Times New Roman" w:cs="Times New Roman"/>
            <w:sz w:val="24"/>
            <w:szCs w:val="24"/>
            <w:u w:val="none"/>
            <w:lang w:val="en-IN"/>
          </w:rPr>
          <w:t>https://doi.org/10.1177/0013161X03253412</w:t>
        </w:r>
      </w:hyperlink>
    </w:p>
    <w:p w14:paraId="20205839"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Marsh, H. W., &amp; Hau, K. T. (2003). Big-fish–little-pond effect on academic self-concept: A cross-cultural (26-country) test of the negative effects of academically selective schools. American Psychologist, 58(5), 364–376. </w:t>
      </w:r>
      <w:hyperlink r:id="rId24" w:history="1">
        <w:r w:rsidRPr="00794EBB">
          <w:rPr>
            <w:rStyle w:val="Hyperlink"/>
            <w:rFonts w:ascii="Times New Roman" w:hAnsi="Times New Roman" w:cs="Times New Roman"/>
            <w:sz w:val="24"/>
            <w:szCs w:val="24"/>
            <w:u w:val="none"/>
            <w:lang w:val="en-IN"/>
          </w:rPr>
          <w:t>https://doi.org/10.1037/0003-066X.58.5.364</w:t>
        </w:r>
      </w:hyperlink>
    </w:p>
    <w:p w14:paraId="13E550DC"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Ministry of Education Malaysia. (2013). Malaysian Education Blueprint 2013–2025 (Preschool to Post-secondary Education). Ministry of Education Malaysia.</w:t>
      </w:r>
    </w:p>
    <w:p w14:paraId="5F5BCCB4"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Ministry of Education Malaysia. (2024). </w:t>
      </w:r>
      <w:proofErr w:type="spellStart"/>
      <w:r w:rsidRPr="00794EBB">
        <w:rPr>
          <w:rFonts w:ascii="Times New Roman" w:hAnsi="Times New Roman" w:cs="Times New Roman"/>
          <w:sz w:val="24"/>
          <w:szCs w:val="24"/>
          <w:lang w:val="en-IN"/>
        </w:rPr>
        <w:t>Pekeliling</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Perkhidmatan</w:t>
      </w:r>
      <w:proofErr w:type="spellEnd"/>
      <w:r w:rsidRPr="00794EBB">
        <w:rPr>
          <w:rFonts w:ascii="Times New Roman" w:hAnsi="Times New Roman" w:cs="Times New Roman"/>
          <w:sz w:val="24"/>
          <w:szCs w:val="24"/>
          <w:lang w:val="en-IN"/>
        </w:rPr>
        <w:t xml:space="preserve"> </w:t>
      </w:r>
      <w:proofErr w:type="spellStart"/>
      <w:r w:rsidRPr="00794EBB">
        <w:rPr>
          <w:rFonts w:ascii="Times New Roman" w:hAnsi="Times New Roman" w:cs="Times New Roman"/>
          <w:sz w:val="24"/>
          <w:szCs w:val="24"/>
          <w:lang w:val="en-IN"/>
        </w:rPr>
        <w:t>Bilangan</w:t>
      </w:r>
      <w:proofErr w:type="spellEnd"/>
      <w:r w:rsidRPr="00794EBB">
        <w:rPr>
          <w:rFonts w:ascii="Times New Roman" w:hAnsi="Times New Roman" w:cs="Times New Roman"/>
          <w:sz w:val="24"/>
          <w:szCs w:val="24"/>
          <w:lang w:val="en-IN"/>
        </w:rPr>
        <w:t xml:space="preserve"> 3 Tahun 2024: Pelaksanaan Sistem Time-Based </w:t>
      </w:r>
      <w:proofErr w:type="spellStart"/>
      <w:r w:rsidRPr="00794EBB">
        <w:rPr>
          <w:rFonts w:ascii="Times New Roman" w:hAnsi="Times New Roman" w:cs="Times New Roman"/>
          <w:sz w:val="24"/>
          <w:szCs w:val="24"/>
          <w:lang w:val="en-IN"/>
        </w:rPr>
        <w:t>Kecemerlangan</w:t>
      </w:r>
      <w:proofErr w:type="spellEnd"/>
      <w:r w:rsidRPr="00794EBB">
        <w:rPr>
          <w:rFonts w:ascii="Times New Roman" w:hAnsi="Times New Roman" w:cs="Times New Roman"/>
          <w:sz w:val="24"/>
          <w:szCs w:val="24"/>
          <w:lang w:val="en-IN"/>
        </w:rPr>
        <w:t xml:space="preserve"> (TBBK). Putrajaya: Kementerian Pendidikan Malaysia.</w:t>
      </w:r>
    </w:p>
    <w:p w14:paraId="5FC90BDA"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Nunnally, J. C., &amp; Bernstein, I. H. (1994). Psychometric theory (3rd ed.). McGraw-Hill.</w:t>
      </w:r>
    </w:p>
    <w:p w14:paraId="3ED88AB4"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Pallant, J. (2020). SPSS survival manual: A step-by-step guide to data analysis using IBM SPSS (7th ed.). Routledge.</w:t>
      </w:r>
    </w:p>
    <w:p w14:paraId="144DF36F"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Preston, J. P., &amp; Barnes, K. E. R. (2017). Successful leadership in rural schools: Cultivating collaboration. Rural Educator, 38(1), 6–15. </w:t>
      </w:r>
      <w:hyperlink r:id="rId25" w:history="1">
        <w:r w:rsidRPr="00794EBB">
          <w:rPr>
            <w:rStyle w:val="Hyperlink"/>
            <w:rFonts w:ascii="Times New Roman" w:hAnsi="Times New Roman" w:cs="Times New Roman"/>
            <w:sz w:val="24"/>
            <w:szCs w:val="24"/>
            <w:u w:val="none"/>
            <w:lang w:val="en-IN"/>
          </w:rPr>
          <w:t>https://doi.org/10.35608/ruraled.v38i1.231</w:t>
        </w:r>
      </w:hyperlink>
    </w:p>
    <w:p w14:paraId="0D80AD36"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Robinson, V. M. J., Lloyd, C. A., &amp; Rowe, K. J. (2008). The impact of leadership on student outcomes: An analysis of the differential effects of leadership types. Educational Administration Quarterly, 44(5), 635–674. </w:t>
      </w:r>
      <w:hyperlink r:id="rId26" w:history="1">
        <w:r w:rsidRPr="00794EBB">
          <w:rPr>
            <w:rStyle w:val="Hyperlink"/>
            <w:rFonts w:ascii="Times New Roman" w:hAnsi="Times New Roman" w:cs="Times New Roman"/>
            <w:sz w:val="24"/>
            <w:szCs w:val="24"/>
            <w:u w:val="none"/>
            <w:lang w:val="en-IN"/>
          </w:rPr>
          <w:t>https://doi.org/10.1177/0013161X08321509</w:t>
        </w:r>
      </w:hyperlink>
    </w:p>
    <w:p w14:paraId="1C81B9D3"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Sun, J., </w:t>
      </w:r>
      <w:proofErr w:type="spellStart"/>
      <w:r w:rsidRPr="00794EBB">
        <w:rPr>
          <w:rFonts w:ascii="Times New Roman" w:hAnsi="Times New Roman" w:cs="Times New Roman"/>
          <w:sz w:val="24"/>
          <w:szCs w:val="24"/>
          <w:lang w:val="en-IN"/>
        </w:rPr>
        <w:t>Leithwood</w:t>
      </w:r>
      <w:proofErr w:type="spellEnd"/>
      <w:r w:rsidRPr="00794EBB">
        <w:rPr>
          <w:rFonts w:ascii="Times New Roman" w:hAnsi="Times New Roman" w:cs="Times New Roman"/>
          <w:sz w:val="24"/>
          <w:szCs w:val="24"/>
          <w:lang w:val="en-IN"/>
        </w:rPr>
        <w:t>, K., Li, L., Hua, C., &amp; Wind, S. (n.d.). Examining the psychometric properties of the Chinese version of the Successful School Leadership Survey. Manuscript in preparation.</w:t>
      </w:r>
    </w:p>
    <w:p w14:paraId="37C298E3" w14:textId="77777777" w:rsidR="00794EBB" w:rsidRPr="00794EBB" w:rsidRDefault="00794EBB" w:rsidP="00794EBB">
      <w:pPr>
        <w:numPr>
          <w:ilvl w:val="0"/>
          <w:numId w:val="9"/>
        </w:numPr>
        <w:tabs>
          <w:tab w:val="left" w:pos="993"/>
          <w:tab w:val="left" w:pos="1170"/>
        </w:tabs>
        <w:spacing w:after="0" w:line="240" w:lineRule="auto"/>
        <w:ind w:right="-14"/>
        <w:jc w:val="both"/>
        <w:rPr>
          <w:rFonts w:ascii="Times New Roman" w:hAnsi="Times New Roman" w:cs="Times New Roman"/>
          <w:sz w:val="24"/>
          <w:szCs w:val="24"/>
          <w:lang w:val="en-IN"/>
        </w:rPr>
      </w:pPr>
      <w:r w:rsidRPr="00794EBB">
        <w:rPr>
          <w:rFonts w:ascii="Times New Roman" w:hAnsi="Times New Roman" w:cs="Times New Roman"/>
          <w:sz w:val="24"/>
          <w:szCs w:val="24"/>
          <w:lang w:val="en-IN"/>
        </w:rPr>
        <w:t xml:space="preserve">Uhl-Bien, M. (2006). Relational leadership theory: Exploring the social processes of leadership and organizing. The Leadership Quarterly, 17(6), 654–676. </w:t>
      </w:r>
      <w:hyperlink r:id="rId27" w:history="1">
        <w:r w:rsidRPr="00794EBB">
          <w:rPr>
            <w:rStyle w:val="Hyperlink"/>
            <w:rFonts w:ascii="Times New Roman" w:hAnsi="Times New Roman" w:cs="Times New Roman"/>
            <w:sz w:val="24"/>
            <w:szCs w:val="24"/>
            <w:u w:val="none"/>
            <w:lang w:val="en-IN"/>
          </w:rPr>
          <w:t>https://doi.org/10.1016/j.leaqua.2006.10.007</w:t>
        </w:r>
      </w:hyperlink>
    </w:p>
    <w:p w14:paraId="692C8483" w14:textId="77777777" w:rsidR="00A63502" w:rsidRPr="00794EBB" w:rsidRDefault="00A63502" w:rsidP="00794EBB">
      <w:pPr>
        <w:tabs>
          <w:tab w:val="left" w:pos="993"/>
          <w:tab w:val="left" w:pos="1170"/>
        </w:tabs>
        <w:spacing w:after="0" w:line="240" w:lineRule="auto"/>
        <w:ind w:right="-14"/>
        <w:jc w:val="both"/>
        <w:rPr>
          <w:rFonts w:ascii="Times New Roman" w:hAnsi="Times New Roman" w:cs="Times New Roman"/>
          <w:sz w:val="24"/>
          <w:szCs w:val="24"/>
        </w:rPr>
      </w:pPr>
    </w:p>
    <w:sectPr w:rsidR="00A63502" w:rsidRPr="00794EBB" w:rsidSect="00794EBB">
      <w:headerReference w:type="default" r:id="rId28"/>
      <w:footerReference w:type="default" r:id="rId29"/>
      <w:pgSz w:w="11906" w:h="16838" w:code="9"/>
      <w:pgMar w:top="810" w:right="605" w:bottom="450" w:left="605" w:header="0"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5146" w14:textId="77777777" w:rsidR="007D32EC" w:rsidRDefault="007D32EC" w:rsidP="00D71689">
      <w:pPr>
        <w:spacing w:after="0" w:line="240" w:lineRule="auto"/>
      </w:pPr>
      <w:r>
        <w:separator/>
      </w:r>
    </w:p>
  </w:endnote>
  <w:endnote w:type="continuationSeparator" w:id="0">
    <w:p w14:paraId="0230333F" w14:textId="77777777" w:rsidR="007D32EC" w:rsidRDefault="007D32EC" w:rsidP="00D7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6AD6" w14:textId="77777777" w:rsidR="00794EBB" w:rsidRDefault="00794EBB" w:rsidP="00794EBB">
    <w:pPr>
      <w:tabs>
        <w:tab w:val="left" w:pos="8508"/>
      </w:tabs>
      <w:spacing w:after="0"/>
    </w:pPr>
    <w:r>
      <w:rPr>
        <w:noProof/>
      </w:rPr>
      <mc:AlternateContent>
        <mc:Choice Requires="wps">
          <w:drawing>
            <wp:anchor distT="0" distB="0" distL="114300" distR="114300" simplePos="0" relativeHeight="251663360" behindDoc="1" locked="0" layoutInCell="1" allowOverlap="1" wp14:anchorId="17D14EB7" wp14:editId="53C57415">
              <wp:simplePos x="0" y="0"/>
              <wp:positionH relativeFrom="page">
                <wp:posOffset>379095</wp:posOffset>
              </wp:positionH>
              <wp:positionV relativeFrom="page">
                <wp:posOffset>10401300</wp:posOffset>
              </wp:positionV>
              <wp:extent cx="6671310" cy="19050"/>
              <wp:effectExtent l="0" t="0" r="0" b="0"/>
              <wp:wrapNone/>
              <wp:docPr id="995889543"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AF12B" id="Rectangle 1390794730" o:spid="_x0000_s1026" style="position:absolute;margin-left:29.85pt;margin-top:819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59032CE8" wp14:editId="69DEB3F8">
              <wp:simplePos x="0" y="0"/>
              <wp:positionH relativeFrom="page">
                <wp:posOffset>381000</wp:posOffset>
              </wp:positionH>
              <wp:positionV relativeFrom="page">
                <wp:posOffset>10500360</wp:posOffset>
              </wp:positionV>
              <wp:extent cx="1805940" cy="358140"/>
              <wp:effectExtent l="0" t="0" r="3810" b="3810"/>
              <wp:wrapNone/>
              <wp:docPr id="853010166"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6357FB8B" w14:textId="77777777" w:rsidR="00794EBB" w:rsidRPr="004939B0" w:rsidRDefault="00794EBB" w:rsidP="00794EBB">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32CE8" id="_x0000_t202" coordsize="21600,21600" o:spt="202" path="m,l,21600r21600,l21600,xe">
              <v:stroke joinstyle="miter"/>
              <v:path gradientshapeok="t" o:connecttype="rect"/>
            </v:shapetype>
            <v:shape id="Text Box 1390794729" o:spid="_x0000_s1027" type="#_x0000_t202" style="position:absolute;margin-left:30pt;margin-top:826.8pt;width:142.2pt;height:28.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14:paraId="6357FB8B" w14:textId="77777777" w:rsidR="00794EBB" w:rsidRPr="004939B0" w:rsidRDefault="00794EBB" w:rsidP="00794EBB">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FAB1C52" wp14:editId="026A267F">
              <wp:simplePos x="0" y="0"/>
              <wp:positionH relativeFrom="page">
                <wp:posOffset>2926080</wp:posOffset>
              </wp:positionH>
              <wp:positionV relativeFrom="page">
                <wp:posOffset>10477500</wp:posOffset>
              </wp:positionV>
              <wp:extent cx="2171700" cy="327660"/>
              <wp:effectExtent l="0" t="0" r="0" b="15240"/>
              <wp:wrapNone/>
              <wp:docPr id="2069572757"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2F5C201D" w14:textId="77777777" w:rsidR="00794EBB" w:rsidRPr="00A07E94" w:rsidRDefault="00794EBB" w:rsidP="00794EBB">
                          <w:pPr>
                            <w:ind w:left="2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B1C52" id="Text Box 1390794728" o:spid="_x0000_s1028" type="#_x0000_t202" style="position:absolute;margin-left:230.4pt;margin-top:825pt;width:171pt;height:25.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14:paraId="2F5C201D" w14:textId="77777777" w:rsidR="00794EBB" w:rsidRPr="00A07E94" w:rsidRDefault="00794EBB" w:rsidP="00794EBB">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11B9" w14:textId="77777777" w:rsidR="007D32EC" w:rsidRDefault="007D32EC" w:rsidP="00D71689">
      <w:pPr>
        <w:spacing w:after="0" w:line="240" w:lineRule="auto"/>
      </w:pPr>
      <w:r>
        <w:separator/>
      </w:r>
    </w:p>
  </w:footnote>
  <w:footnote w:type="continuationSeparator" w:id="0">
    <w:p w14:paraId="552ECEF9" w14:textId="77777777" w:rsidR="007D32EC" w:rsidRDefault="007D32EC" w:rsidP="00D7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E8B" w14:textId="77777777" w:rsidR="00794EBB" w:rsidRPr="00B66B13" w:rsidRDefault="00794EBB" w:rsidP="00794EBB">
    <w:pPr>
      <w:widowControl w:val="0"/>
      <w:tabs>
        <w:tab w:val="center" w:pos="4513"/>
        <w:tab w:val="right" w:pos="9026"/>
      </w:tabs>
      <w:autoSpaceDE w:val="0"/>
      <w:autoSpaceDN w:val="0"/>
      <w:rPr>
        <w:rFonts w:cs="SimSun"/>
      </w:rPr>
    </w:pPr>
    <w:r w:rsidRPr="00B66B13">
      <w:rPr>
        <w:noProof/>
      </w:rPr>
      <mc:AlternateContent>
        <mc:Choice Requires="wps">
          <w:drawing>
            <wp:anchor distT="0" distB="0" distL="114300" distR="114300" simplePos="0" relativeHeight="251660288" behindDoc="1" locked="0" layoutInCell="1" allowOverlap="1" wp14:anchorId="15DF744C" wp14:editId="553F2233">
              <wp:simplePos x="0" y="0"/>
              <wp:positionH relativeFrom="page">
                <wp:posOffset>1264920</wp:posOffset>
              </wp:positionH>
              <wp:positionV relativeFrom="page">
                <wp:posOffset>133350</wp:posOffset>
              </wp:positionV>
              <wp:extent cx="6019800" cy="350520"/>
              <wp:effectExtent l="0" t="0" r="0" b="11430"/>
              <wp:wrapNone/>
              <wp:docPr id="16642608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50520"/>
                      </a:xfrm>
                      <a:prstGeom prst="rect">
                        <a:avLst/>
                      </a:prstGeom>
                      <a:noFill/>
                      <a:ln>
                        <a:noFill/>
                      </a:ln>
                    </wps:spPr>
                    <wps:txbx>
                      <w:txbxContent>
                        <w:p w14:paraId="52592F91" w14:textId="77777777" w:rsidR="00794EBB" w:rsidRPr="00794EBB" w:rsidRDefault="00794EBB" w:rsidP="00794EBB">
                          <w:pPr>
                            <w:tabs>
                              <w:tab w:val="left" w:pos="8190"/>
                            </w:tabs>
                            <w:spacing w:after="0"/>
                            <w:ind w:right="66" w:firstLine="1"/>
                            <w:jc w:val="right"/>
                            <w:rPr>
                              <w:rFonts w:ascii="Times New Roman" w:hAnsi="Times New Roman" w:cs="Times New Roman"/>
                              <w:b/>
                              <w:sz w:val="20"/>
                            </w:rPr>
                          </w:pPr>
                          <w:r w:rsidRPr="00794EBB">
                            <w:rPr>
                              <w:rFonts w:ascii="Times New Roman" w:hAnsi="Times New Roman" w:cs="Times New Roman"/>
                              <w:b/>
                              <w:sz w:val="20"/>
                            </w:rPr>
                            <w:t>INTERNATIONAL JOURNAL OF RESEARCH AND INNOVATION IN SOCIAL SCIENCE (IJRISS)</w:t>
                          </w:r>
                        </w:p>
                        <w:p w14:paraId="4282A68A" w14:textId="77777777" w:rsidR="00794EBB" w:rsidRPr="00794EBB" w:rsidRDefault="00794EBB" w:rsidP="00794EBB">
                          <w:pPr>
                            <w:tabs>
                              <w:tab w:val="left" w:pos="8190"/>
                            </w:tabs>
                            <w:spacing w:after="0"/>
                            <w:ind w:right="120" w:firstLine="1"/>
                            <w:jc w:val="right"/>
                            <w:rPr>
                              <w:rFonts w:ascii="Times New Roman" w:hAnsi="Times New Roman" w:cs="Times New Roman"/>
                              <w:bCs/>
                              <w:sz w:val="20"/>
                            </w:rPr>
                          </w:pPr>
                          <w:r w:rsidRPr="00794EBB">
                            <w:rPr>
                              <w:rFonts w:ascii="Times New Roman" w:hAnsi="Times New Roman" w:cs="Times New Roman"/>
                              <w:sz w:val="20"/>
                            </w:rPr>
                            <w:t>ISSN</w:t>
                          </w:r>
                          <w:r w:rsidRPr="00794EBB">
                            <w:rPr>
                              <w:rFonts w:ascii="Times New Roman" w:hAnsi="Times New Roman" w:cs="Times New Roman"/>
                              <w:spacing w:val="-1"/>
                              <w:sz w:val="20"/>
                            </w:rPr>
                            <w:t xml:space="preserve"> </w:t>
                          </w:r>
                          <w:r w:rsidRPr="00794EBB">
                            <w:rPr>
                              <w:rFonts w:ascii="Times New Roman" w:hAnsi="Times New Roman" w:cs="Times New Roman"/>
                              <w:sz w:val="20"/>
                            </w:rPr>
                            <w:t>No. 2454-6186 | DOI: 10.47772/IJRISS | Volume X Issue II February 2026</w:t>
                          </w:r>
                        </w:p>
                        <w:p w14:paraId="293BE64F" w14:textId="77777777" w:rsidR="00794EBB" w:rsidRPr="00B66B13" w:rsidRDefault="00794EBB" w:rsidP="00794EBB">
                          <w:pPr>
                            <w:jc w:val="right"/>
                            <w:rPr>
                              <w:bCs/>
                              <w:sz w:val="12"/>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F744C" id="_x0000_t202" coordsize="21600,21600" o:spt="202" path="m,l,21600r21600,l21600,xe">
              <v:stroke joinstyle="miter"/>
              <v:path gradientshapeok="t" o:connecttype="rect"/>
            </v:shapetype>
            <v:shape id="Text Box 21" o:spid="_x0000_s1026" type="#_x0000_t202" style="position:absolute;margin-left:99.6pt;margin-top:10.5pt;width:474pt;height:27.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" filled="f" stroked="f">
              <v:textbox inset="0,0,0,0">
                <w:txbxContent>
                  <w:p w14:paraId="52592F91" w14:textId="77777777" w:rsidR="00794EBB" w:rsidRPr="00794EBB" w:rsidRDefault="00794EBB" w:rsidP="00794EBB">
                    <w:pPr>
                      <w:tabs>
                        <w:tab w:val="left" w:pos="8190"/>
                      </w:tabs>
                      <w:spacing w:after="0"/>
                      <w:ind w:right="66" w:firstLine="1"/>
                      <w:jc w:val="right"/>
                      <w:rPr>
                        <w:rFonts w:ascii="Times New Roman" w:hAnsi="Times New Roman" w:cs="Times New Roman"/>
                        <w:b/>
                        <w:sz w:val="20"/>
                      </w:rPr>
                    </w:pPr>
                    <w:r w:rsidRPr="00794EBB">
                      <w:rPr>
                        <w:rFonts w:ascii="Times New Roman" w:hAnsi="Times New Roman" w:cs="Times New Roman"/>
                        <w:b/>
                        <w:sz w:val="20"/>
                      </w:rPr>
                      <w:t>INTERNATIONAL JOURNAL OF RESEARCH AND INNOVATION IN SOCIAL SCIENCE (IJRISS)</w:t>
                    </w:r>
                  </w:p>
                  <w:p w14:paraId="4282A68A" w14:textId="77777777" w:rsidR="00794EBB" w:rsidRPr="00794EBB" w:rsidRDefault="00794EBB" w:rsidP="00794EBB">
                    <w:pPr>
                      <w:tabs>
                        <w:tab w:val="left" w:pos="8190"/>
                      </w:tabs>
                      <w:spacing w:after="0"/>
                      <w:ind w:right="120" w:firstLine="1"/>
                      <w:jc w:val="right"/>
                      <w:rPr>
                        <w:rFonts w:ascii="Times New Roman" w:hAnsi="Times New Roman" w:cs="Times New Roman"/>
                        <w:bCs/>
                        <w:sz w:val="20"/>
                      </w:rPr>
                    </w:pPr>
                    <w:r w:rsidRPr="00794EBB">
                      <w:rPr>
                        <w:rFonts w:ascii="Times New Roman" w:hAnsi="Times New Roman" w:cs="Times New Roman"/>
                        <w:sz w:val="20"/>
                      </w:rPr>
                      <w:t>ISSN</w:t>
                    </w:r>
                    <w:r w:rsidRPr="00794EBB">
                      <w:rPr>
                        <w:rFonts w:ascii="Times New Roman" w:hAnsi="Times New Roman" w:cs="Times New Roman"/>
                        <w:spacing w:val="-1"/>
                        <w:sz w:val="20"/>
                      </w:rPr>
                      <w:t xml:space="preserve"> </w:t>
                    </w:r>
                    <w:r w:rsidRPr="00794EBB">
                      <w:rPr>
                        <w:rFonts w:ascii="Times New Roman" w:hAnsi="Times New Roman" w:cs="Times New Roman"/>
                        <w:sz w:val="20"/>
                      </w:rPr>
                      <w:t>No. 2454-6186 | DOI: 10.47772/IJRISS | Volume X Issue II February 2026</w:t>
                    </w:r>
                  </w:p>
                  <w:p w14:paraId="293BE64F" w14:textId="77777777" w:rsidR="00794EBB" w:rsidRPr="00B66B13" w:rsidRDefault="00794EBB" w:rsidP="00794EBB">
                    <w:pPr>
                      <w:jc w:val="right"/>
                      <w:rPr>
                        <w:bCs/>
                        <w:sz w:val="12"/>
                        <w:szCs w:val="18"/>
                      </w:rPr>
                    </w:pPr>
                  </w:p>
                </w:txbxContent>
              </v:textbox>
              <w10:wrap anchorx="page" anchory="page"/>
            </v:shape>
          </w:pict>
        </mc:Fallback>
      </mc:AlternateContent>
    </w:r>
    <w:r w:rsidRPr="00B66B13">
      <w:rPr>
        <w:rFonts w:cs="SimSun"/>
        <w:noProof/>
      </w:rPr>
      <w:drawing>
        <wp:anchor distT="0" distB="0" distL="114300" distR="114300" simplePos="0" relativeHeight="251659264" behindDoc="1" locked="0" layoutInCell="1" allowOverlap="1" wp14:anchorId="39DA2F70" wp14:editId="025AAA71">
          <wp:simplePos x="0" y="0"/>
          <wp:positionH relativeFrom="margin">
            <wp:posOffset>43776</wp:posOffset>
          </wp:positionH>
          <wp:positionV relativeFrom="paragraph">
            <wp:posOffset>48895</wp:posOffset>
          </wp:positionV>
          <wp:extent cx="586740" cy="495804"/>
          <wp:effectExtent l="0" t="0" r="3810" b="0"/>
          <wp:wrapNone/>
          <wp:docPr id="591843046" name="Picture 59184304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495804"/>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ABA3DBE" w14:textId="77777777" w:rsidR="00794EBB" w:rsidRPr="00B66B13" w:rsidRDefault="00794EBB" w:rsidP="00794EBB">
    <w:pPr>
      <w:widowControl w:val="0"/>
      <w:tabs>
        <w:tab w:val="center" w:pos="4513"/>
        <w:tab w:val="right" w:pos="9026"/>
      </w:tabs>
      <w:autoSpaceDE w:val="0"/>
      <w:autoSpaceDN w:val="0"/>
      <w:rPr>
        <w:rFonts w:cs="SimSun"/>
      </w:rPr>
    </w:pPr>
    <w:r w:rsidRPr="00B66B13">
      <w:rPr>
        <w:noProof/>
      </w:rPr>
      <mc:AlternateContent>
        <mc:Choice Requires="wpg">
          <w:drawing>
            <wp:anchor distT="0" distB="0" distL="114300" distR="114300" simplePos="0" relativeHeight="251661312" behindDoc="1" locked="0" layoutInCell="1" allowOverlap="1" wp14:anchorId="6B4960DA" wp14:editId="7915870D">
              <wp:simplePos x="0" y="0"/>
              <wp:positionH relativeFrom="column">
                <wp:posOffset>0</wp:posOffset>
              </wp:positionH>
              <wp:positionV relativeFrom="paragraph">
                <wp:posOffset>298450</wp:posOffset>
              </wp:positionV>
              <wp:extent cx="6840220" cy="19050"/>
              <wp:effectExtent l="0" t="0" r="0" b="0"/>
              <wp:wrapNone/>
              <wp:docPr id="108328256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769267373"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CCB81EF" id="Group 18" o:spid="_x0000_s1026" style="position:absolute;margin-left:0;margin-top:23.5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" path="m6671309,l,,,19050r6671309,l6671309,xe" fillcolor="gray" stroked="f">
                <v:path arrowok="t"/>
              </v:shape>
            </v:group>
          </w:pict>
        </mc:Fallback>
      </mc:AlternateContent>
    </w:r>
    <w:r w:rsidRPr="00B66B13">
      <w:rPr>
        <w:rFonts w:cs="SimSu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791"/>
    <w:multiLevelType w:val="hybridMultilevel"/>
    <w:tmpl w:val="7AB864DE"/>
    <w:lvl w:ilvl="0" w:tplc="FEAC98E8">
      <w:start w:val="1"/>
      <w:numFmt w:val="lowerLetter"/>
      <w:lvlText w:val="(%1)"/>
      <w:lvlJc w:val="left"/>
      <w:pPr>
        <w:ind w:left="967" w:hanging="360"/>
      </w:pPr>
      <w:rPr>
        <w:rFonts w:hint="default"/>
      </w:rPr>
    </w:lvl>
    <w:lvl w:ilvl="1" w:tplc="44090019" w:tentative="1">
      <w:start w:val="1"/>
      <w:numFmt w:val="lowerLetter"/>
      <w:lvlText w:val="%2."/>
      <w:lvlJc w:val="left"/>
      <w:pPr>
        <w:ind w:left="1687" w:hanging="360"/>
      </w:pPr>
    </w:lvl>
    <w:lvl w:ilvl="2" w:tplc="4409001B" w:tentative="1">
      <w:start w:val="1"/>
      <w:numFmt w:val="lowerRoman"/>
      <w:lvlText w:val="%3."/>
      <w:lvlJc w:val="right"/>
      <w:pPr>
        <w:ind w:left="2407" w:hanging="180"/>
      </w:pPr>
    </w:lvl>
    <w:lvl w:ilvl="3" w:tplc="4409000F" w:tentative="1">
      <w:start w:val="1"/>
      <w:numFmt w:val="decimal"/>
      <w:lvlText w:val="%4."/>
      <w:lvlJc w:val="left"/>
      <w:pPr>
        <w:ind w:left="3127" w:hanging="360"/>
      </w:pPr>
    </w:lvl>
    <w:lvl w:ilvl="4" w:tplc="44090019" w:tentative="1">
      <w:start w:val="1"/>
      <w:numFmt w:val="lowerLetter"/>
      <w:lvlText w:val="%5."/>
      <w:lvlJc w:val="left"/>
      <w:pPr>
        <w:ind w:left="3847" w:hanging="360"/>
      </w:pPr>
    </w:lvl>
    <w:lvl w:ilvl="5" w:tplc="4409001B" w:tentative="1">
      <w:start w:val="1"/>
      <w:numFmt w:val="lowerRoman"/>
      <w:lvlText w:val="%6."/>
      <w:lvlJc w:val="right"/>
      <w:pPr>
        <w:ind w:left="4567" w:hanging="180"/>
      </w:pPr>
    </w:lvl>
    <w:lvl w:ilvl="6" w:tplc="4409000F" w:tentative="1">
      <w:start w:val="1"/>
      <w:numFmt w:val="decimal"/>
      <w:lvlText w:val="%7."/>
      <w:lvlJc w:val="left"/>
      <w:pPr>
        <w:ind w:left="5287" w:hanging="360"/>
      </w:pPr>
    </w:lvl>
    <w:lvl w:ilvl="7" w:tplc="44090019" w:tentative="1">
      <w:start w:val="1"/>
      <w:numFmt w:val="lowerLetter"/>
      <w:lvlText w:val="%8."/>
      <w:lvlJc w:val="left"/>
      <w:pPr>
        <w:ind w:left="6007" w:hanging="360"/>
      </w:pPr>
    </w:lvl>
    <w:lvl w:ilvl="8" w:tplc="4409001B" w:tentative="1">
      <w:start w:val="1"/>
      <w:numFmt w:val="lowerRoman"/>
      <w:lvlText w:val="%9."/>
      <w:lvlJc w:val="right"/>
      <w:pPr>
        <w:ind w:left="6727" w:hanging="180"/>
      </w:pPr>
    </w:lvl>
  </w:abstractNum>
  <w:abstractNum w:abstractNumId="1" w15:restartNumberingAfterBreak="0">
    <w:nsid w:val="0BFF6389"/>
    <w:multiLevelType w:val="hybridMultilevel"/>
    <w:tmpl w:val="8DD22C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BB6C2F"/>
    <w:multiLevelType w:val="multilevel"/>
    <w:tmpl w:val="45A0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873E1"/>
    <w:multiLevelType w:val="hybridMultilevel"/>
    <w:tmpl w:val="AA04EA76"/>
    <w:lvl w:ilvl="0" w:tplc="44090019">
      <w:start w:val="1"/>
      <w:numFmt w:val="lowerLetter"/>
      <w:lvlText w:val="%1."/>
      <w:lvlJc w:val="left"/>
      <w:pPr>
        <w:ind w:left="1327" w:hanging="360"/>
      </w:pPr>
    </w:lvl>
    <w:lvl w:ilvl="1" w:tplc="44090019" w:tentative="1">
      <w:start w:val="1"/>
      <w:numFmt w:val="lowerLetter"/>
      <w:lvlText w:val="%2."/>
      <w:lvlJc w:val="left"/>
      <w:pPr>
        <w:ind w:left="2047" w:hanging="360"/>
      </w:pPr>
    </w:lvl>
    <w:lvl w:ilvl="2" w:tplc="4409001B" w:tentative="1">
      <w:start w:val="1"/>
      <w:numFmt w:val="lowerRoman"/>
      <w:lvlText w:val="%3."/>
      <w:lvlJc w:val="right"/>
      <w:pPr>
        <w:ind w:left="2767" w:hanging="180"/>
      </w:pPr>
    </w:lvl>
    <w:lvl w:ilvl="3" w:tplc="4409000F" w:tentative="1">
      <w:start w:val="1"/>
      <w:numFmt w:val="decimal"/>
      <w:lvlText w:val="%4."/>
      <w:lvlJc w:val="left"/>
      <w:pPr>
        <w:ind w:left="3487" w:hanging="360"/>
      </w:pPr>
    </w:lvl>
    <w:lvl w:ilvl="4" w:tplc="44090019" w:tentative="1">
      <w:start w:val="1"/>
      <w:numFmt w:val="lowerLetter"/>
      <w:lvlText w:val="%5."/>
      <w:lvlJc w:val="left"/>
      <w:pPr>
        <w:ind w:left="4207" w:hanging="360"/>
      </w:pPr>
    </w:lvl>
    <w:lvl w:ilvl="5" w:tplc="4409001B" w:tentative="1">
      <w:start w:val="1"/>
      <w:numFmt w:val="lowerRoman"/>
      <w:lvlText w:val="%6."/>
      <w:lvlJc w:val="right"/>
      <w:pPr>
        <w:ind w:left="4927" w:hanging="180"/>
      </w:pPr>
    </w:lvl>
    <w:lvl w:ilvl="6" w:tplc="4409000F" w:tentative="1">
      <w:start w:val="1"/>
      <w:numFmt w:val="decimal"/>
      <w:lvlText w:val="%7."/>
      <w:lvlJc w:val="left"/>
      <w:pPr>
        <w:ind w:left="5647" w:hanging="360"/>
      </w:pPr>
    </w:lvl>
    <w:lvl w:ilvl="7" w:tplc="44090019" w:tentative="1">
      <w:start w:val="1"/>
      <w:numFmt w:val="lowerLetter"/>
      <w:lvlText w:val="%8."/>
      <w:lvlJc w:val="left"/>
      <w:pPr>
        <w:ind w:left="6367" w:hanging="360"/>
      </w:pPr>
    </w:lvl>
    <w:lvl w:ilvl="8" w:tplc="4409001B" w:tentative="1">
      <w:start w:val="1"/>
      <w:numFmt w:val="lowerRoman"/>
      <w:lvlText w:val="%9."/>
      <w:lvlJc w:val="right"/>
      <w:pPr>
        <w:ind w:left="7087" w:hanging="180"/>
      </w:pPr>
    </w:lvl>
  </w:abstractNum>
  <w:abstractNum w:abstractNumId="4" w15:restartNumberingAfterBreak="0">
    <w:nsid w:val="15ED5AA4"/>
    <w:multiLevelType w:val="hybridMultilevel"/>
    <w:tmpl w:val="3C2A6BE0"/>
    <w:lvl w:ilvl="0" w:tplc="44090019">
      <w:start w:val="1"/>
      <w:numFmt w:val="lowerLetter"/>
      <w:lvlText w:val="%1."/>
      <w:lvlJc w:val="left"/>
      <w:pPr>
        <w:ind w:left="1327" w:hanging="360"/>
      </w:pPr>
    </w:lvl>
    <w:lvl w:ilvl="1" w:tplc="44090019" w:tentative="1">
      <w:start w:val="1"/>
      <w:numFmt w:val="lowerLetter"/>
      <w:lvlText w:val="%2."/>
      <w:lvlJc w:val="left"/>
      <w:pPr>
        <w:ind w:left="2047" w:hanging="360"/>
      </w:pPr>
    </w:lvl>
    <w:lvl w:ilvl="2" w:tplc="4409001B" w:tentative="1">
      <w:start w:val="1"/>
      <w:numFmt w:val="lowerRoman"/>
      <w:lvlText w:val="%3."/>
      <w:lvlJc w:val="right"/>
      <w:pPr>
        <w:ind w:left="2767" w:hanging="180"/>
      </w:pPr>
    </w:lvl>
    <w:lvl w:ilvl="3" w:tplc="4409000F" w:tentative="1">
      <w:start w:val="1"/>
      <w:numFmt w:val="decimal"/>
      <w:lvlText w:val="%4."/>
      <w:lvlJc w:val="left"/>
      <w:pPr>
        <w:ind w:left="3487" w:hanging="360"/>
      </w:pPr>
    </w:lvl>
    <w:lvl w:ilvl="4" w:tplc="44090019" w:tentative="1">
      <w:start w:val="1"/>
      <w:numFmt w:val="lowerLetter"/>
      <w:lvlText w:val="%5."/>
      <w:lvlJc w:val="left"/>
      <w:pPr>
        <w:ind w:left="4207" w:hanging="360"/>
      </w:pPr>
    </w:lvl>
    <w:lvl w:ilvl="5" w:tplc="4409001B" w:tentative="1">
      <w:start w:val="1"/>
      <w:numFmt w:val="lowerRoman"/>
      <w:lvlText w:val="%6."/>
      <w:lvlJc w:val="right"/>
      <w:pPr>
        <w:ind w:left="4927" w:hanging="180"/>
      </w:pPr>
    </w:lvl>
    <w:lvl w:ilvl="6" w:tplc="4409000F" w:tentative="1">
      <w:start w:val="1"/>
      <w:numFmt w:val="decimal"/>
      <w:lvlText w:val="%7."/>
      <w:lvlJc w:val="left"/>
      <w:pPr>
        <w:ind w:left="5647" w:hanging="360"/>
      </w:pPr>
    </w:lvl>
    <w:lvl w:ilvl="7" w:tplc="44090019" w:tentative="1">
      <w:start w:val="1"/>
      <w:numFmt w:val="lowerLetter"/>
      <w:lvlText w:val="%8."/>
      <w:lvlJc w:val="left"/>
      <w:pPr>
        <w:ind w:left="6367" w:hanging="360"/>
      </w:pPr>
    </w:lvl>
    <w:lvl w:ilvl="8" w:tplc="4409001B" w:tentative="1">
      <w:start w:val="1"/>
      <w:numFmt w:val="lowerRoman"/>
      <w:lvlText w:val="%9."/>
      <w:lvlJc w:val="right"/>
      <w:pPr>
        <w:ind w:left="7087" w:hanging="180"/>
      </w:pPr>
    </w:lvl>
  </w:abstractNum>
  <w:abstractNum w:abstractNumId="5" w15:restartNumberingAfterBreak="0">
    <w:nsid w:val="2C0A39A6"/>
    <w:multiLevelType w:val="hybridMultilevel"/>
    <w:tmpl w:val="FA56727A"/>
    <w:lvl w:ilvl="0" w:tplc="039CC23C">
      <w:start w:val="1"/>
      <w:numFmt w:val="decimal"/>
      <w:lvlText w:val="%1."/>
      <w:lvlJc w:val="left"/>
      <w:pPr>
        <w:ind w:left="1356" w:hanging="360"/>
      </w:pPr>
      <w:rPr>
        <w:rFonts w:hint="default"/>
      </w:rPr>
    </w:lvl>
    <w:lvl w:ilvl="1" w:tplc="40090019" w:tentative="1">
      <w:start w:val="1"/>
      <w:numFmt w:val="lowerLetter"/>
      <w:lvlText w:val="%2."/>
      <w:lvlJc w:val="left"/>
      <w:pPr>
        <w:ind w:left="2076" w:hanging="360"/>
      </w:pPr>
    </w:lvl>
    <w:lvl w:ilvl="2" w:tplc="4009001B" w:tentative="1">
      <w:start w:val="1"/>
      <w:numFmt w:val="lowerRoman"/>
      <w:lvlText w:val="%3."/>
      <w:lvlJc w:val="right"/>
      <w:pPr>
        <w:ind w:left="2796" w:hanging="180"/>
      </w:pPr>
    </w:lvl>
    <w:lvl w:ilvl="3" w:tplc="4009000F" w:tentative="1">
      <w:start w:val="1"/>
      <w:numFmt w:val="decimal"/>
      <w:lvlText w:val="%4."/>
      <w:lvlJc w:val="left"/>
      <w:pPr>
        <w:ind w:left="3516" w:hanging="360"/>
      </w:pPr>
    </w:lvl>
    <w:lvl w:ilvl="4" w:tplc="40090019" w:tentative="1">
      <w:start w:val="1"/>
      <w:numFmt w:val="lowerLetter"/>
      <w:lvlText w:val="%5."/>
      <w:lvlJc w:val="left"/>
      <w:pPr>
        <w:ind w:left="4236" w:hanging="360"/>
      </w:pPr>
    </w:lvl>
    <w:lvl w:ilvl="5" w:tplc="4009001B" w:tentative="1">
      <w:start w:val="1"/>
      <w:numFmt w:val="lowerRoman"/>
      <w:lvlText w:val="%6."/>
      <w:lvlJc w:val="right"/>
      <w:pPr>
        <w:ind w:left="4956" w:hanging="180"/>
      </w:pPr>
    </w:lvl>
    <w:lvl w:ilvl="6" w:tplc="4009000F" w:tentative="1">
      <w:start w:val="1"/>
      <w:numFmt w:val="decimal"/>
      <w:lvlText w:val="%7."/>
      <w:lvlJc w:val="left"/>
      <w:pPr>
        <w:ind w:left="5676" w:hanging="360"/>
      </w:pPr>
    </w:lvl>
    <w:lvl w:ilvl="7" w:tplc="40090019" w:tentative="1">
      <w:start w:val="1"/>
      <w:numFmt w:val="lowerLetter"/>
      <w:lvlText w:val="%8."/>
      <w:lvlJc w:val="left"/>
      <w:pPr>
        <w:ind w:left="6396" w:hanging="360"/>
      </w:pPr>
    </w:lvl>
    <w:lvl w:ilvl="8" w:tplc="4009001B" w:tentative="1">
      <w:start w:val="1"/>
      <w:numFmt w:val="lowerRoman"/>
      <w:lvlText w:val="%9."/>
      <w:lvlJc w:val="right"/>
      <w:pPr>
        <w:ind w:left="7116" w:hanging="180"/>
      </w:pPr>
    </w:lvl>
  </w:abstractNum>
  <w:abstractNum w:abstractNumId="6" w15:restartNumberingAfterBreak="0">
    <w:nsid w:val="5D1954F0"/>
    <w:multiLevelType w:val="hybridMultilevel"/>
    <w:tmpl w:val="A42C9A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6F69C3"/>
    <w:multiLevelType w:val="hybridMultilevel"/>
    <w:tmpl w:val="9698F292"/>
    <w:lvl w:ilvl="0" w:tplc="3046766C">
      <w:start w:val="1"/>
      <w:numFmt w:val="lowerLetter"/>
      <w:lvlText w:val="(%1)"/>
      <w:lvlJc w:val="left"/>
      <w:pPr>
        <w:ind w:left="967" w:hanging="360"/>
      </w:pPr>
      <w:rPr>
        <w:rFonts w:hint="default"/>
      </w:rPr>
    </w:lvl>
    <w:lvl w:ilvl="1" w:tplc="44090019" w:tentative="1">
      <w:start w:val="1"/>
      <w:numFmt w:val="lowerLetter"/>
      <w:lvlText w:val="%2."/>
      <w:lvlJc w:val="left"/>
      <w:pPr>
        <w:ind w:left="1687" w:hanging="360"/>
      </w:pPr>
    </w:lvl>
    <w:lvl w:ilvl="2" w:tplc="4409001B" w:tentative="1">
      <w:start w:val="1"/>
      <w:numFmt w:val="lowerRoman"/>
      <w:lvlText w:val="%3."/>
      <w:lvlJc w:val="right"/>
      <w:pPr>
        <w:ind w:left="2407" w:hanging="180"/>
      </w:pPr>
    </w:lvl>
    <w:lvl w:ilvl="3" w:tplc="4409000F" w:tentative="1">
      <w:start w:val="1"/>
      <w:numFmt w:val="decimal"/>
      <w:lvlText w:val="%4."/>
      <w:lvlJc w:val="left"/>
      <w:pPr>
        <w:ind w:left="3127" w:hanging="360"/>
      </w:pPr>
    </w:lvl>
    <w:lvl w:ilvl="4" w:tplc="44090019" w:tentative="1">
      <w:start w:val="1"/>
      <w:numFmt w:val="lowerLetter"/>
      <w:lvlText w:val="%5."/>
      <w:lvlJc w:val="left"/>
      <w:pPr>
        <w:ind w:left="3847" w:hanging="360"/>
      </w:pPr>
    </w:lvl>
    <w:lvl w:ilvl="5" w:tplc="4409001B" w:tentative="1">
      <w:start w:val="1"/>
      <w:numFmt w:val="lowerRoman"/>
      <w:lvlText w:val="%6."/>
      <w:lvlJc w:val="right"/>
      <w:pPr>
        <w:ind w:left="4567" w:hanging="180"/>
      </w:pPr>
    </w:lvl>
    <w:lvl w:ilvl="6" w:tplc="4409000F" w:tentative="1">
      <w:start w:val="1"/>
      <w:numFmt w:val="decimal"/>
      <w:lvlText w:val="%7."/>
      <w:lvlJc w:val="left"/>
      <w:pPr>
        <w:ind w:left="5287" w:hanging="360"/>
      </w:pPr>
    </w:lvl>
    <w:lvl w:ilvl="7" w:tplc="44090019" w:tentative="1">
      <w:start w:val="1"/>
      <w:numFmt w:val="lowerLetter"/>
      <w:lvlText w:val="%8."/>
      <w:lvlJc w:val="left"/>
      <w:pPr>
        <w:ind w:left="6007" w:hanging="360"/>
      </w:pPr>
    </w:lvl>
    <w:lvl w:ilvl="8" w:tplc="4409001B" w:tentative="1">
      <w:start w:val="1"/>
      <w:numFmt w:val="lowerRoman"/>
      <w:lvlText w:val="%9."/>
      <w:lvlJc w:val="right"/>
      <w:pPr>
        <w:ind w:left="6727" w:hanging="180"/>
      </w:pPr>
    </w:lvl>
  </w:abstractNum>
  <w:abstractNum w:abstractNumId="8" w15:restartNumberingAfterBreak="0">
    <w:nsid w:val="6E034200"/>
    <w:multiLevelType w:val="hybridMultilevel"/>
    <w:tmpl w:val="66680B58"/>
    <w:lvl w:ilvl="0" w:tplc="4409000F">
      <w:start w:val="1"/>
      <w:numFmt w:val="decimal"/>
      <w:lvlText w:val="%1."/>
      <w:lvlJc w:val="left"/>
      <w:pPr>
        <w:ind w:left="1327" w:hanging="360"/>
      </w:pPr>
    </w:lvl>
    <w:lvl w:ilvl="1" w:tplc="44090019" w:tentative="1">
      <w:start w:val="1"/>
      <w:numFmt w:val="lowerLetter"/>
      <w:lvlText w:val="%2."/>
      <w:lvlJc w:val="left"/>
      <w:pPr>
        <w:ind w:left="2047" w:hanging="360"/>
      </w:pPr>
    </w:lvl>
    <w:lvl w:ilvl="2" w:tplc="4409001B" w:tentative="1">
      <w:start w:val="1"/>
      <w:numFmt w:val="lowerRoman"/>
      <w:lvlText w:val="%3."/>
      <w:lvlJc w:val="right"/>
      <w:pPr>
        <w:ind w:left="2767" w:hanging="180"/>
      </w:pPr>
    </w:lvl>
    <w:lvl w:ilvl="3" w:tplc="4409000F" w:tentative="1">
      <w:start w:val="1"/>
      <w:numFmt w:val="decimal"/>
      <w:lvlText w:val="%4."/>
      <w:lvlJc w:val="left"/>
      <w:pPr>
        <w:ind w:left="3487" w:hanging="360"/>
      </w:pPr>
    </w:lvl>
    <w:lvl w:ilvl="4" w:tplc="44090019" w:tentative="1">
      <w:start w:val="1"/>
      <w:numFmt w:val="lowerLetter"/>
      <w:lvlText w:val="%5."/>
      <w:lvlJc w:val="left"/>
      <w:pPr>
        <w:ind w:left="4207" w:hanging="360"/>
      </w:pPr>
    </w:lvl>
    <w:lvl w:ilvl="5" w:tplc="4409001B" w:tentative="1">
      <w:start w:val="1"/>
      <w:numFmt w:val="lowerRoman"/>
      <w:lvlText w:val="%6."/>
      <w:lvlJc w:val="right"/>
      <w:pPr>
        <w:ind w:left="4927" w:hanging="180"/>
      </w:pPr>
    </w:lvl>
    <w:lvl w:ilvl="6" w:tplc="4409000F" w:tentative="1">
      <w:start w:val="1"/>
      <w:numFmt w:val="decimal"/>
      <w:lvlText w:val="%7."/>
      <w:lvlJc w:val="left"/>
      <w:pPr>
        <w:ind w:left="5647" w:hanging="360"/>
      </w:pPr>
    </w:lvl>
    <w:lvl w:ilvl="7" w:tplc="44090019" w:tentative="1">
      <w:start w:val="1"/>
      <w:numFmt w:val="lowerLetter"/>
      <w:lvlText w:val="%8."/>
      <w:lvlJc w:val="left"/>
      <w:pPr>
        <w:ind w:left="6367" w:hanging="360"/>
      </w:pPr>
    </w:lvl>
    <w:lvl w:ilvl="8" w:tplc="4409001B" w:tentative="1">
      <w:start w:val="1"/>
      <w:numFmt w:val="lowerRoman"/>
      <w:lvlText w:val="%9."/>
      <w:lvlJc w:val="right"/>
      <w:pPr>
        <w:ind w:left="7087" w:hanging="180"/>
      </w:pPr>
    </w:lvl>
  </w:abstractNum>
  <w:num w:numId="1" w16cid:durableId="1780681020">
    <w:abstractNumId w:val="8"/>
  </w:num>
  <w:num w:numId="2" w16cid:durableId="461457803">
    <w:abstractNumId w:val="3"/>
  </w:num>
  <w:num w:numId="3" w16cid:durableId="2088722455">
    <w:abstractNumId w:val="7"/>
  </w:num>
  <w:num w:numId="4" w16cid:durableId="44331803">
    <w:abstractNumId w:val="4"/>
  </w:num>
  <w:num w:numId="5" w16cid:durableId="338243553">
    <w:abstractNumId w:val="0"/>
  </w:num>
  <w:num w:numId="6" w16cid:durableId="959337544">
    <w:abstractNumId w:val="1"/>
  </w:num>
  <w:num w:numId="7" w16cid:durableId="937181807">
    <w:abstractNumId w:val="6"/>
  </w:num>
  <w:num w:numId="8" w16cid:durableId="774129795">
    <w:abstractNumId w:val="5"/>
  </w:num>
  <w:num w:numId="9" w16cid:durableId="1931238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89"/>
    <w:rsid w:val="00001C8F"/>
    <w:rsid w:val="0000667A"/>
    <w:rsid w:val="00024773"/>
    <w:rsid w:val="000330E5"/>
    <w:rsid w:val="00091932"/>
    <w:rsid w:val="000F143B"/>
    <w:rsid w:val="001212B2"/>
    <w:rsid w:val="001376F3"/>
    <w:rsid w:val="00154CCB"/>
    <w:rsid w:val="00182587"/>
    <w:rsid w:val="00183183"/>
    <w:rsid w:val="001F423C"/>
    <w:rsid w:val="00204789"/>
    <w:rsid w:val="0021640E"/>
    <w:rsid w:val="00243620"/>
    <w:rsid w:val="00251AFE"/>
    <w:rsid w:val="00262BFB"/>
    <w:rsid w:val="002752EB"/>
    <w:rsid w:val="00281B65"/>
    <w:rsid w:val="002B328A"/>
    <w:rsid w:val="002B5F6C"/>
    <w:rsid w:val="002C12D6"/>
    <w:rsid w:val="002C7ADA"/>
    <w:rsid w:val="0031262D"/>
    <w:rsid w:val="00345792"/>
    <w:rsid w:val="0039025D"/>
    <w:rsid w:val="00396926"/>
    <w:rsid w:val="00405F40"/>
    <w:rsid w:val="004E04DE"/>
    <w:rsid w:val="00502F2C"/>
    <w:rsid w:val="00522033"/>
    <w:rsid w:val="00526A74"/>
    <w:rsid w:val="00530BF7"/>
    <w:rsid w:val="005312F5"/>
    <w:rsid w:val="00551A0F"/>
    <w:rsid w:val="00554289"/>
    <w:rsid w:val="005565BA"/>
    <w:rsid w:val="00574B4A"/>
    <w:rsid w:val="00584663"/>
    <w:rsid w:val="00597A6E"/>
    <w:rsid w:val="005E0E6D"/>
    <w:rsid w:val="005F4D5C"/>
    <w:rsid w:val="00607897"/>
    <w:rsid w:val="00612D84"/>
    <w:rsid w:val="006562FE"/>
    <w:rsid w:val="00694E69"/>
    <w:rsid w:val="006C2CE5"/>
    <w:rsid w:val="00720128"/>
    <w:rsid w:val="00744D21"/>
    <w:rsid w:val="00757026"/>
    <w:rsid w:val="007728EB"/>
    <w:rsid w:val="00792EAF"/>
    <w:rsid w:val="00794EBB"/>
    <w:rsid w:val="007A1E04"/>
    <w:rsid w:val="007B0534"/>
    <w:rsid w:val="007D32EC"/>
    <w:rsid w:val="00874B83"/>
    <w:rsid w:val="00885441"/>
    <w:rsid w:val="008A2A86"/>
    <w:rsid w:val="008C123F"/>
    <w:rsid w:val="008F7092"/>
    <w:rsid w:val="00987B0C"/>
    <w:rsid w:val="009A07DA"/>
    <w:rsid w:val="009A6CEE"/>
    <w:rsid w:val="009A76B6"/>
    <w:rsid w:val="009C7D72"/>
    <w:rsid w:val="009D76BE"/>
    <w:rsid w:val="009F21A9"/>
    <w:rsid w:val="00A05B02"/>
    <w:rsid w:val="00A318FF"/>
    <w:rsid w:val="00A45607"/>
    <w:rsid w:val="00A501B9"/>
    <w:rsid w:val="00A529D4"/>
    <w:rsid w:val="00A63502"/>
    <w:rsid w:val="00A66C43"/>
    <w:rsid w:val="00A73254"/>
    <w:rsid w:val="00A956EE"/>
    <w:rsid w:val="00B016B0"/>
    <w:rsid w:val="00B15898"/>
    <w:rsid w:val="00B444C8"/>
    <w:rsid w:val="00B610D0"/>
    <w:rsid w:val="00B61861"/>
    <w:rsid w:val="00B62568"/>
    <w:rsid w:val="00B647AB"/>
    <w:rsid w:val="00B7436F"/>
    <w:rsid w:val="00B838C3"/>
    <w:rsid w:val="00B97A6E"/>
    <w:rsid w:val="00BD1E0E"/>
    <w:rsid w:val="00C27144"/>
    <w:rsid w:val="00C3224F"/>
    <w:rsid w:val="00C62DEC"/>
    <w:rsid w:val="00C87F48"/>
    <w:rsid w:val="00CA3A33"/>
    <w:rsid w:val="00CA3EBC"/>
    <w:rsid w:val="00CB72B2"/>
    <w:rsid w:val="00D17ADB"/>
    <w:rsid w:val="00D31BA1"/>
    <w:rsid w:val="00D34AEC"/>
    <w:rsid w:val="00D4515A"/>
    <w:rsid w:val="00D506EA"/>
    <w:rsid w:val="00D56A18"/>
    <w:rsid w:val="00D71689"/>
    <w:rsid w:val="00D82938"/>
    <w:rsid w:val="00D91C06"/>
    <w:rsid w:val="00DA339F"/>
    <w:rsid w:val="00DF1C78"/>
    <w:rsid w:val="00DF550D"/>
    <w:rsid w:val="00DF6002"/>
    <w:rsid w:val="00E03FEE"/>
    <w:rsid w:val="00E23138"/>
    <w:rsid w:val="00E26424"/>
    <w:rsid w:val="00E3355F"/>
    <w:rsid w:val="00E57001"/>
    <w:rsid w:val="00E664A9"/>
    <w:rsid w:val="00E90DC1"/>
    <w:rsid w:val="00EC1F07"/>
    <w:rsid w:val="00ED1643"/>
    <w:rsid w:val="00EE2FA7"/>
    <w:rsid w:val="00EF4658"/>
    <w:rsid w:val="00F23AFA"/>
    <w:rsid w:val="00F44848"/>
    <w:rsid w:val="00F5796F"/>
    <w:rsid w:val="00F6334F"/>
    <w:rsid w:val="00F7268B"/>
    <w:rsid w:val="00F7717B"/>
    <w:rsid w:val="00FB6AAE"/>
    <w:rsid w:val="00FC5353"/>
    <w:rsid w:val="00FD5FA0"/>
    <w:rsid w:val="00FE74BF"/>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E9DE"/>
  <w15:chartTrackingRefBased/>
  <w15:docId w15:val="{9E30C173-75BC-4A12-8031-619AE326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MY"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68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7168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7168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71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68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7168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7168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71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689"/>
    <w:rPr>
      <w:rFonts w:eastAsiaTheme="majorEastAsia" w:cstheme="majorBidi"/>
      <w:color w:val="272727" w:themeColor="text1" w:themeTint="D8"/>
    </w:rPr>
  </w:style>
  <w:style w:type="paragraph" w:styleId="Title">
    <w:name w:val="Title"/>
    <w:basedOn w:val="Normal"/>
    <w:next w:val="Normal"/>
    <w:link w:val="TitleChar"/>
    <w:uiPriority w:val="10"/>
    <w:qFormat/>
    <w:rsid w:val="00D7168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7168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7168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7168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71689"/>
    <w:pPr>
      <w:spacing w:before="160"/>
      <w:jc w:val="center"/>
    </w:pPr>
    <w:rPr>
      <w:i/>
      <w:iCs/>
      <w:color w:val="404040" w:themeColor="text1" w:themeTint="BF"/>
    </w:rPr>
  </w:style>
  <w:style w:type="character" w:customStyle="1" w:styleId="QuoteChar">
    <w:name w:val="Quote Char"/>
    <w:basedOn w:val="DefaultParagraphFont"/>
    <w:link w:val="Quote"/>
    <w:uiPriority w:val="29"/>
    <w:rsid w:val="00D71689"/>
    <w:rPr>
      <w:i/>
      <w:iCs/>
      <w:color w:val="404040" w:themeColor="text1" w:themeTint="BF"/>
    </w:rPr>
  </w:style>
  <w:style w:type="paragraph" w:styleId="ListParagraph">
    <w:name w:val="List Paragraph"/>
    <w:basedOn w:val="Normal"/>
    <w:uiPriority w:val="34"/>
    <w:qFormat/>
    <w:rsid w:val="00D71689"/>
    <w:pPr>
      <w:ind w:left="720"/>
      <w:contextualSpacing/>
    </w:pPr>
  </w:style>
  <w:style w:type="character" w:styleId="IntenseEmphasis">
    <w:name w:val="Intense Emphasis"/>
    <w:basedOn w:val="DefaultParagraphFont"/>
    <w:uiPriority w:val="21"/>
    <w:qFormat/>
    <w:rsid w:val="00D71689"/>
    <w:rPr>
      <w:i/>
      <w:iCs/>
      <w:color w:val="0F4761" w:themeColor="accent1" w:themeShade="BF"/>
    </w:rPr>
  </w:style>
  <w:style w:type="paragraph" w:styleId="IntenseQuote">
    <w:name w:val="Intense Quote"/>
    <w:basedOn w:val="Normal"/>
    <w:next w:val="Normal"/>
    <w:link w:val="IntenseQuoteChar"/>
    <w:uiPriority w:val="30"/>
    <w:qFormat/>
    <w:rsid w:val="00D71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689"/>
    <w:rPr>
      <w:i/>
      <w:iCs/>
      <w:color w:val="0F4761" w:themeColor="accent1" w:themeShade="BF"/>
    </w:rPr>
  </w:style>
  <w:style w:type="character" w:styleId="IntenseReference">
    <w:name w:val="Intense Reference"/>
    <w:basedOn w:val="DefaultParagraphFont"/>
    <w:uiPriority w:val="32"/>
    <w:qFormat/>
    <w:rsid w:val="00D71689"/>
    <w:rPr>
      <w:b/>
      <w:bCs/>
      <w:smallCaps/>
      <w:color w:val="0F4761" w:themeColor="accent1" w:themeShade="BF"/>
      <w:spacing w:val="5"/>
    </w:rPr>
  </w:style>
  <w:style w:type="paragraph" w:styleId="Header">
    <w:name w:val="header"/>
    <w:basedOn w:val="Normal"/>
    <w:link w:val="HeaderChar"/>
    <w:uiPriority w:val="99"/>
    <w:unhideWhenUsed/>
    <w:rsid w:val="00D71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689"/>
  </w:style>
  <w:style w:type="paragraph" w:styleId="Footer">
    <w:name w:val="footer"/>
    <w:basedOn w:val="Normal"/>
    <w:link w:val="FooterChar"/>
    <w:uiPriority w:val="99"/>
    <w:unhideWhenUsed/>
    <w:rsid w:val="00D71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689"/>
  </w:style>
  <w:style w:type="character" w:styleId="Hyperlink">
    <w:name w:val="Hyperlink"/>
    <w:basedOn w:val="DefaultParagraphFont"/>
    <w:uiPriority w:val="99"/>
    <w:unhideWhenUsed/>
    <w:rsid w:val="007728EB"/>
    <w:rPr>
      <w:color w:val="467886" w:themeColor="hyperlink"/>
      <w:u w:val="single"/>
    </w:rPr>
  </w:style>
  <w:style w:type="character" w:styleId="UnresolvedMention">
    <w:name w:val="Unresolved Mention"/>
    <w:basedOn w:val="DefaultParagraphFont"/>
    <w:uiPriority w:val="99"/>
    <w:semiHidden/>
    <w:unhideWhenUsed/>
    <w:rsid w:val="007728EB"/>
    <w:rPr>
      <w:color w:val="605E5C"/>
      <w:shd w:val="clear" w:color="auto" w:fill="E1DFDD"/>
    </w:rPr>
  </w:style>
  <w:style w:type="table" w:styleId="TableGrid">
    <w:name w:val="Table Grid"/>
    <w:basedOn w:val="TableNormal"/>
    <w:uiPriority w:val="59"/>
    <w:rsid w:val="009F21A9"/>
    <w:pPr>
      <w:spacing w:before="20" w:after="0" w:line="240" w:lineRule="auto"/>
    </w:pPr>
    <w:rPr>
      <w:rFonts w:ascii="Times New Roman" w:eastAsia="Times New Roman" w:hAnsi="Times New Roman" w:cs="Times New Roman"/>
      <w:kern w:val="0"/>
      <w:sz w:val="24"/>
      <w:szCs w:val="24"/>
      <w:lang w:eastAsia="en-MY"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0128"/>
    <w:rPr>
      <w:rFonts w:ascii="Times New Roman" w:hAnsi="Times New Roman" w:cs="Angsana New"/>
      <w:sz w:val="24"/>
      <w:szCs w:val="30"/>
    </w:rPr>
  </w:style>
  <w:style w:type="character" w:styleId="Strong">
    <w:name w:val="Strong"/>
    <w:uiPriority w:val="22"/>
    <w:qFormat/>
    <w:rsid w:val="00794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00046" TargetMode="External"/><Relationship Id="rId13" Type="http://schemas.openxmlformats.org/officeDocument/2006/relationships/hyperlink" Target="https://doi.org/10.1080/0305764032000122005" TargetMode="External"/><Relationship Id="rId18" Type="http://schemas.openxmlformats.org/officeDocument/2006/relationships/hyperlink" Target="https://doi.org/10.1080/13632430701800060" TargetMode="External"/><Relationship Id="rId26" Type="http://schemas.openxmlformats.org/officeDocument/2006/relationships/hyperlink" Target="https://doi.org/10.1177/0013161X08321509" TargetMode="External"/><Relationship Id="rId3" Type="http://schemas.openxmlformats.org/officeDocument/2006/relationships/styles" Target="styles.xml"/><Relationship Id="rId21" Type="http://schemas.openxmlformats.org/officeDocument/2006/relationships/hyperlink" Target="https://doi.org/10.1007/978-3-319-50980-8" TargetMode="External"/><Relationship Id="rId7" Type="http://schemas.openxmlformats.org/officeDocument/2006/relationships/endnotes" Target="endnotes.xml"/><Relationship Id="rId12" Type="http://schemas.openxmlformats.org/officeDocument/2006/relationships/hyperlink" Target="https://doi.org/10.1108/JEA-01-2022-0001" TargetMode="External"/><Relationship Id="rId17" Type="http://schemas.openxmlformats.org/officeDocument/2006/relationships/hyperlink" Target="https://doi.org/10.3390/educsci11080377" TargetMode="External"/><Relationship Id="rId25" Type="http://schemas.openxmlformats.org/officeDocument/2006/relationships/hyperlink" Target="https://doi.org/10.35608/ruraled.v38i1.231" TargetMode="External"/><Relationship Id="rId2" Type="http://schemas.openxmlformats.org/officeDocument/2006/relationships/numbering" Target="numbering.xml"/><Relationship Id="rId16" Type="http://schemas.openxmlformats.org/officeDocument/2006/relationships/hyperlink" Target="https://doi.org/10.3102/0034654315614911" TargetMode="External"/><Relationship Id="rId20" Type="http://schemas.openxmlformats.org/officeDocument/2006/relationships/hyperlink" Target="https://doi.org/10.1108/JEA-08-2022-01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942775121990054" TargetMode="External"/><Relationship Id="rId24" Type="http://schemas.openxmlformats.org/officeDocument/2006/relationships/hyperlink" Target="https://doi.org/10.1037/0003-066X.58.5.364" TargetMode="External"/><Relationship Id="rId5" Type="http://schemas.openxmlformats.org/officeDocument/2006/relationships/webSettings" Target="webSettings.xml"/><Relationship Id="rId15" Type="http://schemas.openxmlformats.org/officeDocument/2006/relationships/hyperlink" Target="https://doi.org/10.1080/13603124.2018.1450996" TargetMode="External"/><Relationship Id="rId23" Type="http://schemas.openxmlformats.org/officeDocument/2006/relationships/hyperlink" Target="https://doi.org/10.1177/0013161X03253412" TargetMode="External"/><Relationship Id="rId28" Type="http://schemas.openxmlformats.org/officeDocument/2006/relationships/header" Target="header1.xml"/><Relationship Id="rId10" Type="http://schemas.openxmlformats.org/officeDocument/2006/relationships/hyperlink" Target="https://doi.org/10.4324/9780367566098" TargetMode="External"/><Relationship Id="rId19" Type="http://schemas.openxmlformats.org/officeDocument/2006/relationships/hyperlink" Target="https://doi.org/10.1108/JEA-01-2017-000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7405/mjssh.v7i3.1404" TargetMode="External"/><Relationship Id="rId14" Type="http://schemas.openxmlformats.org/officeDocument/2006/relationships/hyperlink" Target="https://doi.org/10.1177/1741143216670652" TargetMode="External"/><Relationship Id="rId22" Type="http://schemas.openxmlformats.org/officeDocument/2006/relationships/hyperlink" Target="https://doi.org/10.1177/0013161X19878772" TargetMode="External"/><Relationship Id="rId27" Type="http://schemas.openxmlformats.org/officeDocument/2006/relationships/hyperlink" Target="https://doi.org/10.1016/j.leaqua.2006.10.007"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CABE-9C6F-4EFD-AEDC-87C10D04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6272</Words>
  <Characters>35752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Practices of Exemplary Principals in Malaysian Secondary Schools: Evidence from Pahang</dc:title>
  <dc:subject/>
  <dc:creator>Faizah;Noor Faizah Idris1*;Badaruddin Ibrahim 2</dc:creator>
  <cp:keywords/>
  <dc:description/>
  <cp:lastModifiedBy>ayushi tripathi</cp:lastModifiedBy>
  <cp:revision>2</cp:revision>
  <dcterms:created xsi:type="dcterms:W3CDTF">2026-02-23T08:24:00Z</dcterms:created>
  <dcterms:modified xsi:type="dcterms:W3CDTF">2026-02-23T08:24:00Z</dcterms:modified>
</cp:coreProperties>
</file>