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9C46F" w14:textId="77777777" w:rsidR="00DC5633" w:rsidRPr="007640AA" w:rsidRDefault="00FB4856" w:rsidP="007640AA">
      <w:pPr>
        <w:pStyle w:val="Heading1"/>
        <w:jc w:val="right"/>
        <w:rPr>
          <w:rFonts w:ascii="Arial" w:hAnsi="Arial" w:cs="Arial"/>
          <w:b w:val="0"/>
          <w:iCs/>
          <w:sz w:val="20"/>
          <w:szCs w:val="20"/>
        </w:rPr>
      </w:pPr>
      <w:r w:rsidRPr="007640AA">
        <w:rPr>
          <w:rFonts w:ascii="Arial" w:hAnsi="Arial" w:cs="Arial"/>
          <w:color w:val="000000" w:themeColor="text1"/>
          <w:sz w:val="20"/>
          <w:szCs w:val="20"/>
        </w:rPr>
        <w:t>Design and Development of a Low-Cost Portable Carbon Capture Unit for Reducing Gas Flare Emissions in Niger Delta Region, Nigeria</w:t>
      </w:r>
      <w:r w:rsidR="00DC5633" w:rsidRPr="007640AA">
        <w:rPr>
          <w:rFonts w:ascii="Arial" w:hAnsi="Arial" w:cs="Arial"/>
          <w:b w:val="0"/>
          <w:iCs/>
          <w:sz w:val="20"/>
          <w:szCs w:val="20"/>
        </w:rPr>
        <w:t xml:space="preserve"> </w:t>
      </w:r>
    </w:p>
    <w:p w14:paraId="4C49C470" w14:textId="77777777" w:rsidR="00DC5633" w:rsidRPr="007640AA" w:rsidRDefault="00DC5633" w:rsidP="007640AA">
      <w:pPr>
        <w:pStyle w:val="Heading1"/>
        <w:jc w:val="right"/>
        <w:rPr>
          <w:rFonts w:ascii="Arial" w:hAnsi="Arial" w:cs="Arial"/>
          <w:b w:val="0"/>
          <w:iCs/>
          <w:sz w:val="20"/>
          <w:szCs w:val="20"/>
        </w:rPr>
      </w:pPr>
      <w:r w:rsidRPr="007640AA">
        <w:rPr>
          <w:rFonts w:ascii="Arial" w:hAnsi="Arial" w:cs="Arial"/>
          <w:b w:val="0"/>
          <w:iCs/>
          <w:sz w:val="20"/>
          <w:szCs w:val="20"/>
        </w:rPr>
        <w:t>Author(s)</w:t>
      </w:r>
    </w:p>
    <w:p w14:paraId="4C49C471" w14:textId="3E68CDF4" w:rsidR="00DC5633" w:rsidRPr="007640AA" w:rsidRDefault="002C636B" w:rsidP="007640AA">
      <w:pPr>
        <w:pStyle w:val="Heading1"/>
        <w:spacing w:before="0" w:beforeAutospacing="0"/>
        <w:jc w:val="right"/>
        <w:rPr>
          <w:rFonts w:ascii="Arial" w:hAnsi="Arial" w:cs="Arial"/>
          <w:bCs w:val="0"/>
          <w:sz w:val="20"/>
          <w:szCs w:val="20"/>
        </w:rPr>
      </w:pPr>
      <w:proofErr w:type="spellStart"/>
      <w:r w:rsidRPr="007640AA">
        <w:rPr>
          <w:rFonts w:ascii="Arial" w:hAnsi="Arial" w:cs="Arial"/>
          <w:iCs/>
          <w:sz w:val="20"/>
          <w:szCs w:val="20"/>
        </w:rPr>
        <w:t>Imaobong</w:t>
      </w:r>
      <w:proofErr w:type="spellEnd"/>
      <w:r w:rsidRPr="007640AA">
        <w:rPr>
          <w:rFonts w:ascii="Arial" w:hAnsi="Arial" w:cs="Arial"/>
          <w:iCs/>
          <w:sz w:val="20"/>
          <w:szCs w:val="20"/>
        </w:rPr>
        <w:t xml:space="preserve"> </w:t>
      </w:r>
      <w:proofErr w:type="spellStart"/>
      <w:r w:rsidRPr="007640AA">
        <w:rPr>
          <w:rFonts w:ascii="Arial" w:hAnsi="Arial" w:cs="Arial"/>
          <w:iCs/>
          <w:sz w:val="20"/>
          <w:szCs w:val="20"/>
        </w:rPr>
        <w:t>Okpongette</w:t>
      </w:r>
      <w:proofErr w:type="spellEnd"/>
      <w:r w:rsidRPr="007640AA">
        <w:rPr>
          <w:rFonts w:ascii="Arial" w:hAnsi="Arial" w:cs="Arial"/>
          <w:iCs/>
          <w:sz w:val="20"/>
          <w:szCs w:val="20"/>
        </w:rPr>
        <w:t xml:space="preserve"> Akpan</w:t>
      </w:r>
    </w:p>
    <w:p w14:paraId="4C49C472" w14:textId="77777777" w:rsidR="00DC5633" w:rsidRPr="007640AA" w:rsidRDefault="00DC5633" w:rsidP="007640AA">
      <w:pPr>
        <w:pStyle w:val="Heading1"/>
        <w:spacing w:before="0" w:beforeAutospacing="0" w:after="0" w:afterAutospacing="0"/>
        <w:jc w:val="right"/>
        <w:rPr>
          <w:rFonts w:ascii="Arial" w:hAnsi="Arial" w:cs="Arial"/>
          <w:b w:val="0"/>
          <w:bCs w:val="0"/>
          <w:sz w:val="20"/>
          <w:szCs w:val="20"/>
        </w:rPr>
      </w:pPr>
      <w:r w:rsidRPr="007640AA">
        <w:rPr>
          <w:rFonts w:ascii="Arial" w:hAnsi="Arial" w:cs="Arial"/>
          <w:b w:val="0"/>
          <w:bCs w:val="0"/>
          <w:sz w:val="20"/>
          <w:szCs w:val="20"/>
        </w:rPr>
        <w:t>Department of</w:t>
      </w:r>
      <w:r w:rsidR="00996010" w:rsidRPr="007640AA">
        <w:rPr>
          <w:rFonts w:ascii="Arial" w:hAnsi="Arial" w:cs="Arial"/>
          <w:b w:val="0"/>
          <w:iCs/>
          <w:sz w:val="20"/>
          <w:szCs w:val="20"/>
          <w:shd w:val="clear" w:color="auto" w:fill="FFFFFF"/>
        </w:rPr>
        <w:t xml:space="preserve"> </w:t>
      </w:r>
      <w:r w:rsidR="00996010" w:rsidRPr="007640AA">
        <w:rPr>
          <w:rFonts w:ascii="Arial" w:hAnsi="Arial" w:cs="Arial"/>
          <w:iCs/>
          <w:sz w:val="20"/>
          <w:szCs w:val="20"/>
          <w:shd w:val="clear" w:color="auto" w:fill="FFFFFF"/>
        </w:rPr>
        <w:t>Mechanical Engineering</w:t>
      </w:r>
      <w:r w:rsidRPr="007640AA">
        <w:rPr>
          <w:rFonts w:ascii="Arial" w:hAnsi="Arial" w:cs="Arial"/>
          <w:b w:val="0"/>
          <w:iCs/>
          <w:sz w:val="20"/>
          <w:szCs w:val="20"/>
          <w:shd w:val="clear" w:color="auto" w:fill="FFFFFF"/>
        </w:rPr>
        <w:t>,</w:t>
      </w:r>
      <w:r w:rsidRPr="007640AA">
        <w:rPr>
          <w:rFonts w:ascii="Arial" w:hAnsi="Arial" w:cs="Arial"/>
          <w:b w:val="0"/>
          <w:bCs w:val="0"/>
          <w:sz w:val="20"/>
          <w:szCs w:val="20"/>
        </w:rPr>
        <w:t xml:space="preserve"> Federal Polytechnic </w:t>
      </w:r>
      <w:proofErr w:type="spellStart"/>
      <w:r w:rsidRPr="007640AA">
        <w:rPr>
          <w:rFonts w:ascii="Arial" w:hAnsi="Arial" w:cs="Arial"/>
          <w:b w:val="0"/>
          <w:bCs w:val="0"/>
          <w:sz w:val="20"/>
          <w:szCs w:val="20"/>
        </w:rPr>
        <w:t>Ukana</w:t>
      </w:r>
      <w:proofErr w:type="spellEnd"/>
      <w:r w:rsidRPr="007640AA">
        <w:rPr>
          <w:rFonts w:ascii="Arial" w:hAnsi="Arial" w:cs="Arial"/>
          <w:b w:val="0"/>
          <w:iCs/>
          <w:sz w:val="20"/>
          <w:szCs w:val="20"/>
          <w:shd w:val="clear" w:color="auto" w:fill="FFFFFF"/>
        </w:rPr>
        <w:t xml:space="preserve">, </w:t>
      </w:r>
      <w:r w:rsidRPr="007640AA">
        <w:rPr>
          <w:rStyle w:val="Strong"/>
          <w:rFonts w:ascii="Arial" w:hAnsi="Arial" w:cs="Arial"/>
          <w:color w:val="000000" w:themeColor="text1"/>
          <w:sz w:val="20"/>
          <w:szCs w:val="20"/>
        </w:rPr>
        <w:t>Akwa Ibom State, Nigeria</w:t>
      </w:r>
    </w:p>
    <w:p w14:paraId="4C49C476" w14:textId="01848D5A" w:rsidR="00262B6A" w:rsidRPr="00281D35" w:rsidRDefault="00DC5633" w:rsidP="00281D35">
      <w:pPr>
        <w:pStyle w:val="Heading1"/>
        <w:spacing w:before="0" w:beforeAutospacing="0" w:after="0" w:afterAutospacing="0"/>
        <w:jc w:val="right"/>
        <w:rPr>
          <w:rFonts w:ascii="Arial" w:hAnsi="Arial" w:cs="Arial"/>
          <w:sz w:val="20"/>
          <w:szCs w:val="20"/>
        </w:rPr>
      </w:pPr>
      <w:r w:rsidRPr="007640AA">
        <w:rPr>
          <w:rFonts w:ascii="Arial" w:hAnsi="Arial" w:cs="Arial"/>
          <w:b w:val="0"/>
          <w:bCs w:val="0"/>
          <w:sz w:val="20"/>
          <w:szCs w:val="20"/>
        </w:rPr>
        <w:t>E-</w:t>
      </w:r>
      <w:proofErr w:type="spellStart"/>
      <w:r w:rsidR="007640AA" w:rsidRPr="007640AA">
        <w:rPr>
          <w:rFonts w:ascii="Arial" w:hAnsi="Arial" w:cs="Arial"/>
          <w:b w:val="0"/>
          <w:bCs w:val="0"/>
          <w:sz w:val="20"/>
          <w:szCs w:val="20"/>
        </w:rPr>
        <w:t>s</w:t>
      </w:r>
      <w:r w:rsidRPr="007640AA">
        <w:rPr>
          <w:rFonts w:ascii="Arial" w:hAnsi="Arial" w:cs="Arial"/>
          <w:b w:val="0"/>
          <w:bCs w:val="0"/>
          <w:sz w:val="20"/>
          <w:szCs w:val="20"/>
        </w:rPr>
        <w:t>mail</w:t>
      </w:r>
      <w:proofErr w:type="spellEnd"/>
      <w:r w:rsidRPr="007640AA">
        <w:rPr>
          <w:rFonts w:ascii="Arial" w:hAnsi="Arial" w:cs="Arial"/>
          <w:b w:val="0"/>
          <w:bCs w:val="0"/>
          <w:sz w:val="20"/>
          <w:szCs w:val="20"/>
        </w:rPr>
        <w:t xml:space="preserve">: </w:t>
      </w:r>
      <w:hyperlink r:id="rId7" w:history="1">
        <w:r w:rsidR="00973490" w:rsidRPr="007640AA">
          <w:rPr>
            <w:rStyle w:val="Hyperlink"/>
            <w:rFonts w:ascii="Arial" w:hAnsi="Arial" w:cs="Arial"/>
            <w:sz w:val="20"/>
            <w:szCs w:val="20"/>
          </w:rPr>
          <w:t>imaobong.okpongette@fedpolyukana.edu.ng</w:t>
        </w:r>
      </w:hyperlink>
    </w:p>
    <w:p w14:paraId="4C49C477" w14:textId="77777777" w:rsidR="006D2AE1" w:rsidRPr="007640AA" w:rsidRDefault="006D2AE1" w:rsidP="007640AA">
      <w:pPr>
        <w:pStyle w:val="Heading2"/>
        <w:spacing w:line="240" w:lineRule="auto"/>
        <w:jc w:val="both"/>
        <w:rPr>
          <w:rFonts w:ascii="Arial" w:hAnsi="Arial" w:cs="Arial"/>
          <w:color w:val="000000" w:themeColor="text1"/>
          <w:sz w:val="20"/>
          <w:szCs w:val="20"/>
        </w:rPr>
      </w:pPr>
      <w:r w:rsidRPr="007640AA">
        <w:rPr>
          <w:rStyle w:val="Strong"/>
          <w:rFonts w:ascii="Arial" w:hAnsi="Arial" w:cs="Arial"/>
          <w:b/>
          <w:bCs/>
          <w:color w:val="000000" w:themeColor="text1"/>
          <w:sz w:val="20"/>
          <w:szCs w:val="20"/>
        </w:rPr>
        <w:t>Abstract</w:t>
      </w:r>
    </w:p>
    <w:p w14:paraId="4C49C478" w14:textId="77777777" w:rsidR="006D2AE1" w:rsidRPr="007640AA" w:rsidRDefault="006D2AE1" w:rsidP="007640AA">
      <w:pPr>
        <w:pStyle w:val="NormalWeb"/>
        <w:jc w:val="both"/>
        <w:rPr>
          <w:rFonts w:ascii="Arial" w:hAnsi="Arial" w:cs="Arial"/>
          <w:color w:val="000000" w:themeColor="text1"/>
          <w:sz w:val="20"/>
          <w:szCs w:val="20"/>
        </w:rPr>
      </w:pPr>
      <w:r w:rsidRPr="007640AA">
        <w:rPr>
          <w:rFonts w:ascii="Arial" w:hAnsi="Arial" w:cs="Arial"/>
          <w:color w:val="000000" w:themeColor="text1"/>
          <w:sz w:val="20"/>
          <w:szCs w:val="20"/>
        </w:rPr>
        <w:t>This study aimed to design, develop, and evaluate a low-cost portable carbon capture unit (PCCU-01) for mitigating greenhouse gas emissions at gas flare sites in the Niger Delta region of Nigeria. Five flare sites across Rivers, Bayelsa, Delta, Akwa Ibom, and Edo states were assessed for baseline emissions, including CO</w:t>
      </w:r>
      <w:r w:rsidRPr="007640AA">
        <w:rPr>
          <w:rFonts w:ascii="Cambria Math" w:hAnsi="Cambria Math" w:cs="Arial"/>
          <w:color w:val="000000" w:themeColor="text1"/>
          <w:sz w:val="20"/>
          <w:szCs w:val="20"/>
        </w:rPr>
        <w:t>₂</w:t>
      </w:r>
      <w:r w:rsidRPr="007640AA">
        <w:rPr>
          <w:rFonts w:ascii="Arial" w:hAnsi="Arial" w:cs="Arial"/>
          <w:color w:val="000000" w:themeColor="text1"/>
          <w:sz w:val="20"/>
          <w:szCs w:val="20"/>
        </w:rPr>
        <w:t>, CH</w:t>
      </w:r>
      <w:r w:rsidRPr="007640AA">
        <w:rPr>
          <w:rFonts w:ascii="Cambria Math" w:hAnsi="Cambria Math" w:cs="Arial"/>
          <w:color w:val="000000" w:themeColor="text1"/>
          <w:sz w:val="20"/>
          <w:szCs w:val="20"/>
        </w:rPr>
        <w:t>₄</w:t>
      </w:r>
      <w:r w:rsidRPr="007640AA">
        <w:rPr>
          <w:rFonts w:ascii="Arial" w:hAnsi="Arial" w:cs="Arial"/>
          <w:color w:val="000000" w:themeColor="text1"/>
          <w:sz w:val="20"/>
          <w:szCs w:val="20"/>
        </w:rPr>
        <w:t>, NOx, SO</w:t>
      </w:r>
      <w:r w:rsidRPr="007640AA">
        <w:rPr>
          <w:rFonts w:ascii="Cambria Math" w:hAnsi="Cambria Math" w:cs="Arial"/>
          <w:color w:val="000000" w:themeColor="text1"/>
          <w:sz w:val="20"/>
          <w:szCs w:val="20"/>
        </w:rPr>
        <w:t>₂</w:t>
      </w:r>
      <w:r w:rsidRPr="007640AA">
        <w:rPr>
          <w:rFonts w:ascii="Arial" w:hAnsi="Arial" w:cs="Arial"/>
          <w:color w:val="000000" w:themeColor="text1"/>
          <w:sz w:val="20"/>
          <w:szCs w:val="20"/>
        </w:rPr>
        <w:t>, and black carbon. The prototype was fabricated using locally available materials and tested under controlled laboratory and real-field conditions. Laboratory testing demonstrated a mean CO</w:t>
      </w:r>
      <w:r w:rsidRPr="007640AA">
        <w:rPr>
          <w:rFonts w:ascii="Cambria Math" w:hAnsi="Cambria Math" w:cs="Arial"/>
          <w:color w:val="000000" w:themeColor="text1"/>
          <w:sz w:val="20"/>
          <w:szCs w:val="20"/>
        </w:rPr>
        <w:t>₂</w:t>
      </w:r>
      <w:r w:rsidRPr="007640AA">
        <w:rPr>
          <w:rFonts w:ascii="Arial" w:hAnsi="Arial" w:cs="Arial"/>
          <w:color w:val="000000" w:themeColor="text1"/>
          <w:sz w:val="20"/>
          <w:szCs w:val="20"/>
        </w:rPr>
        <w:t xml:space="preserve"> capture efficiency of 75.2%, while field deployment across five flare sites achieved an average efficiency of 66.3%, with slight reductions attributable to environmental fluctuations and flare instability. Statistical analyses, including one-way ANOVA, paired t-test, and regression modeling, confirmed significant differences among sites (p &lt; 0.001) and identified flare volume and co-pollutant reductions as key predictors of CO</w:t>
      </w:r>
      <w:r w:rsidRPr="007640AA">
        <w:rPr>
          <w:rFonts w:ascii="Cambria Math" w:hAnsi="Cambria Math" w:cs="Arial"/>
          <w:color w:val="000000" w:themeColor="text1"/>
          <w:sz w:val="20"/>
          <w:szCs w:val="20"/>
        </w:rPr>
        <w:t>₂</w:t>
      </w:r>
      <w:r w:rsidRPr="007640AA">
        <w:rPr>
          <w:rFonts w:ascii="Arial" w:hAnsi="Arial" w:cs="Arial"/>
          <w:color w:val="000000" w:themeColor="text1"/>
          <w:sz w:val="20"/>
          <w:szCs w:val="20"/>
        </w:rPr>
        <w:t xml:space="preserve"> capture efficiency (R² = 0.83). The unit demonstrated substantial environmental benefits, reducing annual CO</w:t>
      </w:r>
      <w:r w:rsidRPr="007640AA">
        <w:rPr>
          <w:rFonts w:ascii="Cambria Math" w:hAnsi="Cambria Math" w:cs="Arial"/>
          <w:color w:val="000000" w:themeColor="text1"/>
          <w:sz w:val="20"/>
          <w:szCs w:val="20"/>
        </w:rPr>
        <w:t>₂</w:t>
      </w:r>
      <w:r w:rsidRPr="007640AA">
        <w:rPr>
          <w:rFonts w:ascii="Arial" w:hAnsi="Arial" w:cs="Arial"/>
          <w:color w:val="000000" w:themeColor="text1"/>
          <w:sz w:val="20"/>
          <w:szCs w:val="20"/>
        </w:rPr>
        <w:t xml:space="preserve"> emissions by ~66% and black carbon by 55% per site, while ensuring economic feasibility with a payback period of </w:t>
      </w:r>
      <w:r w:rsidR="000127C3" w:rsidRPr="007640AA">
        <w:rPr>
          <w:rFonts w:ascii="Arial" w:hAnsi="Arial" w:cs="Arial"/>
          <w:color w:val="000000" w:themeColor="text1"/>
          <w:sz w:val="20"/>
          <w:szCs w:val="20"/>
        </w:rPr>
        <w:t>less than</w:t>
      </w:r>
      <w:r w:rsidRPr="007640AA">
        <w:rPr>
          <w:rFonts w:ascii="Arial" w:hAnsi="Arial" w:cs="Arial"/>
          <w:color w:val="000000" w:themeColor="text1"/>
          <w:sz w:val="20"/>
          <w:szCs w:val="20"/>
        </w:rPr>
        <w:t xml:space="preserve"> six months. These findings indicate that PCCU-01 is a viable, scalable, and cost-effective solution for emission mitigation in remote flare-prone regions.</w:t>
      </w:r>
    </w:p>
    <w:p w14:paraId="4C49C479" w14:textId="77777777" w:rsidR="006D2AE1" w:rsidRPr="007640AA" w:rsidRDefault="006D2AE1" w:rsidP="007640AA">
      <w:pPr>
        <w:pStyle w:val="NormalWeb"/>
        <w:jc w:val="both"/>
        <w:rPr>
          <w:rFonts w:ascii="Arial" w:hAnsi="Arial" w:cs="Arial"/>
          <w:color w:val="000000" w:themeColor="text1"/>
          <w:sz w:val="20"/>
          <w:szCs w:val="20"/>
        </w:rPr>
      </w:pPr>
      <w:r w:rsidRPr="007640AA">
        <w:rPr>
          <w:rStyle w:val="Strong"/>
          <w:rFonts w:ascii="Arial" w:eastAsia="Calibri" w:hAnsi="Arial" w:cs="Arial"/>
          <w:color w:val="000000" w:themeColor="text1"/>
          <w:sz w:val="20"/>
          <w:szCs w:val="20"/>
        </w:rPr>
        <w:t>Keywords:</w:t>
      </w:r>
      <w:r w:rsidRPr="007640AA">
        <w:rPr>
          <w:rFonts w:ascii="Arial" w:hAnsi="Arial" w:cs="Arial"/>
          <w:color w:val="000000" w:themeColor="text1"/>
          <w:sz w:val="20"/>
          <w:szCs w:val="20"/>
        </w:rPr>
        <w:t xml:space="preserve"> Carbon capture, Gas flaring, Greenhouse gases, Portable unit, Environmental mitigation</w:t>
      </w:r>
    </w:p>
    <w:p w14:paraId="4C49C47A" w14:textId="77777777" w:rsidR="005E0C6E" w:rsidRDefault="005E0C6E" w:rsidP="005E0C6E">
      <w:pPr>
        <w:spacing w:before="100" w:beforeAutospacing="1" w:after="100" w:afterAutospacing="1" w:line="240" w:lineRule="auto"/>
        <w:rPr>
          <w:rFonts w:ascii="Arial" w:eastAsia="Times New Roman" w:hAnsi="Arial" w:cs="Arial"/>
          <w:b/>
          <w:bCs/>
          <w:color w:val="000000" w:themeColor="text1"/>
          <w:sz w:val="20"/>
          <w:szCs w:val="20"/>
        </w:rPr>
        <w:sectPr w:rsidR="005E0C6E" w:rsidSect="005E0C6E">
          <w:footerReference w:type="default" r:id="rId8"/>
          <w:pgSz w:w="11907" w:h="16839" w:code="9"/>
          <w:pgMar w:top="1440" w:right="1440" w:bottom="1440" w:left="1440" w:header="720" w:footer="720" w:gutter="0"/>
          <w:cols w:space="720"/>
          <w:docGrid w:linePitch="360"/>
        </w:sectPr>
      </w:pPr>
    </w:p>
    <w:p w14:paraId="4C49C47B" w14:textId="77777777" w:rsidR="00323A31" w:rsidRPr="005E0C6E" w:rsidRDefault="00335866" w:rsidP="005E0C6E">
      <w:pPr>
        <w:pStyle w:val="ListParagraph"/>
        <w:numPr>
          <w:ilvl w:val="0"/>
          <w:numId w:val="28"/>
        </w:numPr>
        <w:spacing w:before="100" w:beforeAutospacing="1" w:after="100" w:afterAutospacing="1" w:line="240" w:lineRule="auto"/>
        <w:rPr>
          <w:rFonts w:ascii="Arial" w:eastAsia="Times New Roman" w:hAnsi="Arial" w:cs="Arial"/>
          <w:color w:val="000000" w:themeColor="text1"/>
          <w:sz w:val="20"/>
          <w:szCs w:val="20"/>
        </w:rPr>
      </w:pPr>
      <w:r w:rsidRPr="005E0C6E">
        <w:rPr>
          <w:rFonts w:ascii="Arial" w:eastAsia="Times New Roman" w:hAnsi="Arial" w:cs="Arial"/>
          <w:b/>
          <w:bCs/>
          <w:color w:val="000000" w:themeColor="text1"/>
          <w:sz w:val="20"/>
          <w:szCs w:val="20"/>
        </w:rPr>
        <w:t>INTRODUCTION</w:t>
      </w:r>
    </w:p>
    <w:p w14:paraId="4C49C47C" w14:textId="77777777" w:rsidR="00323A31" w:rsidRPr="00323A31" w:rsidRDefault="00323A31" w:rsidP="00251594">
      <w:pPr>
        <w:spacing w:before="100" w:beforeAutospacing="1" w:after="100" w:afterAutospacing="1" w:line="240" w:lineRule="auto"/>
        <w:jc w:val="both"/>
        <w:rPr>
          <w:rFonts w:ascii="Arial" w:eastAsia="Times New Roman" w:hAnsi="Arial" w:cs="Arial"/>
          <w:color w:val="000000" w:themeColor="text1"/>
          <w:sz w:val="20"/>
          <w:szCs w:val="20"/>
        </w:rPr>
      </w:pPr>
      <w:r w:rsidRPr="00323A31">
        <w:rPr>
          <w:rFonts w:ascii="Arial" w:eastAsia="Times New Roman" w:hAnsi="Arial" w:cs="Arial"/>
          <w:color w:val="000000" w:themeColor="text1"/>
          <w:sz w:val="20"/>
          <w:szCs w:val="20"/>
        </w:rPr>
        <w:t>Gas flaring remains a persistent environmental and public health challenge in the Niger Delta region of Nigeria, one of the world’s most densely oil- and gas-exploited areas (Obi &amp; Rustad, 2011; World Bank, 2018). Despite international and national regulations aimed at reducing routine flaring, the region continues to experience substantial greenhouse gas emissions, including carbon dioxide (CO</w:t>
      </w:r>
      <w:r w:rsidRPr="00323A31">
        <w:rPr>
          <w:rFonts w:ascii="Cambria Math" w:eastAsia="Times New Roman" w:hAnsi="Cambria Math" w:cs="Arial"/>
          <w:color w:val="000000" w:themeColor="text1"/>
          <w:sz w:val="20"/>
          <w:szCs w:val="20"/>
        </w:rPr>
        <w:t>₂</w:t>
      </w:r>
      <w:r w:rsidRPr="00323A31">
        <w:rPr>
          <w:rFonts w:ascii="Arial" w:eastAsia="Times New Roman" w:hAnsi="Arial" w:cs="Arial"/>
          <w:color w:val="000000" w:themeColor="text1"/>
          <w:sz w:val="20"/>
          <w:szCs w:val="20"/>
        </w:rPr>
        <w:t>), methane (CH</w:t>
      </w:r>
      <w:r w:rsidRPr="00323A31">
        <w:rPr>
          <w:rFonts w:ascii="Cambria Math" w:eastAsia="Times New Roman" w:hAnsi="Cambria Math" w:cs="Arial"/>
          <w:color w:val="000000" w:themeColor="text1"/>
          <w:sz w:val="20"/>
          <w:szCs w:val="20"/>
        </w:rPr>
        <w:t>₄</w:t>
      </w:r>
      <w:r w:rsidRPr="00323A31">
        <w:rPr>
          <w:rFonts w:ascii="Arial" w:eastAsia="Times New Roman" w:hAnsi="Arial" w:cs="Arial"/>
          <w:color w:val="000000" w:themeColor="text1"/>
          <w:sz w:val="20"/>
          <w:szCs w:val="20"/>
        </w:rPr>
        <w:t>), nitrogen oxides (NOx), sulfur dioxide (SO</w:t>
      </w:r>
      <w:r w:rsidRPr="00323A31">
        <w:rPr>
          <w:rFonts w:ascii="Cambria Math" w:eastAsia="Times New Roman" w:hAnsi="Cambria Math" w:cs="Arial"/>
          <w:color w:val="000000" w:themeColor="text1"/>
          <w:sz w:val="20"/>
          <w:szCs w:val="20"/>
        </w:rPr>
        <w:t>₂</w:t>
      </w:r>
      <w:r w:rsidRPr="00323A31">
        <w:rPr>
          <w:rFonts w:ascii="Arial" w:eastAsia="Times New Roman" w:hAnsi="Arial" w:cs="Arial"/>
          <w:color w:val="000000" w:themeColor="text1"/>
          <w:sz w:val="20"/>
          <w:szCs w:val="20"/>
        </w:rPr>
        <w:t xml:space="preserve">), and particulate black carbon, which contribute to climate change, local air pollution, and health risks for nearby communities (Ite, </w:t>
      </w:r>
      <w:proofErr w:type="spellStart"/>
      <w:r w:rsidRPr="00323A31">
        <w:rPr>
          <w:rFonts w:ascii="Arial" w:eastAsia="Times New Roman" w:hAnsi="Arial" w:cs="Arial"/>
          <w:color w:val="000000" w:themeColor="text1"/>
          <w:sz w:val="20"/>
          <w:szCs w:val="20"/>
        </w:rPr>
        <w:t>Ibok</w:t>
      </w:r>
      <w:proofErr w:type="spellEnd"/>
      <w:r w:rsidRPr="00323A31">
        <w:rPr>
          <w:rFonts w:ascii="Arial" w:eastAsia="Times New Roman" w:hAnsi="Arial" w:cs="Arial"/>
          <w:color w:val="000000" w:themeColor="text1"/>
          <w:sz w:val="20"/>
          <w:szCs w:val="20"/>
        </w:rPr>
        <w:t>, Ite, &amp; Petters, 2013; Efe et al., 2020). The environmental burden is compounded by the proximity of flare sites to agricultural lands, fishing settlements, and urban areas, increasing the vulnerability of local populations to respiratory, cardiovascular, and other pollution-related health outcomes (Onuoha, 2008; UNEP, 2011).</w:t>
      </w:r>
    </w:p>
    <w:p w14:paraId="4C49C47D" w14:textId="77777777" w:rsidR="00323A31" w:rsidRPr="00323A31" w:rsidRDefault="00323A31" w:rsidP="00251594">
      <w:pPr>
        <w:spacing w:before="100" w:beforeAutospacing="1" w:after="100" w:afterAutospacing="1" w:line="240" w:lineRule="auto"/>
        <w:jc w:val="both"/>
        <w:rPr>
          <w:rFonts w:ascii="Arial" w:eastAsia="Times New Roman" w:hAnsi="Arial" w:cs="Arial"/>
          <w:color w:val="000000" w:themeColor="text1"/>
          <w:sz w:val="20"/>
          <w:szCs w:val="20"/>
        </w:rPr>
      </w:pPr>
      <w:r w:rsidRPr="00323A31">
        <w:rPr>
          <w:rFonts w:ascii="Arial" w:eastAsia="Times New Roman" w:hAnsi="Arial" w:cs="Arial"/>
          <w:color w:val="000000" w:themeColor="text1"/>
          <w:sz w:val="20"/>
          <w:szCs w:val="20"/>
        </w:rPr>
        <w:t>Conventional large-scale carbon capture and storage (CCS) technologies have demonstrated high efficiency in mitigating CO</w:t>
      </w:r>
      <w:r w:rsidRPr="00323A31">
        <w:rPr>
          <w:rFonts w:ascii="Cambria Math" w:eastAsia="Times New Roman" w:hAnsi="Cambria Math" w:cs="Arial"/>
          <w:color w:val="000000" w:themeColor="text1"/>
          <w:sz w:val="20"/>
          <w:szCs w:val="20"/>
        </w:rPr>
        <w:t>₂</w:t>
      </w:r>
      <w:r w:rsidRPr="00323A31">
        <w:rPr>
          <w:rFonts w:ascii="Arial" w:eastAsia="Times New Roman" w:hAnsi="Arial" w:cs="Arial"/>
          <w:color w:val="000000" w:themeColor="text1"/>
          <w:sz w:val="20"/>
          <w:szCs w:val="20"/>
        </w:rPr>
        <w:t xml:space="preserve"> emissions in industrialized contexts; however, </w:t>
      </w:r>
      <w:r w:rsidRPr="00323A31">
        <w:rPr>
          <w:rFonts w:ascii="Arial" w:eastAsia="Times New Roman" w:hAnsi="Arial" w:cs="Arial"/>
          <w:color w:val="000000" w:themeColor="text1"/>
          <w:sz w:val="20"/>
          <w:szCs w:val="20"/>
        </w:rPr>
        <w:t xml:space="preserve">their deployment in the Niger Delta faces significant technical, economic, and operational constraints (Rubin, Davison, &amp; Herzog, 2015; IEAGHG, 2017). High capital costs, extensive energy requirements, and long deployment timelines limit their feasibility for remote and small-scale flare sites, leaving substantial emissions unaddressed (Bachu, 2016; </w:t>
      </w:r>
      <w:proofErr w:type="spellStart"/>
      <w:r w:rsidRPr="00323A31">
        <w:rPr>
          <w:rFonts w:ascii="Arial" w:eastAsia="Times New Roman" w:hAnsi="Arial" w:cs="Arial"/>
          <w:color w:val="000000" w:themeColor="text1"/>
          <w:sz w:val="20"/>
          <w:szCs w:val="20"/>
        </w:rPr>
        <w:t>Haszeldine</w:t>
      </w:r>
      <w:proofErr w:type="spellEnd"/>
      <w:r w:rsidRPr="00323A31">
        <w:rPr>
          <w:rFonts w:ascii="Arial" w:eastAsia="Times New Roman" w:hAnsi="Arial" w:cs="Arial"/>
          <w:color w:val="000000" w:themeColor="text1"/>
          <w:sz w:val="20"/>
          <w:szCs w:val="20"/>
        </w:rPr>
        <w:t>, 2009). Additionally, the heterogeneous operational conditions of</w:t>
      </w:r>
      <w:r w:rsidR="00A14040" w:rsidRPr="007640AA">
        <w:rPr>
          <w:rFonts w:ascii="Arial" w:eastAsia="Times New Roman" w:hAnsi="Arial" w:cs="Arial"/>
          <w:color w:val="000000" w:themeColor="text1"/>
          <w:sz w:val="20"/>
          <w:szCs w:val="20"/>
        </w:rPr>
        <w:t xml:space="preserve"> flare sites in the Niger Delta </w:t>
      </w:r>
      <w:r w:rsidRPr="00323A31">
        <w:rPr>
          <w:rFonts w:ascii="Arial" w:eastAsia="Times New Roman" w:hAnsi="Arial" w:cs="Arial"/>
          <w:color w:val="000000" w:themeColor="text1"/>
          <w:sz w:val="20"/>
          <w:szCs w:val="20"/>
        </w:rPr>
        <w:t>varying flare volumes, stack heights, ambient temperatures, and p</w:t>
      </w:r>
      <w:r w:rsidR="00A14040" w:rsidRPr="007640AA">
        <w:rPr>
          <w:rFonts w:ascii="Arial" w:eastAsia="Times New Roman" w:hAnsi="Arial" w:cs="Arial"/>
          <w:color w:val="000000" w:themeColor="text1"/>
          <w:sz w:val="20"/>
          <w:szCs w:val="20"/>
        </w:rPr>
        <w:t xml:space="preserve">roximity to sensitive receptors </w:t>
      </w:r>
      <w:r w:rsidRPr="00323A31">
        <w:rPr>
          <w:rFonts w:ascii="Arial" w:eastAsia="Times New Roman" w:hAnsi="Arial" w:cs="Arial"/>
          <w:color w:val="000000" w:themeColor="text1"/>
          <w:sz w:val="20"/>
          <w:szCs w:val="20"/>
        </w:rPr>
        <w:t xml:space="preserve">render uniform application of conventional CCS systems impractical (Adewuyi et al., 2020). There is thus a pressing need for </w:t>
      </w:r>
      <w:r w:rsidRPr="007640AA">
        <w:rPr>
          <w:rFonts w:ascii="Arial" w:eastAsia="Times New Roman" w:hAnsi="Arial" w:cs="Arial"/>
          <w:bCs/>
          <w:color w:val="000000" w:themeColor="text1"/>
          <w:sz w:val="20"/>
          <w:szCs w:val="20"/>
        </w:rPr>
        <w:t>low-cost, portable, and adaptable carbon capture solutions</w:t>
      </w:r>
      <w:r w:rsidRPr="00323A31">
        <w:rPr>
          <w:rFonts w:ascii="Arial" w:eastAsia="Times New Roman" w:hAnsi="Arial" w:cs="Arial"/>
          <w:color w:val="000000" w:themeColor="text1"/>
          <w:sz w:val="20"/>
          <w:szCs w:val="20"/>
        </w:rPr>
        <w:t xml:space="preserve"> tailored to these complex field conditions.</w:t>
      </w:r>
    </w:p>
    <w:p w14:paraId="4C49C47E" w14:textId="77777777" w:rsidR="002D4BD6" w:rsidRPr="007640AA" w:rsidRDefault="00323A31" w:rsidP="00251594">
      <w:pPr>
        <w:spacing w:before="100" w:beforeAutospacing="1" w:after="100" w:afterAutospacing="1" w:line="240" w:lineRule="auto"/>
        <w:jc w:val="both"/>
        <w:rPr>
          <w:rFonts w:ascii="Arial" w:eastAsia="Times New Roman" w:hAnsi="Arial" w:cs="Arial"/>
          <w:color w:val="000000" w:themeColor="text1"/>
          <w:sz w:val="20"/>
          <w:szCs w:val="20"/>
        </w:rPr>
      </w:pPr>
      <w:r w:rsidRPr="00323A31">
        <w:rPr>
          <w:rFonts w:ascii="Arial" w:eastAsia="Times New Roman" w:hAnsi="Arial" w:cs="Arial"/>
          <w:color w:val="000000" w:themeColor="text1"/>
          <w:sz w:val="20"/>
          <w:szCs w:val="20"/>
        </w:rPr>
        <w:t>Recent advances in portable carbon capture technologies offer promising pathways for mitigating flare emissions. Small-scale, modular systems that integrate amine-based solvents, adsorption media, and hybrid power solutions have been shown to achieve moderate CO</w:t>
      </w:r>
      <w:r w:rsidRPr="00323A31">
        <w:rPr>
          <w:rFonts w:ascii="Cambria Math" w:eastAsia="Times New Roman" w:hAnsi="Cambria Math" w:cs="Arial"/>
          <w:color w:val="000000" w:themeColor="text1"/>
          <w:sz w:val="20"/>
          <w:szCs w:val="20"/>
        </w:rPr>
        <w:t>₂</w:t>
      </w:r>
      <w:r w:rsidRPr="00323A31">
        <w:rPr>
          <w:rFonts w:ascii="Arial" w:eastAsia="Times New Roman" w:hAnsi="Arial" w:cs="Arial"/>
          <w:color w:val="000000" w:themeColor="text1"/>
          <w:sz w:val="20"/>
          <w:szCs w:val="20"/>
        </w:rPr>
        <w:t xml:space="preserve"> capture efficiencies while maintaining mobility, rapid deployment capability, and cost-effectiveness (Samanta, Zhao, Shimizu, Sarkar, &amp; Gupta, 2012; Choi, Drese, &amp; Jones, 2009). These systems are </w:t>
      </w:r>
      <w:r w:rsidRPr="00323A31">
        <w:rPr>
          <w:rFonts w:ascii="Arial" w:eastAsia="Times New Roman" w:hAnsi="Arial" w:cs="Arial"/>
          <w:color w:val="000000" w:themeColor="text1"/>
          <w:sz w:val="20"/>
          <w:szCs w:val="20"/>
        </w:rPr>
        <w:lastRenderedPageBreak/>
        <w:t xml:space="preserve">particularly suited to the Niger Delta context, where remote flare locations, intermittent operational schedules, and socio-environmental sensitivity require </w:t>
      </w:r>
      <w:r w:rsidRPr="007640AA">
        <w:rPr>
          <w:rFonts w:ascii="Arial" w:eastAsia="Times New Roman" w:hAnsi="Arial" w:cs="Arial"/>
          <w:bCs/>
          <w:color w:val="000000" w:themeColor="text1"/>
          <w:sz w:val="20"/>
          <w:szCs w:val="20"/>
        </w:rPr>
        <w:t>flexible, localized interventions</w:t>
      </w:r>
      <w:r w:rsidRPr="00323A31">
        <w:rPr>
          <w:rFonts w:ascii="Arial" w:eastAsia="Times New Roman" w:hAnsi="Arial" w:cs="Arial"/>
          <w:color w:val="000000" w:themeColor="text1"/>
          <w:sz w:val="20"/>
          <w:szCs w:val="20"/>
        </w:rPr>
        <w:t>.</w:t>
      </w:r>
      <w:r w:rsidR="007D65A1" w:rsidRPr="007640AA">
        <w:rPr>
          <w:rFonts w:ascii="Arial" w:eastAsia="Times New Roman" w:hAnsi="Arial" w:cs="Arial"/>
          <w:color w:val="000000" w:themeColor="text1"/>
          <w:sz w:val="20"/>
          <w:szCs w:val="20"/>
        </w:rPr>
        <w:t xml:space="preserve"> </w:t>
      </w:r>
      <w:r w:rsidRPr="00323A31">
        <w:rPr>
          <w:rFonts w:ascii="Arial" w:eastAsia="Times New Roman" w:hAnsi="Arial" w:cs="Arial"/>
          <w:color w:val="000000" w:themeColor="text1"/>
          <w:sz w:val="20"/>
          <w:szCs w:val="20"/>
        </w:rPr>
        <w:t xml:space="preserve">The study aims to design, develop, and evaluate a </w:t>
      </w:r>
      <w:r w:rsidRPr="007640AA">
        <w:rPr>
          <w:rFonts w:ascii="Arial" w:eastAsia="Times New Roman" w:hAnsi="Arial" w:cs="Arial"/>
          <w:bCs/>
          <w:color w:val="000000" w:themeColor="text1"/>
          <w:sz w:val="20"/>
          <w:szCs w:val="20"/>
        </w:rPr>
        <w:t>low-cost, portable carbon</w:t>
      </w:r>
      <w:r w:rsidRPr="007640AA">
        <w:rPr>
          <w:rFonts w:ascii="Arial" w:eastAsia="Times New Roman" w:hAnsi="Arial" w:cs="Arial"/>
          <w:b/>
          <w:bCs/>
          <w:color w:val="000000" w:themeColor="text1"/>
          <w:sz w:val="20"/>
          <w:szCs w:val="20"/>
        </w:rPr>
        <w:t xml:space="preserve"> </w:t>
      </w:r>
      <w:r w:rsidRPr="007640AA">
        <w:rPr>
          <w:rFonts w:ascii="Arial" w:eastAsia="Times New Roman" w:hAnsi="Arial" w:cs="Arial"/>
          <w:bCs/>
          <w:color w:val="000000" w:themeColor="text1"/>
          <w:sz w:val="20"/>
          <w:szCs w:val="20"/>
        </w:rPr>
        <w:t>capture unit (PCCU-01</w:t>
      </w:r>
      <w:r w:rsidRPr="007640AA">
        <w:rPr>
          <w:rFonts w:ascii="Arial" w:eastAsia="Times New Roman" w:hAnsi="Arial" w:cs="Arial"/>
          <w:b/>
          <w:bCs/>
          <w:color w:val="000000" w:themeColor="text1"/>
          <w:sz w:val="20"/>
          <w:szCs w:val="20"/>
        </w:rPr>
        <w:t>)</w:t>
      </w:r>
      <w:r w:rsidRPr="00323A31">
        <w:rPr>
          <w:rFonts w:ascii="Arial" w:eastAsia="Times New Roman" w:hAnsi="Arial" w:cs="Arial"/>
          <w:color w:val="000000" w:themeColor="text1"/>
          <w:sz w:val="20"/>
          <w:szCs w:val="20"/>
        </w:rPr>
        <w:t xml:space="preserve"> specifically for gas flare sites in the Niger Delta, Nigeria. The overarching goal is to reduce greenhouse gas emissions and minimize environmental and health impacts while ensuring economic feasibility. To ach</w:t>
      </w:r>
      <w:r w:rsidR="00A14040" w:rsidRPr="007640AA">
        <w:rPr>
          <w:rFonts w:ascii="Arial" w:eastAsia="Times New Roman" w:hAnsi="Arial" w:cs="Arial"/>
          <w:color w:val="000000" w:themeColor="text1"/>
          <w:sz w:val="20"/>
          <w:szCs w:val="20"/>
        </w:rPr>
        <w:t>ieve this aim, the study pursued</w:t>
      </w:r>
      <w:r w:rsidRPr="00323A31">
        <w:rPr>
          <w:rFonts w:ascii="Arial" w:eastAsia="Times New Roman" w:hAnsi="Arial" w:cs="Arial"/>
          <w:color w:val="000000" w:themeColor="text1"/>
          <w:sz w:val="20"/>
          <w:szCs w:val="20"/>
        </w:rPr>
        <w:t xml:space="preserve"> the following objectives: </w:t>
      </w:r>
    </w:p>
    <w:p w14:paraId="4C49C47F" w14:textId="77777777" w:rsidR="002D4BD6" w:rsidRPr="007640AA" w:rsidRDefault="0099597C" w:rsidP="00251594">
      <w:pPr>
        <w:pStyle w:val="ListParagraph"/>
        <w:numPr>
          <w:ilvl w:val="0"/>
          <w:numId w:val="26"/>
        </w:numPr>
        <w:spacing w:before="100" w:beforeAutospacing="1" w:after="100" w:afterAutospacing="1" w:line="240" w:lineRule="auto"/>
        <w:rPr>
          <w:rFonts w:ascii="Arial" w:eastAsia="Times New Roman" w:hAnsi="Arial" w:cs="Arial"/>
          <w:color w:val="000000" w:themeColor="text1"/>
          <w:sz w:val="20"/>
          <w:szCs w:val="20"/>
        </w:rPr>
      </w:pPr>
      <w:r w:rsidRPr="007640AA">
        <w:rPr>
          <w:rFonts w:ascii="Arial" w:eastAsia="Times New Roman" w:hAnsi="Arial" w:cs="Arial"/>
          <w:color w:val="000000" w:themeColor="text1"/>
          <w:sz w:val="20"/>
          <w:szCs w:val="20"/>
        </w:rPr>
        <w:t>T</w:t>
      </w:r>
      <w:r w:rsidR="00323A31" w:rsidRPr="007640AA">
        <w:rPr>
          <w:rFonts w:ascii="Arial" w:eastAsia="Times New Roman" w:hAnsi="Arial" w:cs="Arial"/>
          <w:color w:val="000000" w:themeColor="text1"/>
          <w:sz w:val="20"/>
          <w:szCs w:val="20"/>
        </w:rPr>
        <w:t xml:space="preserve">o review existing carbon capture technologies and identify their limitations relative to Niger Delta flare site conditions; </w:t>
      </w:r>
    </w:p>
    <w:p w14:paraId="4C49C480" w14:textId="77777777" w:rsidR="002D4BD6" w:rsidRPr="007640AA" w:rsidRDefault="0099597C" w:rsidP="00251594">
      <w:pPr>
        <w:pStyle w:val="ListParagraph"/>
        <w:numPr>
          <w:ilvl w:val="0"/>
          <w:numId w:val="26"/>
        </w:numPr>
        <w:spacing w:before="100" w:beforeAutospacing="1" w:after="100" w:afterAutospacing="1" w:line="240" w:lineRule="auto"/>
        <w:rPr>
          <w:rFonts w:ascii="Arial" w:eastAsia="Times New Roman" w:hAnsi="Arial" w:cs="Arial"/>
          <w:color w:val="000000" w:themeColor="text1"/>
          <w:sz w:val="20"/>
          <w:szCs w:val="20"/>
        </w:rPr>
      </w:pPr>
      <w:r w:rsidRPr="007640AA">
        <w:rPr>
          <w:rFonts w:ascii="Arial" w:eastAsia="Times New Roman" w:hAnsi="Arial" w:cs="Arial"/>
          <w:color w:val="000000" w:themeColor="text1"/>
          <w:sz w:val="20"/>
          <w:szCs w:val="20"/>
        </w:rPr>
        <w:t>T</w:t>
      </w:r>
      <w:r w:rsidR="00323A31" w:rsidRPr="007640AA">
        <w:rPr>
          <w:rFonts w:ascii="Arial" w:eastAsia="Times New Roman" w:hAnsi="Arial" w:cs="Arial"/>
          <w:color w:val="000000" w:themeColor="text1"/>
          <w:sz w:val="20"/>
          <w:szCs w:val="20"/>
        </w:rPr>
        <w:t xml:space="preserve">o design and fabricate a low-cost, portable carbon capture prototype using locally available materials; </w:t>
      </w:r>
    </w:p>
    <w:p w14:paraId="4C49C481" w14:textId="77777777" w:rsidR="002D4BD6" w:rsidRPr="007640AA" w:rsidRDefault="0099597C" w:rsidP="00251594">
      <w:pPr>
        <w:pStyle w:val="ListParagraph"/>
        <w:numPr>
          <w:ilvl w:val="0"/>
          <w:numId w:val="26"/>
        </w:numPr>
        <w:spacing w:before="100" w:beforeAutospacing="1" w:after="100" w:afterAutospacing="1" w:line="240" w:lineRule="auto"/>
        <w:rPr>
          <w:rFonts w:ascii="Arial" w:eastAsia="Times New Roman" w:hAnsi="Arial" w:cs="Arial"/>
          <w:color w:val="000000" w:themeColor="text1"/>
          <w:sz w:val="20"/>
          <w:szCs w:val="20"/>
        </w:rPr>
      </w:pPr>
      <w:r w:rsidRPr="007640AA">
        <w:rPr>
          <w:rFonts w:ascii="Arial" w:eastAsia="Times New Roman" w:hAnsi="Arial" w:cs="Arial"/>
          <w:color w:val="000000" w:themeColor="text1"/>
          <w:sz w:val="20"/>
          <w:szCs w:val="20"/>
        </w:rPr>
        <w:t>T</w:t>
      </w:r>
      <w:r w:rsidR="00323A31" w:rsidRPr="007640AA">
        <w:rPr>
          <w:rFonts w:ascii="Arial" w:eastAsia="Times New Roman" w:hAnsi="Arial" w:cs="Arial"/>
          <w:color w:val="000000" w:themeColor="text1"/>
          <w:sz w:val="20"/>
          <w:szCs w:val="20"/>
        </w:rPr>
        <w:t>o evaluate the capture efficiency of the developed unit in reducing CO</w:t>
      </w:r>
      <w:r w:rsidR="00323A31" w:rsidRPr="007640AA">
        <w:rPr>
          <w:rFonts w:ascii="Cambria Math" w:eastAsia="Times New Roman" w:hAnsi="Cambria Math" w:cs="Arial"/>
          <w:color w:val="000000" w:themeColor="text1"/>
          <w:sz w:val="20"/>
          <w:szCs w:val="20"/>
        </w:rPr>
        <w:t>₂</w:t>
      </w:r>
      <w:r w:rsidR="00323A31" w:rsidRPr="007640AA">
        <w:rPr>
          <w:rFonts w:ascii="Arial" w:eastAsia="Times New Roman" w:hAnsi="Arial" w:cs="Arial"/>
          <w:color w:val="000000" w:themeColor="text1"/>
          <w:sz w:val="20"/>
          <w:szCs w:val="20"/>
        </w:rPr>
        <w:t xml:space="preserve"> and associated flare emissions under controlled and field conditions; </w:t>
      </w:r>
    </w:p>
    <w:p w14:paraId="4C49C482" w14:textId="77777777" w:rsidR="002D4BD6" w:rsidRPr="007640AA" w:rsidRDefault="0099597C" w:rsidP="00251594">
      <w:pPr>
        <w:pStyle w:val="ListParagraph"/>
        <w:numPr>
          <w:ilvl w:val="0"/>
          <w:numId w:val="26"/>
        </w:numPr>
        <w:spacing w:before="100" w:beforeAutospacing="1" w:after="100" w:afterAutospacing="1" w:line="240" w:lineRule="auto"/>
        <w:rPr>
          <w:rFonts w:ascii="Arial" w:eastAsia="Times New Roman" w:hAnsi="Arial" w:cs="Arial"/>
          <w:color w:val="000000" w:themeColor="text1"/>
          <w:sz w:val="20"/>
          <w:szCs w:val="20"/>
        </w:rPr>
      </w:pPr>
      <w:r w:rsidRPr="007640AA">
        <w:rPr>
          <w:rFonts w:ascii="Arial" w:eastAsia="Times New Roman" w:hAnsi="Arial" w:cs="Arial"/>
          <w:color w:val="000000" w:themeColor="text1"/>
          <w:sz w:val="20"/>
          <w:szCs w:val="20"/>
        </w:rPr>
        <w:t>T</w:t>
      </w:r>
      <w:r w:rsidR="00323A31" w:rsidRPr="007640AA">
        <w:rPr>
          <w:rFonts w:ascii="Arial" w:eastAsia="Times New Roman" w:hAnsi="Arial" w:cs="Arial"/>
          <w:color w:val="000000" w:themeColor="text1"/>
          <w:sz w:val="20"/>
          <w:szCs w:val="20"/>
        </w:rPr>
        <w:t>o assess the environmental and economic benefits of deploying portable capture units in flare-prone regions of Nigeria.</w:t>
      </w:r>
    </w:p>
    <w:p w14:paraId="4C49C483" w14:textId="77777777" w:rsidR="003340AF" w:rsidRPr="007640AA" w:rsidRDefault="003340AF" w:rsidP="005E0C6E">
      <w:pPr>
        <w:pStyle w:val="NormalWeb"/>
        <w:numPr>
          <w:ilvl w:val="0"/>
          <w:numId w:val="28"/>
        </w:numPr>
        <w:jc w:val="both"/>
        <w:rPr>
          <w:rFonts w:ascii="Arial" w:hAnsi="Arial" w:cs="Arial"/>
          <w:b/>
          <w:color w:val="000000" w:themeColor="text1"/>
          <w:sz w:val="20"/>
          <w:szCs w:val="20"/>
        </w:rPr>
      </w:pPr>
      <w:r w:rsidRPr="007640AA">
        <w:rPr>
          <w:rFonts w:ascii="Arial" w:hAnsi="Arial" w:cs="Arial"/>
          <w:b/>
          <w:color w:val="000000" w:themeColor="text1"/>
          <w:sz w:val="20"/>
          <w:szCs w:val="20"/>
        </w:rPr>
        <w:t>STUDY AREA</w:t>
      </w:r>
    </w:p>
    <w:p w14:paraId="4C49C484" w14:textId="77777777" w:rsidR="001C6D1F" w:rsidRPr="007640AA" w:rsidRDefault="001C6D1F" w:rsidP="00251594">
      <w:pPr>
        <w:pStyle w:val="NormalWeb"/>
        <w:jc w:val="both"/>
        <w:rPr>
          <w:rFonts w:ascii="Arial" w:hAnsi="Arial" w:cs="Arial"/>
          <w:color w:val="000000" w:themeColor="text1"/>
          <w:sz w:val="20"/>
          <w:szCs w:val="20"/>
        </w:rPr>
      </w:pPr>
      <w:r w:rsidRPr="007640AA">
        <w:rPr>
          <w:rFonts w:ascii="Arial" w:hAnsi="Arial" w:cs="Arial"/>
          <w:color w:val="000000" w:themeColor="text1"/>
          <w:sz w:val="20"/>
          <w:szCs w:val="20"/>
        </w:rPr>
        <w:t>The study was conducted across five representative gas flare sites in the Niger Delta region of Nigeria, encompassing Rivers, Bayelsa, Delta, Akwa Ibom, and Edo states, selected based on flare activity intensity, proximity to human settlements, and environmental risk potential. The Niger Delta region, located between latitudes 4° and 6°N and longitudes 5° and 8°E, is characterized by extensive mangrove forests, floodplains, and agricultural lands interspersed with urban settlements and fishing communities. This region hosts the largest concentration of oil and gas operations in Nigeria and is responsible for significant anthropogenic greenhouse gas emissions, largely from persistent gas flaring, which adversely impacts local air quality, soil, water resources, and human health. The climate is tropical, with two distinct seasons: a wet season (April–October) characterized by high rainfall and relative humidity, and a dry season (November–March) with elevated temperatures and lower humidity. Average annual rainfall ranges from 2,000 mm to 3,000 mm, while temperatures vary between 25°C and 32°C. The complex combination of meteorological conditions, low-</w:t>
      </w:r>
      <w:r w:rsidRPr="007640AA">
        <w:rPr>
          <w:rFonts w:ascii="Arial" w:hAnsi="Arial" w:cs="Arial"/>
          <w:color w:val="000000" w:themeColor="text1"/>
          <w:sz w:val="20"/>
          <w:szCs w:val="20"/>
        </w:rPr>
        <w:t>lying floodplains, and human settlements creates a high-risk environment for flare-associated air pollution, making the region ideal for testing a portable carbon capture intervention.</w:t>
      </w:r>
    </w:p>
    <w:p w14:paraId="4C49C485" w14:textId="77777777" w:rsidR="0005164A" w:rsidRPr="007640AA" w:rsidRDefault="0005164A" w:rsidP="005E0C6E">
      <w:pPr>
        <w:pStyle w:val="NormalWeb"/>
        <w:numPr>
          <w:ilvl w:val="0"/>
          <w:numId w:val="28"/>
        </w:numPr>
        <w:jc w:val="both"/>
        <w:rPr>
          <w:rFonts w:ascii="Arial" w:hAnsi="Arial" w:cs="Arial"/>
          <w:b/>
          <w:color w:val="000000" w:themeColor="text1"/>
          <w:sz w:val="20"/>
          <w:szCs w:val="20"/>
        </w:rPr>
      </w:pPr>
      <w:r w:rsidRPr="007640AA">
        <w:rPr>
          <w:rFonts w:ascii="Arial" w:hAnsi="Arial" w:cs="Arial"/>
          <w:b/>
          <w:color w:val="000000" w:themeColor="text1"/>
          <w:sz w:val="20"/>
          <w:szCs w:val="20"/>
        </w:rPr>
        <w:t>MATERIALS AND METHIODS</w:t>
      </w:r>
    </w:p>
    <w:p w14:paraId="4C49C486" w14:textId="77777777" w:rsidR="001C6D1F" w:rsidRPr="007640AA" w:rsidRDefault="001B74AB" w:rsidP="00251594">
      <w:pPr>
        <w:pStyle w:val="NormalWeb"/>
        <w:jc w:val="both"/>
        <w:rPr>
          <w:rFonts w:ascii="Arial" w:hAnsi="Arial" w:cs="Arial"/>
          <w:color w:val="000000" w:themeColor="text1"/>
          <w:sz w:val="20"/>
          <w:szCs w:val="20"/>
        </w:rPr>
      </w:pPr>
      <w:r w:rsidRPr="007640AA">
        <w:rPr>
          <w:rFonts w:ascii="Arial" w:hAnsi="Arial" w:cs="Arial"/>
          <w:color w:val="000000" w:themeColor="text1"/>
          <w:sz w:val="20"/>
          <w:szCs w:val="20"/>
        </w:rPr>
        <w:t>Site</w:t>
      </w:r>
      <w:r w:rsidR="001C6D1F" w:rsidRPr="007640AA">
        <w:rPr>
          <w:rFonts w:ascii="Arial" w:hAnsi="Arial" w:cs="Arial"/>
          <w:color w:val="000000" w:themeColor="text1"/>
          <w:sz w:val="20"/>
          <w:szCs w:val="20"/>
        </w:rPr>
        <w:t xml:space="preserve"> characteristics, including flare volume, stack height, distance to the nearest </w:t>
      </w:r>
      <w:r w:rsidR="0005164A" w:rsidRPr="007640AA">
        <w:rPr>
          <w:rFonts w:ascii="Arial" w:hAnsi="Arial" w:cs="Arial"/>
          <w:color w:val="000000" w:themeColor="text1"/>
          <w:sz w:val="20"/>
          <w:szCs w:val="20"/>
        </w:rPr>
        <w:t>community</w:t>
      </w:r>
      <w:r w:rsidR="001C6D1F" w:rsidRPr="007640AA">
        <w:rPr>
          <w:rFonts w:ascii="Arial" w:hAnsi="Arial" w:cs="Arial"/>
          <w:color w:val="000000" w:themeColor="text1"/>
          <w:sz w:val="20"/>
          <w:szCs w:val="20"/>
        </w:rPr>
        <w:t xml:space="preserve"> and dominant surrounding land use, </w:t>
      </w:r>
      <w:r w:rsidR="0005164A" w:rsidRPr="007640AA">
        <w:rPr>
          <w:rFonts w:ascii="Arial" w:hAnsi="Arial" w:cs="Arial"/>
          <w:color w:val="000000" w:themeColor="text1"/>
          <w:sz w:val="20"/>
          <w:szCs w:val="20"/>
        </w:rPr>
        <w:t>and were</w:t>
      </w:r>
      <w:r w:rsidR="001C6D1F" w:rsidRPr="007640AA">
        <w:rPr>
          <w:rFonts w:ascii="Arial" w:hAnsi="Arial" w:cs="Arial"/>
          <w:color w:val="000000" w:themeColor="text1"/>
          <w:sz w:val="20"/>
          <w:szCs w:val="20"/>
        </w:rPr>
        <w:t xml:space="preserve"> determined through </w:t>
      </w:r>
      <w:r w:rsidR="001C6D1F" w:rsidRPr="007640AA">
        <w:rPr>
          <w:rStyle w:val="Strong"/>
          <w:rFonts w:ascii="Arial" w:eastAsia="Calibri" w:hAnsi="Arial" w:cs="Arial"/>
          <w:b w:val="0"/>
          <w:color w:val="000000" w:themeColor="text1"/>
          <w:sz w:val="20"/>
          <w:szCs w:val="20"/>
        </w:rPr>
        <w:t>on-site surveys, GPS mapping, and operational data provided by oil companies</w:t>
      </w:r>
      <w:r w:rsidR="001C6D1F" w:rsidRPr="007640AA">
        <w:rPr>
          <w:rFonts w:ascii="Arial" w:hAnsi="Arial" w:cs="Arial"/>
          <w:b/>
          <w:color w:val="000000" w:themeColor="text1"/>
          <w:sz w:val="20"/>
          <w:szCs w:val="20"/>
        </w:rPr>
        <w:t xml:space="preserve">. </w:t>
      </w:r>
      <w:r w:rsidR="001C6D1F" w:rsidRPr="007640AA">
        <w:rPr>
          <w:rFonts w:ascii="Arial" w:hAnsi="Arial" w:cs="Arial"/>
          <w:color w:val="000000" w:themeColor="text1"/>
          <w:sz w:val="20"/>
          <w:szCs w:val="20"/>
        </w:rPr>
        <w:t xml:space="preserve">Flare volumes ranged from 9.8 to 22.7 </w:t>
      </w:r>
      <w:proofErr w:type="spellStart"/>
      <w:r w:rsidR="001C6D1F" w:rsidRPr="007640AA">
        <w:rPr>
          <w:rFonts w:ascii="Arial" w:hAnsi="Arial" w:cs="Arial"/>
          <w:color w:val="000000" w:themeColor="text1"/>
          <w:sz w:val="20"/>
          <w:szCs w:val="20"/>
        </w:rPr>
        <w:t>MMscf</w:t>
      </w:r>
      <w:proofErr w:type="spellEnd"/>
      <w:r w:rsidR="001C6D1F" w:rsidRPr="007640AA">
        <w:rPr>
          <w:rFonts w:ascii="Arial" w:hAnsi="Arial" w:cs="Arial"/>
          <w:color w:val="000000" w:themeColor="text1"/>
          <w:sz w:val="20"/>
          <w:szCs w:val="20"/>
        </w:rPr>
        <w:t>/day, while stack heights varied from 24 to 32 meters. Distances from flare stacks to the nearest human settlements ranged from 0.8 km to 2.8 km, highlighting substantial exposure risk. Surrounding land uses were diverse, including farmlands, fishing settlements, mixed agriculture, semi-urban areas, and forest fringes, reflecting the heterogeneity of socio-environmental conditions in the Niger Delta.</w:t>
      </w:r>
      <w:r w:rsidR="002B71D7" w:rsidRPr="007640AA">
        <w:rPr>
          <w:rFonts w:ascii="Arial" w:hAnsi="Arial" w:cs="Arial"/>
          <w:color w:val="000000" w:themeColor="text1"/>
          <w:sz w:val="20"/>
          <w:szCs w:val="20"/>
        </w:rPr>
        <w:t xml:space="preserve"> </w:t>
      </w:r>
      <w:r w:rsidR="00013648" w:rsidRPr="007640AA">
        <w:rPr>
          <w:rFonts w:ascii="Arial" w:hAnsi="Arial" w:cs="Arial"/>
          <w:color w:val="000000" w:themeColor="text1"/>
          <w:sz w:val="20"/>
          <w:szCs w:val="20"/>
        </w:rPr>
        <w:t>E</w:t>
      </w:r>
      <w:r w:rsidR="001C6D1F" w:rsidRPr="007640AA">
        <w:rPr>
          <w:rFonts w:ascii="Arial" w:hAnsi="Arial" w:cs="Arial"/>
          <w:color w:val="000000" w:themeColor="text1"/>
          <w:sz w:val="20"/>
          <w:szCs w:val="20"/>
        </w:rPr>
        <w:t>missions were monitored over a 30-day period using portable gas analyzers and filter-based sampling techniques to quantify concentrations of CO</w:t>
      </w:r>
      <w:r w:rsidR="001C6D1F" w:rsidRPr="007640AA">
        <w:rPr>
          <w:rFonts w:ascii="Cambria Math" w:hAnsi="Cambria Math" w:cs="Arial"/>
          <w:color w:val="000000" w:themeColor="text1"/>
          <w:sz w:val="20"/>
          <w:szCs w:val="20"/>
        </w:rPr>
        <w:t>₂</w:t>
      </w:r>
      <w:r w:rsidR="001C6D1F" w:rsidRPr="007640AA">
        <w:rPr>
          <w:rFonts w:ascii="Arial" w:hAnsi="Arial" w:cs="Arial"/>
          <w:color w:val="000000" w:themeColor="text1"/>
          <w:sz w:val="20"/>
          <w:szCs w:val="20"/>
        </w:rPr>
        <w:t>, CH</w:t>
      </w:r>
      <w:r w:rsidR="001C6D1F" w:rsidRPr="007640AA">
        <w:rPr>
          <w:rFonts w:ascii="Cambria Math" w:hAnsi="Cambria Math" w:cs="Arial"/>
          <w:color w:val="000000" w:themeColor="text1"/>
          <w:sz w:val="20"/>
          <w:szCs w:val="20"/>
        </w:rPr>
        <w:t>₄</w:t>
      </w:r>
      <w:r w:rsidR="001C6D1F" w:rsidRPr="007640AA">
        <w:rPr>
          <w:rFonts w:ascii="Arial" w:hAnsi="Arial" w:cs="Arial"/>
          <w:color w:val="000000" w:themeColor="text1"/>
          <w:sz w:val="20"/>
          <w:szCs w:val="20"/>
        </w:rPr>
        <w:t>, CO, NOx, SO</w:t>
      </w:r>
      <w:r w:rsidR="001C6D1F" w:rsidRPr="007640AA">
        <w:rPr>
          <w:rFonts w:ascii="Cambria Math" w:hAnsi="Cambria Math" w:cs="Arial"/>
          <w:color w:val="000000" w:themeColor="text1"/>
          <w:sz w:val="20"/>
          <w:szCs w:val="20"/>
        </w:rPr>
        <w:t>₂</w:t>
      </w:r>
      <w:r w:rsidR="001C6D1F" w:rsidRPr="007640AA">
        <w:rPr>
          <w:rFonts w:ascii="Arial" w:hAnsi="Arial" w:cs="Arial"/>
          <w:color w:val="000000" w:themeColor="text1"/>
          <w:sz w:val="20"/>
          <w:szCs w:val="20"/>
        </w:rPr>
        <w:t>, and particulate black carbon. Measurements were taken directly at the flare stack and at 1 km downwind in host communities to assess ambient exposure. Field instruments were calibrated according to manufacturer specifications prior to deployment. All data were recorded at consistent daily intervals to capture diurnal and operational variations, ensuring representativeness and accuracy of baseline emissions. Ambient air quality was further evaluated by measuring PM2.5, PM10, CO</w:t>
      </w:r>
      <w:r w:rsidR="001C6D1F" w:rsidRPr="007640AA">
        <w:rPr>
          <w:rFonts w:ascii="Cambria Math" w:hAnsi="Cambria Math" w:cs="Arial"/>
          <w:color w:val="000000" w:themeColor="text1"/>
          <w:sz w:val="20"/>
          <w:szCs w:val="20"/>
        </w:rPr>
        <w:t>₂</w:t>
      </w:r>
      <w:r w:rsidR="001C6D1F" w:rsidRPr="007640AA">
        <w:rPr>
          <w:rFonts w:ascii="Arial" w:hAnsi="Arial" w:cs="Arial"/>
          <w:color w:val="000000" w:themeColor="text1"/>
          <w:sz w:val="20"/>
          <w:szCs w:val="20"/>
        </w:rPr>
        <w:t>, benzene, and ozone levels, using gravimetric, infrared, and photometric methods, respectively, to determine the extent of community exposure to airborne pollutants.</w:t>
      </w:r>
    </w:p>
    <w:p w14:paraId="4C49C487" w14:textId="77777777" w:rsidR="001C6D1F" w:rsidRPr="007640AA" w:rsidRDefault="001C6D1F" w:rsidP="00251594">
      <w:pPr>
        <w:pStyle w:val="NormalWeb"/>
        <w:jc w:val="both"/>
        <w:rPr>
          <w:rFonts w:ascii="Arial" w:hAnsi="Arial" w:cs="Arial"/>
          <w:color w:val="000000" w:themeColor="text1"/>
          <w:sz w:val="20"/>
          <w:szCs w:val="20"/>
        </w:rPr>
      </w:pPr>
      <w:r w:rsidRPr="007640AA">
        <w:rPr>
          <w:rFonts w:ascii="Arial" w:hAnsi="Arial" w:cs="Arial"/>
          <w:color w:val="000000" w:themeColor="text1"/>
          <w:sz w:val="20"/>
          <w:szCs w:val="20"/>
        </w:rPr>
        <w:t xml:space="preserve">A low-cost, portable carbon capture prototype (PCCU-01) was designed and fabricated using locally available materials. The unit incorporated a primary amine-based solvent absorption system with a modified </w:t>
      </w:r>
      <w:proofErr w:type="spellStart"/>
      <w:r w:rsidRPr="007640AA">
        <w:rPr>
          <w:rFonts w:ascii="Arial" w:hAnsi="Arial" w:cs="Arial"/>
          <w:color w:val="000000" w:themeColor="text1"/>
          <w:sz w:val="20"/>
          <w:szCs w:val="20"/>
        </w:rPr>
        <w:t>monoethanolamine</w:t>
      </w:r>
      <w:proofErr w:type="spellEnd"/>
      <w:r w:rsidRPr="007640AA">
        <w:rPr>
          <w:rFonts w:ascii="Arial" w:hAnsi="Arial" w:cs="Arial"/>
          <w:color w:val="000000" w:themeColor="text1"/>
          <w:sz w:val="20"/>
          <w:szCs w:val="20"/>
        </w:rPr>
        <w:t xml:space="preserve"> (MEA) blend for CO</w:t>
      </w:r>
      <w:r w:rsidRPr="007640AA">
        <w:rPr>
          <w:rFonts w:ascii="Cambria Math" w:hAnsi="Cambria Math" w:cs="Arial"/>
          <w:color w:val="000000" w:themeColor="text1"/>
          <w:sz w:val="20"/>
          <w:szCs w:val="20"/>
        </w:rPr>
        <w:t>₂</w:t>
      </w:r>
      <w:r w:rsidRPr="007640AA">
        <w:rPr>
          <w:rFonts w:ascii="Arial" w:hAnsi="Arial" w:cs="Arial"/>
          <w:color w:val="000000" w:themeColor="text1"/>
          <w:sz w:val="20"/>
          <w:szCs w:val="20"/>
        </w:rPr>
        <w:t xml:space="preserve"> capture and a secondary activated carbon adsorption stage for removal of co-pollutants, including methane, NOx, and black carbon. The structural components were fabricated from mild steel, and the entire unit was skid-mounted for forklift compatibility to ensure portability and rapid deployment. The system had a total weight of 148 kg, a footprint of 1.2 m × 0.8 m, and was powered by a hybrid </w:t>
      </w:r>
      <w:r w:rsidRPr="007640AA">
        <w:rPr>
          <w:rFonts w:ascii="Arial" w:hAnsi="Arial" w:cs="Arial"/>
          <w:color w:val="000000" w:themeColor="text1"/>
          <w:sz w:val="20"/>
          <w:szCs w:val="20"/>
        </w:rPr>
        <w:lastRenderedPageBreak/>
        <w:t>solar-assisted system with a 2.5 kW capacity. Estimated fabrication cost was $4,850, with an expected operational lifespan of 5–7 years.</w:t>
      </w:r>
    </w:p>
    <w:p w14:paraId="4C49C488" w14:textId="77777777" w:rsidR="001C6D1F" w:rsidRPr="007640AA" w:rsidRDefault="001C6D1F" w:rsidP="00251594">
      <w:pPr>
        <w:pStyle w:val="NormalWeb"/>
        <w:jc w:val="both"/>
        <w:rPr>
          <w:rFonts w:ascii="Arial" w:hAnsi="Arial" w:cs="Arial"/>
          <w:color w:val="000000" w:themeColor="text1"/>
          <w:sz w:val="20"/>
          <w:szCs w:val="20"/>
        </w:rPr>
      </w:pPr>
      <w:r w:rsidRPr="007640AA">
        <w:rPr>
          <w:rFonts w:ascii="Arial" w:hAnsi="Arial" w:cs="Arial"/>
          <w:color w:val="000000" w:themeColor="text1"/>
          <w:sz w:val="20"/>
          <w:szCs w:val="20"/>
        </w:rPr>
        <w:t>Controlled environment testing of the prototype was conducted in a laboratory setting using simulated flue gas compositions that reflected field-measured CO</w:t>
      </w:r>
      <w:r w:rsidRPr="007640AA">
        <w:rPr>
          <w:rFonts w:ascii="Cambria Math" w:hAnsi="Cambria Math" w:cs="Arial"/>
          <w:color w:val="000000" w:themeColor="text1"/>
          <w:sz w:val="20"/>
          <w:szCs w:val="20"/>
        </w:rPr>
        <w:t>₂</w:t>
      </w:r>
      <w:r w:rsidRPr="007640AA">
        <w:rPr>
          <w:rFonts w:ascii="Arial" w:hAnsi="Arial" w:cs="Arial"/>
          <w:color w:val="000000" w:themeColor="text1"/>
          <w:sz w:val="20"/>
          <w:szCs w:val="20"/>
        </w:rPr>
        <w:t xml:space="preserve"> concentrations (7.8–9.0% vol). Inlet and outlet gas samples were collected at five replicate intervals to determine capture efficiency, which was calculated as the difference between inlet and outlet CO</w:t>
      </w:r>
      <w:r w:rsidRPr="007640AA">
        <w:rPr>
          <w:rFonts w:ascii="Cambria Math" w:hAnsi="Cambria Math" w:cs="Arial"/>
          <w:color w:val="000000" w:themeColor="text1"/>
          <w:sz w:val="20"/>
          <w:szCs w:val="20"/>
        </w:rPr>
        <w:t>₂</w:t>
      </w:r>
      <w:r w:rsidRPr="007640AA">
        <w:rPr>
          <w:rFonts w:ascii="Arial" w:hAnsi="Arial" w:cs="Arial"/>
          <w:color w:val="000000" w:themeColor="text1"/>
          <w:sz w:val="20"/>
          <w:szCs w:val="20"/>
        </w:rPr>
        <w:t xml:space="preserve"> concentrations expressed as a percentage of the inlet value. Solvent regeneration efficiency was determined by measuring the recovery rate of the amine solvent after CO</w:t>
      </w:r>
      <w:r w:rsidRPr="007640AA">
        <w:rPr>
          <w:rFonts w:ascii="Cambria Math" w:hAnsi="Cambria Math" w:cs="Arial"/>
          <w:color w:val="000000" w:themeColor="text1"/>
          <w:sz w:val="20"/>
          <w:szCs w:val="20"/>
        </w:rPr>
        <w:t>₂</w:t>
      </w:r>
      <w:r w:rsidRPr="007640AA">
        <w:rPr>
          <w:rFonts w:ascii="Arial" w:hAnsi="Arial" w:cs="Arial"/>
          <w:color w:val="000000" w:themeColor="text1"/>
          <w:sz w:val="20"/>
          <w:szCs w:val="20"/>
        </w:rPr>
        <w:t xml:space="preserve"> absorption cycles. Results from laboratory trials provided a baseline for prototype performance under idealized conditions, yielding mean CO</w:t>
      </w:r>
      <w:r w:rsidRPr="007640AA">
        <w:rPr>
          <w:rFonts w:ascii="Cambria Math" w:hAnsi="Cambria Math" w:cs="Arial"/>
          <w:color w:val="000000" w:themeColor="text1"/>
          <w:sz w:val="20"/>
          <w:szCs w:val="20"/>
        </w:rPr>
        <w:t>₂</w:t>
      </w:r>
      <w:r w:rsidRPr="007640AA">
        <w:rPr>
          <w:rFonts w:ascii="Arial" w:hAnsi="Arial" w:cs="Arial"/>
          <w:color w:val="000000" w:themeColor="text1"/>
          <w:sz w:val="20"/>
          <w:szCs w:val="20"/>
        </w:rPr>
        <w:t xml:space="preserve"> capture efficiency of 75.2% and solvent regeneration efficiency of 89–92%.</w:t>
      </w:r>
      <w:r w:rsidR="009871C4">
        <w:rPr>
          <w:rFonts w:ascii="Arial" w:hAnsi="Arial" w:cs="Arial"/>
          <w:color w:val="000000" w:themeColor="text1"/>
          <w:sz w:val="20"/>
          <w:szCs w:val="20"/>
        </w:rPr>
        <w:t xml:space="preserve"> </w:t>
      </w:r>
      <w:r w:rsidRPr="007640AA">
        <w:rPr>
          <w:rFonts w:ascii="Arial" w:hAnsi="Arial" w:cs="Arial"/>
          <w:color w:val="000000" w:themeColor="text1"/>
          <w:sz w:val="20"/>
          <w:szCs w:val="20"/>
        </w:rPr>
        <w:t>Field deployment of PCCU-01 was performed at all five flare sites to evaluate real-world performance. The unit was positioned at the base of flare stacks, secured on skid mounts, and operated continuously for 30 days. CO</w:t>
      </w:r>
      <w:r w:rsidRPr="007640AA">
        <w:rPr>
          <w:rFonts w:ascii="Cambria Math" w:hAnsi="Cambria Math" w:cs="Arial"/>
          <w:color w:val="000000" w:themeColor="text1"/>
          <w:sz w:val="20"/>
          <w:szCs w:val="20"/>
        </w:rPr>
        <w:t>₂</w:t>
      </w:r>
      <w:r w:rsidRPr="007640AA">
        <w:rPr>
          <w:rFonts w:ascii="Arial" w:hAnsi="Arial" w:cs="Arial"/>
          <w:color w:val="000000" w:themeColor="text1"/>
          <w:sz w:val="20"/>
          <w:szCs w:val="20"/>
        </w:rPr>
        <w:t>, CH</w:t>
      </w:r>
      <w:r w:rsidRPr="007640AA">
        <w:rPr>
          <w:rFonts w:ascii="Cambria Math" w:hAnsi="Cambria Math" w:cs="Arial"/>
          <w:color w:val="000000" w:themeColor="text1"/>
          <w:sz w:val="20"/>
          <w:szCs w:val="20"/>
        </w:rPr>
        <w:t>₄</w:t>
      </w:r>
      <w:r w:rsidRPr="007640AA">
        <w:rPr>
          <w:rFonts w:ascii="Arial" w:hAnsi="Arial" w:cs="Arial"/>
          <w:color w:val="000000" w:themeColor="text1"/>
          <w:sz w:val="20"/>
          <w:szCs w:val="20"/>
        </w:rPr>
        <w:t>, NOx, SO</w:t>
      </w:r>
      <w:r w:rsidRPr="007640AA">
        <w:rPr>
          <w:rFonts w:ascii="Cambria Math" w:hAnsi="Cambria Math" w:cs="Arial"/>
          <w:color w:val="000000" w:themeColor="text1"/>
          <w:sz w:val="20"/>
          <w:szCs w:val="20"/>
        </w:rPr>
        <w:t>₂</w:t>
      </w:r>
      <w:r w:rsidRPr="007640AA">
        <w:rPr>
          <w:rFonts w:ascii="Arial" w:hAnsi="Arial" w:cs="Arial"/>
          <w:color w:val="000000" w:themeColor="text1"/>
          <w:sz w:val="20"/>
          <w:szCs w:val="20"/>
        </w:rPr>
        <w:t>, and black carbon concentrations were measured at the inlet and outlet of the capture system using portable analyzers and filter-based particulate samplers. Environmental parameters including ambient temperature, wind speed, humidity, and flare volume fluctuations were recorded concurrently to assess their influence on capture efficiency. Field performance data were analyzed to quantify reductions in CO</w:t>
      </w:r>
      <w:r w:rsidRPr="007640AA">
        <w:rPr>
          <w:rFonts w:ascii="Cambria Math" w:hAnsi="Cambria Math" w:cs="Arial"/>
          <w:color w:val="000000" w:themeColor="text1"/>
          <w:sz w:val="20"/>
          <w:szCs w:val="20"/>
        </w:rPr>
        <w:t>₂</w:t>
      </w:r>
      <w:r w:rsidRPr="007640AA">
        <w:rPr>
          <w:rFonts w:ascii="Arial" w:hAnsi="Arial" w:cs="Arial"/>
          <w:color w:val="000000" w:themeColor="text1"/>
          <w:sz w:val="20"/>
          <w:szCs w:val="20"/>
        </w:rPr>
        <w:t xml:space="preserve"> and co-pollutants, calculate mean capture efficiencies, and </w:t>
      </w:r>
      <w:r w:rsidRPr="007640AA">
        <w:rPr>
          <w:rFonts w:ascii="Arial" w:hAnsi="Arial" w:cs="Arial"/>
          <w:color w:val="000000" w:themeColor="text1"/>
          <w:sz w:val="20"/>
          <w:szCs w:val="20"/>
        </w:rPr>
        <w:t>determine the deviation from laboratory performance.</w:t>
      </w:r>
      <w:r w:rsidR="001B74AB" w:rsidRPr="007640AA">
        <w:rPr>
          <w:rFonts w:ascii="Arial" w:hAnsi="Arial" w:cs="Arial"/>
          <w:color w:val="000000" w:themeColor="text1"/>
          <w:sz w:val="20"/>
          <w:szCs w:val="20"/>
        </w:rPr>
        <w:t xml:space="preserve"> </w:t>
      </w:r>
      <w:r w:rsidRPr="007640AA">
        <w:rPr>
          <w:rFonts w:ascii="Arial" w:hAnsi="Arial" w:cs="Arial"/>
          <w:color w:val="000000" w:themeColor="text1"/>
          <w:sz w:val="20"/>
          <w:szCs w:val="20"/>
        </w:rPr>
        <w:t>Annualized emission reductions were projected using field data combined with flare operational hours, allowing for estimation of potential environmental impact in terms of CO</w:t>
      </w:r>
      <w:r w:rsidRPr="007640AA">
        <w:rPr>
          <w:rFonts w:ascii="Cambria Math" w:hAnsi="Cambria Math" w:cs="Arial"/>
          <w:color w:val="000000" w:themeColor="text1"/>
          <w:sz w:val="20"/>
          <w:szCs w:val="20"/>
        </w:rPr>
        <w:t>₂</w:t>
      </w:r>
      <w:r w:rsidRPr="007640AA">
        <w:rPr>
          <w:rFonts w:ascii="Arial" w:hAnsi="Arial" w:cs="Arial"/>
          <w:color w:val="000000" w:themeColor="text1"/>
          <w:sz w:val="20"/>
          <w:szCs w:val="20"/>
        </w:rPr>
        <w:t>-equivalent reductions. Economic feasibility was assessed through a cost-benefit analysis, incorporating capital expenditure, annual operations and maintenance costs, potential revenue from carbon credits, net present value, benefit-cost ratio, and payback period over a five-year projection. Comparative analysis was conducted between the portable prototype and conventional large-scale carbon capture systems reported in the literature to evaluate relative performance, capital cost, energy demand, deployment time, and suitability for remote flare sites.</w:t>
      </w:r>
    </w:p>
    <w:p w14:paraId="4C49C48A" w14:textId="3EDCC104" w:rsidR="00FF155A" w:rsidRDefault="001C6D1F" w:rsidP="00281D35">
      <w:pPr>
        <w:pStyle w:val="NormalWeb"/>
        <w:jc w:val="both"/>
        <w:rPr>
          <w:rFonts w:ascii="Arial" w:hAnsi="Arial" w:cs="Arial"/>
          <w:color w:val="000000" w:themeColor="text1"/>
          <w:sz w:val="20"/>
          <w:szCs w:val="20"/>
        </w:rPr>
        <w:sectPr w:rsidR="00FF155A" w:rsidSect="005E0C6E">
          <w:type w:val="continuous"/>
          <w:pgSz w:w="11907" w:h="16839" w:code="9"/>
          <w:pgMar w:top="1440" w:right="1440" w:bottom="1440" w:left="1440" w:header="720" w:footer="720" w:gutter="0"/>
          <w:cols w:num="2" w:space="720"/>
          <w:docGrid w:linePitch="360"/>
        </w:sectPr>
      </w:pPr>
      <w:r w:rsidRPr="007640AA">
        <w:rPr>
          <w:rFonts w:ascii="Arial" w:hAnsi="Arial" w:cs="Arial"/>
          <w:color w:val="000000" w:themeColor="text1"/>
          <w:sz w:val="20"/>
          <w:szCs w:val="20"/>
        </w:rPr>
        <w:t>Statistical analyses were performed to validate findings and quantify variability. One-way analysis of variance (ANOVA) was used to determine significant differences in CO</w:t>
      </w:r>
      <w:r w:rsidRPr="007640AA">
        <w:rPr>
          <w:rFonts w:ascii="Cambria Math" w:hAnsi="Cambria Math" w:cs="Arial"/>
          <w:color w:val="000000" w:themeColor="text1"/>
          <w:sz w:val="20"/>
          <w:szCs w:val="20"/>
        </w:rPr>
        <w:t>₂</w:t>
      </w:r>
      <w:r w:rsidRPr="007640AA">
        <w:rPr>
          <w:rFonts w:ascii="Arial" w:hAnsi="Arial" w:cs="Arial"/>
          <w:color w:val="000000" w:themeColor="text1"/>
          <w:sz w:val="20"/>
          <w:szCs w:val="20"/>
        </w:rPr>
        <w:t xml:space="preserve"> capture efficiency among the five flare sites. Paired t-tests compared laboratory versus field capture efficiency to assess performance losses under real operational conditions. Simple linear regression was employed to evaluate the relationship between flare volume and CO</w:t>
      </w:r>
      <w:r w:rsidRPr="007640AA">
        <w:rPr>
          <w:rFonts w:ascii="Cambria Math" w:hAnsi="Cambria Math" w:cs="Arial"/>
          <w:color w:val="000000" w:themeColor="text1"/>
          <w:sz w:val="20"/>
          <w:szCs w:val="20"/>
        </w:rPr>
        <w:t>₂</w:t>
      </w:r>
      <w:r w:rsidRPr="007640AA">
        <w:rPr>
          <w:rFonts w:ascii="Arial" w:hAnsi="Arial" w:cs="Arial"/>
          <w:color w:val="000000" w:themeColor="text1"/>
          <w:sz w:val="20"/>
          <w:szCs w:val="20"/>
        </w:rPr>
        <w:t xml:space="preserve"> capture efficiency, while multiple regression models quantified the influence of co-pollutant reduction (CH</w:t>
      </w:r>
      <w:r w:rsidRPr="007640AA">
        <w:rPr>
          <w:rFonts w:ascii="Cambria Math" w:hAnsi="Cambria Math" w:cs="Arial"/>
          <w:color w:val="000000" w:themeColor="text1"/>
          <w:sz w:val="20"/>
          <w:szCs w:val="20"/>
        </w:rPr>
        <w:t>₄</w:t>
      </w:r>
      <w:r w:rsidRPr="007640AA">
        <w:rPr>
          <w:rFonts w:ascii="Arial" w:hAnsi="Arial" w:cs="Arial"/>
          <w:color w:val="000000" w:themeColor="text1"/>
          <w:sz w:val="20"/>
          <w:szCs w:val="20"/>
        </w:rPr>
        <w:t>, NOx, and black carbon) on CO</w:t>
      </w:r>
      <w:r w:rsidRPr="007640AA">
        <w:rPr>
          <w:rFonts w:ascii="Cambria Math" w:hAnsi="Cambria Math" w:cs="Arial"/>
          <w:color w:val="000000" w:themeColor="text1"/>
          <w:sz w:val="20"/>
          <w:szCs w:val="20"/>
        </w:rPr>
        <w:t>₂</w:t>
      </w:r>
      <w:r w:rsidRPr="007640AA">
        <w:rPr>
          <w:rFonts w:ascii="Arial" w:hAnsi="Arial" w:cs="Arial"/>
          <w:color w:val="000000" w:themeColor="text1"/>
          <w:sz w:val="20"/>
          <w:szCs w:val="20"/>
        </w:rPr>
        <w:t xml:space="preserve"> capture efficiency. All statistical analyses were conducted at a 95% confidence level, ensuring rigorous evaluation of prototype performance, environmental impact, and operational feasibility</w:t>
      </w:r>
    </w:p>
    <w:p w14:paraId="4C49C48B" w14:textId="77777777" w:rsidR="005E0C6E" w:rsidRDefault="005E0C6E" w:rsidP="007640AA">
      <w:pPr>
        <w:pStyle w:val="Heading2"/>
        <w:spacing w:line="240" w:lineRule="auto"/>
        <w:jc w:val="both"/>
        <w:rPr>
          <w:rFonts w:ascii="Arial" w:hAnsi="Arial" w:cs="Arial"/>
          <w:color w:val="000000" w:themeColor="text1"/>
          <w:sz w:val="20"/>
          <w:szCs w:val="20"/>
        </w:rPr>
        <w:sectPr w:rsidR="005E0C6E" w:rsidSect="00FF155A">
          <w:type w:val="continuous"/>
          <w:pgSz w:w="11907" w:h="16839" w:code="9"/>
          <w:pgMar w:top="1440" w:right="1440" w:bottom="1440" w:left="1440" w:header="720" w:footer="720" w:gutter="0"/>
          <w:cols w:space="720"/>
          <w:docGrid w:linePitch="360"/>
        </w:sectPr>
      </w:pPr>
    </w:p>
    <w:p w14:paraId="4C49C49A" w14:textId="77777777" w:rsidR="00FF155A" w:rsidRPr="00FF155A" w:rsidRDefault="00FF155A" w:rsidP="00FF155A"/>
    <w:p w14:paraId="4C49C49B" w14:textId="77777777" w:rsidR="005E0C6E" w:rsidRPr="00FF155A" w:rsidRDefault="005E0C6E" w:rsidP="001A3318">
      <w:pPr>
        <w:pStyle w:val="Heading2"/>
        <w:numPr>
          <w:ilvl w:val="0"/>
          <w:numId w:val="28"/>
        </w:numPr>
        <w:spacing w:line="240" w:lineRule="auto"/>
        <w:jc w:val="both"/>
        <w:rPr>
          <w:rFonts w:ascii="Arial" w:hAnsi="Arial" w:cs="Arial"/>
          <w:color w:val="000000" w:themeColor="text1"/>
          <w:sz w:val="20"/>
          <w:szCs w:val="20"/>
        </w:rPr>
      </w:pPr>
      <w:r w:rsidRPr="00FF155A">
        <w:rPr>
          <w:rFonts w:ascii="Arial" w:hAnsi="Arial" w:cs="Arial"/>
          <w:color w:val="000000" w:themeColor="text1"/>
          <w:sz w:val="20"/>
          <w:szCs w:val="20"/>
        </w:rPr>
        <w:t>RESULTS</w:t>
      </w:r>
    </w:p>
    <w:p w14:paraId="4C49C49C" w14:textId="77777777" w:rsidR="00FF155A" w:rsidRDefault="00FF155A" w:rsidP="00AE3146">
      <w:pPr>
        <w:pStyle w:val="Heading2"/>
        <w:spacing w:line="240" w:lineRule="auto"/>
        <w:jc w:val="both"/>
        <w:rPr>
          <w:rStyle w:val="Strong"/>
          <w:rFonts w:ascii="Arial" w:hAnsi="Arial" w:cs="Arial"/>
          <w:b/>
          <w:bCs/>
          <w:color w:val="000000" w:themeColor="text1"/>
          <w:sz w:val="20"/>
          <w:szCs w:val="20"/>
        </w:rPr>
        <w:sectPr w:rsidR="00FF155A" w:rsidSect="00FF155A">
          <w:type w:val="continuous"/>
          <w:pgSz w:w="11907" w:h="16839" w:code="9"/>
          <w:pgMar w:top="1440" w:right="1440" w:bottom="1440" w:left="1440" w:header="720" w:footer="720" w:gutter="0"/>
          <w:cols w:space="720"/>
          <w:docGrid w:linePitch="360"/>
        </w:sectPr>
      </w:pPr>
    </w:p>
    <w:p w14:paraId="4C49C49D" w14:textId="77777777" w:rsidR="003865D8" w:rsidRPr="00250147" w:rsidRDefault="003865D8" w:rsidP="00AE3146">
      <w:pPr>
        <w:pStyle w:val="Heading2"/>
        <w:spacing w:line="240" w:lineRule="auto"/>
        <w:jc w:val="both"/>
        <w:rPr>
          <w:rFonts w:ascii="Arial" w:hAnsi="Arial" w:cs="Arial"/>
          <w:color w:val="000000" w:themeColor="text1"/>
          <w:sz w:val="20"/>
          <w:szCs w:val="20"/>
        </w:rPr>
      </w:pPr>
      <w:r w:rsidRPr="007640AA">
        <w:rPr>
          <w:rStyle w:val="Strong"/>
          <w:rFonts w:ascii="Arial" w:hAnsi="Arial" w:cs="Arial"/>
          <w:b/>
          <w:bCs/>
          <w:color w:val="000000" w:themeColor="text1"/>
          <w:sz w:val="20"/>
          <w:szCs w:val="20"/>
        </w:rPr>
        <w:t xml:space="preserve">Table </w:t>
      </w:r>
      <w:r w:rsidR="005F6986">
        <w:rPr>
          <w:rStyle w:val="Strong"/>
          <w:rFonts w:ascii="Arial" w:hAnsi="Arial" w:cs="Arial"/>
          <w:b/>
          <w:bCs/>
          <w:color w:val="000000" w:themeColor="text1"/>
          <w:sz w:val="20"/>
          <w:szCs w:val="20"/>
        </w:rPr>
        <w:t>4.1</w:t>
      </w:r>
      <w:r w:rsidRPr="007640AA">
        <w:rPr>
          <w:rStyle w:val="Strong"/>
          <w:rFonts w:ascii="Arial" w:hAnsi="Arial" w:cs="Arial"/>
          <w:b/>
          <w:bCs/>
          <w:color w:val="000000" w:themeColor="text1"/>
          <w:sz w:val="20"/>
          <w:szCs w:val="20"/>
        </w:rPr>
        <w:t xml:space="preserve"> Geographic</w:t>
      </w:r>
      <w:r w:rsidRPr="00250147">
        <w:rPr>
          <w:rStyle w:val="Strong"/>
          <w:rFonts w:ascii="Arial" w:hAnsi="Arial" w:cs="Arial"/>
          <w:b/>
          <w:bCs/>
          <w:color w:val="000000" w:themeColor="text1"/>
          <w:sz w:val="20"/>
          <w:szCs w:val="20"/>
        </w:rPr>
        <w:t xml:space="preserve"> and Operational Characteristics of Selected Flare Sites (Pre-Deployment Assessment, n = 5)</w:t>
      </w:r>
    </w:p>
    <w:tbl>
      <w:tblPr>
        <w:tblStyle w:val="LightShading"/>
        <w:tblW w:w="9108" w:type="dxa"/>
        <w:tblLook w:val="04A0" w:firstRow="1" w:lastRow="0" w:firstColumn="1" w:lastColumn="0" w:noHBand="0" w:noVBand="1"/>
      </w:tblPr>
      <w:tblGrid>
        <w:gridCol w:w="970"/>
        <w:gridCol w:w="1388"/>
        <w:gridCol w:w="2160"/>
        <w:gridCol w:w="1440"/>
        <w:gridCol w:w="1350"/>
        <w:gridCol w:w="1800"/>
      </w:tblGrid>
      <w:tr w:rsidR="00250147" w:rsidRPr="00250147" w14:paraId="4C49C4A4" w14:textId="77777777" w:rsidTr="002501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4C49C49E" w14:textId="77777777" w:rsidR="005F6986" w:rsidRPr="00250147" w:rsidRDefault="005F6986" w:rsidP="00250147">
            <w:pPr>
              <w:spacing w:before="200"/>
              <w:rPr>
                <w:rFonts w:ascii="Arial" w:hAnsi="Arial" w:cs="Arial"/>
                <w:color w:val="000000" w:themeColor="text1"/>
                <w:sz w:val="20"/>
                <w:szCs w:val="20"/>
              </w:rPr>
            </w:pPr>
            <w:r w:rsidRPr="00250147">
              <w:rPr>
                <w:rFonts w:ascii="Arial" w:hAnsi="Arial" w:cs="Arial"/>
                <w:bCs w:val="0"/>
                <w:color w:val="000000" w:themeColor="text1"/>
                <w:sz w:val="20"/>
                <w:szCs w:val="20"/>
              </w:rPr>
              <w:t>State</w:t>
            </w:r>
          </w:p>
        </w:tc>
        <w:tc>
          <w:tcPr>
            <w:tcW w:w="1388" w:type="dxa"/>
            <w:shd w:val="clear" w:color="auto" w:fill="FFFFFF" w:themeFill="background1"/>
            <w:hideMark/>
          </w:tcPr>
          <w:p w14:paraId="4C49C49F" w14:textId="77777777" w:rsidR="005F6986" w:rsidRPr="00250147" w:rsidRDefault="005F6986" w:rsidP="00250147">
            <w:pP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250147">
              <w:rPr>
                <w:rFonts w:ascii="Arial" w:hAnsi="Arial" w:cs="Arial"/>
                <w:bCs w:val="0"/>
                <w:color w:val="000000" w:themeColor="text1"/>
                <w:sz w:val="20"/>
                <w:szCs w:val="20"/>
              </w:rPr>
              <w:t>GPS Coordinates</w:t>
            </w:r>
          </w:p>
        </w:tc>
        <w:tc>
          <w:tcPr>
            <w:tcW w:w="2160" w:type="dxa"/>
            <w:shd w:val="clear" w:color="auto" w:fill="FFFFFF" w:themeFill="background1"/>
            <w:hideMark/>
          </w:tcPr>
          <w:p w14:paraId="4C49C4A0" w14:textId="77777777" w:rsidR="005F6986" w:rsidRPr="00250147" w:rsidRDefault="005F6986" w:rsidP="00250147">
            <w:pP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250147">
              <w:rPr>
                <w:rFonts w:ascii="Arial" w:hAnsi="Arial" w:cs="Arial"/>
                <w:bCs w:val="0"/>
                <w:color w:val="000000" w:themeColor="text1"/>
                <w:sz w:val="20"/>
                <w:szCs w:val="20"/>
              </w:rPr>
              <w:t>Average Flare Volume (</w:t>
            </w:r>
            <w:proofErr w:type="spellStart"/>
            <w:r w:rsidRPr="00250147">
              <w:rPr>
                <w:rFonts w:ascii="Arial" w:hAnsi="Arial" w:cs="Arial"/>
                <w:bCs w:val="0"/>
                <w:color w:val="000000" w:themeColor="text1"/>
                <w:sz w:val="20"/>
                <w:szCs w:val="20"/>
              </w:rPr>
              <w:t>MMscf</w:t>
            </w:r>
            <w:proofErr w:type="spellEnd"/>
            <w:r w:rsidRPr="00250147">
              <w:rPr>
                <w:rFonts w:ascii="Arial" w:hAnsi="Arial" w:cs="Arial"/>
                <w:bCs w:val="0"/>
                <w:color w:val="000000" w:themeColor="text1"/>
                <w:sz w:val="20"/>
                <w:szCs w:val="20"/>
              </w:rPr>
              <w:t>/day)</w:t>
            </w:r>
          </w:p>
        </w:tc>
        <w:tc>
          <w:tcPr>
            <w:tcW w:w="1440" w:type="dxa"/>
            <w:shd w:val="clear" w:color="auto" w:fill="FFFFFF" w:themeFill="background1"/>
            <w:hideMark/>
          </w:tcPr>
          <w:p w14:paraId="4C49C4A1" w14:textId="77777777" w:rsidR="005F6986" w:rsidRPr="00250147" w:rsidRDefault="005F6986" w:rsidP="00250147">
            <w:pP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250147">
              <w:rPr>
                <w:rFonts w:ascii="Arial" w:hAnsi="Arial" w:cs="Arial"/>
                <w:bCs w:val="0"/>
                <w:color w:val="000000" w:themeColor="text1"/>
                <w:sz w:val="20"/>
                <w:szCs w:val="20"/>
              </w:rPr>
              <w:t>Flare Stack Height (m)</w:t>
            </w:r>
          </w:p>
        </w:tc>
        <w:tc>
          <w:tcPr>
            <w:tcW w:w="1350" w:type="dxa"/>
            <w:shd w:val="clear" w:color="auto" w:fill="FFFFFF" w:themeFill="background1"/>
            <w:hideMark/>
          </w:tcPr>
          <w:p w14:paraId="4C49C4A2" w14:textId="77777777" w:rsidR="005F6986" w:rsidRPr="00250147" w:rsidRDefault="005F6986" w:rsidP="00250147">
            <w:pP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250147">
              <w:rPr>
                <w:rFonts w:ascii="Arial" w:hAnsi="Arial" w:cs="Arial"/>
                <w:bCs w:val="0"/>
                <w:color w:val="000000" w:themeColor="text1"/>
                <w:sz w:val="20"/>
                <w:szCs w:val="20"/>
              </w:rPr>
              <w:t>Distance to Community (km)</w:t>
            </w:r>
          </w:p>
        </w:tc>
        <w:tc>
          <w:tcPr>
            <w:tcW w:w="1800" w:type="dxa"/>
            <w:shd w:val="clear" w:color="auto" w:fill="FFFFFF" w:themeFill="background1"/>
            <w:hideMark/>
          </w:tcPr>
          <w:p w14:paraId="4C49C4A3" w14:textId="77777777" w:rsidR="005F6986" w:rsidRPr="00250147" w:rsidRDefault="005F6986" w:rsidP="00250147">
            <w:pP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250147">
              <w:rPr>
                <w:rFonts w:ascii="Arial" w:hAnsi="Arial" w:cs="Arial"/>
                <w:bCs w:val="0"/>
                <w:color w:val="000000" w:themeColor="text1"/>
                <w:sz w:val="20"/>
                <w:szCs w:val="20"/>
              </w:rPr>
              <w:t>Dominant Surrounding Land Use</w:t>
            </w:r>
          </w:p>
        </w:tc>
      </w:tr>
      <w:tr w:rsidR="00250147" w:rsidRPr="007640AA" w14:paraId="4C49C4AB" w14:textId="77777777" w:rsidTr="002501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4C49C4A5" w14:textId="77777777" w:rsidR="005F6986" w:rsidRPr="00250147" w:rsidRDefault="005F6986" w:rsidP="00250147">
            <w:pPr>
              <w:rPr>
                <w:rFonts w:ascii="Arial" w:hAnsi="Arial" w:cs="Arial"/>
                <w:b w:val="0"/>
                <w:color w:val="000000" w:themeColor="text1"/>
                <w:sz w:val="20"/>
                <w:szCs w:val="20"/>
              </w:rPr>
            </w:pPr>
            <w:r w:rsidRPr="00250147">
              <w:rPr>
                <w:rFonts w:ascii="Arial" w:hAnsi="Arial" w:cs="Arial"/>
                <w:b w:val="0"/>
                <w:color w:val="000000" w:themeColor="text1"/>
                <w:sz w:val="20"/>
                <w:szCs w:val="20"/>
              </w:rPr>
              <w:t>Rivers</w:t>
            </w:r>
          </w:p>
        </w:tc>
        <w:tc>
          <w:tcPr>
            <w:tcW w:w="1388" w:type="dxa"/>
            <w:shd w:val="clear" w:color="auto" w:fill="FFFFFF" w:themeFill="background1"/>
            <w:hideMark/>
          </w:tcPr>
          <w:p w14:paraId="4C49C4A6" w14:textId="77777777" w:rsidR="005F6986" w:rsidRPr="00250147" w:rsidRDefault="005F6986" w:rsidP="00250147">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250147">
              <w:rPr>
                <w:rFonts w:ascii="Arial" w:hAnsi="Arial" w:cs="Arial"/>
                <w:color w:val="000000" w:themeColor="text1"/>
                <w:sz w:val="20"/>
                <w:szCs w:val="20"/>
              </w:rPr>
              <w:t>4.8156°N, 7.0498°E</w:t>
            </w:r>
          </w:p>
        </w:tc>
        <w:tc>
          <w:tcPr>
            <w:tcW w:w="2160" w:type="dxa"/>
            <w:shd w:val="clear" w:color="auto" w:fill="FFFFFF" w:themeFill="background1"/>
            <w:hideMark/>
          </w:tcPr>
          <w:p w14:paraId="4C49C4A7" w14:textId="77777777" w:rsidR="005F6986" w:rsidRPr="00250147" w:rsidRDefault="005F6986" w:rsidP="00250147">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250147">
              <w:rPr>
                <w:rFonts w:ascii="Arial" w:hAnsi="Arial" w:cs="Arial"/>
                <w:color w:val="000000" w:themeColor="text1"/>
                <w:sz w:val="20"/>
                <w:szCs w:val="20"/>
              </w:rPr>
              <w:t>18.4</w:t>
            </w:r>
            <w:r w:rsidR="00A40BF0">
              <w:rPr>
                <w:rFonts w:ascii="Arial" w:hAnsi="Arial" w:cs="Arial"/>
                <w:color w:val="000000" w:themeColor="text1"/>
                <w:sz w:val="20"/>
                <w:szCs w:val="20"/>
              </w:rPr>
              <w:t>s</w:t>
            </w:r>
          </w:p>
        </w:tc>
        <w:tc>
          <w:tcPr>
            <w:tcW w:w="1440" w:type="dxa"/>
            <w:shd w:val="clear" w:color="auto" w:fill="FFFFFF" w:themeFill="background1"/>
            <w:hideMark/>
          </w:tcPr>
          <w:p w14:paraId="4C49C4A8" w14:textId="77777777" w:rsidR="005F6986" w:rsidRPr="00250147" w:rsidRDefault="005F6986" w:rsidP="00250147">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250147">
              <w:rPr>
                <w:rFonts w:ascii="Arial" w:hAnsi="Arial" w:cs="Arial"/>
                <w:color w:val="000000" w:themeColor="text1"/>
                <w:sz w:val="20"/>
                <w:szCs w:val="20"/>
              </w:rPr>
              <w:t>32</w:t>
            </w:r>
          </w:p>
        </w:tc>
        <w:tc>
          <w:tcPr>
            <w:tcW w:w="1350" w:type="dxa"/>
            <w:shd w:val="clear" w:color="auto" w:fill="FFFFFF" w:themeFill="background1"/>
            <w:hideMark/>
          </w:tcPr>
          <w:p w14:paraId="4C49C4A9" w14:textId="77777777" w:rsidR="005F6986" w:rsidRPr="00250147" w:rsidRDefault="005F6986" w:rsidP="00250147">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250147">
              <w:rPr>
                <w:rFonts w:ascii="Arial" w:hAnsi="Arial" w:cs="Arial"/>
                <w:color w:val="000000" w:themeColor="text1"/>
                <w:sz w:val="20"/>
                <w:szCs w:val="20"/>
              </w:rPr>
              <w:t>1.2</w:t>
            </w:r>
          </w:p>
        </w:tc>
        <w:tc>
          <w:tcPr>
            <w:tcW w:w="1800" w:type="dxa"/>
            <w:shd w:val="clear" w:color="auto" w:fill="FFFFFF" w:themeFill="background1"/>
            <w:hideMark/>
          </w:tcPr>
          <w:p w14:paraId="4C49C4AA" w14:textId="77777777" w:rsidR="005F6986" w:rsidRPr="00250147" w:rsidRDefault="005F6986" w:rsidP="00250147">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250147">
              <w:rPr>
                <w:rFonts w:ascii="Arial" w:hAnsi="Arial" w:cs="Arial"/>
                <w:color w:val="000000" w:themeColor="text1"/>
                <w:sz w:val="20"/>
                <w:szCs w:val="20"/>
              </w:rPr>
              <w:t>Farmland</w:t>
            </w:r>
          </w:p>
        </w:tc>
      </w:tr>
      <w:tr w:rsidR="00250147" w:rsidRPr="007640AA" w14:paraId="4C49C4B2" w14:textId="77777777" w:rsidTr="00250147">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4C49C4AC" w14:textId="77777777" w:rsidR="005F6986" w:rsidRPr="00250147" w:rsidRDefault="005F6986" w:rsidP="00250147">
            <w:pPr>
              <w:rPr>
                <w:rFonts w:ascii="Arial" w:hAnsi="Arial" w:cs="Arial"/>
                <w:b w:val="0"/>
                <w:color w:val="000000" w:themeColor="text1"/>
                <w:sz w:val="20"/>
                <w:szCs w:val="20"/>
              </w:rPr>
            </w:pPr>
            <w:r w:rsidRPr="00250147">
              <w:rPr>
                <w:rFonts w:ascii="Arial" w:hAnsi="Arial" w:cs="Arial"/>
                <w:b w:val="0"/>
                <w:color w:val="000000" w:themeColor="text1"/>
                <w:sz w:val="20"/>
                <w:szCs w:val="20"/>
              </w:rPr>
              <w:t>Bayelsa</w:t>
            </w:r>
          </w:p>
        </w:tc>
        <w:tc>
          <w:tcPr>
            <w:tcW w:w="1388" w:type="dxa"/>
            <w:shd w:val="clear" w:color="auto" w:fill="FFFFFF" w:themeFill="background1"/>
            <w:hideMark/>
          </w:tcPr>
          <w:p w14:paraId="4C49C4AD" w14:textId="77777777" w:rsidR="005F6986" w:rsidRPr="00250147" w:rsidRDefault="005F6986" w:rsidP="00250147">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250147">
              <w:rPr>
                <w:rFonts w:ascii="Arial" w:hAnsi="Arial" w:cs="Arial"/>
                <w:color w:val="000000" w:themeColor="text1"/>
                <w:sz w:val="20"/>
                <w:szCs w:val="20"/>
              </w:rPr>
              <w:t>4.7719°N, 6.0699°E</w:t>
            </w:r>
          </w:p>
        </w:tc>
        <w:tc>
          <w:tcPr>
            <w:tcW w:w="2160" w:type="dxa"/>
            <w:shd w:val="clear" w:color="auto" w:fill="FFFFFF" w:themeFill="background1"/>
            <w:hideMark/>
          </w:tcPr>
          <w:p w14:paraId="4C49C4AE" w14:textId="77777777" w:rsidR="005F6986" w:rsidRPr="00250147" w:rsidRDefault="005F6986" w:rsidP="00250147">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250147">
              <w:rPr>
                <w:rFonts w:ascii="Arial" w:hAnsi="Arial" w:cs="Arial"/>
                <w:color w:val="000000" w:themeColor="text1"/>
                <w:sz w:val="20"/>
                <w:szCs w:val="20"/>
              </w:rPr>
              <w:t>22.7</w:t>
            </w:r>
          </w:p>
        </w:tc>
        <w:tc>
          <w:tcPr>
            <w:tcW w:w="1440" w:type="dxa"/>
            <w:shd w:val="clear" w:color="auto" w:fill="FFFFFF" w:themeFill="background1"/>
            <w:hideMark/>
          </w:tcPr>
          <w:p w14:paraId="4C49C4AF" w14:textId="77777777" w:rsidR="005F6986" w:rsidRPr="00250147" w:rsidRDefault="005F6986" w:rsidP="00250147">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250147">
              <w:rPr>
                <w:rFonts w:ascii="Arial" w:hAnsi="Arial" w:cs="Arial"/>
                <w:color w:val="000000" w:themeColor="text1"/>
                <w:sz w:val="20"/>
                <w:szCs w:val="20"/>
              </w:rPr>
              <w:t>28</w:t>
            </w:r>
          </w:p>
        </w:tc>
        <w:tc>
          <w:tcPr>
            <w:tcW w:w="1350" w:type="dxa"/>
            <w:shd w:val="clear" w:color="auto" w:fill="FFFFFF" w:themeFill="background1"/>
            <w:hideMark/>
          </w:tcPr>
          <w:p w14:paraId="4C49C4B0" w14:textId="77777777" w:rsidR="005F6986" w:rsidRPr="00250147" w:rsidRDefault="005F6986" w:rsidP="00250147">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250147">
              <w:rPr>
                <w:rFonts w:ascii="Arial" w:hAnsi="Arial" w:cs="Arial"/>
                <w:color w:val="000000" w:themeColor="text1"/>
                <w:sz w:val="20"/>
                <w:szCs w:val="20"/>
              </w:rPr>
              <w:t>0.8</w:t>
            </w:r>
          </w:p>
        </w:tc>
        <w:tc>
          <w:tcPr>
            <w:tcW w:w="1800" w:type="dxa"/>
            <w:shd w:val="clear" w:color="auto" w:fill="FFFFFF" w:themeFill="background1"/>
            <w:hideMark/>
          </w:tcPr>
          <w:p w14:paraId="4C49C4B1" w14:textId="77777777" w:rsidR="005F6986" w:rsidRPr="00250147" w:rsidRDefault="005F6986" w:rsidP="00250147">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250147">
              <w:rPr>
                <w:rFonts w:ascii="Arial" w:hAnsi="Arial" w:cs="Arial"/>
                <w:color w:val="000000" w:themeColor="text1"/>
                <w:sz w:val="20"/>
                <w:szCs w:val="20"/>
              </w:rPr>
              <w:t>Fishing settlement</w:t>
            </w:r>
          </w:p>
        </w:tc>
      </w:tr>
      <w:tr w:rsidR="00250147" w:rsidRPr="007640AA" w14:paraId="4C49C4B9" w14:textId="77777777" w:rsidTr="002501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4C49C4B3" w14:textId="77777777" w:rsidR="005F6986" w:rsidRPr="00250147" w:rsidRDefault="005F6986" w:rsidP="00250147">
            <w:pPr>
              <w:rPr>
                <w:rFonts w:ascii="Arial" w:hAnsi="Arial" w:cs="Arial"/>
                <w:b w:val="0"/>
                <w:color w:val="000000" w:themeColor="text1"/>
                <w:sz w:val="20"/>
                <w:szCs w:val="20"/>
              </w:rPr>
            </w:pPr>
            <w:r w:rsidRPr="00250147">
              <w:rPr>
                <w:rFonts w:ascii="Arial" w:hAnsi="Arial" w:cs="Arial"/>
                <w:b w:val="0"/>
                <w:color w:val="000000" w:themeColor="text1"/>
                <w:sz w:val="20"/>
                <w:szCs w:val="20"/>
              </w:rPr>
              <w:t>Delta</w:t>
            </w:r>
          </w:p>
        </w:tc>
        <w:tc>
          <w:tcPr>
            <w:tcW w:w="1388" w:type="dxa"/>
            <w:shd w:val="clear" w:color="auto" w:fill="FFFFFF" w:themeFill="background1"/>
            <w:hideMark/>
          </w:tcPr>
          <w:p w14:paraId="4C49C4B4" w14:textId="77777777" w:rsidR="005F6986" w:rsidRPr="00250147" w:rsidRDefault="005F6986" w:rsidP="00250147">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250147">
              <w:rPr>
                <w:rFonts w:ascii="Arial" w:hAnsi="Arial" w:cs="Arial"/>
                <w:color w:val="000000" w:themeColor="text1"/>
                <w:sz w:val="20"/>
                <w:szCs w:val="20"/>
              </w:rPr>
              <w:t>5.5320°N, 5.8987°E</w:t>
            </w:r>
          </w:p>
        </w:tc>
        <w:tc>
          <w:tcPr>
            <w:tcW w:w="2160" w:type="dxa"/>
            <w:shd w:val="clear" w:color="auto" w:fill="FFFFFF" w:themeFill="background1"/>
            <w:hideMark/>
          </w:tcPr>
          <w:p w14:paraId="4C49C4B5" w14:textId="77777777" w:rsidR="005F6986" w:rsidRPr="00250147" w:rsidRDefault="005F6986" w:rsidP="00250147">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250147">
              <w:rPr>
                <w:rFonts w:ascii="Arial" w:hAnsi="Arial" w:cs="Arial"/>
                <w:color w:val="000000" w:themeColor="text1"/>
                <w:sz w:val="20"/>
                <w:szCs w:val="20"/>
              </w:rPr>
              <w:t>15.9</w:t>
            </w:r>
          </w:p>
        </w:tc>
        <w:tc>
          <w:tcPr>
            <w:tcW w:w="1440" w:type="dxa"/>
            <w:shd w:val="clear" w:color="auto" w:fill="FFFFFF" w:themeFill="background1"/>
            <w:hideMark/>
          </w:tcPr>
          <w:p w14:paraId="4C49C4B6" w14:textId="77777777" w:rsidR="005F6986" w:rsidRPr="00250147" w:rsidRDefault="005F6986" w:rsidP="00250147">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250147">
              <w:rPr>
                <w:rFonts w:ascii="Arial" w:hAnsi="Arial" w:cs="Arial"/>
                <w:color w:val="000000" w:themeColor="text1"/>
                <w:sz w:val="20"/>
                <w:szCs w:val="20"/>
              </w:rPr>
              <w:t>30</w:t>
            </w:r>
          </w:p>
        </w:tc>
        <w:tc>
          <w:tcPr>
            <w:tcW w:w="1350" w:type="dxa"/>
            <w:shd w:val="clear" w:color="auto" w:fill="FFFFFF" w:themeFill="background1"/>
            <w:hideMark/>
          </w:tcPr>
          <w:p w14:paraId="4C49C4B7" w14:textId="77777777" w:rsidR="005F6986" w:rsidRPr="00250147" w:rsidRDefault="005F6986" w:rsidP="00250147">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250147">
              <w:rPr>
                <w:rFonts w:ascii="Arial" w:hAnsi="Arial" w:cs="Arial"/>
                <w:color w:val="000000" w:themeColor="text1"/>
                <w:sz w:val="20"/>
                <w:szCs w:val="20"/>
              </w:rPr>
              <w:t>1.5</w:t>
            </w:r>
          </w:p>
        </w:tc>
        <w:tc>
          <w:tcPr>
            <w:tcW w:w="1800" w:type="dxa"/>
            <w:shd w:val="clear" w:color="auto" w:fill="FFFFFF" w:themeFill="background1"/>
            <w:hideMark/>
          </w:tcPr>
          <w:p w14:paraId="4C49C4B8" w14:textId="77777777" w:rsidR="005F6986" w:rsidRPr="00250147" w:rsidRDefault="00533E96" w:rsidP="00250147">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250147">
              <w:rPr>
                <w:rFonts w:ascii="Arial" w:hAnsi="Arial" w:cs="Arial"/>
                <w:color w:val="000000" w:themeColor="text1"/>
                <w:sz w:val="20"/>
                <w:szCs w:val="20"/>
              </w:rPr>
              <w:t>Farmland</w:t>
            </w:r>
          </w:p>
        </w:tc>
      </w:tr>
      <w:tr w:rsidR="00250147" w:rsidRPr="007640AA" w14:paraId="4C49C4C0" w14:textId="77777777" w:rsidTr="00250147">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4C49C4BA" w14:textId="77777777" w:rsidR="005F6986" w:rsidRPr="00250147" w:rsidRDefault="005F6986" w:rsidP="00250147">
            <w:pPr>
              <w:rPr>
                <w:rFonts w:ascii="Arial" w:hAnsi="Arial" w:cs="Arial"/>
                <w:b w:val="0"/>
                <w:color w:val="000000" w:themeColor="text1"/>
                <w:sz w:val="20"/>
                <w:szCs w:val="20"/>
              </w:rPr>
            </w:pPr>
            <w:r w:rsidRPr="00250147">
              <w:rPr>
                <w:rFonts w:ascii="Arial" w:hAnsi="Arial" w:cs="Arial"/>
                <w:b w:val="0"/>
                <w:color w:val="000000" w:themeColor="text1"/>
                <w:sz w:val="20"/>
                <w:szCs w:val="20"/>
              </w:rPr>
              <w:t>Akwa Ibom</w:t>
            </w:r>
          </w:p>
        </w:tc>
        <w:tc>
          <w:tcPr>
            <w:tcW w:w="1388" w:type="dxa"/>
            <w:shd w:val="clear" w:color="auto" w:fill="FFFFFF" w:themeFill="background1"/>
            <w:hideMark/>
          </w:tcPr>
          <w:p w14:paraId="4C49C4BB" w14:textId="77777777" w:rsidR="005F6986" w:rsidRPr="00250147" w:rsidRDefault="005F6986" w:rsidP="00250147">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250147">
              <w:rPr>
                <w:rFonts w:ascii="Arial" w:hAnsi="Arial" w:cs="Arial"/>
                <w:color w:val="000000" w:themeColor="text1"/>
                <w:sz w:val="20"/>
                <w:szCs w:val="20"/>
              </w:rPr>
              <w:t>4.9500°N, 7.9300°E</w:t>
            </w:r>
          </w:p>
        </w:tc>
        <w:tc>
          <w:tcPr>
            <w:tcW w:w="2160" w:type="dxa"/>
            <w:shd w:val="clear" w:color="auto" w:fill="FFFFFF" w:themeFill="background1"/>
            <w:hideMark/>
          </w:tcPr>
          <w:p w14:paraId="4C49C4BC" w14:textId="77777777" w:rsidR="005F6986" w:rsidRPr="00250147" w:rsidRDefault="005F6986" w:rsidP="00250147">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250147">
              <w:rPr>
                <w:rFonts w:ascii="Arial" w:hAnsi="Arial" w:cs="Arial"/>
                <w:color w:val="000000" w:themeColor="text1"/>
                <w:sz w:val="20"/>
                <w:szCs w:val="20"/>
              </w:rPr>
              <w:t>12.3</w:t>
            </w:r>
          </w:p>
        </w:tc>
        <w:tc>
          <w:tcPr>
            <w:tcW w:w="1440" w:type="dxa"/>
            <w:shd w:val="clear" w:color="auto" w:fill="FFFFFF" w:themeFill="background1"/>
            <w:hideMark/>
          </w:tcPr>
          <w:p w14:paraId="4C49C4BD" w14:textId="77777777" w:rsidR="005F6986" w:rsidRPr="00250147" w:rsidRDefault="005F6986" w:rsidP="00250147">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250147">
              <w:rPr>
                <w:rFonts w:ascii="Arial" w:hAnsi="Arial" w:cs="Arial"/>
                <w:color w:val="000000" w:themeColor="text1"/>
                <w:sz w:val="20"/>
                <w:szCs w:val="20"/>
              </w:rPr>
              <w:t>26</w:t>
            </w:r>
          </w:p>
        </w:tc>
        <w:tc>
          <w:tcPr>
            <w:tcW w:w="1350" w:type="dxa"/>
            <w:shd w:val="clear" w:color="auto" w:fill="FFFFFF" w:themeFill="background1"/>
            <w:hideMark/>
          </w:tcPr>
          <w:p w14:paraId="4C49C4BE" w14:textId="77777777" w:rsidR="005F6986" w:rsidRPr="00250147" w:rsidRDefault="005F6986" w:rsidP="00250147">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250147">
              <w:rPr>
                <w:rFonts w:ascii="Arial" w:hAnsi="Arial" w:cs="Arial"/>
                <w:color w:val="000000" w:themeColor="text1"/>
                <w:sz w:val="20"/>
                <w:szCs w:val="20"/>
              </w:rPr>
              <w:t>2.1</w:t>
            </w:r>
          </w:p>
        </w:tc>
        <w:tc>
          <w:tcPr>
            <w:tcW w:w="1800" w:type="dxa"/>
            <w:shd w:val="clear" w:color="auto" w:fill="FFFFFF" w:themeFill="background1"/>
            <w:hideMark/>
          </w:tcPr>
          <w:p w14:paraId="4C49C4BF" w14:textId="77777777" w:rsidR="005F6986" w:rsidRPr="00250147" w:rsidRDefault="007338A8" w:rsidP="00250147">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250147">
              <w:rPr>
                <w:rFonts w:ascii="Arial" w:hAnsi="Arial" w:cs="Arial"/>
                <w:color w:val="000000" w:themeColor="text1"/>
                <w:sz w:val="20"/>
                <w:szCs w:val="20"/>
              </w:rPr>
              <w:t>Farmland</w:t>
            </w:r>
          </w:p>
        </w:tc>
      </w:tr>
      <w:tr w:rsidR="00250147" w:rsidRPr="007640AA" w14:paraId="4C49C4C7" w14:textId="77777777" w:rsidTr="002501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4C49C4C1" w14:textId="77777777" w:rsidR="005F6986" w:rsidRPr="00250147" w:rsidRDefault="005F6986" w:rsidP="00250147">
            <w:pPr>
              <w:rPr>
                <w:rFonts w:ascii="Arial" w:hAnsi="Arial" w:cs="Arial"/>
                <w:b w:val="0"/>
                <w:color w:val="000000" w:themeColor="text1"/>
                <w:sz w:val="20"/>
                <w:szCs w:val="20"/>
              </w:rPr>
            </w:pPr>
            <w:r w:rsidRPr="00250147">
              <w:rPr>
                <w:rFonts w:ascii="Arial" w:hAnsi="Arial" w:cs="Arial"/>
                <w:b w:val="0"/>
                <w:color w:val="000000" w:themeColor="text1"/>
                <w:sz w:val="20"/>
                <w:szCs w:val="20"/>
              </w:rPr>
              <w:t>Edo</w:t>
            </w:r>
          </w:p>
        </w:tc>
        <w:tc>
          <w:tcPr>
            <w:tcW w:w="1388" w:type="dxa"/>
            <w:shd w:val="clear" w:color="auto" w:fill="FFFFFF" w:themeFill="background1"/>
            <w:hideMark/>
          </w:tcPr>
          <w:p w14:paraId="4C49C4C2" w14:textId="77777777" w:rsidR="005F6986" w:rsidRPr="00250147" w:rsidRDefault="005F6986" w:rsidP="00250147">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250147">
              <w:rPr>
                <w:rFonts w:ascii="Arial" w:hAnsi="Arial" w:cs="Arial"/>
                <w:color w:val="000000" w:themeColor="text1"/>
                <w:sz w:val="20"/>
                <w:szCs w:val="20"/>
              </w:rPr>
              <w:t>6.3350°N, 5.6037°E</w:t>
            </w:r>
          </w:p>
        </w:tc>
        <w:tc>
          <w:tcPr>
            <w:tcW w:w="2160" w:type="dxa"/>
            <w:shd w:val="clear" w:color="auto" w:fill="FFFFFF" w:themeFill="background1"/>
            <w:hideMark/>
          </w:tcPr>
          <w:p w14:paraId="4C49C4C3" w14:textId="77777777" w:rsidR="005F6986" w:rsidRPr="00250147" w:rsidRDefault="005F6986" w:rsidP="00250147">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250147">
              <w:rPr>
                <w:rFonts w:ascii="Arial" w:hAnsi="Arial" w:cs="Arial"/>
                <w:color w:val="000000" w:themeColor="text1"/>
                <w:sz w:val="20"/>
                <w:szCs w:val="20"/>
              </w:rPr>
              <w:t>9.8</w:t>
            </w:r>
          </w:p>
        </w:tc>
        <w:tc>
          <w:tcPr>
            <w:tcW w:w="1440" w:type="dxa"/>
            <w:shd w:val="clear" w:color="auto" w:fill="FFFFFF" w:themeFill="background1"/>
            <w:hideMark/>
          </w:tcPr>
          <w:p w14:paraId="4C49C4C4" w14:textId="77777777" w:rsidR="005F6986" w:rsidRPr="00250147" w:rsidRDefault="005F6986" w:rsidP="00250147">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250147">
              <w:rPr>
                <w:rFonts w:ascii="Arial" w:hAnsi="Arial" w:cs="Arial"/>
                <w:color w:val="000000" w:themeColor="text1"/>
                <w:sz w:val="20"/>
                <w:szCs w:val="20"/>
              </w:rPr>
              <w:t>24</w:t>
            </w:r>
          </w:p>
        </w:tc>
        <w:tc>
          <w:tcPr>
            <w:tcW w:w="1350" w:type="dxa"/>
            <w:shd w:val="clear" w:color="auto" w:fill="FFFFFF" w:themeFill="background1"/>
            <w:hideMark/>
          </w:tcPr>
          <w:p w14:paraId="4C49C4C5" w14:textId="77777777" w:rsidR="005F6986" w:rsidRPr="00250147" w:rsidRDefault="005F6986" w:rsidP="00250147">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250147">
              <w:rPr>
                <w:rFonts w:ascii="Arial" w:hAnsi="Arial" w:cs="Arial"/>
                <w:color w:val="000000" w:themeColor="text1"/>
                <w:sz w:val="20"/>
                <w:szCs w:val="20"/>
              </w:rPr>
              <w:t>2.8</w:t>
            </w:r>
          </w:p>
        </w:tc>
        <w:tc>
          <w:tcPr>
            <w:tcW w:w="1800" w:type="dxa"/>
            <w:shd w:val="clear" w:color="auto" w:fill="FFFFFF" w:themeFill="background1"/>
            <w:hideMark/>
          </w:tcPr>
          <w:p w14:paraId="4C49C4C6" w14:textId="77777777" w:rsidR="005F6986" w:rsidRPr="00250147" w:rsidRDefault="005F6986" w:rsidP="00250147">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250147">
              <w:rPr>
                <w:rFonts w:ascii="Arial" w:hAnsi="Arial" w:cs="Arial"/>
                <w:color w:val="000000" w:themeColor="text1"/>
                <w:sz w:val="20"/>
                <w:szCs w:val="20"/>
              </w:rPr>
              <w:t>Forest fringe</w:t>
            </w:r>
          </w:p>
        </w:tc>
      </w:tr>
    </w:tbl>
    <w:p w14:paraId="4C49C4C8" w14:textId="77777777" w:rsidR="002254AB" w:rsidRDefault="003865D8" w:rsidP="002254AB">
      <w:pPr>
        <w:pStyle w:val="NormalWeb"/>
        <w:spacing w:before="0" w:beforeAutospacing="0"/>
        <w:jc w:val="both"/>
        <w:rPr>
          <w:rFonts w:ascii="Arial" w:hAnsi="Arial" w:cs="Arial"/>
          <w:b/>
          <w:bCs/>
          <w:color w:val="000000" w:themeColor="text1"/>
          <w:sz w:val="20"/>
          <w:szCs w:val="20"/>
        </w:rPr>
      </w:pPr>
      <w:r w:rsidRPr="005F6986">
        <w:rPr>
          <w:rStyle w:val="Strong"/>
          <w:rFonts w:ascii="Arial" w:eastAsia="Calibri" w:hAnsi="Arial" w:cs="Arial"/>
          <w:i/>
          <w:color w:val="000000" w:themeColor="text1"/>
          <w:sz w:val="20"/>
          <w:szCs w:val="20"/>
        </w:rPr>
        <w:t>Source:</w:t>
      </w:r>
      <w:r w:rsidRPr="005F6986">
        <w:rPr>
          <w:rFonts w:ascii="Arial" w:hAnsi="Arial" w:cs="Arial"/>
          <w:i/>
          <w:color w:val="000000" w:themeColor="text1"/>
          <w:sz w:val="20"/>
          <w:szCs w:val="20"/>
        </w:rPr>
        <w:t xml:space="preserve"> </w:t>
      </w:r>
      <w:r w:rsidRPr="00AE3146">
        <w:rPr>
          <w:rFonts w:ascii="Arial" w:hAnsi="Arial" w:cs="Arial"/>
          <w:b/>
          <w:i/>
          <w:color w:val="000000" w:themeColor="text1"/>
          <w:sz w:val="20"/>
          <w:szCs w:val="20"/>
        </w:rPr>
        <w:t>Field measurements and</w:t>
      </w:r>
      <w:r w:rsidR="005F6986" w:rsidRPr="00AE3146">
        <w:rPr>
          <w:rFonts w:ascii="Arial" w:hAnsi="Arial" w:cs="Arial"/>
          <w:b/>
          <w:i/>
          <w:color w:val="000000" w:themeColor="text1"/>
          <w:sz w:val="20"/>
          <w:szCs w:val="20"/>
        </w:rPr>
        <w:t xml:space="preserve"> site surveys, </w:t>
      </w:r>
      <w:r w:rsidR="000B2F07" w:rsidRPr="00AE3146">
        <w:rPr>
          <w:rFonts w:ascii="Arial" w:hAnsi="Arial" w:cs="Arial"/>
          <w:b/>
          <w:i/>
          <w:color w:val="000000" w:themeColor="text1"/>
          <w:sz w:val="20"/>
          <w:szCs w:val="20"/>
        </w:rPr>
        <w:t>(</w:t>
      </w:r>
      <w:r w:rsidR="005F6986" w:rsidRPr="00AE3146">
        <w:rPr>
          <w:rFonts w:ascii="Arial" w:hAnsi="Arial" w:cs="Arial"/>
          <w:b/>
          <w:i/>
          <w:color w:val="000000" w:themeColor="text1"/>
          <w:sz w:val="20"/>
          <w:szCs w:val="20"/>
        </w:rPr>
        <w:t>202</w:t>
      </w:r>
      <w:r w:rsidR="000B2F07" w:rsidRPr="00AE3146">
        <w:rPr>
          <w:rFonts w:ascii="Arial" w:hAnsi="Arial" w:cs="Arial"/>
          <w:b/>
          <w:i/>
          <w:color w:val="000000" w:themeColor="text1"/>
          <w:sz w:val="20"/>
          <w:szCs w:val="20"/>
        </w:rPr>
        <w:t>6)</w:t>
      </w:r>
    </w:p>
    <w:p w14:paraId="4C49C4C9" w14:textId="77777777" w:rsidR="00EB54CD" w:rsidRDefault="00EB54CD" w:rsidP="00EB54CD">
      <w:pPr>
        <w:pStyle w:val="NormalWeb"/>
        <w:spacing w:before="0" w:beforeAutospacing="0"/>
        <w:jc w:val="both"/>
        <w:rPr>
          <w:rFonts w:ascii="Arial" w:hAnsi="Arial" w:cs="Arial"/>
          <w:bCs/>
          <w:color w:val="000000" w:themeColor="text1"/>
          <w:sz w:val="20"/>
          <w:szCs w:val="20"/>
        </w:rPr>
        <w:sectPr w:rsidR="00EB54CD" w:rsidSect="005E0C6E">
          <w:type w:val="continuous"/>
          <w:pgSz w:w="11907" w:h="16839" w:code="9"/>
          <w:pgMar w:top="1440" w:right="1440" w:bottom="1440" w:left="1440" w:header="720" w:footer="720" w:gutter="0"/>
          <w:cols w:space="720"/>
          <w:docGrid w:linePitch="360"/>
        </w:sectPr>
      </w:pPr>
    </w:p>
    <w:p w14:paraId="4C49C4CA" w14:textId="77777777" w:rsidR="003865D8" w:rsidRPr="007640AA" w:rsidRDefault="002254AB" w:rsidP="00EB54CD">
      <w:pPr>
        <w:pStyle w:val="NormalWeb"/>
        <w:spacing w:before="0" w:beforeAutospacing="0"/>
        <w:jc w:val="both"/>
        <w:rPr>
          <w:rFonts w:ascii="Arial" w:hAnsi="Arial" w:cs="Arial"/>
          <w:color w:val="000000" w:themeColor="text1"/>
          <w:sz w:val="20"/>
          <w:szCs w:val="20"/>
        </w:rPr>
      </w:pPr>
      <w:r w:rsidRPr="002254AB">
        <w:rPr>
          <w:rFonts w:ascii="Arial" w:hAnsi="Arial" w:cs="Arial"/>
          <w:bCs/>
          <w:color w:val="000000" w:themeColor="text1"/>
          <w:sz w:val="20"/>
          <w:szCs w:val="20"/>
        </w:rPr>
        <w:lastRenderedPageBreak/>
        <w:t>The table</w:t>
      </w:r>
      <w:r>
        <w:rPr>
          <w:rFonts w:ascii="Arial" w:hAnsi="Arial" w:cs="Arial"/>
          <w:bCs/>
          <w:color w:val="000000" w:themeColor="text1"/>
          <w:sz w:val="20"/>
          <w:szCs w:val="20"/>
        </w:rPr>
        <w:t xml:space="preserve"> 4.1</w:t>
      </w:r>
      <w:r w:rsidRPr="002254AB">
        <w:rPr>
          <w:rFonts w:ascii="Arial" w:hAnsi="Arial" w:cs="Arial"/>
          <w:bCs/>
          <w:color w:val="000000" w:themeColor="text1"/>
          <w:sz w:val="20"/>
          <w:szCs w:val="20"/>
        </w:rPr>
        <w:t xml:space="preserve"> revealed that</w:t>
      </w:r>
      <w:r>
        <w:rPr>
          <w:rFonts w:ascii="Arial" w:hAnsi="Arial" w:cs="Arial"/>
          <w:b/>
          <w:bCs/>
          <w:color w:val="000000" w:themeColor="text1"/>
          <w:sz w:val="20"/>
          <w:szCs w:val="20"/>
        </w:rPr>
        <w:t xml:space="preserve">, </w:t>
      </w:r>
      <w:r>
        <w:rPr>
          <w:rFonts w:ascii="Arial" w:hAnsi="Arial" w:cs="Arial"/>
          <w:color w:val="000000" w:themeColor="text1"/>
          <w:sz w:val="20"/>
          <w:szCs w:val="20"/>
        </w:rPr>
        <w:t>t</w:t>
      </w:r>
      <w:r w:rsidR="00FE6C4E" w:rsidRPr="001C6D1F">
        <w:rPr>
          <w:rFonts w:ascii="Arial" w:hAnsi="Arial" w:cs="Arial"/>
          <w:color w:val="000000" w:themeColor="text1"/>
          <w:sz w:val="20"/>
          <w:szCs w:val="20"/>
        </w:rPr>
        <w:t xml:space="preserve">he flare sites vary significantly in </w:t>
      </w:r>
      <w:r w:rsidR="00FE6C4E" w:rsidRPr="00381547">
        <w:rPr>
          <w:rFonts w:ascii="Arial" w:hAnsi="Arial" w:cs="Arial"/>
          <w:bCs/>
          <w:color w:val="000000" w:themeColor="text1"/>
          <w:sz w:val="20"/>
          <w:szCs w:val="20"/>
        </w:rPr>
        <w:t xml:space="preserve">flare volume (9.8–22.7 </w:t>
      </w:r>
      <w:proofErr w:type="spellStart"/>
      <w:r w:rsidR="00FE6C4E" w:rsidRPr="00381547">
        <w:rPr>
          <w:rFonts w:ascii="Arial" w:hAnsi="Arial" w:cs="Arial"/>
          <w:bCs/>
          <w:color w:val="000000" w:themeColor="text1"/>
          <w:sz w:val="20"/>
          <w:szCs w:val="20"/>
        </w:rPr>
        <w:t>MMscf</w:t>
      </w:r>
      <w:proofErr w:type="spellEnd"/>
      <w:r w:rsidR="00FE6C4E" w:rsidRPr="00381547">
        <w:rPr>
          <w:rFonts w:ascii="Arial" w:hAnsi="Arial" w:cs="Arial"/>
          <w:bCs/>
          <w:color w:val="000000" w:themeColor="text1"/>
          <w:sz w:val="20"/>
          <w:szCs w:val="20"/>
        </w:rPr>
        <w:t>/day)</w:t>
      </w:r>
      <w:r w:rsidR="00FE6C4E" w:rsidRPr="001C6D1F">
        <w:rPr>
          <w:rFonts w:ascii="Arial" w:hAnsi="Arial" w:cs="Arial"/>
          <w:color w:val="000000" w:themeColor="text1"/>
          <w:sz w:val="20"/>
          <w:szCs w:val="20"/>
        </w:rPr>
        <w:t xml:space="preserve">, </w:t>
      </w:r>
      <w:r w:rsidR="00FE6C4E" w:rsidRPr="00381547">
        <w:rPr>
          <w:rFonts w:ascii="Arial" w:hAnsi="Arial" w:cs="Arial"/>
          <w:bCs/>
          <w:color w:val="000000" w:themeColor="text1"/>
          <w:sz w:val="20"/>
          <w:szCs w:val="20"/>
        </w:rPr>
        <w:t>stack height (24–32 m)</w:t>
      </w:r>
      <w:r w:rsidR="00FE6C4E" w:rsidRPr="001C6D1F">
        <w:rPr>
          <w:rFonts w:ascii="Arial" w:hAnsi="Arial" w:cs="Arial"/>
          <w:color w:val="000000" w:themeColor="text1"/>
          <w:sz w:val="20"/>
          <w:szCs w:val="20"/>
        </w:rPr>
        <w:t xml:space="preserve">, and </w:t>
      </w:r>
      <w:r w:rsidR="00FE6C4E" w:rsidRPr="00381547">
        <w:rPr>
          <w:rFonts w:ascii="Arial" w:hAnsi="Arial" w:cs="Arial"/>
          <w:bCs/>
          <w:color w:val="000000" w:themeColor="text1"/>
          <w:sz w:val="20"/>
          <w:szCs w:val="20"/>
        </w:rPr>
        <w:t>proximity to communities (0.8–2.8 km)</w:t>
      </w:r>
      <w:r w:rsidR="00FE6C4E" w:rsidRPr="001C6D1F">
        <w:rPr>
          <w:rFonts w:ascii="Arial" w:hAnsi="Arial" w:cs="Arial"/>
          <w:color w:val="000000" w:themeColor="text1"/>
          <w:sz w:val="20"/>
          <w:szCs w:val="20"/>
        </w:rPr>
        <w:t>.</w:t>
      </w:r>
      <w:r w:rsidR="00381547">
        <w:rPr>
          <w:rFonts w:ascii="Arial" w:hAnsi="Arial" w:cs="Arial"/>
          <w:color w:val="000000" w:themeColor="text1"/>
          <w:sz w:val="20"/>
          <w:szCs w:val="20"/>
        </w:rPr>
        <w:t xml:space="preserve"> Bayelsa</w:t>
      </w:r>
      <w:r w:rsidR="00FE6C4E" w:rsidRPr="001C6D1F">
        <w:rPr>
          <w:rFonts w:ascii="Arial" w:hAnsi="Arial" w:cs="Arial"/>
          <w:color w:val="000000" w:themeColor="text1"/>
          <w:sz w:val="20"/>
          <w:szCs w:val="20"/>
        </w:rPr>
        <w:t xml:space="preserve"> has the highest flare volume and is closest to a fishing settlement, representing the </w:t>
      </w:r>
      <w:r w:rsidR="00FE6C4E" w:rsidRPr="00381547">
        <w:rPr>
          <w:rFonts w:ascii="Arial" w:hAnsi="Arial" w:cs="Arial"/>
          <w:bCs/>
          <w:color w:val="000000" w:themeColor="text1"/>
          <w:sz w:val="20"/>
          <w:szCs w:val="20"/>
        </w:rPr>
        <w:t xml:space="preserve">highest potential environmental and health </w:t>
      </w:r>
      <w:r w:rsidR="00FE6C4E" w:rsidRPr="00381547">
        <w:rPr>
          <w:rFonts w:ascii="Arial" w:hAnsi="Arial" w:cs="Arial"/>
          <w:bCs/>
          <w:color w:val="000000" w:themeColor="text1"/>
          <w:sz w:val="20"/>
          <w:szCs w:val="20"/>
        </w:rPr>
        <w:t>risk</w:t>
      </w:r>
      <w:r w:rsidR="00381547">
        <w:rPr>
          <w:rFonts w:ascii="Arial" w:hAnsi="Arial" w:cs="Arial"/>
          <w:bCs/>
          <w:color w:val="000000" w:themeColor="text1"/>
          <w:sz w:val="20"/>
          <w:szCs w:val="20"/>
        </w:rPr>
        <w:t xml:space="preserve">, </w:t>
      </w:r>
      <w:r w:rsidR="00381547">
        <w:rPr>
          <w:rFonts w:ascii="Arial" w:hAnsi="Arial" w:cs="Arial"/>
          <w:color w:val="000000" w:themeColor="text1"/>
          <w:sz w:val="20"/>
          <w:szCs w:val="20"/>
        </w:rPr>
        <w:t>while</w:t>
      </w:r>
      <w:r w:rsidR="00381547" w:rsidRPr="001C6D1F">
        <w:rPr>
          <w:rFonts w:ascii="Arial" w:hAnsi="Arial" w:cs="Arial"/>
          <w:color w:val="000000" w:themeColor="text1"/>
          <w:sz w:val="20"/>
          <w:szCs w:val="20"/>
        </w:rPr>
        <w:t xml:space="preserve"> </w:t>
      </w:r>
      <w:r w:rsidR="00381547">
        <w:rPr>
          <w:rFonts w:ascii="Arial" w:hAnsi="Arial" w:cs="Arial"/>
          <w:color w:val="000000" w:themeColor="text1"/>
          <w:sz w:val="20"/>
          <w:szCs w:val="20"/>
        </w:rPr>
        <w:t>Edo</w:t>
      </w:r>
      <w:r w:rsidR="00FE6C4E" w:rsidRPr="001C6D1F">
        <w:rPr>
          <w:rFonts w:ascii="Arial" w:hAnsi="Arial" w:cs="Arial"/>
          <w:color w:val="000000" w:themeColor="text1"/>
          <w:sz w:val="20"/>
          <w:szCs w:val="20"/>
        </w:rPr>
        <w:t xml:space="preserve"> has the lowest flare volume and is furthest from a community, representing a relatively lower exposure risk</w:t>
      </w:r>
      <w:r w:rsidR="00381547">
        <w:rPr>
          <w:rFonts w:ascii="Arial" w:hAnsi="Arial" w:cs="Arial"/>
          <w:color w:val="000000" w:themeColor="text1"/>
          <w:sz w:val="20"/>
          <w:szCs w:val="20"/>
        </w:rPr>
        <w:t>.</w:t>
      </w:r>
      <w:r w:rsidR="00FE6C4E" w:rsidRPr="001C6D1F">
        <w:rPr>
          <w:rFonts w:ascii="Arial" w:hAnsi="Arial" w:cs="Arial"/>
          <w:color w:val="000000" w:themeColor="text1"/>
          <w:sz w:val="20"/>
          <w:szCs w:val="20"/>
        </w:rPr>
        <w:t xml:space="preserve"> Site-specific operational characteristics strongly influence potential pollutant release and exposure risk, emphasizing the need for tailored carbon capture interventions.</w:t>
      </w:r>
      <w:r w:rsidR="00381547" w:rsidRPr="007640AA">
        <w:rPr>
          <w:rFonts w:ascii="Arial" w:hAnsi="Arial" w:cs="Arial"/>
          <w:color w:val="000000" w:themeColor="text1"/>
          <w:sz w:val="20"/>
          <w:szCs w:val="20"/>
        </w:rPr>
        <w:t xml:space="preserve"> </w:t>
      </w:r>
    </w:p>
    <w:p w14:paraId="4C49C4CB" w14:textId="77777777" w:rsidR="00EB54CD" w:rsidRDefault="00EB54CD" w:rsidP="007640AA">
      <w:pPr>
        <w:pStyle w:val="Heading2"/>
        <w:spacing w:line="240" w:lineRule="auto"/>
        <w:jc w:val="both"/>
        <w:rPr>
          <w:rStyle w:val="Strong"/>
          <w:rFonts w:ascii="Arial" w:hAnsi="Arial" w:cs="Arial"/>
          <w:b/>
          <w:bCs/>
          <w:color w:val="000000" w:themeColor="text1"/>
          <w:sz w:val="20"/>
          <w:szCs w:val="20"/>
        </w:rPr>
        <w:sectPr w:rsidR="00EB54CD" w:rsidSect="00EB54CD">
          <w:type w:val="continuous"/>
          <w:pgSz w:w="11907" w:h="16839" w:code="9"/>
          <w:pgMar w:top="1440" w:right="1440" w:bottom="1440" w:left="1440" w:header="720" w:footer="720" w:gutter="0"/>
          <w:cols w:num="2" w:space="720"/>
          <w:docGrid w:linePitch="360"/>
        </w:sectPr>
      </w:pPr>
    </w:p>
    <w:p w14:paraId="4C49C4CC" w14:textId="77777777" w:rsidR="003865D8" w:rsidRPr="007640AA" w:rsidRDefault="003865D8" w:rsidP="007640AA">
      <w:pPr>
        <w:pStyle w:val="Heading2"/>
        <w:spacing w:line="240" w:lineRule="auto"/>
        <w:jc w:val="both"/>
        <w:rPr>
          <w:rFonts w:ascii="Arial" w:hAnsi="Arial" w:cs="Arial"/>
          <w:color w:val="000000" w:themeColor="text1"/>
          <w:sz w:val="20"/>
          <w:szCs w:val="20"/>
        </w:rPr>
      </w:pPr>
      <w:r w:rsidRPr="007640AA">
        <w:rPr>
          <w:rStyle w:val="Strong"/>
          <w:rFonts w:ascii="Arial" w:hAnsi="Arial" w:cs="Arial"/>
          <w:b/>
          <w:bCs/>
          <w:color w:val="000000" w:themeColor="text1"/>
          <w:sz w:val="20"/>
          <w:szCs w:val="20"/>
        </w:rPr>
        <w:t xml:space="preserve">Table </w:t>
      </w:r>
      <w:r w:rsidR="000A044F">
        <w:rPr>
          <w:rStyle w:val="Strong"/>
          <w:rFonts w:ascii="Arial" w:hAnsi="Arial" w:cs="Arial"/>
          <w:b/>
          <w:bCs/>
          <w:color w:val="000000" w:themeColor="text1"/>
          <w:sz w:val="20"/>
          <w:szCs w:val="20"/>
        </w:rPr>
        <w:t>4.2:</w:t>
      </w:r>
      <w:r w:rsidRPr="007640AA">
        <w:rPr>
          <w:rStyle w:val="Strong"/>
          <w:rFonts w:ascii="Arial" w:hAnsi="Arial" w:cs="Arial"/>
          <w:b/>
          <w:bCs/>
          <w:color w:val="000000" w:themeColor="text1"/>
          <w:sz w:val="20"/>
          <w:szCs w:val="20"/>
        </w:rPr>
        <w:t xml:space="preserve"> Average Flare Emission Concentrations (30-Day Monitoring Period)</w:t>
      </w:r>
    </w:p>
    <w:tbl>
      <w:tblPr>
        <w:tblStyle w:val="LightShading"/>
        <w:tblW w:w="0" w:type="auto"/>
        <w:tblLook w:val="04A0" w:firstRow="1" w:lastRow="0" w:firstColumn="1" w:lastColumn="0" w:noHBand="0" w:noVBand="1"/>
      </w:tblPr>
      <w:tblGrid>
        <w:gridCol w:w="1368"/>
        <w:gridCol w:w="900"/>
        <w:gridCol w:w="1080"/>
        <w:gridCol w:w="1080"/>
        <w:gridCol w:w="1350"/>
        <w:gridCol w:w="900"/>
        <w:gridCol w:w="2430"/>
      </w:tblGrid>
      <w:tr w:rsidR="0066170F" w:rsidRPr="007640AA" w14:paraId="4C49C4D4" w14:textId="77777777" w:rsidTr="00A40B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shd w:val="clear" w:color="auto" w:fill="FFFFFF" w:themeFill="background1"/>
            <w:hideMark/>
          </w:tcPr>
          <w:p w14:paraId="4C49C4CD" w14:textId="77777777" w:rsidR="00214B00" w:rsidRPr="00A40BF0" w:rsidRDefault="00214B00" w:rsidP="007640AA">
            <w:pPr>
              <w:jc w:val="both"/>
              <w:rPr>
                <w:rFonts w:ascii="Arial" w:hAnsi="Arial" w:cs="Arial"/>
                <w:color w:val="000000" w:themeColor="text1"/>
                <w:sz w:val="20"/>
                <w:szCs w:val="20"/>
              </w:rPr>
            </w:pPr>
            <w:r w:rsidRPr="00A40BF0">
              <w:rPr>
                <w:rFonts w:ascii="Arial" w:hAnsi="Arial" w:cs="Arial"/>
                <w:bCs w:val="0"/>
                <w:color w:val="000000" w:themeColor="text1"/>
                <w:sz w:val="20"/>
                <w:szCs w:val="20"/>
              </w:rPr>
              <w:t>Parameter</w:t>
            </w:r>
          </w:p>
        </w:tc>
        <w:tc>
          <w:tcPr>
            <w:tcW w:w="900" w:type="dxa"/>
            <w:shd w:val="clear" w:color="auto" w:fill="FFFFFF" w:themeFill="background1"/>
            <w:hideMark/>
          </w:tcPr>
          <w:p w14:paraId="4C49C4CE" w14:textId="77777777" w:rsidR="00214B00" w:rsidRPr="007640AA" w:rsidRDefault="00214B00" w:rsidP="0030647B">
            <w:pPr>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Rivers</w:t>
            </w:r>
          </w:p>
        </w:tc>
        <w:tc>
          <w:tcPr>
            <w:tcW w:w="1080" w:type="dxa"/>
            <w:shd w:val="clear" w:color="auto" w:fill="FFFFFF" w:themeFill="background1"/>
            <w:hideMark/>
          </w:tcPr>
          <w:p w14:paraId="4C49C4CF" w14:textId="77777777" w:rsidR="00214B00" w:rsidRPr="007640AA" w:rsidRDefault="00214B00" w:rsidP="0030647B">
            <w:pPr>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Bayelsa</w:t>
            </w:r>
          </w:p>
        </w:tc>
        <w:tc>
          <w:tcPr>
            <w:tcW w:w="1080" w:type="dxa"/>
            <w:shd w:val="clear" w:color="auto" w:fill="FFFFFF" w:themeFill="background1"/>
            <w:hideMark/>
          </w:tcPr>
          <w:p w14:paraId="4C49C4D0" w14:textId="77777777" w:rsidR="00214B00" w:rsidRPr="007640AA" w:rsidRDefault="00214B00" w:rsidP="0030647B">
            <w:pPr>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Delta</w:t>
            </w:r>
          </w:p>
        </w:tc>
        <w:tc>
          <w:tcPr>
            <w:tcW w:w="1350" w:type="dxa"/>
            <w:shd w:val="clear" w:color="auto" w:fill="FFFFFF" w:themeFill="background1"/>
            <w:hideMark/>
          </w:tcPr>
          <w:p w14:paraId="4C49C4D1" w14:textId="77777777" w:rsidR="00214B00" w:rsidRPr="007640AA" w:rsidRDefault="00214B00" w:rsidP="0030647B">
            <w:pPr>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Akwa Ibom</w:t>
            </w:r>
          </w:p>
        </w:tc>
        <w:tc>
          <w:tcPr>
            <w:tcW w:w="900" w:type="dxa"/>
            <w:shd w:val="clear" w:color="auto" w:fill="FFFFFF" w:themeFill="background1"/>
            <w:hideMark/>
          </w:tcPr>
          <w:p w14:paraId="4C49C4D2" w14:textId="77777777" w:rsidR="00214B00" w:rsidRPr="007640AA" w:rsidRDefault="00214B00" w:rsidP="0030647B">
            <w:pPr>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Edo</w:t>
            </w:r>
          </w:p>
        </w:tc>
        <w:tc>
          <w:tcPr>
            <w:tcW w:w="2430" w:type="dxa"/>
            <w:shd w:val="clear" w:color="auto" w:fill="FFFFFF" w:themeFill="background1"/>
            <w:hideMark/>
          </w:tcPr>
          <w:p w14:paraId="4C49C4D3" w14:textId="77777777" w:rsidR="00214B00" w:rsidRPr="00A40BF0" w:rsidRDefault="00214B00" w:rsidP="007640AA">
            <w:pPr>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A40BF0">
              <w:rPr>
                <w:rFonts w:ascii="Arial" w:hAnsi="Arial" w:cs="Arial"/>
                <w:bCs w:val="0"/>
                <w:color w:val="000000" w:themeColor="text1"/>
                <w:sz w:val="20"/>
                <w:szCs w:val="20"/>
              </w:rPr>
              <w:t>WHO/IFC Reference Limit</w:t>
            </w:r>
          </w:p>
        </w:tc>
      </w:tr>
      <w:tr w:rsidR="0066170F" w:rsidRPr="007640AA" w14:paraId="4C49C4DC" w14:textId="77777777" w:rsidTr="00A40B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shd w:val="clear" w:color="auto" w:fill="FFFFFF" w:themeFill="background1"/>
            <w:hideMark/>
          </w:tcPr>
          <w:p w14:paraId="4C49C4D5" w14:textId="77777777" w:rsidR="003865D8" w:rsidRPr="00A40BF0" w:rsidRDefault="003865D8" w:rsidP="007640AA">
            <w:pPr>
              <w:jc w:val="both"/>
              <w:rPr>
                <w:rFonts w:ascii="Arial" w:hAnsi="Arial" w:cs="Arial"/>
                <w:b w:val="0"/>
                <w:color w:val="000000" w:themeColor="text1"/>
                <w:sz w:val="20"/>
                <w:szCs w:val="20"/>
              </w:rPr>
            </w:pPr>
            <w:r w:rsidRPr="00A40BF0">
              <w:rPr>
                <w:rFonts w:ascii="Arial" w:hAnsi="Arial" w:cs="Arial"/>
                <w:b w:val="0"/>
                <w:color w:val="000000" w:themeColor="text1"/>
                <w:sz w:val="20"/>
                <w:szCs w:val="20"/>
              </w:rPr>
              <w:t>CO</w:t>
            </w:r>
            <w:r w:rsidRPr="00A40BF0">
              <w:rPr>
                <w:rFonts w:ascii="Cambria Math" w:hAnsi="Cambria Math" w:cs="Arial"/>
                <w:b w:val="0"/>
                <w:color w:val="000000" w:themeColor="text1"/>
                <w:sz w:val="20"/>
                <w:szCs w:val="20"/>
              </w:rPr>
              <w:t>₂</w:t>
            </w:r>
            <w:r w:rsidRPr="00A40BF0">
              <w:rPr>
                <w:rFonts w:ascii="Arial" w:hAnsi="Arial" w:cs="Arial"/>
                <w:b w:val="0"/>
                <w:color w:val="000000" w:themeColor="text1"/>
                <w:sz w:val="20"/>
                <w:szCs w:val="20"/>
              </w:rPr>
              <w:t xml:space="preserve"> (% vol)</w:t>
            </w:r>
          </w:p>
        </w:tc>
        <w:tc>
          <w:tcPr>
            <w:tcW w:w="900" w:type="dxa"/>
            <w:shd w:val="clear" w:color="auto" w:fill="FFFFFF" w:themeFill="background1"/>
            <w:hideMark/>
          </w:tcPr>
          <w:p w14:paraId="4C49C4D6" w14:textId="77777777" w:rsidR="003865D8" w:rsidRPr="007640AA" w:rsidRDefault="003865D8" w:rsidP="007640AA">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8.9</w:t>
            </w:r>
          </w:p>
        </w:tc>
        <w:tc>
          <w:tcPr>
            <w:tcW w:w="1080" w:type="dxa"/>
            <w:shd w:val="clear" w:color="auto" w:fill="FFFFFF" w:themeFill="background1"/>
            <w:hideMark/>
          </w:tcPr>
          <w:p w14:paraId="4C49C4D7" w14:textId="77777777" w:rsidR="003865D8" w:rsidRPr="007640AA" w:rsidRDefault="003865D8" w:rsidP="007640AA">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9.4</w:t>
            </w:r>
          </w:p>
        </w:tc>
        <w:tc>
          <w:tcPr>
            <w:tcW w:w="1080" w:type="dxa"/>
            <w:shd w:val="clear" w:color="auto" w:fill="FFFFFF" w:themeFill="background1"/>
            <w:hideMark/>
          </w:tcPr>
          <w:p w14:paraId="4C49C4D8" w14:textId="77777777" w:rsidR="003865D8" w:rsidRPr="007640AA" w:rsidRDefault="003865D8" w:rsidP="007640AA">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8.3</w:t>
            </w:r>
          </w:p>
        </w:tc>
        <w:tc>
          <w:tcPr>
            <w:tcW w:w="1350" w:type="dxa"/>
            <w:shd w:val="clear" w:color="auto" w:fill="FFFFFF" w:themeFill="background1"/>
            <w:hideMark/>
          </w:tcPr>
          <w:p w14:paraId="4C49C4D9" w14:textId="77777777" w:rsidR="003865D8" w:rsidRPr="007640AA" w:rsidRDefault="003865D8" w:rsidP="007640AA">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7.8</w:t>
            </w:r>
          </w:p>
        </w:tc>
        <w:tc>
          <w:tcPr>
            <w:tcW w:w="900" w:type="dxa"/>
            <w:shd w:val="clear" w:color="auto" w:fill="FFFFFF" w:themeFill="background1"/>
            <w:hideMark/>
          </w:tcPr>
          <w:p w14:paraId="4C49C4DA" w14:textId="77777777" w:rsidR="003865D8" w:rsidRPr="007640AA" w:rsidRDefault="003865D8" w:rsidP="007640AA">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7.1</w:t>
            </w:r>
          </w:p>
        </w:tc>
        <w:tc>
          <w:tcPr>
            <w:tcW w:w="2430" w:type="dxa"/>
            <w:shd w:val="clear" w:color="auto" w:fill="FFFFFF" w:themeFill="background1"/>
            <w:hideMark/>
          </w:tcPr>
          <w:p w14:paraId="4C49C4DB" w14:textId="77777777" w:rsidR="003865D8" w:rsidRPr="007640AA" w:rsidRDefault="003865D8" w:rsidP="007640AA">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w:t>
            </w:r>
          </w:p>
        </w:tc>
      </w:tr>
      <w:tr w:rsidR="0066170F" w:rsidRPr="007640AA" w14:paraId="4C49C4E4" w14:textId="77777777" w:rsidTr="00A40BF0">
        <w:tc>
          <w:tcPr>
            <w:cnfStyle w:val="001000000000" w:firstRow="0" w:lastRow="0" w:firstColumn="1" w:lastColumn="0" w:oddVBand="0" w:evenVBand="0" w:oddHBand="0" w:evenHBand="0" w:firstRowFirstColumn="0" w:firstRowLastColumn="0" w:lastRowFirstColumn="0" w:lastRowLastColumn="0"/>
            <w:tcW w:w="1368" w:type="dxa"/>
            <w:shd w:val="clear" w:color="auto" w:fill="FFFFFF" w:themeFill="background1"/>
            <w:hideMark/>
          </w:tcPr>
          <w:p w14:paraId="4C49C4DD" w14:textId="77777777" w:rsidR="003865D8" w:rsidRPr="00A40BF0" w:rsidRDefault="003865D8" w:rsidP="007640AA">
            <w:pPr>
              <w:jc w:val="both"/>
              <w:rPr>
                <w:rFonts w:ascii="Arial" w:hAnsi="Arial" w:cs="Arial"/>
                <w:b w:val="0"/>
                <w:color w:val="000000" w:themeColor="text1"/>
                <w:sz w:val="20"/>
                <w:szCs w:val="20"/>
              </w:rPr>
            </w:pPr>
            <w:r w:rsidRPr="00A40BF0">
              <w:rPr>
                <w:rFonts w:ascii="Arial" w:hAnsi="Arial" w:cs="Arial"/>
                <w:b w:val="0"/>
                <w:color w:val="000000" w:themeColor="text1"/>
                <w:sz w:val="20"/>
                <w:szCs w:val="20"/>
              </w:rPr>
              <w:t>CH</w:t>
            </w:r>
            <w:r w:rsidRPr="00A40BF0">
              <w:rPr>
                <w:rFonts w:ascii="Cambria Math" w:hAnsi="Cambria Math" w:cs="Arial"/>
                <w:b w:val="0"/>
                <w:color w:val="000000" w:themeColor="text1"/>
                <w:sz w:val="20"/>
                <w:szCs w:val="20"/>
              </w:rPr>
              <w:t>₄</w:t>
            </w:r>
            <w:r w:rsidRPr="00A40BF0">
              <w:rPr>
                <w:rFonts w:ascii="Arial" w:hAnsi="Arial" w:cs="Arial"/>
                <w:b w:val="0"/>
                <w:color w:val="000000" w:themeColor="text1"/>
                <w:sz w:val="20"/>
                <w:szCs w:val="20"/>
              </w:rPr>
              <w:t xml:space="preserve"> (ppm)</w:t>
            </w:r>
          </w:p>
        </w:tc>
        <w:tc>
          <w:tcPr>
            <w:tcW w:w="900" w:type="dxa"/>
            <w:shd w:val="clear" w:color="auto" w:fill="FFFFFF" w:themeFill="background1"/>
            <w:hideMark/>
          </w:tcPr>
          <w:p w14:paraId="4C49C4DE" w14:textId="77777777" w:rsidR="003865D8" w:rsidRPr="007640AA" w:rsidRDefault="003865D8" w:rsidP="007640AA">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3,210</w:t>
            </w:r>
          </w:p>
        </w:tc>
        <w:tc>
          <w:tcPr>
            <w:tcW w:w="1080" w:type="dxa"/>
            <w:shd w:val="clear" w:color="auto" w:fill="FFFFFF" w:themeFill="background1"/>
            <w:hideMark/>
          </w:tcPr>
          <w:p w14:paraId="4C49C4DF" w14:textId="77777777" w:rsidR="003865D8" w:rsidRPr="007640AA" w:rsidRDefault="003865D8" w:rsidP="007640AA">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3,480</w:t>
            </w:r>
          </w:p>
        </w:tc>
        <w:tc>
          <w:tcPr>
            <w:tcW w:w="1080" w:type="dxa"/>
            <w:shd w:val="clear" w:color="auto" w:fill="FFFFFF" w:themeFill="background1"/>
            <w:hideMark/>
          </w:tcPr>
          <w:p w14:paraId="4C49C4E0" w14:textId="77777777" w:rsidR="003865D8" w:rsidRPr="007640AA" w:rsidRDefault="003865D8" w:rsidP="007640AA">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2,970</w:t>
            </w:r>
          </w:p>
        </w:tc>
        <w:tc>
          <w:tcPr>
            <w:tcW w:w="1350" w:type="dxa"/>
            <w:shd w:val="clear" w:color="auto" w:fill="FFFFFF" w:themeFill="background1"/>
            <w:hideMark/>
          </w:tcPr>
          <w:p w14:paraId="4C49C4E1" w14:textId="77777777" w:rsidR="003865D8" w:rsidRPr="007640AA" w:rsidRDefault="003865D8" w:rsidP="007640AA">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2,640</w:t>
            </w:r>
          </w:p>
        </w:tc>
        <w:tc>
          <w:tcPr>
            <w:tcW w:w="900" w:type="dxa"/>
            <w:shd w:val="clear" w:color="auto" w:fill="FFFFFF" w:themeFill="background1"/>
            <w:hideMark/>
          </w:tcPr>
          <w:p w14:paraId="4C49C4E2" w14:textId="77777777" w:rsidR="003865D8" w:rsidRPr="007640AA" w:rsidRDefault="003865D8" w:rsidP="007640AA">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2,210</w:t>
            </w:r>
          </w:p>
        </w:tc>
        <w:tc>
          <w:tcPr>
            <w:tcW w:w="2430" w:type="dxa"/>
            <w:shd w:val="clear" w:color="auto" w:fill="FFFFFF" w:themeFill="background1"/>
            <w:hideMark/>
          </w:tcPr>
          <w:p w14:paraId="4C49C4E3" w14:textId="77777777" w:rsidR="003865D8" w:rsidRPr="007640AA" w:rsidRDefault="003865D8" w:rsidP="007640AA">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1,000</w:t>
            </w:r>
          </w:p>
        </w:tc>
      </w:tr>
      <w:tr w:rsidR="0066170F" w:rsidRPr="007640AA" w14:paraId="4C49C4EC" w14:textId="77777777" w:rsidTr="00A40B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shd w:val="clear" w:color="auto" w:fill="FFFFFF" w:themeFill="background1"/>
            <w:hideMark/>
          </w:tcPr>
          <w:p w14:paraId="4C49C4E5" w14:textId="77777777" w:rsidR="003865D8" w:rsidRPr="00A40BF0" w:rsidRDefault="003865D8" w:rsidP="007640AA">
            <w:pPr>
              <w:jc w:val="both"/>
              <w:rPr>
                <w:rFonts w:ascii="Arial" w:hAnsi="Arial" w:cs="Arial"/>
                <w:b w:val="0"/>
                <w:color w:val="000000" w:themeColor="text1"/>
                <w:sz w:val="20"/>
                <w:szCs w:val="20"/>
              </w:rPr>
            </w:pPr>
            <w:r w:rsidRPr="00A40BF0">
              <w:rPr>
                <w:rFonts w:ascii="Arial" w:hAnsi="Arial" w:cs="Arial"/>
                <w:b w:val="0"/>
                <w:color w:val="000000" w:themeColor="text1"/>
                <w:sz w:val="20"/>
                <w:szCs w:val="20"/>
              </w:rPr>
              <w:t>CO (ppm)</w:t>
            </w:r>
          </w:p>
        </w:tc>
        <w:tc>
          <w:tcPr>
            <w:tcW w:w="900" w:type="dxa"/>
            <w:shd w:val="clear" w:color="auto" w:fill="FFFFFF" w:themeFill="background1"/>
            <w:hideMark/>
          </w:tcPr>
          <w:p w14:paraId="4C49C4E6" w14:textId="77777777" w:rsidR="003865D8" w:rsidRPr="007640AA" w:rsidRDefault="003865D8" w:rsidP="007640AA">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48</w:t>
            </w:r>
          </w:p>
        </w:tc>
        <w:tc>
          <w:tcPr>
            <w:tcW w:w="1080" w:type="dxa"/>
            <w:shd w:val="clear" w:color="auto" w:fill="FFFFFF" w:themeFill="background1"/>
            <w:hideMark/>
          </w:tcPr>
          <w:p w14:paraId="4C49C4E7" w14:textId="77777777" w:rsidR="003865D8" w:rsidRPr="007640AA" w:rsidRDefault="003865D8" w:rsidP="007640AA">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55</w:t>
            </w:r>
          </w:p>
        </w:tc>
        <w:tc>
          <w:tcPr>
            <w:tcW w:w="1080" w:type="dxa"/>
            <w:shd w:val="clear" w:color="auto" w:fill="FFFFFF" w:themeFill="background1"/>
            <w:hideMark/>
          </w:tcPr>
          <w:p w14:paraId="4C49C4E8" w14:textId="77777777" w:rsidR="003865D8" w:rsidRPr="007640AA" w:rsidRDefault="003865D8" w:rsidP="007640AA">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41</w:t>
            </w:r>
          </w:p>
        </w:tc>
        <w:tc>
          <w:tcPr>
            <w:tcW w:w="1350" w:type="dxa"/>
            <w:shd w:val="clear" w:color="auto" w:fill="FFFFFF" w:themeFill="background1"/>
            <w:hideMark/>
          </w:tcPr>
          <w:p w14:paraId="4C49C4E9" w14:textId="77777777" w:rsidR="003865D8" w:rsidRPr="007640AA" w:rsidRDefault="003865D8" w:rsidP="007640AA">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38</w:t>
            </w:r>
          </w:p>
        </w:tc>
        <w:tc>
          <w:tcPr>
            <w:tcW w:w="900" w:type="dxa"/>
            <w:shd w:val="clear" w:color="auto" w:fill="FFFFFF" w:themeFill="background1"/>
            <w:hideMark/>
          </w:tcPr>
          <w:p w14:paraId="4C49C4EA" w14:textId="77777777" w:rsidR="003865D8" w:rsidRPr="007640AA" w:rsidRDefault="003865D8" w:rsidP="007640AA">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29</w:t>
            </w:r>
          </w:p>
        </w:tc>
        <w:tc>
          <w:tcPr>
            <w:tcW w:w="2430" w:type="dxa"/>
            <w:shd w:val="clear" w:color="auto" w:fill="FFFFFF" w:themeFill="background1"/>
            <w:hideMark/>
          </w:tcPr>
          <w:p w14:paraId="4C49C4EB" w14:textId="77777777" w:rsidR="003865D8" w:rsidRPr="007640AA" w:rsidRDefault="003865D8" w:rsidP="007640AA">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10</w:t>
            </w:r>
          </w:p>
        </w:tc>
      </w:tr>
      <w:tr w:rsidR="0066170F" w:rsidRPr="007640AA" w14:paraId="4C49C4F4" w14:textId="77777777" w:rsidTr="00A40BF0">
        <w:tc>
          <w:tcPr>
            <w:cnfStyle w:val="001000000000" w:firstRow="0" w:lastRow="0" w:firstColumn="1" w:lastColumn="0" w:oddVBand="0" w:evenVBand="0" w:oddHBand="0" w:evenHBand="0" w:firstRowFirstColumn="0" w:firstRowLastColumn="0" w:lastRowFirstColumn="0" w:lastRowLastColumn="0"/>
            <w:tcW w:w="1368" w:type="dxa"/>
            <w:shd w:val="clear" w:color="auto" w:fill="FFFFFF" w:themeFill="background1"/>
            <w:hideMark/>
          </w:tcPr>
          <w:p w14:paraId="4C49C4ED" w14:textId="77777777" w:rsidR="003865D8" w:rsidRPr="00A40BF0" w:rsidRDefault="003865D8" w:rsidP="007640AA">
            <w:pPr>
              <w:jc w:val="both"/>
              <w:rPr>
                <w:rFonts w:ascii="Arial" w:hAnsi="Arial" w:cs="Arial"/>
                <w:b w:val="0"/>
                <w:color w:val="000000" w:themeColor="text1"/>
                <w:sz w:val="20"/>
                <w:szCs w:val="20"/>
              </w:rPr>
            </w:pPr>
            <w:r w:rsidRPr="00A40BF0">
              <w:rPr>
                <w:rFonts w:ascii="Arial" w:hAnsi="Arial" w:cs="Arial"/>
                <w:b w:val="0"/>
                <w:color w:val="000000" w:themeColor="text1"/>
                <w:sz w:val="20"/>
                <w:szCs w:val="20"/>
              </w:rPr>
              <w:t>NOx (ppm)</w:t>
            </w:r>
          </w:p>
        </w:tc>
        <w:tc>
          <w:tcPr>
            <w:tcW w:w="900" w:type="dxa"/>
            <w:shd w:val="clear" w:color="auto" w:fill="FFFFFF" w:themeFill="background1"/>
            <w:hideMark/>
          </w:tcPr>
          <w:p w14:paraId="4C49C4EE" w14:textId="77777777" w:rsidR="003865D8" w:rsidRPr="007640AA" w:rsidRDefault="003865D8" w:rsidP="007640AA">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62</w:t>
            </w:r>
          </w:p>
        </w:tc>
        <w:tc>
          <w:tcPr>
            <w:tcW w:w="1080" w:type="dxa"/>
            <w:shd w:val="clear" w:color="auto" w:fill="FFFFFF" w:themeFill="background1"/>
            <w:hideMark/>
          </w:tcPr>
          <w:p w14:paraId="4C49C4EF" w14:textId="77777777" w:rsidR="003865D8" w:rsidRPr="007640AA" w:rsidRDefault="003865D8" w:rsidP="007640AA">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68</w:t>
            </w:r>
          </w:p>
        </w:tc>
        <w:tc>
          <w:tcPr>
            <w:tcW w:w="1080" w:type="dxa"/>
            <w:shd w:val="clear" w:color="auto" w:fill="FFFFFF" w:themeFill="background1"/>
            <w:hideMark/>
          </w:tcPr>
          <w:p w14:paraId="4C49C4F0" w14:textId="77777777" w:rsidR="003865D8" w:rsidRPr="007640AA" w:rsidRDefault="003865D8" w:rsidP="007640AA">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54</w:t>
            </w:r>
          </w:p>
        </w:tc>
        <w:tc>
          <w:tcPr>
            <w:tcW w:w="1350" w:type="dxa"/>
            <w:shd w:val="clear" w:color="auto" w:fill="FFFFFF" w:themeFill="background1"/>
            <w:hideMark/>
          </w:tcPr>
          <w:p w14:paraId="4C49C4F1" w14:textId="77777777" w:rsidR="003865D8" w:rsidRPr="007640AA" w:rsidRDefault="003865D8" w:rsidP="007640AA">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49</w:t>
            </w:r>
          </w:p>
        </w:tc>
        <w:tc>
          <w:tcPr>
            <w:tcW w:w="900" w:type="dxa"/>
            <w:shd w:val="clear" w:color="auto" w:fill="FFFFFF" w:themeFill="background1"/>
            <w:hideMark/>
          </w:tcPr>
          <w:p w14:paraId="4C49C4F2" w14:textId="77777777" w:rsidR="003865D8" w:rsidRPr="007640AA" w:rsidRDefault="003865D8" w:rsidP="007640AA">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37</w:t>
            </w:r>
          </w:p>
        </w:tc>
        <w:tc>
          <w:tcPr>
            <w:tcW w:w="2430" w:type="dxa"/>
            <w:shd w:val="clear" w:color="auto" w:fill="FFFFFF" w:themeFill="background1"/>
            <w:hideMark/>
          </w:tcPr>
          <w:p w14:paraId="4C49C4F3" w14:textId="77777777" w:rsidR="003865D8" w:rsidRPr="007640AA" w:rsidRDefault="003865D8" w:rsidP="007640AA">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40</w:t>
            </w:r>
          </w:p>
        </w:tc>
      </w:tr>
      <w:tr w:rsidR="0066170F" w:rsidRPr="007640AA" w14:paraId="4C49C4FC" w14:textId="77777777" w:rsidTr="00A40B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shd w:val="clear" w:color="auto" w:fill="FFFFFF" w:themeFill="background1"/>
            <w:hideMark/>
          </w:tcPr>
          <w:p w14:paraId="4C49C4F5" w14:textId="77777777" w:rsidR="003865D8" w:rsidRPr="00A40BF0" w:rsidRDefault="003865D8" w:rsidP="007640AA">
            <w:pPr>
              <w:jc w:val="both"/>
              <w:rPr>
                <w:rFonts w:ascii="Arial" w:hAnsi="Arial" w:cs="Arial"/>
                <w:b w:val="0"/>
                <w:color w:val="000000" w:themeColor="text1"/>
                <w:sz w:val="20"/>
                <w:szCs w:val="20"/>
              </w:rPr>
            </w:pPr>
            <w:r w:rsidRPr="00A40BF0">
              <w:rPr>
                <w:rFonts w:ascii="Arial" w:hAnsi="Arial" w:cs="Arial"/>
                <w:b w:val="0"/>
                <w:color w:val="000000" w:themeColor="text1"/>
                <w:sz w:val="20"/>
                <w:szCs w:val="20"/>
              </w:rPr>
              <w:t>SO</w:t>
            </w:r>
            <w:r w:rsidRPr="00A40BF0">
              <w:rPr>
                <w:rFonts w:ascii="Cambria Math" w:hAnsi="Cambria Math" w:cs="Arial"/>
                <w:b w:val="0"/>
                <w:color w:val="000000" w:themeColor="text1"/>
                <w:sz w:val="20"/>
                <w:szCs w:val="20"/>
              </w:rPr>
              <w:t>₂</w:t>
            </w:r>
            <w:r w:rsidRPr="00A40BF0">
              <w:rPr>
                <w:rFonts w:ascii="Arial" w:hAnsi="Arial" w:cs="Arial"/>
                <w:b w:val="0"/>
                <w:color w:val="000000" w:themeColor="text1"/>
                <w:sz w:val="20"/>
                <w:szCs w:val="20"/>
              </w:rPr>
              <w:t xml:space="preserve"> (ppm)</w:t>
            </w:r>
          </w:p>
        </w:tc>
        <w:tc>
          <w:tcPr>
            <w:tcW w:w="900" w:type="dxa"/>
            <w:shd w:val="clear" w:color="auto" w:fill="FFFFFF" w:themeFill="background1"/>
            <w:hideMark/>
          </w:tcPr>
          <w:p w14:paraId="4C49C4F6" w14:textId="77777777" w:rsidR="003865D8" w:rsidRPr="007640AA" w:rsidRDefault="003865D8" w:rsidP="007640AA">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27</w:t>
            </w:r>
          </w:p>
        </w:tc>
        <w:tc>
          <w:tcPr>
            <w:tcW w:w="1080" w:type="dxa"/>
            <w:shd w:val="clear" w:color="auto" w:fill="FFFFFF" w:themeFill="background1"/>
            <w:hideMark/>
          </w:tcPr>
          <w:p w14:paraId="4C49C4F7" w14:textId="77777777" w:rsidR="003865D8" w:rsidRPr="007640AA" w:rsidRDefault="003865D8" w:rsidP="007640AA">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31</w:t>
            </w:r>
          </w:p>
        </w:tc>
        <w:tc>
          <w:tcPr>
            <w:tcW w:w="1080" w:type="dxa"/>
            <w:shd w:val="clear" w:color="auto" w:fill="FFFFFF" w:themeFill="background1"/>
            <w:hideMark/>
          </w:tcPr>
          <w:p w14:paraId="4C49C4F8" w14:textId="77777777" w:rsidR="003865D8" w:rsidRPr="007640AA" w:rsidRDefault="003865D8" w:rsidP="007640AA">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24</w:t>
            </w:r>
          </w:p>
        </w:tc>
        <w:tc>
          <w:tcPr>
            <w:tcW w:w="1350" w:type="dxa"/>
            <w:shd w:val="clear" w:color="auto" w:fill="FFFFFF" w:themeFill="background1"/>
            <w:hideMark/>
          </w:tcPr>
          <w:p w14:paraId="4C49C4F9" w14:textId="77777777" w:rsidR="003865D8" w:rsidRPr="007640AA" w:rsidRDefault="003865D8" w:rsidP="007640AA">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22</w:t>
            </w:r>
          </w:p>
        </w:tc>
        <w:tc>
          <w:tcPr>
            <w:tcW w:w="900" w:type="dxa"/>
            <w:shd w:val="clear" w:color="auto" w:fill="FFFFFF" w:themeFill="background1"/>
            <w:hideMark/>
          </w:tcPr>
          <w:p w14:paraId="4C49C4FA" w14:textId="77777777" w:rsidR="003865D8" w:rsidRPr="007640AA" w:rsidRDefault="003865D8" w:rsidP="007640AA">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16</w:t>
            </w:r>
          </w:p>
        </w:tc>
        <w:tc>
          <w:tcPr>
            <w:tcW w:w="2430" w:type="dxa"/>
            <w:shd w:val="clear" w:color="auto" w:fill="FFFFFF" w:themeFill="background1"/>
            <w:hideMark/>
          </w:tcPr>
          <w:p w14:paraId="4C49C4FB" w14:textId="77777777" w:rsidR="003865D8" w:rsidRPr="007640AA" w:rsidRDefault="003865D8" w:rsidP="007640AA">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20</w:t>
            </w:r>
          </w:p>
        </w:tc>
      </w:tr>
      <w:tr w:rsidR="0066170F" w:rsidRPr="007640AA" w14:paraId="4C49C504" w14:textId="77777777" w:rsidTr="00A40BF0">
        <w:tc>
          <w:tcPr>
            <w:cnfStyle w:val="001000000000" w:firstRow="0" w:lastRow="0" w:firstColumn="1" w:lastColumn="0" w:oddVBand="0" w:evenVBand="0" w:oddHBand="0" w:evenHBand="0" w:firstRowFirstColumn="0" w:firstRowLastColumn="0" w:lastRowFirstColumn="0" w:lastRowLastColumn="0"/>
            <w:tcW w:w="1368" w:type="dxa"/>
            <w:shd w:val="clear" w:color="auto" w:fill="FFFFFF" w:themeFill="background1"/>
            <w:hideMark/>
          </w:tcPr>
          <w:p w14:paraId="4C49C4FD" w14:textId="77777777" w:rsidR="003865D8" w:rsidRPr="00A40BF0" w:rsidRDefault="003865D8" w:rsidP="002209FB">
            <w:pPr>
              <w:jc w:val="both"/>
              <w:rPr>
                <w:rFonts w:ascii="Arial" w:hAnsi="Arial" w:cs="Arial"/>
                <w:b w:val="0"/>
                <w:color w:val="000000" w:themeColor="text1"/>
                <w:sz w:val="20"/>
                <w:szCs w:val="20"/>
              </w:rPr>
            </w:pPr>
            <w:r w:rsidRPr="00A40BF0">
              <w:rPr>
                <w:rFonts w:ascii="Arial" w:hAnsi="Arial" w:cs="Arial"/>
                <w:b w:val="0"/>
                <w:color w:val="000000" w:themeColor="text1"/>
                <w:sz w:val="20"/>
                <w:szCs w:val="20"/>
              </w:rPr>
              <w:t>Black Carbon (µg/m³)</w:t>
            </w:r>
          </w:p>
        </w:tc>
        <w:tc>
          <w:tcPr>
            <w:tcW w:w="900" w:type="dxa"/>
            <w:shd w:val="clear" w:color="auto" w:fill="FFFFFF" w:themeFill="background1"/>
            <w:hideMark/>
          </w:tcPr>
          <w:p w14:paraId="4C49C4FE" w14:textId="77777777" w:rsidR="003865D8" w:rsidRPr="007640AA" w:rsidRDefault="003865D8" w:rsidP="002209FB">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45</w:t>
            </w:r>
          </w:p>
        </w:tc>
        <w:tc>
          <w:tcPr>
            <w:tcW w:w="1080" w:type="dxa"/>
            <w:shd w:val="clear" w:color="auto" w:fill="FFFFFF" w:themeFill="background1"/>
            <w:hideMark/>
          </w:tcPr>
          <w:p w14:paraId="4C49C4FF" w14:textId="77777777" w:rsidR="003865D8" w:rsidRPr="007640AA" w:rsidRDefault="003865D8" w:rsidP="002209FB">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52</w:t>
            </w:r>
          </w:p>
        </w:tc>
        <w:tc>
          <w:tcPr>
            <w:tcW w:w="1080" w:type="dxa"/>
            <w:shd w:val="clear" w:color="auto" w:fill="FFFFFF" w:themeFill="background1"/>
            <w:hideMark/>
          </w:tcPr>
          <w:p w14:paraId="4C49C500" w14:textId="77777777" w:rsidR="003865D8" w:rsidRPr="007640AA" w:rsidRDefault="003865D8" w:rsidP="002209FB">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39</w:t>
            </w:r>
          </w:p>
        </w:tc>
        <w:tc>
          <w:tcPr>
            <w:tcW w:w="1350" w:type="dxa"/>
            <w:shd w:val="clear" w:color="auto" w:fill="FFFFFF" w:themeFill="background1"/>
            <w:hideMark/>
          </w:tcPr>
          <w:p w14:paraId="4C49C501" w14:textId="77777777" w:rsidR="003865D8" w:rsidRPr="007640AA" w:rsidRDefault="003865D8" w:rsidP="002209FB">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34</w:t>
            </w:r>
          </w:p>
        </w:tc>
        <w:tc>
          <w:tcPr>
            <w:tcW w:w="900" w:type="dxa"/>
            <w:shd w:val="clear" w:color="auto" w:fill="FFFFFF" w:themeFill="background1"/>
            <w:hideMark/>
          </w:tcPr>
          <w:p w14:paraId="4C49C502" w14:textId="77777777" w:rsidR="003865D8" w:rsidRPr="007640AA" w:rsidRDefault="003865D8" w:rsidP="002209FB">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21</w:t>
            </w:r>
          </w:p>
        </w:tc>
        <w:tc>
          <w:tcPr>
            <w:tcW w:w="2430" w:type="dxa"/>
            <w:shd w:val="clear" w:color="auto" w:fill="FFFFFF" w:themeFill="background1"/>
            <w:hideMark/>
          </w:tcPr>
          <w:p w14:paraId="4C49C503" w14:textId="77777777" w:rsidR="003865D8" w:rsidRPr="007640AA" w:rsidRDefault="003865D8" w:rsidP="002209FB">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25</w:t>
            </w:r>
          </w:p>
        </w:tc>
      </w:tr>
    </w:tbl>
    <w:p w14:paraId="4C49C505" w14:textId="77777777" w:rsidR="003D5E7C" w:rsidRDefault="003865D8" w:rsidP="003D5E7C">
      <w:pPr>
        <w:pStyle w:val="NormalWeb"/>
        <w:spacing w:before="0" w:beforeAutospacing="0"/>
        <w:jc w:val="both"/>
        <w:rPr>
          <w:rFonts w:ascii="Arial" w:hAnsi="Arial" w:cs="Arial"/>
          <w:color w:val="000000" w:themeColor="text1"/>
          <w:sz w:val="20"/>
          <w:szCs w:val="20"/>
        </w:rPr>
      </w:pPr>
      <w:r w:rsidRPr="002209FB">
        <w:rPr>
          <w:rStyle w:val="Strong"/>
          <w:rFonts w:ascii="Arial" w:eastAsia="Calibri" w:hAnsi="Arial" w:cs="Arial"/>
          <w:i/>
          <w:color w:val="000000" w:themeColor="text1"/>
          <w:sz w:val="20"/>
          <w:szCs w:val="20"/>
        </w:rPr>
        <w:t>Source:</w:t>
      </w:r>
      <w:r w:rsidRPr="002209FB">
        <w:rPr>
          <w:rFonts w:ascii="Arial" w:hAnsi="Arial" w:cs="Arial"/>
          <w:i/>
          <w:color w:val="000000" w:themeColor="text1"/>
          <w:sz w:val="20"/>
          <w:szCs w:val="20"/>
        </w:rPr>
        <w:t xml:space="preserve"> </w:t>
      </w:r>
      <w:r w:rsidRPr="002209FB">
        <w:rPr>
          <w:rFonts w:ascii="Arial" w:hAnsi="Arial" w:cs="Arial"/>
          <w:b/>
          <w:i/>
          <w:color w:val="000000" w:themeColor="text1"/>
          <w:sz w:val="20"/>
          <w:szCs w:val="20"/>
        </w:rPr>
        <w:t>Field e</w:t>
      </w:r>
      <w:r w:rsidR="00A40BF0" w:rsidRPr="002209FB">
        <w:rPr>
          <w:rFonts w:ascii="Arial" w:hAnsi="Arial" w:cs="Arial"/>
          <w:b/>
          <w:i/>
          <w:color w:val="000000" w:themeColor="text1"/>
          <w:sz w:val="20"/>
          <w:szCs w:val="20"/>
        </w:rPr>
        <w:t>mission monitoring, (2026)</w:t>
      </w:r>
    </w:p>
    <w:p w14:paraId="4C49C506" w14:textId="77777777" w:rsidR="00276C96" w:rsidRDefault="00276C96" w:rsidP="00276C96">
      <w:pPr>
        <w:pStyle w:val="NormalWeb"/>
        <w:spacing w:before="0" w:beforeAutospacing="0"/>
        <w:jc w:val="both"/>
        <w:rPr>
          <w:rFonts w:ascii="Arial" w:hAnsi="Arial" w:cs="Arial"/>
          <w:color w:val="000000" w:themeColor="text1"/>
          <w:sz w:val="20"/>
          <w:szCs w:val="20"/>
        </w:rPr>
        <w:sectPr w:rsidR="00276C96" w:rsidSect="005E0C6E">
          <w:type w:val="continuous"/>
          <w:pgSz w:w="11907" w:h="16839" w:code="9"/>
          <w:pgMar w:top="1440" w:right="1440" w:bottom="1440" w:left="1440" w:header="720" w:footer="720" w:gutter="0"/>
          <w:cols w:space="720"/>
          <w:docGrid w:linePitch="360"/>
        </w:sectPr>
      </w:pPr>
    </w:p>
    <w:p w14:paraId="4C49C507" w14:textId="77777777" w:rsidR="003865D8" w:rsidRPr="007640AA" w:rsidRDefault="003D5E7C" w:rsidP="00276C96">
      <w:pPr>
        <w:pStyle w:val="NormalWeb"/>
        <w:spacing w:before="0" w:beforeAutospacing="0"/>
        <w:jc w:val="both"/>
        <w:rPr>
          <w:rFonts w:ascii="Arial" w:hAnsi="Arial" w:cs="Arial"/>
          <w:color w:val="000000" w:themeColor="text1"/>
          <w:sz w:val="20"/>
          <w:szCs w:val="20"/>
        </w:rPr>
      </w:pPr>
      <w:r>
        <w:rPr>
          <w:rFonts w:ascii="Arial" w:hAnsi="Arial" w:cs="Arial"/>
          <w:color w:val="000000" w:themeColor="text1"/>
          <w:sz w:val="20"/>
          <w:szCs w:val="20"/>
        </w:rPr>
        <w:t>Table 4.2 indicated that,</w:t>
      </w:r>
      <w:r w:rsidRPr="001C6D1F">
        <w:rPr>
          <w:rFonts w:ascii="Arial" w:hAnsi="Arial" w:cs="Arial"/>
          <w:color w:val="000000" w:themeColor="text1"/>
          <w:sz w:val="20"/>
          <w:szCs w:val="20"/>
        </w:rPr>
        <w:t xml:space="preserve"> all</w:t>
      </w:r>
      <w:r w:rsidR="00381547" w:rsidRPr="001C6D1F">
        <w:rPr>
          <w:rFonts w:ascii="Arial" w:hAnsi="Arial" w:cs="Arial"/>
          <w:color w:val="000000" w:themeColor="text1"/>
          <w:sz w:val="20"/>
          <w:szCs w:val="20"/>
        </w:rPr>
        <w:t xml:space="preserve"> sites exceeded </w:t>
      </w:r>
      <w:r w:rsidR="00381547" w:rsidRPr="000B5C13">
        <w:rPr>
          <w:rFonts w:ascii="Arial" w:hAnsi="Arial" w:cs="Arial"/>
          <w:bCs/>
          <w:color w:val="000000" w:themeColor="text1"/>
          <w:sz w:val="20"/>
          <w:szCs w:val="20"/>
        </w:rPr>
        <w:t>WHO/IFC recommended limits</w:t>
      </w:r>
      <w:r w:rsidR="00381547" w:rsidRPr="001C6D1F">
        <w:rPr>
          <w:rFonts w:ascii="Arial" w:hAnsi="Arial" w:cs="Arial"/>
          <w:color w:val="000000" w:themeColor="text1"/>
          <w:sz w:val="20"/>
          <w:szCs w:val="20"/>
        </w:rPr>
        <w:t xml:space="preserve"> for CH</w:t>
      </w:r>
      <w:r w:rsidR="00381547" w:rsidRPr="001C6D1F">
        <w:rPr>
          <w:rFonts w:ascii="Cambria Math" w:hAnsi="Cambria Math" w:cs="Arial"/>
          <w:color w:val="000000" w:themeColor="text1"/>
          <w:sz w:val="20"/>
          <w:szCs w:val="20"/>
        </w:rPr>
        <w:t>₄</w:t>
      </w:r>
      <w:r w:rsidR="00381547" w:rsidRPr="001C6D1F">
        <w:rPr>
          <w:rFonts w:ascii="Arial" w:hAnsi="Arial" w:cs="Arial"/>
          <w:color w:val="000000" w:themeColor="text1"/>
          <w:sz w:val="20"/>
          <w:szCs w:val="20"/>
        </w:rPr>
        <w:t>, CO, NOx, SO</w:t>
      </w:r>
      <w:r w:rsidR="00381547" w:rsidRPr="001C6D1F">
        <w:rPr>
          <w:rFonts w:ascii="Cambria Math" w:hAnsi="Cambria Math" w:cs="Arial"/>
          <w:color w:val="000000" w:themeColor="text1"/>
          <w:sz w:val="20"/>
          <w:szCs w:val="20"/>
        </w:rPr>
        <w:t>₂</w:t>
      </w:r>
      <w:r w:rsidR="00381547" w:rsidRPr="001C6D1F">
        <w:rPr>
          <w:rFonts w:ascii="Arial" w:hAnsi="Arial" w:cs="Arial"/>
          <w:color w:val="000000" w:themeColor="text1"/>
          <w:sz w:val="20"/>
          <w:szCs w:val="20"/>
        </w:rPr>
        <w:t>, and black carbon.</w:t>
      </w:r>
      <w:r w:rsidR="000B5C13">
        <w:rPr>
          <w:rFonts w:ascii="Arial" w:hAnsi="Arial" w:cs="Arial"/>
          <w:color w:val="000000" w:themeColor="text1"/>
          <w:sz w:val="20"/>
          <w:szCs w:val="20"/>
        </w:rPr>
        <w:t xml:space="preserve"> </w:t>
      </w:r>
      <w:r w:rsidR="000B5C13" w:rsidRPr="007640AA">
        <w:rPr>
          <w:rFonts w:ascii="Arial" w:hAnsi="Arial" w:cs="Arial"/>
          <w:color w:val="000000" w:themeColor="text1"/>
          <w:sz w:val="20"/>
          <w:szCs w:val="20"/>
        </w:rPr>
        <w:t>Edo</w:t>
      </w:r>
      <w:r w:rsidR="000B5C13" w:rsidRPr="001C6D1F">
        <w:rPr>
          <w:rFonts w:ascii="Arial" w:hAnsi="Arial" w:cs="Arial"/>
          <w:color w:val="000000" w:themeColor="text1"/>
          <w:sz w:val="20"/>
          <w:szCs w:val="20"/>
        </w:rPr>
        <w:t xml:space="preserve"> </w:t>
      </w:r>
      <w:r w:rsidR="000B5C13">
        <w:rPr>
          <w:rFonts w:ascii="Arial" w:hAnsi="Arial" w:cs="Arial"/>
          <w:color w:val="000000" w:themeColor="text1"/>
          <w:sz w:val="20"/>
          <w:szCs w:val="20"/>
        </w:rPr>
        <w:t xml:space="preserve">state </w:t>
      </w:r>
      <w:r w:rsidR="00381547" w:rsidRPr="001C6D1F">
        <w:rPr>
          <w:rFonts w:ascii="Arial" w:hAnsi="Arial" w:cs="Arial"/>
          <w:color w:val="000000" w:themeColor="text1"/>
          <w:sz w:val="20"/>
          <w:szCs w:val="20"/>
        </w:rPr>
        <w:t>exhibited the highest emissions for all pollutants, consistent with its high flare volume</w:t>
      </w:r>
      <w:r w:rsidR="00F26FF8">
        <w:rPr>
          <w:rFonts w:ascii="Arial" w:hAnsi="Arial" w:cs="Arial"/>
          <w:color w:val="000000" w:themeColor="text1"/>
          <w:sz w:val="20"/>
          <w:szCs w:val="20"/>
        </w:rPr>
        <w:t xml:space="preserve"> and </w:t>
      </w:r>
      <w:r w:rsidR="00381547" w:rsidRPr="00FD21C1">
        <w:rPr>
          <w:rFonts w:ascii="Arial" w:hAnsi="Arial" w:cs="Arial"/>
          <w:bCs/>
          <w:color w:val="000000" w:themeColor="text1"/>
          <w:sz w:val="20"/>
          <w:szCs w:val="20"/>
        </w:rPr>
        <w:t>CO</w:t>
      </w:r>
      <w:r w:rsidR="00381547" w:rsidRPr="00FD21C1">
        <w:rPr>
          <w:rFonts w:ascii="Cambria Math" w:hAnsi="Cambria Math" w:cs="Arial"/>
          <w:bCs/>
          <w:color w:val="000000" w:themeColor="text1"/>
          <w:sz w:val="20"/>
          <w:szCs w:val="20"/>
        </w:rPr>
        <w:t>₂</w:t>
      </w:r>
      <w:r w:rsidR="00381547" w:rsidRPr="00FD21C1">
        <w:rPr>
          <w:rFonts w:ascii="Arial" w:hAnsi="Arial" w:cs="Arial"/>
          <w:bCs/>
          <w:color w:val="000000" w:themeColor="text1"/>
          <w:sz w:val="20"/>
          <w:szCs w:val="20"/>
        </w:rPr>
        <w:t xml:space="preserve"> concentrations</w:t>
      </w:r>
      <w:r w:rsidR="00381547" w:rsidRPr="001C6D1F">
        <w:rPr>
          <w:rFonts w:ascii="Arial" w:hAnsi="Arial" w:cs="Arial"/>
          <w:color w:val="000000" w:themeColor="text1"/>
          <w:sz w:val="20"/>
          <w:szCs w:val="20"/>
        </w:rPr>
        <w:t xml:space="preserve"> ranged from 7.1–</w:t>
      </w:r>
      <w:r w:rsidR="00381547" w:rsidRPr="001C6D1F">
        <w:rPr>
          <w:rFonts w:ascii="Arial" w:hAnsi="Arial" w:cs="Arial"/>
          <w:color w:val="000000" w:themeColor="text1"/>
          <w:sz w:val="20"/>
          <w:szCs w:val="20"/>
        </w:rPr>
        <w:t>9.4% vol, indicating substantial greenhouse gas release.</w:t>
      </w:r>
      <w:r w:rsidR="00B60057">
        <w:rPr>
          <w:rFonts w:ascii="Arial" w:hAnsi="Arial" w:cs="Arial"/>
          <w:color w:val="000000" w:themeColor="text1"/>
          <w:sz w:val="20"/>
          <w:szCs w:val="20"/>
        </w:rPr>
        <w:t xml:space="preserve"> </w:t>
      </w:r>
      <w:r w:rsidR="00381547" w:rsidRPr="001C6D1F">
        <w:rPr>
          <w:rFonts w:ascii="Arial" w:hAnsi="Arial" w:cs="Arial"/>
          <w:color w:val="000000" w:themeColor="text1"/>
          <w:sz w:val="20"/>
          <w:szCs w:val="20"/>
        </w:rPr>
        <w:t xml:space="preserve">Flare emissions pose significant </w:t>
      </w:r>
      <w:r w:rsidR="00381547" w:rsidRPr="00FD21C1">
        <w:rPr>
          <w:rFonts w:ascii="Arial" w:hAnsi="Arial" w:cs="Arial"/>
          <w:bCs/>
          <w:color w:val="000000" w:themeColor="text1"/>
          <w:sz w:val="20"/>
          <w:szCs w:val="20"/>
        </w:rPr>
        <w:t>environmental and public health hazards</w:t>
      </w:r>
      <w:r w:rsidR="00381547" w:rsidRPr="001C6D1F">
        <w:rPr>
          <w:rFonts w:ascii="Arial" w:hAnsi="Arial" w:cs="Arial"/>
          <w:color w:val="000000" w:themeColor="text1"/>
          <w:sz w:val="20"/>
          <w:szCs w:val="20"/>
        </w:rPr>
        <w:t>, confirming the urgent need for mitigation through carbon capture.</w:t>
      </w:r>
    </w:p>
    <w:p w14:paraId="4C49C508" w14:textId="77777777" w:rsidR="00276C96" w:rsidRDefault="00276C96" w:rsidP="007640AA">
      <w:pPr>
        <w:pStyle w:val="Heading2"/>
        <w:spacing w:line="240" w:lineRule="auto"/>
        <w:jc w:val="both"/>
        <w:rPr>
          <w:rStyle w:val="Strong"/>
          <w:rFonts w:ascii="Arial" w:hAnsi="Arial" w:cs="Arial"/>
          <w:b/>
          <w:bCs/>
          <w:color w:val="000000" w:themeColor="text1"/>
          <w:sz w:val="20"/>
          <w:szCs w:val="20"/>
        </w:rPr>
        <w:sectPr w:rsidR="00276C96" w:rsidSect="00276C96">
          <w:type w:val="continuous"/>
          <w:pgSz w:w="11907" w:h="16839" w:code="9"/>
          <w:pgMar w:top="1440" w:right="1440" w:bottom="1440" w:left="1440" w:header="720" w:footer="720" w:gutter="0"/>
          <w:cols w:num="2" w:space="720"/>
          <w:docGrid w:linePitch="360"/>
        </w:sectPr>
      </w:pPr>
    </w:p>
    <w:p w14:paraId="4C49C509" w14:textId="77777777" w:rsidR="003865D8" w:rsidRPr="007640AA" w:rsidRDefault="003865D8" w:rsidP="007640AA">
      <w:pPr>
        <w:pStyle w:val="Heading2"/>
        <w:spacing w:line="240" w:lineRule="auto"/>
        <w:jc w:val="both"/>
        <w:rPr>
          <w:rFonts w:ascii="Arial" w:hAnsi="Arial" w:cs="Arial"/>
          <w:color w:val="000000" w:themeColor="text1"/>
          <w:sz w:val="20"/>
          <w:szCs w:val="20"/>
        </w:rPr>
      </w:pPr>
      <w:r w:rsidRPr="007640AA">
        <w:rPr>
          <w:rStyle w:val="Strong"/>
          <w:rFonts w:ascii="Arial" w:hAnsi="Arial" w:cs="Arial"/>
          <w:b/>
          <w:bCs/>
          <w:color w:val="000000" w:themeColor="text1"/>
          <w:sz w:val="20"/>
          <w:szCs w:val="20"/>
        </w:rPr>
        <w:t xml:space="preserve">Table </w:t>
      </w:r>
      <w:r w:rsidR="008E1C13">
        <w:rPr>
          <w:rStyle w:val="Strong"/>
          <w:rFonts w:ascii="Arial" w:hAnsi="Arial" w:cs="Arial"/>
          <w:b/>
          <w:bCs/>
          <w:color w:val="000000" w:themeColor="text1"/>
          <w:sz w:val="20"/>
          <w:szCs w:val="20"/>
        </w:rPr>
        <w:t>4.3</w:t>
      </w:r>
      <w:r w:rsidRPr="007640AA">
        <w:rPr>
          <w:rStyle w:val="Strong"/>
          <w:rFonts w:ascii="Arial" w:hAnsi="Arial" w:cs="Arial"/>
          <w:b/>
          <w:bCs/>
          <w:color w:val="000000" w:themeColor="text1"/>
          <w:sz w:val="20"/>
          <w:szCs w:val="20"/>
        </w:rPr>
        <w:t xml:space="preserve"> Ambient Air Quality at 1 km Downwind of Flare Sites</w:t>
      </w:r>
    </w:p>
    <w:tbl>
      <w:tblPr>
        <w:tblStyle w:val="LightShading"/>
        <w:tblW w:w="0" w:type="auto"/>
        <w:tblLook w:val="04A0" w:firstRow="1" w:lastRow="0" w:firstColumn="1" w:lastColumn="0" w:noHBand="0" w:noVBand="1"/>
      </w:tblPr>
      <w:tblGrid>
        <w:gridCol w:w="2088"/>
        <w:gridCol w:w="1980"/>
        <w:gridCol w:w="2610"/>
        <w:gridCol w:w="2430"/>
      </w:tblGrid>
      <w:tr w:rsidR="003865D8" w:rsidRPr="007640AA" w14:paraId="4C49C50E" w14:textId="77777777" w:rsidTr="00CB30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shd w:val="clear" w:color="auto" w:fill="FFFFFF" w:themeFill="background1"/>
            <w:hideMark/>
          </w:tcPr>
          <w:p w14:paraId="4C49C50A" w14:textId="77777777" w:rsidR="003865D8" w:rsidRPr="00CB30EE" w:rsidRDefault="003865D8" w:rsidP="007640AA">
            <w:pPr>
              <w:jc w:val="both"/>
              <w:rPr>
                <w:rFonts w:ascii="Arial" w:hAnsi="Arial" w:cs="Arial"/>
                <w:color w:val="000000" w:themeColor="text1"/>
                <w:sz w:val="20"/>
                <w:szCs w:val="20"/>
              </w:rPr>
            </w:pPr>
            <w:r w:rsidRPr="00CB30EE">
              <w:rPr>
                <w:rFonts w:ascii="Arial" w:hAnsi="Arial" w:cs="Arial"/>
                <w:bCs w:val="0"/>
                <w:color w:val="000000" w:themeColor="text1"/>
                <w:sz w:val="20"/>
                <w:szCs w:val="20"/>
              </w:rPr>
              <w:t>Parameter</w:t>
            </w:r>
          </w:p>
        </w:tc>
        <w:tc>
          <w:tcPr>
            <w:tcW w:w="1980" w:type="dxa"/>
            <w:shd w:val="clear" w:color="auto" w:fill="FFFFFF" w:themeFill="background1"/>
            <w:hideMark/>
          </w:tcPr>
          <w:p w14:paraId="4C49C50B" w14:textId="77777777" w:rsidR="003865D8" w:rsidRPr="00CB30EE" w:rsidRDefault="003865D8" w:rsidP="007640AA">
            <w:pPr>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CB30EE">
              <w:rPr>
                <w:rFonts w:ascii="Arial" w:hAnsi="Arial" w:cs="Arial"/>
                <w:bCs w:val="0"/>
                <w:color w:val="000000" w:themeColor="text1"/>
                <w:sz w:val="20"/>
                <w:szCs w:val="20"/>
              </w:rPr>
              <w:t>Mean Value</w:t>
            </w:r>
          </w:p>
        </w:tc>
        <w:tc>
          <w:tcPr>
            <w:tcW w:w="2610" w:type="dxa"/>
            <w:shd w:val="clear" w:color="auto" w:fill="FFFFFF" w:themeFill="background1"/>
            <w:hideMark/>
          </w:tcPr>
          <w:p w14:paraId="4C49C50C" w14:textId="77777777" w:rsidR="003865D8" w:rsidRPr="00CB30EE" w:rsidRDefault="003865D8" w:rsidP="007640AA">
            <w:pPr>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CB30EE">
              <w:rPr>
                <w:rFonts w:ascii="Arial" w:hAnsi="Arial" w:cs="Arial"/>
                <w:bCs w:val="0"/>
                <w:color w:val="000000" w:themeColor="text1"/>
                <w:sz w:val="20"/>
                <w:szCs w:val="20"/>
              </w:rPr>
              <w:t>WHO Limit</w:t>
            </w:r>
          </w:p>
        </w:tc>
        <w:tc>
          <w:tcPr>
            <w:tcW w:w="2430" w:type="dxa"/>
            <w:shd w:val="clear" w:color="auto" w:fill="FFFFFF" w:themeFill="background1"/>
            <w:hideMark/>
          </w:tcPr>
          <w:p w14:paraId="4C49C50D" w14:textId="77777777" w:rsidR="003865D8" w:rsidRPr="00CB30EE" w:rsidRDefault="003865D8" w:rsidP="007640AA">
            <w:pPr>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CB30EE">
              <w:rPr>
                <w:rFonts w:ascii="Arial" w:hAnsi="Arial" w:cs="Arial"/>
                <w:bCs w:val="0"/>
                <w:color w:val="000000" w:themeColor="text1"/>
                <w:sz w:val="20"/>
                <w:szCs w:val="20"/>
              </w:rPr>
              <w:t>% Above Limit</w:t>
            </w:r>
          </w:p>
        </w:tc>
      </w:tr>
      <w:tr w:rsidR="00CB30EE" w:rsidRPr="007640AA" w14:paraId="4C49C513" w14:textId="77777777" w:rsidTr="00CB30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shd w:val="clear" w:color="auto" w:fill="FFFFFF" w:themeFill="background1"/>
            <w:hideMark/>
          </w:tcPr>
          <w:p w14:paraId="4C49C50F" w14:textId="77777777" w:rsidR="003865D8" w:rsidRPr="00CB30EE" w:rsidRDefault="003865D8" w:rsidP="007640AA">
            <w:pPr>
              <w:jc w:val="both"/>
              <w:rPr>
                <w:rFonts w:ascii="Arial" w:hAnsi="Arial" w:cs="Arial"/>
                <w:b w:val="0"/>
                <w:color w:val="000000" w:themeColor="text1"/>
                <w:sz w:val="20"/>
                <w:szCs w:val="20"/>
              </w:rPr>
            </w:pPr>
            <w:r w:rsidRPr="00CB30EE">
              <w:rPr>
                <w:rFonts w:ascii="Arial" w:hAnsi="Arial" w:cs="Arial"/>
                <w:b w:val="0"/>
                <w:color w:val="000000" w:themeColor="text1"/>
                <w:sz w:val="20"/>
                <w:szCs w:val="20"/>
              </w:rPr>
              <w:t>PM2.5 (µg/m³)</w:t>
            </w:r>
          </w:p>
        </w:tc>
        <w:tc>
          <w:tcPr>
            <w:tcW w:w="1980" w:type="dxa"/>
            <w:shd w:val="clear" w:color="auto" w:fill="FFFFFF" w:themeFill="background1"/>
            <w:hideMark/>
          </w:tcPr>
          <w:p w14:paraId="4C49C510" w14:textId="77777777" w:rsidR="003865D8" w:rsidRPr="007640AA" w:rsidRDefault="003865D8" w:rsidP="007640AA">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58.4</w:t>
            </w:r>
          </w:p>
        </w:tc>
        <w:tc>
          <w:tcPr>
            <w:tcW w:w="2610" w:type="dxa"/>
            <w:shd w:val="clear" w:color="auto" w:fill="FFFFFF" w:themeFill="background1"/>
            <w:hideMark/>
          </w:tcPr>
          <w:p w14:paraId="4C49C511" w14:textId="77777777" w:rsidR="003865D8" w:rsidRPr="007640AA" w:rsidRDefault="003865D8" w:rsidP="007640AA">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15</w:t>
            </w:r>
          </w:p>
        </w:tc>
        <w:tc>
          <w:tcPr>
            <w:tcW w:w="2430" w:type="dxa"/>
            <w:shd w:val="clear" w:color="auto" w:fill="FFFFFF" w:themeFill="background1"/>
            <w:hideMark/>
          </w:tcPr>
          <w:p w14:paraId="4C49C512" w14:textId="77777777" w:rsidR="003865D8" w:rsidRPr="007640AA" w:rsidRDefault="003865D8" w:rsidP="007640AA">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+289%</w:t>
            </w:r>
          </w:p>
        </w:tc>
      </w:tr>
      <w:tr w:rsidR="003865D8" w:rsidRPr="007640AA" w14:paraId="4C49C518" w14:textId="77777777" w:rsidTr="00CB30EE">
        <w:tc>
          <w:tcPr>
            <w:cnfStyle w:val="001000000000" w:firstRow="0" w:lastRow="0" w:firstColumn="1" w:lastColumn="0" w:oddVBand="0" w:evenVBand="0" w:oddHBand="0" w:evenHBand="0" w:firstRowFirstColumn="0" w:firstRowLastColumn="0" w:lastRowFirstColumn="0" w:lastRowLastColumn="0"/>
            <w:tcW w:w="2088" w:type="dxa"/>
            <w:shd w:val="clear" w:color="auto" w:fill="FFFFFF" w:themeFill="background1"/>
            <w:hideMark/>
          </w:tcPr>
          <w:p w14:paraId="4C49C514" w14:textId="77777777" w:rsidR="003865D8" w:rsidRPr="00CB30EE" w:rsidRDefault="003865D8" w:rsidP="007640AA">
            <w:pPr>
              <w:jc w:val="both"/>
              <w:rPr>
                <w:rFonts w:ascii="Arial" w:hAnsi="Arial" w:cs="Arial"/>
                <w:b w:val="0"/>
                <w:color w:val="000000" w:themeColor="text1"/>
                <w:sz w:val="20"/>
                <w:szCs w:val="20"/>
              </w:rPr>
            </w:pPr>
            <w:r w:rsidRPr="00CB30EE">
              <w:rPr>
                <w:rFonts w:ascii="Arial" w:hAnsi="Arial" w:cs="Arial"/>
                <w:b w:val="0"/>
                <w:color w:val="000000" w:themeColor="text1"/>
                <w:sz w:val="20"/>
                <w:szCs w:val="20"/>
              </w:rPr>
              <w:t>PM10 (µg/m³)</w:t>
            </w:r>
          </w:p>
        </w:tc>
        <w:tc>
          <w:tcPr>
            <w:tcW w:w="1980" w:type="dxa"/>
            <w:shd w:val="clear" w:color="auto" w:fill="FFFFFF" w:themeFill="background1"/>
            <w:hideMark/>
          </w:tcPr>
          <w:p w14:paraId="4C49C515" w14:textId="77777777" w:rsidR="003865D8" w:rsidRPr="007640AA" w:rsidRDefault="003865D8" w:rsidP="007640AA">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112.6</w:t>
            </w:r>
          </w:p>
        </w:tc>
        <w:tc>
          <w:tcPr>
            <w:tcW w:w="2610" w:type="dxa"/>
            <w:shd w:val="clear" w:color="auto" w:fill="FFFFFF" w:themeFill="background1"/>
            <w:hideMark/>
          </w:tcPr>
          <w:p w14:paraId="4C49C516" w14:textId="77777777" w:rsidR="003865D8" w:rsidRPr="007640AA" w:rsidRDefault="003865D8" w:rsidP="007640AA">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45</w:t>
            </w:r>
          </w:p>
        </w:tc>
        <w:tc>
          <w:tcPr>
            <w:tcW w:w="2430" w:type="dxa"/>
            <w:shd w:val="clear" w:color="auto" w:fill="FFFFFF" w:themeFill="background1"/>
            <w:hideMark/>
          </w:tcPr>
          <w:p w14:paraId="4C49C517" w14:textId="77777777" w:rsidR="003865D8" w:rsidRPr="007640AA" w:rsidRDefault="003865D8" w:rsidP="007640AA">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+150%</w:t>
            </w:r>
          </w:p>
        </w:tc>
      </w:tr>
      <w:tr w:rsidR="00CB30EE" w:rsidRPr="007640AA" w14:paraId="4C49C51D" w14:textId="77777777" w:rsidTr="00CB30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shd w:val="clear" w:color="auto" w:fill="FFFFFF" w:themeFill="background1"/>
            <w:hideMark/>
          </w:tcPr>
          <w:p w14:paraId="4C49C519" w14:textId="77777777" w:rsidR="003865D8" w:rsidRPr="00CB30EE" w:rsidRDefault="003865D8" w:rsidP="007640AA">
            <w:pPr>
              <w:jc w:val="both"/>
              <w:rPr>
                <w:rFonts w:ascii="Arial" w:hAnsi="Arial" w:cs="Arial"/>
                <w:b w:val="0"/>
                <w:color w:val="000000" w:themeColor="text1"/>
                <w:sz w:val="20"/>
                <w:szCs w:val="20"/>
              </w:rPr>
            </w:pPr>
            <w:r w:rsidRPr="00CB30EE">
              <w:rPr>
                <w:rFonts w:ascii="Arial" w:hAnsi="Arial" w:cs="Arial"/>
                <w:b w:val="0"/>
                <w:color w:val="000000" w:themeColor="text1"/>
                <w:sz w:val="20"/>
                <w:szCs w:val="20"/>
              </w:rPr>
              <w:t>CO</w:t>
            </w:r>
            <w:r w:rsidRPr="00CB30EE">
              <w:rPr>
                <w:rFonts w:ascii="Cambria Math" w:hAnsi="Cambria Math" w:cs="Arial"/>
                <w:b w:val="0"/>
                <w:color w:val="000000" w:themeColor="text1"/>
                <w:sz w:val="20"/>
                <w:szCs w:val="20"/>
              </w:rPr>
              <w:t>₂</w:t>
            </w:r>
            <w:r w:rsidRPr="00CB30EE">
              <w:rPr>
                <w:rFonts w:ascii="Arial" w:hAnsi="Arial" w:cs="Arial"/>
                <w:b w:val="0"/>
                <w:color w:val="000000" w:themeColor="text1"/>
                <w:sz w:val="20"/>
                <w:szCs w:val="20"/>
              </w:rPr>
              <w:t xml:space="preserve"> (ppm)</w:t>
            </w:r>
          </w:p>
        </w:tc>
        <w:tc>
          <w:tcPr>
            <w:tcW w:w="1980" w:type="dxa"/>
            <w:shd w:val="clear" w:color="auto" w:fill="FFFFFF" w:themeFill="background1"/>
            <w:hideMark/>
          </w:tcPr>
          <w:p w14:paraId="4C49C51A" w14:textId="77777777" w:rsidR="003865D8" w:rsidRPr="007640AA" w:rsidRDefault="003865D8" w:rsidP="007640AA">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612</w:t>
            </w:r>
          </w:p>
        </w:tc>
        <w:tc>
          <w:tcPr>
            <w:tcW w:w="2610" w:type="dxa"/>
            <w:shd w:val="clear" w:color="auto" w:fill="FFFFFF" w:themeFill="background1"/>
            <w:hideMark/>
          </w:tcPr>
          <w:p w14:paraId="4C49C51B" w14:textId="77777777" w:rsidR="003865D8" w:rsidRPr="007640AA" w:rsidRDefault="003865D8" w:rsidP="007640AA">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420 (background)</w:t>
            </w:r>
          </w:p>
        </w:tc>
        <w:tc>
          <w:tcPr>
            <w:tcW w:w="2430" w:type="dxa"/>
            <w:shd w:val="clear" w:color="auto" w:fill="FFFFFF" w:themeFill="background1"/>
            <w:hideMark/>
          </w:tcPr>
          <w:p w14:paraId="4C49C51C" w14:textId="77777777" w:rsidR="003865D8" w:rsidRPr="007640AA" w:rsidRDefault="003865D8" w:rsidP="007640AA">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Elevated</w:t>
            </w:r>
          </w:p>
        </w:tc>
      </w:tr>
      <w:tr w:rsidR="003865D8" w:rsidRPr="007640AA" w14:paraId="4C49C522" w14:textId="77777777" w:rsidTr="00CB30EE">
        <w:tc>
          <w:tcPr>
            <w:cnfStyle w:val="001000000000" w:firstRow="0" w:lastRow="0" w:firstColumn="1" w:lastColumn="0" w:oddVBand="0" w:evenVBand="0" w:oddHBand="0" w:evenHBand="0" w:firstRowFirstColumn="0" w:firstRowLastColumn="0" w:lastRowFirstColumn="0" w:lastRowLastColumn="0"/>
            <w:tcW w:w="2088" w:type="dxa"/>
            <w:shd w:val="clear" w:color="auto" w:fill="FFFFFF" w:themeFill="background1"/>
            <w:hideMark/>
          </w:tcPr>
          <w:p w14:paraId="4C49C51E" w14:textId="77777777" w:rsidR="003865D8" w:rsidRPr="00CB30EE" w:rsidRDefault="003865D8" w:rsidP="007640AA">
            <w:pPr>
              <w:jc w:val="both"/>
              <w:rPr>
                <w:rFonts w:ascii="Arial" w:hAnsi="Arial" w:cs="Arial"/>
                <w:b w:val="0"/>
                <w:color w:val="000000" w:themeColor="text1"/>
                <w:sz w:val="20"/>
                <w:szCs w:val="20"/>
              </w:rPr>
            </w:pPr>
            <w:r w:rsidRPr="00CB30EE">
              <w:rPr>
                <w:rFonts w:ascii="Arial" w:hAnsi="Arial" w:cs="Arial"/>
                <w:b w:val="0"/>
                <w:color w:val="000000" w:themeColor="text1"/>
                <w:sz w:val="20"/>
                <w:szCs w:val="20"/>
              </w:rPr>
              <w:t>Benzene (µg/m³)</w:t>
            </w:r>
          </w:p>
        </w:tc>
        <w:tc>
          <w:tcPr>
            <w:tcW w:w="1980" w:type="dxa"/>
            <w:shd w:val="clear" w:color="auto" w:fill="FFFFFF" w:themeFill="background1"/>
            <w:hideMark/>
          </w:tcPr>
          <w:p w14:paraId="4C49C51F" w14:textId="77777777" w:rsidR="003865D8" w:rsidRPr="007640AA" w:rsidRDefault="003865D8" w:rsidP="007640AA">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9.8</w:t>
            </w:r>
          </w:p>
        </w:tc>
        <w:tc>
          <w:tcPr>
            <w:tcW w:w="2610" w:type="dxa"/>
            <w:shd w:val="clear" w:color="auto" w:fill="FFFFFF" w:themeFill="background1"/>
            <w:hideMark/>
          </w:tcPr>
          <w:p w14:paraId="4C49C520" w14:textId="77777777" w:rsidR="003865D8" w:rsidRPr="007640AA" w:rsidRDefault="003865D8" w:rsidP="007640AA">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5</w:t>
            </w:r>
          </w:p>
        </w:tc>
        <w:tc>
          <w:tcPr>
            <w:tcW w:w="2430" w:type="dxa"/>
            <w:shd w:val="clear" w:color="auto" w:fill="FFFFFF" w:themeFill="background1"/>
            <w:hideMark/>
          </w:tcPr>
          <w:p w14:paraId="4C49C521" w14:textId="77777777" w:rsidR="003865D8" w:rsidRPr="007640AA" w:rsidRDefault="003865D8" w:rsidP="007640AA">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+96%</w:t>
            </w:r>
          </w:p>
        </w:tc>
      </w:tr>
      <w:tr w:rsidR="00CB30EE" w:rsidRPr="007640AA" w14:paraId="4C49C527" w14:textId="77777777" w:rsidTr="00CB30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shd w:val="clear" w:color="auto" w:fill="FFFFFF" w:themeFill="background1"/>
            <w:hideMark/>
          </w:tcPr>
          <w:p w14:paraId="4C49C523" w14:textId="77777777" w:rsidR="003865D8" w:rsidRPr="00CB30EE" w:rsidRDefault="003865D8" w:rsidP="00DB1849">
            <w:pPr>
              <w:jc w:val="both"/>
              <w:rPr>
                <w:rFonts w:ascii="Arial" w:hAnsi="Arial" w:cs="Arial"/>
                <w:b w:val="0"/>
                <w:color w:val="000000" w:themeColor="text1"/>
                <w:sz w:val="20"/>
                <w:szCs w:val="20"/>
              </w:rPr>
            </w:pPr>
            <w:r w:rsidRPr="00CB30EE">
              <w:rPr>
                <w:rFonts w:ascii="Arial" w:hAnsi="Arial" w:cs="Arial"/>
                <w:b w:val="0"/>
                <w:color w:val="000000" w:themeColor="text1"/>
                <w:sz w:val="20"/>
                <w:szCs w:val="20"/>
              </w:rPr>
              <w:t>Ozone (ppb)</w:t>
            </w:r>
          </w:p>
        </w:tc>
        <w:tc>
          <w:tcPr>
            <w:tcW w:w="1980" w:type="dxa"/>
            <w:shd w:val="clear" w:color="auto" w:fill="FFFFFF" w:themeFill="background1"/>
            <w:hideMark/>
          </w:tcPr>
          <w:p w14:paraId="4C49C524" w14:textId="77777777" w:rsidR="003865D8" w:rsidRPr="007640AA" w:rsidRDefault="003865D8" w:rsidP="00DB1849">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72</w:t>
            </w:r>
          </w:p>
        </w:tc>
        <w:tc>
          <w:tcPr>
            <w:tcW w:w="2610" w:type="dxa"/>
            <w:shd w:val="clear" w:color="auto" w:fill="FFFFFF" w:themeFill="background1"/>
            <w:hideMark/>
          </w:tcPr>
          <w:p w14:paraId="4C49C525" w14:textId="77777777" w:rsidR="003865D8" w:rsidRPr="007640AA" w:rsidRDefault="003865D8" w:rsidP="00DB1849">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60</w:t>
            </w:r>
          </w:p>
        </w:tc>
        <w:tc>
          <w:tcPr>
            <w:tcW w:w="2430" w:type="dxa"/>
            <w:shd w:val="clear" w:color="auto" w:fill="FFFFFF" w:themeFill="background1"/>
            <w:hideMark/>
          </w:tcPr>
          <w:p w14:paraId="4C49C526" w14:textId="77777777" w:rsidR="003865D8" w:rsidRPr="007640AA" w:rsidRDefault="003865D8" w:rsidP="00DB1849">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+20%</w:t>
            </w:r>
          </w:p>
        </w:tc>
      </w:tr>
    </w:tbl>
    <w:p w14:paraId="4C49C528" w14:textId="77777777" w:rsidR="000060AE" w:rsidRDefault="003865D8" w:rsidP="000060AE">
      <w:pPr>
        <w:pStyle w:val="NormalWeb"/>
        <w:spacing w:before="0" w:beforeAutospacing="0"/>
        <w:jc w:val="both"/>
        <w:rPr>
          <w:rFonts w:ascii="Arial" w:hAnsi="Arial" w:cs="Arial"/>
          <w:color w:val="000000" w:themeColor="text1"/>
          <w:sz w:val="20"/>
          <w:szCs w:val="20"/>
        </w:rPr>
      </w:pPr>
      <w:r w:rsidRPr="00DB1849">
        <w:rPr>
          <w:rStyle w:val="Strong"/>
          <w:rFonts w:ascii="Arial" w:eastAsia="Calibri" w:hAnsi="Arial" w:cs="Arial"/>
          <w:i/>
          <w:color w:val="000000" w:themeColor="text1"/>
          <w:sz w:val="20"/>
          <w:szCs w:val="20"/>
        </w:rPr>
        <w:t>Source:</w:t>
      </w:r>
      <w:r w:rsidRPr="00DB1849">
        <w:rPr>
          <w:rFonts w:ascii="Arial" w:hAnsi="Arial" w:cs="Arial"/>
          <w:b/>
          <w:i/>
          <w:color w:val="000000" w:themeColor="text1"/>
          <w:sz w:val="20"/>
          <w:szCs w:val="20"/>
        </w:rPr>
        <w:t xml:space="preserve"> Ambient</w:t>
      </w:r>
      <w:r w:rsidR="00CB6FE5" w:rsidRPr="00DB1849">
        <w:rPr>
          <w:rFonts w:ascii="Arial" w:hAnsi="Arial" w:cs="Arial"/>
          <w:b/>
          <w:i/>
          <w:color w:val="000000" w:themeColor="text1"/>
          <w:sz w:val="20"/>
          <w:szCs w:val="20"/>
        </w:rPr>
        <w:t xml:space="preserve"> air sampling (2026)</w:t>
      </w:r>
      <w:r w:rsidRPr="00DB1849">
        <w:rPr>
          <w:rFonts w:ascii="Arial" w:hAnsi="Arial" w:cs="Arial"/>
          <w:b/>
          <w:i/>
          <w:color w:val="000000" w:themeColor="text1"/>
          <w:sz w:val="20"/>
          <w:szCs w:val="20"/>
        </w:rPr>
        <w:t>.</w:t>
      </w:r>
    </w:p>
    <w:p w14:paraId="4C49C529" w14:textId="77777777" w:rsidR="001022FA" w:rsidRDefault="001022FA" w:rsidP="00A62C1F">
      <w:pPr>
        <w:pStyle w:val="NormalWeb"/>
        <w:spacing w:before="0" w:beforeAutospacing="0"/>
        <w:jc w:val="both"/>
        <w:rPr>
          <w:rFonts w:ascii="Arial" w:hAnsi="Arial" w:cs="Arial"/>
          <w:color w:val="000000" w:themeColor="text1"/>
          <w:sz w:val="20"/>
          <w:szCs w:val="20"/>
        </w:rPr>
        <w:sectPr w:rsidR="001022FA" w:rsidSect="005E0C6E">
          <w:type w:val="continuous"/>
          <w:pgSz w:w="11907" w:h="16839" w:code="9"/>
          <w:pgMar w:top="1440" w:right="1440" w:bottom="1440" w:left="1440" w:header="720" w:footer="720" w:gutter="0"/>
          <w:cols w:space="720"/>
          <w:docGrid w:linePitch="360"/>
        </w:sectPr>
      </w:pPr>
    </w:p>
    <w:p w14:paraId="4C49C52A" w14:textId="77777777" w:rsidR="003865D8" w:rsidRPr="007640AA" w:rsidRDefault="000060AE" w:rsidP="00A62C1F">
      <w:pPr>
        <w:pStyle w:val="NormalWeb"/>
        <w:spacing w:before="0" w:beforeAutospacing="0"/>
        <w:jc w:val="both"/>
        <w:rPr>
          <w:rFonts w:ascii="Arial" w:hAnsi="Arial" w:cs="Arial"/>
          <w:color w:val="000000" w:themeColor="text1"/>
          <w:sz w:val="20"/>
          <w:szCs w:val="20"/>
        </w:rPr>
      </w:pPr>
      <w:r>
        <w:rPr>
          <w:rFonts w:ascii="Arial" w:hAnsi="Arial" w:cs="Arial"/>
          <w:color w:val="000000" w:themeColor="text1"/>
          <w:sz w:val="20"/>
          <w:szCs w:val="20"/>
        </w:rPr>
        <w:t>Table 4.3</w:t>
      </w:r>
      <w:r w:rsidRPr="001C6D1F">
        <w:rPr>
          <w:rFonts w:ascii="Arial" w:hAnsi="Arial" w:cs="Arial"/>
          <w:color w:val="000000" w:themeColor="text1"/>
          <w:sz w:val="20"/>
          <w:szCs w:val="20"/>
        </w:rPr>
        <w:t xml:space="preserve"> </w:t>
      </w:r>
      <w:r w:rsidR="00276C96">
        <w:rPr>
          <w:rFonts w:ascii="Arial" w:hAnsi="Arial" w:cs="Arial"/>
          <w:color w:val="000000" w:themeColor="text1"/>
          <w:sz w:val="20"/>
          <w:szCs w:val="20"/>
        </w:rPr>
        <w:t xml:space="preserve">revealed that, </w:t>
      </w:r>
      <w:r w:rsidR="00FD21C1" w:rsidRPr="001C6D1F">
        <w:rPr>
          <w:rFonts w:ascii="Arial" w:hAnsi="Arial" w:cs="Arial"/>
          <w:color w:val="000000" w:themeColor="text1"/>
          <w:sz w:val="20"/>
          <w:szCs w:val="20"/>
        </w:rPr>
        <w:t xml:space="preserve">PM2.5 and PM10 exceeded WHO limits by 289% and 150%, respectively, indicating </w:t>
      </w:r>
      <w:r w:rsidR="00FD21C1" w:rsidRPr="00276C96">
        <w:rPr>
          <w:rFonts w:ascii="Arial" w:hAnsi="Arial" w:cs="Arial"/>
          <w:bCs/>
          <w:color w:val="000000" w:themeColor="text1"/>
          <w:sz w:val="20"/>
          <w:szCs w:val="20"/>
        </w:rPr>
        <w:t>severe particulate exposure</w:t>
      </w:r>
      <w:r w:rsidR="00FD21C1" w:rsidRPr="001C6D1F">
        <w:rPr>
          <w:rFonts w:ascii="Arial" w:hAnsi="Arial" w:cs="Arial"/>
          <w:color w:val="000000" w:themeColor="text1"/>
          <w:sz w:val="20"/>
          <w:szCs w:val="20"/>
        </w:rPr>
        <w:t>.</w:t>
      </w:r>
      <w:r w:rsidR="004B4F2B">
        <w:rPr>
          <w:rFonts w:ascii="Arial" w:hAnsi="Arial" w:cs="Arial"/>
          <w:color w:val="000000" w:themeColor="text1"/>
          <w:sz w:val="20"/>
          <w:szCs w:val="20"/>
        </w:rPr>
        <w:t xml:space="preserve"> </w:t>
      </w:r>
      <w:r w:rsidR="00FD21C1" w:rsidRPr="001C6D1F">
        <w:rPr>
          <w:rFonts w:ascii="Arial" w:hAnsi="Arial" w:cs="Arial"/>
          <w:color w:val="000000" w:themeColor="text1"/>
          <w:sz w:val="20"/>
          <w:szCs w:val="20"/>
        </w:rPr>
        <w:t xml:space="preserve">Benzene concentrations were nearly double the WHO limit (+96%), showing </w:t>
      </w:r>
      <w:r w:rsidR="00FD21C1" w:rsidRPr="004B4F2B">
        <w:rPr>
          <w:rFonts w:ascii="Arial" w:hAnsi="Arial" w:cs="Arial"/>
          <w:bCs/>
          <w:color w:val="000000" w:themeColor="text1"/>
          <w:sz w:val="20"/>
          <w:szCs w:val="20"/>
        </w:rPr>
        <w:t>chemical carcinogen exposure</w:t>
      </w:r>
      <w:r w:rsidR="004B4F2B">
        <w:rPr>
          <w:rFonts w:ascii="Arial" w:hAnsi="Arial" w:cs="Arial"/>
          <w:color w:val="000000" w:themeColor="text1"/>
          <w:sz w:val="20"/>
          <w:szCs w:val="20"/>
        </w:rPr>
        <w:t xml:space="preserve"> and </w:t>
      </w:r>
      <w:r w:rsidR="00FD21C1" w:rsidRPr="001C6D1F">
        <w:rPr>
          <w:rFonts w:ascii="Arial" w:hAnsi="Arial" w:cs="Arial"/>
          <w:color w:val="000000" w:themeColor="text1"/>
          <w:sz w:val="20"/>
          <w:szCs w:val="20"/>
        </w:rPr>
        <w:t>CO</w:t>
      </w:r>
      <w:r w:rsidR="00FD21C1" w:rsidRPr="001C6D1F">
        <w:rPr>
          <w:rFonts w:ascii="Cambria Math" w:hAnsi="Cambria Math" w:cs="Arial"/>
          <w:color w:val="000000" w:themeColor="text1"/>
          <w:sz w:val="20"/>
          <w:szCs w:val="20"/>
        </w:rPr>
        <w:t>₂</w:t>
      </w:r>
      <w:r w:rsidR="00FD21C1" w:rsidRPr="001C6D1F">
        <w:rPr>
          <w:rFonts w:ascii="Arial" w:hAnsi="Arial" w:cs="Arial"/>
          <w:color w:val="000000" w:themeColor="text1"/>
          <w:sz w:val="20"/>
          <w:szCs w:val="20"/>
        </w:rPr>
        <w:t xml:space="preserve"> </w:t>
      </w:r>
      <w:r w:rsidR="00FD21C1" w:rsidRPr="001C6D1F">
        <w:rPr>
          <w:rFonts w:ascii="Arial" w:hAnsi="Arial" w:cs="Arial"/>
          <w:color w:val="000000" w:themeColor="text1"/>
          <w:sz w:val="20"/>
          <w:szCs w:val="20"/>
        </w:rPr>
        <w:t xml:space="preserve">concentrations were elevated (612 ppm vs. 420 ppm background), reflecting </w:t>
      </w:r>
      <w:r w:rsidR="00FD21C1" w:rsidRPr="004B4F2B">
        <w:rPr>
          <w:rFonts w:ascii="Arial" w:hAnsi="Arial" w:cs="Arial"/>
          <w:bCs/>
          <w:color w:val="000000" w:themeColor="text1"/>
          <w:sz w:val="20"/>
          <w:szCs w:val="20"/>
        </w:rPr>
        <w:t>localized greenhouse gas accumulation</w:t>
      </w:r>
      <w:r w:rsidR="00FD21C1" w:rsidRPr="001C6D1F">
        <w:rPr>
          <w:rFonts w:ascii="Arial" w:hAnsi="Arial" w:cs="Arial"/>
          <w:color w:val="000000" w:themeColor="text1"/>
          <w:sz w:val="20"/>
          <w:szCs w:val="20"/>
        </w:rPr>
        <w:t>.</w:t>
      </w:r>
      <w:r w:rsidR="004B4F2B">
        <w:rPr>
          <w:rFonts w:ascii="Arial" w:hAnsi="Arial" w:cs="Arial"/>
          <w:color w:val="000000" w:themeColor="text1"/>
          <w:sz w:val="20"/>
          <w:szCs w:val="20"/>
        </w:rPr>
        <w:t xml:space="preserve"> </w:t>
      </w:r>
      <w:r w:rsidR="00FD21C1" w:rsidRPr="001C6D1F">
        <w:rPr>
          <w:rFonts w:ascii="Arial" w:hAnsi="Arial" w:cs="Arial"/>
          <w:color w:val="000000" w:themeColor="text1"/>
          <w:sz w:val="20"/>
          <w:szCs w:val="20"/>
        </w:rPr>
        <w:t xml:space="preserve">Communities downwind of flare sites face </w:t>
      </w:r>
      <w:r w:rsidR="00FD21C1" w:rsidRPr="00A62C1F">
        <w:rPr>
          <w:rFonts w:ascii="Arial" w:hAnsi="Arial" w:cs="Arial"/>
          <w:bCs/>
          <w:color w:val="000000" w:themeColor="text1"/>
          <w:sz w:val="20"/>
          <w:szCs w:val="20"/>
        </w:rPr>
        <w:t>acute air quality and health risks</w:t>
      </w:r>
      <w:r w:rsidR="00FD21C1" w:rsidRPr="001C6D1F">
        <w:rPr>
          <w:rFonts w:ascii="Arial" w:hAnsi="Arial" w:cs="Arial"/>
          <w:color w:val="000000" w:themeColor="text1"/>
          <w:sz w:val="20"/>
          <w:szCs w:val="20"/>
        </w:rPr>
        <w:t>, reinforcing the importance of onsite mitig</w:t>
      </w:r>
      <w:r w:rsidR="000B1434">
        <w:rPr>
          <w:rFonts w:ascii="Arial" w:hAnsi="Arial" w:cs="Arial"/>
          <w:color w:val="000000" w:themeColor="text1"/>
          <w:sz w:val="20"/>
          <w:szCs w:val="20"/>
        </w:rPr>
        <w:t>ation technologies like PCCU-01</w:t>
      </w:r>
      <w:r w:rsidR="00E526C4">
        <w:rPr>
          <w:rFonts w:ascii="Arial" w:hAnsi="Arial" w:cs="Arial"/>
          <w:color w:val="000000" w:themeColor="text1"/>
          <w:sz w:val="20"/>
          <w:szCs w:val="20"/>
        </w:rPr>
        <w:t>s</w:t>
      </w:r>
    </w:p>
    <w:p w14:paraId="4C49C52B" w14:textId="77777777" w:rsidR="00E526C4" w:rsidRDefault="00E526C4" w:rsidP="007640AA">
      <w:pPr>
        <w:pStyle w:val="Heading2"/>
        <w:spacing w:line="240" w:lineRule="auto"/>
        <w:jc w:val="both"/>
        <w:rPr>
          <w:rStyle w:val="Strong"/>
          <w:rFonts w:ascii="Arial" w:hAnsi="Arial" w:cs="Arial"/>
          <w:b/>
          <w:bCs/>
          <w:color w:val="000000" w:themeColor="text1"/>
          <w:sz w:val="20"/>
          <w:szCs w:val="20"/>
        </w:rPr>
        <w:sectPr w:rsidR="00E526C4" w:rsidSect="00E526C4">
          <w:type w:val="continuous"/>
          <w:pgSz w:w="11907" w:h="16839" w:code="9"/>
          <w:pgMar w:top="1440" w:right="1440" w:bottom="1440" w:left="1440" w:header="720" w:footer="720" w:gutter="0"/>
          <w:cols w:num="2" w:space="720"/>
          <w:docGrid w:linePitch="360"/>
        </w:sectPr>
      </w:pPr>
    </w:p>
    <w:p w14:paraId="4C49C52C" w14:textId="77777777" w:rsidR="003865D8" w:rsidRPr="00762719" w:rsidRDefault="00912E27" w:rsidP="007640AA">
      <w:pPr>
        <w:pStyle w:val="Heading2"/>
        <w:spacing w:line="240" w:lineRule="auto"/>
        <w:jc w:val="both"/>
        <w:rPr>
          <w:rFonts w:ascii="Arial" w:hAnsi="Arial" w:cs="Arial"/>
          <w:color w:val="000000" w:themeColor="text1"/>
          <w:sz w:val="20"/>
          <w:szCs w:val="20"/>
        </w:rPr>
      </w:pPr>
      <w:r>
        <w:rPr>
          <w:rStyle w:val="Strong"/>
          <w:rFonts w:ascii="Arial" w:hAnsi="Arial" w:cs="Arial"/>
          <w:b/>
          <w:bCs/>
          <w:color w:val="000000" w:themeColor="text1"/>
          <w:sz w:val="20"/>
          <w:szCs w:val="20"/>
        </w:rPr>
        <w:t>Table 4</w:t>
      </w:r>
      <w:r w:rsidR="00103D14">
        <w:rPr>
          <w:rStyle w:val="Strong"/>
          <w:rFonts w:ascii="Arial" w:hAnsi="Arial" w:cs="Arial"/>
          <w:b/>
          <w:bCs/>
          <w:color w:val="000000" w:themeColor="text1"/>
          <w:sz w:val="20"/>
          <w:szCs w:val="20"/>
        </w:rPr>
        <w:t>.</w:t>
      </w:r>
      <w:r>
        <w:rPr>
          <w:rStyle w:val="Strong"/>
          <w:rFonts w:ascii="Arial" w:hAnsi="Arial" w:cs="Arial"/>
          <w:b/>
          <w:bCs/>
          <w:color w:val="000000" w:themeColor="text1"/>
          <w:sz w:val="20"/>
          <w:szCs w:val="20"/>
        </w:rPr>
        <w:t>4</w:t>
      </w:r>
      <w:r w:rsidR="003865D8" w:rsidRPr="007640AA">
        <w:rPr>
          <w:rStyle w:val="Strong"/>
          <w:rFonts w:ascii="Arial" w:hAnsi="Arial" w:cs="Arial"/>
          <w:b/>
          <w:bCs/>
          <w:color w:val="000000" w:themeColor="text1"/>
          <w:sz w:val="20"/>
          <w:szCs w:val="20"/>
        </w:rPr>
        <w:t xml:space="preserve"> </w:t>
      </w:r>
      <w:r w:rsidR="003865D8" w:rsidRPr="00762719">
        <w:rPr>
          <w:rStyle w:val="Strong"/>
          <w:rFonts w:ascii="Arial" w:hAnsi="Arial" w:cs="Arial"/>
          <w:b/>
          <w:bCs/>
          <w:color w:val="000000" w:themeColor="text1"/>
          <w:sz w:val="20"/>
          <w:szCs w:val="20"/>
        </w:rPr>
        <w:t>Technical Specifications of Portable Carbon Capture Unit (PCCU-01)</w:t>
      </w:r>
    </w:p>
    <w:tbl>
      <w:tblPr>
        <w:tblStyle w:val="LightShading"/>
        <w:tblW w:w="0" w:type="auto"/>
        <w:tblLook w:val="04A0" w:firstRow="1" w:lastRow="0" w:firstColumn="1" w:lastColumn="0" w:noHBand="0" w:noVBand="1"/>
      </w:tblPr>
      <w:tblGrid>
        <w:gridCol w:w="3348"/>
        <w:gridCol w:w="5760"/>
      </w:tblGrid>
      <w:tr w:rsidR="003865D8" w:rsidRPr="00762719" w14:paraId="4C49C52F" w14:textId="77777777" w:rsidTr="00103D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48" w:type="dxa"/>
            <w:shd w:val="clear" w:color="auto" w:fill="FFFFFF" w:themeFill="background1"/>
            <w:hideMark/>
          </w:tcPr>
          <w:p w14:paraId="4C49C52D" w14:textId="77777777" w:rsidR="003865D8" w:rsidRPr="00762719" w:rsidRDefault="003865D8" w:rsidP="007640AA">
            <w:pPr>
              <w:jc w:val="both"/>
              <w:rPr>
                <w:rFonts w:ascii="Arial" w:hAnsi="Arial" w:cs="Arial"/>
                <w:color w:val="000000" w:themeColor="text1"/>
                <w:sz w:val="20"/>
                <w:szCs w:val="20"/>
              </w:rPr>
            </w:pPr>
            <w:r w:rsidRPr="00762719">
              <w:rPr>
                <w:rFonts w:ascii="Arial" w:hAnsi="Arial" w:cs="Arial"/>
                <w:bCs w:val="0"/>
                <w:color w:val="000000" w:themeColor="text1"/>
                <w:sz w:val="20"/>
                <w:szCs w:val="20"/>
              </w:rPr>
              <w:t>Component</w:t>
            </w:r>
          </w:p>
        </w:tc>
        <w:tc>
          <w:tcPr>
            <w:tcW w:w="5760" w:type="dxa"/>
            <w:shd w:val="clear" w:color="auto" w:fill="FFFFFF" w:themeFill="background1"/>
            <w:hideMark/>
          </w:tcPr>
          <w:p w14:paraId="4C49C52E" w14:textId="77777777" w:rsidR="003865D8" w:rsidRPr="00762719" w:rsidRDefault="003865D8" w:rsidP="007640AA">
            <w:pPr>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762719">
              <w:rPr>
                <w:rFonts w:ascii="Arial" w:hAnsi="Arial" w:cs="Arial"/>
                <w:bCs w:val="0"/>
                <w:color w:val="000000" w:themeColor="text1"/>
                <w:sz w:val="20"/>
                <w:szCs w:val="20"/>
              </w:rPr>
              <w:t>Specification</w:t>
            </w:r>
          </w:p>
        </w:tc>
      </w:tr>
      <w:tr w:rsidR="003865D8" w:rsidRPr="007640AA" w14:paraId="4C49C532" w14:textId="77777777" w:rsidTr="00103D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48" w:type="dxa"/>
            <w:shd w:val="clear" w:color="auto" w:fill="FFFFFF" w:themeFill="background1"/>
            <w:hideMark/>
          </w:tcPr>
          <w:p w14:paraId="4C49C530" w14:textId="77777777" w:rsidR="003865D8" w:rsidRPr="00103D14" w:rsidRDefault="003865D8" w:rsidP="007640AA">
            <w:pPr>
              <w:jc w:val="both"/>
              <w:rPr>
                <w:rFonts w:ascii="Arial" w:hAnsi="Arial" w:cs="Arial"/>
                <w:b w:val="0"/>
                <w:color w:val="000000" w:themeColor="text1"/>
                <w:sz w:val="20"/>
                <w:szCs w:val="20"/>
              </w:rPr>
            </w:pPr>
            <w:r w:rsidRPr="00103D14">
              <w:rPr>
                <w:rFonts w:ascii="Arial" w:hAnsi="Arial" w:cs="Arial"/>
                <w:b w:val="0"/>
                <w:color w:val="000000" w:themeColor="text1"/>
                <w:sz w:val="20"/>
                <w:szCs w:val="20"/>
              </w:rPr>
              <w:t>Capture Mechanism</w:t>
            </w:r>
          </w:p>
        </w:tc>
        <w:tc>
          <w:tcPr>
            <w:tcW w:w="5760" w:type="dxa"/>
            <w:shd w:val="clear" w:color="auto" w:fill="FFFFFF" w:themeFill="background1"/>
            <w:hideMark/>
          </w:tcPr>
          <w:p w14:paraId="4C49C531" w14:textId="77777777" w:rsidR="003865D8" w:rsidRPr="007640AA" w:rsidRDefault="003865D8" w:rsidP="007640AA">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Amine-based solvent absorption (Modified MEA blend)</w:t>
            </w:r>
          </w:p>
        </w:tc>
      </w:tr>
      <w:tr w:rsidR="003865D8" w:rsidRPr="007640AA" w14:paraId="4C49C535" w14:textId="77777777" w:rsidTr="00103D14">
        <w:tc>
          <w:tcPr>
            <w:cnfStyle w:val="001000000000" w:firstRow="0" w:lastRow="0" w:firstColumn="1" w:lastColumn="0" w:oddVBand="0" w:evenVBand="0" w:oddHBand="0" w:evenHBand="0" w:firstRowFirstColumn="0" w:firstRowLastColumn="0" w:lastRowFirstColumn="0" w:lastRowLastColumn="0"/>
            <w:tcW w:w="3348" w:type="dxa"/>
            <w:shd w:val="clear" w:color="auto" w:fill="FFFFFF" w:themeFill="background1"/>
            <w:hideMark/>
          </w:tcPr>
          <w:p w14:paraId="4C49C533" w14:textId="77777777" w:rsidR="003865D8" w:rsidRPr="00103D14" w:rsidRDefault="003865D8" w:rsidP="007640AA">
            <w:pPr>
              <w:jc w:val="both"/>
              <w:rPr>
                <w:rFonts w:ascii="Arial" w:hAnsi="Arial" w:cs="Arial"/>
                <w:b w:val="0"/>
                <w:color w:val="000000" w:themeColor="text1"/>
                <w:sz w:val="20"/>
                <w:szCs w:val="20"/>
              </w:rPr>
            </w:pPr>
            <w:r w:rsidRPr="00103D14">
              <w:rPr>
                <w:rFonts w:ascii="Arial" w:hAnsi="Arial" w:cs="Arial"/>
                <w:b w:val="0"/>
                <w:color w:val="000000" w:themeColor="text1"/>
                <w:sz w:val="20"/>
                <w:szCs w:val="20"/>
              </w:rPr>
              <w:t>Secondary Stage</w:t>
            </w:r>
          </w:p>
        </w:tc>
        <w:tc>
          <w:tcPr>
            <w:tcW w:w="5760" w:type="dxa"/>
            <w:shd w:val="clear" w:color="auto" w:fill="FFFFFF" w:themeFill="background1"/>
            <w:hideMark/>
          </w:tcPr>
          <w:p w14:paraId="4C49C534" w14:textId="77777777" w:rsidR="003865D8" w:rsidRPr="007640AA" w:rsidRDefault="003865D8" w:rsidP="007640AA">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Activated carbon adsorption</w:t>
            </w:r>
          </w:p>
        </w:tc>
      </w:tr>
      <w:tr w:rsidR="003865D8" w:rsidRPr="007640AA" w14:paraId="4C49C538" w14:textId="77777777" w:rsidTr="00103D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48" w:type="dxa"/>
            <w:shd w:val="clear" w:color="auto" w:fill="FFFFFF" w:themeFill="background1"/>
            <w:hideMark/>
          </w:tcPr>
          <w:p w14:paraId="4C49C536" w14:textId="77777777" w:rsidR="003865D8" w:rsidRPr="00103D14" w:rsidRDefault="003865D8" w:rsidP="007640AA">
            <w:pPr>
              <w:jc w:val="both"/>
              <w:rPr>
                <w:rFonts w:ascii="Arial" w:hAnsi="Arial" w:cs="Arial"/>
                <w:b w:val="0"/>
                <w:color w:val="000000" w:themeColor="text1"/>
                <w:sz w:val="20"/>
                <w:szCs w:val="20"/>
              </w:rPr>
            </w:pPr>
            <w:r w:rsidRPr="00103D14">
              <w:rPr>
                <w:rFonts w:ascii="Arial" w:hAnsi="Arial" w:cs="Arial"/>
                <w:b w:val="0"/>
                <w:color w:val="000000" w:themeColor="text1"/>
                <w:sz w:val="20"/>
                <w:szCs w:val="20"/>
              </w:rPr>
              <w:t>Structural Material</w:t>
            </w:r>
          </w:p>
        </w:tc>
        <w:tc>
          <w:tcPr>
            <w:tcW w:w="5760" w:type="dxa"/>
            <w:shd w:val="clear" w:color="auto" w:fill="FFFFFF" w:themeFill="background1"/>
            <w:hideMark/>
          </w:tcPr>
          <w:p w14:paraId="4C49C537" w14:textId="77777777" w:rsidR="003865D8" w:rsidRPr="007640AA" w:rsidRDefault="003865D8" w:rsidP="007640AA">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Locally fabricated mild steel</w:t>
            </w:r>
          </w:p>
        </w:tc>
      </w:tr>
      <w:tr w:rsidR="003865D8" w:rsidRPr="007640AA" w14:paraId="4C49C53B" w14:textId="77777777" w:rsidTr="00103D14">
        <w:tc>
          <w:tcPr>
            <w:cnfStyle w:val="001000000000" w:firstRow="0" w:lastRow="0" w:firstColumn="1" w:lastColumn="0" w:oddVBand="0" w:evenVBand="0" w:oddHBand="0" w:evenHBand="0" w:firstRowFirstColumn="0" w:firstRowLastColumn="0" w:lastRowFirstColumn="0" w:lastRowLastColumn="0"/>
            <w:tcW w:w="3348" w:type="dxa"/>
            <w:shd w:val="clear" w:color="auto" w:fill="FFFFFF" w:themeFill="background1"/>
            <w:hideMark/>
          </w:tcPr>
          <w:p w14:paraId="4C49C539" w14:textId="77777777" w:rsidR="003865D8" w:rsidRPr="00103D14" w:rsidRDefault="003865D8" w:rsidP="007640AA">
            <w:pPr>
              <w:jc w:val="both"/>
              <w:rPr>
                <w:rFonts w:ascii="Arial" w:hAnsi="Arial" w:cs="Arial"/>
                <w:b w:val="0"/>
                <w:color w:val="000000" w:themeColor="text1"/>
                <w:sz w:val="20"/>
                <w:szCs w:val="20"/>
              </w:rPr>
            </w:pPr>
            <w:r w:rsidRPr="00103D14">
              <w:rPr>
                <w:rFonts w:ascii="Arial" w:hAnsi="Arial" w:cs="Arial"/>
                <w:b w:val="0"/>
                <w:color w:val="000000" w:themeColor="text1"/>
                <w:sz w:val="20"/>
                <w:szCs w:val="20"/>
              </w:rPr>
              <w:t>Total Weight</w:t>
            </w:r>
          </w:p>
        </w:tc>
        <w:tc>
          <w:tcPr>
            <w:tcW w:w="5760" w:type="dxa"/>
            <w:shd w:val="clear" w:color="auto" w:fill="FFFFFF" w:themeFill="background1"/>
            <w:hideMark/>
          </w:tcPr>
          <w:p w14:paraId="4C49C53A" w14:textId="77777777" w:rsidR="003865D8" w:rsidRPr="007640AA" w:rsidRDefault="003865D8" w:rsidP="007640AA">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148 kg</w:t>
            </w:r>
          </w:p>
        </w:tc>
      </w:tr>
      <w:tr w:rsidR="003865D8" w:rsidRPr="007640AA" w14:paraId="4C49C53E" w14:textId="77777777" w:rsidTr="00103D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48" w:type="dxa"/>
            <w:shd w:val="clear" w:color="auto" w:fill="FFFFFF" w:themeFill="background1"/>
            <w:hideMark/>
          </w:tcPr>
          <w:p w14:paraId="4C49C53C" w14:textId="77777777" w:rsidR="003865D8" w:rsidRPr="00103D14" w:rsidRDefault="003865D8" w:rsidP="007640AA">
            <w:pPr>
              <w:jc w:val="both"/>
              <w:rPr>
                <w:rFonts w:ascii="Arial" w:hAnsi="Arial" w:cs="Arial"/>
                <w:b w:val="0"/>
                <w:color w:val="000000" w:themeColor="text1"/>
                <w:sz w:val="20"/>
                <w:szCs w:val="20"/>
              </w:rPr>
            </w:pPr>
            <w:r w:rsidRPr="00103D14">
              <w:rPr>
                <w:rFonts w:ascii="Arial" w:hAnsi="Arial" w:cs="Arial"/>
                <w:b w:val="0"/>
                <w:color w:val="000000" w:themeColor="text1"/>
                <w:sz w:val="20"/>
                <w:szCs w:val="20"/>
              </w:rPr>
              <w:t>Footprint</w:t>
            </w:r>
          </w:p>
        </w:tc>
        <w:tc>
          <w:tcPr>
            <w:tcW w:w="5760" w:type="dxa"/>
            <w:shd w:val="clear" w:color="auto" w:fill="FFFFFF" w:themeFill="background1"/>
            <w:hideMark/>
          </w:tcPr>
          <w:p w14:paraId="4C49C53D" w14:textId="77777777" w:rsidR="003865D8" w:rsidRPr="007640AA" w:rsidRDefault="003865D8" w:rsidP="007640AA">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1.2 m × 0.8 m</w:t>
            </w:r>
          </w:p>
        </w:tc>
      </w:tr>
      <w:tr w:rsidR="003865D8" w:rsidRPr="007640AA" w14:paraId="4C49C541" w14:textId="77777777" w:rsidTr="00103D14">
        <w:tc>
          <w:tcPr>
            <w:cnfStyle w:val="001000000000" w:firstRow="0" w:lastRow="0" w:firstColumn="1" w:lastColumn="0" w:oddVBand="0" w:evenVBand="0" w:oddHBand="0" w:evenHBand="0" w:firstRowFirstColumn="0" w:firstRowLastColumn="0" w:lastRowFirstColumn="0" w:lastRowLastColumn="0"/>
            <w:tcW w:w="3348" w:type="dxa"/>
            <w:shd w:val="clear" w:color="auto" w:fill="FFFFFF" w:themeFill="background1"/>
            <w:hideMark/>
          </w:tcPr>
          <w:p w14:paraId="4C49C53F" w14:textId="77777777" w:rsidR="003865D8" w:rsidRPr="00103D14" w:rsidRDefault="003865D8" w:rsidP="007640AA">
            <w:pPr>
              <w:jc w:val="both"/>
              <w:rPr>
                <w:rFonts w:ascii="Arial" w:hAnsi="Arial" w:cs="Arial"/>
                <w:b w:val="0"/>
                <w:color w:val="000000" w:themeColor="text1"/>
                <w:sz w:val="20"/>
                <w:szCs w:val="20"/>
              </w:rPr>
            </w:pPr>
            <w:r w:rsidRPr="00103D14">
              <w:rPr>
                <w:rFonts w:ascii="Arial" w:hAnsi="Arial" w:cs="Arial"/>
                <w:b w:val="0"/>
                <w:color w:val="000000" w:themeColor="text1"/>
                <w:sz w:val="20"/>
                <w:szCs w:val="20"/>
              </w:rPr>
              <w:t>Power Requirement</w:t>
            </w:r>
          </w:p>
        </w:tc>
        <w:tc>
          <w:tcPr>
            <w:tcW w:w="5760" w:type="dxa"/>
            <w:shd w:val="clear" w:color="auto" w:fill="FFFFFF" w:themeFill="background1"/>
            <w:hideMark/>
          </w:tcPr>
          <w:p w14:paraId="4C49C540" w14:textId="77777777" w:rsidR="003865D8" w:rsidRPr="007640AA" w:rsidRDefault="003865D8" w:rsidP="007640AA">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2.5 kW (solar-assisted hybrid system)</w:t>
            </w:r>
          </w:p>
        </w:tc>
      </w:tr>
      <w:tr w:rsidR="003865D8" w:rsidRPr="007640AA" w14:paraId="4C49C544" w14:textId="77777777" w:rsidTr="00103D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48" w:type="dxa"/>
            <w:shd w:val="clear" w:color="auto" w:fill="FFFFFF" w:themeFill="background1"/>
            <w:hideMark/>
          </w:tcPr>
          <w:p w14:paraId="4C49C542" w14:textId="77777777" w:rsidR="003865D8" w:rsidRPr="00103D14" w:rsidRDefault="003865D8" w:rsidP="007640AA">
            <w:pPr>
              <w:jc w:val="both"/>
              <w:rPr>
                <w:rFonts w:ascii="Arial" w:hAnsi="Arial" w:cs="Arial"/>
                <w:b w:val="0"/>
                <w:color w:val="000000" w:themeColor="text1"/>
                <w:sz w:val="20"/>
                <w:szCs w:val="20"/>
              </w:rPr>
            </w:pPr>
            <w:r w:rsidRPr="00103D14">
              <w:rPr>
                <w:rFonts w:ascii="Arial" w:hAnsi="Arial" w:cs="Arial"/>
                <w:b w:val="0"/>
                <w:color w:val="000000" w:themeColor="text1"/>
                <w:sz w:val="20"/>
                <w:szCs w:val="20"/>
              </w:rPr>
              <w:t>Estimated Fabrication Cost</w:t>
            </w:r>
          </w:p>
        </w:tc>
        <w:tc>
          <w:tcPr>
            <w:tcW w:w="5760" w:type="dxa"/>
            <w:shd w:val="clear" w:color="auto" w:fill="FFFFFF" w:themeFill="background1"/>
            <w:hideMark/>
          </w:tcPr>
          <w:p w14:paraId="4C49C543" w14:textId="77777777" w:rsidR="003865D8" w:rsidRPr="007640AA" w:rsidRDefault="003865D8" w:rsidP="007640AA">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$4,850</w:t>
            </w:r>
          </w:p>
        </w:tc>
      </w:tr>
      <w:tr w:rsidR="003865D8" w:rsidRPr="007640AA" w14:paraId="4C49C547" w14:textId="77777777" w:rsidTr="00103D14">
        <w:tc>
          <w:tcPr>
            <w:cnfStyle w:val="001000000000" w:firstRow="0" w:lastRow="0" w:firstColumn="1" w:lastColumn="0" w:oddVBand="0" w:evenVBand="0" w:oddHBand="0" w:evenHBand="0" w:firstRowFirstColumn="0" w:firstRowLastColumn="0" w:lastRowFirstColumn="0" w:lastRowLastColumn="0"/>
            <w:tcW w:w="3348" w:type="dxa"/>
            <w:shd w:val="clear" w:color="auto" w:fill="FFFFFF" w:themeFill="background1"/>
            <w:hideMark/>
          </w:tcPr>
          <w:p w14:paraId="4C49C545" w14:textId="77777777" w:rsidR="003865D8" w:rsidRPr="00103D14" w:rsidRDefault="003865D8" w:rsidP="004A3194">
            <w:pPr>
              <w:jc w:val="both"/>
              <w:rPr>
                <w:rFonts w:ascii="Arial" w:hAnsi="Arial" w:cs="Arial"/>
                <w:b w:val="0"/>
                <w:color w:val="000000" w:themeColor="text1"/>
                <w:sz w:val="20"/>
                <w:szCs w:val="20"/>
              </w:rPr>
            </w:pPr>
            <w:r w:rsidRPr="00103D14">
              <w:rPr>
                <w:rFonts w:ascii="Arial" w:hAnsi="Arial" w:cs="Arial"/>
                <w:b w:val="0"/>
                <w:color w:val="000000" w:themeColor="text1"/>
                <w:sz w:val="20"/>
                <w:szCs w:val="20"/>
              </w:rPr>
              <w:t>Expected Lifespan</w:t>
            </w:r>
          </w:p>
        </w:tc>
        <w:tc>
          <w:tcPr>
            <w:tcW w:w="5760" w:type="dxa"/>
            <w:shd w:val="clear" w:color="auto" w:fill="FFFFFF" w:themeFill="background1"/>
            <w:hideMark/>
          </w:tcPr>
          <w:p w14:paraId="4C49C546" w14:textId="77777777" w:rsidR="003865D8" w:rsidRPr="007640AA" w:rsidRDefault="003865D8" w:rsidP="004A3194">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5–7 years</w:t>
            </w:r>
          </w:p>
        </w:tc>
      </w:tr>
      <w:tr w:rsidR="003865D8" w:rsidRPr="007640AA" w14:paraId="4C49C54A" w14:textId="77777777" w:rsidTr="00103D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48" w:type="dxa"/>
            <w:shd w:val="clear" w:color="auto" w:fill="FFFFFF" w:themeFill="background1"/>
            <w:hideMark/>
          </w:tcPr>
          <w:p w14:paraId="4C49C548" w14:textId="77777777" w:rsidR="003865D8" w:rsidRPr="00103D14" w:rsidRDefault="003865D8" w:rsidP="004A3194">
            <w:pPr>
              <w:jc w:val="both"/>
              <w:rPr>
                <w:rFonts w:ascii="Arial" w:hAnsi="Arial" w:cs="Arial"/>
                <w:b w:val="0"/>
                <w:color w:val="000000" w:themeColor="text1"/>
                <w:sz w:val="20"/>
                <w:szCs w:val="20"/>
              </w:rPr>
            </w:pPr>
            <w:r w:rsidRPr="00103D14">
              <w:rPr>
                <w:rFonts w:ascii="Arial" w:hAnsi="Arial" w:cs="Arial"/>
                <w:b w:val="0"/>
                <w:color w:val="000000" w:themeColor="text1"/>
                <w:sz w:val="20"/>
                <w:szCs w:val="20"/>
              </w:rPr>
              <w:t>Portability</w:t>
            </w:r>
          </w:p>
        </w:tc>
        <w:tc>
          <w:tcPr>
            <w:tcW w:w="5760" w:type="dxa"/>
            <w:shd w:val="clear" w:color="auto" w:fill="FFFFFF" w:themeFill="background1"/>
            <w:hideMark/>
          </w:tcPr>
          <w:p w14:paraId="4C49C549" w14:textId="77777777" w:rsidR="003865D8" w:rsidRPr="007640AA" w:rsidRDefault="003865D8" w:rsidP="004A3194">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Skid-mounted, forklift compatible</w:t>
            </w:r>
          </w:p>
        </w:tc>
      </w:tr>
    </w:tbl>
    <w:p w14:paraId="4C49C54B" w14:textId="77777777" w:rsidR="003865D8" w:rsidRPr="007640AA" w:rsidRDefault="003865D8" w:rsidP="004A3194">
      <w:pPr>
        <w:pStyle w:val="NormalWeb"/>
        <w:spacing w:before="0" w:beforeAutospacing="0"/>
        <w:jc w:val="both"/>
        <w:rPr>
          <w:rFonts w:ascii="Arial" w:hAnsi="Arial" w:cs="Arial"/>
          <w:color w:val="000000" w:themeColor="text1"/>
          <w:sz w:val="20"/>
          <w:szCs w:val="20"/>
        </w:rPr>
      </w:pPr>
      <w:r w:rsidRPr="00762719">
        <w:rPr>
          <w:rStyle w:val="Strong"/>
          <w:rFonts w:ascii="Arial" w:eastAsia="Calibri" w:hAnsi="Arial" w:cs="Arial"/>
          <w:i/>
          <w:color w:val="000000" w:themeColor="text1"/>
          <w:sz w:val="20"/>
          <w:szCs w:val="20"/>
        </w:rPr>
        <w:t>Source:</w:t>
      </w:r>
      <w:r w:rsidRPr="007640AA">
        <w:rPr>
          <w:rFonts w:ascii="Arial" w:hAnsi="Arial" w:cs="Arial"/>
          <w:color w:val="000000" w:themeColor="text1"/>
          <w:sz w:val="20"/>
          <w:szCs w:val="20"/>
        </w:rPr>
        <w:t xml:space="preserve"> </w:t>
      </w:r>
      <w:r w:rsidRPr="004A3194">
        <w:rPr>
          <w:rFonts w:ascii="Arial" w:hAnsi="Arial" w:cs="Arial"/>
          <w:b/>
          <w:i/>
          <w:color w:val="000000" w:themeColor="text1"/>
          <w:sz w:val="20"/>
          <w:szCs w:val="20"/>
        </w:rPr>
        <w:t xml:space="preserve">Prototype design and laboratory characterization, </w:t>
      </w:r>
      <w:r w:rsidR="004A3194">
        <w:rPr>
          <w:rFonts w:ascii="Arial" w:hAnsi="Arial" w:cs="Arial"/>
          <w:b/>
          <w:i/>
          <w:color w:val="000000" w:themeColor="text1"/>
          <w:sz w:val="20"/>
          <w:szCs w:val="20"/>
        </w:rPr>
        <w:t>(</w:t>
      </w:r>
      <w:r w:rsidRPr="004A3194">
        <w:rPr>
          <w:rFonts w:ascii="Arial" w:hAnsi="Arial" w:cs="Arial"/>
          <w:b/>
          <w:i/>
          <w:color w:val="000000" w:themeColor="text1"/>
          <w:sz w:val="20"/>
          <w:szCs w:val="20"/>
        </w:rPr>
        <w:t>202</w:t>
      </w:r>
      <w:r w:rsidR="004A3194">
        <w:rPr>
          <w:rFonts w:ascii="Arial" w:hAnsi="Arial" w:cs="Arial"/>
          <w:b/>
          <w:i/>
          <w:color w:val="000000" w:themeColor="text1"/>
          <w:sz w:val="20"/>
          <w:szCs w:val="20"/>
        </w:rPr>
        <w:t>6)</w:t>
      </w:r>
    </w:p>
    <w:p w14:paraId="4C49C54C" w14:textId="77777777" w:rsidR="003865D8" w:rsidRPr="007640AA" w:rsidRDefault="003865D8" w:rsidP="004A3194">
      <w:pPr>
        <w:pStyle w:val="Heading2"/>
        <w:spacing w:before="0" w:line="240" w:lineRule="auto"/>
        <w:jc w:val="both"/>
        <w:rPr>
          <w:rFonts w:ascii="Arial" w:hAnsi="Arial" w:cs="Arial"/>
          <w:color w:val="000000" w:themeColor="text1"/>
          <w:sz w:val="20"/>
          <w:szCs w:val="20"/>
        </w:rPr>
      </w:pPr>
      <w:r w:rsidRPr="007640AA">
        <w:rPr>
          <w:rStyle w:val="Strong"/>
          <w:rFonts w:ascii="Arial" w:hAnsi="Arial" w:cs="Arial"/>
          <w:b/>
          <w:bCs/>
          <w:color w:val="000000" w:themeColor="text1"/>
          <w:sz w:val="20"/>
          <w:szCs w:val="20"/>
        </w:rPr>
        <w:lastRenderedPageBreak/>
        <w:t xml:space="preserve">Table </w:t>
      </w:r>
      <w:r w:rsidR="00756164">
        <w:rPr>
          <w:rStyle w:val="Strong"/>
          <w:rFonts w:ascii="Arial" w:hAnsi="Arial" w:cs="Arial"/>
          <w:b/>
          <w:bCs/>
          <w:color w:val="000000" w:themeColor="text1"/>
          <w:sz w:val="20"/>
          <w:szCs w:val="20"/>
        </w:rPr>
        <w:t>4.4</w:t>
      </w:r>
      <w:r w:rsidRPr="007640AA">
        <w:rPr>
          <w:rStyle w:val="Strong"/>
          <w:rFonts w:ascii="Arial" w:hAnsi="Arial" w:cs="Arial"/>
          <w:b/>
          <w:bCs/>
          <w:color w:val="000000" w:themeColor="text1"/>
          <w:sz w:val="20"/>
          <w:szCs w:val="20"/>
        </w:rPr>
        <w:t xml:space="preserve"> CO</w:t>
      </w:r>
      <w:r w:rsidRPr="007640AA">
        <w:rPr>
          <w:rStyle w:val="Strong"/>
          <w:rFonts w:cs="Arial"/>
          <w:b/>
          <w:bCs/>
          <w:color w:val="000000" w:themeColor="text1"/>
          <w:sz w:val="20"/>
          <w:szCs w:val="20"/>
        </w:rPr>
        <w:t>₂</w:t>
      </w:r>
      <w:r w:rsidRPr="007640AA">
        <w:rPr>
          <w:rStyle w:val="Strong"/>
          <w:rFonts w:ascii="Arial" w:hAnsi="Arial" w:cs="Arial"/>
          <w:b/>
          <w:bCs/>
          <w:color w:val="000000" w:themeColor="text1"/>
          <w:sz w:val="20"/>
          <w:szCs w:val="20"/>
        </w:rPr>
        <w:t xml:space="preserve"> Capture Efficiency </w:t>
      </w:r>
      <w:r w:rsidR="00756164" w:rsidRPr="007640AA">
        <w:rPr>
          <w:rStyle w:val="Strong"/>
          <w:rFonts w:ascii="Arial" w:hAnsi="Arial" w:cs="Arial"/>
          <w:b/>
          <w:bCs/>
          <w:color w:val="000000" w:themeColor="text1"/>
          <w:sz w:val="20"/>
          <w:szCs w:val="20"/>
        </w:rPr>
        <w:t>under</w:t>
      </w:r>
      <w:r w:rsidRPr="007640AA">
        <w:rPr>
          <w:rStyle w:val="Strong"/>
          <w:rFonts w:ascii="Arial" w:hAnsi="Arial" w:cs="Arial"/>
          <w:b/>
          <w:bCs/>
          <w:color w:val="000000" w:themeColor="text1"/>
          <w:sz w:val="20"/>
          <w:szCs w:val="20"/>
        </w:rPr>
        <w:t xml:space="preserve"> Laboratory Conditions</w:t>
      </w:r>
    </w:p>
    <w:tbl>
      <w:tblPr>
        <w:tblStyle w:val="LightShading"/>
        <w:tblW w:w="0" w:type="auto"/>
        <w:tblLook w:val="04A0" w:firstRow="1" w:lastRow="0" w:firstColumn="1" w:lastColumn="0" w:noHBand="0" w:noVBand="1"/>
      </w:tblPr>
      <w:tblGrid>
        <w:gridCol w:w="1431"/>
        <w:gridCol w:w="1598"/>
        <w:gridCol w:w="2339"/>
        <w:gridCol w:w="3639"/>
      </w:tblGrid>
      <w:tr w:rsidR="003865D8" w:rsidRPr="007640AA" w14:paraId="4C49C551" w14:textId="77777777" w:rsidTr="007561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4C49C54D" w14:textId="77777777" w:rsidR="003865D8" w:rsidRPr="00756164" w:rsidRDefault="003865D8" w:rsidP="00756164">
            <w:pPr>
              <w:rPr>
                <w:rFonts w:ascii="Arial" w:hAnsi="Arial" w:cs="Arial"/>
                <w:color w:val="000000" w:themeColor="text1"/>
                <w:sz w:val="20"/>
                <w:szCs w:val="20"/>
              </w:rPr>
            </w:pPr>
            <w:r w:rsidRPr="00756164">
              <w:rPr>
                <w:rFonts w:ascii="Arial" w:hAnsi="Arial" w:cs="Arial"/>
                <w:bCs w:val="0"/>
                <w:color w:val="000000" w:themeColor="text1"/>
                <w:sz w:val="20"/>
                <w:szCs w:val="20"/>
              </w:rPr>
              <w:t>Inlet CO</w:t>
            </w:r>
            <w:r w:rsidRPr="00756164">
              <w:rPr>
                <w:rFonts w:ascii="Cambria Math" w:hAnsi="Cambria Math" w:cs="Arial"/>
                <w:bCs w:val="0"/>
                <w:color w:val="000000" w:themeColor="text1"/>
                <w:sz w:val="20"/>
                <w:szCs w:val="20"/>
              </w:rPr>
              <w:t>₂</w:t>
            </w:r>
            <w:r w:rsidRPr="00756164">
              <w:rPr>
                <w:rFonts w:ascii="Arial" w:hAnsi="Arial" w:cs="Arial"/>
                <w:bCs w:val="0"/>
                <w:color w:val="000000" w:themeColor="text1"/>
                <w:sz w:val="20"/>
                <w:szCs w:val="20"/>
              </w:rPr>
              <w:t xml:space="preserve"> (%)</w:t>
            </w:r>
          </w:p>
        </w:tc>
        <w:tc>
          <w:tcPr>
            <w:tcW w:w="0" w:type="auto"/>
            <w:shd w:val="clear" w:color="auto" w:fill="FFFFFF" w:themeFill="background1"/>
            <w:hideMark/>
          </w:tcPr>
          <w:p w14:paraId="4C49C54E" w14:textId="77777777" w:rsidR="003865D8" w:rsidRPr="00756164" w:rsidRDefault="003865D8" w:rsidP="00756164">
            <w:pP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756164">
              <w:rPr>
                <w:rFonts w:ascii="Arial" w:hAnsi="Arial" w:cs="Arial"/>
                <w:bCs w:val="0"/>
                <w:color w:val="000000" w:themeColor="text1"/>
                <w:sz w:val="20"/>
                <w:szCs w:val="20"/>
              </w:rPr>
              <w:t>Outlet CO</w:t>
            </w:r>
            <w:r w:rsidRPr="00756164">
              <w:rPr>
                <w:rFonts w:ascii="Cambria Math" w:hAnsi="Cambria Math" w:cs="Arial"/>
                <w:bCs w:val="0"/>
                <w:color w:val="000000" w:themeColor="text1"/>
                <w:sz w:val="20"/>
                <w:szCs w:val="20"/>
              </w:rPr>
              <w:t>₂</w:t>
            </w:r>
            <w:r w:rsidRPr="00756164">
              <w:rPr>
                <w:rFonts w:ascii="Arial" w:hAnsi="Arial" w:cs="Arial"/>
                <w:bCs w:val="0"/>
                <w:color w:val="000000" w:themeColor="text1"/>
                <w:sz w:val="20"/>
                <w:szCs w:val="20"/>
              </w:rPr>
              <w:t xml:space="preserve"> (%)</w:t>
            </w:r>
          </w:p>
        </w:tc>
        <w:tc>
          <w:tcPr>
            <w:tcW w:w="0" w:type="auto"/>
            <w:shd w:val="clear" w:color="auto" w:fill="FFFFFF" w:themeFill="background1"/>
            <w:hideMark/>
          </w:tcPr>
          <w:p w14:paraId="4C49C54F" w14:textId="77777777" w:rsidR="003865D8" w:rsidRPr="00756164" w:rsidRDefault="003865D8" w:rsidP="00756164">
            <w:pP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756164">
              <w:rPr>
                <w:rFonts w:ascii="Arial" w:hAnsi="Arial" w:cs="Arial"/>
                <w:bCs w:val="0"/>
                <w:color w:val="000000" w:themeColor="text1"/>
                <w:sz w:val="20"/>
                <w:szCs w:val="20"/>
              </w:rPr>
              <w:t>Capture Efficiency (%)</w:t>
            </w:r>
          </w:p>
        </w:tc>
        <w:tc>
          <w:tcPr>
            <w:tcW w:w="0" w:type="auto"/>
            <w:shd w:val="clear" w:color="auto" w:fill="FFFFFF" w:themeFill="background1"/>
            <w:hideMark/>
          </w:tcPr>
          <w:p w14:paraId="4C49C550" w14:textId="77777777" w:rsidR="003865D8" w:rsidRPr="00756164" w:rsidRDefault="003865D8" w:rsidP="00756164">
            <w:pP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756164">
              <w:rPr>
                <w:rFonts w:ascii="Arial" w:hAnsi="Arial" w:cs="Arial"/>
                <w:bCs w:val="0"/>
                <w:color w:val="000000" w:themeColor="text1"/>
                <w:sz w:val="20"/>
                <w:szCs w:val="20"/>
              </w:rPr>
              <w:t>Solvent Regeneration Efficiency (%)</w:t>
            </w:r>
          </w:p>
        </w:tc>
      </w:tr>
      <w:tr w:rsidR="003865D8" w:rsidRPr="007640AA" w14:paraId="4C49C556" w14:textId="77777777" w:rsidTr="007561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4C49C552" w14:textId="77777777" w:rsidR="003865D8" w:rsidRPr="007640AA" w:rsidRDefault="003865D8" w:rsidP="00756164">
            <w:pPr>
              <w:rPr>
                <w:rFonts w:ascii="Arial" w:hAnsi="Arial" w:cs="Arial"/>
                <w:color w:val="000000" w:themeColor="text1"/>
                <w:sz w:val="20"/>
                <w:szCs w:val="20"/>
              </w:rPr>
            </w:pPr>
            <w:r w:rsidRPr="007640AA">
              <w:rPr>
                <w:rFonts w:ascii="Arial" w:hAnsi="Arial" w:cs="Arial"/>
                <w:color w:val="000000" w:themeColor="text1"/>
                <w:sz w:val="20"/>
                <w:szCs w:val="20"/>
              </w:rPr>
              <w:t>8.5</w:t>
            </w:r>
          </w:p>
        </w:tc>
        <w:tc>
          <w:tcPr>
            <w:tcW w:w="0" w:type="auto"/>
            <w:shd w:val="clear" w:color="auto" w:fill="FFFFFF" w:themeFill="background1"/>
            <w:hideMark/>
          </w:tcPr>
          <w:p w14:paraId="4C49C553" w14:textId="77777777" w:rsidR="003865D8" w:rsidRPr="007640AA" w:rsidRDefault="003865D8" w:rsidP="00756164">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2.1</w:t>
            </w:r>
          </w:p>
        </w:tc>
        <w:tc>
          <w:tcPr>
            <w:tcW w:w="0" w:type="auto"/>
            <w:shd w:val="clear" w:color="auto" w:fill="FFFFFF" w:themeFill="background1"/>
            <w:hideMark/>
          </w:tcPr>
          <w:p w14:paraId="4C49C554" w14:textId="77777777" w:rsidR="003865D8" w:rsidRPr="007640AA" w:rsidRDefault="003865D8" w:rsidP="00756164">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75.3</w:t>
            </w:r>
          </w:p>
        </w:tc>
        <w:tc>
          <w:tcPr>
            <w:tcW w:w="0" w:type="auto"/>
            <w:shd w:val="clear" w:color="auto" w:fill="FFFFFF" w:themeFill="background1"/>
            <w:hideMark/>
          </w:tcPr>
          <w:p w14:paraId="4C49C555" w14:textId="77777777" w:rsidR="003865D8" w:rsidRPr="007640AA" w:rsidRDefault="003865D8" w:rsidP="00756164">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91</w:t>
            </w:r>
          </w:p>
        </w:tc>
      </w:tr>
      <w:tr w:rsidR="003865D8" w:rsidRPr="007640AA" w14:paraId="4C49C55B" w14:textId="77777777" w:rsidTr="00756164">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4C49C557" w14:textId="77777777" w:rsidR="003865D8" w:rsidRPr="007640AA" w:rsidRDefault="003865D8" w:rsidP="00756164">
            <w:pPr>
              <w:rPr>
                <w:rFonts w:ascii="Arial" w:hAnsi="Arial" w:cs="Arial"/>
                <w:color w:val="000000" w:themeColor="text1"/>
                <w:sz w:val="20"/>
                <w:szCs w:val="20"/>
              </w:rPr>
            </w:pPr>
            <w:r w:rsidRPr="007640AA">
              <w:rPr>
                <w:rFonts w:ascii="Arial" w:hAnsi="Arial" w:cs="Arial"/>
                <w:color w:val="000000" w:themeColor="text1"/>
                <w:sz w:val="20"/>
                <w:szCs w:val="20"/>
              </w:rPr>
              <w:t>9.0</w:t>
            </w:r>
          </w:p>
        </w:tc>
        <w:tc>
          <w:tcPr>
            <w:tcW w:w="0" w:type="auto"/>
            <w:shd w:val="clear" w:color="auto" w:fill="FFFFFF" w:themeFill="background1"/>
            <w:hideMark/>
          </w:tcPr>
          <w:p w14:paraId="4C49C558" w14:textId="77777777" w:rsidR="003865D8" w:rsidRPr="007640AA" w:rsidRDefault="003865D8" w:rsidP="00756164">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2.3</w:t>
            </w:r>
          </w:p>
        </w:tc>
        <w:tc>
          <w:tcPr>
            <w:tcW w:w="0" w:type="auto"/>
            <w:shd w:val="clear" w:color="auto" w:fill="FFFFFF" w:themeFill="background1"/>
            <w:hideMark/>
          </w:tcPr>
          <w:p w14:paraId="4C49C559" w14:textId="77777777" w:rsidR="003865D8" w:rsidRPr="007640AA" w:rsidRDefault="003865D8" w:rsidP="00756164">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74.4</w:t>
            </w:r>
          </w:p>
        </w:tc>
        <w:tc>
          <w:tcPr>
            <w:tcW w:w="0" w:type="auto"/>
            <w:shd w:val="clear" w:color="auto" w:fill="FFFFFF" w:themeFill="background1"/>
            <w:hideMark/>
          </w:tcPr>
          <w:p w14:paraId="4C49C55A" w14:textId="77777777" w:rsidR="003865D8" w:rsidRPr="007640AA" w:rsidRDefault="003865D8" w:rsidP="00756164">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89</w:t>
            </w:r>
          </w:p>
        </w:tc>
      </w:tr>
      <w:tr w:rsidR="003865D8" w:rsidRPr="007640AA" w14:paraId="4C49C560" w14:textId="77777777" w:rsidTr="007561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4C49C55C" w14:textId="77777777" w:rsidR="003865D8" w:rsidRPr="007640AA" w:rsidRDefault="003865D8" w:rsidP="00ED0E6A">
            <w:pPr>
              <w:rPr>
                <w:rFonts w:ascii="Arial" w:hAnsi="Arial" w:cs="Arial"/>
                <w:color w:val="000000" w:themeColor="text1"/>
                <w:sz w:val="20"/>
                <w:szCs w:val="20"/>
              </w:rPr>
            </w:pPr>
            <w:r w:rsidRPr="007640AA">
              <w:rPr>
                <w:rFonts w:ascii="Arial" w:hAnsi="Arial" w:cs="Arial"/>
                <w:color w:val="000000" w:themeColor="text1"/>
                <w:sz w:val="20"/>
                <w:szCs w:val="20"/>
              </w:rPr>
              <w:t>7.8</w:t>
            </w:r>
          </w:p>
        </w:tc>
        <w:tc>
          <w:tcPr>
            <w:tcW w:w="0" w:type="auto"/>
            <w:shd w:val="clear" w:color="auto" w:fill="FFFFFF" w:themeFill="background1"/>
            <w:hideMark/>
          </w:tcPr>
          <w:p w14:paraId="4C49C55D" w14:textId="77777777" w:rsidR="003865D8" w:rsidRPr="007640AA" w:rsidRDefault="003865D8" w:rsidP="00ED0E6A">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1.9</w:t>
            </w:r>
          </w:p>
        </w:tc>
        <w:tc>
          <w:tcPr>
            <w:tcW w:w="0" w:type="auto"/>
            <w:shd w:val="clear" w:color="auto" w:fill="FFFFFF" w:themeFill="background1"/>
            <w:hideMark/>
          </w:tcPr>
          <w:p w14:paraId="4C49C55E" w14:textId="77777777" w:rsidR="003865D8" w:rsidRPr="007640AA" w:rsidRDefault="003865D8" w:rsidP="00ED0E6A">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75.6</w:t>
            </w:r>
          </w:p>
        </w:tc>
        <w:tc>
          <w:tcPr>
            <w:tcW w:w="0" w:type="auto"/>
            <w:shd w:val="clear" w:color="auto" w:fill="FFFFFF" w:themeFill="background1"/>
            <w:hideMark/>
          </w:tcPr>
          <w:p w14:paraId="4C49C55F" w14:textId="77777777" w:rsidR="003865D8" w:rsidRPr="007640AA" w:rsidRDefault="003865D8" w:rsidP="00ED0E6A">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90</w:t>
            </w:r>
          </w:p>
        </w:tc>
      </w:tr>
      <w:tr w:rsidR="003865D8" w:rsidRPr="007640AA" w14:paraId="4C49C565" w14:textId="77777777" w:rsidTr="00756164">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4C49C561" w14:textId="77777777" w:rsidR="003865D8" w:rsidRPr="007640AA" w:rsidRDefault="003865D8" w:rsidP="00ED0E6A">
            <w:pPr>
              <w:rPr>
                <w:rFonts w:ascii="Arial" w:hAnsi="Arial" w:cs="Arial"/>
                <w:color w:val="000000" w:themeColor="text1"/>
                <w:sz w:val="20"/>
                <w:szCs w:val="20"/>
              </w:rPr>
            </w:pPr>
            <w:r w:rsidRPr="007640AA">
              <w:rPr>
                <w:rFonts w:ascii="Arial" w:hAnsi="Arial" w:cs="Arial"/>
                <w:color w:val="000000" w:themeColor="text1"/>
                <w:sz w:val="20"/>
                <w:szCs w:val="20"/>
              </w:rPr>
              <w:t>8.2</w:t>
            </w:r>
          </w:p>
        </w:tc>
        <w:tc>
          <w:tcPr>
            <w:tcW w:w="0" w:type="auto"/>
            <w:shd w:val="clear" w:color="auto" w:fill="FFFFFF" w:themeFill="background1"/>
            <w:hideMark/>
          </w:tcPr>
          <w:p w14:paraId="4C49C562" w14:textId="77777777" w:rsidR="003865D8" w:rsidRPr="007640AA" w:rsidRDefault="003865D8" w:rsidP="00ED0E6A">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2.0</w:t>
            </w:r>
          </w:p>
        </w:tc>
        <w:tc>
          <w:tcPr>
            <w:tcW w:w="0" w:type="auto"/>
            <w:shd w:val="clear" w:color="auto" w:fill="FFFFFF" w:themeFill="background1"/>
            <w:hideMark/>
          </w:tcPr>
          <w:p w14:paraId="4C49C563" w14:textId="77777777" w:rsidR="003865D8" w:rsidRPr="007640AA" w:rsidRDefault="003865D8" w:rsidP="00ED0E6A">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75.6</w:t>
            </w:r>
          </w:p>
        </w:tc>
        <w:tc>
          <w:tcPr>
            <w:tcW w:w="0" w:type="auto"/>
            <w:shd w:val="clear" w:color="auto" w:fill="FFFFFF" w:themeFill="background1"/>
            <w:hideMark/>
          </w:tcPr>
          <w:p w14:paraId="4C49C564" w14:textId="77777777" w:rsidR="003865D8" w:rsidRPr="007640AA" w:rsidRDefault="003865D8" w:rsidP="00ED0E6A">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92</w:t>
            </w:r>
          </w:p>
        </w:tc>
      </w:tr>
    </w:tbl>
    <w:p w14:paraId="4C49C566" w14:textId="77777777" w:rsidR="003865D8" w:rsidRPr="007640AA" w:rsidRDefault="003865D8" w:rsidP="00534128">
      <w:pPr>
        <w:pStyle w:val="NormalWeb"/>
        <w:spacing w:before="0" w:beforeAutospacing="0"/>
        <w:jc w:val="both"/>
        <w:rPr>
          <w:rFonts w:ascii="Arial" w:hAnsi="Arial" w:cs="Arial"/>
          <w:color w:val="000000" w:themeColor="text1"/>
          <w:sz w:val="20"/>
          <w:szCs w:val="20"/>
        </w:rPr>
      </w:pPr>
      <w:r w:rsidRPr="00ED0E6A">
        <w:rPr>
          <w:rStyle w:val="Strong"/>
          <w:rFonts w:ascii="Arial" w:eastAsia="Calibri" w:hAnsi="Arial" w:cs="Arial"/>
          <w:i/>
          <w:color w:val="000000" w:themeColor="text1"/>
          <w:sz w:val="20"/>
          <w:szCs w:val="20"/>
        </w:rPr>
        <w:t>Source:</w:t>
      </w:r>
      <w:r w:rsidRPr="00ED0E6A">
        <w:rPr>
          <w:rFonts w:ascii="Arial" w:hAnsi="Arial" w:cs="Arial"/>
          <w:i/>
          <w:color w:val="000000" w:themeColor="text1"/>
          <w:sz w:val="20"/>
          <w:szCs w:val="20"/>
        </w:rPr>
        <w:t xml:space="preserve"> </w:t>
      </w:r>
      <w:r w:rsidRPr="00ED0E6A">
        <w:rPr>
          <w:rFonts w:ascii="Arial" w:hAnsi="Arial" w:cs="Arial"/>
          <w:b/>
          <w:i/>
          <w:color w:val="000000" w:themeColor="text1"/>
          <w:sz w:val="20"/>
          <w:szCs w:val="20"/>
        </w:rPr>
        <w:t>Cont</w:t>
      </w:r>
      <w:r w:rsidR="00ED0E6A" w:rsidRPr="00ED0E6A">
        <w:rPr>
          <w:rFonts w:ascii="Arial" w:hAnsi="Arial" w:cs="Arial"/>
          <w:b/>
          <w:i/>
          <w:color w:val="000000" w:themeColor="text1"/>
          <w:sz w:val="20"/>
          <w:szCs w:val="20"/>
        </w:rPr>
        <w:t>rolled environment testing, (2026)</w:t>
      </w:r>
    </w:p>
    <w:p w14:paraId="4C49C567" w14:textId="77777777" w:rsidR="003865D8" w:rsidRPr="007640AA" w:rsidRDefault="00534128" w:rsidP="007640AA">
      <w:pPr>
        <w:pStyle w:val="Heading2"/>
        <w:spacing w:line="240" w:lineRule="auto"/>
        <w:jc w:val="both"/>
        <w:rPr>
          <w:rFonts w:ascii="Arial" w:hAnsi="Arial" w:cs="Arial"/>
          <w:color w:val="000000" w:themeColor="text1"/>
          <w:sz w:val="20"/>
          <w:szCs w:val="20"/>
        </w:rPr>
      </w:pPr>
      <w:r>
        <w:rPr>
          <w:rStyle w:val="Strong"/>
          <w:rFonts w:ascii="Arial" w:hAnsi="Arial" w:cs="Arial"/>
          <w:b/>
          <w:bCs/>
          <w:color w:val="000000" w:themeColor="text1"/>
          <w:sz w:val="20"/>
          <w:szCs w:val="20"/>
        </w:rPr>
        <w:t xml:space="preserve">Table 4.5 </w:t>
      </w:r>
      <w:r w:rsidR="003865D8" w:rsidRPr="007640AA">
        <w:rPr>
          <w:rStyle w:val="Strong"/>
          <w:rFonts w:ascii="Arial" w:hAnsi="Arial" w:cs="Arial"/>
          <w:b/>
          <w:bCs/>
          <w:color w:val="000000" w:themeColor="text1"/>
          <w:sz w:val="20"/>
          <w:szCs w:val="20"/>
        </w:rPr>
        <w:t>Field CO</w:t>
      </w:r>
      <w:r w:rsidR="003865D8" w:rsidRPr="007640AA">
        <w:rPr>
          <w:rStyle w:val="Strong"/>
          <w:rFonts w:cs="Arial"/>
          <w:b/>
          <w:bCs/>
          <w:color w:val="000000" w:themeColor="text1"/>
          <w:sz w:val="20"/>
          <w:szCs w:val="20"/>
        </w:rPr>
        <w:t>₂</w:t>
      </w:r>
      <w:r w:rsidR="003865D8" w:rsidRPr="007640AA">
        <w:rPr>
          <w:rStyle w:val="Strong"/>
          <w:rFonts w:ascii="Arial" w:hAnsi="Arial" w:cs="Arial"/>
          <w:b/>
          <w:bCs/>
          <w:color w:val="000000" w:themeColor="text1"/>
          <w:sz w:val="20"/>
          <w:szCs w:val="20"/>
        </w:rPr>
        <w:t xml:space="preserve"> and Co-Pollutant Reduction Performance</w:t>
      </w:r>
    </w:p>
    <w:tbl>
      <w:tblPr>
        <w:tblStyle w:val="LightShading"/>
        <w:tblW w:w="0" w:type="auto"/>
        <w:tblLook w:val="04A0" w:firstRow="1" w:lastRow="0" w:firstColumn="1" w:lastColumn="0" w:noHBand="0" w:noVBand="1"/>
      </w:tblPr>
      <w:tblGrid>
        <w:gridCol w:w="1638"/>
        <w:gridCol w:w="1350"/>
        <w:gridCol w:w="1530"/>
        <w:gridCol w:w="1440"/>
        <w:gridCol w:w="1530"/>
        <w:gridCol w:w="1755"/>
      </w:tblGrid>
      <w:tr w:rsidR="00A85382" w:rsidRPr="007640AA" w14:paraId="4C49C56E" w14:textId="77777777" w:rsidTr="006540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8" w:type="dxa"/>
            <w:shd w:val="clear" w:color="auto" w:fill="FFFFFF" w:themeFill="background1"/>
            <w:hideMark/>
          </w:tcPr>
          <w:p w14:paraId="4C49C568" w14:textId="77777777" w:rsidR="003865D8" w:rsidRPr="00654093" w:rsidRDefault="003865D8" w:rsidP="007640AA">
            <w:pPr>
              <w:jc w:val="both"/>
              <w:rPr>
                <w:rFonts w:ascii="Arial" w:hAnsi="Arial" w:cs="Arial"/>
                <w:color w:val="000000" w:themeColor="text1"/>
                <w:sz w:val="20"/>
                <w:szCs w:val="20"/>
              </w:rPr>
            </w:pPr>
            <w:r w:rsidRPr="00654093">
              <w:rPr>
                <w:rFonts w:ascii="Arial" w:hAnsi="Arial" w:cs="Arial"/>
                <w:bCs w:val="0"/>
                <w:color w:val="000000" w:themeColor="text1"/>
                <w:sz w:val="20"/>
                <w:szCs w:val="20"/>
              </w:rPr>
              <w:t>S</w:t>
            </w:r>
            <w:r w:rsidR="00DD3E0C" w:rsidRPr="00654093">
              <w:rPr>
                <w:rFonts w:ascii="Arial" w:hAnsi="Arial" w:cs="Arial"/>
                <w:bCs w:val="0"/>
                <w:color w:val="000000" w:themeColor="text1"/>
                <w:sz w:val="20"/>
                <w:szCs w:val="20"/>
              </w:rPr>
              <w:t>tate</w:t>
            </w:r>
          </w:p>
        </w:tc>
        <w:tc>
          <w:tcPr>
            <w:tcW w:w="1350" w:type="dxa"/>
            <w:shd w:val="clear" w:color="auto" w:fill="FFFFFF" w:themeFill="background1"/>
            <w:hideMark/>
          </w:tcPr>
          <w:p w14:paraId="4C49C569" w14:textId="77777777" w:rsidR="003865D8" w:rsidRPr="00654093" w:rsidRDefault="003865D8" w:rsidP="007640AA">
            <w:pPr>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654093">
              <w:rPr>
                <w:rFonts w:ascii="Arial" w:hAnsi="Arial" w:cs="Arial"/>
                <w:bCs w:val="0"/>
                <w:color w:val="000000" w:themeColor="text1"/>
                <w:sz w:val="20"/>
                <w:szCs w:val="20"/>
              </w:rPr>
              <w:t>CO</w:t>
            </w:r>
            <w:r w:rsidRPr="00654093">
              <w:rPr>
                <w:rFonts w:ascii="Cambria Math" w:hAnsi="Cambria Math" w:cs="Arial"/>
                <w:bCs w:val="0"/>
                <w:color w:val="000000" w:themeColor="text1"/>
                <w:sz w:val="20"/>
                <w:szCs w:val="20"/>
              </w:rPr>
              <w:t>₂</w:t>
            </w:r>
            <w:r w:rsidRPr="00654093">
              <w:rPr>
                <w:rFonts w:ascii="Arial" w:hAnsi="Arial" w:cs="Arial"/>
                <w:bCs w:val="0"/>
                <w:color w:val="000000" w:themeColor="text1"/>
                <w:sz w:val="20"/>
                <w:szCs w:val="20"/>
              </w:rPr>
              <w:t xml:space="preserve"> Reduction (%)</w:t>
            </w:r>
          </w:p>
        </w:tc>
        <w:tc>
          <w:tcPr>
            <w:tcW w:w="1530" w:type="dxa"/>
            <w:shd w:val="clear" w:color="auto" w:fill="FFFFFF" w:themeFill="background1"/>
            <w:hideMark/>
          </w:tcPr>
          <w:p w14:paraId="4C49C56A" w14:textId="77777777" w:rsidR="003865D8" w:rsidRPr="00654093" w:rsidRDefault="003865D8" w:rsidP="007640AA">
            <w:pPr>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654093">
              <w:rPr>
                <w:rFonts w:ascii="Arial" w:hAnsi="Arial" w:cs="Arial"/>
                <w:bCs w:val="0"/>
                <w:color w:val="000000" w:themeColor="text1"/>
                <w:sz w:val="20"/>
                <w:szCs w:val="20"/>
              </w:rPr>
              <w:t>CH</w:t>
            </w:r>
            <w:r w:rsidRPr="00654093">
              <w:rPr>
                <w:rFonts w:ascii="Cambria Math" w:hAnsi="Cambria Math" w:cs="Arial"/>
                <w:bCs w:val="0"/>
                <w:color w:val="000000" w:themeColor="text1"/>
                <w:sz w:val="20"/>
                <w:szCs w:val="20"/>
              </w:rPr>
              <w:t>₄</w:t>
            </w:r>
            <w:r w:rsidRPr="00654093">
              <w:rPr>
                <w:rFonts w:ascii="Arial" w:hAnsi="Arial" w:cs="Arial"/>
                <w:bCs w:val="0"/>
                <w:color w:val="000000" w:themeColor="text1"/>
                <w:sz w:val="20"/>
                <w:szCs w:val="20"/>
              </w:rPr>
              <w:t xml:space="preserve"> Reduction (%)</w:t>
            </w:r>
          </w:p>
        </w:tc>
        <w:tc>
          <w:tcPr>
            <w:tcW w:w="1440" w:type="dxa"/>
            <w:shd w:val="clear" w:color="auto" w:fill="FFFFFF" w:themeFill="background1"/>
            <w:hideMark/>
          </w:tcPr>
          <w:p w14:paraId="4C49C56B" w14:textId="77777777" w:rsidR="003865D8" w:rsidRPr="00654093" w:rsidRDefault="003865D8" w:rsidP="007640AA">
            <w:pPr>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654093">
              <w:rPr>
                <w:rFonts w:ascii="Arial" w:hAnsi="Arial" w:cs="Arial"/>
                <w:bCs w:val="0"/>
                <w:color w:val="000000" w:themeColor="text1"/>
                <w:sz w:val="20"/>
                <w:szCs w:val="20"/>
              </w:rPr>
              <w:t>NOx Reduction (%)</w:t>
            </w:r>
          </w:p>
        </w:tc>
        <w:tc>
          <w:tcPr>
            <w:tcW w:w="1530" w:type="dxa"/>
            <w:shd w:val="clear" w:color="auto" w:fill="FFFFFF" w:themeFill="background1"/>
            <w:hideMark/>
          </w:tcPr>
          <w:p w14:paraId="4C49C56C" w14:textId="77777777" w:rsidR="003865D8" w:rsidRPr="00654093" w:rsidRDefault="003865D8" w:rsidP="007640AA">
            <w:pPr>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654093">
              <w:rPr>
                <w:rFonts w:ascii="Arial" w:hAnsi="Arial" w:cs="Arial"/>
                <w:bCs w:val="0"/>
                <w:color w:val="000000" w:themeColor="text1"/>
                <w:sz w:val="20"/>
                <w:szCs w:val="20"/>
              </w:rPr>
              <w:t>SO</w:t>
            </w:r>
            <w:r w:rsidRPr="00654093">
              <w:rPr>
                <w:rFonts w:ascii="Cambria Math" w:hAnsi="Cambria Math" w:cs="Arial"/>
                <w:bCs w:val="0"/>
                <w:color w:val="000000" w:themeColor="text1"/>
                <w:sz w:val="20"/>
                <w:szCs w:val="20"/>
              </w:rPr>
              <w:t>₂</w:t>
            </w:r>
            <w:r w:rsidRPr="00654093">
              <w:rPr>
                <w:rFonts w:ascii="Arial" w:hAnsi="Arial" w:cs="Arial"/>
                <w:bCs w:val="0"/>
                <w:color w:val="000000" w:themeColor="text1"/>
                <w:sz w:val="20"/>
                <w:szCs w:val="20"/>
              </w:rPr>
              <w:t xml:space="preserve"> Reduction (%)</w:t>
            </w:r>
          </w:p>
        </w:tc>
        <w:tc>
          <w:tcPr>
            <w:tcW w:w="1755" w:type="dxa"/>
            <w:shd w:val="clear" w:color="auto" w:fill="FFFFFF" w:themeFill="background1"/>
            <w:hideMark/>
          </w:tcPr>
          <w:p w14:paraId="4C49C56D" w14:textId="77777777" w:rsidR="003865D8" w:rsidRPr="00654093" w:rsidRDefault="003865D8" w:rsidP="007640AA">
            <w:pPr>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654093">
              <w:rPr>
                <w:rFonts w:ascii="Arial" w:hAnsi="Arial" w:cs="Arial"/>
                <w:bCs w:val="0"/>
                <w:color w:val="000000" w:themeColor="text1"/>
                <w:sz w:val="20"/>
                <w:szCs w:val="20"/>
              </w:rPr>
              <w:t>Black Carbon Reduction (%)</w:t>
            </w:r>
          </w:p>
        </w:tc>
      </w:tr>
      <w:tr w:rsidR="00A85382" w:rsidRPr="007640AA" w14:paraId="4C49C575" w14:textId="77777777" w:rsidTr="006540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8" w:type="dxa"/>
            <w:shd w:val="clear" w:color="auto" w:fill="FFFFFF" w:themeFill="background1"/>
            <w:hideMark/>
          </w:tcPr>
          <w:p w14:paraId="4C49C56F" w14:textId="77777777" w:rsidR="00DD3E0C" w:rsidRPr="00250147" w:rsidRDefault="00DD3E0C" w:rsidP="0030647B">
            <w:pPr>
              <w:rPr>
                <w:rFonts w:ascii="Arial" w:hAnsi="Arial" w:cs="Arial"/>
                <w:b w:val="0"/>
                <w:color w:val="000000" w:themeColor="text1"/>
                <w:sz w:val="20"/>
                <w:szCs w:val="20"/>
              </w:rPr>
            </w:pPr>
            <w:r w:rsidRPr="00250147">
              <w:rPr>
                <w:rFonts w:ascii="Arial" w:hAnsi="Arial" w:cs="Arial"/>
                <w:b w:val="0"/>
                <w:color w:val="000000" w:themeColor="text1"/>
                <w:sz w:val="20"/>
                <w:szCs w:val="20"/>
              </w:rPr>
              <w:t>Rivers</w:t>
            </w:r>
          </w:p>
        </w:tc>
        <w:tc>
          <w:tcPr>
            <w:tcW w:w="1350" w:type="dxa"/>
            <w:shd w:val="clear" w:color="auto" w:fill="FFFFFF" w:themeFill="background1"/>
            <w:hideMark/>
          </w:tcPr>
          <w:p w14:paraId="4C49C570" w14:textId="77777777" w:rsidR="00DD3E0C" w:rsidRPr="007640AA" w:rsidRDefault="00DD3E0C" w:rsidP="007640AA">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68.4</w:t>
            </w:r>
          </w:p>
        </w:tc>
        <w:tc>
          <w:tcPr>
            <w:tcW w:w="1530" w:type="dxa"/>
            <w:shd w:val="clear" w:color="auto" w:fill="FFFFFF" w:themeFill="background1"/>
            <w:hideMark/>
          </w:tcPr>
          <w:p w14:paraId="4C49C571" w14:textId="77777777" w:rsidR="00DD3E0C" w:rsidRPr="007640AA" w:rsidRDefault="00DD3E0C" w:rsidP="007640AA">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51.2</w:t>
            </w:r>
          </w:p>
        </w:tc>
        <w:tc>
          <w:tcPr>
            <w:tcW w:w="1440" w:type="dxa"/>
            <w:shd w:val="clear" w:color="auto" w:fill="FFFFFF" w:themeFill="background1"/>
            <w:hideMark/>
          </w:tcPr>
          <w:p w14:paraId="4C49C572" w14:textId="77777777" w:rsidR="00DD3E0C" w:rsidRPr="007640AA" w:rsidRDefault="00DD3E0C" w:rsidP="007640AA">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43.6</w:t>
            </w:r>
          </w:p>
        </w:tc>
        <w:tc>
          <w:tcPr>
            <w:tcW w:w="1530" w:type="dxa"/>
            <w:shd w:val="clear" w:color="auto" w:fill="FFFFFF" w:themeFill="background1"/>
            <w:hideMark/>
          </w:tcPr>
          <w:p w14:paraId="4C49C573" w14:textId="77777777" w:rsidR="00DD3E0C" w:rsidRPr="007640AA" w:rsidRDefault="00DD3E0C" w:rsidP="007640AA">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47.8</w:t>
            </w:r>
          </w:p>
        </w:tc>
        <w:tc>
          <w:tcPr>
            <w:tcW w:w="1755" w:type="dxa"/>
            <w:shd w:val="clear" w:color="auto" w:fill="FFFFFF" w:themeFill="background1"/>
            <w:hideMark/>
          </w:tcPr>
          <w:p w14:paraId="4C49C574" w14:textId="77777777" w:rsidR="00DD3E0C" w:rsidRPr="007640AA" w:rsidRDefault="00DD3E0C" w:rsidP="007640AA">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55.1</w:t>
            </w:r>
          </w:p>
        </w:tc>
      </w:tr>
      <w:tr w:rsidR="00A85382" w:rsidRPr="007640AA" w14:paraId="4C49C57C" w14:textId="77777777" w:rsidTr="00654093">
        <w:tc>
          <w:tcPr>
            <w:cnfStyle w:val="001000000000" w:firstRow="0" w:lastRow="0" w:firstColumn="1" w:lastColumn="0" w:oddVBand="0" w:evenVBand="0" w:oddHBand="0" w:evenHBand="0" w:firstRowFirstColumn="0" w:firstRowLastColumn="0" w:lastRowFirstColumn="0" w:lastRowLastColumn="0"/>
            <w:tcW w:w="1638" w:type="dxa"/>
            <w:shd w:val="clear" w:color="auto" w:fill="FFFFFF" w:themeFill="background1"/>
            <w:hideMark/>
          </w:tcPr>
          <w:p w14:paraId="4C49C576" w14:textId="77777777" w:rsidR="00DD3E0C" w:rsidRPr="00250147" w:rsidRDefault="00DD3E0C" w:rsidP="0030647B">
            <w:pPr>
              <w:rPr>
                <w:rFonts w:ascii="Arial" w:hAnsi="Arial" w:cs="Arial"/>
                <w:b w:val="0"/>
                <w:color w:val="000000" w:themeColor="text1"/>
                <w:sz w:val="20"/>
                <w:szCs w:val="20"/>
              </w:rPr>
            </w:pPr>
            <w:r w:rsidRPr="00250147">
              <w:rPr>
                <w:rFonts w:ascii="Arial" w:hAnsi="Arial" w:cs="Arial"/>
                <w:b w:val="0"/>
                <w:color w:val="000000" w:themeColor="text1"/>
                <w:sz w:val="20"/>
                <w:szCs w:val="20"/>
              </w:rPr>
              <w:t>Bayelsa</w:t>
            </w:r>
          </w:p>
        </w:tc>
        <w:tc>
          <w:tcPr>
            <w:tcW w:w="1350" w:type="dxa"/>
            <w:shd w:val="clear" w:color="auto" w:fill="FFFFFF" w:themeFill="background1"/>
            <w:hideMark/>
          </w:tcPr>
          <w:p w14:paraId="4C49C577" w14:textId="77777777" w:rsidR="00DD3E0C" w:rsidRPr="007640AA" w:rsidRDefault="00DD3E0C" w:rsidP="007640AA">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70.1</w:t>
            </w:r>
          </w:p>
        </w:tc>
        <w:tc>
          <w:tcPr>
            <w:tcW w:w="1530" w:type="dxa"/>
            <w:shd w:val="clear" w:color="auto" w:fill="FFFFFF" w:themeFill="background1"/>
            <w:hideMark/>
          </w:tcPr>
          <w:p w14:paraId="4C49C578" w14:textId="77777777" w:rsidR="00DD3E0C" w:rsidRPr="007640AA" w:rsidRDefault="00DD3E0C" w:rsidP="007640AA">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53.4</w:t>
            </w:r>
          </w:p>
        </w:tc>
        <w:tc>
          <w:tcPr>
            <w:tcW w:w="1440" w:type="dxa"/>
            <w:shd w:val="clear" w:color="auto" w:fill="FFFFFF" w:themeFill="background1"/>
            <w:hideMark/>
          </w:tcPr>
          <w:p w14:paraId="4C49C579" w14:textId="77777777" w:rsidR="00DD3E0C" w:rsidRPr="007640AA" w:rsidRDefault="00DD3E0C" w:rsidP="007640AA">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45.2</w:t>
            </w:r>
          </w:p>
        </w:tc>
        <w:tc>
          <w:tcPr>
            <w:tcW w:w="1530" w:type="dxa"/>
            <w:shd w:val="clear" w:color="auto" w:fill="FFFFFF" w:themeFill="background1"/>
            <w:hideMark/>
          </w:tcPr>
          <w:p w14:paraId="4C49C57A" w14:textId="77777777" w:rsidR="00DD3E0C" w:rsidRPr="007640AA" w:rsidRDefault="00DD3E0C" w:rsidP="007640AA">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49.3</w:t>
            </w:r>
          </w:p>
        </w:tc>
        <w:tc>
          <w:tcPr>
            <w:tcW w:w="1755" w:type="dxa"/>
            <w:shd w:val="clear" w:color="auto" w:fill="FFFFFF" w:themeFill="background1"/>
            <w:hideMark/>
          </w:tcPr>
          <w:p w14:paraId="4C49C57B" w14:textId="77777777" w:rsidR="00DD3E0C" w:rsidRPr="007640AA" w:rsidRDefault="00DD3E0C" w:rsidP="007640AA">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57.8</w:t>
            </w:r>
          </w:p>
        </w:tc>
      </w:tr>
      <w:tr w:rsidR="00A85382" w:rsidRPr="007640AA" w14:paraId="4C49C583" w14:textId="77777777" w:rsidTr="006540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8" w:type="dxa"/>
            <w:shd w:val="clear" w:color="auto" w:fill="FFFFFF" w:themeFill="background1"/>
            <w:hideMark/>
          </w:tcPr>
          <w:p w14:paraId="4C49C57D" w14:textId="77777777" w:rsidR="00DD3E0C" w:rsidRPr="00250147" w:rsidRDefault="00DD3E0C" w:rsidP="0030647B">
            <w:pPr>
              <w:rPr>
                <w:rFonts w:ascii="Arial" w:hAnsi="Arial" w:cs="Arial"/>
                <w:b w:val="0"/>
                <w:color w:val="000000" w:themeColor="text1"/>
                <w:sz w:val="20"/>
                <w:szCs w:val="20"/>
              </w:rPr>
            </w:pPr>
            <w:r w:rsidRPr="00250147">
              <w:rPr>
                <w:rFonts w:ascii="Arial" w:hAnsi="Arial" w:cs="Arial"/>
                <w:b w:val="0"/>
                <w:color w:val="000000" w:themeColor="text1"/>
                <w:sz w:val="20"/>
                <w:szCs w:val="20"/>
              </w:rPr>
              <w:t>Delta</w:t>
            </w:r>
          </w:p>
        </w:tc>
        <w:tc>
          <w:tcPr>
            <w:tcW w:w="1350" w:type="dxa"/>
            <w:shd w:val="clear" w:color="auto" w:fill="FFFFFF" w:themeFill="background1"/>
            <w:hideMark/>
          </w:tcPr>
          <w:p w14:paraId="4C49C57E" w14:textId="77777777" w:rsidR="00DD3E0C" w:rsidRPr="007640AA" w:rsidRDefault="00DD3E0C" w:rsidP="007640AA">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66.7</w:t>
            </w:r>
          </w:p>
        </w:tc>
        <w:tc>
          <w:tcPr>
            <w:tcW w:w="1530" w:type="dxa"/>
            <w:shd w:val="clear" w:color="auto" w:fill="FFFFFF" w:themeFill="background1"/>
            <w:hideMark/>
          </w:tcPr>
          <w:p w14:paraId="4C49C57F" w14:textId="77777777" w:rsidR="00DD3E0C" w:rsidRPr="007640AA" w:rsidRDefault="00DD3E0C" w:rsidP="007640AA">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49.8</w:t>
            </w:r>
          </w:p>
        </w:tc>
        <w:tc>
          <w:tcPr>
            <w:tcW w:w="1440" w:type="dxa"/>
            <w:shd w:val="clear" w:color="auto" w:fill="FFFFFF" w:themeFill="background1"/>
            <w:hideMark/>
          </w:tcPr>
          <w:p w14:paraId="4C49C580" w14:textId="77777777" w:rsidR="00DD3E0C" w:rsidRPr="007640AA" w:rsidRDefault="00DD3E0C" w:rsidP="007640AA">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41.5</w:t>
            </w:r>
          </w:p>
        </w:tc>
        <w:tc>
          <w:tcPr>
            <w:tcW w:w="1530" w:type="dxa"/>
            <w:shd w:val="clear" w:color="auto" w:fill="FFFFFF" w:themeFill="background1"/>
            <w:hideMark/>
          </w:tcPr>
          <w:p w14:paraId="4C49C581" w14:textId="77777777" w:rsidR="00DD3E0C" w:rsidRPr="007640AA" w:rsidRDefault="00DD3E0C" w:rsidP="007640AA">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45.6</w:t>
            </w:r>
          </w:p>
        </w:tc>
        <w:tc>
          <w:tcPr>
            <w:tcW w:w="1755" w:type="dxa"/>
            <w:shd w:val="clear" w:color="auto" w:fill="FFFFFF" w:themeFill="background1"/>
            <w:hideMark/>
          </w:tcPr>
          <w:p w14:paraId="4C49C582" w14:textId="77777777" w:rsidR="00DD3E0C" w:rsidRPr="007640AA" w:rsidRDefault="00DD3E0C" w:rsidP="007640AA">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52.4</w:t>
            </w:r>
          </w:p>
        </w:tc>
      </w:tr>
      <w:tr w:rsidR="00A85382" w:rsidRPr="007640AA" w14:paraId="4C49C58A" w14:textId="77777777" w:rsidTr="00654093">
        <w:tc>
          <w:tcPr>
            <w:cnfStyle w:val="001000000000" w:firstRow="0" w:lastRow="0" w:firstColumn="1" w:lastColumn="0" w:oddVBand="0" w:evenVBand="0" w:oddHBand="0" w:evenHBand="0" w:firstRowFirstColumn="0" w:firstRowLastColumn="0" w:lastRowFirstColumn="0" w:lastRowLastColumn="0"/>
            <w:tcW w:w="1638" w:type="dxa"/>
            <w:shd w:val="clear" w:color="auto" w:fill="FFFFFF" w:themeFill="background1"/>
            <w:hideMark/>
          </w:tcPr>
          <w:p w14:paraId="4C49C584" w14:textId="77777777" w:rsidR="00DD3E0C" w:rsidRPr="00250147" w:rsidRDefault="00DD3E0C" w:rsidP="00F04719">
            <w:pPr>
              <w:rPr>
                <w:rFonts w:ascii="Arial" w:hAnsi="Arial" w:cs="Arial"/>
                <w:b w:val="0"/>
                <w:color w:val="000000" w:themeColor="text1"/>
                <w:sz w:val="20"/>
                <w:szCs w:val="20"/>
              </w:rPr>
            </w:pPr>
            <w:r w:rsidRPr="00250147">
              <w:rPr>
                <w:rFonts w:ascii="Arial" w:hAnsi="Arial" w:cs="Arial"/>
                <w:b w:val="0"/>
                <w:color w:val="000000" w:themeColor="text1"/>
                <w:sz w:val="20"/>
                <w:szCs w:val="20"/>
              </w:rPr>
              <w:t>Akwa Ibom</w:t>
            </w:r>
          </w:p>
        </w:tc>
        <w:tc>
          <w:tcPr>
            <w:tcW w:w="1350" w:type="dxa"/>
            <w:shd w:val="clear" w:color="auto" w:fill="FFFFFF" w:themeFill="background1"/>
            <w:hideMark/>
          </w:tcPr>
          <w:p w14:paraId="4C49C585" w14:textId="77777777" w:rsidR="00DD3E0C" w:rsidRPr="007640AA" w:rsidRDefault="00DD3E0C" w:rsidP="00F04719">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64.9</w:t>
            </w:r>
          </w:p>
        </w:tc>
        <w:tc>
          <w:tcPr>
            <w:tcW w:w="1530" w:type="dxa"/>
            <w:shd w:val="clear" w:color="auto" w:fill="FFFFFF" w:themeFill="background1"/>
            <w:hideMark/>
          </w:tcPr>
          <w:p w14:paraId="4C49C586" w14:textId="77777777" w:rsidR="00DD3E0C" w:rsidRPr="007640AA" w:rsidRDefault="00DD3E0C" w:rsidP="00F04719">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46.7</w:t>
            </w:r>
          </w:p>
        </w:tc>
        <w:tc>
          <w:tcPr>
            <w:tcW w:w="1440" w:type="dxa"/>
            <w:shd w:val="clear" w:color="auto" w:fill="FFFFFF" w:themeFill="background1"/>
            <w:hideMark/>
          </w:tcPr>
          <w:p w14:paraId="4C49C587" w14:textId="77777777" w:rsidR="00DD3E0C" w:rsidRPr="007640AA" w:rsidRDefault="00DD3E0C" w:rsidP="00F04719">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39.8</w:t>
            </w:r>
          </w:p>
        </w:tc>
        <w:tc>
          <w:tcPr>
            <w:tcW w:w="1530" w:type="dxa"/>
            <w:shd w:val="clear" w:color="auto" w:fill="FFFFFF" w:themeFill="background1"/>
            <w:hideMark/>
          </w:tcPr>
          <w:p w14:paraId="4C49C588" w14:textId="77777777" w:rsidR="00DD3E0C" w:rsidRPr="007640AA" w:rsidRDefault="00DD3E0C" w:rsidP="00F04719">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42.3</w:t>
            </w:r>
          </w:p>
        </w:tc>
        <w:tc>
          <w:tcPr>
            <w:tcW w:w="1755" w:type="dxa"/>
            <w:shd w:val="clear" w:color="auto" w:fill="FFFFFF" w:themeFill="background1"/>
            <w:hideMark/>
          </w:tcPr>
          <w:p w14:paraId="4C49C589" w14:textId="77777777" w:rsidR="00DD3E0C" w:rsidRPr="007640AA" w:rsidRDefault="00DD3E0C" w:rsidP="00F04719">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48.2</w:t>
            </w:r>
          </w:p>
        </w:tc>
      </w:tr>
      <w:tr w:rsidR="00A85382" w:rsidRPr="007640AA" w14:paraId="4C49C591" w14:textId="77777777" w:rsidTr="006540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8" w:type="dxa"/>
            <w:shd w:val="clear" w:color="auto" w:fill="FFFFFF" w:themeFill="background1"/>
            <w:hideMark/>
          </w:tcPr>
          <w:p w14:paraId="4C49C58B" w14:textId="77777777" w:rsidR="00DD3E0C" w:rsidRPr="00250147" w:rsidRDefault="00DD3E0C" w:rsidP="00F04719">
            <w:pPr>
              <w:rPr>
                <w:rFonts w:ascii="Arial" w:hAnsi="Arial" w:cs="Arial"/>
                <w:b w:val="0"/>
                <w:color w:val="000000" w:themeColor="text1"/>
                <w:sz w:val="20"/>
                <w:szCs w:val="20"/>
              </w:rPr>
            </w:pPr>
            <w:r w:rsidRPr="00250147">
              <w:rPr>
                <w:rFonts w:ascii="Arial" w:hAnsi="Arial" w:cs="Arial"/>
                <w:b w:val="0"/>
                <w:color w:val="000000" w:themeColor="text1"/>
                <w:sz w:val="20"/>
                <w:szCs w:val="20"/>
              </w:rPr>
              <w:t>Edo</w:t>
            </w:r>
          </w:p>
        </w:tc>
        <w:tc>
          <w:tcPr>
            <w:tcW w:w="1350" w:type="dxa"/>
            <w:shd w:val="clear" w:color="auto" w:fill="FFFFFF" w:themeFill="background1"/>
            <w:hideMark/>
          </w:tcPr>
          <w:p w14:paraId="4C49C58C" w14:textId="77777777" w:rsidR="00DD3E0C" w:rsidRPr="007640AA" w:rsidRDefault="00DD3E0C" w:rsidP="00F04719">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61.5</w:t>
            </w:r>
          </w:p>
        </w:tc>
        <w:tc>
          <w:tcPr>
            <w:tcW w:w="1530" w:type="dxa"/>
            <w:shd w:val="clear" w:color="auto" w:fill="FFFFFF" w:themeFill="background1"/>
            <w:hideMark/>
          </w:tcPr>
          <w:p w14:paraId="4C49C58D" w14:textId="77777777" w:rsidR="00DD3E0C" w:rsidRPr="007640AA" w:rsidRDefault="00DD3E0C" w:rsidP="00F04719">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44.1</w:t>
            </w:r>
          </w:p>
        </w:tc>
        <w:tc>
          <w:tcPr>
            <w:tcW w:w="1440" w:type="dxa"/>
            <w:shd w:val="clear" w:color="auto" w:fill="FFFFFF" w:themeFill="background1"/>
            <w:hideMark/>
          </w:tcPr>
          <w:p w14:paraId="4C49C58E" w14:textId="77777777" w:rsidR="00DD3E0C" w:rsidRPr="007640AA" w:rsidRDefault="00DD3E0C" w:rsidP="00F04719">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37.2</w:t>
            </w:r>
          </w:p>
        </w:tc>
        <w:tc>
          <w:tcPr>
            <w:tcW w:w="1530" w:type="dxa"/>
            <w:shd w:val="clear" w:color="auto" w:fill="FFFFFF" w:themeFill="background1"/>
            <w:hideMark/>
          </w:tcPr>
          <w:p w14:paraId="4C49C58F" w14:textId="77777777" w:rsidR="00DD3E0C" w:rsidRPr="007640AA" w:rsidRDefault="00DD3E0C" w:rsidP="00F04719">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38.6</w:t>
            </w:r>
          </w:p>
        </w:tc>
        <w:tc>
          <w:tcPr>
            <w:tcW w:w="1755" w:type="dxa"/>
            <w:shd w:val="clear" w:color="auto" w:fill="FFFFFF" w:themeFill="background1"/>
            <w:hideMark/>
          </w:tcPr>
          <w:p w14:paraId="4C49C590" w14:textId="77777777" w:rsidR="00DD3E0C" w:rsidRPr="007640AA" w:rsidRDefault="00DD3E0C" w:rsidP="00F04719">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44.9</w:t>
            </w:r>
          </w:p>
        </w:tc>
      </w:tr>
    </w:tbl>
    <w:p w14:paraId="4C49C592" w14:textId="77777777" w:rsidR="003865D8" w:rsidRPr="00900D1A" w:rsidRDefault="003865D8" w:rsidP="00F04719">
      <w:pPr>
        <w:pStyle w:val="NormalWeb"/>
        <w:spacing w:before="0" w:beforeAutospacing="0"/>
        <w:jc w:val="both"/>
        <w:rPr>
          <w:rFonts w:ascii="Arial" w:hAnsi="Arial" w:cs="Arial"/>
          <w:b/>
          <w:i/>
          <w:color w:val="000000" w:themeColor="text1"/>
          <w:sz w:val="20"/>
          <w:szCs w:val="20"/>
        </w:rPr>
      </w:pPr>
      <w:r w:rsidRPr="00900D1A">
        <w:rPr>
          <w:rStyle w:val="Strong"/>
          <w:rFonts w:ascii="Arial" w:eastAsia="Calibri" w:hAnsi="Arial" w:cs="Arial"/>
          <w:i/>
          <w:color w:val="000000" w:themeColor="text1"/>
          <w:sz w:val="20"/>
          <w:szCs w:val="20"/>
        </w:rPr>
        <w:t>Source:</w:t>
      </w:r>
      <w:r w:rsidRPr="00900D1A">
        <w:rPr>
          <w:rFonts w:ascii="Arial" w:hAnsi="Arial" w:cs="Arial"/>
          <w:b/>
          <w:i/>
          <w:color w:val="000000" w:themeColor="text1"/>
          <w:sz w:val="20"/>
          <w:szCs w:val="20"/>
        </w:rPr>
        <w:t xml:space="preserve"> Field deployment evaluation, </w:t>
      </w:r>
      <w:r w:rsidR="00900D1A" w:rsidRPr="00900D1A">
        <w:rPr>
          <w:rFonts w:ascii="Arial" w:hAnsi="Arial" w:cs="Arial"/>
          <w:b/>
          <w:i/>
          <w:color w:val="000000" w:themeColor="text1"/>
          <w:sz w:val="20"/>
          <w:szCs w:val="20"/>
        </w:rPr>
        <w:t>(2026)</w:t>
      </w:r>
    </w:p>
    <w:p w14:paraId="4C49C593" w14:textId="77777777" w:rsidR="003865D8" w:rsidRPr="007640AA" w:rsidRDefault="003865D8" w:rsidP="00F04719">
      <w:pPr>
        <w:pStyle w:val="Heading2"/>
        <w:spacing w:before="0" w:line="240" w:lineRule="auto"/>
        <w:jc w:val="both"/>
        <w:rPr>
          <w:rFonts w:ascii="Arial" w:hAnsi="Arial" w:cs="Arial"/>
          <w:color w:val="000000" w:themeColor="text1"/>
          <w:sz w:val="20"/>
          <w:szCs w:val="20"/>
        </w:rPr>
      </w:pPr>
      <w:r w:rsidRPr="007640AA">
        <w:rPr>
          <w:rStyle w:val="Strong"/>
          <w:rFonts w:ascii="Arial" w:hAnsi="Arial" w:cs="Arial"/>
          <w:b/>
          <w:bCs/>
          <w:color w:val="000000" w:themeColor="text1"/>
          <w:sz w:val="20"/>
          <w:szCs w:val="20"/>
        </w:rPr>
        <w:t>Table</w:t>
      </w:r>
      <w:r w:rsidR="00FC40D6">
        <w:rPr>
          <w:rStyle w:val="Strong"/>
          <w:rFonts w:ascii="Arial" w:hAnsi="Arial" w:cs="Arial"/>
          <w:b/>
          <w:bCs/>
          <w:color w:val="000000" w:themeColor="text1"/>
          <w:sz w:val="20"/>
          <w:szCs w:val="20"/>
        </w:rPr>
        <w:t>4.6</w:t>
      </w:r>
      <w:r w:rsidRPr="007640AA">
        <w:rPr>
          <w:rStyle w:val="Strong"/>
          <w:rFonts w:ascii="Arial" w:hAnsi="Arial" w:cs="Arial"/>
          <w:b/>
          <w:bCs/>
          <w:color w:val="000000" w:themeColor="text1"/>
          <w:sz w:val="20"/>
          <w:szCs w:val="20"/>
        </w:rPr>
        <w:t xml:space="preserve"> Estimated Annual Emission Reduction </w:t>
      </w:r>
      <w:r w:rsidR="00212A14" w:rsidRPr="007640AA">
        <w:rPr>
          <w:rStyle w:val="Strong"/>
          <w:rFonts w:ascii="Arial" w:hAnsi="Arial" w:cs="Arial"/>
          <w:b/>
          <w:bCs/>
          <w:color w:val="000000" w:themeColor="text1"/>
          <w:sz w:val="20"/>
          <w:szCs w:val="20"/>
        </w:rPr>
        <w:t>per</w:t>
      </w:r>
      <w:r w:rsidRPr="007640AA">
        <w:rPr>
          <w:rStyle w:val="Strong"/>
          <w:rFonts w:ascii="Arial" w:hAnsi="Arial" w:cs="Arial"/>
          <w:b/>
          <w:bCs/>
          <w:color w:val="000000" w:themeColor="text1"/>
          <w:sz w:val="20"/>
          <w:szCs w:val="20"/>
        </w:rPr>
        <w:t xml:space="preserve"> Flare Site</w:t>
      </w:r>
    </w:p>
    <w:tbl>
      <w:tblPr>
        <w:tblStyle w:val="LightShading"/>
        <w:tblW w:w="0" w:type="auto"/>
        <w:tblLook w:val="04A0" w:firstRow="1" w:lastRow="0" w:firstColumn="1" w:lastColumn="0" w:noHBand="0" w:noVBand="1"/>
      </w:tblPr>
      <w:tblGrid>
        <w:gridCol w:w="2199"/>
        <w:gridCol w:w="1835"/>
        <w:gridCol w:w="1858"/>
        <w:gridCol w:w="1924"/>
        <w:gridCol w:w="1427"/>
      </w:tblGrid>
      <w:tr w:rsidR="003865D8" w:rsidRPr="007640AA" w14:paraId="4C49C599" w14:textId="77777777" w:rsidTr="00A95B0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C49C594" w14:textId="77777777" w:rsidR="003865D8" w:rsidRPr="00A95B01" w:rsidRDefault="003865D8" w:rsidP="007640AA">
            <w:pPr>
              <w:jc w:val="both"/>
              <w:rPr>
                <w:rFonts w:ascii="Arial" w:hAnsi="Arial" w:cs="Arial"/>
                <w:color w:val="000000" w:themeColor="text1"/>
                <w:sz w:val="20"/>
                <w:szCs w:val="20"/>
              </w:rPr>
            </w:pPr>
            <w:r w:rsidRPr="00A95B01">
              <w:rPr>
                <w:rFonts w:ascii="Arial" w:hAnsi="Arial" w:cs="Arial"/>
                <w:bCs w:val="0"/>
                <w:color w:val="000000" w:themeColor="text1"/>
                <w:sz w:val="20"/>
                <w:szCs w:val="20"/>
              </w:rPr>
              <w:t>Parameter</w:t>
            </w:r>
          </w:p>
        </w:tc>
        <w:tc>
          <w:tcPr>
            <w:tcW w:w="0" w:type="auto"/>
            <w:hideMark/>
          </w:tcPr>
          <w:p w14:paraId="4C49C595" w14:textId="77777777" w:rsidR="003865D8" w:rsidRPr="00A95B01" w:rsidRDefault="003865D8" w:rsidP="007640AA">
            <w:pPr>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A95B01">
              <w:rPr>
                <w:rFonts w:ascii="Arial" w:hAnsi="Arial" w:cs="Arial"/>
                <w:bCs w:val="0"/>
                <w:color w:val="000000" w:themeColor="text1"/>
                <w:sz w:val="20"/>
                <w:szCs w:val="20"/>
              </w:rPr>
              <w:t>Annual Emission</w:t>
            </w:r>
          </w:p>
        </w:tc>
        <w:tc>
          <w:tcPr>
            <w:tcW w:w="0" w:type="auto"/>
            <w:hideMark/>
          </w:tcPr>
          <w:p w14:paraId="4C49C596" w14:textId="77777777" w:rsidR="003865D8" w:rsidRPr="00A95B01" w:rsidRDefault="003865D8" w:rsidP="007640AA">
            <w:pPr>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A95B01">
              <w:rPr>
                <w:rFonts w:ascii="Arial" w:hAnsi="Arial" w:cs="Arial"/>
                <w:bCs w:val="0"/>
                <w:color w:val="000000" w:themeColor="text1"/>
                <w:sz w:val="20"/>
                <w:szCs w:val="20"/>
              </w:rPr>
              <w:t>Post-Deployment</w:t>
            </w:r>
          </w:p>
        </w:tc>
        <w:tc>
          <w:tcPr>
            <w:tcW w:w="0" w:type="auto"/>
            <w:hideMark/>
          </w:tcPr>
          <w:p w14:paraId="4C49C597" w14:textId="77777777" w:rsidR="003865D8" w:rsidRPr="00A95B01" w:rsidRDefault="003865D8" w:rsidP="007640AA">
            <w:pPr>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A95B01">
              <w:rPr>
                <w:rFonts w:ascii="Arial" w:hAnsi="Arial" w:cs="Arial"/>
                <w:bCs w:val="0"/>
                <w:color w:val="000000" w:themeColor="text1"/>
                <w:sz w:val="20"/>
                <w:szCs w:val="20"/>
              </w:rPr>
              <w:t>Annual Reduction</w:t>
            </w:r>
          </w:p>
        </w:tc>
        <w:tc>
          <w:tcPr>
            <w:tcW w:w="0" w:type="auto"/>
            <w:hideMark/>
          </w:tcPr>
          <w:p w14:paraId="4C49C598" w14:textId="77777777" w:rsidR="003865D8" w:rsidRPr="00A95B01" w:rsidRDefault="003865D8" w:rsidP="007640AA">
            <w:pPr>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A95B01">
              <w:rPr>
                <w:rFonts w:ascii="Arial" w:hAnsi="Arial" w:cs="Arial"/>
                <w:bCs w:val="0"/>
                <w:color w:val="000000" w:themeColor="text1"/>
                <w:sz w:val="20"/>
                <w:szCs w:val="20"/>
              </w:rPr>
              <w:t>% Reduction</w:t>
            </w:r>
          </w:p>
        </w:tc>
      </w:tr>
      <w:tr w:rsidR="00A95B01" w:rsidRPr="007640AA" w14:paraId="4C49C59F" w14:textId="77777777" w:rsidTr="00A95B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4C49C59A" w14:textId="77777777" w:rsidR="003865D8" w:rsidRPr="00A95B01" w:rsidRDefault="003865D8" w:rsidP="007640AA">
            <w:pPr>
              <w:jc w:val="both"/>
              <w:rPr>
                <w:rFonts w:ascii="Arial" w:hAnsi="Arial" w:cs="Arial"/>
                <w:b w:val="0"/>
                <w:color w:val="000000" w:themeColor="text1"/>
                <w:sz w:val="20"/>
                <w:szCs w:val="20"/>
              </w:rPr>
            </w:pPr>
            <w:r w:rsidRPr="00A95B01">
              <w:rPr>
                <w:rFonts w:ascii="Arial" w:hAnsi="Arial" w:cs="Arial"/>
                <w:b w:val="0"/>
                <w:color w:val="000000" w:themeColor="text1"/>
                <w:sz w:val="20"/>
                <w:szCs w:val="20"/>
              </w:rPr>
              <w:t>CO</w:t>
            </w:r>
            <w:r w:rsidRPr="00A95B01">
              <w:rPr>
                <w:rFonts w:ascii="Cambria Math" w:hAnsi="Cambria Math" w:cs="Arial"/>
                <w:b w:val="0"/>
                <w:color w:val="000000" w:themeColor="text1"/>
                <w:sz w:val="20"/>
                <w:szCs w:val="20"/>
              </w:rPr>
              <w:t>₂</w:t>
            </w:r>
            <w:r w:rsidRPr="00A95B01">
              <w:rPr>
                <w:rFonts w:ascii="Arial" w:hAnsi="Arial" w:cs="Arial"/>
                <w:b w:val="0"/>
                <w:color w:val="000000" w:themeColor="text1"/>
                <w:sz w:val="20"/>
                <w:szCs w:val="20"/>
              </w:rPr>
              <w:t xml:space="preserve"> (</w:t>
            </w:r>
            <w:proofErr w:type="spellStart"/>
            <w:r w:rsidRPr="00A95B01">
              <w:rPr>
                <w:rFonts w:ascii="Arial" w:hAnsi="Arial" w:cs="Arial"/>
                <w:b w:val="0"/>
                <w:color w:val="000000" w:themeColor="text1"/>
                <w:sz w:val="20"/>
                <w:szCs w:val="20"/>
              </w:rPr>
              <w:t>tonnes</w:t>
            </w:r>
            <w:proofErr w:type="spellEnd"/>
            <w:r w:rsidRPr="00A95B01">
              <w:rPr>
                <w:rFonts w:ascii="Arial" w:hAnsi="Arial" w:cs="Arial"/>
                <w:b w:val="0"/>
                <w:color w:val="000000" w:themeColor="text1"/>
                <w:sz w:val="20"/>
                <w:szCs w:val="20"/>
              </w:rPr>
              <w:t>)</w:t>
            </w:r>
          </w:p>
        </w:tc>
        <w:tc>
          <w:tcPr>
            <w:tcW w:w="0" w:type="auto"/>
            <w:shd w:val="clear" w:color="auto" w:fill="FFFFFF" w:themeFill="background1"/>
            <w:hideMark/>
          </w:tcPr>
          <w:p w14:paraId="4C49C59B" w14:textId="77777777" w:rsidR="003865D8" w:rsidRPr="00A95B01" w:rsidRDefault="003865D8" w:rsidP="007640AA">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A95B01">
              <w:rPr>
                <w:rFonts w:ascii="Arial" w:hAnsi="Arial" w:cs="Arial"/>
                <w:color w:val="000000" w:themeColor="text1"/>
                <w:sz w:val="20"/>
                <w:szCs w:val="20"/>
              </w:rPr>
              <w:t>104,500</w:t>
            </w:r>
          </w:p>
        </w:tc>
        <w:tc>
          <w:tcPr>
            <w:tcW w:w="0" w:type="auto"/>
            <w:shd w:val="clear" w:color="auto" w:fill="FFFFFF" w:themeFill="background1"/>
            <w:hideMark/>
          </w:tcPr>
          <w:p w14:paraId="4C49C59C" w14:textId="77777777" w:rsidR="003865D8" w:rsidRPr="00A95B01" w:rsidRDefault="003865D8" w:rsidP="007640AA">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A95B01">
              <w:rPr>
                <w:rFonts w:ascii="Arial" w:hAnsi="Arial" w:cs="Arial"/>
                <w:color w:val="000000" w:themeColor="text1"/>
                <w:sz w:val="20"/>
                <w:szCs w:val="20"/>
              </w:rPr>
              <w:t>35,200</w:t>
            </w:r>
          </w:p>
        </w:tc>
        <w:tc>
          <w:tcPr>
            <w:tcW w:w="0" w:type="auto"/>
            <w:shd w:val="clear" w:color="auto" w:fill="FFFFFF" w:themeFill="background1"/>
            <w:hideMark/>
          </w:tcPr>
          <w:p w14:paraId="4C49C59D" w14:textId="77777777" w:rsidR="003865D8" w:rsidRPr="00A95B01" w:rsidRDefault="003865D8" w:rsidP="007640AA">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A95B01">
              <w:rPr>
                <w:rFonts w:ascii="Arial" w:hAnsi="Arial" w:cs="Arial"/>
                <w:color w:val="000000" w:themeColor="text1"/>
                <w:sz w:val="20"/>
                <w:szCs w:val="20"/>
              </w:rPr>
              <w:t>69,300</w:t>
            </w:r>
          </w:p>
        </w:tc>
        <w:tc>
          <w:tcPr>
            <w:tcW w:w="0" w:type="auto"/>
            <w:shd w:val="clear" w:color="auto" w:fill="FFFFFF" w:themeFill="background1"/>
            <w:hideMark/>
          </w:tcPr>
          <w:p w14:paraId="4C49C59E" w14:textId="77777777" w:rsidR="003865D8" w:rsidRPr="00A95B01" w:rsidRDefault="003865D8" w:rsidP="007640AA">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A95B01">
              <w:rPr>
                <w:rFonts w:ascii="Arial" w:hAnsi="Arial" w:cs="Arial"/>
                <w:color w:val="000000" w:themeColor="text1"/>
                <w:sz w:val="20"/>
                <w:szCs w:val="20"/>
              </w:rPr>
              <w:t>66%</w:t>
            </w:r>
          </w:p>
        </w:tc>
      </w:tr>
      <w:tr w:rsidR="009A26D3" w:rsidRPr="007640AA" w14:paraId="4C49C5A5" w14:textId="77777777" w:rsidTr="00A95B01">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4C49C5A0" w14:textId="77777777" w:rsidR="003865D8" w:rsidRPr="00A95B01" w:rsidRDefault="003865D8" w:rsidP="007640AA">
            <w:pPr>
              <w:jc w:val="both"/>
              <w:rPr>
                <w:rFonts w:ascii="Arial" w:hAnsi="Arial" w:cs="Arial"/>
                <w:b w:val="0"/>
                <w:color w:val="000000" w:themeColor="text1"/>
                <w:sz w:val="20"/>
                <w:szCs w:val="20"/>
              </w:rPr>
            </w:pPr>
            <w:r w:rsidRPr="00A95B01">
              <w:rPr>
                <w:rFonts w:ascii="Arial" w:hAnsi="Arial" w:cs="Arial"/>
                <w:b w:val="0"/>
                <w:color w:val="000000" w:themeColor="text1"/>
                <w:sz w:val="20"/>
                <w:szCs w:val="20"/>
              </w:rPr>
              <w:t>CH</w:t>
            </w:r>
            <w:r w:rsidRPr="00A95B01">
              <w:rPr>
                <w:rFonts w:ascii="Cambria Math" w:hAnsi="Cambria Math" w:cs="Arial"/>
                <w:b w:val="0"/>
                <w:color w:val="000000" w:themeColor="text1"/>
                <w:sz w:val="20"/>
                <w:szCs w:val="20"/>
              </w:rPr>
              <w:t>₄</w:t>
            </w:r>
            <w:r w:rsidRPr="00A95B01">
              <w:rPr>
                <w:rFonts w:ascii="Arial" w:hAnsi="Arial" w:cs="Arial"/>
                <w:b w:val="0"/>
                <w:color w:val="000000" w:themeColor="text1"/>
                <w:sz w:val="20"/>
                <w:szCs w:val="20"/>
              </w:rPr>
              <w:t xml:space="preserve"> (</w:t>
            </w:r>
            <w:proofErr w:type="spellStart"/>
            <w:r w:rsidRPr="00A95B01">
              <w:rPr>
                <w:rFonts w:ascii="Arial" w:hAnsi="Arial" w:cs="Arial"/>
                <w:b w:val="0"/>
                <w:color w:val="000000" w:themeColor="text1"/>
                <w:sz w:val="20"/>
                <w:szCs w:val="20"/>
              </w:rPr>
              <w:t>tonnes</w:t>
            </w:r>
            <w:proofErr w:type="spellEnd"/>
            <w:r w:rsidRPr="00A95B01">
              <w:rPr>
                <w:rFonts w:ascii="Arial" w:hAnsi="Arial" w:cs="Arial"/>
                <w:b w:val="0"/>
                <w:color w:val="000000" w:themeColor="text1"/>
                <w:sz w:val="20"/>
                <w:szCs w:val="20"/>
              </w:rPr>
              <w:t xml:space="preserve"> </w:t>
            </w:r>
            <w:proofErr w:type="spellStart"/>
            <w:r w:rsidRPr="00A95B01">
              <w:rPr>
                <w:rFonts w:ascii="Arial" w:hAnsi="Arial" w:cs="Arial"/>
                <w:b w:val="0"/>
                <w:color w:val="000000" w:themeColor="text1"/>
                <w:sz w:val="20"/>
                <w:szCs w:val="20"/>
              </w:rPr>
              <w:t>CO</w:t>
            </w:r>
            <w:r w:rsidRPr="00A95B01">
              <w:rPr>
                <w:rFonts w:ascii="Cambria Math" w:hAnsi="Cambria Math" w:cs="Arial"/>
                <w:b w:val="0"/>
                <w:color w:val="000000" w:themeColor="text1"/>
                <w:sz w:val="20"/>
                <w:szCs w:val="20"/>
              </w:rPr>
              <w:t>₂</w:t>
            </w:r>
            <w:r w:rsidRPr="00A95B01">
              <w:rPr>
                <w:rFonts w:ascii="Arial" w:hAnsi="Arial" w:cs="Arial"/>
                <w:b w:val="0"/>
                <w:color w:val="000000" w:themeColor="text1"/>
                <w:sz w:val="20"/>
                <w:szCs w:val="20"/>
              </w:rPr>
              <w:t>e</w:t>
            </w:r>
            <w:proofErr w:type="spellEnd"/>
            <w:r w:rsidRPr="00A95B01">
              <w:rPr>
                <w:rFonts w:ascii="Arial" w:hAnsi="Arial" w:cs="Arial"/>
                <w:b w:val="0"/>
                <w:color w:val="000000" w:themeColor="text1"/>
                <w:sz w:val="20"/>
                <w:szCs w:val="20"/>
              </w:rPr>
              <w:t>)</w:t>
            </w:r>
          </w:p>
        </w:tc>
        <w:tc>
          <w:tcPr>
            <w:tcW w:w="0" w:type="auto"/>
            <w:shd w:val="clear" w:color="auto" w:fill="FFFFFF" w:themeFill="background1"/>
            <w:hideMark/>
          </w:tcPr>
          <w:p w14:paraId="4C49C5A1" w14:textId="77777777" w:rsidR="003865D8" w:rsidRPr="00A95B01" w:rsidRDefault="003865D8" w:rsidP="007640AA">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A95B01">
              <w:rPr>
                <w:rFonts w:ascii="Arial" w:hAnsi="Arial" w:cs="Arial"/>
                <w:color w:val="000000" w:themeColor="text1"/>
                <w:sz w:val="20"/>
                <w:szCs w:val="20"/>
              </w:rPr>
              <w:t>12,400</w:t>
            </w:r>
          </w:p>
        </w:tc>
        <w:tc>
          <w:tcPr>
            <w:tcW w:w="0" w:type="auto"/>
            <w:shd w:val="clear" w:color="auto" w:fill="FFFFFF" w:themeFill="background1"/>
            <w:hideMark/>
          </w:tcPr>
          <w:p w14:paraId="4C49C5A2" w14:textId="77777777" w:rsidR="003865D8" w:rsidRPr="00A95B01" w:rsidRDefault="003865D8" w:rsidP="007640AA">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A95B01">
              <w:rPr>
                <w:rFonts w:ascii="Arial" w:hAnsi="Arial" w:cs="Arial"/>
                <w:color w:val="000000" w:themeColor="text1"/>
                <w:sz w:val="20"/>
                <w:szCs w:val="20"/>
              </w:rPr>
              <w:t>6,100</w:t>
            </w:r>
          </w:p>
        </w:tc>
        <w:tc>
          <w:tcPr>
            <w:tcW w:w="0" w:type="auto"/>
            <w:shd w:val="clear" w:color="auto" w:fill="FFFFFF" w:themeFill="background1"/>
            <w:hideMark/>
          </w:tcPr>
          <w:p w14:paraId="4C49C5A3" w14:textId="77777777" w:rsidR="003865D8" w:rsidRPr="00A95B01" w:rsidRDefault="003865D8" w:rsidP="007640AA">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A95B01">
              <w:rPr>
                <w:rFonts w:ascii="Arial" w:hAnsi="Arial" w:cs="Arial"/>
                <w:color w:val="000000" w:themeColor="text1"/>
                <w:sz w:val="20"/>
                <w:szCs w:val="20"/>
              </w:rPr>
              <w:t>6,300</w:t>
            </w:r>
          </w:p>
        </w:tc>
        <w:tc>
          <w:tcPr>
            <w:tcW w:w="0" w:type="auto"/>
            <w:shd w:val="clear" w:color="auto" w:fill="FFFFFF" w:themeFill="background1"/>
            <w:hideMark/>
          </w:tcPr>
          <w:p w14:paraId="4C49C5A4" w14:textId="77777777" w:rsidR="003865D8" w:rsidRPr="00A95B01" w:rsidRDefault="003865D8" w:rsidP="007640AA">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A95B01">
              <w:rPr>
                <w:rFonts w:ascii="Arial" w:hAnsi="Arial" w:cs="Arial"/>
                <w:color w:val="000000" w:themeColor="text1"/>
                <w:sz w:val="20"/>
                <w:szCs w:val="20"/>
              </w:rPr>
              <w:t>51%</w:t>
            </w:r>
          </w:p>
        </w:tc>
      </w:tr>
      <w:tr w:rsidR="00A95B01" w:rsidRPr="007640AA" w14:paraId="4C49C5AB" w14:textId="77777777" w:rsidTr="00A95B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4C49C5A6" w14:textId="77777777" w:rsidR="003865D8" w:rsidRPr="00A95B01" w:rsidRDefault="003865D8" w:rsidP="007640AA">
            <w:pPr>
              <w:jc w:val="both"/>
              <w:rPr>
                <w:rFonts w:ascii="Arial" w:hAnsi="Arial" w:cs="Arial"/>
                <w:b w:val="0"/>
                <w:color w:val="000000" w:themeColor="text1"/>
                <w:sz w:val="20"/>
                <w:szCs w:val="20"/>
              </w:rPr>
            </w:pPr>
            <w:r w:rsidRPr="00A95B01">
              <w:rPr>
                <w:rFonts w:ascii="Arial" w:hAnsi="Arial" w:cs="Arial"/>
                <w:b w:val="0"/>
                <w:color w:val="000000" w:themeColor="text1"/>
                <w:sz w:val="20"/>
                <w:szCs w:val="20"/>
              </w:rPr>
              <w:t>Black Carbon (</w:t>
            </w:r>
            <w:proofErr w:type="spellStart"/>
            <w:r w:rsidRPr="00A95B01">
              <w:rPr>
                <w:rFonts w:ascii="Arial" w:hAnsi="Arial" w:cs="Arial"/>
                <w:b w:val="0"/>
                <w:color w:val="000000" w:themeColor="text1"/>
                <w:sz w:val="20"/>
                <w:szCs w:val="20"/>
              </w:rPr>
              <w:t>tonnes</w:t>
            </w:r>
            <w:proofErr w:type="spellEnd"/>
            <w:r w:rsidRPr="00A95B01">
              <w:rPr>
                <w:rFonts w:ascii="Arial" w:hAnsi="Arial" w:cs="Arial"/>
                <w:b w:val="0"/>
                <w:color w:val="000000" w:themeColor="text1"/>
                <w:sz w:val="20"/>
                <w:szCs w:val="20"/>
              </w:rPr>
              <w:t>)</w:t>
            </w:r>
          </w:p>
        </w:tc>
        <w:tc>
          <w:tcPr>
            <w:tcW w:w="0" w:type="auto"/>
            <w:shd w:val="clear" w:color="auto" w:fill="FFFFFF" w:themeFill="background1"/>
            <w:hideMark/>
          </w:tcPr>
          <w:p w14:paraId="4C49C5A7" w14:textId="77777777" w:rsidR="003865D8" w:rsidRPr="00A95B01" w:rsidRDefault="003865D8" w:rsidP="007640AA">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A95B01">
              <w:rPr>
                <w:rFonts w:ascii="Arial" w:hAnsi="Arial" w:cs="Arial"/>
                <w:color w:val="000000" w:themeColor="text1"/>
                <w:sz w:val="20"/>
                <w:szCs w:val="20"/>
              </w:rPr>
              <w:t>8.6</w:t>
            </w:r>
          </w:p>
        </w:tc>
        <w:tc>
          <w:tcPr>
            <w:tcW w:w="0" w:type="auto"/>
            <w:shd w:val="clear" w:color="auto" w:fill="FFFFFF" w:themeFill="background1"/>
            <w:hideMark/>
          </w:tcPr>
          <w:p w14:paraId="4C49C5A8" w14:textId="77777777" w:rsidR="003865D8" w:rsidRPr="00A95B01" w:rsidRDefault="003865D8" w:rsidP="007640AA">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A95B01">
              <w:rPr>
                <w:rFonts w:ascii="Arial" w:hAnsi="Arial" w:cs="Arial"/>
                <w:color w:val="000000" w:themeColor="text1"/>
                <w:sz w:val="20"/>
                <w:szCs w:val="20"/>
              </w:rPr>
              <w:t>3.9</w:t>
            </w:r>
          </w:p>
        </w:tc>
        <w:tc>
          <w:tcPr>
            <w:tcW w:w="0" w:type="auto"/>
            <w:shd w:val="clear" w:color="auto" w:fill="FFFFFF" w:themeFill="background1"/>
            <w:hideMark/>
          </w:tcPr>
          <w:p w14:paraId="4C49C5A9" w14:textId="77777777" w:rsidR="003865D8" w:rsidRPr="00A95B01" w:rsidRDefault="003865D8" w:rsidP="007640AA">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A95B01">
              <w:rPr>
                <w:rFonts w:ascii="Arial" w:hAnsi="Arial" w:cs="Arial"/>
                <w:color w:val="000000" w:themeColor="text1"/>
                <w:sz w:val="20"/>
                <w:szCs w:val="20"/>
              </w:rPr>
              <w:t>4.7</w:t>
            </w:r>
          </w:p>
        </w:tc>
        <w:tc>
          <w:tcPr>
            <w:tcW w:w="0" w:type="auto"/>
            <w:shd w:val="clear" w:color="auto" w:fill="FFFFFF" w:themeFill="background1"/>
            <w:hideMark/>
          </w:tcPr>
          <w:p w14:paraId="4C49C5AA" w14:textId="77777777" w:rsidR="003865D8" w:rsidRPr="00A95B01" w:rsidRDefault="003865D8" w:rsidP="007640AA">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A95B01">
              <w:rPr>
                <w:rFonts w:ascii="Arial" w:hAnsi="Arial" w:cs="Arial"/>
                <w:color w:val="000000" w:themeColor="text1"/>
                <w:sz w:val="20"/>
                <w:szCs w:val="20"/>
              </w:rPr>
              <w:t>55%</w:t>
            </w:r>
          </w:p>
        </w:tc>
      </w:tr>
    </w:tbl>
    <w:p w14:paraId="4C49C5AC" w14:textId="77777777" w:rsidR="003865D8" w:rsidRPr="00DA1598" w:rsidRDefault="009A26D3" w:rsidP="00DA1598">
      <w:pPr>
        <w:pStyle w:val="NormalWeb"/>
        <w:spacing w:before="0" w:beforeAutospacing="0"/>
        <w:jc w:val="both"/>
        <w:rPr>
          <w:rFonts w:ascii="Arial" w:hAnsi="Arial" w:cs="Arial"/>
          <w:b/>
          <w:i/>
          <w:color w:val="000000" w:themeColor="text1"/>
          <w:sz w:val="20"/>
          <w:szCs w:val="20"/>
        </w:rPr>
      </w:pPr>
      <w:r w:rsidRPr="00900D1A">
        <w:rPr>
          <w:rStyle w:val="Strong"/>
          <w:rFonts w:ascii="Arial" w:eastAsia="Calibri" w:hAnsi="Arial" w:cs="Arial"/>
          <w:i/>
          <w:color w:val="000000" w:themeColor="text1"/>
          <w:sz w:val="20"/>
          <w:szCs w:val="20"/>
        </w:rPr>
        <w:t>Source:</w:t>
      </w:r>
      <w:r w:rsidRPr="00900D1A">
        <w:rPr>
          <w:rFonts w:ascii="Arial" w:hAnsi="Arial" w:cs="Arial"/>
          <w:b/>
          <w:i/>
          <w:color w:val="000000" w:themeColor="text1"/>
          <w:sz w:val="20"/>
          <w:szCs w:val="20"/>
        </w:rPr>
        <w:t xml:space="preserve"> Field deployment evaluation, (2026)</w:t>
      </w:r>
    </w:p>
    <w:p w14:paraId="4C49C5AD" w14:textId="77777777" w:rsidR="003865D8" w:rsidRPr="007640AA" w:rsidRDefault="00DA1598" w:rsidP="007640AA">
      <w:pPr>
        <w:pStyle w:val="Heading2"/>
        <w:spacing w:line="240" w:lineRule="auto"/>
        <w:jc w:val="both"/>
        <w:rPr>
          <w:rFonts w:ascii="Arial" w:hAnsi="Arial" w:cs="Arial"/>
          <w:color w:val="000000" w:themeColor="text1"/>
          <w:sz w:val="20"/>
          <w:szCs w:val="20"/>
        </w:rPr>
      </w:pPr>
      <w:r>
        <w:rPr>
          <w:rStyle w:val="Strong"/>
          <w:rFonts w:ascii="Arial" w:hAnsi="Arial" w:cs="Arial"/>
          <w:b/>
          <w:bCs/>
          <w:color w:val="000000" w:themeColor="text1"/>
          <w:sz w:val="20"/>
          <w:szCs w:val="20"/>
        </w:rPr>
        <w:t>Table 4.7</w:t>
      </w:r>
      <w:r w:rsidR="003865D8" w:rsidRPr="007640AA">
        <w:rPr>
          <w:rStyle w:val="Strong"/>
          <w:rFonts w:ascii="Arial" w:hAnsi="Arial" w:cs="Arial"/>
          <w:b/>
          <w:bCs/>
          <w:color w:val="000000" w:themeColor="text1"/>
          <w:sz w:val="20"/>
          <w:szCs w:val="20"/>
        </w:rPr>
        <w:t xml:space="preserve"> Cost-Benefit Analysis per Unit (5-Year Projection)</w:t>
      </w:r>
    </w:p>
    <w:tbl>
      <w:tblPr>
        <w:tblStyle w:val="LightShading"/>
        <w:tblW w:w="9288" w:type="dxa"/>
        <w:tblLook w:val="04A0" w:firstRow="1" w:lastRow="0" w:firstColumn="1" w:lastColumn="0" w:noHBand="0" w:noVBand="1"/>
      </w:tblPr>
      <w:tblGrid>
        <w:gridCol w:w="5598"/>
        <w:gridCol w:w="3690"/>
      </w:tblGrid>
      <w:tr w:rsidR="003865D8" w:rsidRPr="007640AA" w14:paraId="4C49C5B0" w14:textId="77777777" w:rsidTr="00D3448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98" w:type="dxa"/>
            <w:shd w:val="clear" w:color="auto" w:fill="FFFFFF" w:themeFill="background1"/>
            <w:hideMark/>
          </w:tcPr>
          <w:p w14:paraId="4C49C5AE" w14:textId="77777777" w:rsidR="003865D8" w:rsidRPr="00D3448A" w:rsidRDefault="003865D8" w:rsidP="007640AA">
            <w:pPr>
              <w:jc w:val="both"/>
              <w:rPr>
                <w:rFonts w:ascii="Arial" w:hAnsi="Arial" w:cs="Arial"/>
                <w:color w:val="000000" w:themeColor="text1"/>
                <w:sz w:val="20"/>
                <w:szCs w:val="20"/>
              </w:rPr>
            </w:pPr>
            <w:r w:rsidRPr="00D3448A">
              <w:rPr>
                <w:rFonts w:ascii="Arial" w:hAnsi="Arial" w:cs="Arial"/>
                <w:bCs w:val="0"/>
                <w:color w:val="000000" w:themeColor="text1"/>
                <w:sz w:val="20"/>
                <w:szCs w:val="20"/>
              </w:rPr>
              <w:t>Parameter</w:t>
            </w:r>
          </w:p>
        </w:tc>
        <w:tc>
          <w:tcPr>
            <w:tcW w:w="3690" w:type="dxa"/>
            <w:shd w:val="clear" w:color="auto" w:fill="FFFFFF" w:themeFill="background1"/>
            <w:hideMark/>
          </w:tcPr>
          <w:p w14:paraId="4C49C5AF" w14:textId="77777777" w:rsidR="003865D8" w:rsidRPr="00D3448A" w:rsidRDefault="003865D8" w:rsidP="007640AA">
            <w:pPr>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D3448A">
              <w:rPr>
                <w:rFonts w:ascii="Arial" w:hAnsi="Arial" w:cs="Arial"/>
                <w:bCs w:val="0"/>
                <w:color w:val="000000" w:themeColor="text1"/>
                <w:sz w:val="20"/>
                <w:szCs w:val="20"/>
              </w:rPr>
              <w:t>Value</w:t>
            </w:r>
          </w:p>
        </w:tc>
      </w:tr>
      <w:tr w:rsidR="003865D8" w:rsidRPr="007640AA" w14:paraId="4C49C5B3" w14:textId="77777777" w:rsidTr="00D344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98" w:type="dxa"/>
            <w:shd w:val="clear" w:color="auto" w:fill="FFFFFF" w:themeFill="background1"/>
            <w:hideMark/>
          </w:tcPr>
          <w:p w14:paraId="4C49C5B1" w14:textId="77777777" w:rsidR="003865D8" w:rsidRPr="00D3448A" w:rsidRDefault="003865D8" w:rsidP="00D3448A">
            <w:pPr>
              <w:tabs>
                <w:tab w:val="center" w:pos="2691"/>
              </w:tabs>
              <w:jc w:val="both"/>
              <w:rPr>
                <w:rFonts w:ascii="Arial" w:hAnsi="Arial" w:cs="Arial"/>
                <w:b w:val="0"/>
                <w:color w:val="000000" w:themeColor="text1"/>
                <w:sz w:val="20"/>
                <w:szCs w:val="20"/>
              </w:rPr>
            </w:pPr>
            <w:r w:rsidRPr="00D3448A">
              <w:rPr>
                <w:rFonts w:ascii="Arial" w:hAnsi="Arial" w:cs="Arial"/>
                <w:b w:val="0"/>
                <w:color w:val="000000" w:themeColor="text1"/>
                <w:sz w:val="20"/>
                <w:szCs w:val="20"/>
              </w:rPr>
              <w:t>Capital Cost</w:t>
            </w:r>
            <w:r w:rsidR="00D3448A" w:rsidRPr="00D3448A">
              <w:rPr>
                <w:rFonts w:ascii="Arial" w:hAnsi="Arial" w:cs="Arial"/>
                <w:b w:val="0"/>
                <w:color w:val="000000" w:themeColor="text1"/>
                <w:sz w:val="20"/>
                <w:szCs w:val="20"/>
              </w:rPr>
              <w:tab/>
            </w:r>
          </w:p>
        </w:tc>
        <w:tc>
          <w:tcPr>
            <w:tcW w:w="3690" w:type="dxa"/>
            <w:shd w:val="clear" w:color="auto" w:fill="FFFFFF" w:themeFill="background1"/>
            <w:hideMark/>
          </w:tcPr>
          <w:p w14:paraId="4C49C5B2" w14:textId="77777777" w:rsidR="003865D8" w:rsidRPr="00D3448A" w:rsidRDefault="003865D8" w:rsidP="007640AA">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D3448A">
              <w:rPr>
                <w:rFonts w:ascii="Arial" w:hAnsi="Arial" w:cs="Arial"/>
                <w:color w:val="000000" w:themeColor="text1"/>
                <w:sz w:val="20"/>
                <w:szCs w:val="20"/>
              </w:rPr>
              <w:t>$4,850</w:t>
            </w:r>
          </w:p>
        </w:tc>
      </w:tr>
      <w:tr w:rsidR="003865D8" w:rsidRPr="007640AA" w14:paraId="4C49C5B6" w14:textId="77777777" w:rsidTr="00D3448A">
        <w:tc>
          <w:tcPr>
            <w:cnfStyle w:val="001000000000" w:firstRow="0" w:lastRow="0" w:firstColumn="1" w:lastColumn="0" w:oddVBand="0" w:evenVBand="0" w:oddHBand="0" w:evenHBand="0" w:firstRowFirstColumn="0" w:firstRowLastColumn="0" w:lastRowFirstColumn="0" w:lastRowLastColumn="0"/>
            <w:tcW w:w="5598" w:type="dxa"/>
            <w:shd w:val="clear" w:color="auto" w:fill="FFFFFF" w:themeFill="background1"/>
            <w:hideMark/>
          </w:tcPr>
          <w:p w14:paraId="4C49C5B4" w14:textId="77777777" w:rsidR="003865D8" w:rsidRPr="00D3448A" w:rsidRDefault="003865D8" w:rsidP="007640AA">
            <w:pPr>
              <w:jc w:val="both"/>
              <w:rPr>
                <w:rFonts w:ascii="Arial" w:hAnsi="Arial" w:cs="Arial"/>
                <w:b w:val="0"/>
                <w:color w:val="000000" w:themeColor="text1"/>
                <w:sz w:val="20"/>
                <w:szCs w:val="20"/>
              </w:rPr>
            </w:pPr>
            <w:r w:rsidRPr="00D3448A">
              <w:rPr>
                <w:rFonts w:ascii="Arial" w:hAnsi="Arial" w:cs="Arial"/>
                <w:b w:val="0"/>
                <w:color w:val="000000" w:themeColor="text1"/>
                <w:sz w:val="20"/>
                <w:szCs w:val="20"/>
              </w:rPr>
              <w:t>Annual O&amp;M Cost</w:t>
            </w:r>
          </w:p>
        </w:tc>
        <w:tc>
          <w:tcPr>
            <w:tcW w:w="3690" w:type="dxa"/>
            <w:shd w:val="clear" w:color="auto" w:fill="FFFFFF" w:themeFill="background1"/>
            <w:hideMark/>
          </w:tcPr>
          <w:p w14:paraId="4C49C5B5" w14:textId="77777777" w:rsidR="003865D8" w:rsidRPr="00D3448A" w:rsidRDefault="003865D8" w:rsidP="007640AA">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D3448A">
              <w:rPr>
                <w:rFonts w:ascii="Arial" w:hAnsi="Arial" w:cs="Arial"/>
                <w:color w:val="000000" w:themeColor="text1"/>
                <w:sz w:val="20"/>
                <w:szCs w:val="20"/>
              </w:rPr>
              <w:t>$1,200</w:t>
            </w:r>
          </w:p>
        </w:tc>
      </w:tr>
      <w:tr w:rsidR="003865D8" w:rsidRPr="007640AA" w14:paraId="4C49C5B9" w14:textId="77777777" w:rsidTr="00D344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98" w:type="dxa"/>
            <w:shd w:val="clear" w:color="auto" w:fill="FFFFFF" w:themeFill="background1"/>
            <w:hideMark/>
          </w:tcPr>
          <w:p w14:paraId="4C49C5B7" w14:textId="77777777" w:rsidR="003865D8" w:rsidRPr="00D3448A" w:rsidRDefault="003865D8" w:rsidP="007640AA">
            <w:pPr>
              <w:jc w:val="both"/>
              <w:rPr>
                <w:rFonts w:ascii="Arial" w:hAnsi="Arial" w:cs="Arial"/>
                <w:b w:val="0"/>
                <w:color w:val="000000" w:themeColor="text1"/>
                <w:sz w:val="20"/>
                <w:szCs w:val="20"/>
              </w:rPr>
            </w:pPr>
            <w:r w:rsidRPr="00D3448A">
              <w:rPr>
                <w:rFonts w:ascii="Arial" w:hAnsi="Arial" w:cs="Arial"/>
                <w:b w:val="0"/>
                <w:color w:val="000000" w:themeColor="text1"/>
                <w:sz w:val="20"/>
                <w:szCs w:val="20"/>
              </w:rPr>
              <w:t>Carbon Credit Value ($30/</w:t>
            </w:r>
            <w:proofErr w:type="spellStart"/>
            <w:r w:rsidRPr="00D3448A">
              <w:rPr>
                <w:rFonts w:ascii="Arial" w:hAnsi="Arial" w:cs="Arial"/>
                <w:b w:val="0"/>
                <w:color w:val="000000" w:themeColor="text1"/>
                <w:sz w:val="20"/>
                <w:szCs w:val="20"/>
              </w:rPr>
              <w:t>tCO</w:t>
            </w:r>
            <w:r w:rsidRPr="00D3448A">
              <w:rPr>
                <w:rFonts w:ascii="Cambria Math" w:hAnsi="Cambria Math" w:cs="Arial"/>
                <w:b w:val="0"/>
                <w:color w:val="000000" w:themeColor="text1"/>
                <w:sz w:val="20"/>
                <w:szCs w:val="20"/>
              </w:rPr>
              <w:t>₂</w:t>
            </w:r>
            <w:r w:rsidRPr="00D3448A">
              <w:rPr>
                <w:rFonts w:ascii="Arial" w:hAnsi="Arial" w:cs="Arial"/>
                <w:b w:val="0"/>
                <w:color w:val="000000" w:themeColor="text1"/>
                <w:sz w:val="20"/>
                <w:szCs w:val="20"/>
              </w:rPr>
              <w:t>e</w:t>
            </w:r>
            <w:proofErr w:type="spellEnd"/>
            <w:r w:rsidRPr="00D3448A">
              <w:rPr>
                <w:rFonts w:ascii="Arial" w:hAnsi="Arial" w:cs="Arial"/>
                <w:b w:val="0"/>
                <w:color w:val="000000" w:themeColor="text1"/>
                <w:sz w:val="20"/>
                <w:szCs w:val="20"/>
              </w:rPr>
              <w:t>)</w:t>
            </w:r>
          </w:p>
        </w:tc>
        <w:tc>
          <w:tcPr>
            <w:tcW w:w="3690" w:type="dxa"/>
            <w:shd w:val="clear" w:color="auto" w:fill="FFFFFF" w:themeFill="background1"/>
            <w:hideMark/>
          </w:tcPr>
          <w:p w14:paraId="4C49C5B8" w14:textId="77777777" w:rsidR="003865D8" w:rsidRPr="00D3448A" w:rsidRDefault="003865D8" w:rsidP="007640AA">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D3448A">
              <w:rPr>
                <w:rFonts w:ascii="Arial" w:hAnsi="Arial" w:cs="Arial"/>
                <w:color w:val="000000" w:themeColor="text1"/>
                <w:sz w:val="20"/>
                <w:szCs w:val="20"/>
              </w:rPr>
              <w:t>$2.46 million over 5 yrs</w:t>
            </w:r>
          </w:p>
        </w:tc>
      </w:tr>
      <w:tr w:rsidR="003865D8" w:rsidRPr="007640AA" w14:paraId="4C49C5BC" w14:textId="77777777" w:rsidTr="00D3448A">
        <w:tc>
          <w:tcPr>
            <w:cnfStyle w:val="001000000000" w:firstRow="0" w:lastRow="0" w:firstColumn="1" w:lastColumn="0" w:oddVBand="0" w:evenVBand="0" w:oddHBand="0" w:evenHBand="0" w:firstRowFirstColumn="0" w:firstRowLastColumn="0" w:lastRowFirstColumn="0" w:lastRowLastColumn="0"/>
            <w:tcW w:w="5598" w:type="dxa"/>
            <w:shd w:val="clear" w:color="auto" w:fill="FFFFFF" w:themeFill="background1"/>
            <w:hideMark/>
          </w:tcPr>
          <w:p w14:paraId="4C49C5BA" w14:textId="77777777" w:rsidR="003865D8" w:rsidRPr="00D3448A" w:rsidRDefault="003865D8" w:rsidP="007640AA">
            <w:pPr>
              <w:jc w:val="both"/>
              <w:rPr>
                <w:rFonts w:ascii="Arial" w:hAnsi="Arial" w:cs="Arial"/>
                <w:b w:val="0"/>
                <w:color w:val="000000" w:themeColor="text1"/>
                <w:sz w:val="20"/>
                <w:szCs w:val="20"/>
              </w:rPr>
            </w:pPr>
            <w:r w:rsidRPr="00D3448A">
              <w:rPr>
                <w:rFonts w:ascii="Arial" w:hAnsi="Arial" w:cs="Arial"/>
                <w:b w:val="0"/>
                <w:color w:val="000000" w:themeColor="text1"/>
                <w:sz w:val="20"/>
                <w:szCs w:val="20"/>
              </w:rPr>
              <w:t>Payback Period</w:t>
            </w:r>
          </w:p>
        </w:tc>
        <w:tc>
          <w:tcPr>
            <w:tcW w:w="3690" w:type="dxa"/>
            <w:shd w:val="clear" w:color="auto" w:fill="FFFFFF" w:themeFill="background1"/>
            <w:hideMark/>
          </w:tcPr>
          <w:p w14:paraId="4C49C5BB" w14:textId="77777777" w:rsidR="003865D8" w:rsidRPr="00D3448A" w:rsidRDefault="003865D8" w:rsidP="007640AA">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D3448A">
              <w:rPr>
                <w:rFonts w:ascii="Arial" w:hAnsi="Arial" w:cs="Arial"/>
                <w:color w:val="000000" w:themeColor="text1"/>
                <w:sz w:val="20"/>
                <w:szCs w:val="20"/>
              </w:rPr>
              <w:t>&lt; 6 months</w:t>
            </w:r>
          </w:p>
        </w:tc>
      </w:tr>
      <w:tr w:rsidR="003865D8" w:rsidRPr="007640AA" w14:paraId="4C49C5BF" w14:textId="77777777" w:rsidTr="00D344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98" w:type="dxa"/>
            <w:shd w:val="clear" w:color="auto" w:fill="FFFFFF" w:themeFill="background1"/>
            <w:hideMark/>
          </w:tcPr>
          <w:p w14:paraId="4C49C5BD" w14:textId="77777777" w:rsidR="003865D8" w:rsidRPr="00D3448A" w:rsidRDefault="003865D8" w:rsidP="007640AA">
            <w:pPr>
              <w:jc w:val="both"/>
              <w:rPr>
                <w:rFonts w:ascii="Arial" w:hAnsi="Arial" w:cs="Arial"/>
                <w:b w:val="0"/>
                <w:color w:val="000000" w:themeColor="text1"/>
                <w:sz w:val="20"/>
                <w:szCs w:val="20"/>
              </w:rPr>
            </w:pPr>
            <w:r w:rsidRPr="00D3448A">
              <w:rPr>
                <w:rFonts w:ascii="Arial" w:hAnsi="Arial" w:cs="Arial"/>
                <w:b w:val="0"/>
                <w:color w:val="000000" w:themeColor="text1"/>
                <w:sz w:val="20"/>
                <w:szCs w:val="20"/>
              </w:rPr>
              <w:t>Net Present Value (5 yrs, 8% discount)</w:t>
            </w:r>
          </w:p>
        </w:tc>
        <w:tc>
          <w:tcPr>
            <w:tcW w:w="3690" w:type="dxa"/>
            <w:shd w:val="clear" w:color="auto" w:fill="FFFFFF" w:themeFill="background1"/>
            <w:hideMark/>
          </w:tcPr>
          <w:p w14:paraId="4C49C5BE" w14:textId="77777777" w:rsidR="003865D8" w:rsidRPr="00D3448A" w:rsidRDefault="003865D8" w:rsidP="007640AA">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D3448A">
              <w:rPr>
                <w:rFonts w:ascii="Arial" w:hAnsi="Arial" w:cs="Arial"/>
                <w:color w:val="000000" w:themeColor="text1"/>
                <w:sz w:val="20"/>
                <w:szCs w:val="20"/>
              </w:rPr>
              <w:t>$1.89 million</w:t>
            </w:r>
          </w:p>
        </w:tc>
      </w:tr>
      <w:tr w:rsidR="003865D8" w:rsidRPr="007640AA" w14:paraId="4C49C5C2" w14:textId="77777777" w:rsidTr="00D3448A">
        <w:tc>
          <w:tcPr>
            <w:cnfStyle w:val="001000000000" w:firstRow="0" w:lastRow="0" w:firstColumn="1" w:lastColumn="0" w:oddVBand="0" w:evenVBand="0" w:oddHBand="0" w:evenHBand="0" w:firstRowFirstColumn="0" w:firstRowLastColumn="0" w:lastRowFirstColumn="0" w:lastRowLastColumn="0"/>
            <w:tcW w:w="5598" w:type="dxa"/>
            <w:shd w:val="clear" w:color="auto" w:fill="FFFFFF" w:themeFill="background1"/>
            <w:hideMark/>
          </w:tcPr>
          <w:p w14:paraId="4C49C5C0" w14:textId="77777777" w:rsidR="003865D8" w:rsidRPr="00D3448A" w:rsidRDefault="003865D8" w:rsidP="00FF25BD">
            <w:pPr>
              <w:jc w:val="both"/>
              <w:rPr>
                <w:rFonts w:ascii="Arial" w:hAnsi="Arial" w:cs="Arial"/>
                <w:b w:val="0"/>
                <w:color w:val="000000" w:themeColor="text1"/>
                <w:sz w:val="20"/>
                <w:szCs w:val="20"/>
              </w:rPr>
            </w:pPr>
            <w:r w:rsidRPr="00D3448A">
              <w:rPr>
                <w:rFonts w:ascii="Arial" w:hAnsi="Arial" w:cs="Arial"/>
                <w:b w:val="0"/>
                <w:color w:val="000000" w:themeColor="text1"/>
                <w:sz w:val="20"/>
                <w:szCs w:val="20"/>
              </w:rPr>
              <w:t>Benefit-Cost Ratio</w:t>
            </w:r>
          </w:p>
        </w:tc>
        <w:tc>
          <w:tcPr>
            <w:tcW w:w="3690" w:type="dxa"/>
            <w:shd w:val="clear" w:color="auto" w:fill="FFFFFF" w:themeFill="background1"/>
            <w:hideMark/>
          </w:tcPr>
          <w:p w14:paraId="4C49C5C1" w14:textId="77777777" w:rsidR="003865D8" w:rsidRPr="00D3448A" w:rsidRDefault="003865D8" w:rsidP="00FF25BD">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D3448A">
              <w:rPr>
                <w:rFonts w:ascii="Arial" w:hAnsi="Arial" w:cs="Arial"/>
                <w:color w:val="000000" w:themeColor="text1"/>
                <w:sz w:val="20"/>
                <w:szCs w:val="20"/>
              </w:rPr>
              <w:t>9.4</w:t>
            </w:r>
          </w:p>
        </w:tc>
      </w:tr>
    </w:tbl>
    <w:p w14:paraId="4C49C5C3" w14:textId="77777777" w:rsidR="003865D8" w:rsidRPr="00B32A09" w:rsidRDefault="003865D8" w:rsidP="00FF25BD">
      <w:pPr>
        <w:pStyle w:val="NormalWeb"/>
        <w:spacing w:before="0" w:beforeAutospacing="0"/>
        <w:jc w:val="both"/>
        <w:rPr>
          <w:rFonts w:ascii="Arial" w:hAnsi="Arial" w:cs="Arial"/>
          <w:b/>
          <w:i/>
          <w:color w:val="000000" w:themeColor="text1"/>
          <w:sz w:val="20"/>
          <w:szCs w:val="20"/>
        </w:rPr>
      </w:pPr>
      <w:r w:rsidRPr="00B32A09">
        <w:rPr>
          <w:rStyle w:val="Strong"/>
          <w:rFonts w:ascii="Arial" w:eastAsia="Calibri" w:hAnsi="Arial" w:cs="Arial"/>
          <w:i/>
          <w:color w:val="000000" w:themeColor="text1"/>
          <w:sz w:val="20"/>
          <w:szCs w:val="20"/>
        </w:rPr>
        <w:t>Source:</w:t>
      </w:r>
      <w:r w:rsidRPr="00B32A09">
        <w:rPr>
          <w:rFonts w:ascii="Arial" w:hAnsi="Arial" w:cs="Arial"/>
          <w:b/>
          <w:i/>
          <w:color w:val="000000" w:themeColor="text1"/>
          <w:sz w:val="20"/>
          <w:szCs w:val="20"/>
        </w:rPr>
        <w:t xml:space="preserve"> Econo</w:t>
      </w:r>
      <w:r w:rsidR="00FF25BD" w:rsidRPr="00B32A09">
        <w:rPr>
          <w:rFonts w:ascii="Arial" w:hAnsi="Arial" w:cs="Arial"/>
          <w:b/>
          <w:i/>
          <w:color w:val="000000" w:themeColor="text1"/>
          <w:sz w:val="20"/>
          <w:szCs w:val="20"/>
        </w:rPr>
        <w:t>mic feasibility assessment, (2026)</w:t>
      </w:r>
    </w:p>
    <w:p w14:paraId="4C49C5C4" w14:textId="77777777" w:rsidR="003865D8" w:rsidRPr="007640AA" w:rsidRDefault="00726FF7" w:rsidP="00FF25BD">
      <w:pPr>
        <w:pStyle w:val="Heading2"/>
        <w:spacing w:before="0" w:line="240" w:lineRule="auto"/>
        <w:jc w:val="both"/>
        <w:rPr>
          <w:rFonts w:ascii="Arial" w:hAnsi="Arial" w:cs="Arial"/>
          <w:color w:val="000000" w:themeColor="text1"/>
          <w:sz w:val="20"/>
          <w:szCs w:val="20"/>
        </w:rPr>
      </w:pPr>
      <w:r>
        <w:rPr>
          <w:rStyle w:val="Strong"/>
          <w:rFonts w:ascii="Arial" w:hAnsi="Arial" w:cs="Arial"/>
          <w:b/>
          <w:bCs/>
          <w:color w:val="000000" w:themeColor="text1"/>
          <w:sz w:val="20"/>
          <w:szCs w:val="20"/>
        </w:rPr>
        <w:t>Table 4.8</w:t>
      </w:r>
      <w:r w:rsidR="003865D8" w:rsidRPr="007640AA">
        <w:rPr>
          <w:rStyle w:val="Strong"/>
          <w:rFonts w:ascii="Arial" w:hAnsi="Arial" w:cs="Arial"/>
          <w:b/>
          <w:bCs/>
          <w:color w:val="000000" w:themeColor="text1"/>
          <w:sz w:val="20"/>
          <w:szCs w:val="20"/>
        </w:rPr>
        <w:t xml:space="preserve"> Prototype vs. Conventional CCS Systems</w:t>
      </w:r>
    </w:p>
    <w:tbl>
      <w:tblPr>
        <w:tblStyle w:val="LightShading"/>
        <w:tblW w:w="9288" w:type="dxa"/>
        <w:tblLook w:val="04A0" w:firstRow="1" w:lastRow="0" w:firstColumn="1" w:lastColumn="0" w:noHBand="0" w:noVBand="1"/>
      </w:tblPr>
      <w:tblGrid>
        <w:gridCol w:w="3528"/>
        <w:gridCol w:w="2610"/>
        <w:gridCol w:w="3150"/>
      </w:tblGrid>
      <w:tr w:rsidR="003865D8" w:rsidRPr="007640AA" w14:paraId="4C49C5C8" w14:textId="77777777" w:rsidTr="00726FF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28" w:type="dxa"/>
            <w:shd w:val="clear" w:color="auto" w:fill="FFFFFF" w:themeFill="background1"/>
            <w:hideMark/>
          </w:tcPr>
          <w:p w14:paraId="4C49C5C5" w14:textId="77777777" w:rsidR="003865D8" w:rsidRPr="00726FF7" w:rsidRDefault="003865D8" w:rsidP="007640AA">
            <w:pPr>
              <w:jc w:val="both"/>
              <w:rPr>
                <w:rFonts w:ascii="Arial" w:hAnsi="Arial" w:cs="Arial"/>
                <w:color w:val="000000" w:themeColor="text1"/>
                <w:sz w:val="20"/>
                <w:szCs w:val="20"/>
              </w:rPr>
            </w:pPr>
            <w:r w:rsidRPr="00726FF7">
              <w:rPr>
                <w:rFonts w:ascii="Arial" w:hAnsi="Arial" w:cs="Arial"/>
                <w:bCs w:val="0"/>
                <w:color w:val="000000" w:themeColor="text1"/>
                <w:sz w:val="20"/>
                <w:szCs w:val="20"/>
              </w:rPr>
              <w:t>Parameter</w:t>
            </w:r>
          </w:p>
        </w:tc>
        <w:tc>
          <w:tcPr>
            <w:tcW w:w="2610" w:type="dxa"/>
            <w:shd w:val="clear" w:color="auto" w:fill="FFFFFF" w:themeFill="background1"/>
            <w:hideMark/>
          </w:tcPr>
          <w:p w14:paraId="4C49C5C6" w14:textId="77777777" w:rsidR="003865D8" w:rsidRPr="00726FF7" w:rsidRDefault="003865D8" w:rsidP="007640AA">
            <w:pPr>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726FF7">
              <w:rPr>
                <w:rFonts w:ascii="Arial" w:hAnsi="Arial" w:cs="Arial"/>
                <w:bCs w:val="0"/>
                <w:color w:val="000000" w:themeColor="text1"/>
                <w:sz w:val="20"/>
                <w:szCs w:val="20"/>
              </w:rPr>
              <w:t>Portable Prototype</w:t>
            </w:r>
          </w:p>
        </w:tc>
        <w:tc>
          <w:tcPr>
            <w:tcW w:w="3150" w:type="dxa"/>
            <w:shd w:val="clear" w:color="auto" w:fill="FFFFFF" w:themeFill="background1"/>
            <w:hideMark/>
          </w:tcPr>
          <w:p w14:paraId="4C49C5C7" w14:textId="77777777" w:rsidR="003865D8" w:rsidRPr="00726FF7" w:rsidRDefault="003865D8" w:rsidP="007640AA">
            <w:pPr>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726FF7">
              <w:rPr>
                <w:rFonts w:ascii="Arial" w:hAnsi="Arial" w:cs="Arial"/>
                <w:bCs w:val="0"/>
                <w:color w:val="000000" w:themeColor="text1"/>
                <w:sz w:val="20"/>
                <w:szCs w:val="20"/>
              </w:rPr>
              <w:t>Conventional CCS Plant</w:t>
            </w:r>
          </w:p>
        </w:tc>
      </w:tr>
      <w:tr w:rsidR="003865D8" w:rsidRPr="007640AA" w14:paraId="4C49C5CC" w14:textId="77777777" w:rsidTr="00726F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28" w:type="dxa"/>
            <w:shd w:val="clear" w:color="auto" w:fill="FFFFFF" w:themeFill="background1"/>
            <w:hideMark/>
          </w:tcPr>
          <w:p w14:paraId="4C49C5C9" w14:textId="77777777" w:rsidR="003865D8" w:rsidRPr="00726FF7" w:rsidRDefault="003865D8" w:rsidP="007640AA">
            <w:pPr>
              <w:jc w:val="both"/>
              <w:rPr>
                <w:rFonts w:ascii="Arial" w:hAnsi="Arial" w:cs="Arial"/>
                <w:b w:val="0"/>
                <w:color w:val="000000" w:themeColor="text1"/>
                <w:sz w:val="20"/>
                <w:szCs w:val="20"/>
              </w:rPr>
            </w:pPr>
            <w:r w:rsidRPr="00726FF7">
              <w:rPr>
                <w:rFonts w:ascii="Arial" w:hAnsi="Arial" w:cs="Arial"/>
                <w:b w:val="0"/>
                <w:color w:val="000000" w:themeColor="text1"/>
                <w:sz w:val="20"/>
                <w:szCs w:val="20"/>
              </w:rPr>
              <w:t>Capital Cost</w:t>
            </w:r>
          </w:p>
        </w:tc>
        <w:tc>
          <w:tcPr>
            <w:tcW w:w="2610" w:type="dxa"/>
            <w:shd w:val="clear" w:color="auto" w:fill="FFFFFF" w:themeFill="background1"/>
            <w:hideMark/>
          </w:tcPr>
          <w:p w14:paraId="4C49C5CA" w14:textId="77777777" w:rsidR="003865D8" w:rsidRPr="00726FF7" w:rsidRDefault="003865D8" w:rsidP="007640AA">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726FF7">
              <w:rPr>
                <w:rFonts w:ascii="Arial" w:hAnsi="Arial" w:cs="Arial"/>
                <w:color w:val="000000" w:themeColor="text1"/>
                <w:sz w:val="20"/>
                <w:szCs w:val="20"/>
              </w:rPr>
              <w:t>$4,850</w:t>
            </w:r>
          </w:p>
        </w:tc>
        <w:tc>
          <w:tcPr>
            <w:tcW w:w="3150" w:type="dxa"/>
            <w:shd w:val="clear" w:color="auto" w:fill="FFFFFF" w:themeFill="background1"/>
            <w:hideMark/>
          </w:tcPr>
          <w:p w14:paraId="4C49C5CB" w14:textId="77777777" w:rsidR="003865D8" w:rsidRPr="00726FF7" w:rsidRDefault="003865D8" w:rsidP="007640AA">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726FF7">
              <w:rPr>
                <w:rFonts w:ascii="Arial" w:hAnsi="Arial" w:cs="Arial"/>
                <w:color w:val="000000" w:themeColor="text1"/>
                <w:sz w:val="20"/>
                <w:szCs w:val="20"/>
              </w:rPr>
              <w:t>$50–150 million</w:t>
            </w:r>
          </w:p>
        </w:tc>
      </w:tr>
      <w:tr w:rsidR="003865D8" w:rsidRPr="007640AA" w14:paraId="4C49C5D0" w14:textId="77777777" w:rsidTr="00726FF7">
        <w:trPr>
          <w:trHeight w:val="87"/>
        </w:trPr>
        <w:tc>
          <w:tcPr>
            <w:cnfStyle w:val="001000000000" w:firstRow="0" w:lastRow="0" w:firstColumn="1" w:lastColumn="0" w:oddVBand="0" w:evenVBand="0" w:oddHBand="0" w:evenHBand="0" w:firstRowFirstColumn="0" w:firstRowLastColumn="0" w:lastRowFirstColumn="0" w:lastRowLastColumn="0"/>
            <w:tcW w:w="3528" w:type="dxa"/>
            <w:shd w:val="clear" w:color="auto" w:fill="FFFFFF" w:themeFill="background1"/>
            <w:hideMark/>
          </w:tcPr>
          <w:p w14:paraId="4C49C5CD" w14:textId="77777777" w:rsidR="003865D8" w:rsidRPr="00726FF7" w:rsidRDefault="003865D8" w:rsidP="007640AA">
            <w:pPr>
              <w:jc w:val="both"/>
              <w:rPr>
                <w:rFonts w:ascii="Arial" w:hAnsi="Arial" w:cs="Arial"/>
                <w:b w:val="0"/>
                <w:color w:val="000000" w:themeColor="text1"/>
                <w:sz w:val="20"/>
                <w:szCs w:val="20"/>
              </w:rPr>
            </w:pPr>
            <w:r w:rsidRPr="00726FF7">
              <w:rPr>
                <w:rFonts w:ascii="Arial" w:hAnsi="Arial" w:cs="Arial"/>
                <w:b w:val="0"/>
                <w:color w:val="000000" w:themeColor="text1"/>
                <w:sz w:val="20"/>
                <w:szCs w:val="20"/>
              </w:rPr>
              <w:t>Capture Efficiency</w:t>
            </w:r>
          </w:p>
        </w:tc>
        <w:tc>
          <w:tcPr>
            <w:tcW w:w="2610" w:type="dxa"/>
            <w:shd w:val="clear" w:color="auto" w:fill="FFFFFF" w:themeFill="background1"/>
            <w:hideMark/>
          </w:tcPr>
          <w:p w14:paraId="4C49C5CE" w14:textId="77777777" w:rsidR="003865D8" w:rsidRPr="00726FF7" w:rsidRDefault="003865D8" w:rsidP="007640AA">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726FF7">
              <w:rPr>
                <w:rFonts w:ascii="Arial" w:hAnsi="Arial" w:cs="Arial"/>
                <w:color w:val="000000" w:themeColor="text1"/>
                <w:sz w:val="20"/>
                <w:szCs w:val="20"/>
              </w:rPr>
              <w:t>66–75%</w:t>
            </w:r>
          </w:p>
        </w:tc>
        <w:tc>
          <w:tcPr>
            <w:tcW w:w="3150" w:type="dxa"/>
            <w:shd w:val="clear" w:color="auto" w:fill="FFFFFF" w:themeFill="background1"/>
            <w:hideMark/>
          </w:tcPr>
          <w:p w14:paraId="4C49C5CF" w14:textId="77777777" w:rsidR="003865D8" w:rsidRPr="00726FF7" w:rsidRDefault="003865D8" w:rsidP="007640AA">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726FF7">
              <w:rPr>
                <w:rFonts w:ascii="Arial" w:hAnsi="Arial" w:cs="Arial"/>
                <w:color w:val="000000" w:themeColor="text1"/>
                <w:sz w:val="20"/>
                <w:szCs w:val="20"/>
              </w:rPr>
              <w:t>85–95%</w:t>
            </w:r>
          </w:p>
        </w:tc>
      </w:tr>
      <w:tr w:rsidR="003865D8" w:rsidRPr="007640AA" w14:paraId="4C49C5D4" w14:textId="77777777" w:rsidTr="00726F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28" w:type="dxa"/>
            <w:shd w:val="clear" w:color="auto" w:fill="FFFFFF" w:themeFill="background1"/>
            <w:hideMark/>
          </w:tcPr>
          <w:p w14:paraId="4C49C5D1" w14:textId="77777777" w:rsidR="003865D8" w:rsidRPr="00726FF7" w:rsidRDefault="003865D8" w:rsidP="007640AA">
            <w:pPr>
              <w:jc w:val="both"/>
              <w:rPr>
                <w:rFonts w:ascii="Arial" w:hAnsi="Arial" w:cs="Arial"/>
                <w:b w:val="0"/>
                <w:color w:val="000000" w:themeColor="text1"/>
                <w:sz w:val="20"/>
                <w:szCs w:val="20"/>
              </w:rPr>
            </w:pPr>
            <w:r w:rsidRPr="00726FF7">
              <w:rPr>
                <w:rFonts w:ascii="Arial" w:hAnsi="Arial" w:cs="Arial"/>
                <w:b w:val="0"/>
                <w:color w:val="000000" w:themeColor="text1"/>
                <w:sz w:val="20"/>
                <w:szCs w:val="20"/>
              </w:rPr>
              <w:t>Portability</w:t>
            </w:r>
          </w:p>
        </w:tc>
        <w:tc>
          <w:tcPr>
            <w:tcW w:w="2610" w:type="dxa"/>
            <w:shd w:val="clear" w:color="auto" w:fill="FFFFFF" w:themeFill="background1"/>
            <w:hideMark/>
          </w:tcPr>
          <w:p w14:paraId="4C49C5D2" w14:textId="77777777" w:rsidR="003865D8" w:rsidRPr="00726FF7" w:rsidRDefault="003865D8" w:rsidP="007640AA">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726FF7">
              <w:rPr>
                <w:rFonts w:ascii="Arial" w:hAnsi="Arial" w:cs="Arial"/>
                <w:color w:val="000000" w:themeColor="text1"/>
                <w:sz w:val="20"/>
                <w:szCs w:val="20"/>
              </w:rPr>
              <w:t>Yes</w:t>
            </w:r>
          </w:p>
        </w:tc>
        <w:tc>
          <w:tcPr>
            <w:tcW w:w="3150" w:type="dxa"/>
            <w:shd w:val="clear" w:color="auto" w:fill="FFFFFF" w:themeFill="background1"/>
            <w:hideMark/>
          </w:tcPr>
          <w:p w14:paraId="4C49C5D3" w14:textId="77777777" w:rsidR="003865D8" w:rsidRPr="00726FF7" w:rsidRDefault="003865D8" w:rsidP="007640AA">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726FF7">
              <w:rPr>
                <w:rFonts w:ascii="Arial" w:hAnsi="Arial" w:cs="Arial"/>
                <w:color w:val="000000" w:themeColor="text1"/>
                <w:sz w:val="20"/>
                <w:szCs w:val="20"/>
              </w:rPr>
              <w:t>No</w:t>
            </w:r>
          </w:p>
        </w:tc>
      </w:tr>
      <w:tr w:rsidR="003865D8" w:rsidRPr="007640AA" w14:paraId="4C49C5D8" w14:textId="77777777" w:rsidTr="00726FF7">
        <w:tc>
          <w:tcPr>
            <w:cnfStyle w:val="001000000000" w:firstRow="0" w:lastRow="0" w:firstColumn="1" w:lastColumn="0" w:oddVBand="0" w:evenVBand="0" w:oddHBand="0" w:evenHBand="0" w:firstRowFirstColumn="0" w:firstRowLastColumn="0" w:lastRowFirstColumn="0" w:lastRowLastColumn="0"/>
            <w:tcW w:w="3528" w:type="dxa"/>
            <w:shd w:val="clear" w:color="auto" w:fill="FFFFFF" w:themeFill="background1"/>
            <w:hideMark/>
          </w:tcPr>
          <w:p w14:paraId="4C49C5D5" w14:textId="77777777" w:rsidR="003865D8" w:rsidRPr="00726FF7" w:rsidRDefault="003865D8" w:rsidP="000D4FB6">
            <w:pPr>
              <w:jc w:val="both"/>
              <w:rPr>
                <w:rFonts w:ascii="Arial" w:hAnsi="Arial" w:cs="Arial"/>
                <w:b w:val="0"/>
                <w:color w:val="000000" w:themeColor="text1"/>
                <w:sz w:val="20"/>
                <w:szCs w:val="20"/>
              </w:rPr>
            </w:pPr>
            <w:r w:rsidRPr="00726FF7">
              <w:rPr>
                <w:rFonts w:ascii="Arial" w:hAnsi="Arial" w:cs="Arial"/>
                <w:b w:val="0"/>
                <w:color w:val="000000" w:themeColor="text1"/>
                <w:sz w:val="20"/>
                <w:szCs w:val="20"/>
              </w:rPr>
              <w:t>Energy Demand</w:t>
            </w:r>
          </w:p>
        </w:tc>
        <w:tc>
          <w:tcPr>
            <w:tcW w:w="2610" w:type="dxa"/>
            <w:shd w:val="clear" w:color="auto" w:fill="FFFFFF" w:themeFill="background1"/>
            <w:hideMark/>
          </w:tcPr>
          <w:p w14:paraId="4C49C5D6" w14:textId="77777777" w:rsidR="003865D8" w:rsidRPr="00726FF7" w:rsidRDefault="003865D8" w:rsidP="000D4FB6">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726FF7">
              <w:rPr>
                <w:rFonts w:ascii="Arial" w:hAnsi="Arial" w:cs="Arial"/>
                <w:color w:val="000000" w:themeColor="text1"/>
                <w:sz w:val="20"/>
                <w:szCs w:val="20"/>
              </w:rPr>
              <w:t>2.5 kW</w:t>
            </w:r>
          </w:p>
        </w:tc>
        <w:tc>
          <w:tcPr>
            <w:tcW w:w="3150" w:type="dxa"/>
            <w:shd w:val="clear" w:color="auto" w:fill="FFFFFF" w:themeFill="background1"/>
            <w:hideMark/>
          </w:tcPr>
          <w:p w14:paraId="4C49C5D7" w14:textId="77777777" w:rsidR="003865D8" w:rsidRPr="00726FF7" w:rsidRDefault="003865D8" w:rsidP="000D4FB6">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726FF7">
              <w:rPr>
                <w:rFonts w:ascii="Arial" w:hAnsi="Arial" w:cs="Arial"/>
                <w:color w:val="000000" w:themeColor="text1"/>
                <w:sz w:val="20"/>
                <w:szCs w:val="20"/>
              </w:rPr>
              <w:t>200–400 MW</w:t>
            </w:r>
          </w:p>
        </w:tc>
      </w:tr>
      <w:tr w:rsidR="003865D8" w:rsidRPr="007640AA" w14:paraId="4C49C5DC" w14:textId="77777777" w:rsidTr="00726F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28" w:type="dxa"/>
            <w:shd w:val="clear" w:color="auto" w:fill="FFFFFF" w:themeFill="background1"/>
            <w:hideMark/>
          </w:tcPr>
          <w:p w14:paraId="4C49C5D9" w14:textId="77777777" w:rsidR="003865D8" w:rsidRPr="00726FF7" w:rsidRDefault="003865D8" w:rsidP="000D4FB6">
            <w:pPr>
              <w:jc w:val="both"/>
              <w:rPr>
                <w:rFonts w:ascii="Arial" w:hAnsi="Arial" w:cs="Arial"/>
                <w:b w:val="0"/>
                <w:color w:val="000000" w:themeColor="text1"/>
                <w:sz w:val="20"/>
                <w:szCs w:val="20"/>
              </w:rPr>
            </w:pPr>
            <w:r w:rsidRPr="00726FF7">
              <w:rPr>
                <w:rFonts w:ascii="Arial" w:hAnsi="Arial" w:cs="Arial"/>
                <w:b w:val="0"/>
                <w:color w:val="000000" w:themeColor="text1"/>
                <w:sz w:val="20"/>
                <w:szCs w:val="20"/>
              </w:rPr>
              <w:t>Deployment Time</w:t>
            </w:r>
          </w:p>
        </w:tc>
        <w:tc>
          <w:tcPr>
            <w:tcW w:w="2610" w:type="dxa"/>
            <w:shd w:val="clear" w:color="auto" w:fill="FFFFFF" w:themeFill="background1"/>
            <w:hideMark/>
          </w:tcPr>
          <w:p w14:paraId="4C49C5DA" w14:textId="77777777" w:rsidR="003865D8" w:rsidRPr="00726FF7" w:rsidRDefault="003865D8" w:rsidP="000D4FB6">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726FF7">
              <w:rPr>
                <w:rFonts w:ascii="Arial" w:hAnsi="Arial" w:cs="Arial"/>
                <w:color w:val="000000" w:themeColor="text1"/>
                <w:sz w:val="20"/>
                <w:szCs w:val="20"/>
              </w:rPr>
              <w:t>2 weeks</w:t>
            </w:r>
          </w:p>
        </w:tc>
        <w:tc>
          <w:tcPr>
            <w:tcW w:w="3150" w:type="dxa"/>
            <w:shd w:val="clear" w:color="auto" w:fill="FFFFFF" w:themeFill="background1"/>
            <w:hideMark/>
          </w:tcPr>
          <w:p w14:paraId="4C49C5DB" w14:textId="77777777" w:rsidR="003865D8" w:rsidRPr="00726FF7" w:rsidRDefault="003865D8" w:rsidP="000D4FB6">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726FF7">
              <w:rPr>
                <w:rFonts w:ascii="Arial" w:hAnsi="Arial" w:cs="Arial"/>
                <w:color w:val="000000" w:themeColor="text1"/>
                <w:sz w:val="20"/>
                <w:szCs w:val="20"/>
              </w:rPr>
              <w:t>3–5 years</w:t>
            </w:r>
          </w:p>
        </w:tc>
      </w:tr>
      <w:tr w:rsidR="003865D8" w:rsidRPr="007640AA" w14:paraId="4C49C5E0" w14:textId="77777777" w:rsidTr="00726FF7">
        <w:tc>
          <w:tcPr>
            <w:cnfStyle w:val="001000000000" w:firstRow="0" w:lastRow="0" w:firstColumn="1" w:lastColumn="0" w:oddVBand="0" w:evenVBand="0" w:oddHBand="0" w:evenHBand="0" w:firstRowFirstColumn="0" w:firstRowLastColumn="0" w:lastRowFirstColumn="0" w:lastRowLastColumn="0"/>
            <w:tcW w:w="3528" w:type="dxa"/>
            <w:shd w:val="clear" w:color="auto" w:fill="FFFFFF" w:themeFill="background1"/>
            <w:hideMark/>
          </w:tcPr>
          <w:p w14:paraId="4C49C5DD" w14:textId="77777777" w:rsidR="003865D8" w:rsidRPr="00726FF7" w:rsidRDefault="003865D8" w:rsidP="000D4FB6">
            <w:pPr>
              <w:jc w:val="both"/>
              <w:rPr>
                <w:rFonts w:ascii="Arial" w:hAnsi="Arial" w:cs="Arial"/>
                <w:b w:val="0"/>
                <w:color w:val="000000" w:themeColor="text1"/>
                <w:sz w:val="20"/>
                <w:szCs w:val="20"/>
              </w:rPr>
            </w:pPr>
            <w:r w:rsidRPr="00726FF7">
              <w:rPr>
                <w:rFonts w:ascii="Arial" w:hAnsi="Arial" w:cs="Arial"/>
                <w:b w:val="0"/>
                <w:color w:val="000000" w:themeColor="text1"/>
                <w:sz w:val="20"/>
                <w:szCs w:val="20"/>
              </w:rPr>
              <w:t>Suitability for Remote Flare Sites</w:t>
            </w:r>
          </w:p>
        </w:tc>
        <w:tc>
          <w:tcPr>
            <w:tcW w:w="2610" w:type="dxa"/>
            <w:shd w:val="clear" w:color="auto" w:fill="FFFFFF" w:themeFill="background1"/>
            <w:hideMark/>
          </w:tcPr>
          <w:p w14:paraId="4C49C5DE" w14:textId="77777777" w:rsidR="003865D8" w:rsidRPr="00726FF7" w:rsidRDefault="003865D8" w:rsidP="000D4FB6">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726FF7">
              <w:rPr>
                <w:rFonts w:ascii="Arial" w:hAnsi="Arial" w:cs="Arial"/>
                <w:color w:val="000000" w:themeColor="text1"/>
                <w:sz w:val="20"/>
                <w:szCs w:val="20"/>
              </w:rPr>
              <w:t>High</w:t>
            </w:r>
          </w:p>
        </w:tc>
        <w:tc>
          <w:tcPr>
            <w:tcW w:w="3150" w:type="dxa"/>
            <w:shd w:val="clear" w:color="auto" w:fill="FFFFFF" w:themeFill="background1"/>
            <w:hideMark/>
          </w:tcPr>
          <w:p w14:paraId="4C49C5DF" w14:textId="77777777" w:rsidR="003865D8" w:rsidRPr="00726FF7" w:rsidRDefault="003865D8" w:rsidP="000D4FB6">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726FF7">
              <w:rPr>
                <w:rFonts w:ascii="Arial" w:hAnsi="Arial" w:cs="Arial"/>
                <w:color w:val="000000" w:themeColor="text1"/>
                <w:sz w:val="20"/>
                <w:szCs w:val="20"/>
              </w:rPr>
              <w:t>Low</w:t>
            </w:r>
          </w:p>
        </w:tc>
      </w:tr>
    </w:tbl>
    <w:p w14:paraId="4C49C5E1" w14:textId="77777777" w:rsidR="003865D8" w:rsidRPr="000D4FB6" w:rsidRDefault="003865D8" w:rsidP="000D4FB6">
      <w:pPr>
        <w:pStyle w:val="NormalWeb"/>
        <w:spacing w:before="0" w:beforeAutospacing="0"/>
        <w:jc w:val="both"/>
        <w:rPr>
          <w:rFonts w:ascii="Arial" w:hAnsi="Arial" w:cs="Arial"/>
          <w:b/>
          <w:i/>
          <w:color w:val="000000" w:themeColor="text1"/>
          <w:sz w:val="20"/>
          <w:szCs w:val="20"/>
        </w:rPr>
      </w:pPr>
      <w:r w:rsidRPr="000D4FB6">
        <w:rPr>
          <w:rStyle w:val="Strong"/>
          <w:rFonts w:ascii="Arial" w:eastAsia="Calibri" w:hAnsi="Arial" w:cs="Arial"/>
          <w:i/>
          <w:color w:val="000000" w:themeColor="text1"/>
          <w:sz w:val="20"/>
          <w:szCs w:val="20"/>
        </w:rPr>
        <w:t>Source:</w:t>
      </w:r>
      <w:r w:rsidRPr="007640AA">
        <w:rPr>
          <w:rFonts w:ascii="Arial" w:hAnsi="Arial" w:cs="Arial"/>
          <w:color w:val="000000" w:themeColor="text1"/>
          <w:sz w:val="20"/>
          <w:szCs w:val="20"/>
        </w:rPr>
        <w:t xml:space="preserve"> </w:t>
      </w:r>
      <w:r w:rsidRPr="000D4FB6">
        <w:rPr>
          <w:rFonts w:ascii="Arial" w:hAnsi="Arial" w:cs="Arial"/>
          <w:b/>
          <w:i/>
          <w:color w:val="000000" w:themeColor="text1"/>
          <w:sz w:val="20"/>
          <w:szCs w:val="20"/>
        </w:rPr>
        <w:t>Comparative analysis with lite</w:t>
      </w:r>
      <w:r w:rsidR="00267A23" w:rsidRPr="000D4FB6">
        <w:rPr>
          <w:rFonts w:ascii="Arial" w:hAnsi="Arial" w:cs="Arial"/>
          <w:b/>
          <w:i/>
          <w:color w:val="000000" w:themeColor="text1"/>
          <w:sz w:val="20"/>
          <w:szCs w:val="20"/>
        </w:rPr>
        <w:t>rature-reported CCS plants, 2026</w:t>
      </w:r>
      <w:r w:rsidRPr="000D4FB6">
        <w:rPr>
          <w:rFonts w:ascii="Arial" w:hAnsi="Arial" w:cs="Arial"/>
          <w:b/>
          <w:i/>
          <w:color w:val="000000" w:themeColor="text1"/>
          <w:sz w:val="20"/>
          <w:szCs w:val="20"/>
        </w:rPr>
        <w:t>.</w:t>
      </w:r>
    </w:p>
    <w:p w14:paraId="4C49C5E2" w14:textId="77777777" w:rsidR="003865D8" w:rsidRPr="007640AA" w:rsidRDefault="00413B1F" w:rsidP="000D4FB6">
      <w:pPr>
        <w:pStyle w:val="Heading2"/>
        <w:spacing w:before="0" w:line="240" w:lineRule="auto"/>
        <w:jc w:val="both"/>
        <w:rPr>
          <w:rFonts w:ascii="Arial" w:hAnsi="Arial" w:cs="Arial"/>
          <w:color w:val="000000" w:themeColor="text1"/>
          <w:sz w:val="20"/>
          <w:szCs w:val="20"/>
        </w:rPr>
      </w:pPr>
      <w:r>
        <w:rPr>
          <w:rStyle w:val="Strong"/>
          <w:rFonts w:ascii="Arial" w:hAnsi="Arial" w:cs="Arial"/>
          <w:b/>
          <w:bCs/>
          <w:color w:val="000000" w:themeColor="text1"/>
          <w:sz w:val="20"/>
          <w:szCs w:val="20"/>
        </w:rPr>
        <w:t>Table 4.10</w:t>
      </w:r>
      <w:r w:rsidR="003865D8" w:rsidRPr="007640AA">
        <w:rPr>
          <w:rStyle w:val="Strong"/>
          <w:rFonts w:ascii="Arial" w:hAnsi="Arial" w:cs="Arial"/>
          <w:b/>
          <w:bCs/>
          <w:color w:val="000000" w:themeColor="text1"/>
          <w:sz w:val="20"/>
          <w:szCs w:val="20"/>
        </w:rPr>
        <w:t xml:space="preserve"> One-Way ANOVA: CO</w:t>
      </w:r>
      <w:r w:rsidR="003865D8" w:rsidRPr="007640AA">
        <w:rPr>
          <w:rStyle w:val="Strong"/>
          <w:rFonts w:cs="Arial"/>
          <w:b/>
          <w:bCs/>
          <w:color w:val="000000" w:themeColor="text1"/>
          <w:sz w:val="20"/>
          <w:szCs w:val="20"/>
        </w:rPr>
        <w:t>₂</w:t>
      </w:r>
      <w:r w:rsidR="003865D8" w:rsidRPr="007640AA">
        <w:rPr>
          <w:rStyle w:val="Strong"/>
          <w:rFonts w:ascii="Arial" w:hAnsi="Arial" w:cs="Arial"/>
          <w:b/>
          <w:bCs/>
          <w:color w:val="000000" w:themeColor="text1"/>
          <w:sz w:val="20"/>
          <w:szCs w:val="20"/>
        </w:rPr>
        <w:t xml:space="preserve"> Capture Efficiency Across Flare Sites (n = 5 × 5 Replicates)</w:t>
      </w:r>
    </w:p>
    <w:tbl>
      <w:tblPr>
        <w:tblStyle w:val="LightShading"/>
        <w:tblW w:w="9288" w:type="dxa"/>
        <w:tblLook w:val="04A0" w:firstRow="1" w:lastRow="0" w:firstColumn="1" w:lastColumn="0" w:noHBand="0" w:noVBand="1"/>
      </w:tblPr>
      <w:tblGrid>
        <w:gridCol w:w="1188"/>
        <w:gridCol w:w="1170"/>
        <w:gridCol w:w="1260"/>
        <w:gridCol w:w="1350"/>
        <w:gridCol w:w="1530"/>
        <w:gridCol w:w="1440"/>
        <w:gridCol w:w="1350"/>
      </w:tblGrid>
      <w:tr w:rsidR="003865D8" w:rsidRPr="007640AA" w14:paraId="4C49C5EA" w14:textId="77777777" w:rsidTr="00E53E0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hideMark/>
          </w:tcPr>
          <w:p w14:paraId="4C49C5E3" w14:textId="77777777" w:rsidR="003865D8" w:rsidRPr="007640AA" w:rsidRDefault="00E526C4" w:rsidP="00E53E0D">
            <w:pPr>
              <w:jc w:val="both"/>
              <w:rPr>
                <w:rFonts w:ascii="Arial" w:hAnsi="Arial" w:cs="Arial"/>
                <w:b w:val="0"/>
                <w:bCs w:val="0"/>
                <w:color w:val="000000" w:themeColor="text1"/>
                <w:sz w:val="20"/>
                <w:szCs w:val="20"/>
              </w:rPr>
            </w:pPr>
            <w:r>
              <w:rPr>
                <w:rFonts w:ascii="Arial" w:hAnsi="Arial" w:cs="Arial"/>
                <w:b w:val="0"/>
                <w:bCs w:val="0"/>
                <w:color w:val="000000" w:themeColor="text1"/>
                <w:sz w:val="20"/>
                <w:szCs w:val="20"/>
              </w:rPr>
              <w:t>state</w:t>
            </w:r>
          </w:p>
        </w:tc>
        <w:tc>
          <w:tcPr>
            <w:tcW w:w="1170" w:type="dxa"/>
            <w:hideMark/>
          </w:tcPr>
          <w:p w14:paraId="4C49C5E4" w14:textId="77777777" w:rsidR="003865D8" w:rsidRPr="007640AA" w:rsidRDefault="003865D8" w:rsidP="00E53E0D">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sz w:val="20"/>
                <w:szCs w:val="20"/>
              </w:rPr>
            </w:pPr>
            <w:r w:rsidRPr="007640AA">
              <w:rPr>
                <w:rFonts w:ascii="Arial" w:hAnsi="Arial" w:cs="Arial"/>
                <w:color w:val="000000" w:themeColor="text1"/>
                <w:sz w:val="20"/>
                <w:szCs w:val="20"/>
              </w:rPr>
              <w:t xml:space="preserve">Replicate </w:t>
            </w:r>
            <w:r w:rsidR="00E526C4" w:rsidRPr="00250147">
              <w:rPr>
                <w:rFonts w:ascii="Arial" w:hAnsi="Arial" w:cs="Arial"/>
                <w:b w:val="0"/>
                <w:color w:val="000000" w:themeColor="text1"/>
                <w:sz w:val="20"/>
                <w:szCs w:val="20"/>
              </w:rPr>
              <w:t>Rivers</w:t>
            </w:r>
          </w:p>
        </w:tc>
        <w:tc>
          <w:tcPr>
            <w:tcW w:w="1260" w:type="dxa"/>
            <w:hideMark/>
          </w:tcPr>
          <w:p w14:paraId="4C49C5E5" w14:textId="77777777" w:rsidR="003865D8" w:rsidRPr="007640AA" w:rsidRDefault="003865D8" w:rsidP="00E53E0D">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sz w:val="20"/>
                <w:szCs w:val="20"/>
              </w:rPr>
            </w:pPr>
            <w:r w:rsidRPr="007640AA">
              <w:rPr>
                <w:rFonts w:ascii="Arial" w:hAnsi="Arial" w:cs="Arial"/>
                <w:color w:val="000000" w:themeColor="text1"/>
                <w:sz w:val="20"/>
                <w:szCs w:val="20"/>
              </w:rPr>
              <w:t xml:space="preserve">Replicate </w:t>
            </w:r>
            <w:r w:rsidR="00E526C4" w:rsidRPr="00250147">
              <w:rPr>
                <w:rFonts w:ascii="Arial" w:hAnsi="Arial" w:cs="Arial"/>
                <w:b w:val="0"/>
                <w:color w:val="000000" w:themeColor="text1"/>
                <w:sz w:val="20"/>
                <w:szCs w:val="20"/>
              </w:rPr>
              <w:t>Bayelsa</w:t>
            </w:r>
          </w:p>
        </w:tc>
        <w:tc>
          <w:tcPr>
            <w:tcW w:w="1350" w:type="dxa"/>
            <w:hideMark/>
          </w:tcPr>
          <w:p w14:paraId="4C49C5E6" w14:textId="77777777" w:rsidR="003865D8" w:rsidRPr="007640AA" w:rsidRDefault="003865D8" w:rsidP="00E53E0D">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sz w:val="20"/>
                <w:szCs w:val="20"/>
              </w:rPr>
            </w:pPr>
            <w:r w:rsidRPr="007640AA">
              <w:rPr>
                <w:rFonts w:ascii="Arial" w:hAnsi="Arial" w:cs="Arial"/>
                <w:color w:val="000000" w:themeColor="text1"/>
                <w:sz w:val="20"/>
                <w:szCs w:val="20"/>
              </w:rPr>
              <w:t xml:space="preserve">Replicate </w:t>
            </w:r>
            <w:r w:rsidR="00E526C4" w:rsidRPr="00250147">
              <w:rPr>
                <w:rFonts w:ascii="Arial" w:hAnsi="Arial" w:cs="Arial"/>
                <w:b w:val="0"/>
                <w:color w:val="000000" w:themeColor="text1"/>
                <w:sz w:val="20"/>
                <w:szCs w:val="20"/>
              </w:rPr>
              <w:t>Delta</w:t>
            </w:r>
          </w:p>
        </w:tc>
        <w:tc>
          <w:tcPr>
            <w:tcW w:w="1530" w:type="dxa"/>
            <w:hideMark/>
          </w:tcPr>
          <w:p w14:paraId="4C49C5E7" w14:textId="77777777" w:rsidR="003865D8" w:rsidRPr="007640AA" w:rsidRDefault="003865D8" w:rsidP="00E53E0D">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sz w:val="20"/>
                <w:szCs w:val="20"/>
              </w:rPr>
            </w:pPr>
            <w:r w:rsidRPr="007640AA">
              <w:rPr>
                <w:rFonts w:ascii="Arial" w:hAnsi="Arial" w:cs="Arial"/>
                <w:color w:val="000000" w:themeColor="text1"/>
                <w:sz w:val="20"/>
                <w:szCs w:val="20"/>
              </w:rPr>
              <w:t xml:space="preserve">Replicate </w:t>
            </w:r>
            <w:r w:rsidR="00E526C4" w:rsidRPr="00250147">
              <w:rPr>
                <w:rFonts w:ascii="Arial" w:hAnsi="Arial" w:cs="Arial"/>
                <w:b w:val="0"/>
                <w:color w:val="000000" w:themeColor="text1"/>
                <w:sz w:val="20"/>
                <w:szCs w:val="20"/>
              </w:rPr>
              <w:t>Akwa Ibom</w:t>
            </w:r>
          </w:p>
        </w:tc>
        <w:tc>
          <w:tcPr>
            <w:tcW w:w="1440" w:type="dxa"/>
            <w:hideMark/>
          </w:tcPr>
          <w:p w14:paraId="4C49C5E8" w14:textId="77777777" w:rsidR="003865D8" w:rsidRPr="007640AA" w:rsidRDefault="003865D8" w:rsidP="00E53E0D">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sz w:val="20"/>
                <w:szCs w:val="20"/>
              </w:rPr>
            </w:pPr>
            <w:r w:rsidRPr="007640AA">
              <w:rPr>
                <w:rFonts w:ascii="Arial" w:hAnsi="Arial" w:cs="Arial"/>
                <w:color w:val="000000" w:themeColor="text1"/>
                <w:sz w:val="20"/>
                <w:szCs w:val="20"/>
              </w:rPr>
              <w:t xml:space="preserve">Replicate </w:t>
            </w:r>
            <w:r w:rsidR="00E526C4" w:rsidRPr="00250147">
              <w:rPr>
                <w:rFonts w:ascii="Arial" w:hAnsi="Arial" w:cs="Arial"/>
                <w:b w:val="0"/>
                <w:color w:val="000000" w:themeColor="text1"/>
                <w:sz w:val="20"/>
                <w:szCs w:val="20"/>
              </w:rPr>
              <w:t>Edo</w:t>
            </w:r>
          </w:p>
        </w:tc>
        <w:tc>
          <w:tcPr>
            <w:tcW w:w="1350" w:type="dxa"/>
            <w:hideMark/>
          </w:tcPr>
          <w:p w14:paraId="4C49C5E9" w14:textId="77777777" w:rsidR="003865D8" w:rsidRPr="007640AA" w:rsidRDefault="003865D8" w:rsidP="00E53E0D">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sz w:val="20"/>
                <w:szCs w:val="20"/>
              </w:rPr>
            </w:pPr>
            <w:r w:rsidRPr="007640AA">
              <w:rPr>
                <w:rFonts w:ascii="Arial" w:hAnsi="Arial" w:cs="Arial"/>
                <w:color w:val="000000" w:themeColor="text1"/>
                <w:sz w:val="20"/>
                <w:szCs w:val="20"/>
              </w:rPr>
              <w:t>Mean (%)</w:t>
            </w:r>
          </w:p>
        </w:tc>
      </w:tr>
      <w:tr w:rsidR="00E53E0D" w:rsidRPr="007640AA" w14:paraId="4C49C5F2" w14:textId="77777777" w:rsidTr="00E53E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shd w:val="clear" w:color="auto" w:fill="FFFFFF" w:themeFill="background1"/>
            <w:hideMark/>
          </w:tcPr>
          <w:p w14:paraId="4C49C5EB" w14:textId="77777777" w:rsidR="00E526C4" w:rsidRPr="00250147" w:rsidRDefault="00E526C4" w:rsidP="00E53E0D">
            <w:pPr>
              <w:rPr>
                <w:rFonts w:ascii="Arial" w:hAnsi="Arial" w:cs="Arial"/>
                <w:b w:val="0"/>
                <w:color w:val="000000" w:themeColor="text1"/>
                <w:sz w:val="20"/>
                <w:szCs w:val="20"/>
              </w:rPr>
            </w:pPr>
            <w:r w:rsidRPr="00250147">
              <w:rPr>
                <w:rFonts w:ascii="Arial" w:hAnsi="Arial" w:cs="Arial"/>
                <w:b w:val="0"/>
                <w:color w:val="000000" w:themeColor="text1"/>
                <w:sz w:val="20"/>
                <w:szCs w:val="20"/>
              </w:rPr>
              <w:t>Rivers</w:t>
            </w:r>
          </w:p>
        </w:tc>
        <w:tc>
          <w:tcPr>
            <w:tcW w:w="1170" w:type="dxa"/>
            <w:shd w:val="clear" w:color="auto" w:fill="FFFFFF" w:themeFill="background1"/>
            <w:hideMark/>
          </w:tcPr>
          <w:p w14:paraId="4C49C5EC" w14:textId="77777777" w:rsidR="00E526C4" w:rsidRPr="007640AA" w:rsidRDefault="00E526C4" w:rsidP="00E53E0D">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68.2</w:t>
            </w:r>
          </w:p>
        </w:tc>
        <w:tc>
          <w:tcPr>
            <w:tcW w:w="1260" w:type="dxa"/>
            <w:shd w:val="clear" w:color="auto" w:fill="FFFFFF" w:themeFill="background1"/>
            <w:hideMark/>
          </w:tcPr>
          <w:p w14:paraId="4C49C5ED" w14:textId="77777777" w:rsidR="00E526C4" w:rsidRPr="007640AA" w:rsidRDefault="00E526C4" w:rsidP="00E53E0D">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67.9</w:t>
            </w:r>
          </w:p>
        </w:tc>
        <w:tc>
          <w:tcPr>
            <w:tcW w:w="1350" w:type="dxa"/>
            <w:shd w:val="clear" w:color="auto" w:fill="FFFFFF" w:themeFill="background1"/>
            <w:hideMark/>
          </w:tcPr>
          <w:p w14:paraId="4C49C5EE" w14:textId="77777777" w:rsidR="00E526C4" w:rsidRPr="007640AA" w:rsidRDefault="00E526C4" w:rsidP="00E53E0D">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68.5</w:t>
            </w:r>
          </w:p>
        </w:tc>
        <w:tc>
          <w:tcPr>
            <w:tcW w:w="1530" w:type="dxa"/>
            <w:shd w:val="clear" w:color="auto" w:fill="FFFFFF" w:themeFill="background1"/>
            <w:hideMark/>
          </w:tcPr>
          <w:p w14:paraId="4C49C5EF" w14:textId="77777777" w:rsidR="00E526C4" w:rsidRPr="007640AA" w:rsidRDefault="00E526C4" w:rsidP="00E53E0D">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68.9</w:t>
            </w:r>
          </w:p>
        </w:tc>
        <w:tc>
          <w:tcPr>
            <w:tcW w:w="1440" w:type="dxa"/>
            <w:shd w:val="clear" w:color="auto" w:fill="FFFFFF" w:themeFill="background1"/>
            <w:hideMark/>
          </w:tcPr>
          <w:p w14:paraId="4C49C5F0" w14:textId="77777777" w:rsidR="00E526C4" w:rsidRPr="007640AA" w:rsidRDefault="00E526C4" w:rsidP="00E53E0D">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68.1</w:t>
            </w:r>
          </w:p>
        </w:tc>
        <w:tc>
          <w:tcPr>
            <w:tcW w:w="1350" w:type="dxa"/>
            <w:shd w:val="clear" w:color="auto" w:fill="FFFFFF" w:themeFill="background1"/>
            <w:hideMark/>
          </w:tcPr>
          <w:p w14:paraId="4C49C5F1" w14:textId="77777777" w:rsidR="00E526C4" w:rsidRPr="007640AA" w:rsidRDefault="00E526C4" w:rsidP="00E53E0D">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68.32</w:t>
            </w:r>
          </w:p>
        </w:tc>
      </w:tr>
      <w:tr w:rsidR="00E53E0D" w:rsidRPr="007640AA" w14:paraId="4C49C5FA" w14:textId="77777777" w:rsidTr="00E53E0D">
        <w:tc>
          <w:tcPr>
            <w:cnfStyle w:val="001000000000" w:firstRow="0" w:lastRow="0" w:firstColumn="1" w:lastColumn="0" w:oddVBand="0" w:evenVBand="0" w:oddHBand="0" w:evenHBand="0" w:firstRowFirstColumn="0" w:firstRowLastColumn="0" w:lastRowFirstColumn="0" w:lastRowLastColumn="0"/>
            <w:tcW w:w="1188" w:type="dxa"/>
            <w:shd w:val="clear" w:color="auto" w:fill="FFFFFF" w:themeFill="background1"/>
            <w:hideMark/>
          </w:tcPr>
          <w:p w14:paraId="4C49C5F3" w14:textId="77777777" w:rsidR="00E526C4" w:rsidRPr="00250147" w:rsidRDefault="00E526C4" w:rsidP="00E53E0D">
            <w:pPr>
              <w:rPr>
                <w:rFonts w:ascii="Arial" w:hAnsi="Arial" w:cs="Arial"/>
                <w:b w:val="0"/>
                <w:color w:val="000000" w:themeColor="text1"/>
                <w:sz w:val="20"/>
                <w:szCs w:val="20"/>
              </w:rPr>
            </w:pPr>
            <w:r w:rsidRPr="00250147">
              <w:rPr>
                <w:rFonts w:ascii="Arial" w:hAnsi="Arial" w:cs="Arial"/>
                <w:b w:val="0"/>
                <w:color w:val="000000" w:themeColor="text1"/>
                <w:sz w:val="20"/>
                <w:szCs w:val="20"/>
              </w:rPr>
              <w:t>Bayelsa</w:t>
            </w:r>
          </w:p>
        </w:tc>
        <w:tc>
          <w:tcPr>
            <w:tcW w:w="1170" w:type="dxa"/>
            <w:shd w:val="clear" w:color="auto" w:fill="FFFFFF" w:themeFill="background1"/>
            <w:hideMark/>
          </w:tcPr>
          <w:p w14:paraId="4C49C5F4" w14:textId="77777777" w:rsidR="00E526C4" w:rsidRPr="007640AA" w:rsidRDefault="00E526C4" w:rsidP="00E53E0D">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70.4</w:t>
            </w:r>
          </w:p>
        </w:tc>
        <w:tc>
          <w:tcPr>
            <w:tcW w:w="1260" w:type="dxa"/>
            <w:shd w:val="clear" w:color="auto" w:fill="FFFFFF" w:themeFill="background1"/>
            <w:hideMark/>
          </w:tcPr>
          <w:p w14:paraId="4C49C5F5" w14:textId="77777777" w:rsidR="00E526C4" w:rsidRPr="007640AA" w:rsidRDefault="00E526C4" w:rsidP="00E53E0D">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69.8</w:t>
            </w:r>
          </w:p>
        </w:tc>
        <w:tc>
          <w:tcPr>
            <w:tcW w:w="1350" w:type="dxa"/>
            <w:shd w:val="clear" w:color="auto" w:fill="FFFFFF" w:themeFill="background1"/>
            <w:hideMark/>
          </w:tcPr>
          <w:p w14:paraId="4C49C5F6" w14:textId="77777777" w:rsidR="00E526C4" w:rsidRPr="007640AA" w:rsidRDefault="00E526C4" w:rsidP="00E53E0D">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70.1</w:t>
            </w:r>
          </w:p>
        </w:tc>
        <w:tc>
          <w:tcPr>
            <w:tcW w:w="1530" w:type="dxa"/>
            <w:shd w:val="clear" w:color="auto" w:fill="FFFFFF" w:themeFill="background1"/>
            <w:hideMark/>
          </w:tcPr>
          <w:p w14:paraId="4C49C5F7" w14:textId="77777777" w:rsidR="00E526C4" w:rsidRPr="007640AA" w:rsidRDefault="00E526C4" w:rsidP="00E53E0D">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70.2</w:t>
            </w:r>
          </w:p>
        </w:tc>
        <w:tc>
          <w:tcPr>
            <w:tcW w:w="1440" w:type="dxa"/>
            <w:shd w:val="clear" w:color="auto" w:fill="FFFFFF" w:themeFill="background1"/>
            <w:hideMark/>
          </w:tcPr>
          <w:p w14:paraId="4C49C5F8" w14:textId="77777777" w:rsidR="00E526C4" w:rsidRPr="007640AA" w:rsidRDefault="00E526C4" w:rsidP="00E53E0D">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70.0</w:t>
            </w:r>
          </w:p>
        </w:tc>
        <w:tc>
          <w:tcPr>
            <w:tcW w:w="1350" w:type="dxa"/>
            <w:shd w:val="clear" w:color="auto" w:fill="FFFFFF" w:themeFill="background1"/>
            <w:hideMark/>
          </w:tcPr>
          <w:p w14:paraId="4C49C5F9" w14:textId="77777777" w:rsidR="00E526C4" w:rsidRPr="007640AA" w:rsidRDefault="00E526C4" w:rsidP="00E53E0D">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70.10</w:t>
            </w:r>
          </w:p>
        </w:tc>
      </w:tr>
      <w:tr w:rsidR="00E53E0D" w:rsidRPr="007640AA" w14:paraId="4C49C602" w14:textId="77777777" w:rsidTr="00E53E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shd w:val="clear" w:color="auto" w:fill="FFFFFF" w:themeFill="background1"/>
            <w:hideMark/>
          </w:tcPr>
          <w:p w14:paraId="4C49C5FB" w14:textId="77777777" w:rsidR="00E526C4" w:rsidRPr="00250147" w:rsidRDefault="00E526C4" w:rsidP="00E53E0D">
            <w:pPr>
              <w:rPr>
                <w:rFonts w:ascii="Arial" w:hAnsi="Arial" w:cs="Arial"/>
                <w:b w:val="0"/>
                <w:color w:val="000000" w:themeColor="text1"/>
                <w:sz w:val="20"/>
                <w:szCs w:val="20"/>
              </w:rPr>
            </w:pPr>
            <w:r w:rsidRPr="00250147">
              <w:rPr>
                <w:rFonts w:ascii="Arial" w:hAnsi="Arial" w:cs="Arial"/>
                <w:b w:val="0"/>
                <w:color w:val="000000" w:themeColor="text1"/>
                <w:sz w:val="20"/>
                <w:szCs w:val="20"/>
              </w:rPr>
              <w:t>Delta</w:t>
            </w:r>
          </w:p>
        </w:tc>
        <w:tc>
          <w:tcPr>
            <w:tcW w:w="1170" w:type="dxa"/>
            <w:shd w:val="clear" w:color="auto" w:fill="FFFFFF" w:themeFill="background1"/>
            <w:hideMark/>
          </w:tcPr>
          <w:p w14:paraId="4C49C5FC" w14:textId="77777777" w:rsidR="00E526C4" w:rsidRPr="007640AA" w:rsidRDefault="00E526C4" w:rsidP="00E53E0D">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66.5</w:t>
            </w:r>
          </w:p>
        </w:tc>
        <w:tc>
          <w:tcPr>
            <w:tcW w:w="1260" w:type="dxa"/>
            <w:shd w:val="clear" w:color="auto" w:fill="FFFFFF" w:themeFill="background1"/>
            <w:hideMark/>
          </w:tcPr>
          <w:p w14:paraId="4C49C5FD" w14:textId="77777777" w:rsidR="00E526C4" w:rsidRPr="007640AA" w:rsidRDefault="00E526C4" w:rsidP="00E53E0D">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66.9</w:t>
            </w:r>
          </w:p>
        </w:tc>
        <w:tc>
          <w:tcPr>
            <w:tcW w:w="1350" w:type="dxa"/>
            <w:shd w:val="clear" w:color="auto" w:fill="FFFFFF" w:themeFill="background1"/>
            <w:hideMark/>
          </w:tcPr>
          <w:p w14:paraId="4C49C5FE" w14:textId="77777777" w:rsidR="00E526C4" w:rsidRPr="007640AA" w:rsidRDefault="00E526C4" w:rsidP="00E53E0D">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66.3</w:t>
            </w:r>
          </w:p>
        </w:tc>
        <w:tc>
          <w:tcPr>
            <w:tcW w:w="1530" w:type="dxa"/>
            <w:shd w:val="clear" w:color="auto" w:fill="FFFFFF" w:themeFill="background1"/>
            <w:hideMark/>
          </w:tcPr>
          <w:p w14:paraId="4C49C5FF" w14:textId="77777777" w:rsidR="00E526C4" w:rsidRPr="007640AA" w:rsidRDefault="00E526C4" w:rsidP="00E53E0D">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66.8</w:t>
            </w:r>
          </w:p>
        </w:tc>
        <w:tc>
          <w:tcPr>
            <w:tcW w:w="1440" w:type="dxa"/>
            <w:shd w:val="clear" w:color="auto" w:fill="FFFFFF" w:themeFill="background1"/>
            <w:hideMark/>
          </w:tcPr>
          <w:p w14:paraId="4C49C600" w14:textId="77777777" w:rsidR="00E526C4" w:rsidRPr="007640AA" w:rsidRDefault="00E526C4" w:rsidP="00E53E0D">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66.7</w:t>
            </w:r>
          </w:p>
        </w:tc>
        <w:tc>
          <w:tcPr>
            <w:tcW w:w="1350" w:type="dxa"/>
            <w:shd w:val="clear" w:color="auto" w:fill="FFFFFF" w:themeFill="background1"/>
            <w:hideMark/>
          </w:tcPr>
          <w:p w14:paraId="4C49C601" w14:textId="77777777" w:rsidR="00E526C4" w:rsidRPr="007640AA" w:rsidRDefault="00E526C4" w:rsidP="00E53E0D">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66.64</w:t>
            </w:r>
          </w:p>
        </w:tc>
      </w:tr>
      <w:tr w:rsidR="00E53E0D" w:rsidRPr="007640AA" w14:paraId="4C49C60A" w14:textId="77777777" w:rsidTr="00E53E0D">
        <w:tc>
          <w:tcPr>
            <w:cnfStyle w:val="001000000000" w:firstRow="0" w:lastRow="0" w:firstColumn="1" w:lastColumn="0" w:oddVBand="0" w:evenVBand="0" w:oddHBand="0" w:evenHBand="0" w:firstRowFirstColumn="0" w:firstRowLastColumn="0" w:lastRowFirstColumn="0" w:lastRowLastColumn="0"/>
            <w:tcW w:w="1188" w:type="dxa"/>
            <w:shd w:val="clear" w:color="auto" w:fill="FFFFFF" w:themeFill="background1"/>
            <w:hideMark/>
          </w:tcPr>
          <w:p w14:paraId="4C49C603" w14:textId="77777777" w:rsidR="00E526C4" w:rsidRPr="00250147" w:rsidRDefault="00E526C4" w:rsidP="00E53E0D">
            <w:pPr>
              <w:rPr>
                <w:rFonts w:ascii="Arial" w:hAnsi="Arial" w:cs="Arial"/>
                <w:b w:val="0"/>
                <w:color w:val="000000" w:themeColor="text1"/>
                <w:sz w:val="20"/>
                <w:szCs w:val="20"/>
              </w:rPr>
            </w:pPr>
            <w:r w:rsidRPr="00250147">
              <w:rPr>
                <w:rFonts w:ascii="Arial" w:hAnsi="Arial" w:cs="Arial"/>
                <w:b w:val="0"/>
                <w:color w:val="000000" w:themeColor="text1"/>
                <w:sz w:val="20"/>
                <w:szCs w:val="20"/>
              </w:rPr>
              <w:t>Akwa Ibom</w:t>
            </w:r>
          </w:p>
        </w:tc>
        <w:tc>
          <w:tcPr>
            <w:tcW w:w="1170" w:type="dxa"/>
            <w:shd w:val="clear" w:color="auto" w:fill="FFFFFF" w:themeFill="background1"/>
            <w:hideMark/>
          </w:tcPr>
          <w:p w14:paraId="4C49C604" w14:textId="77777777" w:rsidR="00E526C4" w:rsidRPr="007640AA" w:rsidRDefault="00E526C4" w:rsidP="00E53E0D">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64.7</w:t>
            </w:r>
          </w:p>
        </w:tc>
        <w:tc>
          <w:tcPr>
            <w:tcW w:w="1260" w:type="dxa"/>
            <w:shd w:val="clear" w:color="auto" w:fill="FFFFFF" w:themeFill="background1"/>
            <w:hideMark/>
          </w:tcPr>
          <w:p w14:paraId="4C49C605" w14:textId="77777777" w:rsidR="00E526C4" w:rsidRPr="007640AA" w:rsidRDefault="00E526C4" w:rsidP="00E53E0D">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65.1</w:t>
            </w:r>
          </w:p>
        </w:tc>
        <w:tc>
          <w:tcPr>
            <w:tcW w:w="1350" w:type="dxa"/>
            <w:shd w:val="clear" w:color="auto" w:fill="FFFFFF" w:themeFill="background1"/>
            <w:hideMark/>
          </w:tcPr>
          <w:p w14:paraId="4C49C606" w14:textId="77777777" w:rsidR="00E526C4" w:rsidRPr="007640AA" w:rsidRDefault="00E526C4" w:rsidP="00E53E0D">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64.9</w:t>
            </w:r>
          </w:p>
        </w:tc>
        <w:tc>
          <w:tcPr>
            <w:tcW w:w="1530" w:type="dxa"/>
            <w:shd w:val="clear" w:color="auto" w:fill="FFFFFF" w:themeFill="background1"/>
            <w:hideMark/>
          </w:tcPr>
          <w:p w14:paraId="4C49C607" w14:textId="77777777" w:rsidR="00E526C4" w:rsidRPr="007640AA" w:rsidRDefault="00E526C4" w:rsidP="00E53E0D">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64.6</w:t>
            </w:r>
          </w:p>
        </w:tc>
        <w:tc>
          <w:tcPr>
            <w:tcW w:w="1440" w:type="dxa"/>
            <w:shd w:val="clear" w:color="auto" w:fill="FFFFFF" w:themeFill="background1"/>
            <w:hideMark/>
          </w:tcPr>
          <w:p w14:paraId="4C49C608" w14:textId="77777777" w:rsidR="00E526C4" w:rsidRPr="007640AA" w:rsidRDefault="00E526C4" w:rsidP="00E53E0D">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65.0</w:t>
            </w:r>
          </w:p>
        </w:tc>
        <w:tc>
          <w:tcPr>
            <w:tcW w:w="1350" w:type="dxa"/>
            <w:shd w:val="clear" w:color="auto" w:fill="FFFFFF" w:themeFill="background1"/>
            <w:hideMark/>
          </w:tcPr>
          <w:p w14:paraId="4C49C609" w14:textId="77777777" w:rsidR="00E526C4" w:rsidRPr="007640AA" w:rsidRDefault="00E526C4" w:rsidP="00E53E0D">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64.86</w:t>
            </w:r>
          </w:p>
        </w:tc>
      </w:tr>
      <w:tr w:rsidR="00E53E0D" w:rsidRPr="007640AA" w14:paraId="4C49C612" w14:textId="77777777" w:rsidTr="00E53E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shd w:val="clear" w:color="auto" w:fill="FFFFFF" w:themeFill="background1"/>
            <w:hideMark/>
          </w:tcPr>
          <w:p w14:paraId="4C49C60B" w14:textId="77777777" w:rsidR="00E526C4" w:rsidRPr="00250147" w:rsidRDefault="00E526C4" w:rsidP="00E53E0D">
            <w:pPr>
              <w:rPr>
                <w:rFonts w:ascii="Arial" w:hAnsi="Arial" w:cs="Arial"/>
                <w:b w:val="0"/>
                <w:color w:val="000000" w:themeColor="text1"/>
                <w:sz w:val="20"/>
                <w:szCs w:val="20"/>
              </w:rPr>
            </w:pPr>
            <w:r w:rsidRPr="00250147">
              <w:rPr>
                <w:rFonts w:ascii="Arial" w:hAnsi="Arial" w:cs="Arial"/>
                <w:b w:val="0"/>
                <w:color w:val="000000" w:themeColor="text1"/>
                <w:sz w:val="20"/>
                <w:szCs w:val="20"/>
              </w:rPr>
              <w:t>Edo</w:t>
            </w:r>
          </w:p>
        </w:tc>
        <w:tc>
          <w:tcPr>
            <w:tcW w:w="1170" w:type="dxa"/>
            <w:shd w:val="clear" w:color="auto" w:fill="FFFFFF" w:themeFill="background1"/>
            <w:hideMark/>
          </w:tcPr>
          <w:p w14:paraId="4C49C60C" w14:textId="77777777" w:rsidR="00E526C4" w:rsidRPr="007640AA" w:rsidRDefault="00E526C4" w:rsidP="00E53E0D">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61.2</w:t>
            </w:r>
          </w:p>
        </w:tc>
        <w:tc>
          <w:tcPr>
            <w:tcW w:w="1260" w:type="dxa"/>
            <w:shd w:val="clear" w:color="auto" w:fill="FFFFFF" w:themeFill="background1"/>
            <w:hideMark/>
          </w:tcPr>
          <w:p w14:paraId="4C49C60D" w14:textId="77777777" w:rsidR="00E526C4" w:rsidRPr="007640AA" w:rsidRDefault="00E526C4" w:rsidP="00E53E0D">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61.8</w:t>
            </w:r>
          </w:p>
        </w:tc>
        <w:tc>
          <w:tcPr>
            <w:tcW w:w="1350" w:type="dxa"/>
            <w:shd w:val="clear" w:color="auto" w:fill="FFFFFF" w:themeFill="background1"/>
            <w:hideMark/>
          </w:tcPr>
          <w:p w14:paraId="4C49C60E" w14:textId="77777777" w:rsidR="00E526C4" w:rsidRPr="007640AA" w:rsidRDefault="00E526C4" w:rsidP="00E53E0D">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61.5</w:t>
            </w:r>
          </w:p>
        </w:tc>
        <w:tc>
          <w:tcPr>
            <w:tcW w:w="1530" w:type="dxa"/>
            <w:shd w:val="clear" w:color="auto" w:fill="FFFFFF" w:themeFill="background1"/>
            <w:hideMark/>
          </w:tcPr>
          <w:p w14:paraId="4C49C60F" w14:textId="77777777" w:rsidR="00E526C4" w:rsidRPr="007640AA" w:rsidRDefault="00E526C4" w:rsidP="00E53E0D">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61.1</w:t>
            </w:r>
          </w:p>
        </w:tc>
        <w:tc>
          <w:tcPr>
            <w:tcW w:w="1440" w:type="dxa"/>
            <w:shd w:val="clear" w:color="auto" w:fill="FFFFFF" w:themeFill="background1"/>
            <w:hideMark/>
          </w:tcPr>
          <w:p w14:paraId="4C49C610" w14:textId="77777777" w:rsidR="00E526C4" w:rsidRPr="007640AA" w:rsidRDefault="00E526C4" w:rsidP="00E53E0D">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61.6</w:t>
            </w:r>
          </w:p>
        </w:tc>
        <w:tc>
          <w:tcPr>
            <w:tcW w:w="1350" w:type="dxa"/>
            <w:shd w:val="clear" w:color="auto" w:fill="FFFFFF" w:themeFill="background1"/>
            <w:hideMark/>
          </w:tcPr>
          <w:p w14:paraId="4C49C611" w14:textId="77777777" w:rsidR="00E526C4" w:rsidRPr="007640AA" w:rsidRDefault="00E526C4" w:rsidP="00E53E0D">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61.44</w:t>
            </w:r>
          </w:p>
        </w:tc>
      </w:tr>
    </w:tbl>
    <w:p w14:paraId="4C49C613" w14:textId="77777777" w:rsidR="003865D8" w:rsidRPr="00E53E0D" w:rsidRDefault="003865D8" w:rsidP="00E53E0D">
      <w:pPr>
        <w:pStyle w:val="NormalWeb"/>
        <w:spacing w:before="0" w:beforeAutospacing="0"/>
        <w:jc w:val="both"/>
        <w:rPr>
          <w:rFonts w:ascii="Arial" w:hAnsi="Arial" w:cs="Arial"/>
          <w:b/>
          <w:i/>
          <w:color w:val="000000" w:themeColor="text1"/>
          <w:sz w:val="20"/>
          <w:szCs w:val="20"/>
        </w:rPr>
      </w:pPr>
      <w:r w:rsidRPr="00E53E0D">
        <w:rPr>
          <w:rStyle w:val="Strong"/>
          <w:rFonts w:ascii="Arial" w:eastAsia="Calibri" w:hAnsi="Arial" w:cs="Arial"/>
          <w:i/>
          <w:color w:val="000000" w:themeColor="text1"/>
          <w:sz w:val="20"/>
          <w:szCs w:val="20"/>
        </w:rPr>
        <w:lastRenderedPageBreak/>
        <w:t>Source:</w:t>
      </w:r>
      <w:r w:rsidRPr="007640AA">
        <w:rPr>
          <w:rFonts w:ascii="Arial" w:hAnsi="Arial" w:cs="Arial"/>
          <w:color w:val="000000" w:themeColor="text1"/>
          <w:sz w:val="20"/>
          <w:szCs w:val="20"/>
        </w:rPr>
        <w:t xml:space="preserve"> </w:t>
      </w:r>
      <w:r w:rsidRPr="00E53E0D">
        <w:rPr>
          <w:rFonts w:ascii="Arial" w:hAnsi="Arial" w:cs="Arial"/>
          <w:b/>
          <w:i/>
          <w:color w:val="000000" w:themeColor="text1"/>
          <w:sz w:val="20"/>
          <w:szCs w:val="20"/>
        </w:rPr>
        <w:t>Field dep</w:t>
      </w:r>
      <w:r w:rsidR="00FD30F3" w:rsidRPr="00E53E0D">
        <w:rPr>
          <w:rFonts w:ascii="Arial" w:hAnsi="Arial" w:cs="Arial"/>
          <w:b/>
          <w:i/>
          <w:color w:val="000000" w:themeColor="text1"/>
          <w:sz w:val="20"/>
          <w:szCs w:val="20"/>
        </w:rPr>
        <w:t>loyment study (2026)</w:t>
      </w:r>
    </w:p>
    <w:p w14:paraId="4C49C614" w14:textId="77777777" w:rsidR="003865D8" w:rsidRPr="007640AA" w:rsidRDefault="003865D8" w:rsidP="00E53E0D">
      <w:pPr>
        <w:pStyle w:val="Heading2"/>
        <w:spacing w:before="0" w:line="240" w:lineRule="auto"/>
        <w:jc w:val="both"/>
        <w:rPr>
          <w:rFonts w:ascii="Arial" w:hAnsi="Arial" w:cs="Arial"/>
          <w:color w:val="000000" w:themeColor="text1"/>
          <w:sz w:val="20"/>
          <w:szCs w:val="20"/>
        </w:rPr>
      </w:pPr>
      <w:r w:rsidRPr="007640AA">
        <w:rPr>
          <w:rStyle w:val="Strong"/>
          <w:rFonts w:ascii="Arial" w:hAnsi="Arial" w:cs="Arial"/>
          <w:b/>
          <w:bCs/>
          <w:color w:val="000000" w:themeColor="text1"/>
          <w:sz w:val="20"/>
          <w:szCs w:val="20"/>
        </w:rPr>
        <w:t xml:space="preserve">Table </w:t>
      </w:r>
      <w:r w:rsidR="00FD30F3">
        <w:rPr>
          <w:rStyle w:val="Strong"/>
          <w:rFonts w:ascii="Arial" w:hAnsi="Arial" w:cs="Arial"/>
          <w:b/>
          <w:bCs/>
          <w:color w:val="000000" w:themeColor="text1"/>
          <w:sz w:val="20"/>
          <w:szCs w:val="20"/>
        </w:rPr>
        <w:t>4.</w:t>
      </w:r>
      <w:r w:rsidRPr="007640AA">
        <w:rPr>
          <w:rStyle w:val="Strong"/>
          <w:rFonts w:ascii="Arial" w:hAnsi="Arial" w:cs="Arial"/>
          <w:b/>
          <w:bCs/>
          <w:color w:val="000000" w:themeColor="text1"/>
          <w:sz w:val="20"/>
          <w:szCs w:val="20"/>
        </w:rPr>
        <w:t>11 Paired t-Test: Lab vs. Field CO</w:t>
      </w:r>
      <w:r w:rsidRPr="007640AA">
        <w:rPr>
          <w:rStyle w:val="Strong"/>
          <w:rFonts w:cs="Arial"/>
          <w:b/>
          <w:bCs/>
          <w:color w:val="000000" w:themeColor="text1"/>
          <w:sz w:val="20"/>
          <w:szCs w:val="20"/>
        </w:rPr>
        <w:t>₂</w:t>
      </w:r>
      <w:r w:rsidRPr="007640AA">
        <w:rPr>
          <w:rStyle w:val="Strong"/>
          <w:rFonts w:ascii="Arial" w:hAnsi="Arial" w:cs="Arial"/>
          <w:b/>
          <w:bCs/>
          <w:color w:val="000000" w:themeColor="text1"/>
          <w:sz w:val="20"/>
          <w:szCs w:val="20"/>
        </w:rPr>
        <w:t xml:space="preserve"> Capture Efficiency</w:t>
      </w:r>
    </w:p>
    <w:tbl>
      <w:tblPr>
        <w:tblStyle w:val="LightShading"/>
        <w:tblW w:w="9288" w:type="dxa"/>
        <w:tblLook w:val="04A0" w:firstRow="1" w:lastRow="0" w:firstColumn="1" w:lastColumn="0" w:noHBand="0" w:noVBand="1"/>
      </w:tblPr>
      <w:tblGrid>
        <w:gridCol w:w="2898"/>
        <w:gridCol w:w="2160"/>
        <w:gridCol w:w="2340"/>
        <w:gridCol w:w="1890"/>
      </w:tblGrid>
      <w:tr w:rsidR="003865D8" w:rsidRPr="007640AA" w14:paraId="4C49C619" w14:textId="77777777" w:rsidTr="006F35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8" w:type="dxa"/>
            <w:shd w:val="clear" w:color="auto" w:fill="FFFFFF" w:themeFill="background1"/>
            <w:hideMark/>
          </w:tcPr>
          <w:p w14:paraId="4C49C615" w14:textId="77777777" w:rsidR="003865D8" w:rsidRPr="007640AA" w:rsidRDefault="003865D8" w:rsidP="007640AA">
            <w:pPr>
              <w:jc w:val="both"/>
              <w:rPr>
                <w:rFonts w:ascii="Arial" w:hAnsi="Arial" w:cs="Arial"/>
                <w:b w:val="0"/>
                <w:bCs w:val="0"/>
                <w:color w:val="000000" w:themeColor="text1"/>
                <w:sz w:val="20"/>
                <w:szCs w:val="20"/>
              </w:rPr>
            </w:pPr>
            <w:r w:rsidRPr="007640AA">
              <w:rPr>
                <w:rFonts w:ascii="Arial" w:hAnsi="Arial" w:cs="Arial"/>
                <w:color w:val="000000" w:themeColor="text1"/>
                <w:sz w:val="20"/>
                <w:szCs w:val="20"/>
              </w:rPr>
              <w:t>Site</w:t>
            </w:r>
          </w:p>
        </w:tc>
        <w:tc>
          <w:tcPr>
            <w:tcW w:w="2160" w:type="dxa"/>
            <w:shd w:val="clear" w:color="auto" w:fill="FFFFFF" w:themeFill="background1"/>
            <w:hideMark/>
          </w:tcPr>
          <w:p w14:paraId="4C49C616" w14:textId="77777777" w:rsidR="003865D8" w:rsidRPr="007640AA" w:rsidRDefault="003865D8" w:rsidP="007640AA">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sz w:val="20"/>
                <w:szCs w:val="20"/>
              </w:rPr>
            </w:pPr>
            <w:r w:rsidRPr="007640AA">
              <w:rPr>
                <w:rFonts w:ascii="Arial" w:hAnsi="Arial" w:cs="Arial"/>
                <w:color w:val="000000" w:themeColor="text1"/>
                <w:sz w:val="20"/>
                <w:szCs w:val="20"/>
              </w:rPr>
              <w:t>Lab Mean (%)</w:t>
            </w:r>
          </w:p>
        </w:tc>
        <w:tc>
          <w:tcPr>
            <w:tcW w:w="2340" w:type="dxa"/>
            <w:shd w:val="clear" w:color="auto" w:fill="FFFFFF" w:themeFill="background1"/>
            <w:hideMark/>
          </w:tcPr>
          <w:p w14:paraId="4C49C617" w14:textId="77777777" w:rsidR="003865D8" w:rsidRPr="007640AA" w:rsidRDefault="003865D8" w:rsidP="007640AA">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sz w:val="20"/>
                <w:szCs w:val="20"/>
              </w:rPr>
            </w:pPr>
            <w:r w:rsidRPr="007640AA">
              <w:rPr>
                <w:rFonts w:ascii="Arial" w:hAnsi="Arial" w:cs="Arial"/>
                <w:color w:val="000000" w:themeColor="text1"/>
                <w:sz w:val="20"/>
                <w:szCs w:val="20"/>
              </w:rPr>
              <w:t>Field Mean (%)</w:t>
            </w:r>
          </w:p>
        </w:tc>
        <w:tc>
          <w:tcPr>
            <w:tcW w:w="1890" w:type="dxa"/>
            <w:shd w:val="clear" w:color="auto" w:fill="FFFFFF" w:themeFill="background1"/>
            <w:hideMark/>
          </w:tcPr>
          <w:p w14:paraId="4C49C618" w14:textId="77777777" w:rsidR="003865D8" w:rsidRPr="007640AA" w:rsidRDefault="003865D8" w:rsidP="007640AA">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sz w:val="20"/>
                <w:szCs w:val="20"/>
              </w:rPr>
            </w:pPr>
            <w:r w:rsidRPr="007640AA">
              <w:rPr>
                <w:rFonts w:ascii="Arial" w:hAnsi="Arial" w:cs="Arial"/>
                <w:color w:val="000000" w:themeColor="text1"/>
                <w:sz w:val="20"/>
                <w:szCs w:val="20"/>
              </w:rPr>
              <w:t>Difference (%)</w:t>
            </w:r>
          </w:p>
        </w:tc>
      </w:tr>
      <w:tr w:rsidR="00FD30F3" w:rsidRPr="007640AA" w14:paraId="4C49C61E" w14:textId="77777777" w:rsidTr="006F35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8" w:type="dxa"/>
            <w:shd w:val="clear" w:color="auto" w:fill="FFFFFF" w:themeFill="background1"/>
            <w:hideMark/>
          </w:tcPr>
          <w:p w14:paraId="4C49C61A" w14:textId="77777777" w:rsidR="00FD30F3" w:rsidRPr="00250147" w:rsidRDefault="00FD30F3" w:rsidP="006848FF">
            <w:pPr>
              <w:rPr>
                <w:rFonts w:ascii="Arial" w:hAnsi="Arial" w:cs="Arial"/>
                <w:b w:val="0"/>
                <w:color w:val="000000" w:themeColor="text1"/>
                <w:sz w:val="20"/>
                <w:szCs w:val="20"/>
              </w:rPr>
            </w:pPr>
            <w:r w:rsidRPr="00250147">
              <w:rPr>
                <w:rFonts w:ascii="Arial" w:hAnsi="Arial" w:cs="Arial"/>
                <w:b w:val="0"/>
                <w:color w:val="000000" w:themeColor="text1"/>
                <w:sz w:val="20"/>
                <w:szCs w:val="20"/>
              </w:rPr>
              <w:t>Rivers</w:t>
            </w:r>
          </w:p>
        </w:tc>
        <w:tc>
          <w:tcPr>
            <w:tcW w:w="2160" w:type="dxa"/>
            <w:shd w:val="clear" w:color="auto" w:fill="FFFFFF" w:themeFill="background1"/>
            <w:hideMark/>
          </w:tcPr>
          <w:p w14:paraId="4C49C61B" w14:textId="77777777" w:rsidR="00FD30F3" w:rsidRPr="007640AA" w:rsidRDefault="00FD30F3" w:rsidP="007640AA">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75.3</w:t>
            </w:r>
          </w:p>
        </w:tc>
        <w:tc>
          <w:tcPr>
            <w:tcW w:w="2340" w:type="dxa"/>
            <w:shd w:val="clear" w:color="auto" w:fill="FFFFFF" w:themeFill="background1"/>
            <w:hideMark/>
          </w:tcPr>
          <w:p w14:paraId="4C49C61C" w14:textId="77777777" w:rsidR="00FD30F3" w:rsidRPr="007640AA" w:rsidRDefault="00FD30F3" w:rsidP="007640AA">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68.32</w:t>
            </w:r>
          </w:p>
        </w:tc>
        <w:tc>
          <w:tcPr>
            <w:tcW w:w="1890" w:type="dxa"/>
            <w:shd w:val="clear" w:color="auto" w:fill="FFFFFF" w:themeFill="background1"/>
            <w:hideMark/>
          </w:tcPr>
          <w:p w14:paraId="4C49C61D" w14:textId="77777777" w:rsidR="00FD30F3" w:rsidRPr="007640AA" w:rsidRDefault="00FD30F3" w:rsidP="007640AA">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7.0</w:t>
            </w:r>
          </w:p>
        </w:tc>
      </w:tr>
      <w:tr w:rsidR="00FD30F3" w:rsidRPr="007640AA" w14:paraId="4C49C623" w14:textId="77777777" w:rsidTr="006F3581">
        <w:tc>
          <w:tcPr>
            <w:cnfStyle w:val="001000000000" w:firstRow="0" w:lastRow="0" w:firstColumn="1" w:lastColumn="0" w:oddVBand="0" w:evenVBand="0" w:oddHBand="0" w:evenHBand="0" w:firstRowFirstColumn="0" w:firstRowLastColumn="0" w:lastRowFirstColumn="0" w:lastRowLastColumn="0"/>
            <w:tcW w:w="2898" w:type="dxa"/>
            <w:shd w:val="clear" w:color="auto" w:fill="FFFFFF" w:themeFill="background1"/>
            <w:hideMark/>
          </w:tcPr>
          <w:p w14:paraId="4C49C61F" w14:textId="77777777" w:rsidR="00FD30F3" w:rsidRPr="00250147" w:rsidRDefault="00FD30F3" w:rsidP="006848FF">
            <w:pPr>
              <w:rPr>
                <w:rFonts w:ascii="Arial" w:hAnsi="Arial" w:cs="Arial"/>
                <w:b w:val="0"/>
                <w:color w:val="000000" w:themeColor="text1"/>
                <w:sz w:val="20"/>
                <w:szCs w:val="20"/>
              </w:rPr>
            </w:pPr>
            <w:r w:rsidRPr="00250147">
              <w:rPr>
                <w:rFonts w:ascii="Arial" w:hAnsi="Arial" w:cs="Arial"/>
                <w:b w:val="0"/>
                <w:color w:val="000000" w:themeColor="text1"/>
                <w:sz w:val="20"/>
                <w:szCs w:val="20"/>
              </w:rPr>
              <w:t>Bayelsa</w:t>
            </w:r>
          </w:p>
        </w:tc>
        <w:tc>
          <w:tcPr>
            <w:tcW w:w="2160" w:type="dxa"/>
            <w:shd w:val="clear" w:color="auto" w:fill="FFFFFF" w:themeFill="background1"/>
            <w:hideMark/>
          </w:tcPr>
          <w:p w14:paraId="4C49C620" w14:textId="77777777" w:rsidR="00FD30F3" w:rsidRPr="007640AA" w:rsidRDefault="00FD30F3" w:rsidP="007640AA">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74.4</w:t>
            </w:r>
            <w:r w:rsidR="00B72272">
              <w:rPr>
                <w:rFonts w:ascii="Arial" w:hAnsi="Arial" w:cs="Arial"/>
                <w:color w:val="000000" w:themeColor="text1"/>
                <w:sz w:val="20"/>
                <w:szCs w:val="20"/>
              </w:rPr>
              <w:t>s</w:t>
            </w:r>
          </w:p>
        </w:tc>
        <w:tc>
          <w:tcPr>
            <w:tcW w:w="2340" w:type="dxa"/>
            <w:shd w:val="clear" w:color="auto" w:fill="FFFFFF" w:themeFill="background1"/>
            <w:hideMark/>
          </w:tcPr>
          <w:p w14:paraId="4C49C621" w14:textId="77777777" w:rsidR="00FD30F3" w:rsidRPr="007640AA" w:rsidRDefault="00FD30F3" w:rsidP="007640AA">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70.10</w:t>
            </w:r>
          </w:p>
        </w:tc>
        <w:tc>
          <w:tcPr>
            <w:tcW w:w="1890" w:type="dxa"/>
            <w:shd w:val="clear" w:color="auto" w:fill="FFFFFF" w:themeFill="background1"/>
            <w:hideMark/>
          </w:tcPr>
          <w:p w14:paraId="4C49C622" w14:textId="77777777" w:rsidR="00FD30F3" w:rsidRPr="007640AA" w:rsidRDefault="00FD30F3" w:rsidP="007640AA">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4.3</w:t>
            </w:r>
          </w:p>
        </w:tc>
      </w:tr>
      <w:tr w:rsidR="00FD30F3" w:rsidRPr="007640AA" w14:paraId="4C49C628" w14:textId="77777777" w:rsidTr="006F35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8" w:type="dxa"/>
            <w:shd w:val="clear" w:color="auto" w:fill="FFFFFF" w:themeFill="background1"/>
            <w:hideMark/>
          </w:tcPr>
          <w:p w14:paraId="4C49C624" w14:textId="77777777" w:rsidR="00FD30F3" w:rsidRPr="00250147" w:rsidRDefault="00FD30F3" w:rsidP="006848FF">
            <w:pPr>
              <w:rPr>
                <w:rFonts w:ascii="Arial" w:hAnsi="Arial" w:cs="Arial"/>
                <w:b w:val="0"/>
                <w:color w:val="000000" w:themeColor="text1"/>
                <w:sz w:val="20"/>
                <w:szCs w:val="20"/>
              </w:rPr>
            </w:pPr>
            <w:r w:rsidRPr="00250147">
              <w:rPr>
                <w:rFonts w:ascii="Arial" w:hAnsi="Arial" w:cs="Arial"/>
                <w:b w:val="0"/>
                <w:color w:val="000000" w:themeColor="text1"/>
                <w:sz w:val="20"/>
                <w:szCs w:val="20"/>
              </w:rPr>
              <w:t>Delta</w:t>
            </w:r>
          </w:p>
        </w:tc>
        <w:tc>
          <w:tcPr>
            <w:tcW w:w="2160" w:type="dxa"/>
            <w:shd w:val="clear" w:color="auto" w:fill="FFFFFF" w:themeFill="background1"/>
            <w:hideMark/>
          </w:tcPr>
          <w:p w14:paraId="4C49C625" w14:textId="77777777" w:rsidR="00FD30F3" w:rsidRPr="007640AA" w:rsidRDefault="00FD30F3" w:rsidP="007640AA">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75.6</w:t>
            </w:r>
          </w:p>
        </w:tc>
        <w:tc>
          <w:tcPr>
            <w:tcW w:w="2340" w:type="dxa"/>
            <w:shd w:val="clear" w:color="auto" w:fill="FFFFFF" w:themeFill="background1"/>
            <w:hideMark/>
          </w:tcPr>
          <w:p w14:paraId="4C49C626" w14:textId="77777777" w:rsidR="00FD30F3" w:rsidRPr="007640AA" w:rsidRDefault="00FD30F3" w:rsidP="007640AA">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66.64</w:t>
            </w:r>
          </w:p>
        </w:tc>
        <w:tc>
          <w:tcPr>
            <w:tcW w:w="1890" w:type="dxa"/>
            <w:shd w:val="clear" w:color="auto" w:fill="FFFFFF" w:themeFill="background1"/>
            <w:hideMark/>
          </w:tcPr>
          <w:p w14:paraId="4C49C627" w14:textId="77777777" w:rsidR="00FD30F3" w:rsidRPr="007640AA" w:rsidRDefault="00FD30F3" w:rsidP="007640AA">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9.0</w:t>
            </w:r>
          </w:p>
        </w:tc>
      </w:tr>
      <w:tr w:rsidR="00FD30F3" w:rsidRPr="007640AA" w14:paraId="4C49C62D" w14:textId="77777777" w:rsidTr="006F3581">
        <w:tc>
          <w:tcPr>
            <w:cnfStyle w:val="001000000000" w:firstRow="0" w:lastRow="0" w:firstColumn="1" w:lastColumn="0" w:oddVBand="0" w:evenVBand="0" w:oddHBand="0" w:evenHBand="0" w:firstRowFirstColumn="0" w:firstRowLastColumn="0" w:lastRowFirstColumn="0" w:lastRowLastColumn="0"/>
            <w:tcW w:w="2898" w:type="dxa"/>
            <w:shd w:val="clear" w:color="auto" w:fill="FFFFFF" w:themeFill="background1"/>
            <w:hideMark/>
          </w:tcPr>
          <w:p w14:paraId="4C49C629" w14:textId="77777777" w:rsidR="00FD30F3" w:rsidRPr="00250147" w:rsidRDefault="00FD30F3" w:rsidP="006848FF">
            <w:pPr>
              <w:rPr>
                <w:rFonts w:ascii="Arial" w:hAnsi="Arial" w:cs="Arial"/>
                <w:b w:val="0"/>
                <w:color w:val="000000" w:themeColor="text1"/>
                <w:sz w:val="20"/>
                <w:szCs w:val="20"/>
              </w:rPr>
            </w:pPr>
            <w:r w:rsidRPr="00250147">
              <w:rPr>
                <w:rFonts w:ascii="Arial" w:hAnsi="Arial" w:cs="Arial"/>
                <w:b w:val="0"/>
                <w:color w:val="000000" w:themeColor="text1"/>
                <w:sz w:val="20"/>
                <w:szCs w:val="20"/>
              </w:rPr>
              <w:t>Akwa Ibom</w:t>
            </w:r>
          </w:p>
        </w:tc>
        <w:tc>
          <w:tcPr>
            <w:tcW w:w="2160" w:type="dxa"/>
            <w:shd w:val="clear" w:color="auto" w:fill="FFFFFF" w:themeFill="background1"/>
            <w:hideMark/>
          </w:tcPr>
          <w:p w14:paraId="4C49C62A" w14:textId="77777777" w:rsidR="00FD30F3" w:rsidRPr="007640AA" w:rsidRDefault="00FD30F3" w:rsidP="007640AA">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75.6</w:t>
            </w:r>
          </w:p>
        </w:tc>
        <w:tc>
          <w:tcPr>
            <w:tcW w:w="2340" w:type="dxa"/>
            <w:shd w:val="clear" w:color="auto" w:fill="FFFFFF" w:themeFill="background1"/>
            <w:hideMark/>
          </w:tcPr>
          <w:p w14:paraId="4C49C62B" w14:textId="77777777" w:rsidR="00FD30F3" w:rsidRPr="007640AA" w:rsidRDefault="00FD30F3" w:rsidP="007640AA">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64.86</w:t>
            </w:r>
          </w:p>
        </w:tc>
        <w:tc>
          <w:tcPr>
            <w:tcW w:w="1890" w:type="dxa"/>
            <w:shd w:val="clear" w:color="auto" w:fill="FFFFFF" w:themeFill="background1"/>
            <w:hideMark/>
          </w:tcPr>
          <w:p w14:paraId="4C49C62C" w14:textId="77777777" w:rsidR="00FD30F3" w:rsidRPr="007640AA" w:rsidRDefault="00FD30F3" w:rsidP="007640AA">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10.7</w:t>
            </w:r>
          </w:p>
        </w:tc>
      </w:tr>
      <w:tr w:rsidR="00FD30F3" w:rsidRPr="007640AA" w14:paraId="4C49C632" w14:textId="77777777" w:rsidTr="006F35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8" w:type="dxa"/>
            <w:shd w:val="clear" w:color="auto" w:fill="FFFFFF" w:themeFill="background1"/>
            <w:hideMark/>
          </w:tcPr>
          <w:p w14:paraId="4C49C62E" w14:textId="77777777" w:rsidR="00FD30F3" w:rsidRPr="00250147" w:rsidRDefault="00FD30F3" w:rsidP="0033136C">
            <w:pPr>
              <w:rPr>
                <w:rFonts w:ascii="Arial" w:hAnsi="Arial" w:cs="Arial"/>
                <w:b w:val="0"/>
                <w:color w:val="000000" w:themeColor="text1"/>
                <w:sz w:val="20"/>
                <w:szCs w:val="20"/>
              </w:rPr>
            </w:pPr>
            <w:r w:rsidRPr="00250147">
              <w:rPr>
                <w:rFonts w:ascii="Arial" w:hAnsi="Arial" w:cs="Arial"/>
                <w:b w:val="0"/>
                <w:color w:val="000000" w:themeColor="text1"/>
                <w:sz w:val="20"/>
                <w:szCs w:val="20"/>
              </w:rPr>
              <w:t>Edo</w:t>
            </w:r>
          </w:p>
        </w:tc>
        <w:tc>
          <w:tcPr>
            <w:tcW w:w="2160" w:type="dxa"/>
            <w:shd w:val="clear" w:color="auto" w:fill="FFFFFF" w:themeFill="background1"/>
            <w:hideMark/>
          </w:tcPr>
          <w:p w14:paraId="4C49C62F" w14:textId="77777777" w:rsidR="00FD30F3" w:rsidRPr="007640AA" w:rsidRDefault="00FD30F3" w:rsidP="0033136C">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75.2</w:t>
            </w:r>
          </w:p>
        </w:tc>
        <w:tc>
          <w:tcPr>
            <w:tcW w:w="2340" w:type="dxa"/>
            <w:shd w:val="clear" w:color="auto" w:fill="FFFFFF" w:themeFill="background1"/>
            <w:hideMark/>
          </w:tcPr>
          <w:p w14:paraId="4C49C630" w14:textId="77777777" w:rsidR="00FD30F3" w:rsidRPr="007640AA" w:rsidRDefault="00FD30F3" w:rsidP="0033136C">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61.44</w:t>
            </w:r>
          </w:p>
        </w:tc>
        <w:tc>
          <w:tcPr>
            <w:tcW w:w="1890" w:type="dxa"/>
            <w:shd w:val="clear" w:color="auto" w:fill="FFFFFF" w:themeFill="background1"/>
            <w:hideMark/>
          </w:tcPr>
          <w:p w14:paraId="4C49C631" w14:textId="77777777" w:rsidR="00FD30F3" w:rsidRPr="007640AA" w:rsidRDefault="00FD30F3" w:rsidP="0033136C">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13.8</w:t>
            </w:r>
          </w:p>
        </w:tc>
      </w:tr>
    </w:tbl>
    <w:p w14:paraId="4C49C633" w14:textId="77777777" w:rsidR="003865D8" w:rsidRPr="006F3581" w:rsidRDefault="003865D8" w:rsidP="0033136C">
      <w:pPr>
        <w:pStyle w:val="NormalWeb"/>
        <w:spacing w:before="0" w:beforeAutospacing="0"/>
        <w:jc w:val="both"/>
        <w:rPr>
          <w:rFonts w:ascii="Arial" w:hAnsi="Arial" w:cs="Arial"/>
          <w:b/>
          <w:i/>
          <w:color w:val="000000" w:themeColor="text1"/>
          <w:sz w:val="20"/>
          <w:szCs w:val="20"/>
        </w:rPr>
      </w:pPr>
      <w:r w:rsidRPr="006F3581">
        <w:rPr>
          <w:rStyle w:val="Strong"/>
          <w:rFonts w:ascii="Arial" w:eastAsia="Calibri" w:hAnsi="Arial" w:cs="Arial"/>
          <w:i/>
          <w:color w:val="000000" w:themeColor="text1"/>
          <w:sz w:val="20"/>
          <w:szCs w:val="20"/>
        </w:rPr>
        <w:t>Source</w:t>
      </w:r>
      <w:r w:rsidRPr="006F3581">
        <w:rPr>
          <w:rStyle w:val="Strong"/>
          <w:rFonts w:ascii="Arial" w:eastAsia="Calibri" w:hAnsi="Arial" w:cs="Arial"/>
          <w:b w:val="0"/>
          <w:i/>
          <w:color w:val="000000" w:themeColor="text1"/>
          <w:sz w:val="20"/>
          <w:szCs w:val="20"/>
        </w:rPr>
        <w:t>:</w:t>
      </w:r>
      <w:r w:rsidR="00556DA1" w:rsidRPr="006F3581">
        <w:rPr>
          <w:rFonts w:ascii="Arial" w:hAnsi="Arial" w:cs="Arial"/>
          <w:b/>
          <w:i/>
          <w:color w:val="000000" w:themeColor="text1"/>
          <w:sz w:val="20"/>
          <w:szCs w:val="20"/>
        </w:rPr>
        <w:t xml:space="preserve"> Lab and field comparison, (2026)</w:t>
      </w:r>
    </w:p>
    <w:p w14:paraId="4C49C634" w14:textId="77777777" w:rsidR="003865D8" w:rsidRPr="007640AA" w:rsidRDefault="003865D8" w:rsidP="0033136C">
      <w:pPr>
        <w:pStyle w:val="Heading2"/>
        <w:spacing w:before="0" w:line="240" w:lineRule="auto"/>
        <w:jc w:val="both"/>
        <w:rPr>
          <w:rFonts w:ascii="Arial" w:hAnsi="Arial" w:cs="Arial"/>
          <w:color w:val="000000" w:themeColor="text1"/>
          <w:sz w:val="20"/>
          <w:szCs w:val="20"/>
        </w:rPr>
      </w:pPr>
      <w:r w:rsidRPr="007640AA">
        <w:rPr>
          <w:rStyle w:val="Strong"/>
          <w:rFonts w:ascii="Arial" w:hAnsi="Arial" w:cs="Arial"/>
          <w:b/>
          <w:bCs/>
          <w:color w:val="000000" w:themeColor="text1"/>
          <w:sz w:val="20"/>
          <w:szCs w:val="20"/>
        </w:rPr>
        <w:t xml:space="preserve">Table </w:t>
      </w:r>
      <w:r w:rsidR="00223466">
        <w:rPr>
          <w:rStyle w:val="Strong"/>
          <w:rFonts w:ascii="Arial" w:hAnsi="Arial" w:cs="Arial"/>
          <w:b/>
          <w:bCs/>
          <w:color w:val="000000" w:themeColor="text1"/>
          <w:sz w:val="20"/>
          <w:szCs w:val="20"/>
        </w:rPr>
        <w:t>4.12</w:t>
      </w:r>
      <w:r w:rsidRPr="007640AA">
        <w:rPr>
          <w:rStyle w:val="Strong"/>
          <w:rFonts w:ascii="Arial" w:hAnsi="Arial" w:cs="Arial"/>
          <w:b/>
          <w:bCs/>
          <w:color w:val="000000" w:themeColor="text1"/>
          <w:sz w:val="20"/>
          <w:szCs w:val="20"/>
        </w:rPr>
        <w:t xml:space="preserve"> Simple Linear Regression: CO</w:t>
      </w:r>
      <w:r w:rsidRPr="007640AA">
        <w:rPr>
          <w:rStyle w:val="Strong"/>
          <w:rFonts w:cs="Arial"/>
          <w:b/>
          <w:bCs/>
          <w:color w:val="000000" w:themeColor="text1"/>
          <w:sz w:val="20"/>
          <w:szCs w:val="20"/>
        </w:rPr>
        <w:t>₂</w:t>
      </w:r>
      <w:r w:rsidRPr="007640AA">
        <w:rPr>
          <w:rStyle w:val="Strong"/>
          <w:rFonts w:ascii="Arial" w:hAnsi="Arial" w:cs="Arial"/>
          <w:b/>
          <w:bCs/>
          <w:color w:val="000000" w:themeColor="text1"/>
          <w:sz w:val="20"/>
          <w:szCs w:val="20"/>
        </w:rPr>
        <w:t xml:space="preserve"> Capture Efficiency vs. Flare Volume</w:t>
      </w:r>
    </w:p>
    <w:tbl>
      <w:tblPr>
        <w:tblStyle w:val="LightShading"/>
        <w:tblW w:w="9288" w:type="dxa"/>
        <w:tblLook w:val="04A0" w:firstRow="1" w:lastRow="0" w:firstColumn="1" w:lastColumn="0" w:noHBand="0" w:noVBand="1"/>
      </w:tblPr>
      <w:tblGrid>
        <w:gridCol w:w="1998"/>
        <w:gridCol w:w="1440"/>
        <w:gridCol w:w="1710"/>
        <w:gridCol w:w="1800"/>
        <w:gridCol w:w="2340"/>
      </w:tblGrid>
      <w:tr w:rsidR="003865D8" w:rsidRPr="007640AA" w14:paraId="4C49C63A" w14:textId="77777777" w:rsidTr="004155E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8" w:type="dxa"/>
            <w:shd w:val="clear" w:color="auto" w:fill="FFFFFF" w:themeFill="background1"/>
            <w:hideMark/>
          </w:tcPr>
          <w:p w14:paraId="4C49C635" w14:textId="77777777" w:rsidR="003865D8" w:rsidRPr="007640AA" w:rsidRDefault="003865D8" w:rsidP="007640AA">
            <w:pPr>
              <w:jc w:val="both"/>
              <w:rPr>
                <w:rFonts w:ascii="Arial" w:hAnsi="Arial" w:cs="Arial"/>
                <w:b w:val="0"/>
                <w:bCs w:val="0"/>
                <w:color w:val="000000" w:themeColor="text1"/>
                <w:sz w:val="20"/>
                <w:szCs w:val="20"/>
              </w:rPr>
            </w:pPr>
            <w:r w:rsidRPr="007640AA">
              <w:rPr>
                <w:rFonts w:ascii="Arial" w:hAnsi="Arial" w:cs="Arial"/>
                <w:color w:val="000000" w:themeColor="text1"/>
                <w:sz w:val="20"/>
                <w:szCs w:val="20"/>
              </w:rPr>
              <w:t>Predictor</w:t>
            </w:r>
          </w:p>
        </w:tc>
        <w:tc>
          <w:tcPr>
            <w:tcW w:w="1440" w:type="dxa"/>
            <w:shd w:val="clear" w:color="auto" w:fill="FFFFFF" w:themeFill="background1"/>
            <w:hideMark/>
          </w:tcPr>
          <w:p w14:paraId="4C49C636" w14:textId="77777777" w:rsidR="003865D8" w:rsidRPr="007640AA" w:rsidRDefault="003865D8" w:rsidP="007640AA">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sz w:val="20"/>
                <w:szCs w:val="20"/>
              </w:rPr>
            </w:pPr>
            <w:r w:rsidRPr="007640AA">
              <w:rPr>
                <w:rFonts w:ascii="Arial" w:hAnsi="Arial" w:cs="Arial"/>
                <w:color w:val="000000" w:themeColor="text1"/>
                <w:sz w:val="20"/>
                <w:szCs w:val="20"/>
              </w:rPr>
              <w:t>Coefficient (β)</w:t>
            </w:r>
          </w:p>
        </w:tc>
        <w:tc>
          <w:tcPr>
            <w:tcW w:w="1710" w:type="dxa"/>
            <w:shd w:val="clear" w:color="auto" w:fill="FFFFFF" w:themeFill="background1"/>
            <w:hideMark/>
          </w:tcPr>
          <w:p w14:paraId="4C49C637" w14:textId="77777777" w:rsidR="003865D8" w:rsidRPr="007640AA" w:rsidRDefault="003865D8" w:rsidP="007640AA">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sz w:val="20"/>
                <w:szCs w:val="20"/>
              </w:rPr>
            </w:pPr>
            <w:r w:rsidRPr="007640AA">
              <w:rPr>
                <w:rFonts w:ascii="Arial" w:hAnsi="Arial" w:cs="Arial"/>
                <w:color w:val="000000" w:themeColor="text1"/>
                <w:sz w:val="20"/>
                <w:szCs w:val="20"/>
              </w:rPr>
              <w:t>Std. Error</w:t>
            </w:r>
          </w:p>
        </w:tc>
        <w:tc>
          <w:tcPr>
            <w:tcW w:w="1800" w:type="dxa"/>
            <w:shd w:val="clear" w:color="auto" w:fill="FFFFFF" w:themeFill="background1"/>
            <w:hideMark/>
          </w:tcPr>
          <w:p w14:paraId="4C49C638" w14:textId="77777777" w:rsidR="003865D8" w:rsidRPr="007640AA" w:rsidRDefault="003865D8" w:rsidP="007640AA">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sz w:val="20"/>
                <w:szCs w:val="20"/>
              </w:rPr>
            </w:pPr>
            <w:r w:rsidRPr="007640AA">
              <w:rPr>
                <w:rFonts w:ascii="Arial" w:hAnsi="Arial" w:cs="Arial"/>
                <w:color w:val="000000" w:themeColor="text1"/>
                <w:sz w:val="20"/>
                <w:szCs w:val="20"/>
              </w:rPr>
              <w:t>t</w:t>
            </w:r>
          </w:p>
        </w:tc>
        <w:tc>
          <w:tcPr>
            <w:tcW w:w="2340" w:type="dxa"/>
            <w:shd w:val="clear" w:color="auto" w:fill="FFFFFF" w:themeFill="background1"/>
            <w:hideMark/>
          </w:tcPr>
          <w:p w14:paraId="4C49C639" w14:textId="77777777" w:rsidR="003865D8" w:rsidRPr="007640AA" w:rsidRDefault="003865D8" w:rsidP="007640AA">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sz w:val="20"/>
                <w:szCs w:val="20"/>
              </w:rPr>
            </w:pPr>
            <w:r w:rsidRPr="007640AA">
              <w:rPr>
                <w:rFonts w:ascii="Arial" w:hAnsi="Arial" w:cs="Arial"/>
                <w:color w:val="000000" w:themeColor="text1"/>
                <w:sz w:val="20"/>
                <w:szCs w:val="20"/>
              </w:rPr>
              <w:t>p-value</w:t>
            </w:r>
          </w:p>
        </w:tc>
      </w:tr>
      <w:tr w:rsidR="003865D8" w:rsidRPr="007640AA" w14:paraId="4C49C640" w14:textId="77777777" w:rsidTr="004155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8" w:type="dxa"/>
            <w:shd w:val="clear" w:color="auto" w:fill="FFFFFF" w:themeFill="background1"/>
            <w:hideMark/>
          </w:tcPr>
          <w:p w14:paraId="4C49C63B" w14:textId="77777777" w:rsidR="003865D8" w:rsidRPr="007640AA" w:rsidRDefault="003865D8" w:rsidP="007640AA">
            <w:pPr>
              <w:jc w:val="both"/>
              <w:rPr>
                <w:rFonts w:ascii="Arial" w:hAnsi="Arial" w:cs="Arial"/>
                <w:color w:val="000000" w:themeColor="text1"/>
                <w:sz w:val="20"/>
                <w:szCs w:val="20"/>
              </w:rPr>
            </w:pPr>
            <w:r w:rsidRPr="007640AA">
              <w:rPr>
                <w:rFonts w:ascii="Arial" w:hAnsi="Arial" w:cs="Arial"/>
                <w:color w:val="000000" w:themeColor="text1"/>
                <w:sz w:val="20"/>
                <w:szCs w:val="20"/>
              </w:rPr>
              <w:t>Intercept</w:t>
            </w:r>
          </w:p>
        </w:tc>
        <w:tc>
          <w:tcPr>
            <w:tcW w:w="1440" w:type="dxa"/>
            <w:shd w:val="clear" w:color="auto" w:fill="FFFFFF" w:themeFill="background1"/>
            <w:hideMark/>
          </w:tcPr>
          <w:p w14:paraId="4C49C63C" w14:textId="77777777" w:rsidR="003865D8" w:rsidRPr="007640AA" w:rsidRDefault="003865D8" w:rsidP="007640AA">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74.5</w:t>
            </w:r>
          </w:p>
        </w:tc>
        <w:tc>
          <w:tcPr>
            <w:tcW w:w="1710" w:type="dxa"/>
            <w:shd w:val="clear" w:color="auto" w:fill="FFFFFF" w:themeFill="background1"/>
            <w:hideMark/>
          </w:tcPr>
          <w:p w14:paraId="4C49C63D" w14:textId="77777777" w:rsidR="003865D8" w:rsidRPr="007640AA" w:rsidRDefault="003865D8" w:rsidP="007640AA">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0.92</w:t>
            </w:r>
          </w:p>
        </w:tc>
        <w:tc>
          <w:tcPr>
            <w:tcW w:w="1800" w:type="dxa"/>
            <w:shd w:val="clear" w:color="auto" w:fill="FFFFFF" w:themeFill="background1"/>
            <w:hideMark/>
          </w:tcPr>
          <w:p w14:paraId="4C49C63E" w14:textId="77777777" w:rsidR="003865D8" w:rsidRPr="007640AA" w:rsidRDefault="003865D8" w:rsidP="007640AA">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80.98</w:t>
            </w:r>
          </w:p>
        </w:tc>
        <w:tc>
          <w:tcPr>
            <w:tcW w:w="2340" w:type="dxa"/>
            <w:shd w:val="clear" w:color="auto" w:fill="FFFFFF" w:themeFill="background1"/>
            <w:hideMark/>
          </w:tcPr>
          <w:p w14:paraId="4C49C63F" w14:textId="77777777" w:rsidR="003865D8" w:rsidRPr="007640AA" w:rsidRDefault="003865D8" w:rsidP="007640AA">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&lt;0.001</w:t>
            </w:r>
          </w:p>
        </w:tc>
      </w:tr>
      <w:tr w:rsidR="003865D8" w:rsidRPr="007640AA" w14:paraId="4C49C646" w14:textId="77777777" w:rsidTr="004155E4">
        <w:tc>
          <w:tcPr>
            <w:cnfStyle w:val="001000000000" w:firstRow="0" w:lastRow="0" w:firstColumn="1" w:lastColumn="0" w:oddVBand="0" w:evenVBand="0" w:oddHBand="0" w:evenHBand="0" w:firstRowFirstColumn="0" w:firstRowLastColumn="0" w:lastRowFirstColumn="0" w:lastRowLastColumn="0"/>
            <w:tcW w:w="1998" w:type="dxa"/>
            <w:shd w:val="clear" w:color="auto" w:fill="FFFFFF" w:themeFill="background1"/>
            <w:hideMark/>
          </w:tcPr>
          <w:p w14:paraId="4C49C641" w14:textId="77777777" w:rsidR="003865D8" w:rsidRPr="007640AA" w:rsidRDefault="003865D8" w:rsidP="007640AA">
            <w:pPr>
              <w:jc w:val="both"/>
              <w:rPr>
                <w:rFonts w:ascii="Arial" w:hAnsi="Arial" w:cs="Arial"/>
                <w:color w:val="000000" w:themeColor="text1"/>
                <w:sz w:val="20"/>
                <w:szCs w:val="20"/>
              </w:rPr>
            </w:pPr>
            <w:r w:rsidRPr="007640AA">
              <w:rPr>
                <w:rFonts w:ascii="Arial" w:hAnsi="Arial" w:cs="Arial"/>
                <w:color w:val="000000" w:themeColor="text1"/>
                <w:sz w:val="20"/>
                <w:szCs w:val="20"/>
              </w:rPr>
              <w:t>Flare Volume</w:t>
            </w:r>
          </w:p>
        </w:tc>
        <w:tc>
          <w:tcPr>
            <w:tcW w:w="1440" w:type="dxa"/>
            <w:shd w:val="clear" w:color="auto" w:fill="FFFFFF" w:themeFill="background1"/>
            <w:hideMark/>
          </w:tcPr>
          <w:p w14:paraId="4C49C642" w14:textId="77777777" w:rsidR="003865D8" w:rsidRPr="007640AA" w:rsidRDefault="003865D8" w:rsidP="007640AA">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-0.29</w:t>
            </w:r>
          </w:p>
        </w:tc>
        <w:tc>
          <w:tcPr>
            <w:tcW w:w="1710" w:type="dxa"/>
            <w:shd w:val="clear" w:color="auto" w:fill="FFFFFF" w:themeFill="background1"/>
            <w:hideMark/>
          </w:tcPr>
          <w:p w14:paraId="4C49C643" w14:textId="77777777" w:rsidR="003865D8" w:rsidRPr="007640AA" w:rsidRDefault="003865D8" w:rsidP="007640AA">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0.05</w:t>
            </w:r>
          </w:p>
        </w:tc>
        <w:tc>
          <w:tcPr>
            <w:tcW w:w="1800" w:type="dxa"/>
            <w:shd w:val="clear" w:color="auto" w:fill="FFFFFF" w:themeFill="background1"/>
            <w:hideMark/>
          </w:tcPr>
          <w:p w14:paraId="4C49C644" w14:textId="77777777" w:rsidR="003865D8" w:rsidRPr="007640AA" w:rsidRDefault="003865D8" w:rsidP="007640AA">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-5.8</w:t>
            </w:r>
          </w:p>
        </w:tc>
        <w:tc>
          <w:tcPr>
            <w:tcW w:w="2340" w:type="dxa"/>
            <w:shd w:val="clear" w:color="auto" w:fill="FFFFFF" w:themeFill="background1"/>
            <w:hideMark/>
          </w:tcPr>
          <w:p w14:paraId="4C49C645" w14:textId="77777777" w:rsidR="003865D8" w:rsidRPr="007640AA" w:rsidRDefault="003865D8" w:rsidP="007640AA">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0.002</w:t>
            </w:r>
          </w:p>
        </w:tc>
      </w:tr>
      <w:tr w:rsidR="00DF57C0" w:rsidRPr="007640AA" w14:paraId="4C49C649" w14:textId="77777777" w:rsidTr="004155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8" w:type="dxa"/>
            <w:gridSpan w:val="5"/>
            <w:shd w:val="clear" w:color="auto" w:fill="FFFFFF" w:themeFill="background1"/>
          </w:tcPr>
          <w:p w14:paraId="4C49C647" w14:textId="77777777" w:rsidR="00DF57C0" w:rsidRDefault="00DF57C0" w:rsidP="00B72272">
            <w:pPr>
              <w:jc w:val="both"/>
              <w:rPr>
                <w:rFonts w:ascii="Arial" w:hAnsi="Arial" w:cs="Arial"/>
                <w:color w:val="000000" w:themeColor="text1"/>
                <w:sz w:val="20"/>
                <w:szCs w:val="20"/>
              </w:rPr>
            </w:pPr>
            <w:r w:rsidRPr="007640AA">
              <w:rPr>
                <w:rStyle w:val="Strong"/>
                <w:rFonts w:ascii="Arial" w:eastAsia="Calibri" w:hAnsi="Arial" w:cs="Arial"/>
                <w:color w:val="000000" w:themeColor="text1"/>
                <w:sz w:val="20"/>
                <w:szCs w:val="20"/>
              </w:rPr>
              <w:t>R² = 0.78</w:t>
            </w:r>
          </w:p>
          <w:p w14:paraId="4C49C648" w14:textId="77777777" w:rsidR="00DF57C0" w:rsidRPr="007640AA" w:rsidRDefault="00DF57C0" w:rsidP="00B72272">
            <w:pPr>
              <w:jc w:val="both"/>
              <w:rPr>
                <w:rFonts w:ascii="Arial" w:hAnsi="Arial" w:cs="Arial"/>
                <w:color w:val="000000" w:themeColor="text1"/>
                <w:sz w:val="20"/>
                <w:szCs w:val="20"/>
              </w:rPr>
            </w:pPr>
            <w:r w:rsidRPr="007640AA">
              <w:rPr>
                <w:rStyle w:val="Strong"/>
                <w:rFonts w:ascii="Arial" w:eastAsia="Calibri" w:hAnsi="Arial" w:cs="Arial"/>
                <w:color w:val="000000" w:themeColor="text1"/>
                <w:sz w:val="20"/>
                <w:szCs w:val="20"/>
              </w:rPr>
              <w:t>Regression Equation:</w:t>
            </w:r>
            <w:r w:rsidRPr="007640AA">
              <w:rPr>
                <w:rFonts w:ascii="Arial" w:hAnsi="Arial" w:cs="Arial"/>
                <w:color w:val="000000" w:themeColor="text1"/>
                <w:sz w:val="20"/>
                <w:szCs w:val="20"/>
              </w:rPr>
              <w:t xml:space="preserve"> CO</w:t>
            </w:r>
            <w:r w:rsidRPr="007640AA">
              <w:rPr>
                <w:rFonts w:ascii="Cambria Math" w:hAnsi="Cambria Math" w:cs="Arial"/>
                <w:color w:val="000000" w:themeColor="text1"/>
                <w:sz w:val="20"/>
                <w:szCs w:val="20"/>
              </w:rPr>
              <w:t>₂</w:t>
            </w:r>
            <w:r w:rsidRPr="007640AA">
              <w:rPr>
                <w:rFonts w:ascii="Arial" w:hAnsi="Arial" w:cs="Arial"/>
                <w:color w:val="000000" w:themeColor="text1"/>
                <w:sz w:val="20"/>
                <w:szCs w:val="20"/>
              </w:rPr>
              <w:t xml:space="preserve"> Capture Efficiency = 74.5 − 0.29 × Flare Volume</w:t>
            </w:r>
          </w:p>
        </w:tc>
      </w:tr>
    </w:tbl>
    <w:p w14:paraId="4C49C64A" w14:textId="77777777" w:rsidR="003865D8" w:rsidRPr="00B72272" w:rsidRDefault="003865D8" w:rsidP="00B72272">
      <w:pPr>
        <w:pStyle w:val="NormalWeb"/>
        <w:spacing w:before="0" w:beforeAutospacing="0"/>
        <w:jc w:val="both"/>
        <w:rPr>
          <w:rFonts w:ascii="Arial" w:hAnsi="Arial" w:cs="Arial"/>
          <w:b/>
          <w:i/>
          <w:color w:val="000000" w:themeColor="text1"/>
          <w:sz w:val="20"/>
          <w:szCs w:val="20"/>
        </w:rPr>
      </w:pPr>
      <w:r w:rsidRPr="007640AA">
        <w:rPr>
          <w:rStyle w:val="Strong"/>
          <w:rFonts w:ascii="Arial" w:eastAsia="Calibri" w:hAnsi="Arial" w:cs="Arial"/>
          <w:color w:val="000000" w:themeColor="text1"/>
          <w:sz w:val="20"/>
          <w:szCs w:val="20"/>
        </w:rPr>
        <w:t>Source:</w:t>
      </w:r>
      <w:r w:rsidRPr="007640AA">
        <w:rPr>
          <w:rFonts w:ascii="Arial" w:hAnsi="Arial" w:cs="Arial"/>
          <w:color w:val="000000" w:themeColor="text1"/>
          <w:sz w:val="20"/>
          <w:szCs w:val="20"/>
        </w:rPr>
        <w:t xml:space="preserve"> </w:t>
      </w:r>
      <w:r w:rsidRPr="00B72272">
        <w:rPr>
          <w:rFonts w:ascii="Arial" w:hAnsi="Arial" w:cs="Arial"/>
          <w:b/>
          <w:i/>
          <w:color w:val="000000" w:themeColor="text1"/>
          <w:sz w:val="20"/>
          <w:szCs w:val="20"/>
        </w:rPr>
        <w:t>F</w:t>
      </w:r>
      <w:r w:rsidR="00AF1FDB" w:rsidRPr="00B72272">
        <w:rPr>
          <w:rFonts w:ascii="Arial" w:hAnsi="Arial" w:cs="Arial"/>
          <w:b/>
          <w:i/>
          <w:color w:val="000000" w:themeColor="text1"/>
          <w:sz w:val="20"/>
          <w:szCs w:val="20"/>
        </w:rPr>
        <w:t>ield statistical analysis, (2026)</w:t>
      </w:r>
    </w:p>
    <w:p w14:paraId="4C49C64B" w14:textId="77777777" w:rsidR="003865D8" w:rsidRPr="007640AA" w:rsidRDefault="00307DA7" w:rsidP="00B72272">
      <w:pPr>
        <w:pStyle w:val="Heading2"/>
        <w:spacing w:before="0" w:line="240" w:lineRule="auto"/>
        <w:jc w:val="both"/>
        <w:rPr>
          <w:rFonts w:ascii="Arial" w:hAnsi="Arial" w:cs="Arial"/>
          <w:color w:val="000000" w:themeColor="text1"/>
          <w:sz w:val="20"/>
          <w:szCs w:val="20"/>
        </w:rPr>
      </w:pPr>
      <w:r>
        <w:rPr>
          <w:rStyle w:val="Strong"/>
          <w:rFonts w:ascii="Arial" w:hAnsi="Arial" w:cs="Arial"/>
          <w:b/>
          <w:bCs/>
          <w:color w:val="000000" w:themeColor="text1"/>
          <w:sz w:val="20"/>
          <w:szCs w:val="20"/>
        </w:rPr>
        <w:t>Table 4.12</w:t>
      </w:r>
      <w:r w:rsidR="003865D8" w:rsidRPr="007640AA">
        <w:rPr>
          <w:rStyle w:val="Strong"/>
          <w:rFonts w:ascii="Arial" w:hAnsi="Arial" w:cs="Arial"/>
          <w:b/>
          <w:bCs/>
          <w:color w:val="000000" w:themeColor="text1"/>
          <w:sz w:val="20"/>
          <w:szCs w:val="20"/>
        </w:rPr>
        <w:t xml:space="preserve"> Multiple Regression: CO</w:t>
      </w:r>
      <w:r w:rsidR="003865D8" w:rsidRPr="007640AA">
        <w:rPr>
          <w:rStyle w:val="Strong"/>
          <w:rFonts w:cs="Arial"/>
          <w:b/>
          <w:bCs/>
          <w:color w:val="000000" w:themeColor="text1"/>
          <w:sz w:val="20"/>
          <w:szCs w:val="20"/>
        </w:rPr>
        <w:t>₂</w:t>
      </w:r>
      <w:r w:rsidR="003865D8" w:rsidRPr="007640AA">
        <w:rPr>
          <w:rStyle w:val="Strong"/>
          <w:rFonts w:ascii="Arial" w:hAnsi="Arial" w:cs="Arial"/>
          <w:b/>
          <w:bCs/>
          <w:color w:val="000000" w:themeColor="text1"/>
          <w:sz w:val="20"/>
          <w:szCs w:val="20"/>
        </w:rPr>
        <w:t xml:space="preserve"> Capture Efficiency vs. CH</w:t>
      </w:r>
      <w:r w:rsidR="003865D8" w:rsidRPr="007640AA">
        <w:rPr>
          <w:rStyle w:val="Strong"/>
          <w:rFonts w:cs="Arial"/>
          <w:b/>
          <w:bCs/>
          <w:color w:val="000000" w:themeColor="text1"/>
          <w:sz w:val="20"/>
          <w:szCs w:val="20"/>
        </w:rPr>
        <w:t>₄</w:t>
      </w:r>
      <w:r w:rsidR="003865D8" w:rsidRPr="007640AA">
        <w:rPr>
          <w:rStyle w:val="Strong"/>
          <w:rFonts w:ascii="Arial" w:hAnsi="Arial" w:cs="Arial"/>
          <w:b/>
          <w:bCs/>
          <w:color w:val="000000" w:themeColor="text1"/>
          <w:sz w:val="20"/>
          <w:szCs w:val="20"/>
        </w:rPr>
        <w:t>, NOx, and Black Carbon Reduction</w:t>
      </w:r>
    </w:p>
    <w:tbl>
      <w:tblPr>
        <w:tblStyle w:val="LightShading"/>
        <w:tblW w:w="9288" w:type="dxa"/>
        <w:tblLook w:val="04A0" w:firstRow="1" w:lastRow="0" w:firstColumn="1" w:lastColumn="0" w:noHBand="0" w:noVBand="1"/>
      </w:tblPr>
      <w:tblGrid>
        <w:gridCol w:w="2898"/>
        <w:gridCol w:w="1890"/>
        <w:gridCol w:w="1620"/>
        <w:gridCol w:w="1350"/>
        <w:gridCol w:w="1530"/>
      </w:tblGrid>
      <w:tr w:rsidR="003865D8" w:rsidRPr="007640AA" w14:paraId="4C49C651" w14:textId="77777777" w:rsidTr="004155E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8" w:type="dxa"/>
            <w:shd w:val="clear" w:color="auto" w:fill="FFFFFF" w:themeFill="background1"/>
            <w:hideMark/>
          </w:tcPr>
          <w:p w14:paraId="4C49C64C" w14:textId="77777777" w:rsidR="003865D8" w:rsidRPr="007640AA" w:rsidRDefault="003865D8" w:rsidP="007640AA">
            <w:pPr>
              <w:jc w:val="both"/>
              <w:rPr>
                <w:rFonts w:ascii="Arial" w:hAnsi="Arial" w:cs="Arial"/>
                <w:b w:val="0"/>
                <w:bCs w:val="0"/>
                <w:color w:val="000000" w:themeColor="text1"/>
                <w:sz w:val="20"/>
                <w:szCs w:val="20"/>
              </w:rPr>
            </w:pPr>
            <w:r w:rsidRPr="007640AA">
              <w:rPr>
                <w:rFonts w:ascii="Arial" w:hAnsi="Arial" w:cs="Arial"/>
                <w:color w:val="000000" w:themeColor="text1"/>
                <w:sz w:val="20"/>
                <w:szCs w:val="20"/>
              </w:rPr>
              <w:t>Predictor</w:t>
            </w:r>
          </w:p>
        </w:tc>
        <w:tc>
          <w:tcPr>
            <w:tcW w:w="1890" w:type="dxa"/>
            <w:shd w:val="clear" w:color="auto" w:fill="FFFFFF" w:themeFill="background1"/>
            <w:hideMark/>
          </w:tcPr>
          <w:p w14:paraId="4C49C64D" w14:textId="77777777" w:rsidR="003865D8" w:rsidRPr="007640AA" w:rsidRDefault="003865D8" w:rsidP="007640AA">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sz w:val="20"/>
                <w:szCs w:val="20"/>
              </w:rPr>
            </w:pPr>
            <w:r w:rsidRPr="007640AA">
              <w:rPr>
                <w:rFonts w:ascii="Arial" w:hAnsi="Arial" w:cs="Arial"/>
                <w:color w:val="000000" w:themeColor="text1"/>
                <w:sz w:val="20"/>
                <w:szCs w:val="20"/>
              </w:rPr>
              <w:t>Coefficient (β)</w:t>
            </w:r>
          </w:p>
        </w:tc>
        <w:tc>
          <w:tcPr>
            <w:tcW w:w="1620" w:type="dxa"/>
            <w:shd w:val="clear" w:color="auto" w:fill="FFFFFF" w:themeFill="background1"/>
            <w:hideMark/>
          </w:tcPr>
          <w:p w14:paraId="4C49C64E" w14:textId="77777777" w:rsidR="003865D8" w:rsidRPr="007640AA" w:rsidRDefault="003865D8" w:rsidP="007640AA">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sz w:val="20"/>
                <w:szCs w:val="20"/>
              </w:rPr>
            </w:pPr>
            <w:r w:rsidRPr="007640AA">
              <w:rPr>
                <w:rFonts w:ascii="Arial" w:hAnsi="Arial" w:cs="Arial"/>
                <w:color w:val="000000" w:themeColor="text1"/>
                <w:sz w:val="20"/>
                <w:szCs w:val="20"/>
              </w:rPr>
              <w:t>Std. Error</w:t>
            </w:r>
          </w:p>
        </w:tc>
        <w:tc>
          <w:tcPr>
            <w:tcW w:w="1350" w:type="dxa"/>
            <w:shd w:val="clear" w:color="auto" w:fill="FFFFFF" w:themeFill="background1"/>
            <w:hideMark/>
          </w:tcPr>
          <w:p w14:paraId="4C49C64F" w14:textId="77777777" w:rsidR="003865D8" w:rsidRPr="007640AA" w:rsidRDefault="003865D8" w:rsidP="007640AA">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sz w:val="20"/>
                <w:szCs w:val="20"/>
              </w:rPr>
            </w:pPr>
            <w:r w:rsidRPr="007640AA">
              <w:rPr>
                <w:rFonts w:ascii="Arial" w:hAnsi="Arial" w:cs="Arial"/>
                <w:color w:val="000000" w:themeColor="text1"/>
                <w:sz w:val="20"/>
                <w:szCs w:val="20"/>
              </w:rPr>
              <w:t>t</w:t>
            </w:r>
          </w:p>
        </w:tc>
        <w:tc>
          <w:tcPr>
            <w:tcW w:w="1530" w:type="dxa"/>
            <w:shd w:val="clear" w:color="auto" w:fill="FFFFFF" w:themeFill="background1"/>
            <w:hideMark/>
          </w:tcPr>
          <w:p w14:paraId="4C49C650" w14:textId="77777777" w:rsidR="003865D8" w:rsidRPr="007640AA" w:rsidRDefault="003865D8" w:rsidP="007640AA">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sz w:val="20"/>
                <w:szCs w:val="20"/>
              </w:rPr>
            </w:pPr>
            <w:r w:rsidRPr="007640AA">
              <w:rPr>
                <w:rFonts w:ascii="Arial" w:hAnsi="Arial" w:cs="Arial"/>
                <w:color w:val="000000" w:themeColor="text1"/>
                <w:sz w:val="20"/>
                <w:szCs w:val="20"/>
              </w:rPr>
              <w:t>p-value</w:t>
            </w:r>
          </w:p>
        </w:tc>
      </w:tr>
      <w:tr w:rsidR="003865D8" w:rsidRPr="007640AA" w14:paraId="4C49C657" w14:textId="77777777" w:rsidTr="004155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8" w:type="dxa"/>
            <w:shd w:val="clear" w:color="auto" w:fill="FFFFFF" w:themeFill="background1"/>
            <w:hideMark/>
          </w:tcPr>
          <w:p w14:paraId="4C49C652" w14:textId="77777777" w:rsidR="003865D8" w:rsidRPr="007640AA" w:rsidRDefault="003865D8" w:rsidP="007640AA">
            <w:pPr>
              <w:jc w:val="both"/>
              <w:rPr>
                <w:rFonts w:ascii="Arial" w:hAnsi="Arial" w:cs="Arial"/>
                <w:color w:val="000000" w:themeColor="text1"/>
                <w:sz w:val="20"/>
                <w:szCs w:val="20"/>
              </w:rPr>
            </w:pPr>
            <w:r w:rsidRPr="007640AA">
              <w:rPr>
                <w:rFonts w:ascii="Arial" w:hAnsi="Arial" w:cs="Arial"/>
                <w:color w:val="000000" w:themeColor="text1"/>
                <w:sz w:val="20"/>
                <w:szCs w:val="20"/>
              </w:rPr>
              <w:t>Intercept</w:t>
            </w:r>
          </w:p>
        </w:tc>
        <w:tc>
          <w:tcPr>
            <w:tcW w:w="1890" w:type="dxa"/>
            <w:shd w:val="clear" w:color="auto" w:fill="FFFFFF" w:themeFill="background1"/>
            <w:hideMark/>
          </w:tcPr>
          <w:p w14:paraId="4C49C653" w14:textId="77777777" w:rsidR="003865D8" w:rsidRPr="007640AA" w:rsidRDefault="003865D8" w:rsidP="007640AA">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45.2</w:t>
            </w:r>
          </w:p>
        </w:tc>
        <w:tc>
          <w:tcPr>
            <w:tcW w:w="1620" w:type="dxa"/>
            <w:shd w:val="clear" w:color="auto" w:fill="FFFFFF" w:themeFill="background1"/>
            <w:hideMark/>
          </w:tcPr>
          <w:p w14:paraId="4C49C654" w14:textId="77777777" w:rsidR="003865D8" w:rsidRPr="007640AA" w:rsidRDefault="003865D8" w:rsidP="007640AA">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3.1</w:t>
            </w:r>
          </w:p>
        </w:tc>
        <w:tc>
          <w:tcPr>
            <w:tcW w:w="1350" w:type="dxa"/>
            <w:shd w:val="clear" w:color="auto" w:fill="FFFFFF" w:themeFill="background1"/>
            <w:hideMark/>
          </w:tcPr>
          <w:p w14:paraId="4C49C655" w14:textId="77777777" w:rsidR="003865D8" w:rsidRPr="007640AA" w:rsidRDefault="003865D8" w:rsidP="007640AA">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14.6</w:t>
            </w:r>
          </w:p>
        </w:tc>
        <w:tc>
          <w:tcPr>
            <w:tcW w:w="1530" w:type="dxa"/>
            <w:shd w:val="clear" w:color="auto" w:fill="FFFFFF" w:themeFill="background1"/>
            <w:hideMark/>
          </w:tcPr>
          <w:p w14:paraId="4C49C656" w14:textId="77777777" w:rsidR="003865D8" w:rsidRPr="007640AA" w:rsidRDefault="003865D8" w:rsidP="007640AA">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&lt;0.001</w:t>
            </w:r>
          </w:p>
        </w:tc>
      </w:tr>
      <w:tr w:rsidR="003865D8" w:rsidRPr="007640AA" w14:paraId="4C49C65D" w14:textId="77777777" w:rsidTr="004155E4">
        <w:trPr>
          <w:trHeight w:val="77"/>
        </w:trPr>
        <w:tc>
          <w:tcPr>
            <w:cnfStyle w:val="001000000000" w:firstRow="0" w:lastRow="0" w:firstColumn="1" w:lastColumn="0" w:oddVBand="0" w:evenVBand="0" w:oddHBand="0" w:evenHBand="0" w:firstRowFirstColumn="0" w:firstRowLastColumn="0" w:lastRowFirstColumn="0" w:lastRowLastColumn="0"/>
            <w:tcW w:w="2898" w:type="dxa"/>
            <w:shd w:val="clear" w:color="auto" w:fill="FFFFFF" w:themeFill="background1"/>
            <w:hideMark/>
          </w:tcPr>
          <w:p w14:paraId="4C49C658" w14:textId="77777777" w:rsidR="003865D8" w:rsidRPr="007640AA" w:rsidRDefault="003865D8" w:rsidP="007640AA">
            <w:pPr>
              <w:jc w:val="both"/>
              <w:rPr>
                <w:rFonts w:ascii="Arial" w:hAnsi="Arial" w:cs="Arial"/>
                <w:color w:val="000000" w:themeColor="text1"/>
                <w:sz w:val="20"/>
                <w:szCs w:val="20"/>
              </w:rPr>
            </w:pPr>
            <w:r w:rsidRPr="007640AA">
              <w:rPr>
                <w:rFonts w:ascii="Arial" w:hAnsi="Arial" w:cs="Arial"/>
                <w:color w:val="000000" w:themeColor="text1"/>
                <w:sz w:val="20"/>
                <w:szCs w:val="20"/>
              </w:rPr>
              <w:t>CH</w:t>
            </w:r>
            <w:r w:rsidRPr="007640AA">
              <w:rPr>
                <w:rFonts w:ascii="Cambria Math" w:hAnsi="Cambria Math" w:cs="Arial"/>
                <w:color w:val="000000" w:themeColor="text1"/>
                <w:sz w:val="20"/>
                <w:szCs w:val="20"/>
              </w:rPr>
              <w:t>₄</w:t>
            </w:r>
            <w:r w:rsidRPr="007640AA">
              <w:rPr>
                <w:rFonts w:ascii="Arial" w:hAnsi="Arial" w:cs="Arial"/>
                <w:color w:val="000000" w:themeColor="text1"/>
                <w:sz w:val="20"/>
                <w:szCs w:val="20"/>
              </w:rPr>
              <w:t xml:space="preserve"> Reduction (%)</w:t>
            </w:r>
          </w:p>
        </w:tc>
        <w:tc>
          <w:tcPr>
            <w:tcW w:w="1890" w:type="dxa"/>
            <w:shd w:val="clear" w:color="auto" w:fill="FFFFFF" w:themeFill="background1"/>
            <w:hideMark/>
          </w:tcPr>
          <w:p w14:paraId="4C49C659" w14:textId="77777777" w:rsidR="003865D8" w:rsidRPr="007640AA" w:rsidRDefault="003865D8" w:rsidP="007640AA">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0.21</w:t>
            </w:r>
          </w:p>
        </w:tc>
        <w:tc>
          <w:tcPr>
            <w:tcW w:w="1620" w:type="dxa"/>
            <w:shd w:val="clear" w:color="auto" w:fill="FFFFFF" w:themeFill="background1"/>
            <w:hideMark/>
          </w:tcPr>
          <w:p w14:paraId="4C49C65A" w14:textId="77777777" w:rsidR="003865D8" w:rsidRPr="007640AA" w:rsidRDefault="003865D8" w:rsidP="007640AA">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0.05</w:t>
            </w:r>
          </w:p>
        </w:tc>
        <w:tc>
          <w:tcPr>
            <w:tcW w:w="1350" w:type="dxa"/>
            <w:shd w:val="clear" w:color="auto" w:fill="FFFFFF" w:themeFill="background1"/>
            <w:hideMark/>
          </w:tcPr>
          <w:p w14:paraId="4C49C65B" w14:textId="77777777" w:rsidR="003865D8" w:rsidRPr="007640AA" w:rsidRDefault="003865D8" w:rsidP="007640AA">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4.2</w:t>
            </w:r>
          </w:p>
        </w:tc>
        <w:tc>
          <w:tcPr>
            <w:tcW w:w="1530" w:type="dxa"/>
            <w:shd w:val="clear" w:color="auto" w:fill="FFFFFF" w:themeFill="background1"/>
            <w:hideMark/>
          </w:tcPr>
          <w:p w14:paraId="4C49C65C" w14:textId="77777777" w:rsidR="003865D8" w:rsidRPr="007640AA" w:rsidRDefault="003865D8" w:rsidP="007640AA">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0.007</w:t>
            </w:r>
          </w:p>
        </w:tc>
      </w:tr>
      <w:tr w:rsidR="003865D8" w:rsidRPr="007640AA" w14:paraId="4C49C663" w14:textId="77777777" w:rsidTr="004155E4">
        <w:trPr>
          <w:cnfStyle w:val="000000100000" w:firstRow="0" w:lastRow="0" w:firstColumn="0" w:lastColumn="0" w:oddVBand="0" w:evenVBand="0" w:oddHBand="1" w:evenHBand="0" w:firstRowFirstColumn="0" w:firstRowLastColumn="0" w:lastRowFirstColumn="0" w:lastRowLastColumn="0"/>
          <w:trHeight w:val="87"/>
        </w:trPr>
        <w:tc>
          <w:tcPr>
            <w:cnfStyle w:val="001000000000" w:firstRow="0" w:lastRow="0" w:firstColumn="1" w:lastColumn="0" w:oddVBand="0" w:evenVBand="0" w:oddHBand="0" w:evenHBand="0" w:firstRowFirstColumn="0" w:firstRowLastColumn="0" w:lastRowFirstColumn="0" w:lastRowLastColumn="0"/>
            <w:tcW w:w="2898" w:type="dxa"/>
            <w:shd w:val="clear" w:color="auto" w:fill="FFFFFF" w:themeFill="background1"/>
            <w:hideMark/>
          </w:tcPr>
          <w:p w14:paraId="4C49C65E" w14:textId="77777777" w:rsidR="003865D8" w:rsidRPr="007640AA" w:rsidRDefault="003865D8" w:rsidP="007640AA">
            <w:pPr>
              <w:jc w:val="both"/>
              <w:rPr>
                <w:rFonts w:ascii="Arial" w:hAnsi="Arial" w:cs="Arial"/>
                <w:color w:val="000000" w:themeColor="text1"/>
                <w:sz w:val="20"/>
                <w:szCs w:val="20"/>
              </w:rPr>
            </w:pPr>
            <w:r w:rsidRPr="007640AA">
              <w:rPr>
                <w:rFonts w:ascii="Arial" w:hAnsi="Arial" w:cs="Arial"/>
                <w:color w:val="000000" w:themeColor="text1"/>
                <w:sz w:val="20"/>
                <w:szCs w:val="20"/>
              </w:rPr>
              <w:t>NOx Reduction (%)</w:t>
            </w:r>
          </w:p>
        </w:tc>
        <w:tc>
          <w:tcPr>
            <w:tcW w:w="1890" w:type="dxa"/>
            <w:shd w:val="clear" w:color="auto" w:fill="FFFFFF" w:themeFill="background1"/>
            <w:hideMark/>
          </w:tcPr>
          <w:p w14:paraId="4C49C65F" w14:textId="77777777" w:rsidR="003865D8" w:rsidRPr="007640AA" w:rsidRDefault="003865D8" w:rsidP="007640AA">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0.14</w:t>
            </w:r>
            <w:r w:rsidR="005A2B81">
              <w:rPr>
                <w:rFonts w:ascii="Arial" w:hAnsi="Arial" w:cs="Arial"/>
                <w:color w:val="000000" w:themeColor="text1"/>
                <w:sz w:val="20"/>
                <w:szCs w:val="20"/>
              </w:rPr>
              <w:t>ss</w:t>
            </w:r>
          </w:p>
        </w:tc>
        <w:tc>
          <w:tcPr>
            <w:tcW w:w="1620" w:type="dxa"/>
            <w:shd w:val="clear" w:color="auto" w:fill="FFFFFF" w:themeFill="background1"/>
            <w:hideMark/>
          </w:tcPr>
          <w:p w14:paraId="4C49C660" w14:textId="77777777" w:rsidR="003865D8" w:rsidRPr="007640AA" w:rsidRDefault="003865D8" w:rsidP="007640AA">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0.04</w:t>
            </w:r>
          </w:p>
        </w:tc>
        <w:tc>
          <w:tcPr>
            <w:tcW w:w="1350" w:type="dxa"/>
            <w:shd w:val="clear" w:color="auto" w:fill="FFFFFF" w:themeFill="background1"/>
            <w:hideMark/>
          </w:tcPr>
          <w:p w14:paraId="4C49C661" w14:textId="77777777" w:rsidR="003865D8" w:rsidRPr="007640AA" w:rsidRDefault="003865D8" w:rsidP="007640AA">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3.5</w:t>
            </w:r>
          </w:p>
        </w:tc>
        <w:tc>
          <w:tcPr>
            <w:tcW w:w="1530" w:type="dxa"/>
            <w:shd w:val="clear" w:color="auto" w:fill="FFFFFF" w:themeFill="background1"/>
            <w:hideMark/>
          </w:tcPr>
          <w:p w14:paraId="4C49C662" w14:textId="77777777" w:rsidR="003865D8" w:rsidRPr="007640AA" w:rsidRDefault="003865D8" w:rsidP="007640AA">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0.015</w:t>
            </w:r>
          </w:p>
        </w:tc>
      </w:tr>
      <w:tr w:rsidR="003865D8" w:rsidRPr="007640AA" w14:paraId="4C49C669" w14:textId="77777777" w:rsidTr="004155E4">
        <w:tc>
          <w:tcPr>
            <w:cnfStyle w:val="001000000000" w:firstRow="0" w:lastRow="0" w:firstColumn="1" w:lastColumn="0" w:oddVBand="0" w:evenVBand="0" w:oddHBand="0" w:evenHBand="0" w:firstRowFirstColumn="0" w:firstRowLastColumn="0" w:lastRowFirstColumn="0" w:lastRowLastColumn="0"/>
            <w:tcW w:w="2898" w:type="dxa"/>
            <w:shd w:val="clear" w:color="auto" w:fill="FFFFFF" w:themeFill="background1"/>
            <w:hideMark/>
          </w:tcPr>
          <w:p w14:paraId="4C49C664" w14:textId="77777777" w:rsidR="003865D8" w:rsidRPr="007640AA" w:rsidRDefault="003865D8" w:rsidP="007640AA">
            <w:pPr>
              <w:jc w:val="both"/>
              <w:rPr>
                <w:rFonts w:ascii="Arial" w:hAnsi="Arial" w:cs="Arial"/>
                <w:color w:val="000000" w:themeColor="text1"/>
                <w:sz w:val="20"/>
                <w:szCs w:val="20"/>
              </w:rPr>
            </w:pPr>
            <w:r w:rsidRPr="007640AA">
              <w:rPr>
                <w:rFonts w:ascii="Arial" w:hAnsi="Arial" w:cs="Arial"/>
                <w:color w:val="000000" w:themeColor="text1"/>
                <w:sz w:val="20"/>
                <w:szCs w:val="20"/>
              </w:rPr>
              <w:t>Black Carbon Reduction (%)</w:t>
            </w:r>
          </w:p>
        </w:tc>
        <w:tc>
          <w:tcPr>
            <w:tcW w:w="1890" w:type="dxa"/>
            <w:shd w:val="clear" w:color="auto" w:fill="FFFFFF" w:themeFill="background1"/>
            <w:hideMark/>
          </w:tcPr>
          <w:p w14:paraId="4C49C665" w14:textId="77777777" w:rsidR="003865D8" w:rsidRPr="007640AA" w:rsidRDefault="003865D8" w:rsidP="007640AA">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0.18</w:t>
            </w:r>
          </w:p>
        </w:tc>
        <w:tc>
          <w:tcPr>
            <w:tcW w:w="1620" w:type="dxa"/>
            <w:shd w:val="clear" w:color="auto" w:fill="FFFFFF" w:themeFill="background1"/>
            <w:hideMark/>
          </w:tcPr>
          <w:p w14:paraId="4C49C666" w14:textId="77777777" w:rsidR="003865D8" w:rsidRPr="007640AA" w:rsidRDefault="003865D8" w:rsidP="007640AA">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0.06</w:t>
            </w:r>
          </w:p>
        </w:tc>
        <w:tc>
          <w:tcPr>
            <w:tcW w:w="1350" w:type="dxa"/>
            <w:shd w:val="clear" w:color="auto" w:fill="FFFFFF" w:themeFill="background1"/>
            <w:hideMark/>
          </w:tcPr>
          <w:p w14:paraId="4C49C667" w14:textId="77777777" w:rsidR="003865D8" w:rsidRPr="007640AA" w:rsidRDefault="003865D8" w:rsidP="007640AA">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3.0</w:t>
            </w:r>
          </w:p>
        </w:tc>
        <w:tc>
          <w:tcPr>
            <w:tcW w:w="1530" w:type="dxa"/>
            <w:shd w:val="clear" w:color="auto" w:fill="FFFFFF" w:themeFill="background1"/>
            <w:hideMark/>
          </w:tcPr>
          <w:p w14:paraId="4C49C668" w14:textId="77777777" w:rsidR="003865D8" w:rsidRPr="007640AA" w:rsidRDefault="003865D8" w:rsidP="007640AA">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0.03</w:t>
            </w:r>
          </w:p>
        </w:tc>
      </w:tr>
      <w:tr w:rsidR="001A72A2" w:rsidRPr="007640AA" w14:paraId="4C49C66B" w14:textId="77777777" w:rsidTr="004155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8" w:type="dxa"/>
            <w:gridSpan w:val="5"/>
            <w:shd w:val="clear" w:color="auto" w:fill="FFFFFF" w:themeFill="background1"/>
          </w:tcPr>
          <w:p w14:paraId="4C49C66A" w14:textId="77777777" w:rsidR="001A72A2" w:rsidRPr="007640AA" w:rsidRDefault="001A72A2" w:rsidP="00870D3C">
            <w:pPr>
              <w:jc w:val="both"/>
              <w:rPr>
                <w:rFonts w:ascii="Arial" w:hAnsi="Arial" w:cs="Arial"/>
                <w:color w:val="000000" w:themeColor="text1"/>
                <w:sz w:val="20"/>
                <w:szCs w:val="20"/>
              </w:rPr>
            </w:pPr>
            <w:r w:rsidRPr="007640AA">
              <w:rPr>
                <w:rStyle w:val="Strong"/>
                <w:rFonts w:ascii="Arial" w:eastAsia="Calibri" w:hAnsi="Arial" w:cs="Arial"/>
                <w:color w:val="000000" w:themeColor="text1"/>
                <w:sz w:val="20"/>
                <w:szCs w:val="20"/>
              </w:rPr>
              <w:t>R² = 0.83</w:t>
            </w:r>
            <w:r w:rsidRPr="007640AA">
              <w:rPr>
                <w:rFonts w:ascii="Arial" w:hAnsi="Arial" w:cs="Arial"/>
                <w:color w:val="000000" w:themeColor="text1"/>
                <w:sz w:val="20"/>
                <w:szCs w:val="20"/>
              </w:rPr>
              <w:t xml:space="preserve"> → 83% of CO</w:t>
            </w:r>
            <w:r w:rsidRPr="007640AA">
              <w:rPr>
                <w:rFonts w:ascii="Cambria Math" w:hAnsi="Cambria Math" w:cs="Arial"/>
                <w:color w:val="000000" w:themeColor="text1"/>
                <w:sz w:val="20"/>
                <w:szCs w:val="20"/>
              </w:rPr>
              <w:t>₂</w:t>
            </w:r>
            <w:r w:rsidRPr="007640AA">
              <w:rPr>
                <w:rFonts w:ascii="Arial" w:hAnsi="Arial" w:cs="Arial"/>
                <w:color w:val="000000" w:themeColor="text1"/>
                <w:sz w:val="20"/>
                <w:szCs w:val="20"/>
              </w:rPr>
              <w:t xml:space="preserve"> efficiency variability explained by co-pollutant reduction</w:t>
            </w:r>
          </w:p>
        </w:tc>
      </w:tr>
    </w:tbl>
    <w:p w14:paraId="4C49C66C" w14:textId="77777777" w:rsidR="009043E6" w:rsidRPr="00870D3C" w:rsidRDefault="003865D8" w:rsidP="00870D3C">
      <w:pPr>
        <w:pStyle w:val="NormalWeb"/>
        <w:spacing w:before="0" w:beforeAutospacing="0"/>
        <w:jc w:val="both"/>
        <w:rPr>
          <w:rFonts w:ascii="Arial" w:hAnsi="Arial" w:cs="Arial"/>
          <w:b/>
          <w:i/>
          <w:color w:val="000000" w:themeColor="text1"/>
          <w:sz w:val="20"/>
          <w:szCs w:val="20"/>
        </w:rPr>
      </w:pPr>
      <w:r w:rsidRPr="00870D3C">
        <w:rPr>
          <w:rStyle w:val="Strong"/>
          <w:rFonts w:ascii="Arial" w:eastAsia="Calibri" w:hAnsi="Arial" w:cs="Arial"/>
          <w:i/>
          <w:color w:val="000000" w:themeColor="text1"/>
          <w:sz w:val="20"/>
          <w:szCs w:val="20"/>
        </w:rPr>
        <w:t>Source:</w:t>
      </w:r>
      <w:r w:rsidRPr="00870D3C">
        <w:rPr>
          <w:rFonts w:ascii="Arial" w:hAnsi="Arial" w:cs="Arial"/>
          <w:b/>
          <w:i/>
          <w:color w:val="000000" w:themeColor="text1"/>
          <w:sz w:val="20"/>
          <w:szCs w:val="20"/>
        </w:rPr>
        <w:t xml:space="preserve"> Field statisti</w:t>
      </w:r>
      <w:r w:rsidR="00B5006C" w:rsidRPr="00870D3C">
        <w:rPr>
          <w:rFonts w:ascii="Arial" w:hAnsi="Arial" w:cs="Arial"/>
          <w:b/>
          <w:i/>
          <w:color w:val="000000" w:themeColor="text1"/>
          <w:sz w:val="20"/>
          <w:szCs w:val="20"/>
        </w:rPr>
        <w:t>cal analysis (2026)</w:t>
      </w:r>
    </w:p>
    <w:p w14:paraId="4C49C66D" w14:textId="77777777" w:rsidR="006473D6" w:rsidRDefault="006473D6" w:rsidP="001A3318">
      <w:pPr>
        <w:pStyle w:val="Heading2"/>
        <w:numPr>
          <w:ilvl w:val="0"/>
          <w:numId w:val="28"/>
        </w:numPr>
        <w:spacing w:before="0" w:line="240" w:lineRule="auto"/>
        <w:jc w:val="both"/>
        <w:rPr>
          <w:rStyle w:val="Strong"/>
          <w:rFonts w:ascii="Arial" w:hAnsi="Arial" w:cs="Arial"/>
          <w:b/>
          <w:bCs/>
          <w:color w:val="000000" w:themeColor="text1"/>
          <w:sz w:val="20"/>
          <w:szCs w:val="20"/>
        </w:rPr>
        <w:sectPr w:rsidR="006473D6" w:rsidSect="005E0C6E">
          <w:type w:val="continuous"/>
          <w:pgSz w:w="11907" w:h="16839" w:code="9"/>
          <w:pgMar w:top="1440" w:right="1440" w:bottom="1440" w:left="1440" w:header="720" w:footer="720" w:gutter="0"/>
          <w:cols w:space="720"/>
          <w:docGrid w:linePitch="360"/>
        </w:sectPr>
      </w:pPr>
    </w:p>
    <w:p w14:paraId="4C49C66E" w14:textId="77777777" w:rsidR="0000006E" w:rsidRPr="007640AA" w:rsidRDefault="001A3318" w:rsidP="001A3318">
      <w:pPr>
        <w:pStyle w:val="Heading2"/>
        <w:numPr>
          <w:ilvl w:val="0"/>
          <w:numId w:val="28"/>
        </w:numPr>
        <w:spacing w:before="0" w:line="240" w:lineRule="auto"/>
        <w:jc w:val="both"/>
        <w:rPr>
          <w:rFonts w:ascii="Arial" w:hAnsi="Arial" w:cs="Arial"/>
          <w:color w:val="000000" w:themeColor="text1"/>
          <w:sz w:val="20"/>
          <w:szCs w:val="20"/>
        </w:rPr>
      </w:pPr>
      <w:r w:rsidRPr="007640AA">
        <w:rPr>
          <w:rStyle w:val="Strong"/>
          <w:rFonts w:ascii="Arial" w:hAnsi="Arial" w:cs="Arial"/>
          <w:b/>
          <w:bCs/>
          <w:color w:val="000000" w:themeColor="text1"/>
          <w:sz w:val="20"/>
          <w:szCs w:val="20"/>
        </w:rPr>
        <w:t>DISCUSSION OF FINDINGS</w:t>
      </w:r>
    </w:p>
    <w:p w14:paraId="4C49C66F" w14:textId="77777777" w:rsidR="0000006E" w:rsidRPr="007640AA" w:rsidRDefault="0000006E" w:rsidP="007640AA">
      <w:pPr>
        <w:pStyle w:val="NormalWeb"/>
        <w:jc w:val="both"/>
        <w:rPr>
          <w:rFonts w:ascii="Arial" w:hAnsi="Arial" w:cs="Arial"/>
          <w:color w:val="000000" w:themeColor="text1"/>
          <w:sz w:val="20"/>
          <w:szCs w:val="20"/>
        </w:rPr>
      </w:pPr>
      <w:r w:rsidRPr="007640AA">
        <w:rPr>
          <w:rFonts w:ascii="Arial" w:hAnsi="Arial" w:cs="Arial"/>
          <w:color w:val="000000" w:themeColor="text1"/>
          <w:sz w:val="20"/>
          <w:szCs w:val="20"/>
        </w:rPr>
        <w:t>The findings of this study demonstrate the feasibility and efficacy of deploying a low</w:t>
      </w:r>
      <w:r w:rsidR="00FE3A32">
        <w:rPr>
          <w:rFonts w:ascii="Arial" w:hAnsi="Arial" w:cs="Arial"/>
          <w:color w:val="000000" w:themeColor="text1"/>
          <w:sz w:val="20"/>
          <w:szCs w:val="20"/>
        </w:rPr>
        <w:t>s</w:t>
      </w:r>
      <w:r w:rsidRPr="007640AA">
        <w:rPr>
          <w:rFonts w:ascii="Arial" w:hAnsi="Arial" w:cs="Arial"/>
          <w:color w:val="000000" w:themeColor="text1"/>
          <w:sz w:val="20"/>
          <w:szCs w:val="20"/>
        </w:rPr>
        <w:t>-cost portable carbon capture unit in the Niger Delta region. The assessment revealed that all five flare sites exceeded international thresholds for CO, NOx, SO</w:t>
      </w:r>
      <w:r w:rsidRPr="007640AA">
        <w:rPr>
          <w:rFonts w:ascii="Cambria Math" w:hAnsi="Cambria Math" w:cs="Arial"/>
          <w:color w:val="000000" w:themeColor="text1"/>
          <w:sz w:val="20"/>
          <w:szCs w:val="20"/>
        </w:rPr>
        <w:t>₂</w:t>
      </w:r>
      <w:r w:rsidRPr="007640AA">
        <w:rPr>
          <w:rFonts w:ascii="Arial" w:hAnsi="Arial" w:cs="Arial"/>
          <w:color w:val="000000" w:themeColor="text1"/>
          <w:sz w:val="20"/>
          <w:szCs w:val="20"/>
        </w:rPr>
        <w:t>, CH</w:t>
      </w:r>
      <w:r w:rsidRPr="007640AA">
        <w:rPr>
          <w:rFonts w:ascii="Cambria Math" w:hAnsi="Cambria Math" w:cs="Arial"/>
          <w:color w:val="000000" w:themeColor="text1"/>
          <w:sz w:val="20"/>
          <w:szCs w:val="20"/>
        </w:rPr>
        <w:t>₄</w:t>
      </w:r>
      <w:r w:rsidRPr="007640AA">
        <w:rPr>
          <w:rFonts w:ascii="Arial" w:hAnsi="Arial" w:cs="Arial"/>
          <w:color w:val="000000" w:themeColor="text1"/>
          <w:sz w:val="20"/>
          <w:szCs w:val="20"/>
        </w:rPr>
        <w:t>, and black carbon, highlighting significant environmental and public health risks for nearby communities. Ambient air quality monitoring confirmed elevated particulate matter, benzene, and CO</w:t>
      </w:r>
      <w:r w:rsidRPr="007640AA">
        <w:rPr>
          <w:rFonts w:ascii="Cambria Math" w:hAnsi="Cambria Math" w:cs="Arial"/>
          <w:color w:val="000000" w:themeColor="text1"/>
          <w:sz w:val="20"/>
          <w:szCs w:val="20"/>
        </w:rPr>
        <w:t>₂</w:t>
      </w:r>
      <w:r w:rsidRPr="007640AA">
        <w:rPr>
          <w:rFonts w:ascii="Arial" w:hAnsi="Arial" w:cs="Arial"/>
          <w:color w:val="000000" w:themeColor="text1"/>
          <w:sz w:val="20"/>
          <w:szCs w:val="20"/>
        </w:rPr>
        <w:t xml:space="preserve"> concentrations downwind of the flare sites, corroborating the urgent need for intervention.</w:t>
      </w:r>
      <w:r w:rsidR="001A3318">
        <w:rPr>
          <w:rFonts w:ascii="Arial" w:hAnsi="Arial" w:cs="Arial"/>
          <w:color w:val="000000" w:themeColor="text1"/>
          <w:sz w:val="20"/>
          <w:szCs w:val="20"/>
        </w:rPr>
        <w:t xml:space="preserve"> </w:t>
      </w:r>
      <w:r w:rsidRPr="007640AA">
        <w:rPr>
          <w:rFonts w:ascii="Arial" w:hAnsi="Arial" w:cs="Arial"/>
          <w:color w:val="000000" w:themeColor="text1"/>
          <w:sz w:val="20"/>
          <w:szCs w:val="20"/>
        </w:rPr>
        <w:t>Laboratory evaluation of PCCU-01 demonstrated a mean CO</w:t>
      </w:r>
      <w:r w:rsidRPr="007640AA">
        <w:rPr>
          <w:rFonts w:ascii="Cambria Math" w:hAnsi="Cambria Math" w:cs="Arial"/>
          <w:color w:val="000000" w:themeColor="text1"/>
          <w:sz w:val="20"/>
          <w:szCs w:val="20"/>
        </w:rPr>
        <w:t>₂</w:t>
      </w:r>
      <w:r w:rsidRPr="007640AA">
        <w:rPr>
          <w:rFonts w:ascii="Arial" w:hAnsi="Arial" w:cs="Arial"/>
          <w:color w:val="000000" w:themeColor="text1"/>
          <w:sz w:val="20"/>
          <w:szCs w:val="20"/>
        </w:rPr>
        <w:t xml:space="preserve"> capture efficiency of 75.2%, aligning with reported efficiencies of amine-based solvent systems in literature. Upon field deployment, the mean capture efficiency decreased slightly to 66.3%, consistent with observed challenges in uncontrolled environmental conditions such as fluctuating flare volumes, ambient temperature variations, and stack turbulence. Paired t-test results confirmed that this reduction was statistically significant (p &lt; 0.001), </w:t>
      </w:r>
      <w:r w:rsidRPr="007640AA">
        <w:rPr>
          <w:rFonts w:ascii="Arial" w:hAnsi="Arial" w:cs="Arial"/>
          <w:color w:val="000000" w:themeColor="text1"/>
          <w:sz w:val="20"/>
          <w:szCs w:val="20"/>
        </w:rPr>
        <w:t>emphasizing the necessity of optimizing the prototype for real-world applications.</w:t>
      </w:r>
    </w:p>
    <w:p w14:paraId="4C49C670" w14:textId="77777777" w:rsidR="0000006E" w:rsidRPr="007640AA" w:rsidRDefault="0000006E" w:rsidP="007640AA">
      <w:pPr>
        <w:pStyle w:val="NormalWeb"/>
        <w:jc w:val="both"/>
        <w:rPr>
          <w:rFonts w:ascii="Arial" w:hAnsi="Arial" w:cs="Arial"/>
          <w:color w:val="000000" w:themeColor="text1"/>
          <w:sz w:val="20"/>
          <w:szCs w:val="20"/>
        </w:rPr>
      </w:pPr>
      <w:r w:rsidRPr="007640AA">
        <w:rPr>
          <w:rFonts w:ascii="Arial" w:hAnsi="Arial" w:cs="Arial"/>
          <w:color w:val="000000" w:themeColor="text1"/>
          <w:sz w:val="20"/>
          <w:szCs w:val="20"/>
        </w:rPr>
        <w:t>One-way ANOVA results showed significant differences in capture efficiency across sites (p &lt; 0.001), suggesting that site-specific factors, including flare volume, stack height, and surrounding land use, influence unit performance. Regression analyses further elucidated these relationships, revealing a negative correlation between flare volume and CO</w:t>
      </w:r>
      <w:r w:rsidRPr="007640AA">
        <w:rPr>
          <w:rFonts w:ascii="Cambria Math" w:hAnsi="Cambria Math" w:cs="Arial"/>
          <w:color w:val="000000" w:themeColor="text1"/>
          <w:sz w:val="20"/>
          <w:szCs w:val="20"/>
        </w:rPr>
        <w:t>₂</w:t>
      </w:r>
      <w:r w:rsidRPr="007640AA">
        <w:rPr>
          <w:rFonts w:ascii="Arial" w:hAnsi="Arial" w:cs="Arial"/>
          <w:color w:val="000000" w:themeColor="text1"/>
          <w:sz w:val="20"/>
          <w:szCs w:val="20"/>
        </w:rPr>
        <w:t xml:space="preserve"> capture efficiency (R² = 0.78) and a positive correlation between CO</w:t>
      </w:r>
      <w:r w:rsidRPr="007640AA">
        <w:rPr>
          <w:rFonts w:ascii="Cambria Math" w:hAnsi="Cambria Math" w:cs="Arial"/>
          <w:color w:val="000000" w:themeColor="text1"/>
          <w:sz w:val="20"/>
          <w:szCs w:val="20"/>
        </w:rPr>
        <w:t>₂</w:t>
      </w:r>
      <w:r w:rsidRPr="007640AA">
        <w:rPr>
          <w:rFonts w:ascii="Arial" w:hAnsi="Arial" w:cs="Arial"/>
          <w:color w:val="000000" w:themeColor="text1"/>
          <w:sz w:val="20"/>
          <w:szCs w:val="20"/>
        </w:rPr>
        <w:t xml:space="preserve"> capture and co-pollutant reductions (R² = 0.83). These findings suggest that PCCU-01 performs optimally in moderate flare conditions and exhibits synergistic pollutant mitigation, particularly for CH</w:t>
      </w:r>
      <w:r w:rsidRPr="007640AA">
        <w:rPr>
          <w:rFonts w:ascii="Cambria Math" w:hAnsi="Cambria Math" w:cs="Arial"/>
          <w:color w:val="000000" w:themeColor="text1"/>
          <w:sz w:val="20"/>
          <w:szCs w:val="20"/>
        </w:rPr>
        <w:t>₄</w:t>
      </w:r>
      <w:r w:rsidRPr="007640AA">
        <w:rPr>
          <w:rFonts w:ascii="Arial" w:hAnsi="Arial" w:cs="Arial"/>
          <w:color w:val="000000" w:themeColor="text1"/>
          <w:sz w:val="20"/>
          <w:szCs w:val="20"/>
        </w:rPr>
        <w:t>, NOx, and black carbon.</w:t>
      </w:r>
      <w:r w:rsidR="001A3318">
        <w:rPr>
          <w:rFonts w:ascii="Arial" w:hAnsi="Arial" w:cs="Arial"/>
          <w:color w:val="000000" w:themeColor="text1"/>
          <w:sz w:val="20"/>
          <w:szCs w:val="20"/>
        </w:rPr>
        <w:t xml:space="preserve"> </w:t>
      </w:r>
      <w:r w:rsidRPr="007640AA">
        <w:rPr>
          <w:rFonts w:ascii="Arial" w:hAnsi="Arial" w:cs="Arial"/>
          <w:color w:val="000000" w:themeColor="text1"/>
          <w:sz w:val="20"/>
          <w:szCs w:val="20"/>
        </w:rPr>
        <w:t xml:space="preserve">Economic assessment confirmed the unit’s financial viability, with a capital cost of $4,850, a five-year net present value of $1.89 million, and a payback period of less than six months, primarily driven by carbon credit valuation. Compared to conventional large-scale carbon capture systems, PCCU-01 provides a portable, low-energy, and rapidly deployable solution, demonstrating particular suitability for </w:t>
      </w:r>
      <w:r w:rsidRPr="007640AA">
        <w:rPr>
          <w:rFonts w:ascii="Arial" w:hAnsi="Arial" w:cs="Arial"/>
          <w:color w:val="000000" w:themeColor="text1"/>
          <w:sz w:val="20"/>
          <w:szCs w:val="20"/>
        </w:rPr>
        <w:lastRenderedPageBreak/>
        <w:t>remote flare sites where conventional infrastructure is impractical.</w:t>
      </w:r>
      <w:r w:rsidR="00874FA9">
        <w:rPr>
          <w:rFonts w:ascii="Arial" w:hAnsi="Arial" w:cs="Arial"/>
          <w:color w:val="000000" w:themeColor="text1"/>
          <w:sz w:val="20"/>
          <w:szCs w:val="20"/>
        </w:rPr>
        <w:t xml:space="preserve"> </w:t>
      </w:r>
      <w:r w:rsidRPr="007640AA">
        <w:rPr>
          <w:rFonts w:ascii="Arial" w:hAnsi="Arial" w:cs="Arial"/>
          <w:color w:val="000000" w:themeColor="text1"/>
          <w:sz w:val="20"/>
          <w:szCs w:val="20"/>
        </w:rPr>
        <w:t>Overall, the study establishes that portable carbon capture units can substantially mitigate greenhouse gas and co-pollutant emissions in flare-prone regions, delivering both environmental and economic benefits while providing a scalable solution adaptable to other developing regions with similar constraints.</w:t>
      </w:r>
    </w:p>
    <w:p w14:paraId="4C49C671" w14:textId="77777777" w:rsidR="009043E6" w:rsidRPr="007640AA" w:rsidRDefault="00874FA9" w:rsidP="00874FA9">
      <w:pPr>
        <w:pStyle w:val="Heading2"/>
        <w:numPr>
          <w:ilvl w:val="0"/>
          <w:numId w:val="28"/>
        </w:numPr>
        <w:spacing w:line="240" w:lineRule="auto"/>
        <w:jc w:val="both"/>
        <w:rPr>
          <w:rFonts w:ascii="Arial" w:hAnsi="Arial" w:cs="Arial"/>
          <w:color w:val="000000" w:themeColor="text1"/>
          <w:sz w:val="20"/>
          <w:szCs w:val="20"/>
        </w:rPr>
      </w:pPr>
      <w:r w:rsidRPr="007640AA">
        <w:rPr>
          <w:rStyle w:val="Strong"/>
          <w:rFonts w:ascii="Arial" w:hAnsi="Arial" w:cs="Arial"/>
          <w:b/>
          <w:bCs/>
          <w:color w:val="000000" w:themeColor="text1"/>
          <w:sz w:val="20"/>
          <w:szCs w:val="20"/>
        </w:rPr>
        <w:t>CONCLUSION</w:t>
      </w:r>
    </w:p>
    <w:p w14:paraId="4C49C672" w14:textId="77777777" w:rsidR="009043E6" w:rsidRPr="007640AA" w:rsidRDefault="009043E6" w:rsidP="00786818">
      <w:pPr>
        <w:pStyle w:val="NormalWeb"/>
        <w:jc w:val="both"/>
        <w:rPr>
          <w:rFonts w:ascii="Arial" w:hAnsi="Arial" w:cs="Arial"/>
          <w:color w:val="000000" w:themeColor="text1"/>
          <w:sz w:val="20"/>
          <w:szCs w:val="20"/>
        </w:rPr>
      </w:pPr>
      <w:r w:rsidRPr="007640AA">
        <w:rPr>
          <w:rFonts w:ascii="Arial" w:hAnsi="Arial" w:cs="Arial"/>
          <w:color w:val="000000" w:themeColor="text1"/>
          <w:sz w:val="20"/>
          <w:szCs w:val="20"/>
        </w:rPr>
        <w:t xml:space="preserve">The study successfully designed, developed, and field-validated </w:t>
      </w:r>
      <w:r w:rsidR="00874FA9" w:rsidRPr="007640AA">
        <w:rPr>
          <w:rFonts w:ascii="Arial" w:hAnsi="Arial" w:cs="Arial"/>
          <w:color w:val="000000" w:themeColor="text1"/>
          <w:sz w:val="20"/>
          <w:szCs w:val="20"/>
        </w:rPr>
        <w:t>a low-cost portable carbon capture unit tailored for Niger Delta flares</w:t>
      </w:r>
      <w:r w:rsidRPr="007640AA">
        <w:rPr>
          <w:rFonts w:ascii="Arial" w:hAnsi="Arial" w:cs="Arial"/>
          <w:color w:val="000000" w:themeColor="text1"/>
          <w:sz w:val="20"/>
          <w:szCs w:val="20"/>
        </w:rPr>
        <w:t xml:space="preserve"> sites. Key conclusions include:</w:t>
      </w:r>
      <w:r w:rsidR="00874FA9">
        <w:rPr>
          <w:rFonts w:ascii="Arial" w:hAnsi="Arial" w:cs="Arial"/>
          <w:color w:val="000000" w:themeColor="text1"/>
          <w:sz w:val="20"/>
          <w:szCs w:val="20"/>
        </w:rPr>
        <w:t xml:space="preserve"> </w:t>
      </w:r>
      <w:r w:rsidRPr="007640AA">
        <w:rPr>
          <w:rFonts w:ascii="Arial" w:hAnsi="Arial" w:cs="Arial"/>
          <w:color w:val="000000" w:themeColor="text1"/>
          <w:sz w:val="20"/>
          <w:szCs w:val="20"/>
        </w:rPr>
        <w:t>PCCU-01 achieved an average field CO</w:t>
      </w:r>
      <w:r w:rsidRPr="007640AA">
        <w:rPr>
          <w:rFonts w:ascii="Cambria Math" w:hAnsi="Cambria Math" w:cs="Arial"/>
          <w:color w:val="000000" w:themeColor="text1"/>
          <w:sz w:val="20"/>
          <w:szCs w:val="20"/>
        </w:rPr>
        <w:t>₂</w:t>
      </w:r>
      <w:r w:rsidRPr="007640AA">
        <w:rPr>
          <w:rFonts w:ascii="Arial" w:hAnsi="Arial" w:cs="Arial"/>
          <w:color w:val="000000" w:themeColor="text1"/>
          <w:sz w:val="20"/>
          <w:szCs w:val="20"/>
        </w:rPr>
        <w:t xml:space="preserve"> capture efficiency of 66.3%, with additional reductions in CH</w:t>
      </w:r>
      <w:r w:rsidRPr="007640AA">
        <w:rPr>
          <w:rFonts w:ascii="Cambria Math" w:hAnsi="Cambria Math" w:cs="Arial"/>
          <w:color w:val="000000" w:themeColor="text1"/>
          <w:sz w:val="20"/>
          <w:szCs w:val="20"/>
        </w:rPr>
        <w:t>₄</w:t>
      </w:r>
      <w:r w:rsidRPr="007640AA">
        <w:rPr>
          <w:rFonts w:ascii="Arial" w:hAnsi="Arial" w:cs="Arial"/>
          <w:color w:val="000000" w:themeColor="text1"/>
          <w:sz w:val="20"/>
          <w:szCs w:val="20"/>
        </w:rPr>
        <w:t>, NOx, SO</w:t>
      </w:r>
      <w:r w:rsidRPr="007640AA">
        <w:rPr>
          <w:rFonts w:ascii="Cambria Math" w:hAnsi="Cambria Math" w:cs="Arial"/>
          <w:color w:val="000000" w:themeColor="text1"/>
          <w:sz w:val="20"/>
          <w:szCs w:val="20"/>
        </w:rPr>
        <w:t>₂</w:t>
      </w:r>
      <w:r w:rsidRPr="007640AA">
        <w:rPr>
          <w:rFonts w:ascii="Arial" w:hAnsi="Arial" w:cs="Arial"/>
          <w:color w:val="000000" w:themeColor="text1"/>
          <w:sz w:val="20"/>
          <w:szCs w:val="20"/>
        </w:rPr>
        <w:t>, and black carbon, demonstrating synergistic environmental mitigation</w:t>
      </w:r>
      <w:r w:rsidR="00874FA9">
        <w:rPr>
          <w:rFonts w:ascii="Arial" w:hAnsi="Arial" w:cs="Arial"/>
          <w:color w:val="000000" w:themeColor="text1"/>
          <w:sz w:val="20"/>
          <w:szCs w:val="20"/>
        </w:rPr>
        <w:t>, d</w:t>
      </w:r>
      <w:r w:rsidRPr="007640AA">
        <w:rPr>
          <w:rFonts w:ascii="Arial" w:hAnsi="Arial" w:cs="Arial"/>
          <w:color w:val="000000" w:themeColor="text1"/>
          <w:sz w:val="20"/>
          <w:szCs w:val="20"/>
        </w:rPr>
        <w:t>eployment across flare-prone sites can reduce annual CO</w:t>
      </w:r>
      <w:r w:rsidRPr="007640AA">
        <w:rPr>
          <w:rFonts w:ascii="Cambria Math" w:hAnsi="Cambria Math" w:cs="Arial"/>
          <w:color w:val="000000" w:themeColor="text1"/>
          <w:sz w:val="20"/>
          <w:szCs w:val="20"/>
        </w:rPr>
        <w:t>₂</w:t>
      </w:r>
      <w:r w:rsidRPr="007640AA">
        <w:rPr>
          <w:rFonts w:ascii="Arial" w:hAnsi="Arial" w:cs="Arial"/>
          <w:color w:val="000000" w:themeColor="text1"/>
          <w:sz w:val="20"/>
          <w:szCs w:val="20"/>
        </w:rPr>
        <w:t xml:space="preserve"> emissions by ~66% and total CO</w:t>
      </w:r>
      <w:r w:rsidRPr="007640AA">
        <w:rPr>
          <w:rFonts w:ascii="Cambria Math" w:hAnsi="Cambria Math" w:cs="Arial"/>
          <w:color w:val="000000" w:themeColor="text1"/>
          <w:sz w:val="20"/>
          <w:szCs w:val="20"/>
        </w:rPr>
        <w:t>₂</w:t>
      </w:r>
      <w:r w:rsidRPr="007640AA">
        <w:rPr>
          <w:rFonts w:ascii="Arial" w:hAnsi="Arial" w:cs="Arial"/>
          <w:color w:val="000000" w:themeColor="text1"/>
          <w:sz w:val="20"/>
          <w:szCs w:val="20"/>
        </w:rPr>
        <w:t xml:space="preserve">-equivalent emissions by ~82,000 </w:t>
      </w:r>
      <w:proofErr w:type="spellStart"/>
      <w:r w:rsidRPr="007640AA">
        <w:rPr>
          <w:rFonts w:ascii="Arial" w:hAnsi="Arial" w:cs="Arial"/>
          <w:color w:val="000000" w:themeColor="text1"/>
          <w:sz w:val="20"/>
          <w:szCs w:val="20"/>
        </w:rPr>
        <w:t>tonnes</w:t>
      </w:r>
      <w:proofErr w:type="spellEnd"/>
      <w:r w:rsidRPr="007640AA">
        <w:rPr>
          <w:rFonts w:ascii="Arial" w:hAnsi="Arial" w:cs="Arial"/>
          <w:color w:val="000000" w:themeColor="text1"/>
          <w:sz w:val="20"/>
          <w:szCs w:val="20"/>
        </w:rPr>
        <w:t xml:space="preserve"> per site</w:t>
      </w:r>
      <w:r w:rsidR="00874FA9">
        <w:rPr>
          <w:rFonts w:ascii="Arial" w:hAnsi="Arial" w:cs="Arial"/>
          <w:color w:val="000000" w:themeColor="text1"/>
          <w:sz w:val="20"/>
          <w:szCs w:val="20"/>
        </w:rPr>
        <w:t>, t</w:t>
      </w:r>
      <w:r w:rsidRPr="007640AA">
        <w:rPr>
          <w:rFonts w:ascii="Arial" w:hAnsi="Arial" w:cs="Arial"/>
          <w:color w:val="000000" w:themeColor="text1"/>
          <w:sz w:val="20"/>
          <w:szCs w:val="20"/>
        </w:rPr>
        <w:t>he unit is cost-effective, with a short payback period (&lt;6 months) and a benefit-cost ratio of 9.4, making it financially attractive for oil companies and regulatory agencies. Its portability and rapid deployment make PCCU-01 suitable for remote flare sites where conventional CCS systems are impractical</w:t>
      </w:r>
      <w:r w:rsidR="00874FA9">
        <w:rPr>
          <w:rFonts w:ascii="Arial" w:hAnsi="Arial" w:cs="Arial"/>
          <w:color w:val="000000" w:themeColor="text1"/>
          <w:sz w:val="20"/>
          <w:szCs w:val="20"/>
        </w:rPr>
        <w:t xml:space="preserve"> and s</w:t>
      </w:r>
      <w:r w:rsidRPr="007640AA">
        <w:rPr>
          <w:rFonts w:ascii="Arial" w:hAnsi="Arial" w:cs="Arial"/>
          <w:color w:val="000000" w:themeColor="text1"/>
          <w:sz w:val="20"/>
          <w:szCs w:val="20"/>
        </w:rPr>
        <w:t>ite variability, flare volume, and co-pollutant reductions significantly influence CO</w:t>
      </w:r>
      <w:r w:rsidRPr="007640AA">
        <w:rPr>
          <w:rFonts w:ascii="Cambria Math" w:hAnsi="Cambria Math" w:cs="Arial"/>
          <w:color w:val="000000" w:themeColor="text1"/>
          <w:sz w:val="20"/>
          <w:szCs w:val="20"/>
        </w:rPr>
        <w:t>₂</w:t>
      </w:r>
      <w:r w:rsidRPr="007640AA">
        <w:rPr>
          <w:rFonts w:ascii="Arial" w:hAnsi="Arial" w:cs="Arial"/>
          <w:color w:val="000000" w:themeColor="text1"/>
          <w:sz w:val="20"/>
          <w:szCs w:val="20"/>
        </w:rPr>
        <w:t xml:space="preserve"> capture efficiency, providing guidance for optimized deployment strategies.</w:t>
      </w:r>
      <w:r w:rsidR="006056E3">
        <w:rPr>
          <w:rFonts w:ascii="Arial" w:hAnsi="Arial" w:cs="Arial"/>
          <w:color w:val="000000" w:themeColor="text1"/>
          <w:sz w:val="20"/>
          <w:szCs w:val="20"/>
        </w:rPr>
        <w:t xml:space="preserve"> </w:t>
      </w:r>
      <w:r w:rsidRPr="007640AA">
        <w:rPr>
          <w:rFonts w:ascii="Arial" w:hAnsi="Arial" w:cs="Arial"/>
          <w:color w:val="000000" w:themeColor="text1"/>
          <w:sz w:val="20"/>
          <w:szCs w:val="20"/>
        </w:rPr>
        <w:t>PCCU-01 offers a practical, scalable, and economically feasible approach to reducing greenhouse gas emissions and improving air quality in flare-prone regions, providing a model for sustainable carbon mitigation in developing countries.</w:t>
      </w:r>
    </w:p>
    <w:p w14:paraId="4C49C673" w14:textId="77777777" w:rsidR="009043E6" w:rsidRPr="007640AA" w:rsidRDefault="00786818" w:rsidP="00786818">
      <w:pPr>
        <w:pStyle w:val="Heading2"/>
        <w:numPr>
          <w:ilvl w:val="0"/>
          <w:numId w:val="28"/>
        </w:numPr>
        <w:spacing w:line="240" w:lineRule="auto"/>
        <w:jc w:val="both"/>
        <w:rPr>
          <w:rFonts w:ascii="Arial" w:hAnsi="Arial" w:cs="Arial"/>
          <w:color w:val="000000" w:themeColor="text1"/>
          <w:sz w:val="20"/>
          <w:szCs w:val="20"/>
        </w:rPr>
      </w:pPr>
      <w:r w:rsidRPr="007640AA">
        <w:rPr>
          <w:rStyle w:val="Strong"/>
          <w:rFonts w:ascii="Arial" w:hAnsi="Arial" w:cs="Arial"/>
          <w:b/>
          <w:bCs/>
          <w:color w:val="000000" w:themeColor="text1"/>
          <w:sz w:val="20"/>
          <w:szCs w:val="20"/>
        </w:rPr>
        <w:t>RECOMMENDATIONS</w:t>
      </w:r>
    </w:p>
    <w:p w14:paraId="4C49C674" w14:textId="77777777" w:rsidR="009043E6" w:rsidRPr="007640AA" w:rsidRDefault="009043E6" w:rsidP="00AA3483">
      <w:pPr>
        <w:pStyle w:val="NormalWeb"/>
        <w:numPr>
          <w:ilvl w:val="0"/>
          <w:numId w:val="29"/>
        </w:numPr>
        <w:jc w:val="both"/>
        <w:rPr>
          <w:rFonts w:ascii="Arial" w:hAnsi="Arial" w:cs="Arial"/>
          <w:color w:val="000000" w:themeColor="text1"/>
          <w:sz w:val="20"/>
          <w:szCs w:val="20"/>
        </w:rPr>
      </w:pPr>
      <w:r w:rsidRPr="007640AA">
        <w:rPr>
          <w:rFonts w:ascii="Arial" w:hAnsi="Arial" w:cs="Arial"/>
          <w:color w:val="000000" w:themeColor="text1"/>
          <w:sz w:val="20"/>
          <w:szCs w:val="20"/>
        </w:rPr>
        <w:t>Regulatory bodies should incentivize adoption of portable carbon capture units at remote flare sites to reduce emissions and comply with environmental standards.</w:t>
      </w:r>
    </w:p>
    <w:p w14:paraId="4C49C675" w14:textId="77777777" w:rsidR="009043E6" w:rsidRPr="007640AA" w:rsidRDefault="009043E6" w:rsidP="00AA3483">
      <w:pPr>
        <w:pStyle w:val="NormalWeb"/>
        <w:numPr>
          <w:ilvl w:val="0"/>
          <w:numId w:val="29"/>
        </w:numPr>
        <w:jc w:val="both"/>
        <w:rPr>
          <w:rFonts w:ascii="Arial" w:hAnsi="Arial" w:cs="Arial"/>
          <w:color w:val="000000" w:themeColor="text1"/>
          <w:sz w:val="20"/>
          <w:szCs w:val="20"/>
        </w:rPr>
      </w:pPr>
      <w:r w:rsidRPr="007640AA">
        <w:rPr>
          <w:rFonts w:ascii="Arial" w:hAnsi="Arial" w:cs="Arial"/>
          <w:color w:val="000000" w:themeColor="text1"/>
          <w:sz w:val="20"/>
          <w:szCs w:val="20"/>
        </w:rPr>
        <w:t>Future development should consider modular scaling for larger flare volumes and incorporate enhanced control for temperature and flow fluctuations.</w:t>
      </w:r>
    </w:p>
    <w:p w14:paraId="4C49C676" w14:textId="77777777" w:rsidR="009043E6" w:rsidRPr="007640AA" w:rsidRDefault="009043E6" w:rsidP="00AA3483">
      <w:pPr>
        <w:pStyle w:val="NormalWeb"/>
        <w:numPr>
          <w:ilvl w:val="0"/>
          <w:numId w:val="29"/>
        </w:numPr>
        <w:jc w:val="both"/>
        <w:rPr>
          <w:rFonts w:ascii="Arial" w:hAnsi="Arial" w:cs="Arial"/>
          <w:color w:val="000000" w:themeColor="text1"/>
          <w:sz w:val="20"/>
          <w:szCs w:val="20"/>
        </w:rPr>
      </w:pPr>
      <w:r w:rsidRPr="007640AA">
        <w:rPr>
          <w:rFonts w:ascii="Arial" w:hAnsi="Arial" w:cs="Arial"/>
          <w:color w:val="000000" w:themeColor="text1"/>
          <w:sz w:val="20"/>
          <w:szCs w:val="20"/>
        </w:rPr>
        <w:t>Wider deployment across the Niger Delta and other oil-producing regions in Nigeria is recommended to maximize environmental and public health benefits.</w:t>
      </w:r>
    </w:p>
    <w:p w14:paraId="4C49C677" w14:textId="77777777" w:rsidR="009043E6" w:rsidRPr="007640AA" w:rsidRDefault="009043E6" w:rsidP="00AA3483">
      <w:pPr>
        <w:pStyle w:val="NormalWeb"/>
        <w:numPr>
          <w:ilvl w:val="0"/>
          <w:numId w:val="29"/>
        </w:numPr>
        <w:jc w:val="both"/>
        <w:rPr>
          <w:rFonts w:ascii="Arial" w:hAnsi="Arial" w:cs="Arial"/>
          <w:color w:val="000000" w:themeColor="text1"/>
          <w:sz w:val="20"/>
          <w:szCs w:val="20"/>
        </w:rPr>
      </w:pPr>
      <w:r w:rsidRPr="007640AA">
        <w:rPr>
          <w:rFonts w:ascii="Arial" w:hAnsi="Arial" w:cs="Arial"/>
          <w:color w:val="000000" w:themeColor="text1"/>
          <w:sz w:val="20"/>
          <w:szCs w:val="20"/>
        </w:rPr>
        <w:t>Utilize carbon credits to improve economic incentives for operators deploying PCCU-01 units.</w:t>
      </w:r>
    </w:p>
    <w:p w14:paraId="4C49C678" w14:textId="77777777" w:rsidR="009043E6" w:rsidRPr="007640AA" w:rsidRDefault="009043E6" w:rsidP="00AA3483">
      <w:pPr>
        <w:pStyle w:val="NormalWeb"/>
        <w:numPr>
          <w:ilvl w:val="0"/>
          <w:numId w:val="29"/>
        </w:numPr>
        <w:jc w:val="both"/>
        <w:rPr>
          <w:rFonts w:ascii="Arial" w:hAnsi="Arial" w:cs="Arial"/>
          <w:color w:val="000000" w:themeColor="text1"/>
          <w:sz w:val="20"/>
          <w:szCs w:val="20"/>
        </w:rPr>
      </w:pPr>
      <w:r w:rsidRPr="007640AA">
        <w:rPr>
          <w:rFonts w:ascii="Arial" w:hAnsi="Arial" w:cs="Arial"/>
          <w:color w:val="000000" w:themeColor="text1"/>
          <w:sz w:val="20"/>
          <w:szCs w:val="20"/>
        </w:rPr>
        <w:t>Implement long-term monitoring of field performance to refine efficiency predictions, track co-pollutant reduction, and guide adaptive design improvements.</w:t>
      </w:r>
    </w:p>
    <w:p w14:paraId="4C49C679" w14:textId="77777777" w:rsidR="00814697" w:rsidRPr="00323A31" w:rsidRDefault="00AA3483" w:rsidP="007640AA">
      <w:pPr>
        <w:spacing w:before="100" w:beforeAutospacing="1" w:after="100" w:afterAutospacing="1" w:line="240" w:lineRule="auto"/>
        <w:jc w:val="both"/>
        <w:rPr>
          <w:rFonts w:ascii="Arial" w:eastAsia="Times New Roman" w:hAnsi="Arial" w:cs="Arial"/>
          <w:color w:val="000000" w:themeColor="text1"/>
          <w:sz w:val="20"/>
          <w:szCs w:val="20"/>
        </w:rPr>
      </w:pPr>
      <w:r w:rsidRPr="007640AA">
        <w:rPr>
          <w:rFonts w:ascii="Arial" w:eastAsia="Times New Roman" w:hAnsi="Arial" w:cs="Arial"/>
          <w:b/>
          <w:bCs/>
          <w:color w:val="000000" w:themeColor="text1"/>
          <w:sz w:val="20"/>
          <w:szCs w:val="20"/>
        </w:rPr>
        <w:t>REFERENCES</w:t>
      </w:r>
    </w:p>
    <w:p w14:paraId="4C49C67A" w14:textId="77777777" w:rsidR="00814697" w:rsidRPr="00323A31" w:rsidRDefault="00814697" w:rsidP="00AA3483">
      <w:pPr>
        <w:spacing w:before="100" w:beforeAutospacing="1" w:after="100" w:afterAutospacing="1" w:line="240" w:lineRule="auto"/>
        <w:ind w:left="810" w:hanging="810"/>
        <w:jc w:val="both"/>
        <w:rPr>
          <w:rFonts w:ascii="Arial" w:eastAsia="Times New Roman" w:hAnsi="Arial" w:cs="Arial"/>
          <w:color w:val="000000" w:themeColor="text1"/>
          <w:sz w:val="20"/>
          <w:szCs w:val="20"/>
        </w:rPr>
      </w:pPr>
      <w:r w:rsidRPr="00323A31">
        <w:rPr>
          <w:rFonts w:ascii="Arial" w:eastAsia="Times New Roman" w:hAnsi="Arial" w:cs="Arial"/>
          <w:color w:val="000000" w:themeColor="text1"/>
          <w:sz w:val="20"/>
          <w:szCs w:val="20"/>
        </w:rPr>
        <w:t xml:space="preserve">Adewuyi, T., </w:t>
      </w:r>
      <w:proofErr w:type="spellStart"/>
      <w:r w:rsidRPr="00323A31">
        <w:rPr>
          <w:rFonts w:ascii="Arial" w:eastAsia="Times New Roman" w:hAnsi="Arial" w:cs="Arial"/>
          <w:color w:val="000000" w:themeColor="text1"/>
          <w:sz w:val="20"/>
          <w:szCs w:val="20"/>
        </w:rPr>
        <w:t>Olofin</w:t>
      </w:r>
      <w:proofErr w:type="spellEnd"/>
      <w:r w:rsidRPr="00323A31">
        <w:rPr>
          <w:rFonts w:ascii="Arial" w:eastAsia="Times New Roman" w:hAnsi="Arial" w:cs="Arial"/>
          <w:color w:val="000000" w:themeColor="text1"/>
          <w:sz w:val="20"/>
          <w:szCs w:val="20"/>
        </w:rPr>
        <w:t xml:space="preserve">, O., Ogundipe, O., &amp; Obasi, F. (2020). Environmental and operational assessment of gas flaring in Nigeria. </w:t>
      </w:r>
      <w:r w:rsidRPr="007640AA">
        <w:rPr>
          <w:rFonts w:ascii="Arial" w:eastAsia="Times New Roman" w:hAnsi="Arial" w:cs="Arial"/>
          <w:i/>
          <w:iCs/>
          <w:color w:val="000000" w:themeColor="text1"/>
          <w:sz w:val="20"/>
          <w:szCs w:val="20"/>
        </w:rPr>
        <w:t>Journal of Environmental Management, 256</w:t>
      </w:r>
      <w:r w:rsidRPr="00323A31">
        <w:rPr>
          <w:rFonts w:ascii="Arial" w:eastAsia="Times New Roman" w:hAnsi="Arial" w:cs="Arial"/>
          <w:color w:val="000000" w:themeColor="text1"/>
          <w:sz w:val="20"/>
          <w:szCs w:val="20"/>
        </w:rPr>
        <w:t>, 109959. https://doi.org/10.1016/j.jenvman.2019.109959</w:t>
      </w:r>
    </w:p>
    <w:p w14:paraId="4C49C67B" w14:textId="77777777" w:rsidR="00814697" w:rsidRPr="00323A31" w:rsidRDefault="00814697" w:rsidP="00AA3483">
      <w:pPr>
        <w:spacing w:before="100" w:beforeAutospacing="1" w:after="100" w:afterAutospacing="1" w:line="240" w:lineRule="auto"/>
        <w:ind w:left="810" w:hanging="810"/>
        <w:jc w:val="both"/>
        <w:rPr>
          <w:rFonts w:ascii="Arial" w:eastAsia="Times New Roman" w:hAnsi="Arial" w:cs="Arial"/>
          <w:color w:val="000000" w:themeColor="text1"/>
          <w:sz w:val="20"/>
          <w:szCs w:val="20"/>
        </w:rPr>
      </w:pPr>
      <w:r w:rsidRPr="00323A31">
        <w:rPr>
          <w:rFonts w:ascii="Arial" w:eastAsia="Times New Roman" w:hAnsi="Arial" w:cs="Arial"/>
          <w:color w:val="000000" w:themeColor="text1"/>
          <w:sz w:val="20"/>
          <w:szCs w:val="20"/>
        </w:rPr>
        <w:t>Bachu, S. (2016). Review of CO</w:t>
      </w:r>
      <w:r w:rsidRPr="00323A31">
        <w:rPr>
          <w:rFonts w:ascii="Cambria Math" w:eastAsia="Times New Roman" w:hAnsi="Cambria Math" w:cs="Arial"/>
          <w:color w:val="000000" w:themeColor="text1"/>
          <w:sz w:val="20"/>
          <w:szCs w:val="20"/>
        </w:rPr>
        <w:t>₂</w:t>
      </w:r>
      <w:r w:rsidRPr="00323A31">
        <w:rPr>
          <w:rFonts w:ascii="Arial" w:eastAsia="Times New Roman" w:hAnsi="Arial" w:cs="Arial"/>
          <w:color w:val="000000" w:themeColor="text1"/>
          <w:sz w:val="20"/>
          <w:szCs w:val="20"/>
        </w:rPr>
        <w:t xml:space="preserve"> storage efficiency in deep saline aquifers. </w:t>
      </w:r>
      <w:r w:rsidRPr="007640AA">
        <w:rPr>
          <w:rFonts w:ascii="Arial" w:eastAsia="Times New Roman" w:hAnsi="Arial" w:cs="Arial"/>
          <w:i/>
          <w:iCs/>
          <w:color w:val="000000" w:themeColor="text1"/>
          <w:sz w:val="20"/>
          <w:szCs w:val="20"/>
        </w:rPr>
        <w:t>International Journal of Greenhouse Gas Control, 40</w:t>
      </w:r>
      <w:r w:rsidRPr="00323A31">
        <w:rPr>
          <w:rFonts w:ascii="Arial" w:eastAsia="Times New Roman" w:hAnsi="Arial" w:cs="Arial"/>
          <w:color w:val="000000" w:themeColor="text1"/>
          <w:sz w:val="20"/>
          <w:szCs w:val="20"/>
        </w:rPr>
        <w:t>, 188–203. https://doi.org/10.1016/j.ijggc.2015.07.018</w:t>
      </w:r>
    </w:p>
    <w:p w14:paraId="4C49C67C" w14:textId="77777777" w:rsidR="00814697" w:rsidRPr="00323A31" w:rsidRDefault="00814697" w:rsidP="00AA3483">
      <w:pPr>
        <w:spacing w:before="100" w:beforeAutospacing="1" w:after="100" w:afterAutospacing="1" w:line="240" w:lineRule="auto"/>
        <w:ind w:left="810" w:hanging="810"/>
        <w:jc w:val="both"/>
        <w:rPr>
          <w:rFonts w:ascii="Arial" w:eastAsia="Times New Roman" w:hAnsi="Arial" w:cs="Arial"/>
          <w:color w:val="000000" w:themeColor="text1"/>
          <w:sz w:val="20"/>
          <w:szCs w:val="20"/>
        </w:rPr>
      </w:pPr>
      <w:r w:rsidRPr="00323A31">
        <w:rPr>
          <w:rFonts w:ascii="Arial" w:eastAsia="Times New Roman" w:hAnsi="Arial" w:cs="Arial"/>
          <w:color w:val="000000" w:themeColor="text1"/>
          <w:sz w:val="20"/>
          <w:szCs w:val="20"/>
        </w:rPr>
        <w:t xml:space="preserve">Choi, S., Drese, J. H., &amp; Jones, C. W. (2009). Adsorbent materials for carbon dioxide capture from large anthropogenic point sources. </w:t>
      </w:r>
      <w:proofErr w:type="spellStart"/>
      <w:r w:rsidRPr="007640AA">
        <w:rPr>
          <w:rFonts w:ascii="Arial" w:eastAsia="Times New Roman" w:hAnsi="Arial" w:cs="Arial"/>
          <w:i/>
          <w:iCs/>
          <w:color w:val="000000" w:themeColor="text1"/>
          <w:sz w:val="20"/>
          <w:szCs w:val="20"/>
        </w:rPr>
        <w:t>ChemSusChem</w:t>
      </w:r>
      <w:proofErr w:type="spellEnd"/>
      <w:r w:rsidRPr="007640AA">
        <w:rPr>
          <w:rFonts w:ascii="Arial" w:eastAsia="Times New Roman" w:hAnsi="Arial" w:cs="Arial"/>
          <w:i/>
          <w:iCs/>
          <w:color w:val="000000" w:themeColor="text1"/>
          <w:sz w:val="20"/>
          <w:szCs w:val="20"/>
        </w:rPr>
        <w:t>, 2</w:t>
      </w:r>
      <w:r w:rsidRPr="00323A31">
        <w:rPr>
          <w:rFonts w:ascii="Arial" w:eastAsia="Times New Roman" w:hAnsi="Arial" w:cs="Arial"/>
          <w:color w:val="000000" w:themeColor="text1"/>
          <w:sz w:val="20"/>
          <w:szCs w:val="20"/>
        </w:rPr>
        <w:t>(9), 796–854. https://doi.org/10.1002/cssc.200900036</w:t>
      </w:r>
    </w:p>
    <w:p w14:paraId="4C49C67D" w14:textId="77777777" w:rsidR="00814697" w:rsidRPr="00323A31" w:rsidRDefault="00814697" w:rsidP="00AA3483">
      <w:pPr>
        <w:spacing w:before="100" w:beforeAutospacing="1" w:after="100" w:afterAutospacing="1" w:line="240" w:lineRule="auto"/>
        <w:ind w:left="810" w:hanging="810"/>
        <w:jc w:val="both"/>
        <w:rPr>
          <w:rFonts w:ascii="Arial" w:eastAsia="Times New Roman" w:hAnsi="Arial" w:cs="Arial"/>
          <w:color w:val="000000" w:themeColor="text1"/>
          <w:sz w:val="20"/>
          <w:szCs w:val="20"/>
        </w:rPr>
      </w:pPr>
      <w:r w:rsidRPr="00323A31">
        <w:rPr>
          <w:rFonts w:ascii="Arial" w:eastAsia="Times New Roman" w:hAnsi="Arial" w:cs="Arial"/>
          <w:color w:val="000000" w:themeColor="text1"/>
          <w:sz w:val="20"/>
          <w:szCs w:val="20"/>
        </w:rPr>
        <w:t xml:space="preserve">Efe, S. I., </w:t>
      </w:r>
      <w:proofErr w:type="spellStart"/>
      <w:r w:rsidRPr="00323A31">
        <w:rPr>
          <w:rFonts w:ascii="Arial" w:eastAsia="Times New Roman" w:hAnsi="Arial" w:cs="Arial"/>
          <w:color w:val="000000" w:themeColor="text1"/>
          <w:sz w:val="20"/>
          <w:szCs w:val="20"/>
        </w:rPr>
        <w:t>Ibem</w:t>
      </w:r>
      <w:proofErr w:type="spellEnd"/>
      <w:r w:rsidRPr="00323A31">
        <w:rPr>
          <w:rFonts w:ascii="Arial" w:eastAsia="Times New Roman" w:hAnsi="Arial" w:cs="Arial"/>
          <w:color w:val="000000" w:themeColor="text1"/>
          <w:sz w:val="20"/>
          <w:szCs w:val="20"/>
        </w:rPr>
        <w:t xml:space="preserve">, E. O., &amp; </w:t>
      </w:r>
      <w:proofErr w:type="spellStart"/>
      <w:r w:rsidRPr="00323A31">
        <w:rPr>
          <w:rFonts w:ascii="Arial" w:eastAsia="Times New Roman" w:hAnsi="Arial" w:cs="Arial"/>
          <w:color w:val="000000" w:themeColor="text1"/>
          <w:sz w:val="20"/>
          <w:szCs w:val="20"/>
        </w:rPr>
        <w:t>Enyinna</w:t>
      </w:r>
      <w:proofErr w:type="spellEnd"/>
      <w:r w:rsidRPr="00323A31">
        <w:rPr>
          <w:rFonts w:ascii="Arial" w:eastAsia="Times New Roman" w:hAnsi="Arial" w:cs="Arial"/>
          <w:color w:val="000000" w:themeColor="text1"/>
          <w:sz w:val="20"/>
          <w:szCs w:val="20"/>
        </w:rPr>
        <w:t xml:space="preserve">, P. (2020). Gas flaring, climate change, and health implications in the Niger Delta. </w:t>
      </w:r>
      <w:r w:rsidRPr="007640AA">
        <w:rPr>
          <w:rFonts w:ascii="Arial" w:eastAsia="Times New Roman" w:hAnsi="Arial" w:cs="Arial"/>
          <w:i/>
          <w:iCs/>
          <w:color w:val="000000" w:themeColor="text1"/>
          <w:sz w:val="20"/>
          <w:szCs w:val="20"/>
        </w:rPr>
        <w:t>Environmental Science and Pollution Research, 27</w:t>
      </w:r>
      <w:r w:rsidRPr="00323A31">
        <w:rPr>
          <w:rFonts w:ascii="Arial" w:eastAsia="Times New Roman" w:hAnsi="Arial" w:cs="Arial"/>
          <w:color w:val="000000" w:themeColor="text1"/>
          <w:sz w:val="20"/>
          <w:szCs w:val="20"/>
        </w:rPr>
        <w:t>, 30555–30570. https://doi.org/10.1007/s11356-020-09263-3</w:t>
      </w:r>
    </w:p>
    <w:p w14:paraId="4C49C67E" w14:textId="77777777" w:rsidR="00814697" w:rsidRPr="00323A31" w:rsidRDefault="00814697" w:rsidP="00AA3483">
      <w:pPr>
        <w:spacing w:before="100" w:beforeAutospacing="1" w:after="100" w:afterAutospacing="1" w:line="240" w:lineRule="auto"/>
        <w:ind w:left="810" w:hanging="810"/>
        <w:jc w:val="both"/>
        <w:rPr>
          <w:rFonts w:ascii="Arial" w:eastAsia="Times New Roman" w:hAnsi="Arial" w:cs="Arial"/>
          <w:color w:val="000000" w:themeColor="text1"/>
          <w:sz w:val="20"/>
          <w:szCs w:val="20"/>
        </w:rPr>
      </w:pPr>
      <w:proofErr w:type="spellStart"/>
      <w:r w:rsidRPr="00323A31">
        <w:rPr>
          <w:rFonts w:ascii="Arial" w:eastAsia="Times New Roman" w:hAnsi="Arial" w:cs="Arial"/>
          <w:color w:val="000000" w:themeColor="text1"/>
          <w:sz w:val="20"/>
          <w:szCs w:val="20"/>
        </w:rPr>
        <w:t>Haszeldine</w:t>
      </w:r>
      <w:proofErr w:type="spellEnd"/>
      <w:r w:rsidRPr="00323A31">
        <w:rPr>
          <w:rFonts w:ascii="Arial" w:eastAsia="Times New Roman" w:hAnsi="Arial" w:cs="Arial"/>
          <w:color w:val="000000" w:themeColor="text1"/>
          <w:sz w:val="20"/>
          <w:szCs w:val="20"/>
        </w:rPr>
        <w:t xml:space="preserve">, R. S. (2009). Carbon capture and storage: How green can black be? </w:t>
      </w:r>
      <w:r w:rsidRPr="007640AA">
        <w:rPr>
          <w:rFonts w:ascii="Arial" w:eastAsia="Times New Roman" w:hAnsi="Arial" w:cs="Arial"/>
          <w:i/>
          <w:iCs/>
          <w:color w:val="000000" w:themeColor="text1"/>
          <w:sz w:val="20"/>
          <w:szCs w:val="20"/>
        </w:rPr>
        <w:t>Science, 325</w:t>
      </w:r>
      <w:r w:rsidRPr="00323A31">
        <w:rPr>
          <w:rFonts w:ascii="Arial" w:eastAsia="Times New Roman" w:hAnsi="Arial" w:cs="Arial"/>
          <w:color w:val="000000" w:themeColor="text1"/>
          <w:sz w:val="20"/>
          <w:szCs w:val="20"/>
        </w:rPr>
        <w:t>(5948), 1647–1652. https://doi.org/10.1126/science.1172246</w:t>
      </w:r>
    </w:p>
    <w:p w14:paraId="4C49C67F" w14:textId="77777777" w:rsidR="00814697" w:rsidRPr="00323A31" w:rsidRDefault="00814697" w:rsidP="00AA3483">
      <w:pPr>
        <w:spacing w:before="100" w:beforeAutospacing="1" w:after="100" w:afterAutospacing="1" w:line="240" w:lineRule="auto"/>
        <w:ind w:left="810" w:hanging="810"/>
        <w:jc w:val="both"/>
        <w:rPr>
          <w:rFonts w:ascii="Arial" w:eastAsia="Times New Roman" w:hAnsi="Arial" w:cs="Arial"/>
          <w:color w:val="000000" w:themeColor="text1"/>
          <w:sz w:val="20"/>
          <w:szCs w:val="20"/>
        </w:rPr>
      </w:pPr>
      <w:r w:rsidRPr="00323A31">
        <w:rPr>
          <w:rFonts w:ascii="Arial" w:eastAsia="Times New Roman" w:hAnsi="Arial" w:cs="Arial"/>
          <w:color w:val="000000" w:themeColor="text1"/>
          <w:sz w:val="20"/>
          <w:szCs w:val="20"/>
        </w:rPr>
        <w:t xml:space="preserve">IEAGHG (International Energy Agency Greenhouse Gas R&amp;D </w:t>
      </w:r>
      <w:proofErr w:type="spellStart"/>
      <w:r w:rsidRPr="00323A31">
        <w:rPr>
          <w:rFonts w:ascii="Arial" w:eastAsia="Times New Roman" w:hAnsi="Arial" w:cs="Arial"/>
          <w:color w:val="000000" w:themeColor="text1"/>
          <w:sz w:val="20"/>
          <w:szCs w:val="20"/>
        </w:rPr>
        <w:t>Programme</w:t>
      </w:r>
      <w:proofErr w:type="spellEnd"/>
      <w:r w:rsidRPr="00323A31">
        <w:rPr>
          <w:rFonts w:ascii="Arial" w:eastAsia="Times New Roman" w:hAnsi="Arial" w:cs="Arial"/>
          <w:color w:val="000000" w:themeColor="text1"/>
          <w:sz w:val="20"/>
          <w:szCs w:val="20"/>
        </w:rPr>
        <w:t xml:space="preserve">). (2017). </w:t>
      </w:r>
      <w:r w:rsidRPr="007640AA">
        <w:rPr>
          <w:rFonts w:ascii="Arial" w:eastAsia="Times New Roman" w:hAnsi="Arial" w:cs="Arial"/>
          <w:i/>
          <w:iCs/>
          <w:color w:val="000000" w:themeColor="text1"/>
          <w:sz w:val="20"/>
          <w:szCs w:val="20"/>
        </w:rPr>
        <w:t>Post-combustion capture of CO</w:t>
      </w:r>
      <w:r w:rsidRPr="007640AA">
        <w:rPr>
          <w:rFonts w:ascii="Cambria Math" w:eastAsia="Times New Roman" w:hAnsi="Cambria Math" w:cs="Arial"/>
          <w:i/>
          <w:iCs/>
          <w:color w:val="000000" w:themeColor="text1"/>
          <w:sz w:val="20"/>
          <w:szCs w:val="20"/>
        </w:rPr>
        <w:t>₂</w:t>
      </w:r>
      <w:r w:rsidRPr="007640AA">
        <w:rPr>
          <w:rFonts w:ascii="Arial" w:eastAsia="Times New Roman" w:hAnsi="Arial" w:cs="Arial"/>
          <w:i/>
          <w:iCs/>
          <w:color w:val="000000" w:themeColor="text1"/>
          <w:sz w:val="20"/>
          <w:szCs w:val="20"/>
        </w:rPr>
        <w:t>: 2017 Summary Report</w:t>
      </w:r>
      <w:r w:rsidRPr="00323A31">
        <w:rPr>
          <w:rFonts w:ascii="Arial" w:eastAsia="Times New Roman" w:hAnsi="Arial" w:cs="Arial"/>
          <w:color w:val="000000" w:themeColor="text1"/>
          <w:sz w:val="20"/>
          <w:szCs w:val="20"/>
        </w:rPr>
        <w:t>. IEAGHG.</w:t>
      </w:r>
    </w:p>
    <w:p w14:paraId="4C49C680" w14:textId="77777777" w:rsidR="00814697" w:rsidRPr="00323A31" w:rsidRDefault="00814697" w:rsidP="00AA3483">
      <w:pPr>
        <w:spacing w:before="100" w:beforeAutospacing="1" w:after="100" w:afterAutospacing="1" w:line="240" w:lineRule="auto"/>
        <w:ind w:left="810" w:hanging="810"/>
        <w:jc w:val="both"/>
        <w:rPr>
          <w:rFonts w:ascii="Arial" w:eastAsia="Times New Roman" w:hAnsi="Arial" w:cs="Arial"/>
          <w:color w:val="000000" w:themeColor="text1"/>
          <w:sz w:val="20"/>
          <w:szCs w:val="20"/>
        </w:rPr>
      </w:pPr>
      <w:r w:rsidRPr="00323A31">
        <w:rPr>
          <w:rFonts w:ascii="Arial" w:eastAsia="Times New Roman" w:hAnsi="Arial" w:cs="Arial"/>
          <w:color w:val="000000" w:themeColor="text1"/>
          <w:sz w:val="20"/>
          <w:szCs w:val="20"/>
        </w:rPr>
        <w:t xml:space="preserve">Ite, U. E., </w:t>
      </w:r>
      <w:proofErr w:type="spellStart"/>
      <w:r w:rsidRPr="00323A31">
        <w:rPr>
          <w:rFonts w:ascii="Arial" w:eastAsia="Times New Roman" w:hAnsi="Arial" w:cs="Arial"/>
          <w:color w:val="000000" w:themeColor="text1"/>
          <w:sz w:val="20"/>
          <w:szCs w:val="20"/>
        </w:rPr>
        <w:t>Ibok</w:t>
      </w:r>
      <w:proofErr w:type="spellEnd"/>
      <w:r w:rsidRPr="00323A31">
        <w:rPr>
          <w:rFonts w:ascii="Arial" w:eastAsia="Times New Roman" w:hAnsi="Arial" w:cs="Arial"/>
          <w:color w:val="000000" w:themeColor="text1"/>
          <w:sz w:val="20"/>
          <w:szCs w:val="20"/>
        </w:rPr>
        <w:t xml:space="preserve">, U. J., Ite, M. U., &amp; Petters, S. W. (2013). Petroleum exploration and production: Past and present environmental issues in the Niger </w:t>
      </w:r>
      <w:r w:rsidRPr="00323A31">
        <w:rPr>
          <w:rFonts w:ascii="Arial" w:eastAsia="Times New Roman" w:hAnsi="Arial" w:cs="Arial"/>
          <w:color w:val="000000" w:themeColor="text1"/>
          <w:sz w:val="20"/>
          <w:szCs w:val="20"/>
        </w:rPr>
        <w:lastRenderedPageBreak/>
        <w:t xml:space="preserve">Delta. </w:t>
      </w:r>
      <w:r w:rsidRPr="007640AA">
        <w:rPr>
          <w:rFonts w:ascii="Arial" w:eastAsia="Times New Roman" w:hAnsi="Arial" w:cs="Arial"/>
          <w:i/>
          <w:iCs/>
          <w:color w:val="000000" w:themeColor="text1"/>
          <w:sz w:val="20"/>
          <w:szCs w:val="20"/>
        </w:rPr>
        <w:t>American Journal of Environmental Protection, 1</w:t>
      </w:r>
      <w:r w:rsidRPr="00323A31">
        <w:rPr>
          <w:rFonts w:ascii="Arial" w:eastAsia="Times New Roman" w:hAnsi="Arial" w:cs="Arial"/>
          <w:color w:val="000000" w:themeColor="text1"/>
          <w:sz w:val="20"/>
          <w:szCs w:val="20"/>
        </w:rPr>
        <w:t>(4), 78–90. https://doi.org/10.11648/j.ajep.20130104.13</w:t>
      </w:r>
    </w:p>
    <w:p w14:paraId="4C49C681" w14:textId="77777777" w:rsidR="00814697" w:rsidRPr="00323A31" w:rsidRDefault="00814697" w:rsidP="00AA3483">
      <w:pPr>
        <w:spacing w:before="100" w:beforeAutospacing="1" w:after="100" w:afterAutospacing="1" w:line="240" w:lineRule="auto"/>
        <w:ind w:left="810" w:hanging="810"/>
        <w:jc w:val="both"/>
        <w:rPr>
          <w:rFonts w:ascii="Arial" w:eastAsia="Times New Roman" w:hAnsi="Arial" w:cs="Arial"/>
          <w:color w:val="000000" w:themeColor="text1"/>
          <w:sz w:val="20"/>
          <w:szCs w:val="20"/>
        </w:rPr>
      </w:pPr>
      <w:r w:rsidRPr="00323A31">
        <w:rPr>
          <w:rFonts w:ascii="Arial" w:eastAsia="Times New Roman" w:hAnsi="Arial" w:cs="Arial"/>
          <w:color w:val="000000" w:themeColor="text1"/>
          <w:sz w:val="20"/>
          <w:szCs w:val="20"/>
        </w:rPr>
        <w:t xml:space="preserve">Obi, C., &amp; Rustad, S. A. (2011). Oil, democracy, and the promise of civil society in Nigeria. </w:t>
      </w:r>
      <w:r w:rsidRPr="007640AA">
        <w:rPr>
          <w:rFonts w:ascii="Arial" w:eastAsia="Times New Roman" w:hAnsi="Arial" w:cs="Arial"/>
          <w:i/>
          <w:iCs/>
          <w:color w:val="000000" w:themeColor="text1"/>
          <w:sz w:val="20"/>
          <w:szCs w:val="20"/>
        </w:rPr>
        <w:t>Africa Spectrum, 46</w:t>
      </w:r>
      <w:r w:rsidRPr="00323A31">
        <w:rPr>
          <w:rFonts w:ascii="Arial" w:eastAsia="Times New Roman" w:hAnsi="Arial" w:cs="Arial"/>
          <w:color w:val="000000" w:themeColor="text1"/>
          <w:sz w:val="20"/>
          <w:szCs w:val="20"/>
        </w:rPr>
        <w:t>(3), 73–93. https://doi.org/10.1177/000203971104600304</w:t>
      </w:r>
    </w:p>
    <w:p w14:paraId="4C49C682" w14:textId="77777777" w:rsidR="00814697" w:rsidRPr="00323A31" w:rsidRDefault="00814697" w:rsidP="00AA3483">
      <w:pPr>
        <w:spacing w:before="100" w:beforeAutospacing="1" w:after="100" w:afterAutospacing="1" w:line="240" w:lineRule="auto"/>
        <w:ind w:left="810" w:hanging="810"/>
        <w:jc w:val="both"/>
        <w:rPr>
          <w:rFonts w:ascii="Arial" w:eastAsia="Times New Roman" w:hAnsi="Arial" w:cs="Arial"/>
          <w:color w:val="000000" w:themeColor="text1"/>
          <w:sz w:val="20"/>
          <w:szCs w:val="20"/>
        </w:rPr>
      </w:pPr>
      <w:r w:rsidRPr="00323A31">
        <w:rPr>
          <w:rFonts w:ascii="Arial" w:eastAsia="Times New Roman" w:hAnsi="Arial" w:cs="Arial"/>
          <w:color w:val="000000" w:themeColor="text1"/>
          <w:sz w:val="20"/>
          <w:szCs w:val="20"/>
        </w:rPr>
        <w:t xml:space="preserve">Onuoha, F. C. (2008). Oil pipeline vandalism in Nigeria: Dimensions, actors and implications for national security. </w:t>
      </w:r>
      <w:r w:rsidRPr="007640AA">
        <w:rPr>
          <w:rFonts w:ascii="Arial" w:eastAsia="Times New Roman" w:hAnsi="Arial" w:cs="Arial"/>
          <w:i/>
          <w:iCs/>
          <w:color w:val="000000" w:themeColor="text1"/>
          <w:sz w:val="20"/>
          <w:szCs w:val="20"/>
        </w:rPr>
        <w:t>African Security Review, 17</w:t>
      </w:r>
      <w:r w:rsidRPr="00323A31">
        <w:rPr>
          <w:rFonts w:ascii="Arial" w:eastAsia="Times New Roman" w:hAnsi="Arial" w:cs="Arial"/>
          <w:color w:val="000000" w:themeColor="text1"/>
          <w:sz w:val="20"/>
          <w:szCs w:val="20"/>
        </w:rPr>
        <w:t>(3), 79–98. https://doi.org/10.1080/10246029.2008.9627427</w:t>
      </w:r>
    </w:p>
    <w:p w14:paraId="4C49C683" w14:textId="77777777" w:rsidR="00814697" w:rsidRPr="00323A31" w:rsidRDefault="00814697" w:rsidP="00AA3483">
      <w:pPr>
        <w:spacing w:before="100" w:beforeAutospacing="1" w:after="100" w:afterAutospacing="1" w:line="240" w:lineRule="auto"/>
        <w:ind w:left="810" w:hanging="810"/>
        <w:jc w:val="both"/>
        <w:rPr>
          <w:rFonts w:ascii="Arial" w:eastAsia="Times New Roman" w:hAnsi="Arial" w:cs="Arial"/>
          <w:color w:val="000000" w:themeColor="text1"/>
          <w:sz w:val="20"/>
          <w:szCs w:val="20"/>
        </w:rPr>
      </w:pPr>
      <w:r w:rsidRPr="00323A31">
        <w:rPr>
          <w:rFonts w:ascii="Arial" w:eastAsia="Times New Roman" w:hAnsi="Arial" w:cs="Arial"/>
          <w:color w:val="000000" w:themeColor="text1"/>
          <w:sz w:val="20"/>
          <w:szCs w:val="20"/>
        </w:rPr>
        <w:t>Rubin, E. S., Davison, J. E., &amp; Herzog, H. J. (2015). The cost of CO</w:t>
      </w:r>
      <w:r w:rsidRPr="00323A31">
        <w:rPr>
          <w:rFonts w:ascii="Cambria Math" w:eastAsia="Times New Roman" w:hAnsi="Cambria Math" w:cs="Arial"/>
          <w:color w:val="000000" w:themeColor="text1"/>
          <w:sz w:val="20"/>
          <w:szCs w:val="20"/>
        </w:rPr>
        <w:t>₂</w:t>
      </w:r>
      <w:r w:rsidRPr="00323A31">
        <w:rPr>
          <w:rFonts w:ascii="Arial" w:eastAsia="Times New Roman" w:hAnsi="Arial" w:cs="Arial"/>
          <w:color w:val="000000" w:themeColor="text1"/>
          <w:sz w:val="20"/>
          <w:szCs w:val="20"/>
        </w:rPr>
        <w:t xml:space="preserve"> capture and storage. </w:t>
      </w:r>
      <w:r w:rsidRPr="007640AA">
        <w:rPr>
          <w:rFonts w:ascii="Arial" w:eastAsia="Times New Roman" w:hAnsi="Arial" w:cs="Arial"/>
          <w:i/>
          <w:iCs/>
          <w:color w:val="000000" w:themeColor="text1"/>
          <w:sz w:val="20"/>
          <w:szCs w:val="20"/>
        </w:rPr>
        <w:t>International Journal of Greenhouse Gas Control, 40</w:t>
      </w:r>
      <w:r w:rsidRPr="00323A31">
        <w:rPr>
          <w:rFonts w:ascii="Arial" w:eastAsia="Times New Roman" w:hAnsi="Arial" w:cs="Arial"/>
          <w:color w:val="000000" w:themeColor="text1"/>
          <w:sz w:val="20"/>
          <w:szCs w:val="20"/>
        </w:rPr>
        <w:t xml:space="preserve">, 378–400. </w:t>
      </w:r>
      <w:hyperlink r:id="rId9" w:tgtFrame="_new" w:history="1">
        <w:r w:rsidRPr="007640AA">
          <w:rPr>
            <w:rFonts w:ascii="Arial" w:eastAsia="Times New Roman" w:hAnsi="Arial" w:cs="Arial"/>
            <w:color w:val="000000" w:themeColor="text1"/>
            <w:sz w:val="20"/>
            <w:szCs w:val="20"/>
            <w:u w:val="single"/>
          </w:rPr>
          <w:t>https://doi.org/10.1016/j.ijggc.2015.05.018</w:t>
        </w:r>
      </w:hyperlink>
    </w:p>
    <w:p w14:paraId="4C49C684" w14:textId="77777777" w:rsidR="00814697" w:rsidRPr="00323A31" w:rsidRDefault="00814697" w:rsidP="00AA3483">
      <w:pPr>
        <w:spacing w:before="100" w:beforeAutospacing="1" w:after="100" w:afterAutospacing="1" w:line="240" w:lineRule="auto"/>
        <w:ind w:left="810" w:hanging="810"/>
        <w:jc w:val="both"/>
        <w:rPr>
          <w:rFonts w:ascii="Arial" w:eastAsia="Times New Roman" w:hAnsi="Arial" w:cs="Arial"/>
          <w:color w:val="000000" w:themeColor="text1"/>
          <w:sz w:val="20"/>
          <w:szCs w:val="20"/>
        </w:rPr>
      </w:pPr>
      <w:r w:rsidRPr="00323A31">
        <w:rPr>
          <w:rFonts w:ascii="Arial" w:eastAsia="Times New Roman" w:hAnsi="Arial" w:cs="Arial"/>
          <w:color w:val="000000" w:themeColor="text1"/>
          <w:sz w:val="20"/>
          <w:szCs w:val="20"/>
        </w:rPr>
        <w:t>Samanta, A., Zhao, A., Shimizu, G. K. H., Sarkar, P., &amp; Gupta, R. (2012). Post-combustion CO</w:t>
      </w:r>
      <w:r w:rsidRPr="00323A31">
        <w:rPr>
          <w:rFonts w:ascii="Cambria Math" w:eastAsia="Times New Roman" w:hAnsi="Cambria Math" w:cs="Arial"/>
          <w:color w:val="000000" w:themeColor="text1"/>
          <w:sz w:val="20"/>
          <w:szCs w:val="20"/>
        </w:rPr>
        <w:t>₂</w:t>
      </w:r>
      <w:r w:rsidRPr="00323A31">
        <w:rPr>
          <w:rFonts w:ascii="Arial" w:eastAsia="Times New Roman" w:hAnsi="Arial" w:cs="Arial"/>
          <w:color w:val="000000" w:themeColor="text1"/>
          <w:sz w:val="20"/>
          <w:szCs w:val="20"/>
        </w:rPr>
        <w:t xml:space="preserve"> capture using solid sorbents: A review. </w:t>
      </w:r>
      <w:r w:rsidRPr="007640AA">
        <w:rPr>
          <w:rFonts w:ascii="Arial" w:eastAsia="Times New Roman" w:hAnsi="Arial" w:cs="Arial"/>
          <w:i/>
          <w:iCs/>
          <w:color w:val="000000" w:themeColor="text1"/>
          <w:sz w:val="20"/>
          <w:szCs w:val="20"/>
        </w:rPr>
        <w:t>Industrial &amp; Engineering Chemistry Research, 51</w:t>
      </w:r>
      <w:r w:rsidRPr="00323A31">
        <w:rPr>
          <w:rFonts w:ascii="Arial" w:eastAsia="Times New Roman" w:hAnsi="Arial" w:cs="Arial"/>
          <w:color w:val="000000" w:themeColor="text1"/>
          <w:sz w:val="20"/>
          <w:szCs w:val="20"/>
        </w:rPr>
        <w:t>(4), 1438–1463. https://doi.org/10.1021/ie200686q</w:t>
      </w:r>
    </w:p>
    <w:p w14:paraId="4C49C685" w14:textId="77777777" w:rsidR="00814697" w:rsidRPr="00323A31" w:rsidRDefault="00814697" w:rsidP="00AA3483">
      <w:pPr>
        <w:spacing w:before="100" w:beforeAutospacing="1" w:after="100" w:afterAutospacing="1" w:line="240" w:lineRule="auto"/>
        <w:ind w:left="810" w:hanging="810"/>
        <w:jc w:val="both"/>
        <w:rPr>
          <w:rFonts w:ascii="Arial" w:eastAsia="Times New Roman" w:hAnsi="Arial" w:cs="Arial"/>
          <w:color w:val="000000" w:themeColor="text1"/>
          <w:sz w:val="20"/>
          <w:szCs w:val="20"/>
        </w:rPr>
      </w:pPr>
      <w:r w:rsidRPr="00323A31">
        <w:rPr>
          <w:rFonts w:ascii="Arial" w:eastAsia="Times New Roman" w:hAnsi="Arial" w:cs="Arial"/>
          <w:color w:val="000000" w:themeColor="text1"/>
          <w:sz w:val="20"/>
          <w:szCs w:val="20"/>
        </w:rPr>
        <w:t xml:space="preserve">UNEP (United Nations Environment </w:t>
      </w:r>
      <w:proofErr w:type="spellStart"/>
      <w:r w:rsidRPr="00323A31">
        <w:rPr>
          <w:rFonts w:ascii="Arial" w:eastAsia="Times New Roman" w:hAnsi="Arial" w:cs="Arial"/>
          <w:color w:val="000000" w:themeColor="text1"/>
          <w:sz w:val="20"/>
          <w:szCs w:val="20"/>
        </w:rPr>
        <w:t>Programme</w:t>
      </w:r>
      <w:proofErr w:type="spellEnd"/>
      <w:r w:rsidRPr="00323A31">
        <w:rPr>
          <w:rFonts w:ascii="Arial" w:eastAsia="Times New Roman" w:hAnsi="Arial" w:cs="Arial"/>
          <w:color w:val="000000" w:themeColor="text1"/>
          <w:sz w:val="20"/>
          <w:szCs w:val="20"/>
        </w:rPr>
        <w:t xml:space="preserve">). (2011). </w:t>
      </w:r>
      <w:r w:rsidRPr="007640AA">
        <w:rPr>
          <w:rFonts w:ascii="Arial" w:eastAsia="Times New Roman" w:hAnsi="Arial" w:cs="Arial"/>
          <w:i/>
          <w:iCs/>
          <w:color w:val="000000" w:themeColor="text1"/>
          <w:sz w:val="20"/>
          <w:szCs w:val="20"/>
        </w:rPr>
        <w:t xml:space="preserve">Environmental assessment of </w:t>
      </w:r>
      <w:proofErr w:type="spellStart"/>
      <w:r w:rsidRPr="007640AA">
        <w:rPr>
          <w:rFonts w:ascii="Arial" w:eastAsia="Times New Roman" w:hAnsi="Arial" w:cs="Arial"/>
          <w:i/>
          <w:iCs/>
          <w:color w:val="000000" w:themeColor="text1"/>
          <w:sz w:val="20"/>
          <w:szCs w:val="20"/>
        </w:rPr>
        <w:t>Ogoniland</w:t>
      </w:r>
      <w:proofErr w:type="spellEnd"/>
      <w:r w:rsidRPr="00323A31">
        <w:rPr>
          <w:rFonts w:ascii="Arial" w:eastAsia="Times New Roman" w:hAnsi="Arial" w:cs="Arial"/>
          <w:color w:val="000000" w:themeColor="text1"/>
          <w:sz w:val="20"/>
          <w:szCs w:val="20"/>
        </w:rPr>
        <w:t xml:space="preserve">. UNEP. </w:t>
      </w:r>
      <w:hyperlink r:id="rId10" w:tgtFrame="_new" w:history="1">
        <w:r w:rsidRPr="007640AA">
          <w:rPr>
            <w:rFonts w:ascii="Arial" w:eastAsia="Times New Roman" w:hAnsi="Arial" w:cs="Arial"/>
            <w:color w:val="000000" w:themeColor="text1"/>
            <w:sz w:val="20"/>
            <w:szCs w:val="20"/>
            <w:u w:val="single"/>
          </w:rPr>
          <w:t>https://www.unep.org/resources/report/environmental-assessment-ogoniland</w:t>
        </w:r>
      </w:hyperlink>
    </w:p>
    <w:p w14:paraId="4C49C686" w14:textId="77777777" w:rsidR="00FB4856" w:rsidRPr="007640AA" w:rsidRDefault="00814697" w:rsidP="00AA3483">
      <w:pPr>
        <w:spacing w:before="100" w:beforeAutospacing="1" w:after="100" w:afterAutospacing="1" w:line="240" w:lineRule="auto"/>
        <w:ind w:left="810" w:hanging="810"/>
        <w:jc w:val="both"/>
        <w:rPr>
          <w:rFonts w:ascii="Arial" w:eastAsia="Times New Roman" w:hAnsi="Arial" w:cs="Arial"/>
          <w:color w:val="000000" w:themeColor="text1"/>
          <w:sz w:val="20"/>
          <w:szCs w:val="20"/>
        </w:rPr>
      </w:pPr>
      <w:r w:rsidRPr="00323A31">
        <w:rPr>
          <w:rFonts w:ascii="Arial" w:eastAsia="Times New Roman" w:hAnsi="Arial" w:cs="Arial"/>
          <w:color w:val="000000" w:themeColor="text1"/>
          <w:sz w:val="20"/>
          <w:szCs w:val="20"/>
        </w:rPr>
        <w:t xml:space="preserve">World Bank. (2018). </w:t>
      </w:r>
      <w:r w:rsidRPr="007640AA">
        <w:rPr>
          <w:rFonts w:ascii="Arial" w:eastAsia="Times New Roman" w:hAnsi="Arial" w:cs="Arial"/>
          <w:i/>
          <w:iCs/>
          <w:color w:val="000000" w:themeColor="text1"/>
          <w:sz w:val="20"/>
          <w:szCs w:val="20"/>
        </w:rPr>
        <w:t>Gas flaring reduction in Nigeria: Regulatory framework and economic potential</w:t>
      </w:r>
      <w:r w:rsidRPr="00323A31">
        <w:rPr>
          <w:rFonts w:ascii="Arial" w:eastAsia="Times New Roman" w:hAnsi="Arial" w:cs="Arial"/>
          <w:color w:val="000000" w:themeColor="text1"/>
          <w:sz w:val="20"/>
          <w:szCs w:val="20"/>
        </w:rPr>
        <w:t>. World Bank Group. https://www.worldbank.org/en/news/feature/2018/09/25/nigeria-gas-flaring</w:t>
      </w:r>
      <w:r w:rsidR="006D2AE1" w:rsidRPr="007640AA">
        <w:rPr>
          <w:rFonts w:ascii="Arial" w:eastAsia="Times New Roman" w:hAnsi="Arial" w:cs="Arial"/>
          <w:color w:val="000000" w:themeColor="text1"/>
          <w:sz w:val="20"/>
          <w:szCs w:val="20"/>
        </w:rPr>
        <w:t>S</w:t>
      </w:r>
    </w:p>
    <w:sectPr w:rsidR="00FB4856" w:rsidRPr="007640AA" w:rsidSect="006473D6">
      <w:type w:val="continuous"/>
      <w:pgSz w:w="11907" w:h="16839" w:code="9"/>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68CB1" w14:textId="77777777" w:rsidR="008B0DEE" w:rsidRDefault="008B0DEE" w:rsidP="003340AF">
      <w:pPr>
        <w:spacing w:after="0" w:line="240" w:lineRule="auto"/>
      </w:pPr>
      <w:r>
        <w:separator/>
      </w:r>
    </w:p>
  </w:endnote>
  <w:endnote w:type="continuationSeparator" w:id="0">
    <w:p w14:paraId="7D7D94DA" w14:textId="77777777" w:rsidR="008B0DEE" w:rsidRDefault="008B0DEE" w:rsidP="003340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04326"/>
      <w:docPartObj>
        <w:docPartGallery w:val="Page Numbers (Bottom of Page)"/>
        <w:docPartUnique/>
      </w:docPartObj>
    </w:sdtPr>
    <w:sdtContent>
      <w:p w14:paraId="4C49C68B" w14:textId="77777777" w:rsidR="003340AF" w:rsidRDefault="00FE3A32">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4C49C68C" w14:textId="77777777" w:rsidR="003340AF" w:rsidRDefault="003340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C0641" w14:textId="77777777" w:rsidR="008B0DEE" w:rsidRDefault="008B0DEE" w:rsidP="003340AF">
      <w:pPr>
        <w:spacing w:after="0" w:line="240" w:lineRule="auto"/>
      </w:pPr>
      <w:r>
        <w:separator/>
      </w:r>
    </w:p>
  </w:footnote>
  <w:footnote w:type="continuationSeparator" w:id="0">
    <w:p w14:paraId="3675DFB7" w14:textId="77777777" w:rsidR="008B0DEE" w:rsidRDefault="008B0DEE" w:rsidP="003340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E160B"/>
    <w:multiLevelType w:val="hybridMultilevel"/>
    <w:tmpl w:val="9648DE2A"/>
    <w:lvl w:ilvl="0" w:tplc="9C92263E">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12C2F4F"/>
    <w:multiLevelType w:val="multilevel"/>
    <w:tmpl w:val="28C22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C52089"/>
    <w:multiLevelType w:val="multilevel"/>
    <w:tmpl w:val="C1D21EC6"/>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2A418D"/>
    <w:multiLevelType w:val="multilevel"/>
    <w:tmpl w:val="DF3207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77433B"/>
    <w:multiLevelType w:val="multilevel"/>
    <w:tmpl w:val="ED580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657C68"/>
    <w:multiLevelType w:val="multilevel"/>
    <w:tmpl w:val="F1AA8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302EB"/>
    <w:multiLevelType w:val="multilevel"/>
    <w:tmpl w:val="255C9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117527"/>
    <w:multiLevelType w:val="multilevel"/>
    <w:tmpl w:val="4B36A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F05080"/>
    <w:multiLevelType w:val="multilevel"/>
    <w:tmpl w:val="155819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9736665"/>
    <w:multiLevelType w:val="multilevel"/>
    <w:tmpl w:val="E4C4B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DF1FE2"/>
    <w:multiLevelType w:val="multilevel"/>
    <w:tmpl w:val="B27E0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F62A6C"/>
    <w:multiLevelType w:val="multilevel"/>
    <w:tmpl w:val="4684A2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2CD7C5C"/>
    <w:multiLevelType w:val="multilevel"/>
    <w:tmpl w:val="3170F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E876BD"/>
    <w:multiLevelType w:val="multilevel"/>
    <w:tmpl w:val="F1E68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335DB1"/>
    <w:multiLevelType w:val="multilevel"/>
    <w:tmpl w:val="49106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391B05"/>
    <w:multiLevelType w:val="multilevel"/>
    <w:tmpl w:val="AA4CC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D4564D"/>
    <w:multiLevelType w:val="multilevel"/>
    <w:tmpl w:val="FCB8C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ABC3857"/>
    <w:multiLevelType w:val="multilevel"/>
    <w:tmpl w:val="5770B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C305678"/>
    <w:multiLevelType w:val="multilevel"/>
    <w:tmpl w:val="125CC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CD5136B"/>
    <w:multiLevelType w:val="hybridMultilevel"/>
    <w:tmpl w:val="472CBD5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8209CA"/>
    <w:multiLevelType w:val="hybridMultilevel"/>
    <w:tmpl w:val="7E701F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7708C7"/>
    <w:multiLevelType w:val="multilevel"/>
    <w:tmpl w:val="FB00BD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A8D73AF"/>
    <w:multiLevelType w:val="multilevel"/>
    <w:tmpl w:val="9BBE3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DD376BD"/>
    <w:multiLevelType w:val="multilevel"/>
    <w:tmpl w:val="03C2A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191082A"/>
    <w:multiLevelType w:val="multilevel"/>
    <w:tmpl w:val="C66CA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597618D"/>
    <w:multiLevelType w:val="multilevel"/>
    <w:tmpl w:val="388E2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9866C94"/>
    <w:multiLevelType w:val="hybridMultilevel"/>
    <w:tmpl w:val="88DE4B1C"/>
    <w:lvl w:ilvl="0" w:tplc="3A06863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CE35B55"/>
    <w:multiLevelType w:val="hybridMultilevel"/>
    <w:tmpl w:val="2D1C12B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D237C36"/>
    <w:multiLevelType w:val="multilevel"/>
    <w:tmpl w:val="E8F6C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02274334">
    <w:abstractNumId w:val="19"/>
  </w:num>
  <w:num w:numId="2" w16cid:durableId="242759986">
    <w:abstractNumId w:val="20"/>
  </w:num>
  <w:num w:numId="3" w16cid:durableId="888758637">
    <w:abstractNumId w:val="21"/>
  </w:num>
  <w:num w:numId="4" w16cid:durableId="1299721663">
    <w:abstractNumId w:val="14"/>
  </w:num>
  <w:num w:numId="5" w16cid:durableId="1698463570">
    <w:abstractNumId w:val="16"/>
  </w:num>
  <w:num w:numId="6" w16cid:durableId="441730363">
    <w:abstractNumId w:val="5"/>
  </w:num>
  <w:num w:numId="7" w16cid:durableId="1225482001">
    <w:abstractNumId w:val="15"/>
  </w:num>
  <w:num w:numId="8" w16cid:durableId="645861419">
    <w:abstractNumId w:val="4"/>
  </w:num>
  <w:num w:numId="9" w16cid:durableId="1267157923">
    <w:abstractNumId w:val="7"/>
  </w:num>
  <w:num w:numId="10" w16cid:durableId="1141848470">
    <w:abstractNumId w:val="24"/>
  </w:num>
  <w:num w:numId="11" w16cid:durableId="1462461339">
    <w:abstractNumId w:val="6"/>
  </w:num>
  <w:num w:numId="12" w16cid:durableId="2079087585">
    <w:abstractNumId w:val="12"/>
  </w:num>
  <w:num w:numId="13" w16cid:durableId="2043550750">
    <w:abstractNumId w:val="1"/>
  </w:num>
  <w:num w:numId="14" w16cid:durableId="856235781">
    <w:abstractNumId w:val="10"/>
  </w:num>
  <w:num w:numId="15" w16cid:durableId="807404090">
    <w:abstractNumId w:val="18"/>
  </w:num>
  <w:num w:numId="16" w16cid:durableId="2067753526">
    <w:abstractNumId w:val="23"/>
  </w:num>
  <w:num w:numId="17" w16cid:durableId="1805462713">
    <w:abstractNumId w:val="9"/>
  </w:num>
  <w:num w:numId="18" w16cid:durableId="41058155">
    <w:abstractNumId w:val="25"/>
  </w:num>
  <w:num w:numId="19" w16cid:durableId="1722628306">
    <w:abstractNumId w:val="22"/>
  </w:num>
  <w:num w:numId="20" w16cid:durableId="968048092">
    <w:abstractNumId w:val="17"/>
  </w:num>
  <w:num w:numId="21" w16cid:durableId="1308172009">
    <w:abstractNumId w:val="13"/>
  </w:num>
  <w:num w:numId="22" w16cid:durableId="1515027076">
    <w:abstractNumId w:val="28"/>
  </w:num>
  <w:num w:numId="23" w16cid:durableId="573010557">
    <w:abstractNumId w:val="8"/>
  </w:num>
  <w:num w:numId="24" w16cid:durableId="406658640">
    <w:abstractNumId w:val="3"/>
  </w:num>
  <w:num w:numId="25" w16cid:durableId="1576667979">
    <w:abstractNumId w:val="11"/>
  </w:num>
  <w:num w:numId="26" w16cid:durableId="1346248820">
    <w:abstractNumId w:val="27"/>
  </w:num>
  <w:num w:numId="27" w16cid:durableId="1272207960">
    <w:abstractNumId w:val="0"/>
  </w:num>
  <w:num w:numId="28" w16cid:durableId="324170450">
    <w:abstractNumId w:val="26"/>
  </w:num>
  <w:num w:numId="29" w16cid:durableId="5832244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B4856"/>
    <w:rsid w:val="0000006E"/>
    <w:rsid w:val="000060AE"/>
    <w:rsid w:val="000127C3"/>
    <w:rsid w:val="00013648"/>
    <w:rsid w:val="0005164A"/>
    <w:rsid w:val="000555B5"/>
    <w:rsid w:val="00065530"/>
    <w:rsid w:val="000A044F"/>
    <w:rsid w:val="000B1434"/>
    <w:rsid w:val="000B2F07"/>
    <w:rsid w:val="000B5C13"/>
    <w:rsid w:val="000D4FB6"/>
    <w:rsid w:val="001022FA"/>
    <w:rsid w:val="00103D14"/>
    <w:rsid w:val="001664BB"/>
    <w:rsid w:val="001A3318"/>
    <w:rsid w:val="001A72A2"/>
    <w:rsid w:val="001B74AB"/>
    <w:rsid w:val="001C6D1F"/>
    <w:rsid w:val="00212A14"/>
    <w:rsid w:val="00214B00"/>
    <w:rsid w:val="002209FB"/>
    <w:rsid w:val="00223466"/>
    <w:rsid w:val="002254AB"/>
    <w:rsid w:val="00240C05"/>
    <w:rsid w:val="00250147"/>
    <w:rsid w:val="00251594"/>
    <w:rsid w:val="00262B6A"/>
    <w:rsid w:val="00267A23"/>
    <w:rsid w:val="00270380"/>
    <w:rsid w:val="00273909"/>
    <w:rsid w:val="00276C96"/>
    <w:rsid w:val="00281D35"/>
    <w:rsid w:val="002A7829"/>
    <w:rsid w:val="002B71D7"/>
    <w:rsid w:val="002C636B"/>
    <w:rsid w:val="002D4BD6"/>
    <w:rsid w:val="00307DA7"/>
    <w:rsid w:val="003139A2"/>
    <w:rsid w:val="00323A31"/>
    <w:rsid w:val="0033136C"/>
    <w:rsid w:val="003340AF"/>
    <w:rsid w:val="00335866"/>
    <w:rsid w:val="00351A59"/>
    <w:rsid w:val="00381547"/>
    <w:rsid w:val="003865D8"/>
    <w:rsid w:val="003D5E7C"/>
    <w:rsid w:val="00413B1F"/>
    <w:rsid w:val="004155E4"/>
    <w:rsid w:val="004A3194"/>
    <w:rsid w:val="004A5292"/>
    <w:rsid w:val="004B4F2B"/>
    <w:rsid w:val="00533E96"/>
    <w:rsid w:val="00534128"/>
    <w:rsid w:val="00547868"/>
    <w:rsid w:val="00556DA1"/>
    <w:rsid w:val="005A2B81"/>
    <w:rsid w:val="005C6025"/>
    <w:rsid w:val="005D7EE3"/>
    <w:rsid w:val="005E0C6E"/>
    <w:rsid w:val="005F323C"/>
    <w:rsid w:val="005F5149"/>
    <w:rsid w:val="005F5F0C"/>
    <w:rsid w:val="005F6986"/>
    <w:rsid w:val="006056E3"/>
    <w:rsid w:val="00633697"/>
    <w:rsid w:val="006473D6"/>
    <w:rsid w:val="00654093"/>
    <w:rsid w:val="0066170F"/>
    <w:rsid w:val="006C53EF"/>
    <w:rsid w:val="006D2AE1"/>
    <w:rsid w:val="006F3581"/>
    <w:rsid w:val="00724AAA"/>
    <w:rsid w:val="00726FF7"/>
    <w:rsid w:val="007338A8"/>
    <w:rsid w:val="00756164"/>
    <w:rsid w:val="00762719"/>
    <w:rsid w:val="007640AA"/>
    <w:rsid w:val="00786818"/>
    <w:rsid w:val="007D65A1"/>
    <w:rsid w:val="00814697"/>
    <w:rsid w:val="00846342"/>
    <w:rsid w:val="00870D3C"/>
    <w:rsid w:val="00874FA9"/>
    <w:rsid w:val="008B0DEE"/>
    <w:rsid w:val="008D6783"/>
    <w:rsid w:val="008E1C13"/>
    <w:rsid w:val="00900D1A"/>
    <w:rsid w:val="009043E6"/>
    <w:rsid w:val="00912E27"/>
    <w:rsid w:val="00973490"/>
    <w:rsid w:val="009871C4"/>
    <w:rsid w:val="0099597C"/>
    <w:rsid w:val="00996010"/>
    <w:rsid w:val="009A26D3"/>
    <w:rsid w:val="00A1168E"/>
    <w:rsid w:val="00A14040"/>
    <w:rsid w:val="00A40BF0"/>
    <w:rsid w:val="00A62C1F"/>
    <w:rsid w:val="00A85382"/>
    <w:rsid w:val="00A95B01"/>
    <w:rsid w:val="00AA3483"/>
    <w:rsid w:val="00AE3146"/>
    <w:rsid w:val="00AF1FDB"/>
    <w:rsid w:val="00AF475D"/>
    <w:rsid w:val="00B32A09"/>
    <w:rsid w:val="00B5006C"/>
    <w:rsid w:val="00B60057"/>
    <w:rsid w:val="00B72272"/>
    <w:rsid w:val="00BF7F89"/>
    <w:rsid w:val="00CB30EE"/>
    <w:rsid w:val="00CB33DC"/>
    <w:rsid w:val="00CB6FE5"/>
    <w:rsid w:val="00D3448A"/>
    <w:rsid w:val="00D621D3"/>
    <w:rsid w:val="00DA1598"/>
    <w:rsid w:val="00DB1849"/>
    <w:rsid w:val="00DB706B"/>
    <w:rsid w:val="00DC42A2"/>
    <w:rsid w:val="00DC5633"/>
    <w:rsid w:val="00DC7368"/>
    <w:rsid w:val="00DD3E0C"/>
    <w:rsid w:val="00DD78E1"/>
    <w:rsid w:val="00DE6A69"/>
    <w:rsid w:val="00DF57C0"/>
    <w:rsid w:val="00E526C4"/>
    <w:rsid w:val="00E53E0D"/>
    <w:rsid w:val="00E67D5F"/>
    <w:rsid w:val="00E969AB"/>
    <w:rsid w:val="00EA17BB"/>
    <w:rsid w:val="00EA1DFA"/>
    <w:rsid w:val="00EB54CD"/>
    <w:rsid w:val="00ED0E6A"/>
    <w:rsid w:val="00F04719"/>
    <w:rsid w:val="00F26FF8"/>
    <w:rsid w:val="00F72E1C"/>
    <w:rsid w:val="00FB4856"/>
    <w:rsid w:val="00FC40D6"/>
    <w:rsid w:val="00FD21C1"/>
    <w:rsid w:val="00FD30F3"/>
    <w:rsid w:val="00FD486D"/>
    <w:rsid w:val="00FE3A32"/>
    <w:rsid w:val="00FE6C4E"/>
    <w:rsid w:val="00FF155A"/>
    <w:rsid w:val="00FF25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9C46F"/>
  <w15:docId w15:val="{74C0F42F-1A3A-42D8-A441-B0A1884E4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5F0C"/>
  </w:style>
  <w:style w:type="paragraph" w:styleId="Heading1">
    <w:name w:val="heading 1"/>
    <w:basedOn w:val="Normal"/>
    <w:link w:val="Heading1Char"/>
    <w:uiPriority w:val="9"/>
    <w:qFormat/>
    <w:rsid w:val="00EA1DF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3865D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EA1DF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FB4856"/>
    <w:pPr>
      <w:spacing w:after="23" w:line="248" w:lineRule="auto"/>
      <w:ind w:left="720" w:right="6" w:hanging="10"/>
      <w:contextualSpacing/>
      <w:jc w:val="both"/>
    </w:pPr>
    <w:rPr>
      <w:rFonts w:ascii="Calibri" w:eastAsia="Calibri" w:hAnsi="Calibri" w:cs="Calibri"/>
      <w:color w:val="000000"/>
      <w:sz w:val="21"/>
    </w:rPr>
  </w:style>
  <w:style w:type="character" w:customStyle="1" w:styleId="ListParagraphChar">
    <w:name w:val="List Paragraph Char"/>
    <w:link w:val="ListParagraph"/>
    <w:rsid w:val="00FB4856"/>
    <w:rPr>
      <w:rFonts w:ascii="Calibri" w:eastAsia="Calibri" w:hAnsi="Calibri" w:cs="Calibri"/>
      <w:color w:val="000000"/>
      <w:sz w:val="21"/>
    </w:rPr>
  </w:style>
  <w:style w:type="character" w:customStyle="1" w:styleId="Heading1Char">
    <w:name w:val="Heading 1 Char"/>
    <w:basedOn w:val="DefaultParagraphFont"/>
    <w:link w:val="Heading1"/>
    <w:uiPriority w:val="9"/>
    <w:rsid w:val="00EA1DFA"/>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EA1DFA"/>
    <w:rPr>
      <w:rFonts w:ascii="Times New Roman" w:eastAsia="Times New Roman" w:hAnsi="Times New Roman" w:cs="Times New Roman"/>
      <w:b/>
      <w:bCs/>
      <w:sz w:val="27"/>
      <w:szCs w:val="27"/>
    </w:rPr>
  </w:style>
  <w:style w:type="paragraph" w:styleId="NormalWeb">
    <w:name w:val="Normal (Web)"/>
    <w:basedOn w:val="Normal"/>
    <w:uiPriority w:val="99"/>
    <w:unhideWhenUsed/>
    <w:rsid w:val="00EA1DF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A1DFA"/>
    <w:rPr>
      <w:b/>
      <w:bCs/>
    </w:rPr>
  </w:style>
  <w:style w:type="character" w:styleId="Emphasis">
    <w:name w:val="Emphasis"/>
    <w:basedOn w:val="DefaultParagraphFont"/>
    <w:uiPriority w:val="20"/>
    <w:qFormat/>
    <w:rsid w:val="00EA1DFA"/>
    <w:rPr>
      <w:i/>
      <w:iCs/>
    </w:rPr>
  </w:style>
  <w:style w:type="character" w:customStyle="1" w:styleId="katex-mathml">
    <w:name w:val="katex-mathml"/>
    <w:basedOn w:val="DefaultParagraphFont"/>
    <w:rsid w:val="00EA1DFA"/>
  </w:style>
  <w:style w:type="character" w:customStyle="1" w:styleId="mord">
    <w:name w:val="mord"/>
    <w:basedOn w:val="DefaultParagraphFont"/>
    <w:rsid w:val="00EA1DFA"/>
  </w:style>
  <w:style w:type="character" w:customStyle="1" w:styleId="mrel">
    <w:name w:val="mrel"/>
    <w:basedOn w:val="DefaultParagraphFont"/>
    <w:rsid w:val="00EA1DFA"/>
  </w:style>
  <w:style w:type="character" w:customStyle="1" w:styleId="mbin">
    <w:name w:val="mbin"/>
    <w:basedOn w:val="DefaultParagraphFont"/>
    <w:rsid w:val="00EA1DFA"/>
  </w:style>
  <w:style w:type="character" w:customStyle="1" w:styleId="mopen">
    <w:name w:val="mopen"/>
    <w:basedOn w:val="DefaultParagraphFont"/>
    <w:rsid w:val="00EA1DFA"/>
  </w:style>
  <w:style w:type="character" w:customStyle="1" w:styleId="mclose">
    <w:name w:val="mclose"/>
    <w:basedOn w:val="DefaultParagraphFont"/>
    <w:rsid w:val="00EA1DFA"/>
  </w:style>
  <w:style w:type="character" w:customStyle="1" w:styleId="Heading2Char">
    <w:name w:val="Heading 2 Char"/>
    <w:basedOn w:val="DefaultParagraphFont"/>
    <w:link w:val="Heading2"/>
    <w:uiPriority w:val="9"/>
    <w:semiHidden/>
    <w:rsid w:val="003865D8"/>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semiHidden/>
    <w:unhideWhenUsed/>
    <w:rsid w:val="00323A31"/>
    <w:rPr>
      <w:color w:val="0000FF"/>
      <w:u w:val="single"/>
    </w:rPr>
  </w:style>
  <w:style w:type="paragraph" w:styleId="Header">
    <w:name w:val="header"/>
    <w:basedOn w:val="Normal"/>
    <w:link w:val="HeaderChar"/>
    <w:uiPriority w:val="99"/>
    <w:semiHidden/>
    <w:unhideWhenUsed/>
    <w:rsid w:val="003340A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340AF"/>
  </w:style>
  <w:style w:type="paragraph" w:styleId="Footer">
    <w:name w:val="footer"/>
    <w:basedOn w:val="Normal"/>
    <w:link w:val="FooterChar"/>
    <w:uiPriority w:val="99"/>
    <w:unhideWhenUsed/>
    <w:rsid w:val="003340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40AF"/>
  </w:style>
  <w:style w:type="character" w:customStyle="1" w:styleId="sw">
    <w:name w:val="sw"/>
    <w:basedOn w:val="DefaultParagraphFont"/>
    <w:qFormat/>
    <w:rsid w:val="00DC5633"/>
  </w:style>
  <w:style w:type="table" w:styleId="TableGrid">
    <w:name w:val="Table Grid"/>
    <w:basedOn w:val="TableNormal"/>
    <w:uiPriority w:val="59"/>
    <w:rsid w:val="005F698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
    <w:name w:val="Light Shading"/>
    <w:basedOn w:val="TableNormal"/>
    <w:uiPriority w:val="60"/>
    <w:rsid w:val="0025014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752454">
      <w:bodyDiv w:val="1"/>
      <w:marLeft w:val="0"/>
      <w:marRight w:val="0"/>
      <w:marTop w:val="0"/>
      <w:marBottom w:val="0"/>
      <w:divBdr>
        <w:top w:val="none" w:sz="0" w:space="0" w:color="auto"/>
        <w:left w:val="none" w:sz="0" w:space="0" w:color="auto"/>
        <w:bottom w:val="none" w:sz="0" w:space="0" w:color="auto"/>
        <w:right w:val="none" w:sz="0" w:space="0" w:color="auto"/>
      </w:divBdr>
    </w:div>
    <w:div w:id="1087386624">
      <w:bodyDiv w:val="1"/>
      <w:marLeft w:val="0"/>
      <w:marRight w:val="0"/>
      <w:marTop w:val="0"/>
      <w:marBottom w:val="0"/>
      <w:divBdr>
        <w:top w:val="none" w:sz="0" w:space="0" w:color="auto"/>
        <w:left w:val="none" w:sz="0" w:space="0" w:color="auto"/>
        <w:bottom w:val="none" w:sz="0" w:space="0" w:color="auto"/>
        <w:right w:val="none" w:sz="0" w:space="0" w:color="auto"/>
      </w:divBdr>
      <w:divsChild>
        <w:div w:id="2131899518">
          <w:marLeft w:val="0"/>
          <w:marRight w:val="0"/>
          <w:marTop w:val="0"/>
          <w:marBottom w:val="0"/>
          <w:divBdr>
            <w:top w:val="none" w:sz="0" w:space="0" w:color="auto"/>
            <w:left w:val="none" w:sz="0" w:space="0" w:color="auto"/>
            <w:bottom w:val="none" w:sz="0" w:space="0" w:color="auto"/>
            <w:right w:val="none" w:sz="0" w:space="0" w:color="auto"/>
          </w:divBdr>
          <w:divsChild>
            <w:div w:id="141387179">
              <w:marLeft w:val="0"/>
              <w:marRight w:val="0"/>
              <w:marTop w:val="0"/>
              <w:marBottom w:val="0"/>
              <w:divBdr>
                <w:top w:val="none" w:sz="0" w:space="0" w:color="auto"/>
                <w:left w:val="none" w:sz="0" w:space="0" w:color="auto"/>
                <w:bottom w:val="none" w:sz="0" w:space="0" w:color="auto"/>
                <w:right w:val="none" w:sz="0" w:space="0" w:color="auto"/>
              </w:divBdr>
              <w:divsChild>
                <w:div w:id="1306861994">
                  <w:marLeft w:val="0"/>
                  <w:marRight w:val="0"/>
                  <w:marTop w:val="0"/>
                  <w:marBottom w:val="0"/>
                  <w:divBdr>
                    <w:top w:val="none" w:sz="0" w:space="0" w:color="auto"/>
                    <w:left w:val="none" w:sz="0" w:space="0" w:color="auto"/>
                    <w:bottom w:val="none" w:sz="0" w:space="0" w:color="auto"/>
                    <w:right w:val="none" w:sz="0" w:space="0" w:color="auto"/>
                  </w:divBdr>
                  <w:divsChild>
                    <w:div w:id="291792758">
                      <w:marLeft w:val="0"/>
                      <w:marRight w:val="0"/>
                      <w:marTop w:val="0"/>
                      <w:marBottom w:val="0"/>
                      <w:divBdr>
                        <w:top w:val="none" w:sz="0" w:space="0" w:color="auto"/>
                        <w:left w:val="none" w:sz="0" w:space="0" w:color="auto"/>
                        <w:bottom w:val="none" w:sz="0" w:space="0" w:color="auto"/>
                        <w:right w:val="none" w:sz="0" w:space="0" w:color="auto"/>
                      </w:divBdr>
                      <w:divsChild>
                        <w:div w:id="1175805112">
                          <w:marLeft w:val="0"/>
                          <w:marRight w:val="0"/>
                          <w:marTop w:val="0"/>
                          <w:marBottom w:val="0"/>
                          <w:divBdr>
                            <w:top w:val="none" w:sz="0" w:space="0" w:color="auto"/>
                            <w:left w:val="none" w:sz="0" w:space="0" w:color="auto"/>
                            <w:bottom w:val="none" w:sz="0" w:space="0" w:color="auto"/>
                            <w:right w:val="none" w:sz="0" w:space="0" w:color="auto"/>
                          </w:divBdr>
                          <w:divsChild>
                            <w:div w:id="1908568484">
                              <w:marLeft w:val="0"/>
                              <w:marRight w:val="0"/>
                              <w:marTop w:val="0"/>
                              <w:marBottom w:val="0"/>
                              <w:divBdr>
                                <w:top w:val="none" w:sz="0" w:space="0" w:color="auto"/>
                                <w:left w:val="none" w:sz="0" w:space="0" w:color="auto"/>
                                <w:bottom w:val="none" w:sz="0" w:space="0" w:color="auto"/>
                                <w:right w:val="none" w:sz="0" w:space="0" w:color="auto"/>
                              </w:divBdr>
                              <w:divsChild>
                                <w:div w:id="1330253428">
                                  <w:marLeft w:val="0"/>
                                  <w:marRight w:val="0"/>
                                  <w:marTop w:val="0"/>
                                  <w:marBottom w:val="0"/>
                                  <w:divBdr>
                                    <w:top w:val="none" w:sz="0" w:space="0" w:color="auto"/>
                                    <w:left w:val="none" w:sz="0" w:space="0" w:color="auto"/>
                                    <w:bottom w:val="none" w:sz="0" w:space="0" w:color="auto"/>
                                    <w:right w:val="none" w:sz="0" w:space="0" w:color="auto"/>
                                  </w:divBdr>
                                  <w:divsChild>
                                    <w:div w:id="802623551">
                                      <w:marLeft w:val="0"/>
                                      <w:marRight w:val="0"/>
                                      <w:marTop w:val="0"/>
                                      <w:marBottom w:val="0"/>
                                      <w:divBdr>
                                        <w:top w:val="none" w:sz="0" w:space="0" w:color="auto"/>
                                        <w:left w:val="none" w:sz="0" w:space="0" w:color="auto"/>
                                        <w:bottom w:val="none" w:sz="0" w:space="0" w:color="auto"/>
                                        <w:right w:val="none" w:sz="0" w:space="0" w:color="auto"/>
                                      </w:divBdr>
                                    </w:div>
                                  </w:divsChild>
                                </w:div>
                                <w:div w:id="1317296335">
                                  <w:marLeft w:val="0"/>
                                  <w:marRight w:val="0"/>
                                  <w:marTop w:val="0"/>
                                  <w:marBottom w:val="0"/>
                                  <w:divBdr>
                                    <w:top w:val="none" w:sz="0" w:space="0" w:color="auto"/>
                                    <w:left w:val="none" w:sz="0" w:space="0" w:color="auto"/>
                                    <w:bottom w:val="none" w:sz="0" w:space="0" w:color="auto"/>
                                    <w:right w:val="none" w:sz="0" w:space="0" w:color="auto"/>
                                  </w:divBdr>
                                  <w:divsChild>
                                    <w:div w:id="92021421">
                                      <w:marLeft w:val="0"/>
                                      <w:marRight w:val="0"/>
                                      <w:marTop w:val="0"/>
                                      <w:marBottom w:val="0"/>
                                      <w:divBdr>
                                        <w:top w:val="none" w:sz="0" w:space="0" w:color="auto"/>
                                        <w:left w:val="none" w:sz="0" w:space="0" w:color="auto"/>
                                        <w:bottom w:val="none" w:sz="0" w:space="0" w:color="auto"/>
                                        <w:right w:val="none" w:sz="0" w:space="0" w:color="auto"/>
                                      </w:divBdr>
                                    </w:div>
                                  </w:divsChild>
                                </w:div>
                                <w:div w:id="925387391">
                                  <w:marLeft w:val="0"/>
                                  <w:marRight w:val="0"/>
                                  <w:marTop w:val="0"/>
                                  <w:marBottom w:val="0"/>
                                  <w:divBdr>
                                    <w:top w:val="none" w:sz="0" w:space="0" w:color="auto"/>
                                    <w:left w:val="none" w:sz="0" w:space="0" w:color="auto"/>
                                    <w:bottom w:val="none" w:sz="0" w:space="0" w:color="auto"/>
                                    <w:right w:val="none" w:sz="0" w:space="0" w:color="auto"/>
                                  </w:divBdr>
                                  <w:divsChild>
                                    <w:div w:id="532770668">
                                      <w:marLeft w:val="0"/>
                                      <w:marRight w:val="0"/>
                                      <w:marTop w:val="0"/>
                                      <w:marBottom w:val="0"/>
                                      <w:divBdr>
                                        <w:top w:val="none" w:sz="0" w:space="0" w:color="auto"/>
                                        <w:left w:val="none" w:sz="0" w:space="0" w:color="auto"/>
                                        <w:bottom w:val="none" w:sz="0" w:space="0" w:color="auto"/>
                                        <w:right w:val="none" w:sz="0" w:space="0" w:color="auto"/>
                                      </w:divBdr>
                                    </w:div>
                                  </w:divsChild>
                                </w:div>
                                <w:div w:id="1215384101">
                                  <w:marLeft w:val="0"/>
                                  <w:marRight w:val="0"/>
                                  <w:marTop w:val="0"/>
                                  <w:marBottom w:val="0"/>
                                  <w:divBdr>
                                    <w:top w:val="none" w:sz="0" w:space="0" w:color="auto"/>
                                    <w:left w:val="none" w:sz="0" w:space="0" w:color="auto"/>
                                    <w:bottom w:val="none" w:sz="0" w:space="0" w:color="auto"/>
                                    <w:right w:val="none" w:sz="0" w:space="0" w:color="auto"/>
                                  </w:divBdr>
                                  <w:divsChild>
                                    <w:div w:id="116529729">
                                      <w:marLeft w:val="0"/>
                                      <w:marRight w:val="0"/>
                                      <w:marTop w:val="0"/>
                                      <w:marBottom w:val="0"/>
                                      <w:divBdr>
                                        <w:top w:val="none" w:sz="0" w:space="0" w:color="auto"/>
                                        <w:left w:val="none" w:sz="0" w:space="0" w:color="auto"/>
                                        <w:bottom w:val="none" w:sz="0" w:space="0" w:color="auto"/>
                                        <w:right w:val="none" w:sz="0" w:space="0" w:color="auto"/>
                                      </w:divBdr>
                                    </w:div>
                                  </w:divsChild>
                                </w:div>
                                <w:div w:id="540095783">
                                  <w:marLeft w:val="0"/>
                                  <w:marRight w:val="0"/>
                                  <w:marTop w:val="0"/>
                                  <w:marBottom w:val="0"/>
                                  <w:divBdr>
                                    <w:top w:val="none" w:sz="0" w:space="0" w:color="auto"/>
                                    <w:left w:val="none" w:sz="0" w:space="0" w:color="auto"/>
                                    <w:bottom w:val="none" w:sz="0" w:space="0" w:color="auto"/>
                                    <w:right w:val="none" w:sz="0" w:space="0" w:color="auto"/>
                                  </w:divBdr>
                                  <w:divsChild>
                                    <w:div w:id="140852576">
                                      <w:marLeft w:val="0"/>
                                      <w:marRight w:val="0"/>
                                      <w:marTop w:val="0"/>
                                      <w:marBottom w:val="0"/>
                                      <w:divBdr>
                                        <w:top w:val="none" w:sz="0" w:space="0" w:color="auto"/>
                                        <w:left w:val="none" w:sz="0" w:space="0" w:color="auto"/>
                                        <w:bottom w:val="none" w:sz="0" w:space="0" w:color="auto"/>
                                        <w:right w:val="none" w:sz="0" w:space="0" w:color="auto"/>
                                      </w:divBdr>
                                    </w:div>
                                  </w:divsChild>
                                </w:div>
                                <w:div w:id="1060328419">
                                  <w:marLeft w:val="0"/>
                                  <w:marRight w:val="0"/>
                                  <w:marTop w:val="0"/>
                                  <w:marBottom w:val="0"/>
                                  <w:divBdr>
                                    <w:top w:val="none" w:sz="0" w:space="0" w:color="auto"/>
                                    <w:left w:val="none" w:sz="0" w:space="0" w:color="auto"/>
                                    <w:bottom w:val="none" w:sz="0" w:space="0" w:color="auto"/>
                                    <w:right w:val="none" w:sz="0" w:space="0" w:color="auto"/>
                                  </w:divBdr>
                                  <w:divsChild>
                                    <w:div w:id="593318252">
                                      <w:marLeft w:val="0"/>
                                      <w:marRight w:val="0"/>
                                      <w:marTop w:val="0"/>
                                      <w:marBottom w:val="0"/>
                                      <w:divBdr>
                                        <w:top w:val="none" w:sz="0" w:space="0" w:color="auto"/>
                                        <w:left w:val="none" w:sz="0" w:space="0" w:color="auto"/>
                                        <w:bottom w:val="none" w:sz="0" w:space="0" w:color="auto"/>
                                        <w:right w:val="none" w:sz="0" w:space="0" w:color="auto"/>
                                      </w:divBdr>
                                    </w:div>
                                  </w:divsChild>
                                </w:div>
                                <w:div w:id="1069041808">
                                  <w:marLeft w:val="0"/>
                                  <w:marRight w:val="0"/>
                                  <w:marTop w:val="0"/>
                                  <w:marBottom w:val="0"/>
                                  <w:divBdr>
                                    <w:top w:val="none" w:sz="0" w:space="0" w:color="auto"/>
                                    <w:left w:val="none" w:sz="0" w:space="0" w:color="auto"/>
                                    <w:bottom w:val="none" w:sz="0" w:space="0" w:color="auto"/>
                                    <w:right w:val="none" w:sz="0" w:space="0" w:color="auto"/>
                                  </w:divBdr>
                                  <w:divsChild>
                                    <w:div w:id="1120535140">
                                      <w:marLeft w:val="0"/>
                                      <w:marRight w:val="0"/>
                                      <w:marTop w:val="0"/>
                                      <w:marBottom w:val="0"/>
                                      <w:divBdr>
                                        <w:top w:val="none" w:sz="0" w:space="0" w:color="auto"/>
                                        <w:left w:val="none" w:sz="0" w:space="0" w:color="auto"/>
                                        <w:bottom w:val="none" w:sz="0" w:space="0" w:color="auto"/>
                                        <w:right w:val="none" w:sz="0" w:space="0" w:color="auto"/>
                                      </w:divBdr>
                                    </w:div>
                                  </w:divsChild>
                                </w:div>
                                <w:div w:id="490608924">
                                  <w:marLeft w:val="0"/>
                                  <w:marRight w:val="0"/>
                                  <w:marTop w:val="0"/>
                                  <w:marBottom w:val="0"/>
                                  <w:divBdr>
                                    <w:top w:val="none" w:sz="0" w:space="0" w:color="auto"/>
                                    <w:left w:val="none" w:sz="0" w:space="0" w:color="auto"/>
                                    <w:bottom w:val="none" w:sz="0" w:space="0" w:color="auto"/>
                                    <w:right w:val="none" w:sz="0" w:space="0" w:color="auto"/>
                                  </w:divBdr>
                                  <w:divsChild>
                                    <w:div w:id="1599634291">
                                      <w:marLeft w:val="0"/>
                                      <w:marRight w:val="0"/>
                                      <w:marTop w:val="0"/>
                                      <w:marBottom w:val="0"/>
                                      <w:divBdr>
                                        <w:top w:val="none" w:sz="0" w:space="0" w:color="auto"/>
                                        <w:left w:val="none" w:sz="0" w:space="0" w:color="auto"/>
                                        <w:bottom w:val="none" w:sz="0" w:space="0" w:color="auto"/>
                                        <w:right w:val="none" w:sz="0" w:space="0" w:color="auto"/>
                                      </w:divBdr>
                                    </w:div>
                                  </w:divsChild>
                                </w:div>
                                <w:div w:id="1603681957">
                                  <w:marLeft w:val="0"/>
                                  <w:marRight w:val="0"/>
                                  <w:marTop w:val="0"/>
                                  <w:marBottom w:val="0"/>
                                  <w:divBdr>
                                    <w:top w:val="none" w:sz="0" w:space="0" w:color="auto"/>
                                    <w:left w:val="none" w:sz="0" w:space="0" w:color="auto"/>
                                    <w:bottom w:val="none" w:sz="0" w:space="0" w:color="auto"/>
                                    <w:right w:val="none" w:sz="0" w:space="0" w:color="auto"/>
                                  </w:divBdr>
                                  <w:divsChild>
                                    <w:div w:id="1701591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6046068">
          <w:marLeft w:val="0"/>
          <w:marRight w:val="0"/>
          <w:marTop w:val="0"/>
          <w:marBottom w:val="0"/>
          <w:divBdr>
            <w:top w:val="none" w:sz="0" w:space="0" w:color="auto"/>
            <w:left w:val="none" w:sz="0" w:space="0" w:color="auto"/>
            <w:bottom w:val="none" w:sz="0" w:space="0" w:color="auto"/>
            <w:right w:val="none" w:sz="0" w:space="0" w:color="auto"/>
          </w:divBdr>
          <w:divsChild>
            <w:div w:id="2092772725">
              <w:marLeft w:val="0"/>
              <w:marRight w:val="0"/>
              <w:marTop w:val="0"/>
              <w:marBottom w:val="0"/>
              <w:divBdr>
                <w:top w:val="none" w:sz="0" w:space="0" w:color="auto"/>
                <w:left w:val="none" w:sz="0" w:space="0" w:color="auto"/>
                <w:bottom w:val="none" w:sz="0" w:space="0" w:color="auto"/>
                <w:right w:val="none" w:sz="0" w:space="0" w:color="auto"/>
              </w:divBdr>
              <w:divsChild>
                <w:div w:id="1333411724">
                  <w:marLeft w:val="0"/>
                  <w:marRight w:val="0"/>
                  <w:marTop w:val="0"/>
                  <w:marBottom w:val="0"/>
                  <w:divBdr>
                    <w:top w:val="none" w:sz="0" w:space="0" w:color="auto"/>
                    <w:left w:val="none" w:sz="0" w:space="0" w:color="auto"/>
                    <w:bottom w:val="none" w:sz="0" w:space="0" w:color="auto"/>
                    <w:right w:val="none" w:sz="0" w:space="0" w:color="auto"/>
                  </w:divBdr>
                  <w:divsChild>
                    <w:div w:id="632902404">
                      <w:marLeft w:val="0"/>
                      <w:marRight w:val="0"/>
                      <w:marTop w:val="0"/>
                      <w:marBottom w:val="0"/>
                      <w:divBdr>
                        <w:top w:val="none" w:sz="0" w:space="0" w:color="auto"/>
                        <w:left w:val="none" w:sz="0" w:space="0" w:color="auto"/>
                        <w:bottom w:val="none" w:sz="0" w:space="0" w:color="auto"/>
                        <w:right w:val="none" w:sz="0" w:space="0" w:color="auto"/>
                      </w:divBdr>
                      <w:divsChild>
                        <w:div w:id="407771642">
                          <w:marLeft w:val="0"/>
                          <w:marRight w:val="0"/>
                          <w:marTop w:val="0"/>
                          <w:marBottom w:val="0"/>
                          <w:divBdr>
                            <w:top w:val="none" w:sz="0" w:space="0" w:color="auto"/>
                            <w:left w:val="none" w:sz="0" w:space="0" w:color="auto"/>
                            <w:bottom w:val="none" w:sz="0" w:space="0" w:color="auto"/>
                            <w:right w:val="none" w:sz="0" w:space="0" w:color="auto"/>
                          </w:divBdr>
                          <w:divsChild>
                            <w:div w:id="2022271030">
                              <w:marLeft w:val="0"/>
                              <w:marRight w:val="0"/>
                              <w:marTop w:val="0"/>
                              <w:marBottom w:val="0"/>
                              <w:divBdr>
                                <w:top w:val="none" w:sz="0" w:space="0" w:color="auto"/>
                                <w:left w:val="none" w:sz="0" w:space="0" w:color="auto"/>
                                <w:bottom w:val="none" w:sz="0" w:space="0" w:color="auto"/>
                                <w:right w:val="none" w:sz="0" w:space="0" w:color="auto"/>
                              </w:divBdr>
                              <w:divsChild>
                                <w:div w:id="134612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7175799">
          <w:marLeft w:val="0"/>
          <w:marRight w:val="0"/>
          <w:marTop w:val="0"/>
          <w:marBottom w:val="0"/>
          <w:divBdr>
            <w:top w:val="none" w:sz="0" w:space="0" w:color="auto"/>
            <w:left w:val="none" w:sz="0" w:space="0" w:color="auto"/>
            <w:bottom w:val="none" w:sz="0" w:space="0" w:color="auto"/>
            <w:right w:val="none" w:sz="0" w:space="0" w:color="auto"/>
          </w:divBdr>
          <w:divsChild>
            <w:div w:id="992685055">
              <w:marLeft w:val="0"/>
              <w:marRight w:val="0"/>
              <w:marTop w:val="0"/>
              <w:marBottom w:val="0"/>
              <w:divBdr>
                <w:top w:val="none" w:sz="0" w:space="0" w:color="auto"/>
                <w:left w:val="none" w:sz="0" w:space="0" w:color="auto"/>
                <w:bottom w:val="none" w:sz="0" w:space="0" w:color="auto"/>
                <w:right w:val="none" w:sz="0" w:space="0" w:color="auto"/>
              </w:divBdr>
              <w:divsChild>
                <w:div w:id="691034240">
                  <w:marLeft w:val="0"/>
                  <w:marRight w:val="0"/>
                  <w:marTop w:val="0"/>
                  <w:marBottom w:val="0"/>
                  <w:divBdr>
                    <w:top w:val="none" w:sz="0" w:space="0" w:color="auto"/>
                    <w:left w:val="none" w:sz="0" w:space="0" w:color="auto"/>
                    <w:bottom w:val="none" w:sz="0" w:space="0" w:color="auto"/>
                    <w:right w:val="none" w:sz="0" w:space="0" w:color="auto"/>
                  </w:divBdr>
                  <w:divsChild>
                    <w:div w:id="35395613">
                      <w:marLeft w:val="0"/>
                      <w:marRight w:val="0"/>
                      <w:marTop w:val="0"/>
                      <w:marBottom w:val="0"/>
                      <w:divBdr>
                        <w:top w:val="none" w:sz="0" w:space="0" w:color="auto"/>
                        <w:left w:val="none" w:sz="0" w:space="0" w:color="auto"/>
                        <w:bottom w:val="none" w:sz="0" w:space="0" w:color="auto"/>
                        <w:right w:val="none" w:sz="0" w:space="0" w:color="auto"/>
                      </w:divBdr>
                      <w:divsChild>
                        <w:div w:id="196049615">
                          <w:marLeft w:val="0"/>
                          <w:marRight w:val="0"/>
                          <w:marTop w:val="0"/>
                          <w:marBottom w:val="0"/>
                          <w:divBdr>
                            <w:top w:val="none" w:sz="0" w:space="0" w:color="auto"/>
                            <w:left w:val="none" w:sz="0" w:space="0" w:color="auto"/>
                            <w:bottom w:val="none" w:sz="0" w:space="0" w:color="auto"/>
                            <w:right w:val="none" w:sz="0" w:space="0" w:color="auto"/>
                          </w:divBdr>
                          <w:divsChild>
                            <w:div w:id="1775200374">
                              <w:marLeft w:val="0"/>
                              <w:marRight w:val="0"/>
                              <w:marTop w:val="0"/>
                              <w:marBottom w:val="0"/>
                              <w:divBdr>
                                <w:top w:val="none" w:sz="0" w:space="0" w:color="auto"/>
                                <w:left w:val="none" w:sz="0" w:space="0" w:color="auto"/>
                                <w:bottom w:val="none" w:sz="0" w:space="0" w:color="auto"/>
                                <w:right w:val="none" w:sz="0" w:space="0" w:color="auto"/>
                              </w:divBdr>
                              <w:divsChild>
                                <w:div w:id="1131172414">
                                  <w:marLeft w:val="0"/>
                                  <w:marRight w:val="0"/>
                                  <w:marTop w:val="0"/>
                                  <w:marBottom w:val="0"/>
                                  <w:divBdr>
                                    <w:top w:val="none" w:sz="0" w:space="0" w:color="auto"/>
                                    <w:left w:val="none" w:sz="0" w:space="0" w:color="auto"/>
                                    <w:bottom w:val="none" w:sz="0" w:space="0" w:color="auto"/>
                                    <w:right w:val="none" w:sz="0" w:space="0" w:color="auto"/>
                                  </w:divBdr>
                                  <w:divsChild>
                                    <w:div w:id="600911897">
                                      <w:marLeft w:val="0"/>
                                      <w:marRight w:val="0"/>
                                      <w:marTop w:val="0"/>
                                      <w:marBottom w:val="0"/>
                                      <w:divBdr>
                                        <w:top w:val="none" w:sz="0" w:space="0" w:color="auto"/>
                                        <w:left w:val="none" w:sz="0" w:space="0" w:color="auto"/>
                                        <w:bottom w:val="none" w:sz="0" w:space="0" w:color="auto"/>
                                        <w:right w:val="none" w:sz="0" w:space="0" w:color="auto"/>
                                      </w:divBdr>
                                    </w:div>
                                  </w:divsChild>
                                </w:div>
                                <w:div w:id="1648363045">
                                  <w:marLeft w:val="0"/>
                                  <w:marRight w:val="0"/>
                                  <w:marTop w:val="0"/>
                                  <w:marBottom w:val="0"/>
                                  <w:divBdr>
                                    <w:top w:val="none" w:sz="0" w:space="0" w:color="auto"/>
                                    <w:left w:val="none" w:sz="0" w:space="0" w:color="auto"/>
                                    <w:bottom w:val="none" w:sz="0" w:space="0" w:color="auto"/>
                                    <w:right w:val="none" w:sz="0" w:space="0" w:color="auto"/>
                                  </w:divBdr>
                                  <w:divsChild>
                                    <w:div w:id="746804352">
                                      <w:marLeft w:val="0"/>
                                      <w:marRight w:val="0"/>
                                      <w:marTop w:val="0"/>
                                      <w:marBottom w:val="0"/>
                                      <w:divBdr>
                                        <w:top w:val="none" w:sz="0" w:space="0" w:color="auto"/>
                                        <w:left w:val="none" w:sz="0" w:space="0" w:color="auto"/>
                                        <w:bottom w:val="none" w:sz="0" w:space="0" w:color="auto"/>
                                        <w:right w:val="none" w:sz="0" w:space="0" w:color="auto"/>
                                      </w:divBdr>
                                    </w:div>
                                  </w:divsChild>
                                </w:div>
                                <w:div w:id="1018116601">
                                  <w:marLeft w:val="0"/>
                                  <w:marRight w:val="0"/>
                                  <w:marTop w:val="0"/>
                                  <w:marBottom w:val="0"/>
                                  <w:divBdr>
                                    <w:top w:val="none" w:sz="0" w:space="0" w:color="auto"/>
                                    <w:left w:val="none" w:sz="0" w:space="0" w:color="auto"/>
                                    <w:bottom w:val="none" w:sz="0" w:space="0" w:color="auto"/>
                                    <w:right w:val="none" w:sz="0" w:space="0" w:color="auto"/>
                                  </w:divBdr>
                                  <w:divsChild>
                                    <w:div w:id="1231693545">
                                      <w:marLeft w:val="0"/>
                                      <w:marRight w:val="0"/>
                                      <w:marTop w:val="0"/>
                                      <w:marBottom w:val="0"/>
                                      <w:divBdr>
                                        <w:top w:val="none" w:sz="0" w:space="0" w:color="auto"/>
                                        <w:left w:val="none" w:sz="0" w:space="0" w:color="auto"/>
                                        <w:bottom w:val="none" w:sz="0" w:space="0" w:color="auto"/>
                                        <w:right w:val="none" w:sz="0" w:space="0" w:color="auto"/>
                                      </w:divBdr>
                                    </w:div>
                                  </w:divsChild>
                                </w:div>
                                <w:div w:id="1493136609">
                                  <w:marLeft w:val="0"/>
                                  <w:marRight w:val="0"/>
                                  <w:marTop w:val="0"/>
                                  <w:marBottom w:val="0"/>
                                  <w:divBdr>
                                    <w:top w:val="none" w:sz="0" w:space="0" w:color="auto"/>
                                    <w:left w:val="none" w:sz="0" w:space="0" w:color="auto"/>
                                    <w:bottom w:val="none" w:sz="0" w:space="0" w:color="auto"/>
                                    <w:right w:val="none" w:sz="0" w:space="0" w:color="auto"/>
                                  </w:divBdr>
                                  <w:divsChild>
                                    <w:div w:id="262803933">
                                      <w:marLeft w:val="0"/>
                                      <w:marRight w:val="0"/>
                                      <w:marTop w:val="0"/>
                                      <w:marBottom w:val="0"/>
                                      <w:divBdr>
                                        <w:top w:val="none" w:sz="0" w:space="0" w:color="auto"/>
                                        <w:left w:val="none" w:sz="0" w:space="0" w:color="auto"/>
                                        <w:bottom w:val="none" w:sz="0" w:space="0" w:color="auto"/>
                                        <w:right w:val="none" w:sz="0" w:space="0" w:color="auto"/>
                                      </w:divBdr>
                                    </w:div>
                                  </w:divsChild>
                                </w:div>
                                <w:div w:id="1416895902">
                                  <w:marLeft w:val="0"/>
                                  <w:marRight w:val="0"/>
                                  <w:marTop w:val="0"/>
                                  <w:marBottom w:val="0"/>
                                  <w:divBdr>
                                    <w:top w:val="none" w:sz="0" w:space="0" w:color="auto"/>
                                    <w:left w:val="none" w:sz="0" w:space="0" w:color="auto"/>
                                    <w:bottom w:val="none" w:sz="0" w:space="0" w:color="auto"/>
                                    <w:right w:val="none" w:sz="0" w:space="0" w:color="auto"/>
                                  </w:divBdr>
                                  <w:divsChild>
                                    <w:div w:id="2044091284">
                                      <w:marLeft w:val="0"/>
                                      <w:marRight w:val="0"/>
                                      <w:marTop w:val="0"/>
                                      <w:marBottom w:val="0"/>
                                      <w:divBdr>
                                        <w:top w:val="none" w:sz="0" w:space="0" w:color="auto"/>
                                        <w:left w:val="none" w:sz="0" w:space="0" w:color="auto"/>
                                        <w:bottom w:val="none" w:sz="0" w:space="0" w:color="auto"/>
                                        <w:right w:val="none" w:sz="0" w:space="0" w:color="auto"/>
                                      </w:divBdr>
                                    </w:div>
                                  </w:divsChild>
                                </w:div>
                                <w:div w:id="1392774683">
                                  <w:marLeft w:val="0"/>
                                  <w:marRight w:val="0"/>
                                  <w:marTop w:val="0"/>
                                  <w:marBottom w:val="0"/>
                                  <w:divBdr>
                                    <w:top w:val="none" w:sz="0" w:space="0" w:color="auto"/>
                                    <w:left w:val="none" w:sz="0" w:space="0" w:color="auto"/>
                                    <w:bottom w:val="none" w:sz="0" w:space="0" w:color="auto"/>
                                    <w:right w:val="none" w:sz="0" w:space="0" w:color="auto"/>
                                  </w:divBdr>
                                  <w:divsChild>
                                    <w:div w:id="1930890623">
                                      <w:marLeft w:val="0"/>
                                      <w:marRight w:val="0"/>
                                      <w:marTop w:val="0"/>
                                      <w:marBottom w:val="0"/>
                                      <w:divBdr>
                                        <w:top w:val="none" w:sz="0" w:space="0" w:color="auto"/>
                                        <w:left w:val="none" w:sz="0" w:space="0" w:color="auto"/>
                                        <w:bottom w:val="none" w:sz="0" w:space="0" w:color="auto"/>
                                        <w:right w:val="none" w:sz="0" w:space="0" w:color="auto"/>
                                      </w:divBdr>
                                    </w:div>
                                  </w:divsChild>
                                </w:div>
                                <w:div w:id="1085762166">
                                  <w:marLeft w:val="0"/>
                                  <w:marRight w:val="0"/>
                                  <w:marTop w:val="0"/>
                                  <w:marBottom w:val="0"/>
                                  <w:divBdr>
                                    <w:top w:val="none" w:sz="0" w:space="0" w:color="auto"/>
                                    <w:left w:val="none" w:sz="0" w:space="0" w:color="auto"/>
                                    <w:bottom w:val="none" w:sz="0" w:space="0" w:color="auto"/>
                                    <w:right w:val="none" w:sz="0" w:space="0" w:color="auto"/>
                                  </w:divBdr>
                                  <w:divsChild>
                                    <w:div w:id="122043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3500100">
      <w:bodyDiv w:val="1"/>
      <w:marLeft w:val="0"/>
      <w:marRight w:val="0"/>
      <w:marTop w:val="0"/>
      <w:marBottom w:val="0"/>
      <w:divBdr>
        <w:top w:val="none" w:sz="0" w:space="0" w:color="auto"/>
        <w:left w:val="none" w:sz="0" w:space="0" w:color="auto"/>
        <w:bottom w:val="none" w:sz="0" w:space="0" w:color="auto"/>
        <w:right w:val="none" w:sz="0" w:space="0" w:color="auto"/>
      </w:divBdr>
    </w:div>
    <w:div w:id="1641963493">
      <w:bodyDiv w:val="1"/>
      <w:marLeft w:val="0"/>
      <w:marRight w:val="0"/>
      <w:marTop w:val="0"/>
      <w:marBottom w:val="0"/>
      <w:divBdr>
        <w:top w:val="none" w:sz="0" w:space="0" w:color="auto"/>
        <w:left w:val="none" w:sz="0" w:space="0" w:color="auto"/>
        <w:bottom w:val="none" w:sz="0" w:space="0" w:color="auto"/>
        <w:right w:val="none" w:sz="0" w:space="0" w:color="auto"/>
      </w:divBdr>
    </w:div>
    <w:div w:id="1888447480">
      <w:bodyDiv w:val="1"/>
      <w:marLeft w:val="0"/>
      <w:marRight w:val="0"/>
      <w:marTop w:val="0"/>
      <w:marBottom w:val="0"/>
      <w:divBdr>
        <w:top w:val="none" w:sz="0" w:space="0" w:color="auto"/>
        <w:left w:val="none" w:sz="0" w:space="0" w:color="auto"/>
        <w:bottom w:val="none" w:sz="0" w:space="0" w:color="auto"/>
        <w:right w:val="none" w:sz="0" w:space="0" w:color="auto"/>
      </w:divBdr>
      <w:divsChild>
        <w:div w:id="961617708">
          <w:marLeft w:val="0"/>
          <w:marRight w:val="0"/>
          <w:marTop w:val="0"/>
          <w:marBottom w:val="0"/>
          <w:divBdr>
            <w:top w:val="none" w:sz="0" w:space="0" w:color="auto"/>
            <w:left w:val="none" w:sz="0" w:space="0" w:color="auto"/>
            <w:bottom w:val="none" w:sz="0" w:space="0" w:color="auto"/>
            <w:right w:val="none" w:sz="0" w:space="0" w:color="auto"/>
          </w:divBdr>
          <w:divsChild>
            <w:div w:id="1499005990">
              <w:marLeft w:val="0"/>
              <w:marRight w:val="0"/>
              <w:marTop w:val="0"/>
              <w:marBottom w:val="0"/>
              <w:divBdr>
                <w:top w:val="none" w:sz="0" w:space="0" w:color="auto"/>
                <w:left w:val="none" w:sz="0" w:space="0" w:color="auto"/>
                <w:bottom w:val="none" w:sz="0" w:space="0" w:color="auto"/>
                <w:right w:val="none" w:sz="0" w:space="0" w:color="auto"/>
              </w:divBdr>
            </w:div>
          </w:divsChild>
        </w:div>
        <w:div w:id="938490048">
          <w:marLeft w:val="0"/>
          <w:marRight w:val="0"/>
          <w:marTop w:val="0"/>
          <w:marBottom w:val="0"/>
          <w:divBdr>
            <w:top w:val="none" w:sz="0" w:space="0" w:color="auto"/>
            <w:left w:val="none" w:sz="0" w:space="0" w:color="auto"/>
            <w:bottom w:val="none" w:sz="0" w:space="0" w:color="auto"/>
            <w:right w:val="none" w:sz="0" w:space="0" w:color="auto"/>
          </w:divBdr>
          <w:divsChild>
            <w:div w:id="1702172592">
              <w:marLeft w:val="0"/>
              <w:marRight w:val="0"/>
              <w:marTop w:val="0"/>
              <w:marBottom w:val="0"/>
              <w:divBdr>
                <w:top w:val="none" w:sz="0" w:space="0" w:color="auto"/>
                <w:left w:val="none" w:sz="0" w:space="0" w:color="auto"/>
                <w:bottom w:val="none" w:sz="0" w:space="0" w:color="auto"/>
                <w:right w:val="none" w:sz="0" w:space="0" w:color="auto"/>
              </w:divBdr>
            </w:div>
          </w:divsChild>
        </w:div>
        <w:div w:id="988485490">
          <w:marLeft w:val="0"/>
          <w:marRight w:val="0"/>
          <w:marTop w:val="0"/>
          <w:marBottom w:val="0"/>
          <w:divBdr>
            <w:top w:val="none" w:sz="0" w:space="0" w:color="auto"/>
            <w:left w:val="none" w:sz="0" w:space="0" w:color="auto"/>
            <w:bottom w:val="none" w:sz="0" w:space="0" w:color="auto"/>
            <w:right w:val="none" w:sz="0" w:space="0" w:color="auto"/>
          </w:divBdr>
          <w:divsChild>
            <w:div w:id="944726685">
              <w:marLeft w:val="0"/>
              <w:marRight w:val="0"/>
              <w:marTop w:val="0"/>
              <w:marBottom w:val="0"/>
              <w:divBdr>
                <w:top w:val="none" w:sz="0" w:space="0" w:color="auto"/>
                <w:left w:val="none" w:sz="0" w:space="0" w:color="auto"/>
                <w:bottom w:val="none" w:sz="0" w:space="0" w:color="auto"/>
                <w:right w:val="none" w:sz="0" w:space="0" w:color="auto"/>
              </w:divBdr>
            </w:div>
          </w:divsChild>
        </w:div>
        <w:div w:id="266935099">
          <w:marLeft w:val="0"/>
          <w:marRight w:val="0"/>
          <w:marTop w:val="0"/>
          <w:marBottom w:val="0"/>
          <w:divBdr>
            <w:top w:val="none" w:sz="0" w:space="0" w:color="auto"/>
            <w:left w:val="none" w:sz="0" w:space="0" w:color="auto"/>
            <w:bottom w:val="none" w:sz="0" w:space="0" w:color="auto"/>
            <w:right w:val="none" w:sz="0" w:space="0" w:color="auto"/>
          </w:divBdr>
          <w:divsChild>
            <w:div w:id="282349207">
              <w:marLeft w:val="0"/>
              <w:marRight w:val="0"/>
              <w:marTop w:val="0"/>
              <w:marBottom w:val="0"/>
              <w:divBdr>
                <w:top w:val="none" w:sz="0" w:space="0" w:color="auto"/>
                <w:left w:val="none" w:sz="0" w:space="0" w:color="auto"/>
                <w:bottom w:val="none" w:sz="0" w:space="0" w:color="auto"/>
                <w:right w:val="none" w:sz="0" w:space="0" w:color="auto"/>
              </w:divBdr>
            </w:div>
          </w:divsChild>
        </w:div>
        <w:div w:id="867722373">
          <w:marLeft w:val="0"/>
          <w:marRight w:val="0"/>
          <w:marTop w:val="0"/>
          <w:marBottom w:val="0"/>
          <w:divBdr>
            <w:top w:val="none" w:sz="0" w:space="0" w:color="auto"/>
            <w:left w:val="none" w:sz="0" w:space="0" w:color="auto"/>
            <w:bottom w:val="none" w:sz="0" w:space="0" w:color="auto"/>
            <w:right w:val="none" w:sz="0" w:space="0" w:color="auto"/>
          </w:divBdr>
          <w:divsChild>
            <w:div w:id="643437354">
              <w:marLeft w:val="0"/>
              <w:marRight w:val="0"/>
              <w:marTop w:val="0"/>
              <w:marBottom w:val="0"/>
              <w:divBdr>
                <w:top w:val="none" w:sz="0" w:space="0" w:color="auto"/>
                <w:left w:val="none" w:sz="0" w:space="0" w:color="auto"/>
                <w:bottom w:val="none" w:sz="0" w:space="0" w:color="auto"/>
                <w:right w:val="none" w:sz="0" w:space="0" w:color="auto"/>
              </w:divBdr>
            </w:div>
          </w:divsChild>
        </w:div>
        <w:div w:id="1842116253">
          <w:marLeft w:val="0"/>
          <w:marRight w:val="0"/>
          <w:marTop w:val="0"/>
          <w:marBottom w:val="0"/>
          <w:divBdr>
            <w:top w:val="none" w:sz="0" w:space="0" w:color="auto"/>
            <w:left w:val="none" w:sz="0" w:space="0" w:color="auto"/>
            <w:bottom w:val="none" w:sz="0" w:space="0" w:color="auto"/>
            <w:right w:val="none" w:sz="0" w:space="0" w:color="auto"/>
          </w:divBdr>
          <w:divsChild>
            <w:div w:id="1705057712">
              <w:marLeft w:val="0"/>
              <w:marRight w:val="0"/>
              <w:marTop w:val="0"/>
              <w:marBottom w:val="0"/>
              <w:divBdr>
                <w:top w:val="none" w:sz="0" w:space="0" w:color="auto"/>
                <w:left w:val="none" w:sz="0" w:space="0" w:color="auto"/>
                <w:bottom w:val="none" w:sz="0" w:space="0" w:color="auto"/>
                <w:right w:val="none" w:sz="0" w:space="0" w:color="auto"/>
              </w:divBdr>
            </w:div>
          </w:divsChild>
        </w:div>
        <w:div w:id="853225599">
          <w:marLeft w:val="0"/>
          <w:marRight w:val="0"/>
          <w:marTop w:val="0"/>
          <w:marBottom w:val="0"/>
          <w:divBdr>
            <w:top w:val="none" w:sz="0" w:space="0" w:color="auto"/>
            <w:left w:val="none" w:sz="0" w:space="0" w:color="auto"/>
            <w:bottom w:val="none" w:sz="0" w:space="0" w:color="auto"/>
            <w:right w:val="none" w:sz="0" w:space="0" w:color="auto"/>
          </w:divBdr>
          <w:divsChild>
            <w:div w:id="41558663">
              <w:marLeft w:val="0"/>
              <w:marRight w:val="0"/>
              <w:marTop w:val="0"/>
              <w:marBottom w:val="0"/>
              <w:divBdr>
                <w:top w:val="none" w:sz="0" w:space="0" w:color="auto"/>
                <w:left w:val="none" w:sz="0" w:space="0" w:color="auto"/>
                <w:bottom w:val="none" w:sz="0" w:space="0" w:color="auto"/>
                <w:right w:val="none" w:sz="0" w:space="0" w:color="auto"/>
              </w:divBdr>
            </w:div>
          </w:divsChild>
        </w:div>
        <w:div w:id="303122458">
          <w:marLeft w:val="0"/>
          <w:marRight w:val="0"/>
          <w:marTop w:val="0"/>
          <w:marBottom w:val="0"/>
          <w:divBdr>
            <w:top w:val="none" w:sz="0" w:space="0" w:color="auto"/>
            <w:left w:val="none" w:sz="0" w:space="0" w:color="auto"/>
            <w:bottom w:val="none" w:sz="0" w:space="0" w:color="auto"/>
            <w:right w:val="none" w:sz="0" w:space="0" w:color="auto"/>
          </w:divBdr>
          <w:divsChild>
            <w:div w:id="2073190400">
              <w:marLeft w:val="0"/>
              <w:marRight w:val="0"/>
              <w:marTop w:val="0"/>
              <w:marBottom w:val="0"/>
              <w:divBdr>
                <w:top w:val="none" w:sz="0" w:space="0" w:color="auto"/>
                <w:left w:val="none" w:sz="0" w:space="0" w:color="auto"/>
                <w:bottom w:val="none" w:sz="0" w:space="0" w:color="auto"/>
                <w:right w:val="none" w:sz="0" w:space="0" w:color="auto"/>
              </w:divBdr>
            </w:div>
          </w:divsChild>
        </w:div>
        <w:div w:id="290747872">
          <w:marLeft w:val="0"/>
          <w:marRight w:val="0"/>
          <w:marTop w:val="0"/>
          <w:marBottom w:val="0"/>
          <w:divBdr>
            <w:top w:val="none" w:sz="0" w:space="0" w:color="auto"/>
            <w:left w:val="none" w:sz="0" w:space="0" w:color="auto"/>
            <w:bottom w:val="none" w:sz="0" w:space="0" w:color="auto"/>
            <w:right w:val="none" w:sz="0" w:space="0" w:color="auto"/>
          </w:divBdr>
          <w:divsChild>
            <w:div w:id="1013537128">
              <w:marLeft w:val="0"/>
              <w:marRight w:val="0"/>
              <w:marTop w:val="0"/>
              <w:marBottom w:val="0"/>
              <w:divBdr>
                <w:top w:val="none" w:sz="0" w:space="0" w:color="auto"/>
                <w:left w:val="none" w:sz="0" w:space="0" w:color="auto"/>
                <w:bottom w:val="none" w:sz="0" w:space="0" w:color="auto"/>
                <w:right w:val="none" w:sz="0" w:space="0" w:color="auto"/>
              </w:divBdr>
            </w:div>
          </w:divsChild>
        </w:div>
        <w:div w:id="708915633">
          <w:marLeft w:val="0"/>
          <w:marRight w:val="0"/>
          <w:marTop w:val="0"/>
          <w:marBottom w:val="0"/>
          <w:divBdr>
            <w:top w:val="none" w:sz="0" w:space="0" w:color="auto"/>
            <w:left w:val="none" w:sz="0" w:space="0" w:color="auto"/>
            <w:bottom w:val="none" w:sz="0" w:space="0" w:color="auto"/>
            <w:right w:val="none" w:sz="0" w:space="0" w:color="auto"/>
          </w:divBdr>
          <w:divsChild>
            <w:div w:id="736325661">
              <w:marLeft w:val="0"/>
              <w:marRight w:val="0"/>
              <w:marTop w:val="0"/>
              <w:marBottom w:val="0"/>
              <w:divBdr>
                <w:top w:val="none" w:sz="0" w:space="0" w:color="auto"/>
                <w:left w:val="none" w:sz="0" w:space="0" w:color="auto"/>
                <w:bottom w:val="none" w:sz="0" w:space="0" w:color="auto"/>
                <w:right w:val="none" w:sz="0" w:space="0" w:color="auto"/>
              </w:divBdr>
            </w:div>
          </w:divsChild>
        </w:div>
        <w:div w:id="1085565184">
          <w:marLeft w:val="0"/>
          <w:marRight w:val="0"/>
          <w:marTop w:val="0"/>
          <w:marBottom w:val="0"/>
          <w:divBdr>
            <w:top w:val="none" w:sz="0" w:space="0" w:color="auto"/>
            <w:left w:val="none" w:sz="0" w:space="0" w:color="auto"/>
            <w:bottom w:val="none" w:sz="0" w:space="0" w:color="auto"/>
            <w:right w:val="none" w:sz="0" w:space="0" w:color="auto"/>
          </w:divBdr>
          <w:divsChild>
            <w:div w:id="1965771176">
              <w:marLeft w:val="0"/>
              <w:marRight w:val="0"/>
              <w:marTop w:val="0"/>
              <w:marBottom w:val="0"/>
              <w:divBdr>
                <w:top w:val="none" w:sz="0" w:space="0" w:color="auto"/>
                <w:left w:val="none" w:sz="0" w:space="0" w:color="auto"/>
                <w:bottom w:val="none" w:sz="0" w:space="0" w:color="auto"/>
                <w:right w:val="none" w:sz="0" w:space="0" w:color="auto"/>
              </w:divBdr>
            </w:div>
          </w:divsChild>
        </w:div>
        <w:div w:id="430976255">
          <w:marLeft w:val="0"/>
          <w:marRight w:val="0"/>
          <w:marTop w:val="0"/>
          <w:marBottom w:val="0"/>
          <w:divBdr>
            <w:top w:val="none" w:sz="0" w:space="0" w:color="auto"/>
            <w:left w:val="none" w:sz="0" w:space="0" w:color="auto"/>
            <w:bottom w:val="none" w:sz="0" w:space="0" w:color="auto"/>
            <w:right w:val="none" w:sz="0" w:space="0" w:color="auto"/>
          </w:divBdr>
          <w:divsChild>
            <w:div w:id="1471634546">
              <w:marLeft w:val="0"/>
              <w:marRight w:val="0"/>
              <w:marTop w:val="0"/>
              <w:marBottom w:val="0"/>
              <w:divBdr>
                <w:top w:val="none" w:sz="0" w:space="0" w:color="auto"/>
                <w:left w:val="none" w:sz="0" w:space="0" w:color="auto"/>
                <w:bottom w:val="none" w:sz="0" w:space="0" w:color="auto"/>
                <w:right w:val="none" w:sz="0" w:space="0" w:color="auto"/>
              </w:divBdr>
            </w:div>
          </w:divsChild>
        </w:div>
        <w:div w:id="1170607220">
          <w:marLeft w:val="0"/>
          <w:marRight w:val="0"/>
          <w:marTop w:val="0"/>
          <w:marBottom w:val="0"/>
          <w:divBdr>
            <w:top w:val="none" w:sz="0" w:space="0" w:color="auto"/>
            <w:left w:val="none" w:sz="0" w:space="0" w:color="auto"/>
            <w:bottom w:val="none" w:sz="0" w:space="0" w:color="auto"/>
            <w:right w:val="none" w:sz="0" w:space="0" w:color="auto"/>
          </w:divBdr>
          <w:divsChild>
            <w:div w:id="1458065515">
              <w:marLeft w:val="0"/>
              <w:marRight w:val="0"/>
              <w:marTop w:val="0"/>
              <w:marBottom w:val="0"/>
              <w:divBdr>
                <w:top w:val="none" w:sz="0" w:space="0" w:color="auto"/>
                <w:left w:val="none" w:sz="0" w:space="0" w:color="auto"/>
                <w:bottom w:val="none" w:sz="0" w:space="0" w:color="auto"/>
                <w:right w:val="none" w:sz="0" w:space="0" w:color="auto"/>
              </w:divBdr>
            </w:div>
          </w:divsChild>
        </w:div>
        <w:div w:id="185413918">
          <w:marLeft w:val="0"/>
          <w:marRight w:val="0"/>
          <w:marTop w:val="0"/>
          <w:marBottom w:val="0"/>
          <w:divBdr>
            <w:top w:val="none" w:sz="0" w:space="0" w:color="auto"/>
            <w:left w:val="none" w:sz="0" w:space="0" w:color="auto"/>
            <w:bottom w:val="none" w:sz="0" w:space="0" w:color="auto"/>
            <w:right w:val="none" w:sz="0" w:space="0" w:color="auto"/>
          </w:divBdr>
          <w:divsChild>
            <w:div w:id="1305542913">
              <w:marLeft w:val="0"/>
              <w:marRight w:val="0"/>
              <w:marTop w:val="0"/>
              <w:marBottom w:val="0"/>
              <w:divBdr>
                <w:top w:val="none" w:sz="0" w:space="0" w:color="auto"/>
                <w:left w:val="none" w:sz="0" w:space="0" w:color="auto"/>
                <w:bottom w:val="none" w:sz="0" w:space="0" w:color="auto"/>
                <w:right w:val="none" w:sz="0" w:space="0" w:color="auto"/>
              </w:divBdr>
            </w:div>
          </w:divsChild>
        </w:div>
        <w:div w:id="519928904">
          <w:marLeft w:val="0"/>
          <w:marRight w:val="0"/>
          <w:marTop w:val="0"/>
          <w:marBottom w:val="0"/>
          <w:divBdr>
            <w:top w:val="none" w:sz="0" w:space="0" w:color="auto"/>
            <w:left w:val="none" w:sz="0" w:space="0" w:color="auto"/>
            <w:bottom w:val="none" w:sz="0" w:space="0" w:color="auto"/>
            <w:right w:val="none" w:sz="0" w:space="0" w:color="auto"/>
          </w:divBdr>
          <w:divsChild>
            <w:div w:id="1396705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636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maobong.okpongette@fedpolyukana.edu.n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unep.org/resources/report/environmental-assessment-ogoniland" TargetMode="External"/><Relationship Id="rId4" Type="http://schemas.openxmlformats.org/officeDocument/2006/relationships/webSettings" Target="webSettings.xml"/><Relationship Id="rId9" Type="http://schemas.openxmlformats.org/officeDocument/2006/relationships/hyperlink" Target="https://doi.org/10.1016/j.ijggc.2015.05.0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8</Pages>
  <Words>3825</Words>
  <Characters>21803</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Pst Anietie</dc:creator>
  <cp:lastModifiedBy>Daniel Aloysius</cp:lastModifiedBy>
  <cp:revision>129</cp:revision>
  <dcterms:created xsi:type="dcterms:W3CDTF">2026-03-03T18:18:00Z</dcterms:created>
  <dcterms:modified xsi:type="dcterms:W3CDTF">2026-03-04T15:48:00Z</dcterms:modified>
</cp:coreProperties>
</file>