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AC" w:rsidRPr="00601163" w:rsidRDefault="00F354AC">
      <w:pPr>
        <w:spacing w:after="100"/>
        <w:jc w:val="center"/>
      </w:pPr>
      <w:r w:rsidRPr="00601163">
        <w:rPr>
          <w:b/>
          <w:bCs/>
          <w:sz w:val="30"/>
          <w:szCs w:val="30"/>
        </w:rPr>
        <w:t>The Physical Effects of COVID-19 on the Health of Medical Personnel in Hospitals in Eldoret Town, Uasin Gishu County, Kenya</w:t>
      </w:r>
    </w:p>
    <w:p w:rsidR="00F354AC" w:rsidRDefault="00F354AC" w:rsidP="00A76507">
      <w:pPr>
        <w:jc w:val="center"/>
        <w:rPr>
          <w:sz w:val="22"/>
          <w:szCs w:val="22"/>
        </w:rPr>
      </w:pPr>
      <w:r w:rsidRPr="00601163">
        <w:rPr>
          <w:sz w:val="24"/>
          <w:szCs w:val="24"/>
        </w:rPr>
        <w:t>Henry Ambrose Ojwang</w:t>
      </w:r>
      <w:r w:rsidRPr="00601163">
        <w:rPr>
          <w:sz w:val="22"/>
          <w:szCs w:val="22"/>
        </w:rPr>
        <w:br/>
        <w:t xml:space="preserve"> Masinde Muliro University of Science and Technology</w:t>
      </w:r>
    </w:p>
    <w:p w:rsidR="00F354AC" w:rsidRPr="00601163" w:rsidRDefault="00F354AC" w:rsidP="00A76507">
      <w:pPr>
        <w:jc w:val="center"/>
      </w:pPr>
      <w:r>
        <w:rPr>
          <w:sz w:val="22"/>
          <w:szCs w:val="22"/>
        </w:rPr>
        <w:t xml:space="preserve">Email: </w:t>
      </w:r>
      <w:hyperlink r:id="rId5" w:history="1">
        <w:r w:rsidRPr="00131A0C">
          <w:rPr>
            <w:rStyle w:val="Hyperlink"/>
            <w:sz w:val="22"/>
            <w:szCs w:val="22"/>
          </w:rPr>
          <w:t>ambuopondo@gmail.com</w:t>
        </w:r>
      </w:hyperlink>
      <w:r>
        <w:rPr>
          <w:sz w:val="22"/>
          <w:szCs w:val="22"/>
        </w:rPr>
        <w:t xml:space="preserve"> </w:t>
      </w:r>
    </w:p>
    <w:p w:rsidR="00F354AC" w:rsidRPr="00601163" w:rsidRDefault="00F354AC" w:rsidP="00601163">
      <w:pPr>
        <w:pStyle w:val="Heading1"/>
        <w:spacing w:before="300" w:after="150"/>
        <w:jc w:val="center"/>
        <w:rPr>
          <w:color w:val="auto"/>
          <w:sz w:val="24"/>
          <w:szCs w:val="24"/>
        </w:rPr>
      </w:pPr>
      <w:r w:rsidRPr="00601163">
        <w:rPr>
          <w:b/>
          <w:bCs/>
          <w:color w:val="auto"/>
          <w:sz w:val="24"/>
          <w:szCs w:val="24"/>
        </w:rPr>
        <w:t>Abstract</w:t>
      </w:r>
    </w:p>
    <w:p w:rsidR="00F354AC" w:rsidRPr="00601163" w:rsidRDefault="00F354AC" w:rsidP="00AB1F3B">
      <w:pPr>
        <w:spacing w:after="200" w:line="360" w:lineRule="auto"/>
        <w:jc w:val="both"/>
      </w:pPr>
      <w:r w:rsidRPr="00601163">
        <w:rPr>
          <w:sz w:val="24"/>
          <w:szCs w:val="24"/>
        </w:rPr>
        <w:t>Medical workers experienced long hours, lack of rest or sleep time at work, and chronic staffing shortages during the Covid-19 pandemic, which resulted in physical fatigue and psychological pressure. The psychosocial stress of COVID-19 on health care providers has received extensive research focus, while the physical health impacts have been much less studied especially in the Kenyan context. The results presented in this paper come from a larger study that investigated the overall effect of COVID-19 on the health of medical personnel in hospitals in Eldoret Town, Uasin Gishu County, Kenya, with a focus on the physical effects. The study design employed was cross sectional survey design with stratified and simple random sampling of 50% of a target population of doctors, clinical officers, nurses and laboratory technicians in the 18 public and private hospitals in Eldoret (total population of 379). Self-administered questionnaires were used to gather data, which were subsequently analysed descriptively and by multivariate ordinal logistic regression. The physical-effects construct had a Cronbach's alpha of 0.814. The results showed that insomnia was prevalent (91.1%), weight gain due to less activity (90.0%) and chronic tiredness (75.6%) were prevalent among the respondents. In addition, 73.3% of the staff stated that they felt tired from their work, 55.5% needed more time to recuperate after work shifts and 97.7% reported headaches from the work tasks. Experience and cadre were significant predictors of physical health outcomes - clinical officers/doctors at least tripled the odds of experiencing insomnia compared to nurses, while all cadres had at least 15 times the odds of chronic tiredness compared to nurses. Individuals who had fewer than 5 years of experience were 97% less likely to experience chronic tiredness as were those who had more than 10 years of experience. The study concludes that COVID-19 had brought significant physical stress and strain to the medical personnel in Eldoret Town and suggests that there is a need to carry out workplace wellness programmes, provide good rest and recovery facilities, and focus on interventions targeting the different cadres to protect the physical health of the medical personnel in the event of a future outbreak.</w:t>
      </w:r>
    </w:p>
    <w:p w:rsidR="00F354AC" w:rsidRPr="00601163" w:rsidRDefault="00F354AC">
      <w:pPr>
        <w:spacing w:after="200" w:line="360" w:lineRule="auto"/>
        <w:jc w:val="both"/>
      </w:pPr>
      <w:r w:rsidRPr="00601163">
        <w:rPr>
          <w:b/>
          <w:bCs/>
          <w:i/>
          <w:sz w:val="24"/>
          <w:szCs w:val="24"/>
        </w:rPr>
        <w:t>Keywords:</w:t>
      </w:r>
      <w:r w:rsidRPr="00601163">
        <w:rPr>
          <w:b/>
          <w:bCs/>
          <w:sz w:val="24"/>
          <w:szCs w:val="24"/>
        </w:rPr>
        <w:t xml:space="preserve"> </w:t>
      </w:r>
      <w:r w:rsidRPr="00601163">
        <w:rPr>
          <w:sz w:val="24"/>
          <w:szCs w:val="24"/>
        </w:rPr>
        <w:t>COVID-19; physical health; medical personnel; healthcare workers</w:t>
      </w:r>
      <w:r>
        <w:rPr>
          <w:sz w:val="24"/>
          <w:szCs w:val="24"/>
        </w:rPr>
        <w:t>.</w:t>
      </w:r>
    </w:p>
    <w:p w:rsidR="00F354AC" w:rsidRPr="00601163" w:rsidRDefault="00F354AC" w:rsidP="00601163">
      <w:pPr>
        <w:pStyle w:val="Heading1"/>
        <w:spacing w:before="100" w:beforeAutospacing="1" w:after="100" w:afterAutospacing="1" w:line="360" w:lineRule="auto"/>
        <w:rPr>
          <w:color w:val="auto"/>
          <w:sz w:val="24"/>
          <w:szCs w:val="24"/>
        </w:rPr>
      </w:pPr>
      <w:r w:rsidRPr="00601163">
        <w:rPr>
          <w:b/>
          <w:bCs/>
          <w:color w:val="auto"/>
          <w:sz w:val="24"/>
          <w:szCs w:val="24"/>
        </w:rPr>
        <w:t>1. Introduction</w:t>
      </w:r>
    </w:p>
    <w:p w:rsidR="00F354AC" w:rsidRPr="00601163" w:rsidRDefault="00F354AC" w:rsidP="00601163">
      <w:pPr>
        <w:pStyle w:val="Heading2"/>
        <w:spacing w:before="100" w:beforeAutospacing="1" w:after="100" w:afterAutospacing="1" w:line="360" w:lineRule="auto"/>
        <w:jc w:val="both"/>
        <w:rPr>
          <w:bCs/>
          <w:color w:val="auto"/>
          <w:sz w:val="24"/>
          <w:szCs w:val="24"/>
        </w:rPr>
      </w:pPr>
      <w:r w:rsidRPr="00601163">
        <w:rPr>
          <w:bCs/>
          <w:color w:val="auto"/>
          <w:sz w:val="24"/>
          <w:szCs w:val="24"/>
        </w:rPr>
        <w:t>The novel coronavirus SARS-CoV-2, which causes COVID-19, first appeared in late 2019 in Wuhan, Hubei Province, and spread quickly to become a global health crisis before being declared a pandemic in March 2020 by the World Health Organization (2020). Healthcare systems' capacity and quality were also an important determinant of outcomes during the pandemic, with higher quality and capacity being associated with better capacity to manage the spread of the virus and smaller mortality figures (Ojwang, Mwanzala, &amp; Odero, 2024). Health care workers, especially those on the front lines, worked long hours with less opportunity to rest and sleep, as well as with chronic staffing problems. This set of stressors created a very stressful working environment, which led to psychological strain, as well as physical exhaustion for health care workers (Kwobah et al., 2021).</w:t>
      </w:r>
    </w:p>
    <w:p w:rsidR="00F354AC" w:rsidRPr="00601163" w:rsidRDefault="00F354AC" w:rsidP="00601163">
      <w:pPr>
        <w:pStyle w:val="Heading2"/>
        <w:spacing w:before="100" w:beforeAutospacing="1" w:after="100" w:afterAutospacing="1" w:line="360" w:lineRule="auto"/>
        <w:jc w:val="both"/>
        <w:rPr>
          <w:bCs/>
          <w:color w:val="auto"/>
          <w:sz w:val="24"/>
          <w:szCs w:val="24"/>
        </w:rPr>
      </w:pPr>
      <w:r w:rsidRPr="00601163">
        <w:rPr>
          <w:bCs/>
          <w:color w:val="auto"/>
          <w:sz w:val="24"/>
          <w:szCs w:val="24"/>
        </w:rPr>
        <w:t>Ensuring medics are physically safe is not just for their wellbeing, but also for the continuity of health services and the wider health strategy response to a crisis. A chronic emergency requires a workforce with a capacity to provide the quality and consistency of care, but chronic fatigue, disrupted sleep and untreated physical stress make them less able to do so, especially in limited staffing situations (Enane et al., 2022). It is therefore critical to have knowledge of how a pandemic looks in the physical body of a healthcare worker, and to understand how this impacts on the health systems that are directly affected, as well as the policies and work schedules of the staff that determine the resilience of a health system when under sustained pressure (Kwobah et al., 2021).</w:t>
      </w:r>
    </w:p>
    <w:p w:rsidR="00F354AC" w:rsidRPr="00601163" w:rsidRDefault="00F354AC" w:rsidP="00601163">
      <w:pPr>
        <w:pStyle w:val="Heading2"/>
        <w:spacing w:before="100" w:beforeAutospacing="1" w:after="100" w:afterAutospacing="1" w:line="360" w:lineRule="auto"/>
        <w:jc w:val="both"/>
        <w:rPr>
          <w:bCs/>
          <w:color w:val="auto"/>
          <w:sz w:val="24"/>
          <w:szCs w:val="24"/>
        </w:rPr>
      </w:pPr>
      <w:r w:rsidRPr="00601163">
        <w:rPr>
          <w:bCs/>
          <w:color w:val="auto"/>
          <w:sz w:val="24"/>
          <w:szCs w:val="24"/>
        </w:rPr>
        <w:t>Although many studies have documented the psychological impact of COVID-19 on health care workers, the physical health impacts of this burden are more under-researched and context-specific data is even less available from Kenya. Eldoret Town has a Moi Teaching and Referral Hospital (MTRH) which is a national level-6 referral hospital, and is on the Nairobi-Kampala highway route, which gave rise to a prolonged increase in COVID-19 cases being referred to and managed in the hospitals of Eldoret town (Ojwang et al., 2024). This paper fills this gap by reporting the outcome of a study which looked at the physical impacts of COVID-19 on the health of medical workers in 18 hospitals in Eldoret Town, both public and private.</w:t>
      </w:r>
    </w:p>
    <w:p w:rsidR="00F354AC" w:rsidRPr="00601163" w:rsidRDefault="00F354AC" w:rsidP="00601163">
      <w:pPr>
        <w:pStyle w:val="Heading2"/>
        <w:spacing w:before="100" w:beforeAutospacing="1" w:after="100" w:afterAutospacing="1" w:line="360" w:lineRule="auto"/>
        <w:rPr>
          <w:color w:val="auto"/>
          <w:sz w:val="24"/>
          <w:szCs w:val="24"/>
        </w:rPr>
      </w:pPr>
      <w:r w:rsidRPr="00601163">
        <w:rPr>
          <w:b/>
          <w:bCs/>
          <w:color w:val="auto"/>
          <w:sz w:val="24"/>
          <w:szCs w:val="24"/>
        </w:rPr>
        <w:t>1.1 Objective of the Study</w:t>
      </w:r>
    </w:p>
    <w:p w:rsidR="00F354AC" w:rsidRPr="00601163" w:rsidRDefault="00F354AC" w:rsidP="00601163">
      <w:pPr>
        <w:spacing w:before="100" w:beforeAutospacing="1" w:after="100" w:afterAutospacing="1" w:line="360" w:lineRule="auto"/>
        <w:jc w:val="both"/>
        <w:rPr>
          <w:sz w:val="24"/>
          <w:szCs w:val="24"/>
        </w:rPr>
      </w:pPr>
      <w:r w:rsidRPr="00601163">
        <w:rPr>
          <w:sz w:val="24"/>
          <w:szCs w:val="24"/>
        </w:rPr>
        <w:t>To determine the physical effect of COVID-19 on the health of medical personnel in hospitals in Eldoret town. The corresponding research question was: Is there a significant physical effect of COVID-19 on the health of medical personnel in hospitals in Eldoret town?</w:t>
      </w:r>
    </w:p>
    <w:p w:rsidR="00F354AC" w:rsidRPr="00601163" w:rsidRDefault="00F354AC" w:rsidP="00601163">
      <w:pPr>
        <w:pStyle w:val="Heading1"/>
        <w:spacing w:before="100" w:beforeAutospacing="1" w:after="100" w:afterAutospacing="1" w:line="360" w:lineRule="auto"/>
        <w:rPr>
          <w:color w:val="auto"/>
          <w:sz w:val="24"/>
          <w:szCs w:val="24"/>
        </w:rPr>
      </w:pPr>
      <w:r w:rsidRPr="00601163">
        <w:rPr>
          <w:b/>
          <w:bCs/>
          <w:color w:val="auto"/>
          <w:sz w:val="24"/>
          <w:szCs w:val="24"/>
        </w:rPr>
        <w:t>2. Literature Review</w:t>
      </w:r>
    </w:p>
    <w:p w:rsidR="00F354AC" w:rsidRPr="00601163" w:rsidRDefault="00F354AC" w:rsidP="00601163">
      <w:pPr>
        <w:pStyle w:val="Heading1"/>
        <w:spacing w:before="100" w:beforeAutospacing="1" w:after="100" w:afterAutospacing="1" w:line="360" w:lineRule="auto"/>
        <w:jc w:val="both"/>
        <w:rPr>
          <w:bCs/>
          <w:color w:val="auto"/>
          <w:sz w:val="24"/>
          <w:szCs w:val="24"/>
        </w:rPr>
      </w:pPr>
      <w:r w:rsidRPr="00601163">
        <w:rPr>
          <w:bCs/>
          <w:color w:val="auto"/>
          <w:sz w:val="24"/>
          <w:szCs w:val="24"/>
        </w:rPr>
        <w:t>Less physical activity at home during the pandemic has been reported to be a major cause of physical burden on quality of life, and as an intervention, deliberate, self-directed movement/exercise at home has been proposed at home (Qi et al., 2020; Margaritis et al., 2020). Indoors and outdoor recreation and movement was limited and affected people's routines, which were shown to increase their risk of other physical and health problems than COVID-19 ( Chen et al., 2020).</w:t>
      </w:r>
    </w:p>
    <w:p w:rsidR="00F354AC" w:rsidRPr="00601163" w:rsidRDefault="00F354AC" w:rsidP="00601163">
      <w:pPr>
        <w:pStyle w:val="Heading1"/>
        <w:spacing w:before="100" w:beforeAutospacing="1" w:after="100" w:afterAutospacing="1" w:line="360" w:lineRule="auto"/>
        <w:jc w:val="both"/>
        <w:rPr>
          <w:bCs/>
          <w:color w:val="auto"/>
          <w:sz w:val="24"/>
          <w:szCs w:val="24"/>
        </w:rPr>
      </w:pPr>
      <w:r w:rsidRPr="00601163">
        <w:rPr>
          <w:bCs/>
          <w:color w:val="auto"/>
          <w:sz w:val="24"/>
          <w:szCs w:val="24"/>
        </w:rPr>
        <w:t>Fatigue during the lockdown period has been linked most consistently in the literature to physical, psychological and behavioural changes, including decreased interest in activities one once enjoyed, decreased motivation, emotional instability, and increased anxiety (Labrague &amp; Ballad, 2021). General weakness, sleep disturbances, headache, muscle discomfort and back pain are the most common somatic effects of this fatigue (Branquinho et al., 2020). Restricted movements and social isolation also hampered existing support networks, adding to the challenge of coping with these physical symptoms (Leclerc et al., 2020; Duan &amp; Zhu, 2020; Sheroun et al., 2020).</w:t>
      </w:r>
    </w:p>
    <w:p w:rsidR="00F354AC" w:rsidRPr="00601163" w:rsidRDefault="00F354AC" w:rsidP="00601163">
      <w:pPr>
        <w:pStyle w:val="Heading1"/>
        <w:spacing w:before="100" w:beforeAutospacing="1" w:after="100" w:afterAutospacing="1" w:line="360" w:lineRule="auto"/>
        <w:jc w:val="both"/>
        <w:rPr>
          <w:bCs/>
          <w:color w:val="auto"/>
          <w:sz w:val="24"/>
          <w:szCs w:val="24"/>
        </w:rPr>
      </w:pPr>
      <w:r w:rsidRPr="00601163">
        <w:rPr>
          <w:bCs/>
          <w:color w:val="auto"/>
          <w:sz w:val="24"/>
          <w:szCs w:val="24"/>
        </w:rPr>
        <w:t>In the context of healthcare workers specifically, sleep disturbance was a major concern during the pandemic, with front-line medical staff in China reporting increased levels of insomnia due to increased stress and work disruptions during the pandemic (Qi et al., 2020). Although the immediate physical and psychological impact of inactivity and social isolation has been well documented, few studies report on the longer-term impacts, and there is little evidence of interventions that are context-specific and appropriate for locations with lower levels of infrastructure, including much of sub-Saharan Africa. This is an important space to bridge as better understanding of these dynamics can be applied to develop targeted strategies for the protection of physical well-being of health personnel during future public health emergencies.</w:t>
      </w:r>
    </w:p>
    <w:p w:rsidR="00F354AC" w:rsidRPr="00601163" w:rsidRDefault="00F354AC" w:rsidP="00601163">
      <w:pPr>
        <w:pStyle w:val="Heading1"/>
        <w:spacing w:before="100" w:beforeAutospacing="1" w:after="100" w:afterAutospacing="1" w:line="360" w:lineRule="auto"/>
        <w:rPr>
          <w:color w:val="auto"/>
          <w:sz w:val="24"/>
          <w:szCs w:val="24"/>
        </w:rPr>
      </w:pPr>
      <w:r w:rsidRPr="00601163">
        <w:rPr>
          <w:b/>
          <w:bCs/>
          <w:color w:val="auto"/>
          <w:sz w:val="24"/>
          <w:szCs w:val="24"/>
        </w:rPr>
        <w:t>3. Methodology</w:t>
      </w:r>
    </w:p>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color w:val="auto"/>
          <w:sz w:val="24"/>
          <w:szCs w:val="24"/>
        </w:rPr>
        <w:t>The study design was cross sectional survey and involved the sampling of medical personnel that undertook care of confirmed and suspected COVID-19 cases in 18 hospitals (3 public and 15 private) in Eldoret Town. The target population consisted of 34 doctors, 55 laboratory technicians, 71 clinical officers, and 219 nurses, making a total of 379. A stratified random and simple random sampling was used to obtain a sample of 50% from this population. Information about physical health effects was gathered by a structured, self-administered questionnaire and analysed with IBM SPSS software. Responses were summarised using descriptive statistics (frequencies and percentages) and associations between physical health outcomes and demographic and occupational factors studied using multivariate ordinal logistic regression.</w:t>
      </w:r>
    </w:p>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color w:val="auto"/>
          <w:sz w:val="24"/>
          <w:szCs w:val="24"/>
        </w:rPr>
        <w:t>The test-retest reliability of the physical-effects construct was determined using a pilot study of 20 respondents in Nandi County, Pearson's correlation coefficient was used to correlate the results for the construct. The physical effects scale had a Cronbach's alpha of 0.814 which was above the minimum acceptable score of 0.7 and demonstrated very good internal consistency among the items measuring the physical health impacts.</w:t>
      </w:r>
    </w:p>
    <w:p w:rsidR="00F354AC" w:rsidRPr="00601163" w:rsidRDefault="00F354AC" w:rsidP="00601163">
      <w:pPr>
        <w:pStyle w:val="Heading1"/>
        <w:spacing w:before="100" w:beforeAutospacing="1" w:after="100" w:afterAutospacing="1" w:line="360" w:lineRule="auto"/>
        <w:rPr>
          <w:color w:val="auto"/>
          <w:sz w:val="24"/>
          <w:szCs w:val="24"/>
        </w:rPr>
      </w:pPr>
      <w:r w:rsidRPr="00601163">
        <w:rPr>
          <w:b/>
          <w:bCs/>
          <w:color w:val="auto"/>
          <w:sz w:val="24"/>
          <w:szCs w:val="24"/>
        </w:rPr>
        <w:t>4. Results</w:t>
      </w:r>
    </w:p>
    <w:p w:rsidR="00F354AC" w:rsidRPr="00601163" w:rsidRDefault="00F354AC" w:rsidP="00601163">
      <w:pPr>
        <w:spacing w:before="100" w:beforeAutospacing="1" w:after="100" w:afterAutospacing="1" w:line="360" w:lineRule="auto"/>
        <w:jc w:val="both"/>
        <w:rPr>
          <w:sz w:val="24"/>
          <w:szCs w:val="24"/>
        </w:rPr>
      </w:pPr>
      <w:r w:rsidRPr="00601163">
        <w:rPr>
          <w:sz w:val="24"/>
          <w:szCs w:val="24"/>
        </w:rPr>
        <w:t>Table 1 shows the physical effects of medical personnel during COVID-19 pandemic due to their work. Insomnia was reported to be prevalent with 138 respondents (91.1%) stating that they do not have sleep during their off duty periods. Likewise, 115 respondents (75.6%) said they felt tired even before starting their shifts and 137 (90.0%) said they gained weight because they were not getting enough exercise while in confinement. In addition, 112 respondents (73.3%) said they felt tired and exhausted after work, 85 (55.5%) indicated that they needed more time than before to unwind and recover and 44.4% felt disconnected from work over time. Comparably less of the respondents (63, 41.1%) found that work was more on the slow-going side, but 97 (63.3%) still had energy to spare for leisure activities after work. Interestingly, 148 respondents (97.7%) indicated that they suffered from headaches and that their work tasks made them feel sick.</w:t>
      </w:r>
    </w:p>
    <w:p w:rsidR="00F354AC" w:rsidRPr="00601163" w:rsidRDefault="00F354AC" w:rsidP="00601163">
      <w:pPr>
        <w:spacing w:line="360" w:lineRule="auto"/>
        <w:jc w:val="both"/>
        <w:rPr>
          <w:b/>
          <w:bCs/>
          <w:iCs/>
          <w:sz w:val="24"/>
          <w:szCs w:val="24"/>
        </w:rPr>
      </w:pPr>
      <w:r>
        <w:rPr>
          <w:b/>
          <w:bCs/>
          <w:i/>
          <w:iCs/>
          <w:sz w:val="24"/>
          <w:szCs w:val="24"/>
        </w:rPr>
        <w:br w:type="page"/>
      </w:r>
      <w:r w:rsidRPr="00601163">
        <w:rPr>
          <w:b/>
          <w:bCs/>
          <w:iCs/>
          <w:sz w:val="24"/>
          <w:szCs w:val="24"/>
        </w:rPr>
        <w:t>Table 1:</w:t>
      </w:r>
    </w:p>
    <w:p w:rsidR="00F354AC" w:rsidRPr="00601163" w:rsidRDefault="00F354AC" w:rsidP="00601163">
      <w:pPr>
        <w:spacing w:line="360" w:lineRule="auto"/>
        <w:jc w:val="both"/>
        <w:rPr>
          <w:b/>
          <w:sz w:val="24"/>
          <w:szCs w:val="24"/>
        </w:rPr>
      </w:pPr>
      <w:r w:rsidRPr="00601163">
        <w:rPr>
          <w:b/>
          <w:bCs/>
          <w:iCs/>
          <w:sz w:val="24"/>
          <w:szCs w:val="24"/>
        </w:rPr>
        <w:t xml:space="preserve"> The Physical Effect of COVID-19 on Health of Medical Personnel</w:t>
      </w:r>
    </w:p>
    <w:tbl>
      <w:tblPr>
        <w:tblW w:w="90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200"/>
        <w:gridCol w:w="1200"/>
        <w:gridCol w:w="1200"/>
        <w:gridCol w:w="1200"/>
      </w:tblGrid>
      <w:tr w:rsidR="00F354AC" w:rsidRPr="00601163">
        <w:tc>
          <w:tcPr>
            <w:tcW w:w="4200" w:type="dxa"/>
          </w:tcPr>
          <w:p w:rsidR="00F354AC" w:rsidRPr="00601163" w:rsidRDefault="00F354AC" w:rsidP="00885667">
            <w:pPr>
              <w:jc w:val="center"/>
              <w:rPr>
                <w:sz w:val="22"/>
                <w:szCs w:val="22"/>
              </w:rPr>
            </w:pPr>
            <w:r w:rsidRPr="00601163">
              <w:rPr>
                <w:b/>
                <w:bCs/>
                <w:sz w:val="22"/>
                <w:szCs w:val="22"/>
              </w:rPr>
              <w:t>Item</w:t>
            </w:r>
          </w:p>
        </w:tc>
        <w:tc>
          <w:tcPr>
            <w:tcW w:w="1200" w:type="dxa"/>
          </w:tcPr>
          <w:p w:rsidR="00F354AC" w:rsidRPr="00601163" w:rsidRDefault="00F354AC" w:rsidP="00885667">
            <w:pPr>
              <w:jc w:val="center"/>
              <w:rPr>
                <w:sz w:val="22"/>
                <w:szCs w:val="22"/>
              </w:rPr>
            </w:pPr>
            <w:r w:rsidRPr="00601163">
              <w:rPr>
                <w:b/>
                <w:bCs/>
                <w:sz w:val="22"/>
                <w:szCs w:val="22"/>
              </w:rPr>
              <w:t>SA n(%)</w:t>
            </w:r>
          </w:p>
        </w:tc>
        <w:tc>
          <w:tcPr>
            <w:tcW w:w="1200" w:type="dxa"/>
          </w:tcPr>
          <w:p w:rsidR="00F354AC" w:rsidRPr="00601163" w:rsidRDefault="00F354AC" w:rsidP="00885667">
            <w:pPr>
              <w:jc w:val="center"/>
              <w:rPr>
                <w:sz w:val="22"/>
                <w:szCs w:val="22"/>
              </w:rPr>
            </w:pPr>
            <w:r w:rsidRPr="00601163">
              <w:rPr>
                <w:b/>
                <w:bCs/>
                <w:sz w:val="22"/>
                <w:szCs w:val="22"/>
              </w:rPr>
              <w:t>A n(%)</w:t>
            </w:r>
          </w:p>
        </w:tc>
        <w:tc>
          <w:tcPr>
            <w:tcW w:w="1200" w:type="dxa"/>
          </w:tcPr>
          <w:p w:rsidR="00F354AC" w:rsidRPr="00601163" w:rsidRDefault="00F354AC" w:rsidP="00885667">
            <w:pPr>
              <w:jc w:val="center"/>
              <w:rPr>
                <w:sz w:val="22"/>
                <w:szCs w:val="22"/>
              </w:rPr>
            </w:pPr>
            <w:r w:rsidRPr="00601163">
              <w:rPr>
                <w:b/>
                <w:bCs/>
                <w:sz w:val="22"/>
                <w:szCs w:val="22"/>
              </w:rPr>
              <w:t>D n(%)</w:t>
            </w:r>
          </w:p>
        </w:tc>
        <w:tc>
          <w:tcPr>
            <w:tcW w:w="1200" w:type="dxa"/>
          </w:tcPr>
          <w:p w:rsidR="00F354AC" w:rsidRPr="00601163" w:rsidRDefault="00F354AC" w:rsidP="00885667">
            <w:pPr>
              <w:jc w:val="center"/>
              <w:rPr>
                <w:sz w:val="22"/>
                <w:szCs w:val="22"/>
              </w:rPr>
            </w:pPr>
            <w:r w:rsidRPr="00601163">
              <w:rPr>
                <w:b/>
                <w:bCs/>
                <w:sz w:val="22"/>
                <w:szCs w:val="22"/>
              </w:rPr>
              <w:t>SD n(%)</w:t>
            </w:r>
          </w:p>
        </w:tc>
      </w:tr>
      <w:tr w:rsidR="00F354AC" w:rsidRPr="00601163">
        <w:tc>
          <w:tcPr>
            <w:tcW w:w="4200" w:type="dxa"/>
          </w:tcPr>
          <w:p w:rsidR="00F354AC" w:rsidRPr="00601163" w:rsidRDefault="00F354AC" w:rsidP="00AB1F3B">
            <w:pPr>
              <w:rPr>
                <w:sz w:val="22"/>
                <w:szCs w:val="22"/>
              </w:rPr>
            </w:pPr>
            <w:r w:rsidRPr="00601163">
              <w:rPr>
                <w:sz w:val="22"/>
                <w:szCs w:val="22"/>
              </w:rPr>
              <w:t>I lacked sleep (insomnia) whenever I was off duty</w:t>
            </w:r>
          </w:p>
        </w:tc>
        <w:tc>
          <w:tcPr>
            <w:tcW w:w="1200" w:type="dxa"/>
          </w:tcPr>
          <w:p w:rsidR="00F354AC" w:rsidRPr="00601163" w:rsidRDefault="00F354AC">
            <w:pPr>
              <w:jc w:val="center"/>
              <w:rPr>
                <w:sz w:val="22"/>
                <w:szCs w:val="22"/>
              </w:rPr>
            </w:pPr>
            <w:r w:rsidRPr="00601163">
              <w:rPr>
                <w:sz w:val="22"/>
                <w:szCs w:val="22"/>
              </w:rPr>
              <w:t>81 (53.3)</w:t>
            </w:r>
          </w:p>
        </w:tc>
        <w:tc>
          <w:tcPr>
            <w:tcW w:w="1200" w:type="dxa"/>
          </w:tcPr>
          <w:p w:rsidR="00F354AC" w:rsidRPr="00601163" w:rsidRDefault="00F354AC">
            <w:pPr>
              <w:jc w:val="center"/>
              <w:rPr>
                <w:sz w:val="22"/>
                <w:szCs w:val="22"/>
              </w:rPr>
            </w:pPr>
            <w:r w:rsidRPr="00601163">
              <w:rPr>
                <w:sz w:val="22"/>
                <w:szCs w:val="22"/>
              </w:rPr>
              <w:t>57 (37.8)</w:t>
            </w:r>
          </w:p>
        </w:tc>
        <w:tc>
          <w:tcPr>
            <w:tcW w:w="1200" w:type="dxa"/>
          </w:tcPr>
          <w:p w:rsidR="00F354AC" w:rsidRPr="00601163" w:rsidRDefault="00F354AC">
            <w:pPr>
              <w:jc w:val="center"/>
              <w:rPr>
                <w:sz w:val="22"/>
                <w:szCs w:val="22"/>
              </w:rPr>
            </w:pPr>
            <w:r w:rsidRPr="00601163">
              <w:rPr>
                <w:sz w:val="22"/>
                <w:szCs w:val="22"/>
              </w:rPr>
              <w:t>9 (5.6)</w:t>
            </w:r>
          </w:p>
        </w:tc>
        <w:tc>
          <w:tcPr>
            <w:tcW w:w="1200" w:type="dxa"/>
          </w:tcPr>
          <w:p w:rsidR="00F354AC" w:rsidRPr="00601163" w:rsidRDefault="00F354AC">
            <w:pPr>
              <w:jc w:val="center"/>
              <w:rPr>
                <w:sz w:val="22"/>
                <w:szCs w:val="22"/>
              </w:rPr>
            </w:pPr>
            <w:r w:rsidRPr="00601163">
              <w:rPr>
                <w:sz w:val="22"/>
                <w:szCs w:val="22"/>
              </w:rPr>
              <w:t>5 (3.3)</w:t>
            </w:r>
          </w:p>
        </w:tc>
      </w:tr>
      <w:tr w:rsidR="00F354AC" w:rsidRPr="00601163">
        <w:tc>
          <w:tcPr>
            <w:tcW w:w="4200" w:type="dxa"/>
          </w:tcPr>
          <w:p w:rsidR="00F354AC" w:rsidRPr="00601163" w:rsidRDefault="00F354AC" w:rsidP="00AB1F3B">
            <w:pPr>
              <w:rPr>
                <w:sz w:val="22"/>
                <w:szCs w:val="22"/>
              </w:rPr>
            </w:pPr>
            <w:r w:rsidRPr="00601163">
              <w:rPr>
                <w:sz w:val="22"/>
                <w:szCs w:val="22"/>
              </w:rPr>
              <w:t>There are days when I felt tired before I arrived at work</w:t>
            </w:r>
          </w:p>
        </w:tc>
        <w:tc>
          <w:tcPr>
            <w:tcW w:w="1200" w:type="dxa"/>
          </w:tcPr>
          <w:p w:rsidR="00F354AC" w:rsidRPr="00601163" w:rsidRDefault="00F354AC">
            <w:pPr>
              <w:jc w:val="center"/>
              <w:rPr>
                <w:sz w:val="22"/>
                <w:szCs w:val="22"/>
              </w:rPr>
            </w:pPr>
            <w:r w:rsidRPr="00601163">
              <w:rPr>
                <w:sz w:val="22"/>
                <w:szCs w:val="22"/>
              </w:rPr>
              <w:t>29 (18.9)</w:t>
            </w:r>
          </w:p>
        </w:tc>
        <w:tc>
          <w:tcPr>
            <w:tcW w:w="1200" w:type="dxa"/>
          </w:tcPr>
          <w:p w:rsidR="00F354AC" w:rsidRPr="00601163" w:rsidRDefault="00F354AC">
            <w:pPr>
              <w:jc w:val="center"/>
              <w:rPr>
                <w:sz w:val="22"/>
                <w:szCs w:val="22"/>
              </w:rPr>
            </w:pPr>
            <w:r w:rsidRPr="00601163">
              <w:rPr>
                <w:sz w:val="22"/>
                <w:szCs w:val="22"/>
              </w:rPr>
              <w:t>86 (56.7)</w:t>
            </w:r>
          </w:p>
        </w:tc>
        <w:tc>
          <w:tcPr>
            <w:tcW w:w="1200" w:type="dxa"/>
          </w:tcPr>
          <w:p w:rsidR="00F354AC" w:rsidRPr="00601163" w:rsidRDefault="00F354AC">
            <w:pPr>
              <w:jc w:val="center"/>
              <w:rPr>
                <w:sz w:val="22"/>
                <w:szCs w:val="22"/>
              </w:rPr>
            </w:pPr>
            <w:r w:rsidRPr="00601163">
              <w:rPr>
                <w:sz w:val="22"/>
                <w:szCs w:val="22"/>
              </w:rPr>
              <w:t>34 (22.2)</w:t>
            </w:r>
          </w:p>
        </w:tc>
        <w:tc>
          <w:tcPr>
            <w:tcW w:w="1200" w:type="dxa"/>
          </w:tcPr>
          <w:p w:rsidR="00F354AC" w:rsidRPr="00601163" w:rsidRDefault="00F354AC">
            <w:pPr>
              <w:jc w:val="center"/>
              <w:rPr>
                <w:sz w:val="22"/>
                <w:szCs w:val="22"/>
              </w:rPr>
            </w:pPr>
            <w:r w:rsidRPr="00601163">
              <w:rPr>
                <w:sz w:val="22"/>
                <w:szCs w:val="22"/>
              </w:rPr>
              <w:t>3 (2.2)</w:t>
            </w:r>
          </w:p>
        </w:tc>
      </w:tr>
      <w:tr w:rsidR="00F354AC" w:rsidRPr="00601163">
        <w:tc>
          <w:tcPr>
            <w:tcW w:w="4200" w:type="dxa"/>
          </w:tcPr>
          <w:p w:rsidR="00F354AC" w:rsidRPr="00601163" w:rsidRDefault="00F354AC" w:rsidP="00AB1F3B">
            <w:pPr>
              <w:rPr>
                <w:sz w:val="22"/>
                <w:szCs w:val="22"/>
              </w:rPr>
            </w:pPr>
            <w:r w:rsidRPr="00601163">
              <w:rPr>
                <w:sz w:val="22"/>
                <w:szCs w:val="22"/>
              </w:rPr>
              <w:t>After my work I tended to need more time than in the past in order to relax and feel better</w:t>
            </w:r>
          </w:p>
        </w:tc>
        <w:tc>
          <w:tcPr>
            <w:tcW w:w="1200" w:type="dxa"/>
          </w:tcPr>
          <w:p w:rsidR="00F354AC" w:rsidRPr="00601163" w:rsidRDefault="00F354AC">
            <w:pPr>
              <w:jc w:val="center"/>
              <w:rPr>
                <w:sz w:val="22"/>
                <w:szCs w:val="22"/>
              </w:rPr>
            </w:pPr>
            <w:r w:rsidRPr="00601163">
              <w:rPr>
                <w:sz w:val="22"/>
                <w:szCs w:val="22"/>
              </w:rPr>
              <w:t>19 (12.2)</w:t>
            </w:r>
          </w:p>
        </w:tc>
        <w:tc>
          <w:tcPr>
            <w:tcW w:w="1200" w:type="dxa"/>
          </w:tcPr>
          <w:p w:rsidR="00F354AC" w:rsidRPr="00601163" w:rsidRDefault="00F354AC">
            <w:pPr>
              <w:jc w:val="center"/>
              <w:rPr>
                <w:sz w:val="22"/>
                <w:szCs w:val="22"/>
              </w:rPr>
            </w:pPr>
            <w:r w:rsidRPr="00601163">
              <w:rPr>
                <w:sz w:val="22"/>
                <w:szCs w:val="22"/>
              </w:rPr>
              <w:t>66 (43.3)</w:t>
            </w:r>
          </w:p>
        </w:tc>
        <w:tc>
          <w:tcPr>
            <w:tcW w:w="1200" w:type="dxa"/>
          </w:tcPr>
          <w:p w:rsidR="00F354AC" w:rsidRPr="00601163" w:rsidRDefault="00F354AC">
            <w:pPr>
              <w:jc w:val="center"/>
              <w:rPr>
                <w:sz w:val="22"/>
                <w:szCs w:val="22"/>
              </w:rPr>
            </w:pPr>
            <w:r w:rsidRPr="00601163">
              <w:rPr>
                <w:sz w:val="22"/>
                <w:szCs w:val="22"/>
              </w:rPr>
              <w:t>57 (37.8)</w:t>
            </w:r>
          </w:p>
        </w:tc>
        <w:tc>
          <w:tcPr>
            <w:tcW w:w="1200" w:type="dxa"/>
          </w:tcPr>
          <w:p w:rsidR="00F354AC" w:rsidRPr="00601163" w:rsidRDefault="00F354AC">
            <w:pPr>
              <w:jc w:val="center"/>
              <w:rPr>
                <w:sz w:val="22"/>
                <w:szCs w:val="22"/>
              </w:rPr>
            </w:pPr>
            <w:r w:rsidRPr="00601163">
              <w:rPr>
                <w:sz w:val="22"/>
                <w:szCs w:val="22"/>
              </w:rPr>
              <w:t>10 (6.7)</w:t>
            </w:r>
          </w:p>
        </w:tc>
      </w:tr>
      <w:tr w:rsidR="00F354AC" w:rsidRPr="00601163">
        <w:tc>
          <w:tcPr>
            <w:tcW w:w="4200" w:type="dxa"/>
          </w:tcPr>
          <w:p w:rsidR="00F354AC" w:rsidRPr="00601163" w:rsidRDefault="00F354AC" w:rsidP="00AB1F3B">
            <w:pPr>
              <w:rPr>
                <w:sz w:val="22"/>
                <w:szCs w:val="22"/>
              </w:rPr>
            </w:pPr>
            <w:r w:rsidRPr="00601163">
              <w:rPr>
                <w:sz w:val="22"/>
                <w:szCs w:val="22"/>
              </w:rPr>
              <w:t>After my work I usually felt worn out and weary</w:t>
            </w:r>
          </w:p>
        </w:tc>
        <w:tc>
          <w:tcPr>
            <w:tcW w:w="1200" w:type="dxa"/>
          </w:tcPr>
          <w:p w:rsidR="00F354AC" w:rsidRPr="00601163" w:rsidRDefault="00F354AC">
            <w:pPr>
              <w:jc w:val="center"/>
              <w:rPr>
                <w:sz w:val="22"/>
                <w:szCs w:val="22"/>
              </w:rPr>
            </w:pPr>
            <w:r w:rsidRPr="00601163">
              <w:rPr>
                <w:sz w:val="22"/>
                <w:szCs w:val="22"/>
              </w:rPr>
              <w:t>19 (12.2)</w:t>
            </w:r>
          </w:p>
        </w:tc>
        <w:tc>
          <w:tcPr>
            <w:tcW w:w="1200" w:type="dxa"/>
          </w:tcPr>
          <w:p w:rsidR="00F354AC" w:rsidRPr="00601163" w:rsidRDefault="00F354AC">
            <w:pPr>
              <w:jc w:val="center"/>
              <w:rPr>
                <w:sz w:val="22"/>
                <w:szCs w:val="22"/>
              </w:rPr>
            </w:pPr>
            <w:r w:rsidRPr="00601163">
              <w:rPr>
                <w:sz w:val="22"/>
                <w:szCs w:val="22"/>
              </w:rPr>
              <w:t>93 (61.1)</w:t>
            </w:r>
          </w:p>
        </w:tc>
        <w:tc>
          <w:tcPr>
            <w:tcW w:w="1200" w:type="dxa"/>
          </w:tcPr>
          <w:p w:rsidR="00F354AC" w:rsidRPr="00601163" w:rsidRDefault="00F354AC">
            <w:pPr>
              <w:jc w:val="center"/>
              <w:rPr>
                <w:sz w:val="22"/>
                <w:szCs w:val="22"/>
              </w:rPr>
            </w:pPr>
            <w:r w:rsidRPr="00601163">
              <w:rPr>
                <w:sz w:val="22"/>
                <w:szCs w:val="22"/>
              </w:rPr>
              <w:t>35 (23.3)</w:t>
            </w:r>
          </w:p>
        </w:tc>
        <w:tc>
          <w:tcPr>
            <w:tcW w:w="1200" w:type="dxa"/>
          </w:tcPr>
          <w:p w:rsidR="00F354AC" w:rsidRPr="00601163" w:rsidRDefault="00F354AC">
            <w:pPr>
              <w:jc w:val="center"/>
              <w:rPr>
                <w:sz w:val="22"/>
                <w:szCs w:val="22"/>
              </w:rPr>
            </w:pPr>
            <w:r w:rsidRPr="00601163">
              <w:rPr>
                <w:sz w:val="22"/>
                <w:szCs w:val="22"/>
              </w:rPr>
              <w:t>5 (3.3)</w:t>
            </w:r>
          </w:p>
        </w:tc>
      </w:tr>
      <w:tr w:rsidR="00F354AC" w:rsidRPr="00601163">
        <w:tc>
          <w:tcPr>
            <w:tcW w:w="4200" w:type="dxa"/>
          </w:tcPr>
          <w:p w:rsidR="00F354AC" w:rsidRPr="00601163" w:rsidRDefault="00F354AC" w:rsidP="00AB1F3B">
            <w:pPr>
              <w:rPr>
                <w:sz w:val="22"/>
                <w:szCs w:val="22"/>
              </w:rPr>
            </w:pPr>
            <w:r w:rsidRPr="00601163">
              <w:rPr>
                <w:sz w:val="22"/>
                <w:szCs w:val="22"/>
              </w:rPr>
              <w:t>Over time I became disconnected from my type of work</w:t>
            </w:r>
          </w:p>
        </w:tc>
        <w:tc>
          <w:tcPr>
            <w:tcW w:w="1200" w:type="dxa"/>
          </w:tcPr>
          <w:p w:rsidR="00F354AC" w:rsidRPr="00601163" w:rsidRDefault="00F354AC">
            <w:pPr>
              <w:jc w:val="center"/>
              <w:rPr>
                <w:sz w:val="22"/>
                <w:szCs w:val="22"/>
              </w:rPr>
            </w:pPr>
            <w:r w:rsidRPr="00601163">
              <w:rPr>
                <w:sz w:val="22"/>
                <w:szCs w:val="22"/>
              </w:rPr>
              <w:t>7 (4.4)</w:t>
            </w:r>
          </w:p>
        </w:tc>
        <w:tc>
          <w:tcPr>
            <w:tcW w:w="1200" w:type="dxa"/>
          </w:tcPr>
          <w:p w:rsidR="00F354AC" w:rsidRPr="00601163" w:rsidRDefault="00F354AC">
            <w:pPr>
              <w:jc w:val="center"/>
              <w:rPr>
                <w:sz w:val="22"/>
                <w:szCs w:val="22"/>
              </w:rPr>
            </w:pPr>
            <w:r w:rsidRPr="00601163">
              <w:rPr>
                <w:sz w:val="22"/>
                <w:szCs w:val="22"/>
              </w:rPr>
              <w:t>61 (40.0)</w:t>
            </w:r>
          </w:p>
        </w:tc>
        <w:tc>
          <w:tcPr>
            <w:tcW w:w="1200" w:type="dxa"/>
          </w:tcPr>
          <w:p w:rsidR="00F354AC" w:rsidRPr="00601163" w:rsidRDefault="00F354AC">
            <w:pPr>
              <w:jc w:val="center"/>
              <w:rPr>
                <w:sz w:val="22"/>
                <w:szCs w:val="22"/>
              </w:rPr>
            </w:pPr>
            <w:r w:rsidRPr="00601163">
              <w:rPr>
                <w:sz w:val="22"/>
                <w:szCs w:val="22"/>
              </w:rPr>
              <w:t>59 (38.9)</w:t>
            </w:r>
          </w:p>
        </w:tc>
        <w:tc>
          <w:tcPr>
            <w:tcW w:w="1200" w:type="dxa"/>
          </w:tcPr>
          <w:p w:rsidR="00F354AC" w:rsidRPr="00601163" w:rsidRDefault="00F354AC">
            <w:pPr>
              <w:jc w:val="center"/>
              <w:rPr>
                <w:sz w:val="22"/>
                <w:szCs w:val="22"/>
              </w:rPr>
            </w:pPr>
            <w:r w:rsidRPr="00601163">
              <w:rPr>
                <w:sz w:val="22"/>
                <w:szCs w:val="22"/>
              </w:rPr>
              <w:t>25 (16.7)</w:t>
            </w:r>
          </w:p>
        </w:tc>
      </w:tr>
      <w:tr w:rsidR="00F354AC" w:rsidRPr="00601163">
        <w:tc>
          <w:tcPr>
            <w:tcW w:w="4200" w:type="dxa"/>
          </w:tcPr>
          <w:p w:rsidR="00F354AC" w:rsidRPr="00601163" w:rsidRDefault="00F354AC" w:rsidP="00AB1F3B">
            <w:pPr>
              <w:rPr>
                <w:sz w:val="22"/>
                <w:szCs w:val="22"/>
              </w:rPr>
            </w:pPr>
            <w:r w:rsidRPr="00601163">
              <w:rPr>
                <w:sz w:val="22"/>
                <w:szCs w:val="22"/>
              </w:rPr>
              <w:t>I became overweight as a result of confinement with no exercise</w:t>
            </w:r>
          </w:p>
        </w:tc>
        <w:tc>
          <w:tcPr>
            <w:tcW w:w="1200" w:type="dxa"/>
          </w:tcPr>
          <w:p w:rsidR="00F354AC" w:rsidRPr="00601163" w:rsidRDefault="00F354AC">
            <w:pPr>
              <w:jc w:val="center"/>
              <w:rPr>
                <w:sz w:val="22"/>
                <w:szCs w:val="22"/>
              </w:rPr>
            </w:pPr>
            <w:r w:rsidRPr="00601163">
              <w:rPr>
                <w:sz w:val="22"/>
                <w:szCs w:val="22"/>
              </w:rPr>
              <w:t>47 (31.1)</w:t>
            </w:r>
          </w:p>
        </w:tc>
        <w:tc>
          <w:tcPr>
            <w:tcW w:w="1200" w:type="dxa"/>
          </w:tcPr>
          <w:p w:rsidR="00F354AC" w:rsidRPr="00601163" w:rsidRDefault="00F354AC">
            <w:pPr>
              <w:jc w:val="center"/>
              <w:rPr>
                <w:sz w:val="22"/>
                <w:szCs w:val="22"/>
              </w:rPr>
            </w:pPr>
            <w:r w:rsidRPr="00601163">
              <w:rPr>
                <w:sz w:val="22"/>
                <w:szCs w:val="22"/>
              </w:rPr>
              <w:t>90 (58.9)</w:t>
            </w:r>
          </w:p>
        </w:tc>
        <w:tc>
          <w:tcPr>
            <w:tcW w:w="1200" w:type="dxa"/>
          </w:tcPr>
          <w:p w:rsidR="00F354AC" w:rsidRPr="00601163" w:rsidRDefault="00F354AC">
            <w:pPr>
              <w:jc w:val="center"/>
              <w:rPr>
                <w:sz w:val="22"/>
                <w:szCs w:val="22"/>
              </w:rPr>
            </w:pPr>
            <w:r w:rsidRPr="00601163">
              <w:rPr>
                <w:sz w:val="22"/>
                <w:szCs w:val="22"/>
              </w:rPr>
              <w:t>10 (6.7)</w:t>
            </w:r>
          </w:p>
        </w:tc>
        <w:tc>
          <w:tcPr>
            <w:tcW w:w="1200" w:type="dxa"/>
          </w:tcPr>
          <w:p w:rsidR="00F354AC" w:rsidRPr="00601163" w:rsidRDefault="00F354AC">
            <w:pPr>
              <w:jc w:val="center"/>
              <w:rPr>
                <w:sz w:val="22"/>
                <w:szCs w:val="22"/>
              </w:rPr>
            </w:pPr>
            <w:r w:rsidRPr="00601163">
              <w:rPr>
                <w:sz w:val="22"/>
                <w:szCs w:val="22"/>
              </w:rPr>
              <w:t>5 (3.3)</w:t>
            </w:r>
          </w:p>
        </w:tc>
      </w:tr>
      <w:tr w:rsidR="00F354AC" w:rsidRPr="00601163">
        <w:tc>
          <w:tcPr>
            <w:tcW w:w="4200" w:type="dxa"/>
          </w:tcPr>
          <w:p w:rsidR="00F354AC" w:rsidRPr="00601163" w:rsidRDefault="00F354AC" w:rsidP="00AB1F3B">
            <w:pPr>
              <w:rPr>
                <w:sz w:val="22"/>
                <w:szCs w:val="22"/>
              </w:rPr>
            </w:pPr>
            <w:r w:rsidRPr="00601163">
              <w:rPr>
                <w:sz w:val="22"/>
                <w:szCs w:val="22"/>
              </w:rPr>
              <w:t>I tended to think less at work and do my job at a slow pace (lethargic)</w:t>
            </w:r>
          </w:p>
        </w:tc>
        <w:tc>
          <w:tcPr>
            <w:tcW w:w="1200" w:type="dxa"/>
          </w:tcPr>
          <w:p w:rsidR="00F354AC" w:rsidRPr="00601163" w:rsidRDefault="00F354AC">
            <w:pPr>
              <w:jc w:val="center"/>
              <w:rPr>
                <w:sz w:val="22"/>
                <w:szCs w:val="22"/>
              </w:rPr>
            </w:pPr>
            <w:r w:rsidRPr="00601163">
              <w:rPr>
                <w:sz w:val="22"/>
                <w:szCs w:val="22"/>
              </w:rPr>
              <w:t>43 (27.8)</w:t>
            </w:r>
          </w:p>
        </w:tc>
        <w:tc>
          <w:tcPr>
            <w:tcW w:w="1200" w:type="dxa"/>
          </w:tcPr>
          <w:p w:rsidR="00F354AC" w:rsidRPr="00601163" w:rsidRDefault="00F354AC">
            <w:pPr>
              <w:jc w:val="center"/>
              <w:rPr>
                <w:sz w:val="22"/>
                <w:szCs w:val="22"/>
              </w:rPr>
            </w:pPr>
            <w:r w:rsidRPr="00601163">
              <w:rPr>
                <w:sz w:val="22"/>
                <w:szCs w:val="22"/>
              </w:rPr>
              <w:t>20 (13.3)</w:t>
            </w:r>
          </w:p>
        </w:tc>
        <w:tc>
          <w:tcPr>
            <w:tcW w:w="1200" w:type="dxa"/>
          </w:tcPr>
          <w:p w:rsidR="00F354AC" w:rsidRPr="00601163" w:rsidRDefault="00F354AC">
            <w:pPr>
              <w:jc w:val="center"/>
              <w:rPr>
                <w:sz w:val="22"/>
                <w:szCs w:val="22"/>
              </w:rPr>
            </w:pPr>
            <w:r w:rsidRPr="00601163">
              <w:rPr>
                <w:sz w:val="22"/>
                <w:szCs w:val="22"/>
              </w:rPr>
              <w:t>67 (44.4)</w:t>
            </w:r>
          </w:p>
        </w:tc>
        <w:tc>
          <w:tcPr>
            <w:tcW w:w="1200" w:type="dxa"/>
          </w:tcPr>
          <w:p w:rsidR="00F354AC" w:rsidRPr="00601163" w:rsidRDefault="00F354AC">
            <w:pPr>
              <w:jc w:val="center"/>
              <w:rPr>
                <w:sz w:val="22"/>
                <w:szCs w:val="22"/>
              </w:rPr>
            </w:pPr>
            <w:r w:rsidRPr="00601163">
              <w:rPr>
                <w:sz w:val="22"/>
                <w:szCs w:val="22"/>
              </w:rPr>
              <w:t>22 (14.4)</w:t>
            </w:r>
          </w:p>
        </w:tc>
      </w:tr>
      <w:tr w:rsidR="00F354AC" w:rsidRPr="00601163">
        <w:tc>
          <w:tcPr>
            <w:tcW w:w="4200" w:type="dxa"/>
          </w:tcPr>
          <w:p w:rsidR="00F354AC" w:rsidRPr="00601163" w:rsidRDefault="00F354AC" w:rsidP="00AB1F3B">
            <w:pPr>
              <w:rPr>
                <w:sz w:val="22"/>
                <w:szCs w:val="22"/>
              </w:rPr>
            </w:pPr>
            <w:r w:rsidRPr="00601163">
              <w:rPr>
                <w:sz w:val="22"/>
                <w:szCs w:val="22"/>
              </w:rPr>
              <w:t>After working I had enough energy for my leisure activities</w:t>
            </w:r>
          </w:p>
        </w:tc>
        <w:tc>
          <w:tcPr>
            <w:tcW w:w="1200" w:type="dxa"/>
          </w:tcPr>
          <w:p w:rsidR="00F354AC" w:rsidRPr="00601163" w:rsidRDefault="00F354AC">
            <w:pPr>
              <w:jc w:val="center"/>
              <w:rPr>
                <w:sz w:val="22"/>
                <w:szCs w:val="22"/>
              </w:rPr>
            </w:pPr>
            <w:r w:rsidRPr="00601163">
              <w:rPr>
                <w:sz w:val="22"/>
                <w:szCs w:val="22"/>
              </w:rPr>
              <w:t>51 (33.3)</w:t>
            </w:r>
          </w:p>
        </w:tc>
        <w:tc>
          <w:tcPr>
            <w:tcW w:w="1200" w:type="dxa"/>
          </w:tcPr>
          <w:p w:rsidR="00F354AC" w:rsidRPr="00601163" w:rsidRDefault="00F354AC">
            <w:pPr>
              <w:jc w:val="center"/>
              <w:rPr>
                <w:sz w:val="22"/>
                <w:szCs w:val="22"/>
              </w:rPr>
            </w:pPr>
            <w:r w:rsidRPr="00601163">
              <w:rPr>
                <w:sz w:val="22"/>
                <w:szCs w:val="22"/>
              </w:rPr>
              <w:t>46 (30.0)</w:t>
            </w:r>
          </w:p>
        </w:tc>
        <w:tc>
          <w:tcPr>
            <w:tcW w:w="1200" w:type="dxa"/>
          </w:tcPr>
          <w:p w:rsidR="00F354AC" w:rsidRPr="00601163" w:rsidRDefault="00F354AC">
            <w:pPr>
              <w:jc w:val="center"/>
              <w:rPr>
                <w:sz w:val="22"/>
                <w:szCs w:val="22"/>
              </w:rPr>
            </w:pPr>
            <w:r w:rsidRPr="00601163">
              <w:rPr>
                <w:sz w:val="22"/>
                <w:szCs w:val="22"/>
              </w:rPr>
              <w:t>52 (34.4)</w:t>
            </w:r>
          </w:p>
        </w:tc>
        <w:tc>
          <w:tcPr>
            <w:tcW w:w="1200" w:type="dxa"/>
          </w:tcPr>
          <w:p w:rsidR="00F354AC" w:rsidRPr="00601163" w:rsidRDefault="00F354AC">
            <w:pPr>
              <w:jc w:val="center"/>
              <w:rPr>
                <w:sz w:val="22"/>
                <w:szCs w:val="22"/>
              </w:rPr>
            </w:pPr>
            <w:r w:rsidRPr="00601163">
              <w:rPr>
                <w:sz w:val="22"/>
                <w:szCs w:val="22"/>
              </w:rPr>
              <w:t>3 (2.2)</w:t>
            </w:r>
          </w:p>
        </w:tc>
      </w:tr>
      <w:tr w:rsidR="00F354AC" w:rsidRPr="00601163">
        <w:tc>
          <w:tcPr>
            <w:tcW w:w="4200" w:type="dxa"/>
          </w:tcPr>
          <w:p w:rsidR="00F354AC" w:rsidRPr="00601163" w:rsidRDefault="00F354AC" w:rsidP="00AB1F3B">
            <w:pPr>
              <w:rPr>
                <w:sz w:val="22"/>
                <w:szCs w:val="22"/>
              </w:rPr>
            </w:pPr>
            <w:r w:rsidRPr="00601163">
              <w:rPr>
                <w:sz w:val="22"/>
                <w:szCs w:val="22"/>
              </w:rPr>
              <w:t>Sometimes I felt headaches and sickened by my work tasks</w:t>
            </w:r>
          </w:p>
        </w:tc>
        <w:tc>
          <w:tcPr>
            <w:tcW w:w="1200" w:type="dxa"/>
          </w:tcPr>
          <w:p w:rsidR="00F354AC" w:rsidRPr="00601163" w:rsidRDefault="00F354AC">
            <w:pPr>
              <w:jc w:val="center"/>
              <w:rPr>
                <w:sz w:val="22"/>
                <w:szCs w:val="22"/>
              </w:rPr>
            </w:pPr>
            <w:r w:rsidRPr="00601163">
              <w:rPr>
                <w:sz w:val="22"/>
                <w:szCs w:val="22"/>
              </w:rPr>
              <w:t>37 (24.4)</w:t>
            </w:r>
          </w:p>
        </w:tc>
        <w:tc>
          <w:tcPr>
            <w:tcW w:w="1200" w:type="dxa"/>
          </w:tcPr>
          <w:p w:rsidR="00F354AC" w:rsidRPr="00601163" w:rsidRDefault="00F354AC">
            <w:pPr>
              <w:jc w:val="center"/>
              <w:rPr>
                <w:sz w:val="22"/>
                <w:szCs w:val="22"/>
              </w:rPr>
            </w:pPr>
            <w:r w:rsidRPr="00601163">
              <w:rPr>
                <w:sz w:val="22"/>
                <w:szCs w:val="22"/>
              </w:rPr>
              <w:t>111 (73.3)</w:t>
            </w:r>
          </w:p>
        </w:tc>
        <w:tc>
          <w:tcPr>
            <w:tcW w:w="1200" w:type="dxa"/>
          </w:tcPr>
          <w:p w:rsidR="00F354AC" w:rsidRPr="00601163" w:rsidRDefault="00F354AC">
            <w:pPr>
              <w:jc w:val="center"/>
              <w:rPr>
                <w:sz w:val="22"/>
                <w:szCs w:val="22"/>
              </w:rPr>
            </w:pPr>
            <w:r w:rsidRPr="00601163">
              <w:rPr>
                <w:sz w:val="22"/>
                <w:szCs w:val="22"/>
              </w:rPr>
              <w:t>4 (2.2)</w:t>
            </w:r>
          </w:p>
        </w:tc>
        <w:tc>
          <w:tcPr>
            <w:tcW w:w="1200" w:type="dxa"/>
          </w:tcPr>
          <w:p w:rsidR="00F354AC" w:rsidRPr="00601163" w:rsidRDefault="00F354AC">
            <w:pPr>
              <w:jc w:val="center"/>
              <w:rPr>
                <w:sz w:val="22"/>
                <w:szCs w:val="22"/>
              </w:rPr>
            </w:pPr>
            <w:r w:rsidRPr="00601163">
              <w:rPr>
                <w:sz w:val="22"/>
                <w:szCs w:val="22"/>
              </w:rPr>
              <w:t>0 (0.0)</w:t>
            </w:r>
          </w:p>
        </w:tc>
      </w:tr>
    </w:tbl>
    <w:p w:rsidR="00F354AC" w:rsidRPr="00601163" w:rsidRDefault="00F354AC">
      <w:pPr>
        <w:spacing w:after="200" w:line="360" w:lineRule="auto"/>
        <w:jc w:val="both"/>
      </w:pPr>
    </w:p>
    <w:p w:rsidR="00F354AC" w:rsidRPr="00601163" w:rsidRDefault="00F354AC">
      <w:pPr>
        <w:spacing w:after="200" w:line="360" w:lineRule="auto"/>
        <w:jc w:val="both"/>
        <w:rPr>
          <w:sz w:val="24"/>
          <w:szCs w:val="24"/>
        </w:rPr>
      </w:pPr>
      <w:r w:rsidRPr="00601163">
        <w:rPr>
          <w:sz w:val="24"/>
          <w:szCs w:val="24"/>
        </w:rPr>
        <w:t>Demographic and occupational variables were significantly associated with physical health outcomes as revealed by regression analysis. Respondents who were married were three times as likely as those who were widowed to say they were sickened by their work tasks (OR = 3.23, 95% CI = 1.06-9.89, p = 0.04). There was a significant association between years of experience and chronic tiredness (p = 0.02): respondents who had less than 5 years of experience were 97% less likely (OR = 0.03, 95% CI = 0-0.65) to report chronic tiredness than those with more than 10 years of experience. There was a significant cadre effect in most physical health indicators. Clinical officers (OR = 3.65, 95% CI = 1.16-11.5, p = 0.03) and doctors (OR = 3.49, 95% CI = 1.37-8.9, p = 0.01) were each over three times as likely as nurses to report insomnia attributable to their pandemic-era workload. Chronic tiredness was significantly associated with all cadres, being at least fifteen times more likely than nurses, with laboratory technicians (OR = 3.9, p = 0.01), clinical officers (OR = 4.4, p = 0.01) and doctors (OR = 6.05, p = 0.00) having the highest odds ratios.</w:t>
      </w:r>
    </w:p>
    <w:p w:rsidR="00F354AC" w:rsidRDefault="00F354AC" w:rsidP="00601163">
      <w:pPr>
        <w:spacing w:line="360" w:lineRule="auto"/>
        <w:jc w:val="both"/>
        <w:rPr>
          <w:b/>
          <w:bCs/>
          <w:iCs/>
          <w:sz w:val="24"/>
          <w:szCs w:val="24"/>
        </w:rPr>
      </w:pPr>
      <w:r>
        <w:rPr>
          <w:b/>
          <w:bCs/>
          <w:i/>
          <w:iCs/>
          <w:sz w:val="22"/>
          <w:szCs w:val="22"/>
        </w:rPr>
        <w:br w:type="page"/>
      </w:r>
      <w:r w:rsidRPr="00601163">
        <w:rPr>
          <w:b/>
          <w:bCs/>
          <w:iCs/>
          <w:sz w:val="24"/>
          <w:szCs w:val="24"/>
        </w:rPr>
        <w:t xml:space="preserve">Table 2: </w:t>
      </w:r>
    </w:p>
    <w:p w:rsidR="00F354AC" w:rsidRPr="00601163" w:rsidRDefault="00F354AC" w:rsidP="00601163">
      <w:pPr>
        <w:spacing w:line="360" w:lineRule="auto"/>
        <w:jc w:val="both"/>
        <w:rPr>
          <w:sz w:val="24"/>
          <w:szCs w:val="24"/>
        </w:rPr>
      </w:pPr>
      <w:r w:rsidRPr="00601163">
        <w:rPr>
          <w:b/>
          <w:bCs/>
          <w:iCs/>
          <w:sz w:val="24"/>
          <w:szCs w:val="24"/>
        </w:rPr>
        <w:t>Factors Significantly Associated with the Physical Effects of COVID-19 on Medical Personnel</w:t>
      </w:r>
    </w:p>
    <w:tbl>
      <w:tblPr>
        <w:tblW w:w="90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200"/>
        <w:gridCol w:w="2200"/>
        <w:gridCol w:w="1600"/>
      </w:tblGrid>
      <w:tr w:rsidR="00F354AC" w:rsidRPr="00601163">
        <w:tc>
          <w:tcPr>
            <w:tcW w:w="3000" w:type="dxa"/>
          </w:tcPr>
          <w:p w:rsidR="00F354AC" w:rsidRPr="00601163" w:rsidRDefault="00F354AC" w:rsidP="00885667">
            <w:pPr>
              <w:jc w:val="center"/>
              <w:rPr>
                <w:sz w:val="22"/>
                <w:szCs w:val="22"/>
              </w:rPr>
            </w:pPr>
            <w:r w:rsidRPr="00601163">
              <w:rPr>
                <w:b/>
                <w:bCs/>
                <w:sz w:val="22"/>
                <w:szCs w:val="22"/>
              </w:rPr>
              <w:t>Factor</w:t>
            </w:r>
          </w:p>
        </w:tc>
        <w:tc>
          <w:tcPr>
            <w:tcW w:w="2200" w:type="dxa"/>
          </w:tcPr>
          <w:p w:rsidR="00F354AC" w:rsidRPr="00601163" w:rsidRDefault="00F354AC" w:rsidP="00885667">
            <w:pPr>
              <w:jc w:val="center"/>
              <w:rPr>
                <w:sz w:val="22"/>
                <w:szCs w:val="22"/>
              </w:rPr>
            </w:pPr>
            <w:r w:rsidRPr="00601163">
              <w:rPr>
                <w:b/>
                <w:bCs/>
                <w:sz w:val="22"/>
                <w:szCs w:val="22"/>
              </w:rPr>
              <w:t>Outcome</w:t>
            </w:r>
          </w:p>
        </w:tc>
        <w:tc>
          <w:tcPr>
            <w:tcW w:w="2200" w:type="dxa"/>
          </w:tcPr>
          <w:p w:rsidR="00F354AC" w:rsidRPr="00601163" w:rsidRDefault="00F354AC" w:rsidP="00885667">
            <w:pPr>
              <w:jc w:val="center"/>
              <w:rPr>
                <w:sz w:val="22"/>
                <w:szCs w:val="22"/>
              </w:rPr>
            </w:pPr>
            <w:r w:rsidRPr="00601163">
              <w:rPr>
                <w:b/>
                <w:bCs/>
                <w:sz w:val="22"/>
                <w:szCs w:val="22"/>
              </w:rPr>
              <w:t>OR (95% CI)</w:t>
            </w:r>
          </w:p>
        </w:tc>
        <w:tc>
          <w:tcPr>
            <w:tcW w:w="1600" w:type="dxa"/>
          </w:tcPr>
          <w:p w:rsidR="00F354AC" w:rsidRPr="00601163" w:rsidRDefault="00F354AC" w:rsidP="00885667">
            <w:pPr>
              <w:jc w:val="center"/>
              <w:rPr>
                <w:sz w:val="22"/>
                <w:szCs w:val="22"/>
              </w:rPr>
            </w:pPr>
            <w:r w:rsidRPr="00601163">
              <w:rPr>
                <w:b/>
                <w:bCs/>
                <w:sz w:val="22"/>
                <w:szCs w:val="22"/>
              </w:rPr>
              <w:t>p-value</w:t>
            </w:r>
          </w:p>
        </w:tc>
      </w:tr>
      <w:tr w:rsidR="00F354AC" w:rsidRPr="00601163">
        <w:tc>
          <w:tcPr>
            <w:tcW w:w="3000" w:type="dxa"/>
          </w:tcPr>
          <w:p w:rsidR="00F354AC" w:rsidRDefault="00F354AC" w:rsidP="00CB6C88">
            <w:pPr>
              <w:ind w:left="178"/>
              <w:rPr>
                <w:sz w:val="22"/>
                <w:szCs w:val="22"/>
              </w:rPr>
            </w:pPr>
            <w:r w:rsidRPr="00601163">
              <w:rPr>
                <w:sz w:val="22"/>
                <w:szCs w:val="22"/>
              </w:rPr>
              <w:t xml:space="preserve">Marital status: Married </w:t>
            </w:r>
          </w:p>
          <w:p w:rsidR="00F354AC" w:rsidRPr="00601163" w:rsidRDefault="00F354AC" w:rsidP="00CB6C88">
            <w:pPr>
              <w:ind w:left="178"/>
              <w:rPr>
                <w:sz w:val="22"/>
                <w:szCs w:val="22"/>
              </w:rPr>
            </w:pPr>
            <w:r w:rsidRPr="00601163">
              <w:rPr>
                <w:sz w:val="22"/>
                <w:szCs w:val="22"/>
              </w:rPr>
              <w:t>(ref. Widow/er)</w:t>
            </w:r>
          </w:p>
        </w:tc>
        <w:tc>
          <w:tcPr>
            <w:tcW w:w="2200" w:type="dxa"/>
          </w:tcPr>
          <w:p w:rsidR="00F354AC" w:rsidRPr="00601163" w:rsidRDefault="00F354AC" w:rsidP="00CB6C88">
            <w:pPr>
              <w:ind w:left="58"/>
              <w:rPr>
                <w:sz w:val="22"/>
                <w:szCs w:val="22"/>
              </w:rPr>
            </w:pPr>
            <w:r w:rsidRPr="00601163">
              <w:rPr>
                <w:sz w:val="22"/>
                <w:szCs w:val="22"/>
              </w:rPr>
              <w:t>Sickened by work duties</w:t>
            </w:r>
          </w:p>
        </w:tc>
        <w:tc>
          <w:tcPr>
            <w:tcW w:w="2200" w:type="dxa"/>
          </w:tcPr>
          <w:p w:rsidR="00F354AC" w:rsidRPr="00601163" w:rsidRDefault="00F354AC" w:rsidP="00CB6C88">
            <w:pPr>
              <w:ind w:right="182"/>
              <w:jc w:val="right"/>
              <w:rPr>
                <w:sz w:val="22"/>
                <w:szCs w:val="22"/>
              </w:rPr>
            </w:pPr>
            <w:r w:rsidRPr="00601163">
              <w:rPr>
                <w:sz w:val="22"/>
                <w:szCs w:val="22"/>
              </w:rPr>
              <w:t>3.23 (1.06-9.89)</w:t>
            </w:r>
          </w:p>
        </w:tc>
        <w:tc>
          <w:tcPr>
            <w:tcW w:w="1600" w:type="dxa"/>
          </w:tcPr>
          <w:p w:rsidR="00F354AC" w:rsidRPr="00601163" w:rsidRDefault="00F354AC" w:rsidP="00CB6C88">
            <w:pPr>
              <w:ind w:right="162"/>
              <w:jc w:val="right"/>
              <w:rPr>
                <w:sz w:val="22"/>
                <w:szCs w:val="22"/>
              </w:rPr>
            </w:pPr>
            <w:r w:rsidRPr="00601163">
              <w:rPr>
                <w:sz w:val="22"/>
                <w:szCs w:val="22"/>
              </w:rPr>
              <w:t>0.04</w:t>
            </w:r>
          </w:p>
        </w:tc>
      </w:tr>
      <w:tr w:rsidR="00F354AC" w:rsidRPr="00601163">
        <w:tc>
          <w:tcPr>
            <w:tcW w:w="3000" w:type="dxa"/>
          </w:tcPr>
          <w:p w:rsidR="00F354AC" w:rsidRDefault="00F354AC" w:rsidP="00CB6C88">
            <w:pPr>
              <w:ind w:left="178"/>
              <w:rPr>
                <w:sz w:val="22"/>
                <w:szCs w:val="22"/>
              </w:rPr>
            </w:pPr>
            <w:r w:rsidRPr="00601163">
              <w:rPr>
                <w:sz w:val="22"/>
                <w:szCs w:val="22"/>
              </w:rPr>
              <w:t xml:space="preserve">Experience: &lt; 5 years </w:t>
            </w:r>
          </w:p>
          <w:p w:rsidR="00F354AC" w:rsidRPr="00601163" w:rsidRDefault="00F354AC" w:rsidP="00CB6C88">
            <w:pPr>
              <w:ind w:left="178"/>
              <w:rPr>
                <w:sz w:val="22"/>
                <w:szCs w:val="22"/>
              </w:rPr>
            </w:pPr>
            <w:r w:rsidRPr="00601163">
              <w:rPr>
                <w:sz w:val="22"/>
                <w:szCs w:val="22"/>
              </w:rPr>
              <w:t>(ref. &gt; 10 years)</w:t>
            </w:r>
          </w:p>
        </w:tc>
        <w:tc>
          <w:tcPr>
            <w:tcW w:w="2200" w:type="dxa"/>
          </w:tcPr>
          <w:p w:rsidR="00F354AC" w:rsidRPr="00601163" w:rsidRDefault="00F354AC" w:rsidP="00CB6C88">
            <w:pPr>
              <w:ind w:left="58"/>
              <w:rPr>
                <w:sz w:val="22"/>
                <w:szCs w:val="22"/>
              </w:rPr>
            </w:pPr>
            <w:r w:rsidRPr="00601163">
              <w:rPr>
                <w:sz w:val="22"/>
                <w:szCs w:val="22"/>
              </w:rPr>
              <w:t>Chronic tiredness</w:t>
            </w:r>
          </w:p>
        </w:tc>
        <w:tc>
          <w:tcPr>
            <w:tcW w:w="2200" w:type="dxa"/>
          </w:tcPr>
          <w:p w:rsidR="00F354AC" w:rsidRPr="00601163" w:rsidRDefault="00F354AC" w:rsidP="00CB6C88">
            <w:pPr>
              <w:ind w:right="182"/>
              <w:jc w:val="right"/>
              <w:rPr>
                <w:sz w:val="22"/>
                <w:szCs w:val="22"/>
              </w:rPr>
            </w:pPr>
            <w:r w:rsidRPr="00601163">
              <w:rPr>
                <w:sz w:val="22"/>
                <w:szCs w:val="22"/>
              </w:rPr>
              <w:t>0.03 (0-0.65)</w:t>
            </w:r>
          </w:p>
        </w:tc>
        <w:tc>
          <w:tcPr>
            <w:tcW w:w="1600" w:type="dxa"/>
          </w:tcPr>
          <w:p w:rsidR="00F354AC" w:rsidRPr="00601163" w:rsidRDefault="00F354AC" w:rsidP="00CB6C88">
            <w:pPr>
              <w:ind w:right="162"/>
              <w:jc w:val="right"/>
              <w:rPr>
                <w:sz w:val="22"/>
                <w:szCs w:val="22"/>
              </w:rPr>
            </w:pPr>
            <w:r w:rsidRPr="00601163">
              <w:rPr>
                <w:sz w:val="22"/>
                <w:szCs w:val="22"/>
              </w:rPr>
              <w:t>0.02</w:t>
            </w:r>
          </w:p>
        </w:tc>
      </w:tr>
      <w:tr w:rsidR="00F354AC" w:rsidRPr="00601163">
        <w:tc>
          <w:tcPr>
            <w:tcW w:w="3000" w:type="dxa"/>
          </w:tcPr>
          <w:p w:rsidR="00F354AC" w:rsidRDefault="00F354AC" w:rsidP="00CB6C88">
            <w:pPr>
              <w:ind w:left="178"/>
              <w:rPr>
                <w:sz w:val="22"/>
                <w:szCs w:val="22"/>
              </w:rPr>
            </w:pPr>
            <w:r w:rsidRPr="00601163">
              <w:rPr>
                <w:sz w:val="22"/>
                <w:szCs w:val="22"/>
              </w:rPr>
              <w:t xml:space="preserve">Cadre: Clinical Officer </w:t>
            </w:r>
          </w:p>
          <w:p w:rsidR="00F354AC" w:rsidRPr="00601163" w:rsidRDefault="00F354AC" w:rsidP="00CB6C88">
            <w:pPr>
              <w:ind w:left="178"/>
              <w:rPr>
                <w:sz w:val="22"/>
                <w:szCs w:val="22"/>
              </w:rPr>
            </w:pPr>
            <w:r w:rsidRPr="00601163">
              <w:rPr>
                <w:sz w:val="22"/>
                <w:szCs w:val="22"/>
              </w:rPr>
              <w:t>(ref. Nurse)</w:t>
            </w:r>
          </w:p>
        </w:tc>
        <w:tc>
          <w:tcPr>
            <w:tcW w:w="2200" w:type="dxa"/>
          </w:tcPr>
          <w:p w:rsidR="00F354AC" w:rsidRPr="00601163" w:rsidRDefault="00F354AC" w:rsidP="00CB6C88">
            <w:pPr>
              <w:ind w:left="58"/>
              <w:rPr>
                <w:sz w:val="22"/>
                <w:szCs w:val="22"/>
              </w:rPr>
            </w:pPr>
            <w:r w:rsidRPr="00601163">
              <w:rPr>
                <w:sz w:val="22"/>
                <w:szCs w:val="22"/>
              </w:rPr>
              <w:t>Insomnia</w:t>
            </w:r>
          </w:p>
        </w:tc>
        <w:tc>
          <w:tcPr>
            <w:tcW w:w="2200" w:type="dxa"/>
          </w:tcPr>
          <w:p w:rsidR="00F354AC" w:rsidRPr="00601163" w:rsidRDefault="00F354AC" w:rsidP="00CB6C88">
            <w:pPr>
              <w:ind w:right="182"/>
              <w:jc w:val="right"/>
              <w:rPr>
                <w:sz w:val="22"/>
                <w:szCs w:val="22"/>
              </w:rPr>
            </w:pPr>
            <w:r w:rsidRPr="00601163">
              <w:rPr>
                <w:sz w:val="22"/>
                <w:szCs w:val="22"/>
              </w:rPr>
              <w:t>3.65 (1.16-11.5)</w:t>
            </w:r>
          </w:p>
        </w:tc>
        <w:tc>
          <w:tcPr>
            <w:tcW w:w="1600" w:type="dxa"/>
          </w:tcPr>
          <w:p w:rsidR="00F354AC" w:rsidRPr="00601163" w:rsidRDefault="00F354AC" w:rsidP="00CB6C88">
            <w:pPr>
              <w:ind w:right="162"/>
              <w:jc w:val="right"/>
              <w:rPr>
                <w:sz w:val="22"/>
                <w:szCs w:val="22"/>
              </w:rPr>
            </w:pPr>
            <w:r w:rsidRPr="00601163">
              <w:rPr>
                <w:sz w:val="22"/>
                <w:szCs w:val="22"/>
              </w:rPr>
              <w:t>0.03</w:t>
            </w:r>
          </w:p>
        </w:tc>
      </w:tr>
      <w:tr w:rsidR="00F354AC" w:rsidRPr="00601163">
        <w:tc>
          <w:tcPr>
            <w:tcW w:w="3000" w:type="dxa"/>
          </w:tcPr>
          <w:p w:rsidR="00F354AC" w:rsidRPr="00601163" w:rsidRDefault="00F354AC" w:rsidP="00CB6C88">
            <w:pPr>
              <w:ind w:left="178"/>
              <w:rPr>
                <w:sz w:val="22"/>
                <w:szCs w:val="22"/>
              </w:rPr>
            </w:pPr>
            <w:r w:rsidRPr="00601163">
              <w:rPr>
                <w:sz w:val="22"/>
                <w:szCs w:val="22"/>
              </w:rPr>
              <w:t>Cadre: Doctor (ref. Nurse)</w:t>
            </w:r>
          </w:p>
        </w:tc>
        <w:tc>
          <w:tcPr>
            <w:tcW w:w="2200" w:type="dxa"/>
          </w:tcPr>
          <w:p w:rsidR="00F354AC" w:rsidRPr="00601163" w:rsidRDefault="00F354AC" w:rsidP="00CB6C88">
            <w:pPr>
              <w:ind w:left="58"/>
              <w:rPr>
                <w:sz w:val="22"/>
                <w:szCs w:val="22"/>
              </w:rPr>
            </w:pPr>
            <w:r w:rsidRPr="00601163">
              <w:rPr>
                <w:sz w:val="22"/>
                <w:szCs w:val="22"/>
              </w:rPr>
              <w:t>Insomnia</w:t>
            </w:r>
          </w:p>
        </w:tc>
        <w:tc>
          <w:tcPr>
            <w:tcW w:w="2200" w:type="dxa"/>
          </w:tcPr>
          <w:p w:rsidR="00F354AC" w:rsidRPr="00601163" w:rsidRDefault="00F354AC" w:rsidP="00CB6C88">
            <w:pPr>
              <w:ind w:right="182"/>
              <w:jc w:val="right"/>
              <w:rPr>
                <w:sz w:val="22"/>
                <w:szCs w:val="22"/>
              </w:rPr>
            </w:pPr>
            <w:r w:rsidRPr="00601163">
              <w:rPr>
                <w:sz w:val="22"/>
                <w:szCs w:val="22"/>
              </w:rPr>
              <w:t>3.49 (1.37-8.9)</w:t>
            </w:r>
          </w:p>
        </w:tc>
        <w:tc>
          <w:tcPr>
            <w:tcW w:w="1600" w:type="dxa"/>
          </w:tcPr>
          <w:p w:rsidR="00F354AC" w:rsidRPr="00601163" w:rsidRDefault="00F354AC" w:rsidP="00CB6C88">
            <w:pPr>
              <w:ind w:right="162"/>
              <w:jc w:val="right"/>
              <w:rPr>
                <w:sz w:val="22"/>
                <w:szCs w:val="22"/>
              </w:rPr>
            </w:pPr>
            <w:r w:rsidRPr="00601163">
              <w:rPr>
                <w:sz w:val="22"/>
                <w:szCs w:val="22"/>
              </w:rPr>
              <w:t>0.01</w:t>
            </w:r>
          </w:p>
        </w:tc>
      </w:tr>
      <w:tr w:rsidR="00F354AC" w:rsidRPr="00601163">
        <w:tc>
          <w:tcPr>
            <w:tcW w:w="3000" w:type="dxa"/>
          </w:tcPr>
          <w:p w:rsidR="00F354AC" w:rsidRDefault="00F354AC" w:rsidP="00CB6C88">
            <w:pPr>
              <w:ind w:left="178"/>
              <w:rPr>
                <w:sz w:val="22"/>
                <w:szCs w:val="22"/>
              </w:rPr>
            </w:pPr>
            <w:r w:rsidRPr="00601163">
              <w:rPr>
                <w:sz w:val="22"/>
                <w:szCs w:val="22"/>
              </w:rPr>
              <w:t xml:space="preserve">Cadre: Lab Technician </w:t>
            </w:r>
          </w:p>
          <w:p w:rsidR="00F354AC" w:rsidRPr="00601163" w:rsidRDefault="00F354AC" w:rsidP="00CB6C88">
            <w:pPr>
              <w:ind w:left="178"/>
              <w:rPr>
                <w:sz w:val="22"/>
                <w:szCs w:val="22"/>
              </w:rPr>
            </w:pPr>
            <w:r w:rsidRPr="00601163">
              <w:rPr>
                <w:sz w:val="22"/>
                <w:szCs w:val="22"/>
              </w:rPr>
              <w:t>(ref. Nurse)</w:t>
            </w:r>
          </w:p>
        </w:tc>
        <w:tc>
          <w:tcPr>
            <w:tcW w:w="2200" w:type="dxa"/>
          </w:tcPr>
          <w:p w:rsidR="00F354AC" w:rsidRPr="00601163" w:rsidRDefault="00F354AC" w:rsidP="00CB6C88">
            <w:pPr>
              <w:ind w:left="58"/>
              <w:rPr>
                <w:sz w:val="22"/>
                <w:szCs w:val="22"/>
              </w:rPr>
            </w:pPr>
            <w:r w:rsidRPr="00601163">
              <w:rPr>
                <w:sz w:val="22"/>
                <w:szCs w:val="22"/>
              </w:rPr>
              <w:t>Chronic tiredness</w:t>
            </w:r>
          </w:p>
        </w:tc>
        <w:tc>
          <w:tcPr>
            <w:tcW w:w="2200" w:type="dxa"/>
          </w:tcPr>
          <w:p w:rsidR="00F354AC" w:rsidRPr="00601163" w:rsidRDefault="00F354AC" w:rsidP="00CB6C88">
            <w:pPr>
              <w:ind w:right="182"/>
              <w:jc w:val="right"/>
              <w:rPr>
                <w:sz w:val="22"/>
                <w:szCs w:val="22"/>
              </w:rPr>
            </w:pPr>
            <w:r w:rsidRPr="00601163">
              <w:rPr>
                <w:sz w:val="22"/>
                <w:szCs w:val="22"/>
              </w:rPr>
              <w:t>15.07 (4.33-2.47)</w:t>
            </w:r>
          </w:p>
        </w:tc>
        <w:tc>
          <w:tcPr>
            <w:tcW w:w="1600" w:type="dxa"/>
          </w:tcPr>
          <w:p w:rsidR="00F354AC" w:rsidRPr="00601163" w:rsidRDefault="00F354AC" w:rsidP="00CB6C88">
            <w:pPr>
              <w:ind w:right="162"/>
              <w:jc w:val="right"/>
              <w:rPr>
                <w:sz w:val="22"/>
                <w:szCs w:val="22"/>
              </w:rPr>
            </w:pPr>
            <w:r w:rsidRPr="00601163">
              <w:rPr>
                <w:sz w:val="22"/>
                <w:szCs w:val="22"/>
              </w:rPr>
              <w:t>0.00</w:t>
            </w:r>
          </w:p>
        </w:tc>
      </w:tr>
      <w:tr w:rsidR="00F354AC" w:rsidRPr="00601163">
        <w:tc>
          <w:tcPr>
            <w:tcW w:w="3000" w:type="dxa"/>
          </w:tcPr>
          <w:p w:rsidR="00F354AC" w:rsidRDefault="00F354AC" w:rsidP="00CB6C88">
            <w:pPr>
              <w:ind w:left="178"/>
              <w:rPr>
                <w:sz w:val="22"/>
                <w:szCs w:val="22"/>
              </w:rPr>
            </w:pPr>
            <w:r w:rsidRPr="00601163">
              <w:rPr>
                <w:sz w:val="22"/>
                <w:szCs w:val="22"/>
              </w:rPr>
              <w:t xml:space="preserve">Cadre: Clinical Officer </w:t>
            </w:r>
          </w:p>
          <w:p w:rsidR="00F354AC" w:rsidRPr="00601163" w:rsidRDefault="00F354AC" w:rsidP="00CB6C88">
            <w:pPr>
              <w:ind w:left="178"/>
              <w:rPr>
                <w:sz w:val="22"/>
                <w:szCs w:val="22"/>
              </w:rPr>
            </w:pPr>
            <w:r w:rsidRPr="00601163">
              <w:rPr>
                <w:sz w:val="22"/>
                <w:szCs w:val="22"/>
              </w:rPr>
              <w:t>(ref. Nurse)</w:t>
            </w:r>
          </w:p>
        </w:tc>
        <w:tc>
          <w:tcPr>
            <w:tcW w:w="2200" w:type="dxa"/>
          </w:tcPr>
          <w:p w:rsidR="00F354AC" w:rsidRPr="00601163" w:rsidRDefault="00F354AC" w:rsidP="00CB6C88">
            <w:pPr>
              <w:ind w:left="58"/>
              <w:rPr>
                <w:sz w:val="22"/>
                <w:szCs w:val="22"/>
              </w:rPr>
            </w:pPr>
            <w:r w:rsidRPr="00601163">
              <w:rPr>
                <w:sz w:val="22"/>
                <w:szCs w:val="22"/>
              </w:rPr>
              <w:t>Chronic tiredness</w:t>
            </w:r>
          </w:p>
        </w:tc>
        <w:tc>
          <w:tcPr>
            <w:tcW w:w="2200" w:type="dxa"/>
          </w:tcPr>
          <w:p w:rsidR="00F354AC" w:rsidRPr="00601163" w:rsidRDefault="00F354AC" w:rsidP="00CB6C88">
            <w:pPr>
              <w:ind w:right="182"/>
              <w:jc w:val="right"/>
              <w:rPr>
                <w:sz w:val="22"/>
                <w:szCs w:val="22"/>
              </w:rPr>
            </w:pPr>
            <w:r w:rsidRPr="00601163">
              <w:rPr>
                <w:sz w:val="22"/>
                <w:szCs w:val="22"/>
              </w:rPr>
              <w:t>24.38 (6.91-5.96)</w:t>
            </w:r>
          </w:p>
        </w:tc>
        <w:tc>
          <w:tcPr>
            <w:tcW w:w="1600" w:type="dxa"/>
          </w:tcPr>
          <w:p w:rsidR="00F354AC" w:rsidRPr="00601163" w:rsidRDefault="00F354AC" w:rsidP="00CB6C88">
            <w:pPr>
              <w:ind w:right="162"/>
              <w:jc w:val="right"/>
              <w:rPr>
                <w:sz w:val="22"/>
                <w:szCs w:val="22"/>
              </w:rPr>
            </w:pPr>
            <w:r w:rsidRPr="00601163">
              <w:rPr>
                <w:sz w:val="22"/>
                <w:szCs w:val="22"/>
              </w:rPr>
              <w:t>0.00</w:t>
            </w:r>
          </w:p>
        </w:tc>
      </w:tr>
      <w:tr w:rsidR="00F354AC" w:rsidRPr="00601163">
        <w:tc>
          <w:tcPr>
            <w:tcW w:w="3000" w:type="dxa"/>
          </w:tcPr>
          <w:p w:rsidR="00F354AC" w:rsidRPr="00601163" w:rsidRDefault="00F354AC" w:rsidP="00CB6C88">
            <w:pPr>
              <w:ind w:left="178"/>
              <w:rPr>
                <w:sz w:val="22"/>
                <w:szCs w:val="22"/>
              </w:rPr>
            </w:pPr>
            <w:r w:rsidRPr="00601163">
              <w:rPr>
                <w:sz w:val="22"/>
                <w:szCs w:val="22"/>
              </w:rPr>
              <w:t>Cadre: Doctor (ref. Nurse)</w:t>
            </w:r>
          </w:p>
        </w:tc>
        <w:tc>
          <w:tcPr>
            <w:tcW w:w="2200" w:type="dxa"/>
          </w:tcPr>
          <w:p w:rsidR="00F354AC" w:rsidRPr="00601163" w:rsidRDefault="00F354AC" w:rsidP="00CB6C88">
            <w:pPr>
              <w:ind w:left="58"/>
              <w:rPr>
                <w:sz w:val="22"/>
                <w:szCs w:val="22"/>
              </w:rPr>
            </w:pPr>
            <w:r w:rsidRPr="00601163">
              <w:rPr>
                <w:sz w:val="22"/>
                <w:szCs w:val="22"/>
              </w:rPr>
              <w:t>Chronic tiredness</w:t>
            </w:r>
          </w:p>
        </w:tc>
        <w:tc>
          <w:tcPr>
            <w:tcW w:w="2200" w:type="dxa"/>
          </w:tcPr>
          <w:p w:rsidR="00F354AC" w:rsidRPr="00601163" w:rsidRDefault="00F354AC" w:rsidP="00CB6C88">
            <w:pPr>
              <w:ind w:right="182"/>
              <w:jc w:val="right"/>
              <w:rPr>
                <w:sz w:val="22"/>
                <w:szCs w:val="22"/>
              </w:rPr>
            </w:pPr>
            <w:r w:rsidRPr="00601163">
              <w:rPr>
                <w:sz w:val="22"/>
                <w:szCs w:val="22"/>
              </w:rPr>
              <w:t>19.53 (6.25-1.01)</w:t>
            </w:r>
          </w:p>
        </w:tc>
        <w:tc>
          <w:tcPr>
            <w:tcW w:w="1600" w:type="dxa"/>
          </w:tcPr>
          <w:p w:rsidR="00F354AC" w:rsidRPr="00601163" w:rsidRDefault="00F354AC" w:rsidP="00CB6C88">
            <w:pPr>
              <w:ind w:right="162"/>
              <w:jc w:val="right"/>
              <w:rPr>
                <w:sz w:val="22"/>
                <w:szCs w:val="22"/>
              </w:rPr>
            </w:pPr>
            <w:r w:rsidRPr="00601163">
              <w:rPr>
                <w:sz w:val="22"/>
                <w:szCs w:val="22"/>
              </w:rPr>
              <w:t>0.00</w:t>
            </w:r>
          </w:p>
        </w:tc>
      </w:tr>
      <w:tr w:rsidR="00F354AC" w:rsidRPr="00601163">
        <w:tc>
          <w:tcPr>
            <w:tcW w:w="3000" w:type="dxa"/>
          </w:tcPr>
          <w:p w:rsidR="00F354AC" w:rsidRDefault="00F354AC" w:rsidP="00CB6C88">
            <w:pPr>
              <w:ind w:left="178"/>
              <w:rPr>
                <w:sz w:val="22"/>
                <w:szCs w:val="22"/>
              </w:rPr>
            </w:pPr>
            <w:r w:rsidRPr="00601163">
              <w:rPr>
                <w:sz w:val="22"/>
                <w:szCs w:val="22"/>
              </w:rPr>
              <w:t xml:space="preserve">Cadre: Lab Technician </w:t>
            </w:r>
          </w:p>
          <w:p w:rsidR="00F354AC" w:rsidRPr="00601163" w:rsidRDefault="00F354AC" w:rsidP="00CB6C88">
            <w:pPr>
              <w:ind w:left="178"/>
              <w:rPr>
                <w:sz w:val="22"/>
                <w:szCs w:val="22"/>
              </w:rPr>
            </w:pPr>
            <w:r w:rsidRPr="00601163">
              <w:rPr>
                <w:sz w:val="22"/>
                <w:szCs w:val="22"/>
              </w:rPr>
              <w:t>(ref. Nurse)</w:t>
            </w:r>
          </w:p>
        </w:tc>
        <w:tc>
          <w:tcPr>
            <w:tcW w:w="2200" w:type="dxa"/>
          </w:tcPr>
          <w:p w:rsidR="00F354AC" w:rsidRPr="00601163" w:rsidRDefault="00F354AC" w:rsidP="00CB6C88">
            <w:pPr>
              <w:ind w:left="58"/>
              <w:rPr>
                <w:sz w:val="22"/>
                <w:szCs w:val="22"/>
              </w:rPr>
            </w:pPr>
            <w:r w:rsidRPr="00601163">
              <w:rPr>
                <w:sz w:val="22"/>
                <w:szCs w:val="22"/>
              </w:rPr>
              <w:t>Longer recovery time</w:t>
            </w:r>
          </w:p>
        </w:tc>
        <w:tc>
          <w:tcPr>
            <w:tcW w:w="2200" w:type="dxa"/>
          </w:tcPr>
          <w:p w:rsidR="00F354AC" w:rsidRPr="00601163" w:rsidRDefault="00F354AC" w:rsidP="00CB6C88">
            <w:pPr>
              <w:ind w:right="182"/>
              <w:jc w:val="right"/>
              <w:rPr>
                <w:sz w:val="22"/>
                <w:szCs w:val="22"/>
              </w:rPr>
            </w:pPr>
            <w:r w:rsidRPr="00601163">
              <w:rPr>
                <w:sz w:val="22"/>
                <w:szCs w:val="22"/>
              </w:rPr>
              <w:t>3.9 (1.4-10.89)</w:t>
            </w:r>
          </w:p>
        </w:tc>
        <w:tc>
          <w:tcPr>
            <w:tcW w:w="1600" w:type="dxa"/>
          </w:tcPr>
          <w:p w:rsidR="00F354AC" w:rsidRPr="00601163" w:rsidRDefault="00F354AC" w:rsidP="00CB6C88">
            <w:pPr>
              <w:ind w:right="162"/>
              <w:jc w:val="right"/>
              <w:rPr>
                <w:sz w:val="22"/>
                <w:szCs w:val="22"/>
              </w:rPr>
            </w:pPr>
            <w:r w:rsidRPr="00601163">
              <w:rPr>
                <w:sz w:val="22"/>
                <w:szCs w:val="22"/>
              </w:rPr>
              <w:t>0.01</w:t>
            </w:r>
          </w:p>
        </w:tc>
      </w:tr>
      <w:tr w:rsidR="00F354AC" w:rsidRPr="00601163">
        <w:tc>
          <w:tcPr>
            <w:tcW w:w="3000" w:type="dxa"/>
          </w:tcPr>
          <w:p w:rsidR="00F354AC" w:rsidRDefault="00F354AC" w:rsidP="00CB6C88">
            <w:pPr>
              <w:ind w:left="178"/>
              <w:rPr>
                <w:sz w:val="22"/>
                <w:szCs w:val="22"/>
              </w:rPr>
            </w:pPr>
            <w:r w:rsidRPr="00601163">
              <w:rPr>
                <w:sz w:val="22"/>
                <w:szCs w:val="22"/>
              </w:rPr>
              <w:t xml:space="preserve">Cadre: Clinical Officer </w:t>
            </w:r>
          </w:p>
          <w:p w:rsidR="00F354AC" w:rsidRPr="00601163" w:rsidRDefault="00F354AC" w:rsidP="00CB6C88">
            <w:pPr>
              <w:ind w:left="178"/>
              <w:rPr>
                <w:sz w:val="22"/>
                <w:szCs w:val="22"/>
              </w:rPr>
            </w:pPr>
            <w:r w:rsidRPr="00601163">
              <w:rPr>
                <w:sz w:val="22"/>
                <w:szCs w:val="22"/>
              </w:rPr>
              <w:t>(ref. Nurse)</w:t>
            </w:r>
          </w:p>
        </w:tc>
        <w:tc>
          <w:tcPr>
            <w:tcW w:w="2200" w:type="dxa"/>
          </w:tcPr>
          <w:p w:rsidR="00F354AC" w:rsidRPr="00601163" w:rsidRDefault="00F354AC" w:rsidP="00CB6C88">
            <w:pPr>
              <w:ind w:left="58"/>
              <w:rPr>
                <w:sz w:val="22"/>
                <w:szCs w:val="22"/>
              </w:rPr>
            </w:pPr>
            <w:r w:rsidRPr="00601163">
              <w:rPr>
                <w:sz w:val="22"/>
                <w:szCs w:val="22"/>
              </w:rPr>
              <w:t>Longer recovery time</w:t>
            </w:r>
          </w:p>
        </w:tc>
        <w:tc>
          <w:tcPr>
            <w:tcW w:w="2200" w:type="dxa"/>
          </w:tcPr>
          <w:p w:rsidR="00F354AC" w:rsidRPr="00601163" w:rsidRDefault="00F354AC" w:rsidP="00CB6C88">
            <w:pPr>
              <w:ind w:right="182"/>
              <w:jc w:val="right"/>
              <w:rPr>
                <w:sz w:val="22"/>
                <w:szCs w:val="22"/>
              </w:rPr>
            </w:pPr>
            <w:r w:rsidRPr="00601163">
              <w:rPr>
                <w:sz w:val="22"/>
                <w:szCs w:val="22"/>
              </w:rPr>
              <w:t>4.4 (1.38-13.99)</w:t>
            </w:r>
          </w:p>
        </w:tc>
        <w:tc>
          <w:tcPr>
            <w:tcW w:w="1600" w:type="dxa"/>
          </w:tcPr>
          <w:p w:rsidR="00F354AC" w:rsidRPr="00601163" w:rsidRDefault="00F354AC" w:rsidP="00CB6C88">
            <w:pPr>
              <w:ind w:right="162"/>
              <w:jc w:val="right"/>
              <w:rPr>
                <w:sz w:val="22"/>
                <w:szCs w:val="22"/>
              </w:rPr>
            </w:pPr>
            <w:r w:rsidRPr="00601163">
              <w:rPr>
                <w:sz w:val="22"/>
                <w:szCs w:val="22"/>
              </w:rPr>
              <w:t>0.01</w:t>
            </w:r>
          </w:p>
        </w:tc>
      </w:tr>
      <w:tr w:rsidR="00F354AC" w:rsidRPr="00601163">
        <w:tc>
          <w:tcPr>
            <w:tcW w:w="3000" w:type="dxa"/>
          </w:tcPr>
          <w:p w:rsidR="00F354AC" w:rsidRPr="00601163" w:rsidRDefault="00F354AC" w:rsidP="00CB6C88">
            <w:pPr>
              <w:ind w:left="178"/>
              <w:rPr>
                <w:sz w:val="22"/>
                <w:szCs w:val="22"/>
              </w:rPr>
            </w:pPr>
            <w:r w:rsidRPr="00601163">
              <w:rPr>
                <w:sz w:val="22"/>
                <w:szCs w:val="22"/>
              </w:rPr>
              <w:t>Cadre: Doctor (ref. Nurse)</w:t>
            </w:r>
          </w:p>
        </w:tc>
        <w:tc>
          <w:tcPr>
            <w:tcW w:w="2200" w:type="dxa"/>
          </w:tcPr>
          <w:p w:rsidR="00F354AC" w:rsidRPr="00601163" w:rsidRDefault="00F354AC" w:rsidP="00CB6C88">
            <w:pPr>
              <w:ind w:left="58"/>
              <w:rPr>
                <w:sz w:val="22"/>
                <w:szCs w:val="22"/>
              </w:rPr>
            </w:pPr>
            <w:r w:rsidRPr="00601163">
              <w:rPr>
                <w:sz w:val="22"/>
                <w:szCs w:val="22"/>
              </w:rPr>
              <w:t>Longer recovery time</w:t>
            </w:r>
          </w:p>
        </w:tc>
        <w:tc>
          <w:tcPr>
            <w:tcW w:w="2200" w:type="dxa"/>
          </w:tcPr>
          <w:p w:rsidR="00F354AC" w:rsidRPr="00601163" w:rsidRDefault="00F354AC" w:rsidP="00CB6C88">
            <w:pPr>
              <w:ind w:right="182"/>
              <w:jc w:val="right"/>
              <w:rPr>
                <w:sz w:val="22"/>
                <w:szCs w:val="22"/>
              </w:rPr>
            </w:pPr>
            <w:r w:rsidRPr="00601163">
              <w:rPr>
                <w:sz w:val="22"/>
                <w:szCs w:val="22"/>
              </w:rPr>
              <w:t>6.05 (2.32-15.79)</w:t>
            </w:r>
          </w:p>
        </w:tc>
        <w:tc>
          <w:tcPr>
            <w:tcW w:w="1600" w:type="dxa"/>
          </w:tcPr>
          <w:p w:rsidR="00F354AC" w:rsidRPr="00601163" w:rsidRDefault="00F354AC" w:rsidP="00CB6C88">
            <w:pPr>
              <w:ind w:right="162"/>
              <w:jc w:val="right"/>
              <w:rPr>
                <w:sz w:val="22"/>
                <w:szCs w:val="22"/>
              </w:rPr>
            </w:pPr>
            <w:r w:rsidRPr="00601163">
              <w:rPr>
                <w:sz w:val="22"/>
                <w:szCs w:val="22"/>
              </w:rPr>
              <w:t>0.00</w:t>
            </w:r>
          </w:p>
        </w:tc>
      </w:tr>
    </w:tbl>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b/>
          <w:bCs/>
          <w:color w:val="auto"/>
          <w:sz w:val="24"/>
          <w:szCs w:val="24"/>
        </w:rPr>
        <w:t>5. Discussion</w:t>
      </w:r>
    </w:p>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color w:val="auto"/>
          <w:sz w:val="24"/>
          <w:szCs w:val="24"/>
        </w:rPr>
        <w:t>The results show that there was a significant burden of physical health on medical workers in Eldoret Town during the COVID-19 pandemic. The high prevalence of insomnia (91.1%) is consistent with previous studies which found that during a public health emergency, medical workers are at higher risk of sleep disturbance due to increased stress and disrupted daily routines (Brooks et al., 2020). Likewise, the high percentage of respondents who felt tired before shifts even started (75.6%) suggests that physical fatigue could impact performance and quality of care; consistent with the evidence that resilience is lacking in frontline workers, thereby leaving them vulnerable to adverse experiences at work (Jackson et al., 2020).</w:t>
      </w:r>
    </w:p>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color w:val="auto"/>
          <w:sz w:val="24"/>
          <w:szCs w:val="24"/>
        </w:rPr>
        <w:t>The high percentage of staff who reported feeling "worn out" and "weary" (73.3%) and increased shift recovery time (55.5%) suggest a greater level of physical fatigue, which is similar to the general literature on burnout and less restorative sleep among health care professionals (Magnavita &amp; Garbarino, 2017; Shanafelt et al., 2015). The high number of respondents who reported a change in weight due to decreased opportunities to exercise during the pandemic (90.0%) is consistent with similar findings from around the world that the pandemic disrupted physical activity and dietary patterns led to weight-related health outcomes for populations overall and health care workers in particular (Sallis et al., 2020).</w:t>
      </w:r>
    </w:p>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color w:val="auto"/>
          <w:sz w:val="24"/>
          <w:szCs w:val="24"/>
        </w:rPr>
        <w:t>The high proportion (44.4%) of respondents who reported being disconnection from work may be early indicators of burnout and lower levels of work engagement, and this finding would align with previous research on the relationship between the prolonged occupational stress and emotional exhaustion, and lower work engagement (West et al., 2014). The fact that years of experience and cadre, and not gender or education, had the strongest association with physical health outcomes indicates that occupational role and exposure to workload during the pandemic were the most important factors determining the physical impact of the pandemic on this workforce. Nearly every physical health indicator measured was affected, with clinical officers and doctors being the most affected across most of the physical health indicators, and the more experienced workers being the next most affected in most areas having taken up extra complex loadings of COVID-19 cases that were referred to Eldoret's facilities.</w:t>
      </w:r>
    </w:p>
    <w:p w:rsidR="00F354AC" w:rsidRPr="00601163" w:rsidRDefault="00F354AC" w:rsidP="00601163">
      <w:pPr>
        <w:pStyle w:val="Heading1"/>
        <w:spacing w:before="100" w:beforeAutospacing="1" w:after="100" w:afterAutospacing="1" w:line="360" w:lineRule="auto"/>
        <w:jc w:val="both"/>
        <w:rPr>
          <w:color w:val="auto"/>
          <w:sz w:val="24"/>
          <w:szCs w:val="24"/>
        </w:rPr>
      </w:pPr>
      <w:r w:rsidRPr="00601163">
        <w:rPr>
          <w:b/>
          <w:bCs/>
          <w:color w:val="auto"/>
          <w:sz w:val="24"/>
          <w:szCs w:val="24"/>
        </w:rPr>
        <w:t>6. Conclusion and Recommendations</w:t>
      </w:r>
    </w:p>
    <w:p w:rsidR="00F354AC" w:rsidRPr="00601163" w:rsidRDefault="00F354AC" w:rsidP="00601163">
      <w:pPr>
        <w:spacing w:before="100" w:beforeAutospacing="1" w:after="100" w:afterAutospacing="1" w:line="360" w:lineRule="auto"/>
        <w:jc w:val="both"/>
        <w:rPr>
          <w:sz w:val="24"/>
          <w:szCs w:val="24"/>
        </w:rPr>
      </w:pPr>
      <w:r w:rsidRPr="00601163">
        <w:rPr>
          <w:sz w:val="24"/>
          <w:szCs w:val="24"/>
        </w:rPr>
        <w:t>The study concludes that COVID-19 had profound physical effects on the health of medical personnel in hospitals in Eldoret Town. The pandemic disrupted sleep patterns, increased fatigue, and heightened post-shift recovery demands among healthcare workers, while reduced exercise opportunities contributed to weight gain. These physical health changes, most pronounced among clinical officers, doctors, and more experienced personnel, collectively affected job performance and overall wellbeing during the pandemic. Addressing these effects is essential to safeguarding healthcare workers during current and future public health emergencies.</w:t>
      </w:r>
    </w:p>
    <w:p w:rsidR="00F354AC" w:rsidRPr="00601163" w:rsidRDefault="00F354AC" w:rsidP="00601163">
      <w:pPr>
        <w:spacing w:before="100" w:beforeAutospacing="1" w:after="100" w:afterAutospacing="1" w:line="360" w:lineRule="auto"/>
        <w:jc w:val="both"/>
        <w:rPr>
          <w:sz w:val="24"/>
          <w:szCs w:val="24"/>
        </w:rPr>
      </w:pPr>
      <w:r w:rsidRPr="00601163">
        <w:rPr>
          <w:sz w:val="24"/>
          <w:szCs w:val="24"/>
        </w:rPr>
        <w:t>Based on these findings, the study recommends that hospital management, with support from the County Health Team, develop and implement workplace wellness initiatives that prioritise physical health, including promoting regular exercise, healthy eating habits, and access to healthcare resources, to mitigate the physical impacts of pandemic-related stress and lifestyle disruption. Hospital management should also enhance facilities and policies that support adequate sleep and recovery, including quiet rest areas, flexible scheduling, and fatigue management guidelines, to address disrupted sleep patterns and post-shift fatigue. Given that cadre was the most consistent predictor of adverse physical outcomes, interventions should be tailored to the specific occupational exposures of clinical officers, doctors, and other high-risk cadres rather than applied uniformly across all staff. Finally, continued monitoring of medical personnel's physical health through ongoing research is recommended to inform evidence-based policies that strengthen workforce resilience and preparedness for future health crises.</w:t>
      </w:r>
    </w:p>
    <w:p w:rsidR="00F354AC" w:rsidRPr="00CB6C88" w:rsidRDefault="00F354AC">
      <w:pPr>
        <w:pStyle w:val="Heading1"/>
        <w:spacing w:before="300" w:after="150"/>
        <w:rPr>
          <w:color w:val="auto"/>
          <w:sz w:val="24"/>
          <w:szCs w:val="24"/>
        </w:rPr>
      </w:pPr>
      <w:r w:rsidRPr="00CB6C88">
        <w:rPr>
          <w:b/>
          <w:bCs/>
          <w:color w:val="auto"/>
          <w:sz w:val="24"/>
          <w:szCs w:val="24"/>
        </w:rPr>
        <w:t>References</w:t>
      </w:r>
    </w:p>
    <w:p w:rsidR="00F354AC" w:rsidRPr="00CB6C88" w:rsidRDefault="00F354AC" w:rsidP="00CB6C88">
      <w:pPr>
        <w:spacing w:after="150" w:line="300" w:lineRule="auto"/>
        <w:ind w:left="400" w:hanging="400"/>
        <w:jc w:val="both"/>
        <w:rPr>
          <w:sz w:val="24"/>
          <w:szCs w:val="24"/>
        </w:rPr>
      </w:pPr>
      <w:r w:rsidRPr="00CB6C88">
        <w:rPr>
          <w:sz w:val="24"/>
          <w:szCs w:val="24"/>
        </w:rPr>
        <w:t xml:space="preserve">Branquinho, C., Kelly, C., Arevalo, L. C., Santos, A., &amp; Gaspar de Matos, M. (2020). "Hey, we also have something to say": A qualitative study of Portuguese adolescents' and young people's experiences under COVID-19. </w:t>
      </w:r>
      <w:r w:rsidRPr="00CB6C88">
        <w:rPr>
          <w:i/>
          <w:sz w:val="24"/>
          <w:szCs w:val="24"/>
        </w:rPr>
        <w:t>Journal of Community Psychology</w:t>
      </w:r>
      <w:r w:rsidRPr="00CB6C88">
        <w:rPr>
          <w:sz w:val="24"/>
          <w:szCs w:val="24"/>
        </w:rPr>
        <w:t>, 48(8), 2740-2752.</w:t>
      </w:r>
    </w:p>
    <w:p w:rsidR="00F354AC" w:rsidRPr="00CB6C88" w:rsidRDefault="00F354AC" w:rsidP="00CB6C88">
      <w:pPr>
        <w:spacing w:after="150" w:line="300" w:lineRule="auto"/>
        <w:ind w:left="400" w:hanging="400"/>
        <w:jc w:val="both"/>
        <w:rPr>
          <w:sz w:val="24"/>
          <w:szCs w:val="24"/>
        </w:rPr>
      </w:pPr>
      <w:r w:rsidRPr="00CB6C88">
        <w:rPr>
          <w:sz w:val="24"/>
          <w:szCs w:val="24"/>
        </w:rPr>
        <w:t xml:space="preserve">Brooks, S. K., Dunn, R., Amlôt, R., Rubin, G. J., &amp; Greenberg, N. (2018). A systematic, thematic review of social and occupational factors associated with psychological outcomes in healthcare employees during an infectious disease outbreak. </w:t>
      </w:r>
      <w:r w:rsidRPr="00CB6C88">
        <w:rPr>
          <w:i/>
          <w:sz w:val="24"/>
          <w:szCs w:val="24"/>
        </w:rPr>
        <w:t>Journal of Occupational and Environmental Medicine,</w:t>
      </w:r>
      <w:r w:rsidRPr="00CB6C88">
        <w:rPr>
          <w:sz w:val="24"/>
          <w:szCs w:val="24"/>
        </w:rPr>
        <w:t xml:space="preserve"> 60(3), 248-257.</w:t>
      </w:r>
    </w:p>
    <w:p w:rsidR="00F354AC" w:rsidRPr="00CB6C88" w:rsidRDefault="00F354AC" w:rsidP="00CB6C88">
      <w:pPr>
        <w:spacing w:after="150" w:line="300" w:lineRule="auto"/>
        <w:ind w:left="400" w:hanging="400"/>
        <w:jc w:val="both"/>
        <w:rPr>
          <w:sz w:val="24"/>
          <w:szCs w:val="24"/>
        </w:rPr>
      </w:pPr>
      <w:r w:rsidRPr="00CB6C88">
        <w:rPr>
          <w:sz w:val="24"/>
          <w:szCs w:val="24"/>
        </w:rPr>
        <w:t xml:space="preserve">Chen, P., Mao, L., Nassis, G. P., Harmer, P., Ainsworth, B. E., &amp; Li, F. (2020). Coronavirus disease (COVID-19): The need to maintain regular physical activity while taking precautions. </w:t>
      </w:r>
      <w:r w:rsidRPr="00CB6C88">
        <w:rPr>
          <w:i/>
          <w:sz w:val="24"/>
          <w:szCs w:val="24"/>
        </w:rPr>
        <w:t>Journal of Sport and Health Science</w:t>
      </w:r>
      <w:r w:rsidRPr="00CB6C88">
        <w:rPr>
          <w:sz w:val="24"/>
          <w:szCs w:val="24"/>
        </w:rPr>
        <w:t>, 9(2), 103-104.</w:t>
      </w:r>
    </w:p>
    <w:p w:rsidR="00F354AC" w:rsidRPr="00CB6C88" w:rsidRDefault="00F354AC" w:rsidP="00CB6C88">
      <w:pPr>
        <w:spacing w:after="150" w:line="300" w:lineRule="auto"/>
        <w:ind w:left="400" w:hanging="400"/>
        <w:jc w:val="both"/>
        <w:rPr>
          <w:sz w:val="24"/>
          <w:szCs w:val="24"/>
        </w:rPr>
      </w:pPr>
      <w:r w:rsidRPr="00CB6C88">
        <w:rPr>
          <w:sz w:val="24"/>
          <w:szCs w:val="24"/>
        </w:rPr>
        <w:t xml:space="preserve">Duan, L., &amp; Zhu, G. (2020). Psychological interventions for people affected by the COVID-19 epidemic. </w:t>
      </w:r>
      <w:r w:rsidRPr="00CB6C88">
        <w:rPr>
          <w:i/>
          <w:sz w:val="24"/>
          <w:szCs w:val="24"/>
        </w:rPr>
        <w:t>The Lancet Psychiatry</w:t>
      </w:r>
      <w:r w:rsidRPr="00CB6C88">
        <w:rPr>
          <w:sz w:val="24"/>
          <w:szCs w:val="24"/>
        </w:rPr>
        <w:t>, 7(4), 300-302.</w:t>
      </w:r>
    </w:p>
    <w:p w:rsidR="00F354AC" w:rsidRPr="00CB6C88" w:rsidRDefault="00F354AC" w:rsidP="00CB6C88">
      <w:pPr>
        <w:pStyle w:val="NormalWeb"/>
        <w:spacing w:before="0" w:beforeAutospacing="0" w:after="0" w:afterAutospacing="0"/>
        <w:ind w:left="720" w:hanging="720"/>
        <w:jc w:val="both"/>
      </w:pPr>
      <w:r w:rsidRPr="00CB6C88">
        <w:t xml:space="preserve">Enane, L. A., Apondi, E., Liepmann, C., Toromo, J. J., Omollo, M., Bakari, S., Scanlon, M., Wools-Kaloustian, K., &amp; Vreeman, R. C. (2022). </w:t>
      </w:r>
      <w:r w:rsidRPr="00CB6C88">
        <w:rPr>
          <w:rStyle w:val="Emphasis"/>
          <w:iCs/>
        </w:rPr>
        <w:t>‘We are not going anywhere’: A qualitative study of Kenyan healthcare worker perspectives on adolescent HIV care engagement during the COVID-19 pandemic</w:t>
      </w:r>
      <w:r w:rsidRPr="00CB6C88">
        <w:t xml:space="preserve">. BMJ Open, 12(3), e057321. </w:t>
      </w:r>
    </w:p>
    <w:p w:rsidR="00F354AC" w:rsidRPr="00CB6C88" w:rsidRDefault="00F354AC" w:rsidP="00CB6C88">
      <w:pPr>
        <w:spacing w:after="150" w:line="300" w:lineRule="auto"/>
        <w:ind w:left="400" w:hanging="400"/>
        <w:jc w:val="both"/>
        <w:rPr>
          <w:sz w:val="24"/>
          <w:szCs w:val="24"/>
        </w:rPr>
      </w:pPr>
      <w:r w:rsidRPr="00CB6C88">
        <w:rPr>
          <w:sz w:val="24"/>
          <w:szCs w:val="24"/>
        </w:rPr>
        <w:t xml:space="preserve">Jackson, D., Firtko, A., &amp; Edenborough, M. (2020). Personal resilience as a strategy for surviving and thriving in the face of workplace adversity: </w:t>
      </w:r>
      <w:r w:rsidRPr="00CB6C88">
        <w:rPr>
          <w:i/>
          <w:sz w:val="24"/>
          <w:szCs w:val="24"/>
        </w:rPr>
        <w:t>A literature review</w:t>
      </w:r>
      <w:r w:rsidRPr="00CB6C88">
        <w:rPr>
          <w:sz w:val="24"/>
          <w:szCs w:val="24"/>
        </w:rPr>
        <w:t xml:space="preserve">. </w:t>
      </w:r>
      <w:r w:rsidRPr="00CB6C88">
        <w:rPr>
          <w:i/>
          <w:sz w:val="24"/>
          <w:szCs w:val="24"/>
        </w:rPr>
        <w:t>Journal of Advanced Nursing,</w:t>
      </w:r>
      <w:r w:rsidRPr="00CB6C88">
        <w:rPr>
          <w:sz w:val="24"/>
          <w:szCs w:val="24"/>
        </w:rPr>
        <w:t xml:space="preserve"> 60(1), 1-9.</w:t>
      </w:r>
    </w:p>
    <w:p w:rsidR="00F354AC" w:rsidRPr="00CB6C88" w:rsidRDefault="00F354AC" w:rsidP="00CB6C88">
      <w:pPr>
        <w:pStyle w:val="NormalWeb"/>
        <w:spacing w:before="0" w:beforeAutospacing="0" w:after="0" w:afterAutospacing="0"/>
        <w:ind w:left="720" w:hanging="720"/>
        <w:jc w:val="both"/>
      </w:pPr>
      <w:r w:rsidRPr="00CB6C88">
        <w:t xml:space="preserve">Kwobah, E. K., Mwangi, A., Patel, K., Mwogi, T., Kiptoo, R., &amp; Atwoli, L. (2021). </w:t>
      </w:r>
      <w:r w:rsidRPr="00CB6C88">
        <w:rPr>
          <w:rStyle w:val="Emphasis"/>
          <w:i w:val="0"/>
          <w:iCs/>
        </w:rPr>
        <w:t>Mental disorders among health care workers at the early phase of COVID-19 pandemic in Kenya: Findings of an online descriptive survey</w:t>
      </w:r>
      <w:r w:rsidRPr="00CB6C88">
        <w:rPr>
          <w:i/>
        </w:rPr>
        <w:t>.</w:t>
      </w:r>
      <w:r w:rsidRPr="00CB6C88">
        <w:t xml:space="preserve"> </w:t>
      </w:r>
      <w:r w:rsidRPr="00CB6C88">
        <w:rPr>
          <w:i/>
        </w:rPr>
        <w:t>Frontiers in Psychiatry</w:t>
      </w:r>
      <w:r w:rsidRPr="00CB6C88">
        <w:t xml:space="preserve">, 12, 665611. </w:t>
      </w:r>
    </w:p>
    <w:p w:rsidR="00F354AC" w:rsidRPr="00CB6C88" w:rsidRDefault="00F354AC" w:rsidP="00CB6C88">
      <w:pPr>
        <w:spacing w:after="150" w:line="300" w:lineRule="auto"/>
        <w:ind w:left="400" w:hanging="400"/>
        <w:jc w:val="both"/>
        <w:rPr>
          <w:sz w:val="24"/>
          <w:szCs w:val="24"/>
        </w:rPr>
      </w:pPr>
      <w:r w:rsidRPr="00CB6C88">
        <w:rPr>
          <w:sz w:val="24"/>
          <w:szCs w:val="24"/>
        </w:rPr>
        <w:t xml:space="preserve">Labrague, L. J., &amp; Ballad, C. A. (2021). Lockdown fatigue among college students during the COVID-19 pandemic: Predictive role of personal resilience, coping behaviors, and health. </w:t>
      </w:r>
      <w:r w:rsidRPr="00CB6C88">
        <w:rPr>
          <w:i/>
          <w:sz w:val="24"/>
          <w:szCs w:val="24"/>
        </w:rPr>
        <w:t>Perspectives in Psychiatric Care</w:t>
      </w:r>
      <w:r w:rsidRPr="00CB6C88">
        <w:rPr>
          <w:sz w:val="24"/>
          <w:szCs w:val="24"/>
        </w:rPr>
        <w:t>.</w:t>
      </w:r>
    </w:p>
    <w:p w:rsidR="00F354AC" w:rsidRPr="00CB6C88" w:rsidRDefault="00F354AC" w:rsidP="00CB6C88">
      <w:pPr>
        <w:spacing w:after="150" w:line="300" w:lineRule="auto"/>
        <w:ind w:left="400" w:hanging="400"/>
        <w:jc w:val="both"/>
        <w:rPr>
          <w:sz w:val="24"/>
          <w:szCs w:val="24"/>
        </w:rPr>
      </w:pPr>
      <w:r w:rsidRPr="00CB6C88">
        <w:rPr>
          <w:sz w:val="24"/>
          <w:szCs w:val="24"/>
        </w:rPr>
        <w:t xml:space="preserve">Leclerc, Q. J., Fuller, N. M., Knight, L. E., Funk, S., Knight, G. M., &amp; CMMID COVID-19 Working Group. (2020). What settings have been linked to SARS-CoV-2 transmission clusters? </w:t>
      </w:r>
      <w:r w:rsidRPr="00CB6C88">
        <w:rPr>
          <w:i/>
          <w:sz w:val="24"/>
          <w:szCs w:val="24"/>
        </w:rPr>
        <w:t>Wellcome Open Research</w:t>
      </w:r>
      <w:r w:rsidRPr="00CB6C88">
        <w:rPr>
          <w:sz w:val="24"/>
          <w:szCs w:val="24"/>
        </w:rPr>
        <w:t>, 5.</w:t>
      </w:r>
    </w:p>
    <w:p w:rsidR="00F354AC" w:rsidRPr="00CB6C88" w:rsidRDefault="00F354AC" w:rsidP="00CB6C88">
      <w:pPr>
        <w:spacing w:after="150" w:line="300" w:lineRule="auto"/>
        <w:ind w:left="400" w:hanging="400"/>
        <w:jc w:val="both"/>
        <w:rPr>
          <w:sz w:val="24"/>
          <w:szCs w:val="24"/>
        </w:rPr>
      </w:pPr>
      <w:r w:rsidRPr="00CB6C88">
        <w:rPr>
          <w:sz w:val="24"/>
          <w:szCs w:val="24"/>
        </w:rPr>
        <w:t xml:space="preserve">Magnavita, N., &amp; Garbarino, S. (2017). Sleep, health and wellness at work: A scoping review. </w:t>
      </w:r>
      <w:r w:rsidRPr="00CB6C88">
        <w:rPr>
          <w:i/>
          <w:sz w:val="24"/>
          <w:szCs w:val="24"/>
        </w:rPr>
        <w:t>International Journal of Environmental Research and Public Health</w:t>
      </w:r>
      <w:r w:rsidRPr="00CB6C88">
        <w:rPr>
          <w:sz w:val="24"/>
          <w:szCs w:val="24"/>
        </w:rPr>
        <w:t>, 14(11), 1347.</w:t>
      </w:r>
    </w:p>
    <w:p w:rsidR="00F354AC" w:rsidRPr="00CB6C88" w:rsidRDefault="00F354AC" w:rsidP="00CB6C88">
      <w:pPr>
        <w:spacing w:after="150" w:line="300" w:lineRule="auto"/>
        <w:ind w:left="400" w:hanging="400"/>
        <w:jc w:val="both"/>
        <w:rPr>
          <w:sz w:val="24"/>
          <w:szCs w:val="24"/>
        </w:rPr>
      </w:pPr>
      <w:r w:rsidRPr="00CB6C88">
        <w:rPr>
          <w:sz w:val="24"/>
          <w:szCs w:val="24"/>
        </w:rPr>
        <w:t xml:space="preserve">Margaritis, I., Houdart, S., El Ouadrhiri, Y., Bigard, X., Vuillemin, A., &amp; Duché, P. (2020). How to deal with COVID-19 epidemic-related lockdown physical inactivity and sedentary increase in youth? Adaptation of Anses' benchmarks. </w:t>
      </w:r>
      <w:r w:rsidRPr="00CB6C88">
        <w:rPr>
          <w:i/>
          <w:sz w:val="24"/>
          <w:szCs w:val="24"/>
        </w:rPr>
        <w:t>Archives of Public Health</w:t>
      </w:r>
      <w:r w:rsidRPr="00CB6C88">
        <w:rPr>
          <w:sz w:val="24"/>
          <w:szCs w:val="24"/>
        </w:rPr>
        <w:t>, 78, 1-6.</w:t>
      </w:r>
    </w:p>
    <w:p w:rsidR="00F354AC" w:rsidRPr="00CB6C88" w:rsidRDefault="00F354AC" w:rsidP="00CB6C88">
      <w:pPr>
        <w:pStyle w:val="NormalWeb"/>
        <w:spacing w:before="0" w:beforeAutospacing="0" w:after="0" w:afterAutospacing="0"/>
        <w:ind w:left="720" w:hanging="720"/>
        <w:jc w:val="both"/>
      </w:pPr>
      <w:r w:rsidRPr="00CB6C88">
        <w:t xml:space="preserve">Ojwang, H. A., Mwanzala, M., &amp; Odero, E. A. (2024). </w:t>
      </w:r>
      <w:r w:rsidRPr="00CB6C88">
        <w:rPr>
          <w:rStyle w:val="Emphasis"/>
          <w:i w:val="0"/>
          <w:iCs/>
        </w:rPr>
        <w:t>Psychological effect of COVID-19 on health of medical personnel in hospitals in Eldoret Town, Kenya</w:t>
      </w:r>
      <w:r w:rsidRPr="00CB6C88">
        <w:rPr>
          <w:i/>
        </w:rPr>
        <w:t>.</w:t>
      </w:r>
      <w:r w:rsidRPr="00CB6C88">
        <w:t xml:space="preserve"> </w:t>
      </w:r>
      <w:r w:rsidRPr="00CB6C88">
        <w:rPr>
          <w:i/>
        </w:rPr>
        <w:t>African Journal of Empirical Research,</w:t>
      </w:r>
      <w:r w:rsidRPr="00CB6C88">
        <w:t xml:space="preserve"> 5(3), 722–732. </w:t>
      </w:r>
    </w:p>
    <w:p w:rsidR="00F354AC" w:rsidRPr="00CB6C88" w:rsidRDefault="00F354AC" w:rsidP="00CB6C88">
      <w:pPr>
        <w:spacing w:after="150" w:line="300" w:lineRule="auto"/>
        <w:ind w:left="400" w:hanging="400"/>
        <w:jc w:val="both"/>
        <w:rPr>
          <w:sz w:val="24"/>
          <w:szCs w:val="24"/>
        </w:rPr>
      </w:pPr>
      <w:r w:rsidRPr="00CB6C88">
        <w:rPr>
          <w:sz w:val="24"/>
          <w:szCs w:val="24"/>
        </w:rPr>
        <w:t xml:space="preserve">Qi, J., Xu, J., Li, B. Z., Huang, J. S., Yang, Y., Zhang, Z. T., ... &amp; Zhang, X. (2020). The evaluation of sleep disturbances for Chinese frontline medical workers under the outbreak of COVID-19. </w:t>
      </w:r>
      <w:r w:rsidRPr="00CB6C88">
        <w:rPr>
          <w:i/>
          <w:sz w:val="24"/>
          <w:szCs w:val="24"/>
        </w:rPr>
        <w:t>Sleep Medicine</w:t>
      </w:r>
      <w:r w:rsidRPr="00CB6C88">
        <w:rPr>
          <w:sz w:val="24"/>
          <w:szCs w:val="24"/>
        </w:rPr>
        <w:t>, 72, 1-4.</w:t>
      </w:r>
    </w:p>
    <w:p w:rsidR="00F354AC" w:rsidRPr="00CB6C88" w:rsidRDefault="00F354AC" w:rsidP="00CB6C88">
      <w:pPr>
        <w:spacing w:after="150" w:line="300" w:lineRule="auto"/>
        <w:ind w:left="400" w:hanging="400"/>
        <w:jc w:val="both"/>
        <w:rPr>
          <w:sz w:val="24"/>
          <w:szCs w:val="24"/>
        </w:rPr>
      </w:pPr>
      <w:r w:rsidRPr="00CB6C88">
        <w:rPr>
          <w:sz w:val="24"/>
          <w:szCs w:val="24"/>
        </w:rPr>
        <w:t xml:space="preserve">Sallis, J. F., Adlakha, D., Oyeyemi, A., &amp; Salvo, D. (2020). An international physical activity and public health research agenda to inform COVID-19 policies and practices. </w:t>
      </w:r>
      <w:r w:rsidRPr="00CB6C88">
        <w:rPr>
          <w:i/>
          <w:sz w:val="24"/>
          <w:szCs w:val="24"/>
        </w:rPr>
        <w:t>Journal of Sport and Health Science</w:t>
      </w:r>
      <w:r w:rsidRPr="00CB6C88">
        <w:rPr>
          <w:sz w:val="24"/>
          <w:szCs w:val="24"/>
        </w:rPr>
        <w:t>, 9(4), 328-334.</w:t>
      </w:r>
    </w:p>
    <w:p w:rsidR="00F354AC" w:rsidRPr="00CB6C88" w:rsidRDefault="00F354AC" w:rsidP="00CB6C88">
      <w:pPr>
        <w:spacing w:after="150" w:line="300" w:lineRule="auto"/>
        <w:ind w:left="400" w:hanging="400"/>
        <w:jc w:val="both"/>
        <w:rPr>
          <w:sz w:val="24"/>
          <w:szCs w:val="24"/>
        </w:rPr>
      </w:pPr>
      <w:r w:rsidRPr="00CB6C88">
        <w:rPr>
          <w:sz w:val="24"/>
          <w:szCs w:val="24"/>
        </w:rPr>
        <w:t xml:space="preserve">Shanafelt, T. D., Balch, C. M., Bechamps, G. J., Russell, T., Dyrbye, L., Satele, D., ... &amp; Freischlag, J. (2015). Burnout and medical errors among American surgeons. </w:t>
      </w:r>
      <w:r w:rsidRPr="00CB6C88">
        <w:rPr>
          <w:i/>
          <w:sz w:val="24"/>
          <w:szCs w:val="24"/>
        </w:rPr>
        <w:t>Annals of Surgery</w:t>
      </w:r>
      <w:r w:rsidRPr="00CB6C88">
        <w:rPr>
          <w:sz w:val="24"/>
          <w:szCs w:val="24"/>
        </w:rPr>
        <w:t>, 251(6), 995-1000.</w:t>
      </w:r>
    </w:p>
    <w:p w:rsidR="00F354AC" w:rsidRPr="00CB6C88" w:rsidRDefault="00F354AC" w:rsidP="00CB6C88">
      <w:pPr>
        <w:spacing w:after="150" w:line="300" w:lineRule="auto"/>
        <w:ind w:left="400" w:hanging="400"/>
        <w:jc w:val="both"/>
        <w:rPr>
          <w:sz w:val="24"/>
          <w:szCs w:val="24"/>
        </w:rPr>
      </w:pPr>
      <w:r w:rsidRPr="00CB6C88">
        <w:rPr>
          <w:sz w:val="24"/>
          <w:szCs w:val="24"/>
        </w:rPr>
        <w:t xml:space="preserve">Sheroun, D., Wankhar, D. D., Devrani, A., Lissamma, P. V., &amp; Chatterjee, K. (2020). A study to assess the perceived stress and coping strategies among B.Sc. nursing students of selected colleges in Pune during the COVID-19 pandemic lockdown. </w:t>
      </w:r>
      <w:r w:rsidRPr="00CB6C88">
        <w:rPr>
          <w:i/>
          <w:sz w:val="24"/>
          <w:szCs w:val="24"/>
        </w:rPr>
        <w:t>International Journal of Science and Healthcare Research</w:t>
      </w:r>
      <w:r w:rsidRPr="00CB6C88">
        <w:rPr>
          <w:sz w:val="24"/>
          <w:szCs w:val="24"/>
        </w:rPr>
        <w:t>, 5(2), 280-288.</w:t>
      </w:r>
    </w:p>
    <w:p w:rsidR="00F354AC" w:rsidRPr="00CB6C88" w:rsidRDefault="00F354AC" w:rsidP="00CB6C88">
      <w:pPr>
        <w:spacing w:after="150" w:line="300" w:lineRule="auto"/>
        <w:ind w:left="400" w:hanging="400"/>
        <w:jc w:val="both"/>
        <w:rPr>
          <w:sz w:val="24"/>
          <w:szCs w:val="24"/>
        </w:rPr>
      </w:pPr>
      <w:r w:rsidRPr="00CB6C88">
        <w:rPr>
          <w:sz w:val="24"/>
          <w:szCs w:val="24"/>
        </w:rPr>
        <w:t xml:space="preserve">West, C. P., Dyrbye, L. N., &amp; Shanafelt, T. D. (2014). Physician burnout: Contributors, consequences and solutions. </w:t>
      </w:r>
      <w:r w:rsidRPr="00CB6C88">
        <w:rPr>
          <w:i/>
          <w:sz w:val="24"/>
          <w:szCs w:val="24"/>
        </w:rPr>
        <w:t>Journal of Internal Medicine</w:t>
      </w:r>
      <w:r w:rsidRPr="00CB6C88">
        <w:rPr>
          <w:sz w:val="24"/>
          <w:szCs w:val="24"/>
        </w:rPr>
        <w:t>, 275(2), 327-332.</w:t>
      </w:r>
    </w:p>
    <w:p w:rsidR="00F354AC" w:rsidRPr="00CB6C88" w:rsidRDefault="00F354AC" w:rsidP="00CB6C88">
      <w:pPr>
        <w:pStyle w:val="NormalWeb"/>
        <w:spacing w:before="0" w:beforeAutospacing="0" w:after="0" w:afterAutospacing="0"/>
        <w:ind w:left="720" w:hanging="720"/>
        <w:jc w:val="both"/>
      </w:pPr>
      <w:r w:rsidRPr="00CB6C88">
        <w:t xml:space="preserve">World Health Organization. (2020). </w:t>
      </w:r>
      <w:r w:rsidRPr="00CB6C88">
        <w:rPr>
          <w:rStyle w:val="Emphasis"/>
          <w:iCs/>
        </w:rPr>
        <w:t>WHO Director-General’s opening remarks at the media briefing on COVID-19 – 11 March 2020</w:t>
      </w:r>
      <w:r w:rsidRPr="00CB6C88">
        <w:t xml:space="preserve">. </w:t>
      </w:r>
    </w:p>
    <w:p w:rsidR="00F354AC" w:rsidRPr="00CB6C88" w:rsidRDefault="00F354AC">
      <w:pPr>
        <w:spacing w:after="150" w:line="300" w:lineRule="auto"/>
        <w:ind w:left="400" w:hanging="400"/>
        <w:rPr>
          <w:sz w:val="24"/>
          <w:szCs w:val="24"/>
        </w:rPr>
      </w:pPr>
    </w:p>
    <w:sectPr w:rsidR="00F354AC" w:rsidRPr="00CB6C88" w:rsidSect="00E645A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D7947"/>
    <w:multiLevelType w:val="hybridMultilevel"/>
    <w:tmpl w:val="FFFFFFFF"/>
    <w:lvl w:ilvl="0" w:tplc="BEB8390C">
      <w:start w:val="1"/>
      <w:numFmt w:val="bullet"/>
      <w:lvlText w:val="●"/>
      <w:lvlJc w:val="left"/>
      <w:pPr>
        <w:ind w:left="720" w:hanging="360"/>
      </w:pPr>
    </w:lvl>
    <w:lvl w:ilvl="1" w:tplc="D542EA52">
      <w:start w:val="1"/>
      <w:numFmt w:val="bullet"/>
      <w:lvlText w:val="○"/>
      <w:lvlJc w:val="left"/>
      <w:pPr>
        <w:ind w:left="1440" w:hanging="360"/>
      </w:pPr>
    </w:lvl>
    <w:lvl w:ilvl="2" w:tplc="D19CED08">
      <w:start w:val="1"/>
      <w:numFmt w:val="bullet"/>
      <w:lvlText w:val="■"/>
      <w:lvlJc w:val="left"/>
      <w:pPr>
        <w:ind w:left="2160" w:hanging="360"/>
      </w:pPr>
    </w:lvl>
    <w:lvl w:ilvl="3" w:tplc="0D329EE2">
      <w:start w:val="1"/>
      <w:numFmt w:val="bullet"/>
      <w:lvlText w:val="●"/>
      <w:lvlJc w:val="left"/>
      <w:pPr>
        <w:ind w:left="2880" w:hanging="360"/>
      </w:pPr>
    </w:lvl>
    <w:lvl w:ilvl="4" w:tplc="DD221184">
      <w:start w:val="1"/>
      <w:numFmt w:val="bullet"/>
      <w:lvlText w:val="○"/>
      <w:lvlJc w:val="left"/>
      <w:pPr>
        <w:ind w:left="3600" w:hanging="360"/>
      </w:pPr>
    </w:lvl>
    <w:lvl w:ilvl="5" w:tplc="3B6AD7B6">
      <w:start w:val="1"/>
      <w:numFmt w:val="bullet"/>
      <w:lvlText w:val="■"/>
      <w:lvlJc w:val="left"/>
      <w:pPr>
        <w:ind w:left="4320" w:hanging="360"/>
      </w:pPr>
    </w:lvl>
    <w:lvl w:ilvl="6" w:tplc="235A9FEA">
      <w:start w:val="1"/>
      <w:numFmt w:val="bullet"/>
      <w:lvlText w:val="●"/>
      <w:lvlJc w:val="left"/>
      <w:pPr>
        <w:ind w:left="5040" w:hanging="360"/>
      </w:pPr>
    </w:lvl>
    <w:lvl w:ilvl="7" w:tplc="678605B6">
      <w:start w:val="1"/>
      <w:numFmt w:val="bullet"/>
      <w:lvlText w:val="●"/>
      <w:lvlJc w:val="left"/>
      <w:pPr>
        <w:ind w:left="5760" w:hanging="360"/>
      </w:pPr>
    </w:lvl>
    <w:lvl w:ilvl="8" w:tplc="5D9EEC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9FD"/>
    <w:rsid w:val="0006175B"/>
    <w:rsid w:val="000F79FD"/>
    <w:rsid w:val="00131A0C"/>
    <w:rsid w:val="00262144"/>
    <w:rsid w:val="00601163"/>
    <w:rsid w:val="00885667"/>
    <w:rsid w:val="00A76507"/>
    <w:rsid w:val="00AB1F3B"/>
    <w:rsid w:val="00AE3D82"/>
    <w:rsid w:val="00CB6C88"/>
    <w:rsid w:val="00D04F6D"/>
    <w:rsid w:val="00E645AA"/>
    <w:rsid w:val="00F3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link w:val="Heading1Char"/>
    <w:uiPriority w:val="99"/>
    <w:qFormat/>
    <w:pPr>
      <w:outlineLvl w:val="0"/>
    </w:pPr>
    <w:rPr>
      <w:color w:val="2E74B5"/>
      <w:sz w:val="32"/>
      <w:szCs w:val="32"/>
    </w:rPr>
  </w:style>
  <w:style w:type="paragraph" w:styleId="Heading2">
    <w:name w:val="heading 2"/>
    <w:basedOn w:val="Normal"/>
    <w:link w:val="Heading2Char"/>
    <w:uiPriority w:val="99"/>
    <w:qFormat/>
    <w:pPr>
      <w:outlineLvl w:val="1"/>
    </w:pPr>
    <w:rPr>
      <w:color w:val="2E74B5"/>
      <w:sz w:val="26"/>
      <w:szCs w:val="26"/>
    </w:rPr>
  </w:style>
  <w:style w:type="paragraph" w:styleId="Heading3">
    <w:name w:val="heading 3"/>
    <w:basedOn w:val="Normal"/>
    <w:link w:val="Heading3Char"/>
    <w:uiPriority w:val="99"/>
    <w:qFormat/>
    <w:pPr>
      <w:outlineLvl w:val="2"/>
    </w:pPr>
    <w:rPr>
      <w:color w:val="1F4D78"/>
      <w:sz w:val="24"/>
      <w:szCs w:val="24"/>
    </w:rPr>
  </w:style>
  <w:style w:type="paragraph" w:styleId="Heading4">
    <w:name w:val="heading 4"/>
    <w:basedOn w:val="Normal"/>
    <w:link w:val="Heading4Char"/>
    <w:uiPriority w:val="99"/>
    <w:qFormat/>
    <w:pPr>
      <w:outlineLvl w:val="3"/>
    </w:pPr>
    <w:rPr>
      <w:i/>
      <w:iCs/>
      <w:color w:val="2E74B5"/>
    </w:rPr>
  </w:style>
  <w:style w:type="paragraph" w:styleId="Heading5">
    <w:name w:val="heading 5"/>
    <w:basedOn w:val="Normal"/>
    <w:link w:val="Heading5Char"/>
    <w:uiPriority w:val="99"/>
    <w:qFormat/>
    <w:pPr>
      <w:outlineLvl w:val="4"/>
    </w:pPr>
    <w:rPr>
      <w:color w:val="2E74B5"/>
    </w:rPr>
  </w:style>
  <w:style w:type="paragraph" w:styleId="Heading6">
    <w:name w:val="heading 6"/>
    <w:basedOn w:val="Normal"/>
    <w:link w:val="Heading6Char"/>
    <w:uiPriority w:val="99"/>
    <w:qFormat/>
    <w:pPr>
      <w:outlineLvl w:val="5"/>
    </w:pPr>
    <w:rPr>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rPr>
  </w:style>
  <w:style w:type="character" w:customStyle="1" w:styleId="Heading2Char">
    <w:name w:val="Heading 2 Char"/>
    <w:basedOn w:val="DefaultParagraphFont"/>
    <w:link w:val="Heading2"/>
    <w:uiPriority w:val="99"/>
    <w:semiHidden/>
    <w:locked/>
    <w:rPr>
      <w:rFonts w:ascii="Cambria" w:hAnsi="Cambria"/>
      <w:b/>
      <w:i/>
      <w:sz w:val="28"/>
    </w:rPr>
  </w:style>
  <w:style w:type="character" w:customStyle="1" w:styleId="Heading3Char">
    <w:name w:val="Heading 3 Char"/>
    <w:basedOn w:val="DefaultParagraphFont"/>
    <w:link w:val="Heading3"/>
    <w:uiPriority w:val="99"/>
    <w:semiHidden/>
    <w:locked/>
    <w:rPr>
      <w:rFonts w:ascii="Cambria" w:hAnsi="Cambria"/>
      <w:b/>
      <w:sz w:val="26"/>
    </w:rPr>
  </w:style>
  <w:style w:type="character" w:customStyle="1" w:styleId="Heading4Char">
    <w:name w:val="Heading 4 Char"/>
    <w:basedOn w:val="DefaultParagraphFont"/>
    <w:link w:val="Heading4"/>
    <w:uiPriority w:val="99"/>
    <w:semiHidden/>
    <w:locked/>
    <w:rPr>
      <w:rFonts w:ascii="Calibri" w:hAnsi="Calibri"/>
      <w:b/>
      <w:sz w:val="28"/>
    </w:rPr>
  </w:style>
  <w:style w:type="character" w:customStyle="1" w:styleId="Heading5Char">
    <w:name w:val="Heading 5 Char"/>
    <w:basedOn w:val="DefaultParagraphFont"/>
    <w:link w:val="Heading5"/>
    <w:uiPriority w:val="99"/>
    <w:semiHidden/>
    <w:locked/>
    <w:rPr>
      <w:rFonts w:ascii="Calibri" w:hAnsi="Calibri"/>
      <w:b/>
      <w:i/>
      <w:sz w:val="26"/>
    </w:rPr>
  </w:style>
  <w:style w:type="character" w:customStyle="1" w:styleId="Heading6Char">
    <w:name w:val="Heading 6 Char"/>
    <w:basedOn w:val="DefaultParagraphFont"/>
    <w:link w:val="Heading6"/>
    <w:uiPriority w:val="99"/>
    <w:semiHidden/>
    <w:locked/>
    <w:rPr>
      <w:rFonts w:ascii="Calibri" w:hAnsi="Calibri"/>
      <w:b/>
    </w:rPr>
  </w:style>
  <w:style w:type="paragraph" w:styleId="Title">
    <w:name w:val="Title"/>
    <w:basedOn w:val="Normal"/>
    <w:link w:val="TitleChar"/>
    <w:uiPriority w:val="99"/>
    <w:qFormat/>
    <w:rPr>
      <w:sz w:val="56"/>
      <w:szCs w:val="56"/>
    </w:rPr>
  </w:style>
  <w:style w:type="character" w:customStyle="1" w:styleId="TitleChar">
    <w:name w:val="Title Char"/>
    <w:basedOn w:val="DefaultParagraphFont"/>
    <w:link w:val="Title"/>
    <w:uiPriority w:val="99"/>
    <w:locked/>
    <w:rPr>
      <w:rFonts w:ascii="Cambria" w:hAnsi="Cambria"/>
      <w:b/>
      <w:kern w:val="28"/>
      <w:sz w:val="32"/>
    </w:rPr>
  </w:style>
  <w:style w:type="paragraph" w:customStyle="1" w:styleId="Strong1">
    <w:name w:val="Strong1"/>
    <w:uiPriority w:val="99"/>
    <w:rPr>
      <w:b/>
      <w:bCs/>
      <w:sz w:val="20"/>
      <w:szCs w:val="20"/>
    </w:rPr>
  </w:style>
  <w:style w:type="paragraph" w:styleId="ListParagraph">
    <w:name w:val="List Paragraph"/>
    <w:basedOn w:val="Normal"/>
    <w:uiPriority w:val="99"/>
    <w:qFormat/>
  </w:style>
  <w:style w:type="character" w:styleId="Hyperlink">
    <w:name w:val="Hyperlink"/>
    <w:basedOn w:val="DefaultParagraphFont"/>
    <w:uiPriority w:val="99"/>
    <w:rPr>
      <w:rFonts w:cs="Times New Roman"/>
      <w:color w:val="0563C1"/>
      <w:u w:val="single"/>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sz w:val="20"/>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sz w:val="20"/>
    </w:rPr>
  </w:style>
  <w:style w:type="paragraph" w:styleId="NormalWeb">
    <w:name w:val="Normal (Web)"/>
    <w:basedOn w:val="Normal"/>
    <w:uiPriority w:val="99"/>
    <w:rsid w:val="00CB6C88"/>
    <w:pPr>
      <w:spacing w:before="100" w:beforeAutospacing="1" w:after="100" w:afterAutospacing="1"/>
    </w:pPr>
    <w:rPr>
      <w:sz w:val="24"/>
      <w:szCs w:val="24"/>
    </w:rPr>
  </w:style>
  <w:style w:type="character" w:styleId="Emphasis">
    <w:name w:val="Emphasis"/>
    <w:basedOn w:val="DefaultParagraphFont"/>
    <w:uiPriority w:val="99"/>
    <w:qFormat/>
    <w:locked/>
    <w:rsid w:val="00CB6C88"/>
    <w:rPr>
      <w:rFonts w:cs="Times New Roman"/>
      <w:i/>
    </w:rPr>
  </w:style>
  <w:style w:type="character" w:styleId="HTMLCode">
    <w:name w:val="HTML Code"/>
    <w:basedOn w:val="DefaultParagraphFont"/>
    <w:uiPriority w:val="99"/>
    <w:rsid w:val="00CB6C88"/>
    <w:rPr>
      <w:rFonts w:ascii="Courier New"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019892">
      <w:marLeft w:val="0"/>
      <w:marRight w:val="0"/>
      <w:marTop w:val="0"/>
      <w:marBottom w:val="0"/>
      <w:divBdr>
        <w:top w:val="none" w:sz="0" w:space="0" w:color="auto"/>
        <w:left w:val="none" w:sz="0" w:space="0" w:color="auto"/>
        <w:bottom w:val="none" w:sz="0" w:space="0" w:color="auto"/>
        <w:right w:val="none" w:sz="0" w:space="0" w:color="auto"/>
      </w:divBdr>
    </w:div>
    <w:div w:id="2064019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uopon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10</Pages>
  <Words>3131</Words>
  <Characters>17853</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Kanchu</cp:lastModifiedBy>
  <cp:revision>5</cp:revision>
  <dcterms:created xsi:type="dcterms:W3CDTF">2026-07-06T12:27:00Z</dcterms:created>
  <dcterms:modified xsi:type="dcterms:W3CDTF">2026-07-08T10:20:00Z</dcterms:modified>
</cp:coreProperties>
</file>