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D713" w14:textId="01DEB725" w:rsidR="00A64F89" w:rsidRDefault="00A64F89" w:rsidP="00901794">
      <w:pPr>
        <w:spacing w:line="360" w:lineRule="auto"/>
        <w:jc w:val="both"/>
        <w:rPr>
          <w:rFonts w:ascii="Times New Roman" w:hAnsi="Times New Roman" w:cs="Times New Roman"/>
        </w:rPr>
      </w:pPr>
      <w:r w:rsidRPr="00901794">
        <w:rPr>
          <w:rFonts w:ascii="Times New Roman" w:hAnsi="Times New Roman" w:cs="Times New Roman"/>
        </w:rPr>
        <w:t>Gender inequality- A Comparative Analysis of Gendered Time Inequality in India and Kerala</w:t>
      </w:r>
    </w:p>
    <w:p w14:paraId="1BAE99B1" w14:textId="18496464" w:rsidR="00901794" w:rsidRPr="00901794" w:rsidRDefault="00D42DFB" w:rsidP="00901794">
      <w:pPr>
        <w:spacing w:line="240" w:lineRule="auto"/>
        <w:jc w:val="center"/>
        <w:rPr>
          <w:rFonts w:ascii="Times New Roman" w:hAnsi="Times New Roman" w:cs="Times New Roman"/>
        </w:rPr>
      </w:pPr>
      <w:r>
        <w:rPr>
          <w:rFonts w:ascii="Times New Roman" w:hAnsi="Times New Roman" w:cs="Times New Roman"/>
        </w:rPr>
        <w:t xml:space="preserve">           </w:t>
      </w:r>
    </w:p>
    <w:p w14:paraId="117C5A25" w14:textId="1774AAB1" w:rsidR="00DC42A9" w:rsidRPr="00901794" w:rsidRDefault="00DC42A9" w:rsidP="00901794">
      <w:pPr>
        <w:spacing w:line="360" w:lineRule="auto"/>
        <w:jc w:val="both"/>
        <w:rPr>
          <w:rFonts w:ascii="Times New Roman" w:hAnsi="Times New Roman" w:cs="Times New Roman"/>
        </w:rPr>
      </w:pPr>
      <w:r w:rsidRPr="00901794">
        <w:rPr>
          <w:rFonts w:ascii="Times New Roman" w:hAnsi="Times New Roman" w:cs="Times New Roman"/>
        </w:rPr>
        <w:t>Abstract</w:t>
      </w:r>
    </w:p>
    <w:p w14:paraId="4265624A" w14:textId="37D7027A" w:rsidR="00297705" w:rsidRDefault="00297705" w:rsidP="00901794">
      <w:pPr>
        <w:spacing w:line="360" w:lineRule="auto"/>
        <w:jc w:val="both"/>
        <w:rPr>
          <w:rFonts w:ascii="Times New Roman" w:hAnsi="Times New Roman" w:cs="Times New Roman"/>
        </w:rPr>
      </w:pPr>
      <w:r w:rsidRPr="00901794">
        <w:rPr>
          <w:rFonts w:ascii="Times New Roman" w:hAnsi="Times New Roman" w:cs="Times New Roman"/>
        </w:rPr>
        <w:t xml:space="preserve">Gender inequality in India remains a persistent challenge, manifesting across economic, social, cultural, and political spheres, with significant regional disparities. While India ranks 128 out of 189 countries on the Gender Inequality Index (GII), states like Kerala present a complex paradox, excelling in social development indicators yet facing entrenched gendered inequalities in economic participation. This study conducts a comparative analysis of gendered time inequality—the unequal distribution of time spent on unpaid care work, paid employment, education, and leisure—between India as a whole and the state of Kerala. Despite Kerala’s high female literacy rates, </w:t>
      </w:r>
      <w:r w:rsidR="007534AF" w:rsidRPr="00901794">
        <w:rPr>
          <w:rFonts w:ascii="Times New Roman" w:hAnsi="Times New Roman" w:cs="Times New Roman"/>
        </w:rPr>
        <w:t>favourable</w:t>
      </w:r>
      <w:r w:rsidRPr="00901794">
        <w:rPr>
          <w:rFonts w:ascii="Times New Roman" w:hAnsi="Times New Roman" w:cs="Times New Roman"/>
        </w:rPr>
        <w:t xml:space="preserve"> sex ratios, and robust social welfare systems, women continue to bear a disproportionate burden of unpaid domestic and care work, limiting their </w:t>
      </w:r>
      <w:r w:rsidR="007534AF" w:rsidRPr="00901794">
        <w:rPr>
          <w:rFonts w:ascii="Times New Roman" w:hAnsi="Times New Roman" w:cs="Times New Roman"/>
        </w:rPr>
        <w:t>labour</w:t>
      </w:r>
      <w:r w:rsidRPr="00901794">
        <w:rPr>
          <w:rFonts w:ascii="Times New Roman" w:hAnsi="Times New Roman" w:cs="Times New Roman"/>
        </w:rPr>
        <w:t xml:space="preserve"> force participation and economic independence. This shows a time inequality. </w:t>
      </w:r>
      <w:r w:rsidR="007534AF" w:rsidRPr="00901794">
        <w:rPr>
          <w:rFonts w:ascii="Times New Roman" w:hAnsi="Times New Roman" w:cs="Times New Roman"/>
        </w:rPr>
        <w:t xml:space="preserve">This article examines the persistence of the rigid gender roles, exploring the concept of "time poverty" and the double burden faced by women in both the national and regional contexts. </w:t>
      </w:r>
      <w:r w:rsidRPr="00901794">
        <w:rPr>
          <w:rFonts w:ascii="Times New Roman" w:hAnsi="Times New Roman" w:cs="Times New Roman"/>
        </w:rPr>
        <w:t xml:space="preserve">The study reveals that </w:t>
      </w:r>
      <w:r w:rsidR="007534AF" w:rsidRPr="00901794">
        <w:rPr>
          <w:rFonts w:ascii="Times New Roman" w:hAnsi="Times New Roman" w:cs="Times New Roman"/>
        </w:rPr>
        <w:t>there exists a</w:t>
      </w:r>
      <w:r w:rsidRPr="00901794">
        <w:rPr>
          <w:rFonts w:ascii="Times New Roman" w:hAnsi="Times New Roman" w:cs="Times New Roman"/>
        </w:rPr>
        <w:t xml:space="preserve"> gap </w:t>
      </w:r>
      <w:r w:rsidR="000628F4">
        <w:rPr>
          <w:rFonts w:ascii="Times New Roman" w:hAnsi="Times New Roman" w:cs="Times New Roman"/>
        </w:rPr>
        <w:t>in</w:t>
      </w:r>
      <w:r w:rsidRPr="00901794">
        <w:rPr>
          <w:rFonts w:ascii="Times New Roman" w:hAnsi="Times New Roman" w:cs="Times New Roman"/>
        </w:rPr>
        <w:t xml:space="preserve"> gendered time allocation. </w:t>
      </w:r>
      <w:bookmarkStart w:id="0" w:name="_Hlk216185913"/>
    </w:p>
    <w:p w14:paraId="25181552" w14:textId="73086428" w:rsidR="000628F4" w:rsidRDefault="000628F4" w:rsidP="00901794">
      <w:pPr>
        <w:spacing w:line="360" w:lineRule="auto"/>
        <w:jc w:val="both"/>
        <w:rPr>
          <w:rFonts w:ascii="Times New Roman" w:hAnsi="Times New Roman" w:cs="Times New Roman"/>
        </w:rPr>
      </w:pPr>
      <w:r>
        <w:rPr>
          <w:rFonts w:ascii="Times New Roman" w:hAnsi="Times New Roman" w:cs="Times New Roman"/>
        </w:rPr>
        <w:t>Key words: Gender inequality, empowerment, time poverty</w:t>
      </w:r>
    </w:p>
    <w:p w14:paraId="60AC995F" w14:textId="77777777" w:rsidR="000628F4" w:rsidRDefault="000628F4" w:rsidP="00901794">
      <w:pPr>
        <w:spacing w:line="360" w:lineRule="auto"/>
        <w:jc w:val="both"/>
        <w:rPr>
          <w:rFonts w:ascii="Times New Roman" w:hAnsi="Times New Roman" w:cs="Times New Roman"/>
        </w:rPr>
      </w:pPr>
    </w:p>
    <w:p w14:paraId="6EA6E74D" w14:textId="77777777" w:rsidR="000628F4" w:rsidRDefault="000628F4" w:rsidP="00901794">
      <w:pPr>
        <w:spacing w:line="360" w:lineRule="auto"/>
        <w:jc w:val="both"/>
        <w:rPr>
          <w:rFonts w:ascii="Times New Roman" w:hAnsi="Times New Roman" w:cs="Times New Roman"/>
        </w:rPr>
      </w:pPr>
    </w:p>
    <w:p w14:paraId="1783207B" w14:textId="77777777" w:rsidR="000628F4" w:rsidRDefault="000628F4" w:rsidP="00901794">
      <w:pPr>
        <w:spacing w:line="360" w:lineRule="auto"/>
        <w:jc w:val="both"/>
        <w:rPr>
          <w:rFonts w:ascii="Times New Roman" w:hAnsi="Times New Roman" w:cs="Times New Roman"/>
        </w:rPr>
      </w:pPr>
    </w:p>
    <w:p w14:paraId="7AEB7B01" w14:textId="77777777" w:rsidR="000628F4" w:rsidRDefault="000628F4" w:rsidP="00901794">
      <w:pPr>
        <w:spacing w:line="360" w:lineRule="auto"/>
        <w:jc w:val="both"/>
        <w:rPr>
          <w:rFonts w:ascii="Times New Roman" w:hAnsi="Times New Roman" w:cs="Times New Roman"/>
        </w:rPr>
      </w:pPr>
    </w:p>
    <w:p w14:paraId="2DA8ED72" w14:textId="77777777" w:rsidR="000628F4" w:rsidRDefault="000628F4" w:rsidP="00901794">
      <w:pPr>
        <w:spacing w:line="360" w:lineRule="auto"/>
        <w:jc w:val="both"/>
        <w:rPr>
          <w:rFonts w:ascii="Times New Roman" w:hAnsi="Times New Roman" w:cs="Times New Roman"/>
        </w:rPr>
      </w:pPr>
    </w:p>
    <w:p w14:paraId="7C61BC32" w14:textId="77777777" w:rsidR="000628F4" w:rsidRDefault="000628F4" w:rsidP="00901794">
      <w:pPr>
        <w:spacing w:line="360" w:lineRule="auto"/>
        <w:jc w:val="both"/>
        <w:rPr>
          <w:rFonts w:ascii="Times New Roman" w:hAnsi="Times New Roman" w:cs="Times New Roman"/>
        </w:rPr>
      </w:pPr>
    </w:p>
    <w:p w14:paraId="019AEC5A" w14:textId="77777777" w:rsidR="000628F4" w:rsidRDefault="000628F4" w:rsidP="00901794">
      <w:pPr>
        <w:spacing w:line="360" w:lineRule="auto"/>
        <w:jc w:val="both"/>
        <w:rPr>
          <w:rFonts w:ascii="Times New Roman" w:hAnsi="Times New Roman" w:cs="Times New Roman"/>
        </w:rPr>
      </w:pPr>
    </w:p>
    <w:p w14:paraId="75C79567" w14:textId="77777777" w:rsidR="000628F4" w:rsidRDefault="000628F4" w:rsidP="00901794">
      <w:pPr>
        <w:spacing w:line="360" w:lineRule="auto"/>
        <w:jc w:val="both"/>
        <w:rPr>
          <w:rFonts w:ascii="Times New Roman" w:hAnsi="Times New Roman" w:cs="Times New Roman"/>
        </w:rPr>
      </w:pPr>
    </w:p>
    <w:p w14:paraId="662B5CA1" w14:textId="77777777" w:rsidR="000628F4" w:rsidRPr="00901794" w:rsidRDefault="000628F4" w:rsidP="00901794">
      <w:pPr>
        <w:spacing w:line="360" w:lineRule="auto"/>
        <w:jc w:val="both"/>
        <w:rPr>
          <w:rFonts w:ascii="Times New Roman" w:hAnsi="Times New Roman" w:cs="Times New Roman"/>
        </w:rPr>
      </w:pPr>
    </w:p>
    <w:bookmarkEnd w:id="0"/>
    <w:p w14:paraId="3EB5F271" w14:textId="77777777" w:rsidR="00297705" w:rsidRPr="00901794" w:rsidRDefault="00297705" w:rsidP="00901794">
      <w:pPr>
        <w:spacing w:line="360" w:lineRule="auto"/>
        <w:jc w:val="both"/>
        <w:rPr>
          <w:rFonts w:ascii="Times New Roman" w:hAnsi="Times New Roman" w:cs="Times New Roman"/>
        </w:rPr>
      </w:pPr>
    </w:p>
    <w:p w14:paraId="6E492516" w14:textId="723FB7D5" w:rsidR="00A64F89" w:rsidRPr="000628F4" w:rsidRDefault="00A64F89" w:rsidP="00901794">
      <w:pPr>
        <w:spacing w:line="360" w:lineRule="auto"/>
        <w:jc w:val="both"/>
        <w:rPr>
          <w:rFonts w:ascii="Times New Roman" w:hAnsi="Times New Roman" w:cs="Times New Roman"/>
          <w:b/>
          <w:bCs/>
        </w:rPr>
      </w:pPr>
      <w:r w:rsidRPr="000628F4">
        <w:rPr>
          <w:rFonts w:ascii="Times New Roman" w:hAnsi="Times New Roman" w:cs="Times New Roman"/>
          <w:b/>
          <w:bCs/>
        </w:rPr>
        <w:t>Introduction</w:t>
      </w:r>
    </w:p>
    <w:p w14:paraId="53F9D654" w14:textId="11F6D3FD" w:rsidR="00D3111D" w:rsidRPr="00901794" w:rsidRDefault="00D3111D" w:rsidP="00901794">
      <w:pPr>
        <w:spacing w:line="360" w:lineRule="auto"/>
        <w:jc w:val="both"/>
        <w:rPr>
          <w:rFonts w:ascii="Times New Roman" w:hAnsi="Times New Roman" w:cs="Times New Roman"/>
        </w:rPr>
      </w:pPr>
      <w:r w:rsidRPr="00901794">
        <w:rPr>
          <w:rFonts w:ascii="Times New Roman" w:hAnsi="Times New Roman" w:cs="Times New Roman"/>
        </w:rPr>
        <w:lastRenderedPageBreak/>
        <w:t xml:space="preserve">Every child, regardless of gender, holds the inherent right to </w:t>
      </w:r>
      <w:r w:rsidR="007534AF" w:rsidRPr="00901794">
        <w:rPr>
          <w:rFonts w:ascii="Times New Roman" w:hAnsi="Times New Roman" w:cs="Times New Roman"/>
        </w:rPr>
        <w:t>fulfil</w:t>
      </w:r>
      <w:r w:rsidRPr="00901794">
        <w:rPr>
          <w:rFonts w:ascii="Times New Roman" w:hAnsi="Times New Roman" w:cs="Times New Roman"/>
        </w:rPr>
        <w:t xml:space="preserve"> their potential. But gender inequalities act as barriers to this fundamental promise. From the pages of textbooks to the roles portrayed in films and the division of labo</w:t>
      </w:r>
      <w:r w:rsidR="007534AF" w:rsidRPr="00901794">
        <w:rPr>
          <w:rFonts w:ascii="Times New Roman" w:hAnsi="Times New Roman" w:cs="Times New Roman"/>
        </w:rPr>
        <w:t>u</w:t>
      </w:r>
      <w:r w:rsidRPr="00901794">
        <w:rPr>
          <w:rFonts w:ascii="Times New Roman" w:hAnsi="Times New Roman" w:cs="Times New Roman"/>
        </w:rPr>
        <w:t>r among caregivers, girls and boys in India are constantly exposed to unequal norms. While both genders are affected, the data reveals that, girls face disproportionate disadvantages. They are more likely to drop out of school, experience higher mortality rates in early childhood, and encounter greater restrictions as they grow—especially in decision-making, mobility, and access to education and healthcare. This systemic inequity not only limits individual futures but also hinders the nation's progress.</w:t>
      </w:r>
    </w:p>
    <w:p w14:paraId="70D5F914" w14:textId="7917821F" w:rsidR="00D3111D" w:rsidRPr="00901794" w:rsidRDefault="00D3111D" w:rsidP="00901794">
      <w:pPr>
        <w:spacing w:line="360" w:lineRule="auto"/>
        <w:jc w:val="both"/>
        <w:rPr>
          <w:rFonts w:ascii="Times New Roman" w:hAnsi="Times New Roman" w:cs="Times New Roman"/>
        </w:rPr>
      </w:pPr>
      <w:r w:rsidRPr="00901794">
        <w:rPr>
          <w:rFonts w:ascii="Times New Roman" w:hAnsi="Times New Roman" w:cs="Times New Roman"/>
        </w:rPr>
        <w:t xml:space="preserve">Gender inequality is frequently </w:t>
      </w:r>
      <w:r w:rsidR="007534AF" w:rsidRPr="00901794">
        <w:rPr>
          <w:rFonts w:ascii="Times New Roman" w:hAnsi="Times New Roman" w:cs="Times New Roman"/>
        </w:rPr>
        <w:t>analysed</w:t>
      </w:r>
      <w:r w:rsidRPr="00901794">
        <w:rPr>
          <w:rFonts w:ascii="Times New Roman" w:hAnsi="Times New Roman" w:cs="Times New Roman"/>
        </w:rPr>
        <w:t xml:space="preserve"> through the lenses of income disparities, literacy gaps, and political representation. However, one of the most pervasive and defining aspects of inequality is the distribution of time. Time is a finite resource, and how it is allocated between paid market work (employment) and unpaid domestic or caregiving </w:t>
      </w:r>
      <w:r w:rsidR="007534AF" w:rsidRPr="00901794">
        <w:rPr>
          <w:rFonts w:ascii="Times New Roman" w:hAnsi="Times New Roman" w:cs="Times New Roman"/>
        </w:rPr>
        <w:t>labour</w:t>
      </w:r>
      <w:r w:rsidRPr="00901794">
        <w:rPr>
          <w:rFonts w:ascii="Times New Roman" w:hAnsi="Times New Roman" w:cs="Times New Roman"/>
        </w:rPr>
        <w:t xml:space="preserve"> reveals the deep-seated structural hierarchies of a society.</w:t>
      </w:r>
    </w:p>
    <w:p w14:paraId="2F2A3A46" w14:textId="0C6AAD5E" w:rsidR="00D3111D" w:rsidRPr="00901794" w:rsidRDefault="00D3111D" w:rsidP="00901794">
      <w:pPr>
        <w:spacing w:line="360" w:lineRule="auto"/>
        <w:jc w:val="both"/>
        <w:rPr>
          <w:rFonts w:ascii="Times New Roman" w:hAnsi="Times New Roman" w:cs="Times New Roman"/>
        </w:rPr>
      </w:pPr>
      <w:r w:rsidRPr="00901794">
        <w:rPr>
          <w:rFonts w:ascii="Times New Roman" w:hAnsi="Times New Roman" w:cs="Times New Roman"/>
        </w:rPr>
        <w:t xml:space="preserve">This article presents a comparative study between the national average (All India) and the state of Kerala. Kerala is historically celebrated for its high social development indices, particularly in health and female literacy. However, </w:t>
      </w:r>
      <w:r w:rsidR="007534AF" w:rsidRPr="00901794">
        <w:rPr>
          <w:rFonts w:ascii="Times New Roman" w:hAnsi="Times New Roman" w:cs="Times New Roman"/>
        </w:rPr>
        <w:t>the</w:t>
      </w:r>
      <w:r w:rsidRPr="00901794">
        <w:rPr>
          <w:rFonts w:ascii="Times New Roman" w:hAnsi="Times New Roman" w:cs="Times New Roman"/>
        </w:rPr>
        <w:t xml:space="preserve"> analysis of time-use data challenges the assumption that high social development automatically translates into gender equity within the household and the workforce. By examining the participation rates and the duration of time spent on various activities, this study highlights the persistent "double burden" faced by women and the rigid gender roles that define daily life in both national and regional contexts.</w:t>
      </w:r>
    </w:p>
    <w:p w14:paraId="0960EE75" w14:textId="77777777" w:rsidR="00A64F89" w:rsidRPr="00901794" w:rsidRDefault="00A64F89" w:rsidP="00901794">
      <w:pPr>
        <w:spacing w:line="360" w:lineRule="auto"/>
        <w:jc w:val="both"/>
        <w:rPr>
          <w:rFonts w:ascii="Times New Roman" w:hAnsi="Times New Roman" w:cs="Times New Roman"/>
        </w:rPr>
      </w:pPr>
      <w:r w:rsidRPr="00901794">
        <w:rPr>
          <w:rFonts w:ascii="Times New Roman" w:hAnsi="Times New Roman" w:cs="Times New Roman"/>
        </w:rPr>
        <w:t>The "Time Use Survey 2024" provides a critical window into this invisible economy. It quantifies the daily lives of citizens, revealing who bears the burden of household maintenance and who enjoys access to economic opportunities. This study undertakes a comparative analysis between the national average ("All India") and the state of Kerala.</w:t>
      </w:r>
    </w:p>
    <w:p w14:paraId="6EB2B385" w14:textId="1854AEC7" w:rsidR="00A64F89" w:rsidRPr="000628F4" w:rsidRDefault="00A64F89" w:rsidP="00901794">
      <w:pPr>
        <w:spacing w:line="360" w:lineRule="auto"/>
        <w:jc w:val="both"/>
        <w:rPr>
          <w:rFonts w:ascii="Times New Roman" w:hAnsi="Times New Roman" w:cs="Times New Roman"/>
          <w:b/>
          <w:bCs/>
        </w:rPr>
      </w:pPr>
      <w:r w:rsidRPr="000628F4">
        <w:rPr>
          <w:rFonts w:ascii="Times New Roman" w:hAnsi="Times New Roman" w:cs="Times New Roman"/>
          <w:b/>
          <w:bCs/>
        </w:rPr>
        <w:t>Significance of the Study</w:t>
      </w:r>
    </w:p>
    <w:p w14:paraId="14ED1C00" w14:textId="58A3085C" w:rsidR="00233826" w:rsidRPr="00901794" w:rsidRDefault="00233826" w:rsidP="00901794">
      <w:pPr>
        <w:spacing w:line="360" w:lineRule="auto"/>
        <w:jc w:val="both"/>
        <w:rPr>
          <w:rFonts w:ascii="Times New Roman" w:hAnsi="Times New Roman" w:cs="Times New Roman"/>
        </w:rPr>
      </w:pPr>
      <w:r w:rsidRPr="00901794">
        <w:rPr>
          <w:rFonts w:ascii="Times New Roman" w:hAnsi="Times New Roman" w:cs="Times New Roman"/>
        </w:rPr>
        <w:t xml:space="preserve">Time is the most fundamental resource available to human beings, yet its distribution across society is rarely equitable. In the discourse of development economics, gender inequality is frequently measured through visible indicators such as wage gaps, political representation, or educational attainment. However, a less visible but equally pervasive form of inequality exists in the allocation of time—specifically, the division between paid market </w:t>
      </w:r>
      <w:r w:rsidR="007534AF" w:rsidRPr="00901794">
        <w:rPr>
          <w:rFonts w:ascii="Times New Roman" w:hAnsi="Times New Roman" w:cs="Times New Roman"/>
        </w:rPr>
        <w:t>labour</w:t>
      </w:r>
      <w:r w:rsidRPr="00901794">
        <w:rPr>
          <w:rFonts w:ascii="Times New Roman" w:hAnsi="Times New Roman" w:cs="Times New Roman"/>
        </w:rPr>
        <w:t xml:space="preserve"> and unpaid domestic and caregiving </w:t>
      </w:r>
      <w:r w:rsidR="007534AF" w:rsidRPr="00901794">
        <w:rPr>
          <w:rFonts w:ascii="Times New Roman" w:hAnsi="Times New Roman" w:cs="Times New Roman"/>
        </w:rPr>
        <w:t>labour</w:t>
      </w:r>
      <w:r w:rsidRPr="00901794">
        <w:rPr>
          <w:rFonts w:ascii="Times New Roman" w:hAnsi="Times New Roman" w:cs="Times New Roman"/>
        </w:rPr>
        <w:t>.</w:t>
      </w:r>
    </w:p>
    <w:p w14:paraId="49129DE6" w14:textId="681CA2FD" w:rsidR="00A64F89" w:rsidRPr="00901794" w:rsidRDefault="00A64F89" w:rsidP="00901794">
      <w:pPr>
        <w:spacing w:line="360" w:lineRule="auto"/>
        <w:jc w:val="both"/>
        <w:rPr>
          <w:rFonts w:ascii="Times New Roman" w:hAnsi="Times New Roman" w:cs="Times New Roman"/>
        </w:rPr>
      </w:pPr>
      <w:r w:rsidRPr="00901794">
        <w:rPr>
          <w:rFonts w:ascii="Times New Roman" w:hAnsi="Times New Roman" w:cs="Times New Roman"/>
        </w:rPr>
        <w:lastRenderedPageBreak/>
        <w:t xml:space="preserve">A significant portion of the work performed by women—cooking, cleaning, and caregiving—is unpaid and excluded from GDP calculations. This study </w:t>
      </w:r>
      <w:r w:rsidR="00233826" w:rsidRPr="00901794">
        <w:rPr>
          <w:rFonts w:ascii="Times New Roman" w:hAnsi="Times New Roman" w:cs="Times New Roman"/>
        </w:rPr>
        <w:t xml:space="preserve">about </w:t>
      </w:r>
      <w:r w:rsidRPr="00901794">
        <w:rPr>
          <w:rFonts w:ascii="Times New Roman" w:hAnsi="Times New Roman" w:cs="Times New Roman"/>
        </w:rPr>
        <w:t>the economic value of this invisible labo</w:t>
      </w:r>
      <w:r w:rsidR="00233826" w:rsidRPr="00901794">
        <w:rPr>
          <w:rFonts w:ascii="Times New Roman" w:hAnsi="Times New Roman" w:cs="Times New Roman"/>
        </w:rPr>
        <w:t>ur is relevant</w:t>
      </w:r>
      <w:r w:rsidRPr="00901794">
        <w:rPr>
          <w:rFonts w:ascii="Times New Roman" w:hAnsi="Times New Roman" w:cs="Times New Roman"/>
        </w:rPr>
        <w:t>.</w:t>
      </w:r>
      <w:r w:rsidR="00233826" w:rsidRPr="00901794">
        <w:rPr>
          <w:rFonts w:ascii="Times New Roman" w:hAnsi="Times New Roman" w:cs="Times New Roman"/>
        </w:rPr>
        <w:t xml:space="preserve"> </w:t>
      </w:r>
      <w:r w:rsidRPr="00901794">
        <w:rPr>
          <w:rFonts w:ascii="Times New Roman" w:hAnsi="Times New Roman" w:cs="Times New Roman"/>
        </w:rPr>
        <w:t xml:space="preserve">By comparing Kerala (high literacy) with the national average, this study critically assesses whether education alone is sufficient to empower women, or </w:t>
      </w:r>
      <w:r w:rsidR="00233826" w:rsidRPr="00901794">
        <w:rPr>
          <w:rFonts w:ascii="Times New Roman" w:hAnsi="Times New Roman" w:cs="Times New Roman"/>
        </w:rPr>
        <w:t>not</w:t>
      </w:r>
      <w:r w:rsidRPr="00901794">
        <w:rPr>
          <w:rFonts w:ascii="Times New Roman" w:hAnsi="Times New Roman" w:cs="Times New Roman"/>
        </w:rPr>
        <w:t>. If women are too burdened by unpaid care work to enter the workforce, policies must shift from simply "creating jobs" to creating support systems like crèches and eldercare facilities. "Time poverty"—the lack of time for rest and leisure due to excessive work—has direct implications for women's physical and mental health. This study quantifies that burden.</w:t>
      </w:r>
    </w:p>
    <w:p w14:paraId="3FF5BC17" w14:textId="5F731474" w:rsidR="00A64F89" w:rsidRPr="000628F4" w:rsidRDefault="00A64F89" w:rsidP="00901794">
      <w:pPr>
        <w:spacing w:line="360" w:lineRule="auto"/>
        <w:jc w:val="both"/>
        <w:rPr>
          <w:rFonts w:ascii="Times New Roman" w:hAnsi="Times New Roman" w:cs="Times New Roman"/>
          <w:b/>
          <w:bCs/>
        </w:rPr>
      </w:pPr>
      <w:r w:rsidRPr="000628F4">
        <w:rPr>
          <w:rFonts w:ascii="Times New Roman" w:hAnsi="Times New Roman" w:cs="Times New Roman"/>
          <w:b/>
          <w:bCs/>
        </w:rPr>
        <w:t>Objective</w:t>
      </w:r>
    </w:p>
    <w:p w14:paraId="43384582" w14:textId="1466FDC8" w:rsidR="00A64F89" w:rsidRPr="00901794" w:rsidRDefault="00A64F89" w:rsidP="00901794">
      <w:pPr>
        <w:spacing w:line="360" w:lineRule="auto"/>
        <w:jc w:val="both"/>
        <w:rPr>
          <w:rFonts w:ascii="Times New Roman" w:hAnsi="Times New Roman" w:cs="Times New Roman"/>
        </w:rPr>
      </w:pPr>
      <w:r w:rsidRPr="00901794">
        <w:rPr>
          <w:rFonts w:ascii="Times New Roman" w:hAnsi="Times New Roman" w:cs="Times New Roman"/>
        </w:rPr>
        <w:t>To examine the participation and time intensity of unpaid domestic and caregiving services, assessing the extent to which women in Kerala and India bear the disproportionate responsibility for household maintenance.</w:t>
      </w:r>
    </w:p>
    <w:p w14:paraId="60CF6829" w14:textId="77777777" w:rsidR="00A64F89" w:rsidRPr="000628F4" w:rsidRDefault="00A64F89" w:rsidP="00901794">
      <w:pPr>
        <w:spacing w:line="360" w:lineRule="auto"/>
        <w:jc w:val="both"/>
        <w:rPr>
          <w:rFonts w:ascii="Times New Roman" w:hAnsi="Times New Roman" w:cs="Times New Roman"/>
          <w:b/>
          <w:bCs/>
        </w:rPr>
      </w:pPr>
      <w:r w:rsidRPr="000628F4">
        <w:rPr>
          <w:rFonts w:ascii="Times New Roman" w:hAnsi="Times New Roman" w:cs="Times New Roman"/>
          <w:b/>
          <w:bCs/>
        </w:rPr>
        <w:t>Methodology</w:t>
      </w:r>
    </w:p>
    <w:p w14:paraId="0A53479D" w14:textId="36673E81" w:rsidR="00A64F89" w:rsidRPr="00901794" w:rsidRDefault="00A64F89" w:rsidP="00901794">
      <w:pPr>
        <w:spacing w:line="360" w:lineRule="auto"/>
        <w:jc w:val="both"/>
        <w:rPr>
          <w:rFonts w:ascii="Times New Roman" w:hAnsi="Times New Roman" w:cs="Times New Roman"/>
        </w:rPr>
      </w:pPr>
      <w:r w:rsidRPr="00901794">
        <w:rPr>
          <w:rFonts w:ascii="Times New Roman" w:hAnsi="Times New Roman" w:cs="Times New Roman"/>
        </w:rPr>
        <w:t>This study utilizes secondary data derived from the Time Use Survey 2024. The analysis focuses on the population aged 6 years and above. The study utilizes two primary statistical metrics</w:t>
      </w:r>
      <w:r w:rsidR="00233826" w:rsidRPr="00901794">
        <w:rPr>
          <w:rFonts w:ascii="Times New Roman" w:hAnsi="Times New Roman" w:cs="Times New Roman"/>
        </w:rPr>
        <w:t xml:space="preserve">- </w:t>
      </w:r>
      <w:r w:rsidRPr="00901794">
        <w:rPr>
          <w:rFonts w:ascii="Times New Roman" w:hAnsi="Times New Roman" w:cs="Times New Roman"/>
        </w:rPr>
        <w:t>Participation Rate (%)</w:t>
      </w:r>
      <w:r w:rsidR="00233826" w:rsidRPr="00901794">
        <w:rPr>
          <w:rFonts w:ascii="Times New Roman" w:hAnsi="Times New Roman" w:cs="Times New Roman"/>
        </w:rPr>
        <w:t xml:space="preserve"> (</w:t>
      </w:r>
      <w:r w:rsidRPr="00901794">
        <w:rPr>
          <w:rFonts w:ascii="Times New Roman" w:hAnsi="Times New Roman" w:cs="Times New Roman"/>
        </w:rPr>
        <w:t>The percentage of persons participating in a specific activity in a day</w:t>
      </w:r>
      <w:r w:rsidR="00233826" w:rsidRPr="00901794">
        <w:rPr>
          <w:rFonts w:ascii="Times New Roman" w:hAnsi="Times New Roman" w:cs="Times New Roman"/>
        </w:rPr>
        <w:t xml:space="preserve">) and </w:t>
      </w:r>
      <w:r w:rsidRPr="00901794">
        <w:rPr>
          <w:rFonts w:ascii="Times New Roman" w:hAnsi="Times New Roman" w:cs="Times New Roman"/>
        </w:rPr>
        <w:t xml:space="preserve">Average Time Spent (minutes) </w:t>
      </w:r>
      <w:r w:rsidR="00233826" w:rsidRPr="00901794">
        <w:rPr>
          <w:rFonts w:ascii="Times New Roman" w:hAnsi="Times New Roman" w:cs="Times New Roman"/>
        </w:rPr>
        <w:t>(</w:t>
      </w:r>
      <w:r w:rsidRPr="00901794">
        <w:rPr>
          <w:rFonts w:ascii="Times New Roman" w:hAnsi="Times New Roman" w:cs="Times New Roman"/>
        </w:rPr>
        <w:t>The average duration spent on an activity per participant per day</w:t>
      </w:r>
      <w:r w:rsidR="00233826" w:rsidRPr="00901794">
        <w:rPr>
          <w:rFonts w:ascii="Times New Roman" w:hAnsi="Times New Roman" w:cs="Times New Roman"/>
        </w:rPr>
        <w:t>)</w:t>
      </w:r>
      <w:r w:rsidRPr="00901794">
        <w:rPr>
          <w:rFonts w:ascii="Times New Roman" w:hAnsi="Times New Roman" w:cs="Times New Roman"/>
        </w:rPr>
        <w:t>.</w:t>
      </w:r>
    </w:p>
    <w:p w14:paraId="6FC43060" w14:textId="3FDB2681" w:rsidR="008036BF" w:rsidRPr="00901794" w:rsidRDefault="00A64F89" w:rsidP="00901794">
      <w:pPr>
        <w:spacing w:line="360" w:lineRule="auto"/>
        <w:jc w:val="both"/>
        <w:rPr>
          <w:rFonts w:ascii="Times New Roman" w:hAnsi="Times New Roman" w:cs="Times New Roman"/>
        </w:rPr>
      </w:pPr>
      <w:r w:rsidRPr="00901794">
        <w:rPr>
          <w:rFonts w:ascii="Times New Roman" w:hAnsi="Times New Roman" w:cs="Times New Roman"/>
        </w:rPr>
        <w:t>The comparison is drawn between All India and Kerala. The analysis focuses on three key activity categories: "Employment and related activities," "Unpaid domestic services," and "Unpaid caregiving services."</w:t>
      </w:r>
    </w:p>
    <w:p w14:paraId="02C5EE58" w14:textId="23BAAE46" w:rsidR="00233826" w:rsidRPr="000628F4" w:rsidRDefault="00BF6EF4" w:rsidP="00901794">
      <w:pPr>
        <w:spacing w:line="360" w:lineRule="auto"/>
        <w:jc w:val="both"/>
        <w:rPr>
          <w:rFonts w:ascii="Times New Roman" w:hAnsi="Times New Roman" w:cs="Times New Roman"/>
          <w:b/>
          <w:bCs/>
        </w:rPr>
      </w:pPr>
      <w:r w:rsidRPr="000628F4">
        <w:rPr>
          <w:rFonts w:ascii="Times New Roman" w:hAnsi="Times New Roman" w:cs="Times New Roman"/>
          <w:b/>
          <w:bCs/>
        </w:rPr>
        <w:t>Analysis</w:t>
      </w:r>
    </w:p>
    <w:p w14:paraId="5A2F2125" w14:textId="292488FC" w:rsidR="00BF6EF4" w:rsidRDefault="00BF6EF4" w:rsidP="00901794">
      <w:pPr>
        <w:spacing w:line="360" w:lineRule="auto"/>
        <w:jc w:val="both"/>
        <w:rPr>
          <w:rFonts w:ascii="Times New Roman" w:hAnsi="Times New Roman" w:cs="Times New Roman"/>
        </w:rPr>
      </w:pPr>
      <w:r w:rsidRPr="00901794">
        <w:rPr>
          <w:rFonts w:ascii="Times New Roman" w:hAnsi="Times New Roman" w:cs="Times New Roman"/>
        </w:rPr>
        <w:t xml:space="preserve">The participation in "Employment and related activities" serves as the primary metric for economic independence. The data </w:t>
      </w:r>
      <w:r w:rsidR="008A370E">
        <w:rPr>
          <w:rFonts w:ascii="Times New Roman" w:hAnsi="Times New Roman" w:cs="Times New Roman"/>
        </w:rPr>
        <w:t xml:space="preserve">from Table 1 </w:t>
      </w:r>
      <w:r w:rsidRPr="00901794">
        <w:rPr>
          <w:rFonts w:ascii="Times New Roman" w:hAnsi="Times New Roman" w:cs="Times New Roman"/>
        </w:rPr>
        <w:t>reveals a stark gender gap. Nationally, 60.8% of males participate in employment activities, compared to only 20.7% of females. This indicates that the vast majority of Indian women are excluded from the formal workforce daily. Despite high literacy, Kerala shows no significant advantage in female employment. The female participation rate is 20.1%, which is marginally lower than the national average.</w:t>
      </w:r>
    </w:p>
    <w:p w14:paraId="5F1CF088" w14:textId="77777777" w:rsidR="008A370E" w:rsidRDefault="008A370E" w:rsidP="008A370E">
      <w:pPr>
        <w:spacing w:line="259" w:lineRule="auto"/>
        <w:jc w:val="both"/>
        <w:rPr>
          <w:rFonts w:ascii="Times New Roman" w:eastAsia="Calibri" w:hAnsi="Times New Roman" w:cs="Times New Roman"/>
          <w:b/>
          <w:kern w:val="0"/>
          <w:lang w:val="en-US" w:bidi="ar-SA"/>
          <w14:ligatures w14:val="none"/>
        </w:rPr>
      </w:pPr>
      <w:r>
        <w:rPr>
          <w:rFonts w:ascii="Times New Roman" w:eastAsia="Calibri" w:hAnsi="Times New Roman" w:cs="Times New Roman"/>
          <w:b/>
          <w:kern w:val="0"/>
          <w:lang w:val="en-US" w:bidi="ar-SA"/>
          <w14:ligatures w14:val="none"/>
        </w:rPr>
        <w:t xml:space="preserve">Table 1 </w:t>
      </w:r>
    </w:p>
    <w:p w14:paraId="1B4E4E0D" w14:textId="67A925D3" w:rsidR="008A370E" w:rsidRPr="008A370E" w:rsidRDefault="008A370E" w:rsidP="008A370E">
      <w:pPr>
        <w:spacing w:line="259" w:lineRule="auto"/>
        <w:jc w:val="both"/>
        <w:rPr>
          <w:rFonts w:ascii="Times New Roman" w:eastAsia="Calibri" w:hAnsi="Times New Roman" w:cs="Times New Roman"/>
          <w:b/>
          <w:kern w:val="0"/>
          <w:lang w:val="en-US" w:bidi="ar-SA"/>
          <w14:ligatures w14:val="none"/>
        </w:rPr>
      </w:pPr>
      <w:r w:rsidRPr="008A370E">
        <w:rPr>
          <w:rFonts w:ascii="Times New Roman" w:eastAsia="Calibri" w:hAnsi="Times New Roman" w:cs="Times New Roman"/>
          <w:b/>
          <w:kern w:val="0"/>
          <w:lang w:val="en-US" w:bidi="ar-SA"/>
          <w14:ligatures w14:val="none"/>
        </w:rPr>
        <w:t>Percentage of persons of age 6 years and above participating in different activities in day</w:t>
      </w:r>
    </w:p>
    <w:p w14:paraId="261500FF" w14:textId="77777777" w:rsidR="008A370E" w:rsidRPr="008A370E" w:rsidRDefault="008A370E" w:rsidP="008A370E">
      <w:pPr>
        <w:spacing w:line="259" w:lineRule="auto"/>
        <w:jc w:val="both"/>
        <w:rPr>
          <w:rFonts w:ascii="Times New Roman" w:eastAsia="Calibri" w:hAnsi="Times New Roman" w:cs="Times New Roman"/>
          <w:b/>
          <w:kern w:val="0"/>
          <w:lang w:val="en-US" w:bidi="ar-SA"/>
          <w14:ligatures w14:val="none"/>
        </w:rPr>
      </w:pPr>
      <w:r w:rsidRPr="008A370E">
        <w:rPr>
          <w:rFonts w:ascii="Times New Roman" w:eastAsia="Calibri" w:hAnsi="Times New Roman" w:cs="Times New Roman"/>
          <w:b/>
          <w:kern w:val="0"/>
          <w:lang w:val="en-US" w:bidi="ar-SA"/>
          <w14:ligatures w14:val="none"/>
        </w:rPr>
        <w:lastRenderedPageBreak/>
        <w:t>All India</w:t>
      </w:r>
    </w:p>
    <w:p w14:paraId="0ED3F9ED" w14:textId="77777777" w:rsidR="008A370E" w:rsidRPr="008A370E" w:rsidRDefault="008A370E" w:rsidP="008A370E">
      <w:pPr>
        <w:spacing w:line="259" w:lineRule="auto"/>
        <w:jc w:val="both"/>
        <w:rPr>
          <w:rFonts w:ascii="Times New Roman" w:eastAsia="Calibri" w:hAnsi="Times New Roman" w:cs="Times New Roman"/>
          <w:b/>
          <w:kern w:val="0"/>
          <w:lang w:val="en-US" w:bidi="ar-SA"/>
          <w14:ligatures w14:val="none"/>
        </w:rPr>
      </w:pPr>
    </w:p>
    <w:tbl>
      <w:tblPr>
        <w:tblStyle w:val="TableGrid1"/>
        <w:tblW w:w="0" w:type="auto"/>
        <w:tblLook w:val="04A0" w:firstRow="1" w:lastRow="0" w:firstColumn="1" w:lastColumn="0" w:noHBand="0" w:noVBand="1"/>
      </w:tblPr>
      <w:tblGrid>
        <w:gridCol w:w="3116"/>
        <w:gridCol w:w="840"/>
        <w:gridCol w:w="1185"/>
        <w:gridCol w:w="1092"/>
      </w:tblGrid>
      <w:tr w:rsidR="008A370E" w:rsidRPr="008A370E" w14:paraId="390490F3" w14:textId="77777777" w:rsidTr="000F4811">
        <w:trPr>
          <w:trHeight w:val="465"/>
        </w:trPr>
        <w:tc>
          <w:tcPr>
            <w:tcW w:w="3116" w:type="dxa"/>
            <w:vMerge w:val="restart"/>
          </w:tcPr>
          <w:p w14:paraId="7527B0EB" w14:textId="00435532" w:rsidR="008A370E" w:rsidRPr="008A370E" w:rsidRDefault="00FE56EF" w:rsidP="008A370E">
            <w:pPr>
              <w:jc w:val="both"/>
              <w:rPr>
                <w:rFonts w:ascii="Times New Roman" w:eastAsia="Calibri" w:hAnsi="Times New Roman" w:cs="Times New Roman"/>
              </w:rPr>
            </w:pPr>
            <w:r>
              <w:rPr>
                <w:rFonts w:ascii="Times New Roman" w:eastAsia="Calibri" w:hAnsi="Times New Roman" w:cs="Times New Roman"/>
              </w:rPr>
              <w:t>A</w:t>
            </w:r>
            <w:r w:rsidR="008A370E" w:rsidRPr="008A370E">
              <w:rPr>
                <w:rFonts w:ascii="Times New Roman" w:eastAsia="Calibri" w:hAnsi="Times New Roman" w:cs="Times New Roman"/>
              </w:rPr>
              <w:t>ctivity</w:t>
            </w:r>
          </w:p>
        </w:tc>
        <w:tc>
          <w:tcPr>
            <w:tcW w:w="3117" w:type="dxa"/>
            <w:gridSpan w:val="3"/>
          </w:tcPr>
          <w:p w14:paraId="0EBB0D94"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Gender</w:t>
            </w:r>
          </w:p>
        </w:tc>
      </w:tr>
      <w:tr w:rsidR="008A370E" w:rsidRPr="008A370E" w14:paraId="78C649E4" w14:textId="77777777" w:rsidTr="000F4811">
        <w:trPr>
          <w:trHeight w:val="360"/>
        </w:trPr>
        <w:tc>
          <w:tcPr>
            <w:tcW w:w="3116" w:type="dxa"/>
            <w:vMerge/>
          </w:tcPr>
          <w:p w14:paraId="7F399E3A" w14:textId="77777777" w:rsidR="008A370E" w:rsidRPr="008A370E" w:rsidRDefault="008A370E" w:rsidP="008A370E">
            <w:pPr>
              <w:jc w:val="both"/>
              <w:rPr>
                <w:rFonts w:ascii="Times New Roman" w:eastAsia="Calibri" w:hAnsi="Times New Roman" w:cs="Times New Roman"/>
              </w:rPr>
            </w:pPr>
          </w:p>
        </w:tc>
        <w:tc>
          <w:tcPr>
            <w:tcW w:w="840" w:type="dxa"/>
          </w:tcPr>
          <w:p w14:paraId="6078231C"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Male</w:t>
            </w:r>
          </w:p>
        </w:tc>
        <w:tc>
          <w:tcPr>
            <w:tcW w:w="1185" w:type="dxa"/>
          </w:tcPr>
          <w:p w14:paraId="7BE7D5B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Female</w:t>
            </w:r>
          </w:p>
        </w:tc>
        <w:tc>
          <w:tcPr>
            <w:tcW w:w="1092" w:type="dxa"/>
          </w:tcPr>
          <w:p w14:paraId="07FFBB6F"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Person</w:t>
            </w:r>
          </w:p>
        </w:tc>
      </w:tr>
      <w:tr w:rsidR="008A370E" w:rsidRPr="008A370E" w14:paraId="598898D5" w14:textId="77777777" w:rsidTr="000F4811">
        <w:tc>
          <w:tcPr>
            <w:tcW w:w="3116" w:type="dxa"/>
          </w:tcPr>
          <w:p w14:paraId="6A0DB559"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Employment and related activities</w:t>
            </w:r>
          </w:p>
        </w:tc>
        <w:tc>
          <w:tcPr>
            <w:tcW w:w="840" w:type="dxa"/>
          </w:tcPr>
          <w:p w14:paraId="2AF30B8C"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60.8</w:t>
            </w:r>
          </w:p>
        </w:tc>
        <w:tc>
          <w:tcPr>
            <w:tcW w:w="1185" w:type="dxa"/>
          </w:tcPr>
          <w:p w14:paraId="490EC922"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20.7</w:t>
            </w:r>
          </w:p>
        </w:tc>
        <w:tc>
          <w:tcPr>
            <w:tcW w:w="1092" w:type="dxa"/>
          </w:tcPr>
          <w:p w14:paraId="5746FDEF"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40.9</w:t>
            </w:r>
          </w:p>
        </w:tc>
      </w:tr>
      <w:tr w:rsidR="008A370E" w:rsidRPr="008A370E" w14:paraId="185989EF" w14:textId="77777777" w:rsidTr="000F4811">
        <w:tc>
          <w:tcPr>
            <w:tcW w:w="3116" w:type="dxa"/>
          </w:tcPr>
          <w:p w14:paraId="685C0981"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Production of goods for own final use</w:t>
            </w:r>
          </w:p>
        </w:tc>
        <w:tc>
          <w:tcPr>
            <w:tcW w:w="840" w:type="dxa"/>
          </w:tcPr>
          <w:p w14:paraId="2DE589CF"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13.0</w:t>
            </w:r>
          </w:p>
        </w:tc>
        <w:tc>
          <w:tcPr>
            <w:tcW w:w="1185" w:type="dxa"/>
          </w:tcPr>
          <w:p w14:paraId="59E48BE9"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20.7</w:t>
            </w:r>
          </w:p>
        </w:tc>
        <w:tc>
          <w:tcPr>
            <w:tcW w:w="1092" w:type="dxa"/>
          </w:tcPr>
          <w:p w14:paraId="2FD84EF3"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16.8</w:t>
            </w:r>
          </w:p>
        </w:tc>
      </w:tr>
      <w:tr w:rsidR="008A370E" w:rsidRPr="008A370E" w14:paraId="7D99370F" w14:textId="77777777" w:rsidTr="000F4811">
        <w:tc>
          <w:tcPr>
            <w:tcW w:w="3116" w:type="dxa"/>
          </w:tcPr>
          <w:p w14:paraId="3E0D5E81" w14:textId="77777777" w:rsidR="008A370E" w:rsidRPr="008A370E" w:rsidRDefault="008A370E" w:rsidP="008A370E">
            <w:pPr>
              <w:jc w:val="both"/>
              <w:rPr>
                <w:rFonts w:ascii="Times New Roman" w:eastAsia="Calibri" w:hAnsi="Times New Roman" w:cs="Times New Roman"/>
              </w:rPr>
            </w:pPr>
            <w:proofErr w:type="gramStart"/>
            <w:r w:rsidRPr="008A370E">
              <w:rPr>
                <w:rFonts w:ascii="Times New Roman" w:eastAsia="Calibri" w:hAnsi="Times New Roman" w:cs="Times New Roman"/>
              </w:rPr>
              <w:t>Unpaid  domestic</w:t>
            </w:r>
            <w:proofErr w:type="gramEnd"/>
            <w:r w:rsidRPr="008A370E">
              <w:rPr>
                <w:rFonts w:ascii="Times New Roman" w:eastAsia="Calibri" w:hAnsi="Times New Roman" w:cs="Times New Roman"/>
              </w:rPr>
              <w:t xml:space="preserve"> services for household member</w:t>
            </w:r>
          </w:p>
        </w:tc>
        <w:tc>
          <w:tcPr>
            <w:tcW w:w="840" w:type="dxa"/>
          </w:tcPr>
          <w:p w14:paraId="21EF5C0C"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27.1</w:t>
            </w:r>
          </w:p>
        </w:tc>
        <w:tc>
          <w:tcPr>
            <w:tcW w:w="1185" w:type="dxa"/>
          </w:tcPr>
          <w:p w14:paraId="76AB0263"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81.5</w:t>
            </w:r>
          </w:p>
        </w:tc>
        <w:tc>
          <w:tcPr>
            <w:tcW w:w="1092" w:type="dxa"/>
          </w:tcPr>
          <w:p w14:paraId="19877B7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54.1</w:t>
            </w:r>
          </w:p>
        </w:tc>
      </w:tr>
      <w:tr w:rsidR="008A370E" w:rsidRPr="008A370E" w14:paraId="04730EE4" w14:textId="77777777" w:rsidTr="000F4811">
        <w:tc>
          <w:tcPr>
            <w:tcW w:w="3116" w:type="dxa"/>
          </w:tcPr>
          <w:p w14:paraId="79E233AE"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Unpaid caregiving services for household member</w:t>
            </w:r>
          </w:p>
        </w:tc>
        <w:tc>
          <w:tcPr>
            <w:tcW w:w="840" w:type="dxa"/>
          </w:tcPr>
          <w:p w14:paraId="75E59684"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17.9</w:t>
            </w:r>
          </w:p>
        </w:tc>
        <w:tc>
          <w:tcPr>
            <w:tcW w:w="1185" w:type="dxa"/>
          </w:tcPr>
          <w:p w14:paraId="03CC2CFC"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34.0</w:t>
            </w:r>
          </w:p>
        </w:tc>
        <w:tc>
          <w:tcPr>
            <w:tcW w:w="1092" w:type="dxa"/>
          </w:tcPr>
          <w:p w14:paraId="4AE669BB"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25.9</w:t>
            </w:r>
          </w:p>
        </w:tc>
      </w:tr>
      <w:tr w:rsidR="008A370E" w:rsidRPr="008A370E" w14:paraId="25DA10AE" w14:textId="77777777" w:rsidTr="000F4811">
        <w:tc>
          <w:tcPr>
            <w:tcW w:w="3116" w:type="dxa"/>
          </w:tcPr>
          <w:p w14:paraId="4D0F0024"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 xml:space="preserve">Unpaid volunteer, trainee and other unpaid work </w:t>
            </w:r>
          </w:p>
        </w:tc>
        <w:tc>
          <w:tcPr>
            <w:tcW w:w="840" w:type="dxa"/>
          </w:tcPr>
          <w:p w14:paraId="53855193"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0.9</w:t>
            </w:r>
          </w:p>
        </w:tc>
        <w:tc>
          <w:tcPr>
            <w:tcW w:w="1185" w:type="dxa"/>
          </w:tcPr>
          <w:p w14:paraId="3C974ED7"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1.1</w:t>
            </w:r>
          </w:p>
        </w:tc>
        <w:tc>
          <w:tcPr>
            <w:tcW w:w="1092" w:type="dxa"/>
          </w:tcPr>
          <w:p w14:paraId="13B8712A"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1.0</w:t>
            </w:r>
          </w:p>
        </w:tc>
      </w:tr>
      <w:tr w:rsidR="008A370E" w:rsidRPr="008A370E" w14:paraId="68FC21E0" w14:textId="77777777" w:rsidTr="000F4811">
        <w:tc>
          <w:tcPr>
            <w:tcW w:w="3116" w:type="dxa"/>
          </w:tcPr>
          <w:p w14:paraId="39BEB46F"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Learning</w:t>
            </w:r>
          </w:p>
        </w:tc>
        <w:tc>
          <w:tcPr>
            <w:tcW w:w="840" w:type="dxa"/>
          </w:tcPr>
          <w:p w14:paraId="641CDC44"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22.6</w:t>
            </w:r>
          </w:p>
        </w:tc>
        <w:tc>
          <w:tcPr>
            <w:tcW w:w="1185" w:type="dxa"/>
          </w:tcPr>
          <w:p w14:paraId="423B03A8"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20.2</w:t>
            </w:r>
          </w:p>
        </w:tc>
        <w:tc>
          <w:tcPr>
            <w:tcW w:w="1092" w:type="dxa"/>
          </w:tcPr>
          <w:p w14:paraId="6D080D89"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21.4</w:t>
            </w:r>
          </w:p>
        </w:tc>
      </w:tr>
      <w:tr w:rsidR="008A370E" w:rsidRPr="008A370E" w14:paraId="5312815A" w14:textId="77777777" w:rsidTr="000F4811">
        <w:tc>
          <w:tcPr>
            <w:tcW w:w="3116" w:type="dxa"/>
          </w:tcPr>
          <w:p w14:paraId="2BAC77C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Socializing and communication, community participation, religious practice</w:t>
            </w:r>
          </w:p>
        </w:tc>
        <w:tc>
          <w:tcPr>
            <w:tcW w:w="840" w:type="dxa"/>
          </w:tcPr>
          <w:p w14:paraId="127CBCC1"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89.8</w:t>
            </w:r>
          </w:p>
        </w:tc>
        <w:tc>
          <w:tcPr>
            <w:tcW w:w="1185" w:type="dxa"/>
          </w:tcPr>
          <w:p w14:paraId="56620450"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90.7</w:t>
            </w:r>
          </w:p>
        </w:tc>
        <w:tc>
          <w:tcPr>
            <w:tcW w:w="1092" w:type="dxa"/>
          </w:tcPr>
          <w:p w14:paraId="094C66DA"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90.3</w:t>
            </w:r>
          </w:p>
        </w:tc>
      </w:tr>
      <w:tr w:rsidR="008A370E" w:rsidRPr="008A370E" w14:paraId="6461026A" w14:textId="77777777" w:rsidTr="000F4811">
        <w:tc>
          <w:tcPr>
            <w:tcW w:w="3116" w:type="dxa"/>
          </w:tcPr>
          <w:p w14:paraId="07F93077"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Culture, leisure, mass media and sports practices</w:t>
            </w:r>
          </w:p>
        </w:tc>
        <w:tc>
          <w:tcPr>
            <w:tcW w:w="840" w:type="dxa"/>
          </w:tcPr>
          <w:p w14:paraId="7DC505BE"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95.3</w:t>
            </w:r>
          </w:p>
        </w:tc>
        <w:tc>
          <w:tcPr>
            <w:tcW w:w="1185" w:type="dxa"/>
          </w:tcPr>
          <w:p w14:paraId="0A7A32E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90.7</w:t>
            </w:r>
          </w:p>
        </w:tc>
        <w:tc>
          <w:tcPr>
            <w:tcW w:w="1092" w:type="dxa"/>
          </w:tcPr>
          <w:p w14:paraId="0D006CF7"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90.3</w:t>
            </w:r>
          </w:p>
        </w:tc>
      </w:tr>
      <w:tr w:rsidR="008A370E" w:rsidRPr="008A370E" w14:paraId="29D51715" w14:textId="77777777" w:rsidTr="000F4811">
        <w:tc>
          <w:tcPr>
            <w:tcW w:w="3116" w:type="dxa"/>
          </w:tcPr>
          <w:p w14:paraId="78A68FAB"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Self-care and maintenance</w:t>
            </w:r>
          </w:p>
        </w:tc>
        <w:tc>
          <w:tcPr>
            <w:tcW w:w="840" w:type="dxa"/>
          </w:tcPr>
          <w:p w14:paraId="28E29A4B"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100.0</w:t>
            </w:r>
          </w:p>
        </w:tc>
        <w:tc>
          <w:tcPr>
            <w:tcW w:w="1185" w:type="dxa"/>
          </w:tcPr>
          <w:p w14:paraId="1845FCC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100.0</w:t>
            </w:r>
          </w:p>
        </w:tc>
        <w:tc>
          <w:tcPr>
            <w:tcW w:w="1092" w:type="dxa"/>
          </w:tcPr>
          <w:p w14:paraId="4FFFF7DF"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100.0</w:t>
            </w:r>
          </w:p>
        </w:tc>
      </w:tr>
    </w:tbl>
    <w:p w14:paraId="6EE337C6" w14:textId="77777777" w:rsidR="008A370E" w:rsidRPr="008A370E" w:rsidRDefault="008A370E" w:rsidP="008A370E">
      <w:pPr>
        <w:spacing w:line="259" w:lineRule="auto"/>
        <w:jc w:val="both"/>
        <w:rPr>
          <w:rFonts w:ascii="Times New Roman" w:eastAsia="Calibri" w:hAnsi="Times New Roman" w:cs="Times New Roman"/>
          <w:kern w:val="0"/>
          <w:lang w:val="en-US" w:bidi="ar-SA"/>
          <w14:ligatures w14:val="none"/>
        </w:rPr>
      </w:pPr>
      <w:r w:rsidRPr="008A370E">
        <w:rPr>
          <w:rFonts w:ascii="Times New Roman" w:eastAsia="Calibri" w:hAnsi="Times New Roman" w:cs="Times New Roman"/>
          <w:kern w:val="0"/>
          <w:lang w:val="en-US" w:bidi="ar-SA"/>
          <w14:ligatures w14:val="none"/>
        </w:rPr>
        <w:t>(Time use survey 2024 Published by Press Information Bureau)</w:t>
      </w:r>
    </w:p>
    <w:p w14:paraId="3C28CC8E" w14:textId="77777777" w:rsidR="008A370E" w:rsidRPr="00901794" w:rsidRDefault="008A370E" w:rsidP="00901794">
      <w:pPr>
        <w:spacing w:line="360" w:lineRule="auto"/>
        <w:jc w:val="both"/>
        <w:rPr>
          <w:rFonts w:ascii="Times New Roman" w:hAnsi="Times New Roman" w:cs="Times New Roman"/>
        </w:rPr>
      </w:pPr>
    </w:p>
    <w:p w14:paraId="1993181D" w14:textId="688CD556" w:rsidR="00BF6EF4" w:rsidRPr="00901794" w:rsidRDefault="00BF6EF4" w:rsidP="00901794">
      <w:pPr>
        <w:spacing w:line="360" w:lineRule="auto"/>
        <w:jc w:val="both"/>
        <w:rPr>
          <w:rFonts w:ascii="Times New Roman" w:hAnsi="Times New Roman" w:cs="Times New Roman"/>
        </w:rPr>
      </w:pPr>
      <w:r w:rsidRPr="00901794">
        <w:rPr>
          <w:rFonts w:ascii="Times New Roman" w:hAnsi="Times New Roman" w:cs="Times New Roman"/>
        </w:rPr>
        <w:t xml:space="preserve">Male workforce participation </w:t>
      </w:r>
      <w:r w:rsidR="00FE56EF">
        <w:rPr>
          <w:rFonts w:ascii="Times New Roman" w:hAnsi="Times New Roman" w:cs="Times New Roman"/>
        </w:rPr>
        <w:t xml:space="preserve">(Table 2) </w:t>
      </w:r>
      <w:r w:rsidRPr="00901794">
        <w:rPr>
          <w:rFonts w:ascii="Times New Roman" w:hAnsi="Times New Roman" w:cs="Times New Roman"/>
        </w:rPr>
        <w:t xml:space="preserve">in Kerala (49.8%) is significantly lower than the </w:t>
      </w:r>
      <w:proofErr w:type="gramStart"/>
      <w:r w:rsidRPr="00901794">
        <w:rPr>
          <w:rFonts w:ascii="Times New Roman" w:hAnsi="Times New Roman" w:cs="Times New Roman"/>
        </w:rPr>
        <w:t>All India</w:t>
      </w:r>
      <w:proofErr w:type="gramEnd"/>
      <w:r w:rsidRPr="00901794">
        <w:rPr>
          <w:rFonts w:ascii="Times New Roman" w:hAnsi="Times New Roman" w:cs="Times New Roman"/>
        </w:rPr>
        <w:t xml:space="preserve"> male average (60.8%). This suggests that while fewer men are working in Kerala, the gender gap remains substantial, and women have not stepped in to fill the economic void.</w:t>
      </w:r>
    </w:p>
    <w:p w14:paraId="11E82D2F" w14:textId="58717F17" w:rsidR="00BF6EF4" w:rsidRDefault="00BF6EF4" w:rsidP="00901794">
      <w:pPr>
        <w:spacing w:line="360" w:lineRule="auto"/>
        <w:jc w:val="both"/>
        <w:rPr>
          <w:rFonts w:ascii="Times New Roman" w:hAnsi="Times New Roman" w:cs="Times New Roman"/>
        </w:rPr>
      </w:pPr>
      <w:r w:rsidRPr="00901794">
        <w:rPr>
          <w:rFonts w:ascii="Times New Roman" w:hAnsi="Times New Roman" w:cs="Times New Roman"/>
        </w:rPr>
        <w:t xml:space="preserve">The category ‘Unpaid Domestic </w:t>
      </w:r>
      <w:r w:rsidR="00511857" w:rsidRPr="00901794">
        <w:rPr>
          <w:rFonts w:ascii="Times New Roman" w:hAnsi="Times New Roman" w:cs="Times New Roman"/>
        </w:rPr>
        <w:t>Services’ includes</w:t>
      </w:r>
      <w:r w:rsidRPr="00901794">
        <w:rPr>
          <w:rFonts w:ascii="Times New Roman" w:hAnsi="Times New Roman" w:cs="Times New Roman"/>
        </w:rPr>
        <w:t xml:space="preserve"> household upkeep, cooking, and cleaning.</w:t>
      </w:r>
      <w:r w:rsidR="00DE370D" w:rsidRPr="00901794">
        <w:rPr>
          <w:rFonts w:ascii="Times New Roman" w:hAnsi="Times New Roman" w:cs="Times New Roman"/>
        </w:rPr>
        <w:t xml:space="preserve"> </w:t>
      </w:r>
      <w:r w:rsidRPr="00901794">
        <w:rPr>
          <w:rFonts w:ascii="Times New Roman" w:hAnsi="Times New Roman" w:cs="Times New Roman"/>
        </w:rPr>
        <w:t>Nationally, 81.5% of women engage in domestic chores daily, spending an average of 289 minutes (approx. 4.8 hours). In contrast, only 27.1% of men participate, spending just 88 minutes.</w:t>
      </w:r>
    </w:p>
    <w:p w14:paraId="27730675" w14:textId="24D66BB5" w:rsidR="008A370E" w:rsidRPr="008A370E" w:rsidRDefault="008A370E" w:rsidP="008A370E">
      <w:pPr>
        <w:spacing w:line="259" w:lineRule="auto"/>
        <w:jc w:val="both"/>
        <w:rPr>
          <w:rFonts w:ascii="Times New Roman" w:eastAsia="Calibri" w:hAnsi="Times New Roman" w:cs="Times New Roman"/>
          <w:b/>
          <w:kern w:val="0"/>
          <w:lang w:val="en-US" w:bidi="ar-SA"/>
          <w14:ligatures w14:val="none"/>
        </w:rPr>
      </w:pPr>
      <w:r>
        <w:rPr>
          <w:rFonts w:ascii="Times New Roman" w:eastAsia="Calibri" w:hAnsi="Times New Roman" w:cs="Times New Roman"/>
          <w:b/>
          <w:kern w:val="0"/>
          <w:lang w:val="en-US" w:bidi="ar-SA"/>
          <w14:ligatures w14:val="none"/>
        </w:rPr>
        <w:t xml:space="preserve">Table 2 </w:t>
      </w:r>
      <w:r w:rsidRPr="008A370E">
        <w:rPr>
          <w:rFonts w:ascii="Times New Roman" w:eastAsia="Calibri" w:hAnsi="Times New Roman" w:cs="Times New Roman"/>
          <w:b/>
          <w:kern w:val="0"/>
          <w:lang w:val="en-US" w:bidi="ar-SA"/>
          <w14:ligatures w14:val="none"/>
        </w:rPr>
        <w:t>Percentage of persons participating in a day in activities of major divisions of TUS activity classification as major activities in Kerala</w:t>
      </w:r>
    </w:p>
    <w:p w14:paraId="02CB88A1" w14:textId="77777777" w:rsidR="008A370E" w:rsidRPr="008A370E" w:rsidRDefault="008A370E" w:rsidP="008A370E">
      <w:pPr>
        <w:spacing w:line="259" w:lineRule="auto"/>
        <w:jc w:val="both"/>
        <w:rPr>
          <w:rFonts w:ascii="Times New Roman" w:eastAsia="Calibri" w:hAnsi="Times New Roman" w:cs="Times New Roman"/>
          <w:b/>
          <w:kern w:val="0"/>
          <w:lang w:val="en-US" w:bidi="ar-SA"/>
          <w14:ligatures w14:val="none"/>
        </w:rPr>
      </w:pPr>
    </w:p>
    <w:tbl>
      <w:tblPr>
        <w:tblStyle w:val="TableGrid2"/>
        <w:tblW w:w="0" w:type="auto"/>
        <w:tblLook w:val="04A0" w:firstRow="1" w:lastRow="0" w:firstColumn="1" w:lastColumn="0" w:noHBand="0" w:noVBand="1"/>
      </w:tblPr>
      <w:tblGrid>
        <w:gridCol w:w="2057"/>
        <w:gridCol w:w="756"/>
        <w:gridCol w:w="869"/>
        <w:gridCol w:w="890"/>
      </w:tblGrid>
      <w:tr w:rsidR="008A370E" w:rsidRPr="008A370E" w14:paraId="02ED478C" w14:textId="77777777" w:rsidTr="000F4811">
        <w:tc>
          <w:tcPr>
            <w:tcW w:w="2057" w:type="dxa"/>
          </w:tcPr>
          <w:p w14:paraId="55453EF6"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Activity</w:t>
            </w:r>
          </w:p>
        </w:tc>
        <w:tc>
          <w:tcPr>
            <w:tcW w:w="756" w:type="dxa"/>
          </w:tcPr>
          <w:p w14:paraId="5C8D3F3B"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Male</w:t>
            </w:r>
          </w:p>
        </w:tc>
        <w:tc>
          <w:tcPr>
            <w:tcW w:w="869" w:type="dxa"/>
          </w:tcPr>
          <w:p w14:paraId="31BF9F70"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Female</w:t>
            </w:r>
          </w:p>
        </w:tc>
        <w:tc>
          <w:tcPr>
            <w:tcW w:w="890" w:type="dxa"/>
          </w:tcPr>
          <w:p w14:paraId="1F545FD6"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Total</w:t>
            </w:r>
          </w:p>
        </w:tc>
      </w:tr>
      <w:tr w:rsidR="008A370E" w:rsidRPr="008A370E" w14:paraId="54F99320" w14:textId="77777777" w:rsidTr="000F4811">
        <w:tc>
          <w:tcPr>
            <w:tcW w:w="2057" w:type="dxa"/>
          </w:tcPr>
          <w:p w14:paraId="63DE7F2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Employment and related activities</w:t>
            </w:r>
          </w:p>
        </w:tc>
        <w:tc>
          <w:tcPr>
            <w:tcW w:w="756" w:type="dxa"/>
          </w:tcPr>
          <w:p w14:paraId="69C1DFD4"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49.8</w:t>
            </w:r>
          </w:p>
        </w:tc>
        <w:tc>
          <w:tcPr>
            <w:tcW w:w="869" w:type="dxa"/>
          </w:tcPr>
          <w:p w14:paraId="4DB4A9DF"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20.1</w:t>
            </w:r>
          </w:p>
        </w:tc>
        <w:tc>
          <w:tcPr>
            <w:tcW w:w="890" w:type="dxa"/>
          </w:tcPr>
          <w:p w14:paraId="26E5B265"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34.0</w:t>
            </w:r>
          </w:p>
        </w:tc>
      </w:tr>
      <w:tr w:rsidR="008A370E" w:rsidRPr="008A370E" w14:paraId="57C15024" w14:textId="77777777" w:rsidTr="000F4811">
        <w:tc>
          <w:tcPr>
            <w:tcW w:w="2057" w:type="dxa"/>
          </w:tcPr>
          <w:p w14:paraId="058E0294" w14:textId="77777777" w:rsidR="008A370E" w:rsidRPr="008A370E" w:rsidRDefault="008A370E" w:rsidP="008A370E">
            <w:pPr>
              <w:jc w:val="both"/>
              <w:rPr>
                <w:rFonts w:ascii="Times New Roman" w:eastAsia="Calibri" w:hAnsi="Times New Roman" w:cs="Times New Roman"/>
                <w:b/>
              </w:rPr>
            </w:pPr>
            <w:r w:rsidRPr="008A370E">
              <w:rPr>
                <w:rFonts w:ascii="Times New Roman" w:eastAsia="Calibri" w:hAnsi="Times New Roman" w:cs="Times New Roman"/>
              </w:rPr>
              <w:t>Production of goods for own final use</w:t>
            </w:r>
          </w:p>
        </w:tc>
        <w:tc>
          <w:tcPr>
            <w:tcW w:w="756" w:type="dxa"/>
          </w:tcPr>
          <w:p w14:paraId="340593F9"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7.1</w:t>
            </w:r>
          </w:p>
        </w:tc>
        <w:tc>
          <w:tcPr>
            <w:tcW w:w="869" w:type="dxa"/>
          </w:tcPr>
          <w:p w14:paraId="550A97B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9.6</w:t>
            </w:r>
          </w:p>
        </w:tc>
        <w:tc>
          <w:tcPr>
            <w:tcW w:w="890" w:type="dxa"/>
          </w:tcPr>
          <w:p w14:paraId="126C172A"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8.4</w:t>
            </w:r>
          </w:p>
        </w:tc>
      </w:tr>
      <w:tr w:rsidR="008A370E" w:rsidRPr="008A370E" w14:paraId="1FE8A408" w14:textId="77777777" w:rsidTr="000F4811">
        <w:tc>
          <w:tcPr>
            <w:tcW w:w="2057" w:type="dxa"/>
          </w:tcPr>
          <w:p w14:paraId="2E2C6386" w14:textId="77777777" w:rsidR="008A370E" w:rsidRPr="008A370E" w:rsidRDefault="008A370E" w:rsidP="008A370E">
            <w:pPr>
              <w:jc w:val="both"/>
              <w:rPr>
                <w:rFonts w:ascii="Times New Roman" w:eastAsia="Calibri" w:hAnsi="Times New Roman" w:cs="Times New Roman"/>
                <w:b/>
              </w:rPr>
            </w:pPr>
            <w:proofErr w:type="gramStart"/>
            <w:r w:rsidRPr="008A370E">
              <w:rPr>
                <w:rFonts w:ascii="Times New Roman" w:eastAsia="Calibri" w:hAnsi="Times New Roman" w:cs="Times New Roman"/>
              </w:rPr>
              <w:t>Unpaid  domestic</w:t>
            </w:r>
            <w:proofErr w:type="gramEnd"/>
            <w:r w:rsidRPr="008A370E">
              <w:rPr>
                <w:rFonts w:ascii="Times New Roman" w:eastAsia="Calibri" w:hAnsi="Times New Roman" w:cs="Times New Roman"/>
              </w:rPr>
              <w:t xml:space="preserve"> services for household member</w:t>
            </w:r>
          </w:p>
        </w:tc>
        <w:tc>
          <w:tcPr>
            <w:tcW w:w="756" w:type="dxa"/>
          </w:tcPr>
          <w:p w14:paraId="77F2DB7A"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39.1</w:t>
            </w:r>
          </w:p>
        </w:tc>
        <w:tc>
          <w:tcPr>
            <w:tcW w:w="869" w:type="dxa"/>
          </w:tcPr>
          <w:p w14:paraId="3ADAC252"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82.1</w:t>
            </w:r>
          </w:p>
        </w:tc>
        <w:tc>
          <w:tcPr>
            <w:tcW w:w="890" w:type="dxa"/>
          </w:tcPr>
          <w:p w14:paraId="755D85F3"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62.0</w:t>
            </w:r>
          </w:p>
        </w:tc>
      </w:tr>
      <w:tr w:rsidR="008A370E" w:rsidRPr="008A370E" w14:paraId="0253BAE7" w14:textId="77777777" w:rsidTr="000F4811">
        <w:tc>
          <w:tcPr>
            <w:tcW w:w="2057" w:type="dxa"/>
          </w:tcPr>
          <w:p w14:paraId="3AE977FC"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lastRenderedPageBreak/>
              <w:t>Unpaid caregiving services for household member</w:t>
            </w:r>
          </w:p>
        </w:tc>
        <w:tc>
          <w:tcPr>
            <w:tcW w:w="756" w:type="dxa"/>
          </w:tcPr>
          <w:p w14:paraId="29ACD76A"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15.4</w:t>
            </w:r>
          </w:p>
        </w:tc>
        <w:tc>
          <w:tcPr>
            <w:tcW w:w="869" w:type="dxa"/>
          </w:tcPr>
          <w:p w14:paraId="66D0C151"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28.9</w:t>
            </w:r>
          </w:p>
        </w:tc>
        <w:tc>
          <w:tcPr>
            <w:tcW w:w="890" w:type="dxa"/>
          </w:tcPr>
          <w:p w14:paraId="71952906"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22.6</w:t>
            </w:r>
          </w:p>
        </w:tc>
      </w:tr>
      <w:tr w:rsidR="008A370E" w:rsidRPr="008A370E" w14:paraId="3A178B1E" w14:textId="77777777" w:rsidTr="000F4811">
        <w:tc>
          <w:tcPr>
            <w:tcW w:w="2057" w:type="dxa"/>
          </w:tcPr>
          <w:p w14:paraId="6135DCCC"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Unpaid volunteer, trainee and other unpaid work</w:t>
            </w:r>
          </w:p>
        </w:tc>
        <w:tc>
          <w:tcPr>
            <w:tcW w:w="756" w:type="dxa"/>
          </w:tcPr>
          <w:p w14:paraId="6A6476BE"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3.5</w:t>
            </w:r>
          </w:p>
        </w:tc>
        <w:tc>
          <w:tcPr>
            <w:tcW w:w="869" w:type="dxa"/>
          </w:tcPr>
          <w:p w14:paraId="2B2C58C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4.8</w:t>
            </w:r>
          </w:p>
        </w:tc>
        <w:tc>
          <w:tcPr>
            <w:tcW w:w="890" w:type="dxa"/>
          </w:tcPr>
          <w:p w14:paraId="5F577B06"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4.2</w:t>
            </w:r>
          </w:p>
        </w:tc>
      </w:tr>
      <w:tr w:rsidR="008A370E" w:rsidRPr="008A370E" w14:paraId="22C76A8D" w14:textId="77777777" w:rsidTr="000F4811">
        <w:tc>
          <w:tcPr>
            <w:tcW w:w="2057" w:type="dxa"/>
          </w:tcPr>
          <w:p w14:paraId="3440D3FE"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Learning</w:t>
            </w:r>
          </w:p>
        </w:tc>
        <w:tc>
          <w:tcPr>
            <w:tcW w:w="756" w:type="dxa"/>
          </w:tcPr>
          <w:p w14:paraId="361185C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18.1</w:t>
            </w:r>
          </w:p>
        </w:tc>
        <w:tc>
          <w:tcPr>
            <w:tcW w:w="869" w:type="dxa"/>
          </w:tcPr>
          <w:p w14:paraId="5946CABC"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19.6</w:t>
            </w:r>
          </w:p>
        </w:tc>
        <w:tc>
          <w:tcPr>
            <w:tcW w:w="890" w:type="dxa"/>
          </w:tcPr>
          <w:p w14:paraId="0BDC7028"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18.9</w:t>
            </w:r>
          </w:p>
        </w:tc>
      </w:tr>
      <w:tr w:rsidR="008A370E" w:rsidRPr="008A370E" w14:paraId="58D0F430" w14:textId="77777777" w:rsidTr="000F4811">
        <w:tc>
          <w:tcPr>
            <w:tcW w:w="2057" w:type="dxa"/>
          </w:tcPr>
          <w:p w14:paraId="574F69A7"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Socializing and communication, community participation, religious practice</w:t>
            </w:r>
          </w:p>
        </w:tc>
        <w:tc>
          <w:tcPr>
            <w:tcW w:w="756" w:type="dxa"/>
          </w:tcPr>
          <w:p w14:paraId="1C9521FB"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82.8</w:t>
            </w:r>
          </w:p>
        </w:tc>
        <w:tc>
          <w:tcPr>
            <w:tcW w:w="869" w:type="dxa"/>
          </w:tcPr>
          <w:p w14:paraId="20456CC2"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87.0</w:t>
            </w:r>
          </w:p>
        </w:tc>
        <w:tc>
          <w:tcPr>
            <w:tcW w:w="890" w:type="dxa"/>
          </w:tcPr>
          <w:p w14:paraId="226A0866"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85.1</w:t>
            </w:r>
          </w:p>
        </w:tc>
      </w:tr>
      <w:tr w:rsidR="008A370E" w:rsidRPr="008A370E" w14:paraId="7682E63A" w14:textId="77777777" w:rsidTr="000F4811">
        <w:tc>
          <w:tcPr>
            <w:tcW w:w="2057" w:type="dxa"/>
          </w:tcPr>
          <w:p w14:paraId="6334CC0C"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Culture, leisure, mass media and sports practices</w:t>
            </w:r>
          </w:p>
        </w:tc>
        <w:tc>
          <w:tcPr>
            <w:tcW w:w="756" w:type="dxa"/>
          </w:tcPr>
          <w:p w14:paraId="7B84D6C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96.6</w:t>
            </w:r>
          </w:p>
        </w:tc>
        <w:tc>
          <w:tcPr>
            <w:tcW w:w="869" w:type="dxa"/>
          </w:tcPr>
          <w:p w14:paraId="32316CA3"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93.2</w:t>
            </w:r>
          </w:p>
        </w:tc>
        <w:tc>
          <w:tcPr>
            <w:tcW w:w="890" w:type="dxa"/>
          </w:tcPr>
          <w:p w14:paraId="2D216DED"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94.8</w:t>
            </w:r>
          </w:p>
        </w:tc>
      </w:tr>
      <w:tr w:rsidR="008A370E" w:rsidRPr="008A370E" w14:paraId="7B5098FF" w14:textId="77777777" w:rsidTr="000F4811">
        <w:tc>
          <w:tcPr>
            <w:tcW w:w="2057" w:type="dxa"/>
          </w:tcPr>
          <w:p w14:paraId="16C723B4"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Self-care and maintenance</w:t>
            </w:r>
          </w:p>
        </w:tc>
        <w:tc>
          <w:tcPr>
            <w:tcW w:w="756" w:type="dxa"/>
          </w:tcPr>
          <w:p w14:paraId="70B161C4"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100.0</w:t>
            </w:r>
          </w:p>
        </w:tc>
        <w:tc>
          <w:tcPr>
            <w:tcW w:w="869" w:type="dxa"/>
          </w:tcPr>
          <w:p w14:paraId="600090F1"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100.0</w:t>
            </w:r>
          </w:p>
        </w:tc>
        <w:tc>
          <w:tcPr>
            <w:tcW w:w="890" w:type="dxa"/>
          </w:tcPr>
          <w:p w14:paraId="10C54765" w14:textId="77777777" w:rsidR="008A370E" w:rsidRPr="008A370E" w:rsidRDefault="008A370E" w:rsidP="008A370E">
            <w:pPr>
              <w:jc w:val="both"/>
              <w:rPr>
                <w:rFonts w:ascii="Times New Roman" w:eastAsia="Calibri" w:hAnsi="Times New Roman" w:cs="Times New Roman"/>
              </w:rPr>
            </w:pPr>
            <w:r w:rsidRPr="008A370E">
              <w:rPr>
                <w:rFonts w:ascii="Times New Roman" w:eastAsia="Calibri" w:hAnsi="Times New Roman" w:cs="Times New Roman"/>
              </w:rPr>
              <w:t>100.0</w:t>
            </w:r>
          </w:p>
        </w:tc>
      </w:tr>
    </w:tbl>
    <w:p w14:paraId="5E0A6E63" w14:textId="77777777" w:rsidR="008A370E" w:rsidRPr="008A370E" w:rsidRDefault="008A370E" w:rsidP="008A370E">
      <w:pPr>
        <w:spacing w:line="259" w:lineRule="auto"/>
        <w:jc w:val="both"/>
        <w:rPr>
          <w:rFonts w:ascii="Times New Roman" w:eastAsia="Calibri" w:hAnsi="Times New Roman" w:cs="Times New Roman"/>
          <w:kern w:val="0"/>
          <w:lang w:val="en-US" w:bidi="ar-SA"/>
          <w14:ligatures w14:val="none"/>
        </w:rPr>
      </w:pPr>
      <w:r w:rsidRPr="008A370E">
        <w:rPr>
          <w:rFonts w:ascii="Times New Roman" w:eastAsia="Calibri" w:hAnsi="Times New Roman" w:cs="Times New Roman"/>
          <w:kern w:val="0"/>
          <w:lang w:val="en-US" w:bidi="ar-SA"/>
          <w14:ligatures w14:val="none"/>
        </w:rPr>
        <w:t xml:space="preserve">(Time use survey 2024, Published by Ministry of Statistics and </w:t>
      </w:r>
      <w:proofErr w:type="spellStart"/>
      <w:r w:rsidRPr="008A370E">
        <w:rPr>
          <w:rFonts w:ascii="Times New Roman" w:eastAsia="Calibri" w:hAnsi="Times New Roman" w:cs="Times New Roman"/>
          <w:kern w:val="0"/>
          <w:lang w:val="en-US" w:bidi="ar-SA"/>
          <w14:ligatures w14:val="none"/>
        </w:rPr>
        <w:t>Programme</w:t>
      </w:r>
      <w:proofErr w:type="spellEnd"/>
      <w:r w:rsidRPr="008A370E">
        <w:rPr>
          <w:rFonts w:ascii="Times New Roman" w:eastAsia="Calibri" w:hAnsi="Times New Roman" w:cs="Times New Roman"/>
          <w:kern w:val="0"/>
          <w:lang w:val="en-US" w:bidi="ar-SA"/>
          <w14:ligatures w14:val="none"/>
        </w:rPr>
        <w:t xml:space="preserve"> Implementation)</w:t>
      </w:r>
    </w:p>
    <w:p w14:paraId="04C6C888" w14:textId="77777777" w:rsidR="008A370E" w:rsidRPr="00901794" w:rsidRDefault="008A370E" w:rsidP="00901794">
      <w:pPr>
        <w:spacing w:line="360" w:lineRule="auto"/>
        <w:jc w:val="both"/>
        <w:rPr>
          <w:rFonts w:ascii="Times New Roman" w:hAnsi="Times New Roman" w:cs="Times New Roman"/>
        </w:rPr>
      </w:pPr>
    </w:p>
    <w:p w14:paraId="41C4C951" w14:textId="53329C18" w:rsidR="00BF6EF4" w:rsidRPr="00901794" w:rsidRDefault="00BF6EF4" w:rsidP="00901794">
      <w:pPr>
        <w:spacing w:line="360" w:lineRule="auto"/>
        <w:jc w:val="both"/>
        <w:rPr>
          <w:rFonts w:ascii="Times New Roman" w:hAnsi="Times New Roman" w:cs="Times New Roman"/>
        </w:rPr>
      </w:pPr>
      <w:r w:rsidRPr="00901794">
        <w:rPr>
          <w:rFonts w:ascii="Times New Roman" w:hAnsi="Times New Roman" w:cs="Times New Roman"/>
        </w:rPr>
        <w:t>In the case of participation in domestic work, Kerala shows a higher rate of male "participation." 39.1% of men in Kerala engage in domestic work (compared to 27.1% nationally). However, this statistic is misleading without looking at the time spent.</w:t>
      </w:r>
      <w:r w:rsidR="00511857" w:rsidRPr="00901794">
        <w:rPr>
          <w:rFonts w:ascii="Times New Roman" w:hAnsi="Times New Roman" w:cs="Times New Roman"/>
        </w:rPr>
        <w:t xml:space="preserve"> </w:t>
      </w:r>
      <w:r w:rsidRPr="00901794">
        <w:rPr>
          <w:rFonts w:ascii="Times New Roman" w:hAnsi="Times New Roman" w:cs="Times New Roman"/>
        </w:rPr>
        <w:t>Kerala men spend only 94 minutes per day on these tasks.</w:t>
      </w:r>
      <w:r w:rsidR="00511857" w:rsidRPr="00901794">
        <w:rPr>
          <w:rFonts w:ascii="Times New Roman" w:hAnsi="Times New Roman" w:cs="Times New Roman"/>
        </w:rPr>
        <w:t xml:space="preserve"> </w:t>
      </w:r>
      <w:r w:rsidRPr="00901794">
        <w:rPr>
          <w:rFonts w:ascii="Times New Roman" w:hAnsi="Times New Roman" w:cs="Times New Roman"/>
        </w:rPr>
        <w:t>Kerala women, with 82.1% participation, spend 279 minutes per day.</w:t>
      </w:r>
      <w:r w:rsidR="00DE370D" w:rsidRPr="00901794">
        <w:rPr>
          <w:rFonts w:ascii="Times New Roman" w:hAnsi="Times New Roman" w:cs="Times New Roman"/>
        </w:rPr>
        <w:t xml:space="preserve"> </w:t>
      </w:r>
      <w:r w:rsidRPr="00901794">
        <w:rPr>
          <w:rFonts w:ascii="Times New Roman" w:hAnsi="Times New Roman" w:cs="Times New Roman"/>
        </w:rPr>
        <w:t>While Kerala men are more likely to "help" than the average Indian male, their contribution is marginal (only 6 minutes more than the national average). The core burden of nearly 5 hours of daily domestic labo</w:t>
      </w:r>
      <w:r w:rsidR="00511857" w:rsidRPr="00901794">
        <w:rPr>
          <w:rFonts w:ascii="Times New Roman" w:hAnsi="Times New Roman" w:cs="Times New Roman"/>
        </w:rPr>
        <w:t>u</w:t>
      </w:r>
      <w:r w:rsidRPr="00901794">
        <w:rPr>
          <w:rFonts w:ascii="Times New Roman" w:hAnsi="Times New Roman" w:cs="Times New Roman"/>
        </w:rPr>
        <w:t>r remains firmly on the women.</w:t>
      </w:r>
    </w:p>
    <w:p w14:paraId="34D64E8D" w14:textId="614A8340" w:rsidR="00A43262" w:rsidRDefault="00511857" w:rsidP="00901794">
      <w:pPr>
        <w:spacing w:line="360" w:lineRule="auto"/>
        <w:jc w:val="both"/>
        <w:rPr>
          <w:rFonts w:ascii="Times New Roman" w:hAnsi="Times New Roman" w:cs="Times New Roman"/>
        </w:rPr>
      </w:pPr>
      <w:r w:rsidRPr="00901794">
        <w:rPr>
          <w:rFonts w:ascii="Times New Roman" w:hAnsi="Times New Roman" w:cs="Times New Roman"/>
        </w:rPr>
        <w:t>Unpaid Caregiving-Caregiving involves looking after children, the elderly, and the sick.</w:t>
      </w:r>
      <w:r w:rsidR="00DE370D" w:rsidRPr="00901794">
        <w:rPr>
          <w:rFonts w:ascii="Times New Roman" w:hAnsi="Times New Roman" w:cs="Times New Roman"/>
        </w:rPr>
        <w:t xml:space="preserve"> </w:t>
      </w:r>
      <w:r w:rsidR="00A43262">
        <w:rPr>
          <w:rFonts w:ascii="Times New Roman" w:hAnsi="Times New Roman" w:cs="Times New Roman"/>
        </w:rPr>
        <w:t xml:space="preserve">Table </w:t>
      </w:r>
      <w:r w:rsidR="00FE56EF">
        <w:rPr>
          <w:rFonts w:ascii="Times New Roman" w:hAnsi="Times New Roman" w:cs="Times New Roman"/>
        </w:rPr>
        <w:t>1</w:t>
      </w:r>
      <w:r w:rsidR="00A43262">
        <w:rPr>
          <w:rFonts w:ascii="Times New Roman" w:hAnsi="Times New Roman" w:cs="Times New Roman"/>
        </w:rPr>
        <w:t xml:space="preserve"> shows that i</w:t>
      </w:r>
      <w:r w:rsidRPr="00901794">
        <w:rPr>
          <w:rFonts w:ascii="Times New Roman" w:hAnsi="Times New Roman" w:cs="Times New Roman"/>
        </w:rPr>
        <w:t xml:space="preserve">n all India 34.0% of women participate in caregiving, spending 137 minutes </w:t>
      </w:r>
      <w:proofErr w:type="gramStart"/>
      <w:r w:rsidRPr="00901794">
        <w:rPr>
          <w:rFonts w:ascii="Times New Roman" w:hAnsi="Times New Roman" w:cs="Times New Roman"/>
        </w:rPr>
        <w:t>daily</w:t>
      </w:r>
      <w:r w:rsidR="00FE56EF">
        <w:rPr>
          <w:rFonts w:ascii="Times New Roman" w:hAnsi="Times New Roman" w:cs="Times New Roman"/>
        </w:rPr>
        <w:t>(</w:t>
      </w:r>
      <w:proofErr w:type="gramEnd"/>
      <w:r w:rsidR="00FE56EF">
        <w:rPr>
          <w:rFonts w:ascii="Times New Roman" w:hAnsi="Times New Roman" w:cs="Times New Roman"/>
        </w:rPr>
        <w:t>Table 3).</w:t>
      </w:r>
      <w:r w:rsidRPr="00901794">
        <w:rPr>
          <w:rFonts w:ascii="Times New Roman" w:hAnsi="Times New Roman" w:cs="Times New Roman"/>
        </w:rPr>
        <w:t xml:space="preserve"> Men spend 75 minutes. The time burden for caregiving is notably higher in Kerala. Women spend 154 minutes (approx. 2.5 hours) per day on caregiving, which is significantly higher than the national </w:t>
      </w:r>
      <w:r w:rsidR="00A43262">
        <w:rPr>
          <w:rFonts w:ascii="Times New Roman" w:hAnsi="Times New Roman" w:cs="Times New Roman"/>
        </w:rPr>
        <w:t>average</w:t>
      </w:r>
    </w:p>
    <w:p w14:paraId="083702BE" w14:textId="77777777" w:rsidR="00A43262" w:rsidRPr="00A43262" w:rsidRDefault="00A43262" w:rsidP="00A43262">
      <w:pPr>
        <w:spacing w:line="360" w:lineRule="auto"/>
        <w:jc w:val="both"/>
        <w:rPr>
          <w:rFonts w:ascii="Times New Roman" w:hAnsi="Times New Roman" w:cs="Times New Roman"/>
          <w:b/>
          <w:lang w:val="en-US"/>
        </w:rPr>
      </w:pPr>
      <w:r>
        <w:rPr>
          <w:rFonts w:ascii="Times New Roman" w:hAnsi="Times New Roman" w:cs="Times New Roman"/>
        </w:rPr>
        <w:t xml:space="preserve">Table 3 </w:t>
      </w:r>
      <w:r w:rsidRPr="00A43262">
        <w:rPr>
          <w:rFonts w:ascii="Times New Roman" w:hAnsi="Times New Roman" w:cs="Times New Roman"/>
          <w:b/>
          <w:lang w:val="en-US"/>
        </w:rPr>
        <w:t>Average time (in minutes) spent in a day per participant of age 6 years and above in different activities</w:t>
      </w:r>
    </w:p>
    <w:p w14:paraId="4170F0D7" w14:textId="77777777" w:rsidR="00A43262" w:rsidRPr="00A43262" w:rsidRDefault="00A43262" w:rsidP="00A43262">
      <w:pPr>
        <w:spacing w:line="360" w:lineRule="auto"/>
        <w:jc w:val="both"/>
        <w:rPr>
          <w:rFonts w:ascii="Times New Roman" w:hAnsi="Times New Roman" w:cs="Times New Roman"/>
          <w:b/>
          <w:lang w:val="en-US"/>
        </w:rPr>
      </w:pPr>
      <w:r w:rsidRPr="00A43262">
        <w:rPr>
          <w:rFonts w:ascii="Times New Roman" w:hAnsi="Times New Roman" w:cs="Times New Roman"/>
          <w:b/>
          <w:lang w:val="en-US"/>
        </w:rPr>
        <w:t>All India</w:t>
      </w:r>
    </w:p>
    <w:tbl>
      <w:tblPr>
        <w:tblStyle w:val="TableGrid"/>
        <w:tblW w:w="0" w:type="auto"/>
        <w:tblLook w:val="04A0" w:firstRow="1" w:lastRow="0" w:firstColumn="1" w:lastColumn="0" w:noHBand="0" w:noVBand="1"/>
      </w:tblPr>
      <w:tblGrid>
        <w:gridCol w:w="3116"/>
        <w:gridCol w:w="900"/>
        <w:gridCol w:w="1080"/>
        <w:gridCol w:w="1137"/>
      </w:tblGrid>
      <w:tr w:rsidR="00A43262" w:rsidRPr="00A43262" w14:paraId="1418F816" w14:textId="77777777" w:rsidTr="000F4811">
        <w:trPr>
          <w:trHeight w:val="465"/>
        </w:trPr>
        <w:tc>
          <w:tcPr>
            <w:tcW w:w="3116" w:type="dxa"/>
            <w:vMerge w:val="restart"/>
          </w:tcPr>
          <w:p w14:paraId="24D43C54" w14:textId="1CA1D7CF" w:rsidR="00A43262" w:rsidRPr="00A43262" w:rsidRDefault="00FE56EF" w:rsidP="00A43262">
            <w:pPr>
              <w:spacing w:after="160" w:line="360" w:lineRule="auto"/>
              <w:jc w:val="both"/>
              <w:rPr>
                <w:rFonts w:ascii="Times New Roman" w:hAnsi="Times New Roman" w:cs="Times New Roman"/>
                <w:lang w:val="en-US"/>
              </w:rPr>
            </w:pPr>
            <w:r>
              <w:rPr>
                <w:rFonts w:ascii="Times New Roman" w:hAnsi="Times New Roman" w:cs="Times New Roman"/>
                <w:lang w:val="en-US"/>
              </w:rPr>
              <w:t>A</w:t>
            </w:r>
            <w:r w:rsidR="00A43262" w:rsidRPr="00A43262">
              <w:rPr>
                <w:rFonts w:ascii="Times New Roman" w:hAnsi="Times New Roman" w:cs="Times New Roman"/>
                <w:lang w:val="en-US"/>
              </w:rPr>
              <w:t>ctivities</w:t>
            </w:r>
          </w:p>
        </w:tc>
        <w:tc>
          <w:tcPr>
            <w:tcW w:w="3117" w:type="dxa"/>
            <w:gridSpan w:val="3"/>
          </w:tcPr>
          <w:p w14:paraId="7D1B1C48"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Gender</w:t>
            </w:r>
          </w:p>
        </w:tc>
      </w:tr>
      <w:tr w:rsidR="00A43262" w:rsidRPr="00A43262" w14:paraId="2A5D49C4" w14:textId="77777777" w:rsidTr="000F4811">
        <w:trPr>
          <w:trHeight w:val="360"/>
        </w:trPr>
        <w:tc>
          <w:tcPr>
            <w:tcW w:w="3116" w:type="dxa"/>
            <w:vMerge/>
          </w:tcPr>
          <w:p w14:paraId="1CF21646" w14:textId="77777777" w:rsidR="00A43262" w:rsidRPr="00A43262" w:rsidRDefault="00A43262" w:rsidP="00A43262">
            <w:pPr>
              <w:spacing w:after="160" w:line="360" w:lineRule="auto"/>
              <w:jc w:val="both"/>
              <w:rPr>
                <w:rFonts w:ascii="Times New Roman" w:hAnsi="Times New Roman" w:cs="Times New Roman"/>
                <w:lang w:val="en-US"/>
              </w:rPr>
            </w:pPr>
          </w:p>
        </w:tc>
        <w:tc>
          <w:tcPr>
            <w:tcW w:w="900" w:type="dxa"/>
          </w:tcPr>
          <w:p w14:paraId="0E4D2A57"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Male</w:t>
            </w:r>
          </w:p>
        </w:tc>
        <w:tc>
          <w:tcPr>
            <w:tcW w:w="1080" w:type="dxa"/>
          </w:tcPr>
          <w:p w14:paraId="415DF3D8"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Female</w:t>
            </w:r>
          </w:p>
        </w:tc>
        <w:tc>
          <w:tcPr>
            <w:tcW w:w="1137" w:type="dxa"/>
          </w:tcPr>
          <w:p w14:paraId="4C606DB3"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Person</w:t>
            </w:r>
          </w:p>
        </w:tc>
      </w:tr>
      <w:tr w:rsidR="00A43262" w:rsidRPr="00A43262" w14:paraId="24AE42AA" w14:textId="77777777" w:rsidTr="000F4811">
        <w:tc>
          <w:tcPr>
            <w:tcW w:w="3116" w:type="dxa"/>
          </w:tcPr>
          <w:p w14:paraId="57E3A098"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lastRenderedPageBreak/>
              <w:t>Employment and related activities</w:t>
            </w:r>
          </w:p>
        </w:tc>
        <w:tc>
          <w:tcPr>
            <w:tcW w:w="900" w:type="dxa"/>
          </w:tcPr>
          <w:p w14:paraId="5294D07E"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473</w:t>
            </w:r>
          </w:p>
        </w:tc>
        <w:tc>
          <w:tcPr>
            <w:tcW w:w="1080" w:type="dxa"/>
          </w:tcPr>
          <w:p w14:paraId="320F537B"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341</w:t>
            </w:r>
          </w:p>
        </w:tc>
        <w:tc>
          <w:tcPr>
            <w:tcW w:w="1137" w:type="dxa"/>
          </w:tcPr>
          <w:p w14:paraId="11026A22"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440</w:t>
            </w:r>
          </w:p>
        </w:tc>
      </w:tr>
      <w:tr w:rsidR="00A43262" w:rsidRPr="00A43262" w14:paraId="6A74C135" w14:textId="77777777" w:rsidTr="000F4811">
        <w:tc>
          <w:tcPr>
            <w:tcW w:w="3116" w:type="dxa"/>
          </w:tcPr>
          <w:p w14:paraId="4C4042F5"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Production of goods for own final use</w:t>
            </w:r>
          </w:p>
        </w:tc>
        <w:tc>
          <w:tcPr>
            <w:tcW w:w="900" w:type="dxa"/>
          </w:tcPr>
          <w:p w14:paraId="58558A9E"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137</w:t>
            </w:r>
          </w:p>
        </w:tc>
        <w:tc>
          <w:tcPr>
            <w:tcW w:w="1080" w:type="dxa"/>
          </w:tcPr>
          <w:p w14:paraId="64B3B287"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104</w:t>
            </w:r>
          </w:p>
        </w:tc>
        <w:tc>
          <w:tcPr>
            <w:tcW w:w="1137" w:type="dxa"/>
          </w:tcPr>
          <w:p w14:paraId="5CD4CACB"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116</w:t>
            </w:r>
          </w:p>
        </w:tc>
      </w:tr>
      <w:tr w:rsidR="00A43262" w:rsidRPr="00A43262" w14:paraId="4CFEA4E0" w14:textId="77777777" w:rsidTr="000F4811">
        <w:tc>
          <w:tcPr>
            <w:tcW w:w="3116" w:type="dxa"/>
          </w:tcPr>
          <w:p w14:paraId="1C250AF0" w14:textId="77777777" w:rsidR="00A43262" w:rsidRPr="00A43262" w:rsidRDefault="00A43262" w:rsidP="00A43262">
            <w:pPr>
              <w:spacing w:after="160" w:line="360" w:lineRule="auto"/>
              <w:jc w:val="both"/>
              <w:rPr>
                <w:rFonts w:ascii="Times New Roman" w:hAnsi="Times New Roman" w:cs="Times New Roman"/>
                <w:lang w:val="en-US"/>
              </w:rPr>
            </w:pPr>
            <w:proofErr w:type="gramStart"/>
            <w:r w:rsidRPr="00A43262">
              <w:rPr>
                <w:rFonts w:ascii="Times New Roman" w:hAnsi="Times New Roman" w:cs="Times New Roman"/>
                <w:lang w:val="en-US"/>
              </w:rPr>
              <w:t>Unpaid  domestic</w:t>
            </w:r>
            <w:proofErr w:type="gramEnd"/>
            <w:r w:rsidRPr="00A43262">
              <w:rPr>
                <w:rFonts w:ascii="Times New Roman" w:hAnsi="Times New Roman" w:cs="Times New Roman"/>
                <w:lang w:val="en-US"/>
              </w:rPr>
              <w:t xml:space="preserve"> services for household member</w:t>
            </w:r>
          </w:p>
        </w:tc>
        <w:tc>
          <w:tcPr>
            <w:tcW w:w="900" w:type="dxa"/>
          </w:tcPr>
          <w:p w14:paraId="54215641"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88</w:t>
            </w:r>
          </w:p>
        </w:tc>
        <w:tc>
          <w:tcPr>
            <w:tcW w:w="1080" w:type="dxa"/>
          </w:tcPr>
          <w:p w14:paraId="1DF6D6E1"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289</w:t>
            </w:r>
          </w:p>
        </w:tc>
        <w:tc>
          <w:tcPr>
            <w:tcW w:w="1137" w:type="dxa"/>
          </w:tcPr>
          <w:p w14:paraId="219E325C"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238</w:t>
            </w:r>
          </w:p>
        </w:tc>
      </w:tr>
      <w:tr w:rsidR="00A43262" w:rsidRPr="00A43262" w14:paraId="5B385176" w14:textId="77777777" w:rsidTr="000F4811">
        <w:tc>
          <w:tcPr>
            <w:tcW w:w="3116" w:type="dxa"/>
          </w:tcPr>
          <w:p w14:paraId="6007FAB7"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Unpaid caregiving services for household member</w:t>
            </w:r>
          </w:p>
        </w:tc>
        <w:tc>
          <w:tcPr>
            <w:tcW w:w="900" w:type="dxa"/>
          </w:tcPr>
          <w:p w14:paraId="2D2A3A6A"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75</w:t>
            </w:r>
          </w:p>
        </w:tc>
        <w:tc>
          <w:tcPr>
            <w:tcW w:w="1080" w:type="dxa"/>
          </w:tcPr>
          <w:p w14:paraId="480FB89E"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137</w:t>
            </w:r>
          </w:p>
        </w:tc>
        <w:tc>
          <w:tcPr>
            <w:tcW w:w="1137" w:type="dxa"/>
          </w:tcPr>
          <w:p w14:paraId="1E2A6383"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116</w:t>
            </w:r>
          </w:p>
        </w:tc>
      </w:tr>
      <w:tr w:rsidR="00A43262" w:rsidRPr="00A43262" w14:paraId="09A7AE03" w14:textId="77777777" w:rsidTr="000F4811">
        <w:tc>
          <w:tcPr>
            <w:tcW w:w="3116" w:type="dxa"/>
          </w:tcPr>
          <w:p w14:paraId="1A99F08A"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Unpaid volunteer, trainee and other unpaid work</w:t>
            </w:r>
          </w:p>
        </w:tc>
        <w:tc>
          <w:tcPr>
            <w:tcW w:w="900" w:type="dxa"/>
          </w:tcPr>
          <w:p w14:paraId="1EAD9B5A"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139</w:t>
            </w:r>
          </w:p>
        </w:tc>
        <w:tc>
          <w:tcPr>
            <w:tcW w:w="1080" w:type="dxa"/>
          </w:tcPr>
          <w:p w14:paraId="052D8E89"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108</w:t>
            </w:r>
          </w:p>
        </w:tc>
        <w:tc>
          <w:tcPr>
            <w:tcW w:w="1137" w:type="dxa"/>
          </w:tcPr>
          <w:p w14:paraId="3FC1D225"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122</w:t>
            </w:r>
          </w:p>
        </w:tc>
      </w:tr>
      <w:tr w:rsidR="00A43262" w:rsidRPr="00A43262" w14:paraId="1030E567" w14:textId="77777777" w:rsidTr="000F4811">
        <w:tc>
          <w:tcPr>
            <w:tcW w:w="3116" w:type="dxa"/>
          </w:tcPr>
          <w:p w14:paraId="00CB5108"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Learning</w:t>
            </w:r>
          </w:p>
        </w:tc>
        <w:tc>
          <w:tcPr>
            <w:tcW w:w="900" w:type="dxa"/>
          </w:tcPr>
          <w:p w14:paraId="12F04C44"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415</w:t>
            </w:r>
          </w:p>
        </w:tc>
        <w:tc>
          <w:tcPr>
            <w:tcW w:w="1080" w:type="dxa"/>
          </w:tcPr>
          <w:p w14:paraId="27AA9490"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413</w:t>
            </w:r>
          </w:p>
        </w:tc>
        <w:tc>
          <w:tcPr>
            <w:tcW w:w="1137" w:type="dxa"/>
          </w:tcPr>
          <w:p w14:paraId="56121EB5"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414</w:t>
            </w:r>
          </w:p>
        </w:tc>
      </w:tr>
      <w:tr w:rsidR="00A43262" w:rsidRPr="00A43262" w14:paraId="3E6441A8" w14:textId="77777777" w:rsidTr="000F4811">
        <w:tc>
          <w:tcPr>
            <w:tcW w:w="3116" w:type="dxa"/>
          </w:tcPr>
          <w:p w14:paraId="3EDD61E8"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Socializing and communication, community participation, religious practice</w:t>
            </w:r>
          </w:p>
        </w:tc>
        <w:tc>
          <w:tcPr>
            <w:tcW w:w="900" w:type="dxa"/>
          </w:tcPr>
          <w:p w14:paraId="4E01D1AE"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138</w:t>
            </w:r>
          </w:p>
        </w:tc>
        <w:tc>
          <w:tcPr>
            <w:tcW w:w="1080" w:type="dxa"/>
          </w:tcPr>
          <w:p w14:paraId="36D5D63B"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139</w:t>
            </w:r>
          </w:p>
        </w:tc>
        <w:tc>
          <w:tcPr>
            <w:tcW w:w="1137" w:type="dxa"/>
          </w:tcPr>
          <w:p w14:paraId="44885CFD"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138</w:t>
            </w:r>
          </w:p>
        </w:tc>
      </w:tr>
      <w:tr w:rsidR="00A43262" w:rsidRPr="00A43262" w14:paraId="7F25A064" w14:textId="77777777" w:rsidTr="000F4811">
        <w:tc>
          <w:tcPr>
            <w:tcW w:w="3116" w:type="dxa"/>
          </w:tcPr>
          <w:p w14:paraId="2737AB84"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Culture, leisure, mass media and sports practices</w:t>
            </w:r>
          </w:p>
        </w:tc>
        <w:tc>
          <w:tcPr>
            <w:tcW w:w="900" w:type="dxa"/>
          </w:tcPr>
          <w:p w14:paraId="1DBBA67F"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177</w:t>
            </w:r>
          </w:p>
        </w:tc>
        <w:tc>
          <w:tcPr>
            <w:tcW w:w="1080" w:type="dxa"/>
          </w:tcPr>
          <w:p w14:paraId="42EF0AD0"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164</w:t>
            </w:r>
          </w:p>
        </w:tc>
        <w:tc>
          <w:tcPr>
            <w:tcW w:w="1137" w:type="dxa"/>
          </w:tcPr>
          <w:p w14:paraId="677E9BA3"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171</w:t>
            </w:r>
          </w:p>
        </w:tc>
      </w:tr>
      <w:tr w:rsidR="00A43262" w:rsidRPr="00A43262" w14:paraId="3FFE390E" w14:textId="77777777" w:rsidTr="000F4811">
        <w:tc>
          <w:tcPr>
            <w:tcW w:w="3116" w:type="dxa"/>
          </w:tcPr>
          <w:p w14:paraId="618716E9"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Self-care and maintenance</w:t>
            </w:r>
          </w:p>
        </w:tc>
        <w:tc>
          <w:tcPr>
            <w:tcW w:w="900" w:type="dxa"/>
          </w:tcPr>
          <w:p w14:paraId="1686C8C8"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710</w:t>
            </w:r>
          </w:p>
        </w:tc>
        <w:tc>
          <w:tcPr>
            <w:tcW w:w="1080" w:type="dxa"/>
          </w:tcPr>
          <w:p w14:paraId="4BD155DB"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706</w:t>
            </w:r>
          </w:p>
        </w:tc>
        <w:tc>
          <w:tcPr>
            <w:tcW w:w="1137" w:type="dxa"/>
          </w:tcPr>
          <w:p w14:paraId="38D78B0D" w14:textId="77777777" w:rsidR="00A43262" w:rsidRPr="00A43262" w:rsidRDefault="00A43262" w:rsidP="00A43262">
            <w:pPr>
              <w:spacing w:after="160" w:line="360" w:lineRule="auto"/>
              <w:jc w:val="both"/>
              <w:rPr>
                <w:rFonts w:ascii="Times New Roman" w:hAnsi="Times New Roman" w:cs="Times New Roman"/>
                <w:lang w:val="en-US"/>
              </w:rPr>
            </w:pPr>
            <w:r w:rsidRPr="00A43262">
              <w:rPr>
                <w:rFonts w:ascii="Times New Roman" w:hAnsi="Times New Roman" w:cs="Times New Roman"/>
                <w:lang w:val="en-US"/>
              </w:rPr>
              <w:t>708</w:t>
            </w:r>
          </w:p>
        </w:tc>
      </w:tr>
    </w:tbl>
    <w:p w14:paraId="52CFAE2B" w14:textId="70C145B9" w:rsidR="00A43262" w:rsidRPr="00FE56EF" w:rsidRDefault="00A43262" w:rsidP="00901794">
      <w:pPr>
        <w:spacing w:line="360" w:lineRule="auto"/>
        <w:jc w:val="both"/>
        <w:rPr>
          <w:rFonts w:ascii="Times New Roman" w:hAnsi="Times New Roman" w:cs="Times New Roman"/>
          <w:lang w:val="en-US"/>
        </w:rPr>
      </w:pPr>
      <w:r w:rsidRPr="00A43262">
        <w:rPr>
          <w:rFonts w:ascii="Times New Roman" w:hAnsi="Times New Roman" w:cs="Times New Roman"/>
          <w:lang w:val="en-US"/>
        </w:rPr>
        <w:t>(Time use survey 2024 Published by Press Information Bureau)</w:t>
      </w:r>
    </w:p>
    <w:p w14:paraId="3FD73B7D" w14:textId="06F7E412" w:rsidR="00511857" w:rsidRDefault="00511857" w:rsidP="00901794">
      <w:pPr>
        <w:spacing w:line="360" w:lineRule="auto"/>
        <w:jc w:val="both"/>
        <w:rPr>
          <w:rFonts w:ascii="Times New Roman" w:hAnsi="Times New Roman" w:cs="Times New Roman"/>
        </w:rPr>
      </w:pPr>
      <w:r w:rsidRPr="00901794">
        <w:rPr>
          <w:rFonts w:ascii="Times New Roman" w:hAnsi="Times New Roman" w:cs="Times New Roman"/>
        </w:rPr>
        <w:t>This increase likely reflects Kerala's demographic reality. As a state with higher life expectancy and an aging population, the burden of eldercare is intensifying, and this unpaid labour is being absorbed almost exclusively by women.</w:t>
      </w:r>
    </w:p>
    <w:p w14:paraId="149BFD68" w14:textId="51ED6EBB" w:rsidR="0059358E" w:rsidRDefault="0059358E" w:rsidP="00901794">
      <w:pPr>
        <w:spacing w:line="360" w:lineRule="auto"/>
        <w:jc w:val="both"/>
        <w:rPr>
          <w:rFonts w:ascii="Times New Roman" w:hAnsi="Times New Roman" w:cs="Times New Roman"/>
        </w:rPr>
      </w:pPr>
      <w:r>
        <w:rPr>
          <w:rFonts w:ascii="Times New Roman" w:hAnsi="Times New Roman" w:cs="Times New Roman"/>
        </w:rPr>
        <w:t xml:space="preserve">Table 4 </w:t>
      </w:r>
      <w:r w:rsidRPr="0059358E">
        <w:rPr>
          <w:rFonts w:ascii="Times New Roman" w:hAnsi="Times New Roman" w:cs="Times New Roman"/>
        </w:rPr>
        <w:t xml:space="preserve">Minutes spent in a day on an average per participant of age 6 years and above in the activities of major divisions of TUS activity classification as </w:t>
      </w:r>
      <w:r w:rsidR="00FE56EF" w:rsidRPr="0059358E">
        <w:rPr>
          <w:rFonts w:ascii="Times New Roman" w:hAnsi="Times New Roman" w:cs="Times New Roman"/>
        </w:rPr>
        <w:t>a major</w:t>
      </w:r>
      <w:r w:rsidRPr="0059358E">
        <w:rPr>
          <w:rFonts w:ascii="Times New Roman" w:hAnsi="Times New Roman" w:cs="Times New Roman"/>
        </w:rPr>
        <w:t xml:space="preserve"> activity in Kerala</w:t>
      </w:r>
    </w:p>
    <w:tbl>
      <w:tblPr>
        <w:tblStyle w:val="TableGrid3"/>
        <w:tblW w:w="0" w:type="auto"/>
        <w:tblLook w:val="04A0" w:firstRow="1" w:lastRow="0" w:firstColumn="1" w:lastColumn="0" w:noHBand="0" w:noVBand="1"/>
      </w:tblPr>
      <w:tblGrid>
        <w:gridCol w:w="2045"/>
        <w:gridCol w:w="683"/>
        <w:gridCol w:w="869"/>
        <w:gridCol w:w="901"/>
      </w:tblGrid>
      <w:tr w:rsidR="0059358E" w:rsidRPr="0059358E" w14:paraId="504488FE" w14:textId="77777777" w:rsidTr="000F4811">
        <w:tc>
          <w:tcPr>
            <w:tcW w:w="2045" w:type="dxa"/>
          </w:tcPr>
          <w:p w14:paraId="594AFD06"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Activity</w:t>
            </w:r>
          </w:p>
        </w:tc>
        <w:tc>
          <w:tcPr>
            <w:tcW w:w="683" w:type="dxa"/>
          </w:tcPr>
          <w:p w14:paraId="2CD9A62C"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Male</w:t>
            </w:r>
          </w:p>
        </w:tc>
        <w:tc>
          <w:tcPr>
            <w:tcW w:w="869" w:type="dxa"/>
          </w:tcPr>
          <w:p w14:paraId="34C8BB67"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Female</w:t>
            </w:r>
          </w:p>
        </w:tc>
        <w:tc>
          <w:tcPr>
            <w:tcW w:w="856" w:type="dxa"/>
          </w:tcPr>
          <w:p w14:paraId="13CA3AF5"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Persons</w:t>
            </w:r>
          </w:p>
        </w:tc>
      </w:tr>
      <w:tr w:rsidR="0059358E" w:rsidRPr="0059358E" w14:paraId="097D2C68" w14:textId="77777777" w:rsidTr="000F4811">
        <w:tc>
          <w:tcPr>
            <w:tcW w:w="2045" w:type="dxa"/>
          </w:tcPr>
          <w:p w14:paraId="704856C1"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Employment and related activities</w:t>
            </w:r>
          </w:p>
        </w:tc>
        <w:tc>
          <w:tcPr>
            <w:tcW w:w="683" w:type="dxa"/>
          </w:tcPr>
          <w:p w14:paraId="22352C31"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492</w:t>
            </w:r>
          </w:p>
        </w:tc>
        <w:tc>
          <w:tcPr>
            <w:tcW w:w="869" w:type="dxa"/>
          </w:tcPr>
          <w:p w14:paraId="6CED13DD"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402</w:t>
            </w:r>
          </w:p>
        </w:tc>
        <w:tc>
          <w:tcPr>
            <w:tcW w:w="856" w:type="dxa"/>
          </w:tcPr>
          <w:p w14:paraId="5E1FEABD"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463</w:t>
            </w:r>
          </w:p>
        </w:tc>
      </w:tr>
      <w:tr w:rsidR="0059358E" w:rsidRPr="0059358E" w14:paraId="4436B020" w14:textId="77777777" w:rsidTr="000F4811">
        <w:tc>
          <w:tcPr>
            <w:tcW w:w="2045" w:type="dxa"/>
          </w:tcPr>
          <w:p w14:paraId="221D39CC"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Production of goods for own final use</w:t>
            </w:r>
          </w:p>
        </w:tc>
        <w:tc>
          <w:tcPr>
            <w:tcW w:w="683" w:type="dxa"/>
          </w:tcPr>
          <w:p w14:paraId="563EFA6F"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105</w:t>
            </w:r>
          </w:p>
        </w:tc>
        <w:tc>
          <w:tcPr>
            <w:tcW w:w="869" w:type="dxa"/>
          </w:tcPr>
          <w:p w14:paraId="491A5E6C"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74</w:t>
            </w:r>
          </w:p>
        </w:tc>
        <w:tc>
          <w:tcPr>
            <w:tcW w:w="856" w:type="dxa"/>
          </w:tcPr>
          <w:p w14:paraId="13A536DE"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86</w:t>
            </w:r>
          </w:p>
        </w:tc>
      </w:tr>
      <w:tr w:rsidR="0059358E" w:rsidRPr="0059358E" w14:paraId="6838ED60" w14:textId="77777777" w:rsidTr="000F4811">
        <w:tc>
          <w:tcPr>
            <w:tcW w:w="2045" w:type="dxa"/>
          </w:tcPr>
          <w:p w14:paraId="010F8E6D" w14:textId="77777777" w:rsidR="0059358E" w:rsidRPr="0059358E" w:rsidRDefault="0059358E" w:rsidP="0059358E">
            <w:pPr>
              <w:jc w:val="both"/>
              <w:rPr>
                <w:rFonts w:ascii="Times New Roman" w:eastAsia="Calibri" w:hAnsi="Times New Roman" w:cs="Times New Roman"/>
                <w:b/>
              </w:rPr>
            </w:pPr>
            <w:proofErr w:type="gramStart"/>
            <w:r w:rsidRPr="0059358E">
              <w:rPr>
                <w:rFonts w:ascii="Times New Roman" w:eastAsia="Calibri" w:hAnsi="Times New Roman" w:cs="Times New Roman"/>
              </w:rPr>
              <w:lastRenderedPageBreak/>
              <w:t>Unpaid  domestic</w:t>
            </w:r>
            <w:proofErr w:type="gramEnd"/>
            <w:r w:rsidRPr="0059358E">
              <w:rPr>
                <w:rFonts w:ascii="Times New Roman" w:eastAsia="Calibri" w:hAnsi="Times New Roman" w:cs="Times New Roman"/>
              </w:rPr>
              <w:t xml:space="preserve"> services for household member</w:t>
            </w:r>
          </w:p>
        </w:tc>
        <w:tc>
          <w:tcPr>
            <w:tcW w:w="683" w:type="dxa"/>
          </w:tcPr>
          <w:p w14:paraId="4CD7940F"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94</w:t>
            </w:r>
          </w:p>
        </w:tc>
        <w:tc>
          <w:tcPr>
            <w:tcW w:w="869" w:type="dxa"/>
          </w:tcPr>
          <w:p w14:paraId="0557E097"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279</w:t>
            </w:r>
          </w:p>
        </w:tc>
        <w:tc>
          <w:tcPr>
            <w:tcW w:w="856" w:type="dxa"/>
          </w:tcPr>
          <w:p w14:paraId="174FB755"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224</w:t>
            </w:r>
          </w:p>
        </w:tc>
      </w:tr>
      <w:tr w:rsidR="0059358E" w:rsidRPr="0059358E" w14:paraId="5C87BAE0" w14:textId="77777777" w:rsidTr="000F4811">
        <w:tc>
          <w:tcPr>
            <w:tcW w:w="2045" w:type="dxa"/>
          </w:tcPr>
          <w:p w14:paraId="6AF7703D"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Unpaid caregiving services for household member</w:t>
            </w:r>
          </w:p>
        </w:tc>
        <w:tc>
          <w:tcPr>
            <w:tcW w:w="683" w:type="dxa"/>
          </w:tcPr>
          <w:p w14:paraId="3199B15F"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87</w:t>
            </w:r>
          </w:p>
        </w:tc>
        <w:tc>
          <w:tcPr>
            <w:tcW w:w="869" w:type="dxa"/>
          </w:tcPr>
          <w:p w14:paraId="703661D9"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154</w:t>
            </w:r>
          </w:p>
        </w:tc>
        <w:tc>
          <w:tcPr>
            <w:tcW w:w="856" w:type="dxa"/>
          </w:tcPr>
          <w:p w14:paraId="7154C7F3"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133</w:t>
            </w:r>
          </w:p>
        </w:tc>
      </w:tr>
      <w:tr w:rsidR="0059358E" w:rsidRPr="0059358E" w14:paraId="2845D462" w14:textId="77777777" w:rsidTr="000F4811">
        <w:tc>
          <w:tcPr>
            <w:tcW w:w="2045" w:type="dxa"/>
          </w:tcPr>
          <w:p w14:paraId="5E18F81E"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Unpaid volunteer, trainee and other unpaid work</w:t>
            </w:r>
          </w:p>
        </w:tc>
        <w:tc>
          <w:tcPr>
            <w:tcW w:w="683" w:type="dxa"/>
          </w:tcPr>
          <w:p w14:paraId="7EF38171"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159</w:t>
            </w:r>
          </w:p>
        </w:tc>
        <w:tc>
          <w:tcPr>
            <w:tcW w:w="869" w:type="dxa"/>
          </w:tcPr>
          <w:p w14:paraId="5EB9D77E"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146</w:t>
            </w:r>
          </w:p>
        </w:tc>
        <w:tc>
          <w:tcPr>
            <w:tcW w:w="856" w:type="dxa"/>
          </w:tcPr>
          <w:p w14:paraId="1A8CD7F7"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151</w:t>
            </w:r>
          </w:p>
        </w:tc>
      </w:tr>
      <w:tr w:rsidR="0059358E" w:rsidRPr="0059358E" w14:paraId="74FA105B" w14:textId="77777777" w:rsidTr="000F4811">
        <w:tc>
          <w:tcPr>
            <w:tcW w:w="2045" w:type="dxa"/>
          </w:tcPr>
          <w:p w14:paraId="19F1692E"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Learning</w:t>
            </w:r>
          </w:p>
        </w:tc>
        <w:tc>
          <w:tcPr>
            <w:tcW w:w="683" w:type="dxa"/>
          </w:tcPr>
          <w:p w14:paraId="5D5CB851"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430</w:t>
            </w:r>
          </w:p>
        </w:tc>
        <w:tc>
          <w:tcPr>
            <w:tcW w:w="869" w:type="dxa"/>
          </w:tcPr>
          <w:p w14:paraId="4917D484"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418</w:t>
            </w:r>
          </w:p>
        </w:tc>
        <w:tc>
          <w:tcPr>
            <w:tcW w:w="856" w:type="dxa"/>
          </w:tcPr>
          <w:p w14:paraId="3240A4AB"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423</w:t>
            </w:r>
          </w:p>
        </w:tc>
      </w:tr>
      <w:tr w:rsidR="0059358E" w:rsidRPr="0059358E" w14:paraId="51B0873C" w14:textId="77777777" w:rsidTr="000F4811">
        <w:tc>
          <w:tcPr>
            <w:tcW w:w="2045" w:type="dxa"/>
          </w:tcPr>
          <w:p w14:paraId="385263E7"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Socializing and communication, community participation, religious practice</w:t>
            </w:r>
          </w:p>
        </w:tc>
        <w:tc>
          <w:tcPr>
            <w:tcW w:w="683" w:type="dxa"/>
          </w:tcPr>
          <w:p w14:paraId="4BCF5DAC"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150</w:t>
            </w:r>
          </w:p>
        </w:tc>
        <w:tc>
          <w:tcPr>
            <w:tcW w:w="869" w:type="dxa"/>
          </w:tcPr>
          <w:p w14:paraId="6D4977A2"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139</w:t>
            </w:r>
          </w:p>
        </w:tc>
        <w:tc>
          <w:tcPr>
            <w:tcW w:w="856" w:type="dxa"/>
          </w:tcPr>
          <w:p w14:paraId="367F6E20"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144</w:t>
            </w:r>
          </w:p>
        </w:tc>
      </w:tr>
      <w:tr w:rsidR="0059358E" w:rsidRPr="0059358E" w14:paraId="24551F54" w14:textId="77777777" w:rsidTr="000F4811">
        <w:tc>
          <w:tcPr>
            <w:tcW w:w="2045" w:type="dxa"/>
          </w:tcPr>
          <w:p w14:paraId="7C40D8D1"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Culture, leisure, mass media and sports practices</w:t>
            </w:r>
          </w:p>
        </w:tc>
        <w:tc>
          <w:tcPr>
            <w:tcW w:w="683" w:type="dxa"/>
          </w:tcPr>
          <w:p w14:paraId="5ECAC9D4"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215</w:t>
            </w:r>
          </w:p>
        </w:tc>
        <w:tc>
          <w:tcPr>
            <w:tcW w:w="869" w:type="dxa"/>
          </w:tcPr>
          <w:p w14:paraId="24ADA641"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181</w:t>
            </w:r>
          </w:p>
        </w:tc>
        <w:tc>
          <w:tcPr>
            <w:tcW w:w="856" w:type="dxa"/>
          </w:tcPr>
          <w:p w14:paraId="34CFD618"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197</w:t>
            </w:r>
          </w:p>
        </w:tc>
      </w:tr>
      <w:tr w:rsidR="0059358E" w:rsidRPr="0059358E" w14:paraId="427B3ACD" w14:textId="77777777" w:rsidTr="000F4811">
        <w:tc>
          <w:tcPr>
            <w:tcW w:w="2045" w:type="dxa"/>
          </w:tcPr>
          <w:p w14:paraId="709F8D5D"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Self-care and maintenance</w:t>
            </w:r>
          </w:p>
        </w:tc>
        <w:tc>
          <w:tcPr>
            <w:tcW w:w="683" w:type="dxa"/>
          </w:tcPr>
          <w:p w14:paraId="33FF1D4D"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722</w:t>
            </w:r>
          </w:p>
        </w:tc>
        <w:tc>
          <w:tcPr>
            <w:tcW w:w="869" w:type="dxa"/>
          </w:tcPr>
          <w:p w14:paraId="5D13D7D5"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700</w:t>
            </w:r>
          </w:p>
        </w:tc>
        <w:tc>
          <w:tcPr>
            <w:tcW w:w="856" w:type="dxa"/>
          </w:tcPr>
          <w:p w14:paraId="5D4BDD72" w14:textId="77777777" w:rsidR="0059358E" w:rsidRPr="0059358E" w:rsidRDefault="0059358E" w:rsidP="0059358E">
            <w:pPr>
              <w:jc w:val="both"/>
              <w:rPr>
                <w:rFonts w:ascii="Times New Roman" w:eastAsia="Calibri" w:hAnsi="Times New Roman" w:cs="Times New Roman"/>
              </w:rPr>
            </w:pPr>
            <w:r w:rsidRPr="0059358E">
              <w:rPr>
                <w:rFonts w:ascii="Times New Roman" w:eastAsia="Calibri" w:hAnsi="Times New Roman" w:cs="Times New Roman"/>
              </w:rPr>
              <w:t>711</w:t>
            </w:r>
          </w:p>
        </w:tc>
      </w:tr>
    </w:tbl>
    <w:p w14:paraId="3585C73A" w14:textId="5EEF826E" w:rsidR="0059358E" w:rsidRPr="0059358E" w:rsidRDefault="0059358E" w:rsidP="0059358E">
      <w:pPr>
        <w:spacing w:line="259" w:lineRule="auto"/>
        <w:jc w:val="both"/>
        <w:rPr>
          <w:rFonts w:ascii="Times New Roman" w:eastAsia="Calibri" w:hAnsi="Times New Roman" w:cs="Times New Roman"/>
          <w:kern w:val="0"/>
          <w:lang w:val="en-US" w:bidi="ar-SA"/>
          <w14:ligatures w14:val="none"/>
        </w:rPr>
      </w:pPr>
      <w:r w:rsidRPr="0059358E">
        <w:rPr>
          <w:rFonts w:ascii="Times New Roman" w:eastAsia="Calibri" w:hAnsi="Times New Roman" w:cs="Times New Roman"/>
          <w:kern w:val="0"/>
          <w:lang w:val="en-US" w:bidi="ar-SA"/>
          <w14:ligatures w14:val="none"/>
        </w:rPr>
        <w:t xml:space="preserve">(Time use survey 2024, Published by Ministry of Statistics and </w:t>
      </w:r>
      <w:proofErr w:type="spellStart"/>
      <w:r w:rsidRPr="0059358E">
        <w:rPr>
          <w:rFonts w:ascii="Times New Roman" w:eastAsia="Calibri" w:hAnsi="Times New Roman" w:cs="Times New Roman"/>
          <w:kern w:val="0"/>
          <w:lang w:val="en-US" w:bidi="ar-SA"/>
          <w14:ligatures w14:val="none"/>
        </w:rPr>
        <w:t>Programme</w:t>
      </w:r>
      <w:proofErr w:type="spellEnd"/>
      <w:r w:rsidRPr="0059358E">
        <w:rPr>
          <w:rFonts w:ascii="Times New Roman" w:eastAsia="Calibri" w:hAnsi="Times New Roman" w:cs="Times New Roman"/>
          <w:kern w:val="0"/>
          <w:lang w:val="en-US" w:bidi="ar-SA"/>
          <w14:ligatures w14:val="none"/>
        </w:rPr>
        <w:t xml:space="preserve"> Implementation)</w:t>
      </w:r>
    </w:p>
    <w:p w14:paraId="2FA4AE41" w14:textId="69014502" w:rsidR="00511857" w:rsidRPr="00901794" w:rsidRDefault="00511857" w:rsidP="00901794">
      <w:pPr>
        <w:spacing w:line="360" w:lineRule="auto"/>
        <w:jc w:val="both"/>
        <w:rPr>
          <w:rFonts w:ascii="Times New Roman" w:hAnsi="Times New Roman" w:cs="Times New Roman"/>
        </w:rPr>
      </w:pPr>
      <w:r w:rsidRPr="00901794">
        <w:rPr>
          <w:rFonts w:ascii="Times New Roman" w:hAnsi="Times New Roman" w:cs="Times New Roman"/>
        </w:rPr>
        <w:t>Employed women in Kerala work harder than their national counterparts. In "Employment and related activities," a participant woman in Kerala spends 402 minutes per day</w:t>
      </w:r>
      <w:r w:rsidR="00FE56EF">
        <w:rPr>
          <w:rFonts w:ascii="Times New Roman" w:hAnsi="Times New Roman" w:cs="Times New Roman"/>
        </w:rPr>
        <w:t xml:space="preserve"> (Table 4)</w:t>
      </w:r>
      <w:r w:rsidRPr="00901794">
        <w:rPr>
          <w:rFonts w:ascii="Times New Roman" w:hAnsi="Times New Roman" w:cs="Times New Roman"/>
        </w:rPr>
        <w:t>, compared to the national average of 341 minutes.</w:t>
      </w:r>
      <w:r w:rsidR="00DE370D" w:rsidRPr="00901794">
        <w:rPr>
          <w:rFonts w:ascii="Times New Roman" w:hAnsi="Times New Roman" w:cs="Times New Roman"/>
        </w:rPr>
        <w:t xml:space="preserve"> </w:t>
      </w:r>
      <w:r w:rsidRPr="00901794">
        <w:rPr>
          <w:rFonts w:ascii="Times New Roman" w:hAnsi="Times New Roman" w:cs="Times New Roman"/>
        </w:rPr>
        <w:t>An employed woman in Kerala spends roughly 6.7 hours at her job, yet must still navigate a society where women perform 4.6 hours of domestic work and 2.5 hours of caregiving daily. This results in severe time poverty, leaving little room for "Learning" or "Self-care."</w:t>
      </w:r>
    </w:p>
    <w:p w14:paraId="132265D2" w14:textId="77777777" w:rsidR="00511857" w:rsidRPr="000628F4" w:rsidRDefault="00511857" w:rsidP="00901794">
      <w:pPr>
        <w:spacing w:line="360" w:lineRule="auto"/>
        <w:jc w:val="both"/>
        <w:rPr>
          <w:rFonts w:ascii="Times New Roman" w:hAnsi="Times New Roman" w:cs="Times New Roman"/>
          <w:b/>
          <w:bCs/>
        </w:rPr>
      </w:pPr>
      <w:r w:rsidRPr="000628F4">
        <w:rPr>
          <w:rFonts w:ascii="Times New Roman" w:hAnsi="Times New Roman" w:cs="Times New Roman"/>
          <w:b/>
          <w:bCs/>
        </w:rPr>
        <w:t>Conclusion</w:t>
      </w:r>
    </w:p>
    <w:p w14:paraId="29A8F3FF" w14:textId="77777777" w:rsidR="00511857" w:rsidRPr="00901794" w:rsidRDefault="00511857" w:rsidP="00901794">
      <w:pPr>
        <w:spacing w:line="360" w:lineRule="auto"/>
        <w:jc w:val="both"/>
        <w:rPr>
          <w:rFonts w:ascii="Times New Roman" w:hAnsi="Times New Roman" w:cs="Times New Roman"/>
        </w:rPr>
      </w:pPr>
      <w:r w:rsidRPr="00901794">
        <w:rPr>
          <w:rFonts w:ascii="Times New Roman" w:hAnsi="Times New Roman" w:cs="Times New Roman"/>
        </w:rPr>
        <w:t>The comparative analysis of the Time Use Survey 2024 data illustrates that gender inequality remains a structural defining feature of Indian society, transcending regional progress. The situation in Kerala highlights a critical realization: educating women without restructuring the domestic ecosystem results in a "stalled revolution."</w:t>
      </w:r>
    </w:p>
    <w:p w14:paraId="51A534C8" w14:textId="77777777" w:rsidR="00511857" w:rsidRPr="00901794" w:rsidRDefault="00511857" w:rsidP="00901794">
      <w:pPr>
        <w:spacing w:line="360" w:lineRule="auto"/>
        <w:jc w:val="both"/>
        <w:rPr>
          <w:rFonts w:ascii="Times New Roman" w:hAnsi="Times New Roman" w:cs="Times New Roman"/>
        </w:rPr>
      </w:pPr>
      <w:r w:rsidRPr="00901794">
        <w:rPr>
          <w:rFonts w:ascii="Times New Roman" w:hAnsi="Times New Roman" w:cs="Times New Roman"/>
        </w:rPr>
        <w:t>Women in Kerala appear to be caught in a pincer movement. On one side, they are expected to contribute to the economy (evident in the high intensity of time spent by those who are employed); on the other, they remain the primary caregivers and homemakers. The "Kerala Model" has succeeded in keeping women healthy and literate, but it has not yet succeeded in liberating their time.</w:t>
      </w:r>
    </w:p>
    <w:p w14:paraId="7DE044D4" w14:textId="60F3EE2A" w:rsidR="00511857" w:rsidRPr="00901794" w:rsidRDefault="00511857" w:rsidP="00901794">
      <w:pPr>
        <w:spacing w:line="360" w:lineRule="auto"/>
        <w:jc w:val="both"/>
        <w:rPr>
          <w:rFonts w:ascii="Times New Roman" w:hAnsi="Times New Roman" w:cs="Times New Roman"/>
        </w:rPr>
      </w:pPr>
      <w:r w:rsidRPr="00901794">
        <w:rPr>
          <w:rFonts w:ascii="Times New Roman" w:hAnsi="Times New Roman" w:cs="Times New Roman"/>
        </w:rPr>
        <w:t xml:space="preserve">To address this, the conversation must move beyond "empowerment" through education to "enablement" through infrastructure. Reducing the time burden on women requires state </w:t>
      </w:r>
      <w:r w:rsidRPr="00901794">
        <w:rPr>
          <w:rFonts w:ascii="Times New Roman" w:hAnsi="Times New Roman" w:cs="Times New Roman"/>
        </w:rPr>
        <w:lastRenderedPageBreak/>
        <w:t xml:space="preserve">support for childcare and eldercare, and a cultural shift that views domestic </w:t>
      </w:r>
      <w:r w:rsidR="009A67BA" w:rsidRPr="00901794">
        <w:rPr>
          <w:rFonts w:ascii="Times New Roman" w:hAnsi="Times New Roman" w:cs="Times New Roman"/>
        </w:rPr>
        <w:t>labour</w:t>
      </w:r>
      <w:r w:rsidRPr="00901794">
        <w:rPr>
          <w:rFonts w:ascii="Times New Roman" w:hAnsi="Times New Roman" w:cs="Times New Roman"/>
        </w:rPr>
        <w:t xml:space="preserve"> not as "women's help" but as a shared human responsibility.</w:t>
      </w:r>
    </w:p>
    <w:p w14:paraId="78471B9B" w14:textId="63F13758" w:rsidR="00A64F89" w:rsidRPr="000628F4" w:rsidRDefault="00A64F89" w:rsidP="00901794">
      <w:pPr>
        <w:spacing w:line="360" w:lineRule="auto"/>
        <w:jc w:val="both"/>
        <w:rPr>
          <w:rFonts w:ascii="Times New Roman" w:hAnsi="Times New Roman" w:cs="Times New Roman"/>
          <w:b/>
          <w:bCs/>
        </w:rPr>
      </w:pPr>
      <w:r w:rsidRPr="000628F4">
        <w:rPr>
          <w:rFonts w:ascii="Times New Roman" w:hAnsi="Times New Roman" w:cs="Times New Roman"/>
          <w:b/>
          <w:bCs/>
        </w:rPr>
        <w:t>References</w:t>
      </w:r>
    </w:p>
    <w:p w14:paraId="7BF7D175" w14:textId="0805C532" w:rsidR="009A20F0" w:rsidRPr="00901794" w:rsidRDefault="009A20F0" w:rsidP="00901794">
      <w:pPr>
        <w:spacing w:line="360" w:lineRule="auto"/>
        <w:jc w:val="both"/>
        <w:rPr>
          <w:rFonts w:ascii="Times New Roman" w:hAnsi="Times New Roman" w:cs="Times New Roman"/>
        </w:rPr>
      </w:pPr>
      <w:r w:rsidRPr="00901794">
        <w:rPr>
          <w:rFonts w:ascii="Times New Roman" w:hAnsi="Times New Roman" w:cs="Times New Roman"/>
        </w:rPr>
        <w:t>Time use survey 2024, Ministry of Statistics and Programme Implementation</w:t>
      </w:r>
    </w:p>
    <w:p w14:paraId="7CD926CE" w14:textId="787213BE" w:rsidR="009A20F0" w:rsidRPr="00901794" w:rsidRDefault="00865D88" w:rsidP="00901794">
      <w:pPr>
        <w:spacing w:line="360" w:lineRule="auto"/>
        <w:jc w:val="both"/>
        <w:rPr>
          <w:rFonts w:ascii="Times New Roman" w:hAnsi="Times New Roman" w:cs="Times New Roman"/>
        </w:rPr>
      </w:pPr>
      <w:proofErr w:type="spellStart"/>
      <w:r w:rsidRPr="00901794">
        <w:rPr>
          <w:rFonts w:ascii="Times New Roman" w:hAnsi="Times New Roman" w:cs="Times New Roman"/>
        </w:rPr>
        <w:t>Baoping</w:t>
      </w:r>
      <w:proofErr w:type="spellEnd"/>
      <w:r w:rsidRPr="00901794">
        <w:rPr>
          <w:rFonts w:ascii="Times New Roman" w:hAnsi="Times New Roman" w:cs="Times New Roman"/>
        </w:rPr>
        <w:t xml:space="preserve"> Shang, “Tackling Gender Inequality: Definitions, Trends, and Policy </w:t>
      </w:r>
      <w:proofErr w:type="spellStart"/>
      <w:proofErr w:type="gramStart"/>
      <w:r w:rsidRPr="00901794">
        <w:rPr>
          <w:rFonts w:ascii="Times New Roman" w:hAnsi="Times New Roman" w:cs="Times New Roman"/>
        </w:rPr>
        <w:t>Designs”Dec</w:t>
      </w:r>
      <w:proofErr w:type="spellEnd"/>
      <w:proofErr w:type="gramEnd"/>
      <w:r w:rsidRPr="00901794">
        <w:rPr>
          <w:rFonts w:ascii="Times New Roman" w:hAnsi="Times New Roman" w:cs="Times New Roman"/>
        </w:rPr>
        <w:t xml:space="preserve"> 2022, </w:t>
      </w:r>
      <w:proofErr w:type="spellStart"/>
      <w:r w:rsidRPr="00901794">
        <w:rPr>
          <w:rFonts w:ascii="Times New Roman" w:hAnsi="Times New Roman" w:cs="Times New Roman"/>
        </w:rPr>
        <w:t>IMFeLibrary</w:t>
      </w:r>
      <w:proofErr w:type="spellEnd"/>
    </w:p>
    <w:p w14:paraId="2A3E21C3" w14:textId="7CB9E435" w:rsidR="00865D88" w:rsidRPr="00901794" w:rsidRDefault="00865D88" w:rsidP="00901794">
      <w:pPr>
        <w:spacing w:line="360" w:lineRule="auto"/>
        <w:jc w:val="both"/>
        <w:rPr>
          <w:rFonts w:ascii="Times New Roman" w:hAnsi="Times New Roman" w:cs="Times New Roman"/>
        </w:rPr>
      </w:pPr>
      <w:r w:rsidRPr="00901794">
        <w:rPr>
          <w:rFonts w:ascii="Times New Roman" w:hAnsi="Times New Roman" w:cs="Times New Roman"/>
        </w:rPr>
        <w:t xml:space="preserve">Kelly L. Hazel &amp;Kerry S. Kleyman, Gender and sex inequalities: Implications and resistance, Journal of Prevention and Intervention in the community, Vol 48, Issue </w:t>
      </w:r>
      <w:proofErr w:type="gramStart"/>
      <w:r w:rsidRPr="00901794">
        <w:rPr>
          <w:rFonts w:ascii="Times New Roman" w:hAnsi="Times New Roman" w:cs="Times New Roman"/>
        </w:rPr>
        <w:t>4,  2020</w:t>
      </w:r>
      <w:proofErr w:type="gramEnd"/>
    </w:p>
    <w:p w14:paraId="34DD40F0" w14:textId="00772B85" w:rsidR="00865D88" w:rsidRPr="00901794" w:rsidRDefault="00865D88" w:rsidP="00901794">
      <w:pPr>
        <w:spacing w:line="360" w:lineRule="auto"/>
        <w:jc w:val="both"/>
        <w:rPr>
          <w:rFonts w:ascii="Times New Roman" w:hAnsi="Times New Roman" w:cs="Times New Roman"/>
        </w:rPr>
      </w:pPr>
      <w:r w:rsidRPr="00901794">
        <w:rPr>
          <w:rFonts w:ascii="Times New Roman" w:hAnsi="Times New Roman" w:cs="Times New Roman"/>
        </w:rPr>
        <w:t>https://www.elibrary.imf.org/view/journals/001/2022/232/article</w:t>
      </w:r>
    </w:p>
    <w:p w14:paraId="6B2C65E2" w14:textId="0F0545C8" w:rsidR="00A64F89" w:rsidRPr="00901794" w:rsidRDefault="00A64F89" w:rsidP="00901794">
      <w:pPr>
        <w:spacing w:line="360" w:lineRule="auto"/>
        <w:jc w:val="both"/>
        <w:rPr>
          <w:rFonts w:ascii="Times New Roman" w:hAnsi="Times New Roman" w:cs="Times New Roman"/>
        </w:rPr>
      </w:pPr>
      <w:hyperlink r:id="rId4" w:history="1">
        <w:r w:rsidRPr="00901794">
          <w:rPr>
            <w:rStyle w:val="Hyperlink"/>
            <w:rFonts w:ascii="Times New Roman" w:hAnsi="Times New Roman" w:cs="Times New Roman"/>
          </w:rPr>
          <w:t>https://www.unicef.org/india/what-we-do/gender-equality</w:t>
        </w:r>
      </w:hyperlink>
    </w:p>
    <w:p w14:paraId="118368AC" w14:textId="77777777" w:rsidR="00A64F89" w:rsidRPr="00901794" w:rsidRDefault="00A64F89" w:rsidP="00901794">
      <w:pPr>
        <w:spacing w:line="360" w:lineRule="auto"/>
        <w:jc w:val="both"/>
        <w:rPr>
          <w:rFonts w:ascii="Times New Roman" w:hAnsi="Times New Roman" w:cs="Times New Roman"/>
        </w:rPr>
      </w:pPr>
    </w:p>
    <w:sectPr w:rsidR="00A64F89" w:rsidRPr="009017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4B"/>
    <w:rsid w:val="000628F4"/>
    <w:rsid w:val="00092F9F"/>
    <w:rsid w:val="000A0755"/>
    <w:rsid w:val="000B2A49"/>
    <w:rsid w:val="000C57CC"/>
    <w:rsid w:val="001C12CD"/>
    <w:rsid w:val="00233826"/>
    <w:rsid w:val="00297705"/>
    <w:rsid w:val="004E46C1"/>
    <w:rsid w:val="00511857"/>
    <w:rsid w:val="0059358E"/>
    <w:rsid w:val="005D4FE6"/>
    <w:rsid w:val="007534AF"/>
    <w:rsid w:val="008036BF"/>
    <w:rsid w:val="0080694B"/>
    <w:rsid w:val="0081684D"/>
    <w:rsid w:val="00865D88"/>
    <w:rsid w:val="008A370E"/>
    <w:rsid w:val="00901794"/>
    <w:rsid w:val="00967E80"/>
    <w:rsid w:val="009A20F0"/>
    <w:rsid w:val="009A67BA"/>
    <w:rsid w:val="009B7F92"/>
    <w:rsid w:val="00A43262"/>
    <w:rsid w:val="00A64F89"/>
    <w:rsid w:val="00BF6EF4"/>
    <w:rsid w:val="00C20FEE"/>
    <w:rsid w:val="00D26B6D"/>
    <w:rsid w:val="00D3111D"/>
    <w:rsid w:val="00D42DFB"/>
    <w:rsid w:val="00DC42A9"/>
    <w:rsid w:val="00DE370D"/>
    <w:rsid w:val="00FE56EF"/>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FF2C"/>
  <w15:chartTrackingRefBased/>
  <w15:docId w15:val="{7D94580B-1705-4956-930D-CB8BA622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4B"/>
    <w:rPr>
      <w:rFonts w:eastAsiaTheme="majorEastAsia" w:cstheme="majorBidi"/>
      <w:color w:val="272727" w:themeColor="text1" w:themeTint="D8"/>
    </w:rPr>
  </w:style>
  <w:style w:type="paragraph" w:styleId="Title">
    <w:name w:val="Title"/>
    <w:basedOn w:val="Normal"/>
    <w:next w:val="Normal"/>
    <w:link w:val="TitleChar"/>
    <w:uiPriority w:val="10"/>
    <w:qFormat/>
    <w:rsid w:val="00806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4B"/>
    <w:pPr>
      <w:spacing w:before="160"/>
      <w:jc w:val="center"/>
    </w:pPr>
    <w:rPr>
      <w:i/>
      <w:iCs/>
      <w:color w:val="404040" w:themeColor="text1" w:themeTint="BF"/>
    </w:rPr>
  </w:style>
  <w:style w:type="character" w:customStyle="1" w:styleId="QuoteChar">
    <w:name w:val="Quote Char"/>
    <w:basedOn w:val="DefaultParagraphFont"/>
    <w:link w:val="Quote"/>
    <w:uiPriority w:val="29"/>
    <w:rsid w:val="0080694B"/>
    <w:rPr>
      <w:i/>
      <w:iCs/>
      <w:color w:val="404040" w:themeColor="text1" w:themeTint="BF"/>
    </w:rPr>
  </w:style>
  <w:style w:type="paragraph" w:styleId="ListParagraph">
    <w:name w:val="List Paragraph"/>
    <w:basedOn w:val="Normal"/>
    <w:uiPriority w:val="34"/>
    <w:qFormat/>
    <w:rsid w:val="0080694B"/>
    <w:pPr>
      <w:ind w:left="720"/>
      <w:contextualSpacing/>
    </w:pPr>
  </w:style>
  <w:style w:type="character" w:styleId="IntenseEmphasis">
    <w:name w:val="Intense Emphasis"/>
    <w:basedOn w:val="DefaultParagraphFont"/>
    <w:uiPriority w:val="21"/>
    <w:qFormat/>
    <w:rsid w:val="0080694B"/>
    <w:rPr>
      <w:i/>
      <w:iCs/>
      <w:color w:val="0F4761" w:themeColor="accent1" w:themeShade="BF"/>
    </w:rPr>
  </w:style>
  <w:style w:type="paragraph" w:styleId="IntenseQuote">
    <w:name w:val="Intense Quote"/>
    <w:basedOn w:val="Normal"/>
    <w:next w:val="Normal"/>
    <w:link w:val="IntenseQuoteChar"/>
    <w:uiPriority w:val="30"/>
    <w:qFormat/>
    <w:rsid w:val="00806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94B"/>
    <w:rPr>
      <w:i/>
      <w:iCs/>
      <w:color w:val="0F4761" w:themeColor="accent1" w:themeShade="BF"/>
    </w:rPr>
  </w:style>
  <w:style w:type="character" w:styleId="IntenseReference">
    <w:name w:val="Intense Reference"/>
    <w:basedOn w:val="DefaultParagraphFont"/>
    <w:uiPriority w:val="32"/>
    <w:qFormat/>
    <w:rsid w:val="0080694B"/>
    <w:rPr>
      <w:b/>
      <w:bCs/>
      <w:smallCaps/>
      <w:color w:val="0F4761" w:themeColor="accent1" w:themeShade="BF"/>
      <w:spacing w:val="5"/>
    </w:rPr>
  </w:style>
  <w:style w:type="character" w:styleId="Hyperlink">
    <w:name w:val="Hyperlink"/>
    <w:basedOn w:val="DefaultParagraphFont"/>
    <w:uiPriority w:val="99"/>
    <w:unhideWhenUsed/>
    <w:rsid w:val="00A64F89"/>
    <w:rPr>
      <w:color w:val="467886" w:themeColor="hyperlink"/>
      <w:u w:val="single"/>
    </w:rPr>
  </w:style>
  <w:style w:type="character" w:styleId="UnresolvedMention">
    <w:name w:val="Unresolved Mention"/>
    <w:basedOn w:val="DefaultParagraphFont"/>
    <w:uiPriority w:val="99"/>
    <w:semiHidden/>
    <w:unhideWhenUsed/>
    <w:rsid w:val="00A64F89"/>
    <w:rPr>
      <w:color w:val="605E5C"/>
      <w:shd w:val="clear" w:color="auto" w:fill="E1DFDD"/>
    </w:rPr>
  </w:style>
  <w:style w:type="table" w:customStyle="1" w:styleId="TableGrid1">
    <w:name w:val="Table Grid1"/>
    <w:basedOn w:val="TableNormal"/>
    <w:next w:val="TableGrid"/>
    <w:uiPriority w:val="39"/>
    <w:rsid w:val="008A370E"/>
    <w:pPr>
      <w:spacing w:after="0" w:line="240" w:lineRule="auto"/>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370E"/>
    <w:pPr>
      <w:spacing w:after="0" w:line="240" w:lineRule="auto"/>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358E"/>
    <w:pPr>
      <w:spacing w:after="0" w:line="240" w:lineRule="auto"/>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cef.org/india/what-we-do/gender-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Thomas K</dc:creator>
  <cp:keywords/>
  <dc:description/>
  <cp:lastModifiedBy>TEJAS JASRA</cp:lastModifiedBy>
  <cp:revision>13</cp:revision>
  <dcterms:created xsi:type="dcterms:W3CDTF">2025-12-05T09:39:00Z</dcterms:created>
  <dcterms:modified xsi:type="dcterms:W3CDTF">2026-03-07T06:16:00Z</dcterms:modified>
</cp:coreProperties>
</file>