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6547" w14:textId="77777777" w:rsidR="00420233" w:rsidRDefault="00420233">
      <w:pPr>
        <w:spacing w:after="280"/>
      </w:pPr>
    </w:p>
    <w:p w14:paraId="06AA41E7" w14:textId="6382A05E" w:rsidR="00F73994" w:rsidRDefault="00F73994" w:rsidP="00F73994">
      <w:pPr>
        <w:spacing w:after="50" w:line="360" w:lineRule="auto"/>
        <w:jc w:val="center"/>
      </w:pPr>
      <w:r>
        <w:rPr>
          <w:b/>
          <w:bCs/>
          <w:color w:val="1A1A2E"/>
          <w:sz w:val="28"/>
          <w:szCs w:val="28"/>
        </w:rPr>
        <w:t>Marine Innovations as a Space for Cooperation:</w:t>
      </w:r>
    </w:p>
    <w:p w14:paraId="629BA812" w14:textId="4E351E45" w:rsidR="00420233" w:rsidRDefault="00F73994" w:rsidP="00F73994">
      <w:pPr>
        <w:pBdr>
          <w:bottom w:val="single" w:sz="5" w:space="6" w:color="6B0000"/>
        </w:pBdr>
        <w:spacing w:after="60"/>
        <w:jc w:val="center"/>
      </w:pPr>
      <w:r>
        <w:rPr>
          <w:b/>
          <w:bCs/>
          <w:color w:val="6B0000"/>
          <w:sz w:val="28"/>
          <w:szCs w:val="28"/>
        </w:rPr>
        <w:t>New Opportunities for Australia and China</w:t>
      </w:r>
    </w:p>
    <w:p w14:paraId="088BB2BA" w14:textId="77777777" w:rsidR="00420233" w:rsidRDefault="00420233">
      <w:pPr>
        <w:spacing w:after="280"/>
      </w:pPr>
    </w:p>
    <w:p w14:paraId="72544A88" w14:textId="10922538" w:rsidR="00420233" w:rsidRDefault="004436E0">
      <w:pPr>
        <w:pStyle w:val="Heading1"/>
        <w:pBdr>
          <w:bottom w:val="single" w:sz="6" w:space="4" w:color="6B0000"/>
        </w:pBdr>
      </w:pPr>
      <w:bookmarkStart w:id="0" w:name="OLE_LINK1"/>
      <w:r>
        <w:t>Introduction</w:t>
      </w:r>
    </w:p>
    <w:bookmarkEnd w:id="0"/>
    <w:p w14:paraId="524DE952" w14:textId="77777777" w:rsidR="004436E0" w:rsidRDefault="004436E0" w:rsidP="00C774E6">
      <w:pPr>
        <w:pStyle w:val="NormalWeb"/>
        <w:spacing w:line="360" w:lineRule="auto"/>
        <w:jc w:val="both"/>
      </w:pPr>
      <w:r>
        <w:t>Australia–China relations are currently characterised by a period of sustained strategic tension. The imposition of trade restrictions in 2020, the establishment of the AUKUS trilateral security partnership in 2021, and ongoing contestation over the security of digital infrastructure have contributed to a growing tendency in both academic and policy discourse to conceptualise bilateral relations in terms of strategic rivalry rather than interdependence. However, such a framing risks obscuring the persistence of deep structural economic linkages that continue to underpin the relationship. China remains Australia’s largest trading partner, with bilateral trade exceeding AUD 300 billion in 2022–2023, despite the continuation of selective restrictions.</w:t>
      </w:r>
    </w:p>
    <w:p w14:paraId="11FCD13F" w14:textId="77777777" w:rsidR="004436E0" w:rsidRDefault="004436E0" w:rsidP="00C774E6">
      <w:pPr>
        <w:pStyle w:val="NormalWeb"/>
        <w:spacing w:line="360" w:lineRule="auto"/>
        <w:jc w:val="both"/>
      </w:pPr>
      <w:r>
        <w:t>Against this backdrop, this article asks whether sector-specific niches exist in which the convergence of economic and technological interests is sufficiently robust to sustain cooperation under conditions of strategic competition. It advances the argument that the maritime innovation sector represents a critical, yet underexplored, domain of functional cooperation. By integrating three analytically distinct but technologically interconnected areas—offshore renewable energy, digital shipping and autonomous port systems, and ocean environmental monitoring—this study demonstrates that Australia and China exhibit a high degree of technological complementarity in these fields. This complementarity, in turn, creates the conditions for pragmatic and resilient forms of engagement that do not necessitate a recalibration of broader strategic postures.</w:t>
      </w:r>
    </w:p>
    <w:p w14:paraId="2AF42B4A" w14:textId="77777777" w:rsidR="004436E0" w:rsidRDefault="004436E0" w:rsidP="00C774E6">
      <w:pPr>
        <w:pStyle w:val="NormalWeb"/>
        <w:spacing w:line="360" w:lineRule="auto"/>
        <w:jc w:val="both"/>
      </w:pPr>
      <w:r>
        <w:t>Conceptually, the article is grounded in a functionalist understanding of cooperation, emphasising sectoral interdependence and problem-oriented collaboration as mechanisms for sustaining interaction in politically constrained environments. Empirically, the analysis highlights how shared economic incentives and technological synergies can coexist with, and even partially mitigate, strategic tensions.</w:t>
      </w:r>
    </w:p>
    <w:p w14:paraId="742D81B5" w14:textId="77777777" w:rsidR="004436E0" w:rsidRDefault="004436E0" w:rsidP="00C774E6">
      <w:pPr>
        <w:pStyle w:val="NormalWeb"/>
        <w:spacing w:line="360" w:lineRule="auto"/>
        <w:jc w:val="both"/>
      </w:pPr>
      <w:r>
        <w:lastRenderedPageBreak/>
        <w:t>The article proceeds as follows. The first section develops the conceptual framework of functional cooperation. The subsequent three sections present detailed sectoral case studies. The fifth section examines the principal barriers to cooperation, including regulatory divergence, security concerns, and geopolitical risk, and evaluates potential mechanisms for their mitigation. The conclusion outlines the conditions under which such sector-specific cooperation can be sustained over time.</w:t>
      </w:r>
    </w:p>
    <w:p w14:paraId="10D5F611" w14:textId="77777777" w:rsidR="004436E0" w:rsidRDefault="004436E0" w:rsidP="00C774E6">
      <w:pPr>
        <w:pStyle w:val="NormalWeb"/>
        <w:spacing w:line="360" w:lineRule="auto"/>
        <w:jc w:val="both"/>
      </w:pPr>
      <w:r>
        <w:t>Methodologically, the study relies primarily on qualitative analysis of open-source materials, including government reports, industry data, and peer-reviewed academic literature, supplemented where appropriate by policy analysis.</w:t>
      </w:r>
    </w:p>
    <w:p w14:paraId="4C4167EA" w14:textId="1420E150" w:rsidR="00420233" w:rsidRDefault="00434950" w:rsidP="00C774E6">
      <w:pPr>
        <w:pStyle w:val="Heading1"/>
        <w:pBdr>
          <w:bottom w:val="single" w:sz="6" w:space="4" w:color="6B0000"/>
        </w:pBdr>
        <w:spacing w:line="360" w:lineRule="auto"/>
        <w:jc w:val="both"/>
      </w:pPr>
      <w:r>
        <w:t>Conceptual Framework</w:t>
      </w:r>
    </w:p>
    <w:p w14:paraId="7050F007" w14:textId="77777777" w:rsidR="00C774E6" w:rsidRDefault="00C774E6" w:rsidP="00C774E6">
      <w:pPr>
        <w:pStyle w:val="Heading2"/>
        <w:spacing w:line="360" w:lineRule="auto"/>
        <w:jc w:val="both"/>
      </w:pPr>
      <w:r>
        <w:t>Functional Cooperation under Conditions of Strategic Competition</w:t>
      </w:r>
    </w:p>
    <w:p w14:paraId="6C152C42" w14:textId="77777777" w:rsidR="00C774E6" w:rsidRDefault="00C774E6" w:rsidP="00C774E6">
      <w:pPr>
        <w:pStyle w:val="NormalWeb"/>
        <w:spacing w:line="360" w:lineRule="auto"/>
        <w:jc w:val="both"/>
      </w:pPr>
      <w:r>
        <w:t>The concept of functional cooperation is rooted in the neofunctionalism of Ernst Haas and the regime theory of Robert Keohane. In its contemporary application, it describes situations in which states that diverge at the level of systemic strategic objectives nevertheless identify mutual gains in technical or economic interaction on issue-specific domains that do not directly implicate core security concerns. Theoretically, such interaction becomes viable where the benefits of cooperation outweigh the political costs of association with a strategic competitor, and where the subject matter is sufficiently technical and specialised to remain insulated from the dominant strategic agenda.</w:t>
      </w:r>
    </w:p>
    <w:p w14:paraId="034FD997" w14:textId="77777777" w:rsidR="00C774E6" w:rsidRDefault="00C774E6" w:rsidP="00C774E6">
      <w:pPr>
        <w:pStyle w:val="NormalWeb"/>
        <w:spacing w:line="360" w:lineRule="auto"/>
        <w:jc w:val="both"/>
      </w:pPr>
      <w:r>
        <w:t>The maritime sector exhibits three characteristics that render it particularly conducive to functional cooperation. First, a significant portion of maritime technologies falls outside the scope of dual-use technology control regimes to a greater extent than sectors such as semiconductors, quantum computing, or advanced weapons systems. International control lists established under arrangements such as the Wassenaar Agreement apply only selectively to maritime autonomous systems. Second, both countries face structurally similar challenges—climate change, marine environmental degradation, and the decarbonisation of shipping—creating an objective convergence of interests that is not reducible to geopolitics. Third, the interdependence of global maritime value chains is sufficiently deep that any arbitrary decoupling would impose substantial economic costs on both sides.</w:t>
      </w:r>
    </w:p>
    <w:p w14:paraId="295B21D7" w14:textId="77777777" w:rsidR="00C774E6" w:rsidRDefault="00C774E6" w:rsidP="00C774E6">
      <w:pPr>
        <w:pStyle w:val="NormalWeb"/>
        <w:spacing w:line="360" w:lineRule="auto"/>
        <w:jc w:val="both"/>
      </w:pPr>
      <w:r>
        <w:lastRenderedPageBreak/>
        <w:t>It is important to emphasise that this article does not advocate a return to “business as usual” in Australia–China relations. Rather, it seeks to identify specific technological niches in which the logic of economic complementarity is sufficiently robust to withstand political disruption. Empirical evidence from bilateral innovation initiatives in clean technologies suggests that such niches do exist and, when supported by appropriate institutional design, can remain operational even during periods of heightened political tension.</w:t>
      </w:r>
    </w:p>
    <w:p w14:paraId="282E007D" w14:textId="77777777" w:rsidR="00C774E6" w:rsidRDefault="00DA2C7A" w:rsidP="00C774E6">
      <w:pPr>
        <w:spacing w:line="360" w:lineRule="auto"/>
        <w:jc w:val="both"/>
      </w:pPr>
      <w:r>
        <w:rPr>
          <w:noProof/>
        </w:rPr>
        <w:pict w14:anchorId="5215A576">
          <v:rect id="_x0000_i1029" alt="" style="width:451.3pt;height:.05pt;mso-width-percent:0;mso-height-percent:0;mso-width-percent:0;mso-height-percent:0" o:hralign="center" o:hrstd="t" o:hr="t" fillcolor="#a0a0a0" stroked="f"/>
        </w:pict>
      </w:r>
    </w:p>
    <w:p w14:paraId="07D57B8D" w14:textId="77777777" w:rsidR="00C774E6" w:rsidRDefault="00C774E6" w:rsidP="00C774E6">
      <w:pPr>
        <w:pStyle w:val="Heading2"/>
        <w:spacing w:line="360" w:lineRule="auto"/>
        <w:jc w:val="both"/>
      </w:pPr>
      <w:r>
        <w:t>Offshore Renewable Energy</w:t>
      </w:r>
    </w:p>
    <w:p w14:paraId="23F19648" w14:textId="77777777" w:rsidR="00C774E6" w:rsidRDefault="00C774E6" w:rsidP="00C774E6">
      <w:pPr>
        <w:pStyle w:val="Heading3"/>
        <w:spacing w:line="360" w:lineRule="auto"/>
        <w:jc w:val="both"/>
      </w:pPr>
      <w:r>
        <w:t>Asymmetric Complementarity of Resources and Manufacturing</w:t>
      </w:r>
    </w:p>
    <w:p w14:paraId="061F1BA1" w14:textId="77777777" w:rsidR="00C774E6" w:rsidRDefault="00C774E6" w:rsidP="00C774E6">
      <w:pPr>
        <w:pStyle w:val="NormalWeb"/>
        <w:spacing w:line="360" w:lineRule="auto"/>
        <w:jc w:val="both"/>
      </w:pPr>
      <w:r>
        <w:t>Australia possesses one of the most significant offshore wind energy potentials globally. According to the International Energy Agency, its technically achievable capacity exceeds 2,000 GW—comparable to leading European offshore wind markets—while benefiting from lower population density in coastal regions and therefore reduced land-use conflict. However, Australia has limited domestic manufacturing capacity for large-scale offshore wind turbines, monopile foundations, subsea cables, and specialised installation vessels.</w:t>
      </w:r>
    </w:p>
    <w:p w14:paraId="7273B04C" w14:textId="77777777" w:rsidR="00C774E6" w:rsidRDefault="00C774E6" w:rsidP="00C774E6">
      <w:pPr>
        <w:pStyle w:val="NormalWeb"/>
        <w:spacing w:line="360" w:lineRule="auto"/>
        <w:jc w:val="both"/>
      </w:pPr>
      <w:r>
        <w:t>China occupies a structurally inverse position within this framework of complementarity. Data from BloombergNEF indicate that Chinese manufacturers control over 70% of the global market for offshore wind components and operate the world’s largest fleet of specialised installation vessels. At the same time, the domestic market is showing signs of saturation, with the pace of new capacity additions slowing. This dynamic creates strong incentives for outward expansion into high-resource markets. Australia, in this regard, represents a structurally attractive destination: geographically proximate, institutionally stable, and committed to ambitious renewable energy targets.</w:t>
      </w:r>
    </w:p>
    <w:p w14:paraId="579EC9E0" w14:textId="77777777" w:rsidR="00C774E6" w:rsidRDefault="00C774E6" w:rsidP="00C774E6">
      <w:pPr>
        <w:pStyle w:val="NormalWeb"/>
        <w:spacing w:line="360" w:lineRule="auto"/>
        <w:jc w:val="both"/>
      </w:pPr>
    </w:p>
    <w:p w14:paraId="5F123B0D" w14:textId="77777777" w:rsidR="00C774E6" w:rsidRDefault="00C774E6" w:rsidP="00C774E6">
      <w:pPr>
        <w:pStyle w:val="NormalWeb"/>
        <w:spacing w:line="360" w:lineRule="auto"/>
        <w:jc w:val="both"/>
      </w:pPr>
    </w:p>
    <w:p w14:paraId="450B250F" w14:textId="77777777" w:rsidR="00C774E6" w:rsidRDefault="00C774E6" w:rsidP="00C774E6">
      <w:pPr>
        <w:pStyle w:val="NormalWeb"/>
        <w:spacing w:line="360" w:lineRule="auto"/>
        <w:jc w:val="both"/>
      </w:pPr>
    </w:p>
    <w:p w14:paraId="3AC22EE1" w14:textId="77777777" w:rsidR="00C774E6" w:rsidRDefault="00C774E6" w:rsidP="00C774E6">
      <w:pPr>
        <w:pStyle w:val="NormalWeb"/>
        <w:spacing w:line="360" w:lineRule="auto"/>
        <w:jc w:val="both"/>
      </w:pPr>
    </w:p>
    <w:p w14:paraId="5B3F5862" w14:textId="77777777" w:rsidR="00C774E6" w:rsidRDefault="00C774E6" w:rsidP="00C774E6">
      <w:pPr>
        <w:pStyle w:val="Heading3"/>
        <w:spacing w:line="360" w:lineRule="auto"/>
        <w:jc w:val="both"/>
      </w:pPr>
      <w:r>
        <w:lastRenderedPageBreak/>
        <w:t>Pathways for Cooperation</w:t>
      </w:r>
    </w:p>
    <w:p w14:paraId="282E7C59" w14:textId="77777777" w:rsidR="00C774E6" w:rsidRDefault="00C774E6" w:rsidP="00C774E6">
      <w:pPr>
        <w:pStyle w:val="NormalWeb"/>
        <w:spacing w:line="360" w:lineRule="auto"/>
        <w:jc w:val="both"/>
      </w:pPr>
      <w:r>
        <w:t>The most promising avenue for cooperation lies in the joint development of floating offshore wind technologies adapted to the deep-water conditions of the Australian continental shelf and the Tasman Sea. Australian engineering expertise in operating under high wave loads and tropical cyclone conditions complements Chinese capabilities in large-scale manufacturing and logistics. A second pathway involves the establishment of assembly and servicing hubs in Australian ports for Chinese-produced components, with subsequent distribution across the Indo-Pacific. Such arrangements reduce transport costs, generate local employment and value-added, and provide Chinese firms with regional market access without requiring direct investment in each jurisdiction.</w:t>
      </w:r>
    </w:p>
    <w:p w14:paraId="1A652685" w14:textId="77777777" w:rsidR="00C774E6" w:rsidRDefault="00C774E6" w:rsidP="00C774E6">
      <w:pPr>
        <w:pStyle w:val="NormalWeb"/>
        <w:spacing w:line="360" w:lineRule="auto"/>
        <w:jc w:val="both"/>
      </w:pPr>
      <w:r>
        <w:t>From a political perspective, offshore wind energy is significantly less exposed to national security concerns than terrestrial energy grids or telecommunications infrastructure. This creates a politically viable space for cooperation: Australia advances its climate commitments and reduces transition costs, while China expands export markets for its mature and highly competitive industrial base.</w:t>
      </w:r>
    </w:p>
    <w:p w14:paraId="35837B08" w14:textId="77777777" w:rsidR="00C774E6" w:rsidRDefault="00DA2C7A" w:rsidP="00C774E6">
      <w:pPr>
        <w:spacing w:line="360" w:lineRule="auto"/>
        <w:jc w:val="both"/>
      </w:pPr>
      <w:r>
        <w:rPr>
          <w:noProof/>
        </w:rPr>
        <w:pict w14:anchorId="01A14BFF">
          <v:rect id="_x0000_i1028" alt="" style="width:451.3pt;height:.05pt;mso-width-percent:0;mso-height-percent:0;mso-width-percent:0;mso-height-percent:0" o:hralign="center" o:hrstd="t" o:hr="t" fillcolor="#a0a0a0" stroked="f"/>
        </w:pict>
      </w:r>
    </w:p>
    <w:p w14:paraId="1013BD06" w14:textId="77777777" w:rsidR="00C774E6" w:rsidRDefault="00C774E6" w:rsidP="00C774E6">
      <w:pPr>
        <w:pStyle w:val="Heading2"/>
        <w:spacing w:line="360" w:lineRule="auto"/>
        <w:jc w:val="both"/>
      </w:pPr>
      <w:r>
        <w:t>Digital Shipping and Autonomous Port Systems</w:t>
      </w:r>
    </w:p>
    <w:p w14:paraId="60473DDC" w14:textId="77777777" w:rsidR="00C774E6" w:rsidRDefault="00C774E6" w:rsidP="00C774E6">
      <w:pPr>
        <w:pStyle w:val="Heading3"/>
        <w:spacing w:line="360" w:lineRule="auto"/>
        <w:jc w:val="both"/>
      </w:pPr>
      <w:r>
        <w:t>Value Chain Complementarity</w:t>
      </w:r>
    </w:p>
    <w:p w14:paraId="281D00FB" w14:textId="77777777" w:rsidR="00C774E6" w:rsidRDefault="00C774E6" w:rsidP="00C774E6">
      <w:pPr>
        <w:pStyle w:val="NormalWeb"/>
        <w:spacing w:line="360" w:lineRule="auto"/>
        <w:jc w:val="both"/>
      </w:pPr>
      <w:r>
        <w:t>The digital transformation of maritime transport is unfolding across several interrelated domains: terminal automation, AI-driven route optimisation, Internet of Things applications in cargo management, and the gradual development of autonomous coastal shipping. Australia and China both hold strong positions in this technological landscape, albeit in different segments of the value chain.</w:t>
      </w:r>
    </w:p>
    <w:p w14:paraId="7BBB71C6" w14:textId="77777777" w:rsidR="00C774E6" w:rsidRDefault="00C774E6" w:rsidP="00C774E6">
      <w:pPr>
        <w:pStyle w:val="NormalWeb"/>
        <w:spacing w:line="360" w:lineRule="auto"/>
        <w:jc w:val="both"/>
      </w:pPr>
      <w:r>
        <w:t xml:space="preserve">China is a global leader in the construction and operation of automated container terminals. Ports such as Qingdao, Tianjin, and Yangshan rank among the most technologically advanced worldwide, with Chinese firms accumulating unparalleled experience in large-scale automated port operations. Australia, by contrast, holds a comparative advantage in regulatory frameworks for autonomous maritime systems. The Australian Maritime Safety Authority (AMSA) is among the few regulators globally to have developed comprehensive frameworks for testing </w:t>
      </w:r>
      <w:r>
        <w:lastRenderedPageBreak/>
        <w:t>and certifying highly automated vessels. In addition, Australian firms demonstrate strong capabilities in maritime logistics software and supply chain management systems.</w:t>
      </w:r>
    </w:p>
    <w:p w14:paraId="22F072CF" w14:textId="77777777" w:rsidR="00C774E6" w:rsidRDefault="00C774E6" w:rsidP="00C774E6">
      <w:pPr>
        <w:pStyle w:val="NormalWeb"/>
        <w:spacing w:line="360" w:lineRule="auto"/>
        <w:jc w:val="both"/>
      </w:pPr>
    </w:p>
    <w:p w14:paraId="7C84E7E4" w14:textId="77777777" w:rsidR="00C774E6" w:rsidRDefault="00C774E6" w:rsidP="00C774E6">
      <w:pPr>
        <w:pStyle w:val="NormalWeb"/>
        <w:spacing w:line="360" w:lineRule="auto"/>
        <w:jc w:val="both"/>
      </w:pPr>
    </w:p>
    <w:p w14:paraId="3526DD4C" w14:textId="77777777" w:rsidR="00C774E6" w:rsidRDefault="00C774E6" w:rsidP="00C774E6">
      <w:pPr>
        <w:pStyle w:val="NormalWeb"/>
        <w:spacing w:line="360" w:lineRule="auto"/>
        <w:jc w:val="both"/>
      </w:pPr>
    </w:p>
    <w:p w14:paraId="6108BBE7" w14:textId="77777777" w:rsidR="00C774E6" w:rsidRDefault="00C774E6" w:rsidP="00C774E6">
      <w:pPr>
        <w:pStyle w:val="Heading3"/>
        <w:spacing w:line="360" w:lineRule="auto"/>
        <w:jc w:val="both"/>
      </w:pPr>
      <w:r>
        <w:t>Standards and Third-Market Cooperation</w:t>
      </w:r>
    </w:p>
    <w:p w14:paraId="271D7A3D" w14:textId="77777777" w:rsidR="00C774E6" w:rsidRDefault="00C774E6" w:rsidP="00C774E6">
      <w:pPr>
        <w:pStyle w:val="NormalWeb"/>
        <w:spacing w:line="360" w:lineRule="auto"/>
        <w:jc w:val="both"/>
      </w:pPr>
      <w:r>
        <w:t>A particularly promising model of cooperation lies in the joint development of technical standards for automated port operations within the framework of the International Maritime Organization. Individually, neither country possesses sufficient regulatory influence to shape global standards unilaterally. A joint initiative would combine Australia’s regulatory credibility with China’s operational scale, potentially establishing a regional benchmark for the Indo-Pacific.</w:t>
      </w:r>
    </w:p>
    <w:p w14:paraId="30E75086" w14:textId="77777777" w:rsidR="00C774E6" w:rsidRDefault="00C774E6" w:rsidP="00C774E6">
      <w:pPr>
        <w:pStyle w:val="NormalWeb"/>
        <w:spacing w:line="360" w:lineRule="auto"/>
        <w:jc w:val="both"/>
      </w:pPr>
      <w:r>
        <w:t>A second avenue involves the co-development of “smart ports” in third countries, particularly in Pacific Island states and least-developed Southeast Asian economies, where infrastructure needs are high and financing capacity is limited. Such projects align with both Australia’s Pacific engagement strategy and China’s infrastructure initiatives, thereby providing dual political legitimacy.</w:t>
      </w:r>
    </w:p>
    <w:p w14:paraId="350900C4" w14:textId="77777777" w:rsidR="00C774E6" w:rsidRDefault="00DA2C7A" w:rsidP="00C774E6">
      <w:pPr>
        <w:spacing w:line="360" w:lineRule="auto"/>
        <w:jc w:val="both"/>
      </w:pPr>
      <w:r>
        <w:rPr>
          <w:noProof/>
        </w:rPr>
        <w:pict w14:anchorId="1136F64A">
          <v:rect id="_x0000_i1027" alt="" style="width:451.3pt;height:.05pt;mso-width-percent:0;mso-height-percent:0;mso-width-percent:0;mso-height-percent:0" o:hralign="center" o:hrstd="t" o:hr="t" fillcolor="#a0a0a0" stroked="f"/>
        </w:pict>
      </w:r>
    </w:p>
    <w:p w14:paraId="356F421C" w14:textId="77777777" w:rsidR="00C774E6" w:rsidRDefault="00C774E6" w:rsidP="00C774E6">
      <w:pPr>
        <w:pStyle w:val="Heading2"/>
        <w:spacing w:line="360" w:lineRule="auto"/>
        <w:jc w:val="both"/>
      </w:pPr>
      <w:r>
        <w:t>Ocean Environmental Monitoring</w:t>
      </w:r>
    </w:p>
    <w:p w14:paraId="0847FD06" w14:textId="77777777" w:rsidR="00C774E6" w:rsidRDefault="00C774E6" w:rsidP="00C774E6">
      <w:pPr>
        <w:pStyle w:val="Heading3"/>
        <w:spacing w:line="360" w:lineRule="auto"/>
        <w:jc w:val="both"/>
      </w:pPr>
      <w:r>
        <w:t>Shared Scientific Imperatives</w:t>
      </w:r>
    </w:p>
    <w:p w14:paraId="4CC28248" w14:textId="77777777" w:rsidR="00C774E6" w:rsidRDefault="00C774E6" w:rsidP="00C774E6">
      <w:pPr>
        <w:pStyle w:val="NormalWeb"/>
        <w:spacing w:line="360" w:lineRule="auto"/>
        <w:jc w:val="both"/>
      </w:pPr>
      <w:r>
        <w:t>Australia and China share an objective and urgent interest in monitoring the Indian and Pacific Oceans. For Australia, climate change presents direct and measurable threats, including the degradation of the Great Barrier Reef, shifts in fish stocks, and coastal erosion. The Australian Institute of Marine Science (AIMS) is a global leader in coral ecosystem research, supported by extensive long-term observation infrastructure.</w:t>
      </w:r>
    </w:p>
    <w:p w14:paraId="5D0CD959" w14:textId="77777777" w:rsidR="00C774E6" w:rsidRDefault="00C774E6" w:rsidP="00C774E6">
      <w:pPr>
        <w:pStyle w:val="NormalWeb"/>
        <w:spacing w:line="360" w:lineRule="auto"/>
        <w:jc w:val="both"/>
      </w:pPr>
      <w:r>
        <w:lastRenderedPageBreak/>
        <w:t>China, for its part, operates one of the world’s largest oceanographic observation networks, with over 1,500 fixed and drifting stations. Its contribution to the global Argo profiling float system consistently exceeds 20%. Nevertheless, significant data gaps remain in the Southern Ocean and eastern Indian Ocean, limiting the accuracy of climate modelling and marine ecosystem forecasting—issues of equal relevance to both countries.</w:t>
      </w:r>
    </w:p>
    <w:p w14:paraId="50FB1953" w14:textId="77777777" w:rsidR="00C774E6" w:rsidRDefault="00C774E6" w:rsidP="00C774E6">
      <w:pPr>
        <w:pStyle w:val="Heading3"/>
        <w:spacing w:line="360" w:lineRule="auto"/>
        <w:jc w:val="both"/>
      </w:pPr>
      <w:r>
        <w:t>Institutional Modalities</w:t>
      </w:r>
    </w:p>
    <w:p w14:paraId="4C0777DE" w14:textId="77777777" w:rsidR="00C774E6" w:rsidRDefault="00C774E6" w:rsidP="00C774E6">
      <w:pPr>
        <w:pStyle w:val="NormalWeb"/>
        <w:spacing w:line="360" w:lineRule="auto"/>
        <w:jc w:val="both"/>
      </w:pPr>
      <w:r>
        <w:t>Oceanographic cooperation offers structural advantages as a platform for broader engagement. Open-ocean observational data are generally not classified as sensitive under export control regimes, and their exchange is governed by established international norms under UNESCO’s Intergovernmental Oceanographic Commission. Multilateral frameworks further provide politically neutral platforms that reduce domestic political risk.</w:t>
      </w:r>
    </w:p>
    <w:p w14:paraId="558E5D02" w14:textId="77777777" w:rsidR="00C774E6" w:rsidRDefault="00C774E6" w:rsidP="00C774E6">
      <w:pPr>
        <w:pStyle w:val="NormalWeb"/>
        <w:spacing w:line="360" w:lineRule="auto"/>
        <w:jc w:val="both"/>
      </w:pPr>
      <w:r>
        <w:t>Joint monitoring using autonomous underwater vehicles (AUVs) represents a particularly promising avenue. Both countries maintain active civilian marine robotics programs; coordinated deployments with shared data exchange could significantly expand observational coverage while reducing operational costs. Notably, collaborative research between AIMS and the Chinese Academy of Sciences persisted even during the peak of bilateral trade tensions in 2020–2021, demonstrating the resilience of scientific cooperation.</w:t>
      </w:r>
    </w:p>
    <w:p w14:paraId="5192FC01" w14:textId="77777777" w:rsidR="00C774E6" w:rsidRDefault="00DA2C7A" w:rsidP="00C774E6">
      <w:pPr>
        <w:spacing w:line="360" w:lineRule="auto"/>
        <w:jc w:val="both"/>
      </w:pPr>
      <w:r>
        <w:rPr>
          <w:noProof/>
        </w:rPr>
        <w:pict w14:anchorId="01A2A541">
          <v:rect id="_x0000_i1026" alt="" style="width:451.3pt;height:.05pt;mso-width-percent:0;mso-height-percent:0;mso-width-percent:0;mso-height-percent:0" o:hralign="center" o:hrstd="t" o:hr="t" fillcolor="#a0a0a0" stroked="f"/>
        </w:pict>
      </w:r>
    </w:p>
    <w:p w14:paraId="0EDA89E2" w14:textId="77777777" w:rsidR="00C774E6" w:rsidRDefault="00C774E6" w:rsidP="00C774E6">
      <w:pPr>
        <w:pStyle w:val="Heading2"/>
        <w:spacing w:line="360" w:lineRule="auto"/>
        <w:jc w:val="both"/>
      </w:pPr>
      <w:r>
        <w:t>Barriers and Mitigation Mechanisms</w:t>
      </w:r>
    </w:p>
    <w:p w14:paraId="70E85C92" w14:textId="77777777" w:rsidR="00C774E6" w:rsidRDefault="00C774E6" w:rsidP="00C774E6">
      <w:pPr>
        <w:pStyle w:val="NormalWeb"/>
        <w:spacing w:line="360" w:lineRule="auto"/>
        <w:jc w:val="both"/>
      </w:pPr>
      <w:r>
        <w:t>Three principal barriers shape the prospects for cooperation. First, dual-use technology controls affect certain maritime technologies, including specific classes of AUVs and hydroacoustic systems. Mitigation requires careful project design that excludes sensitive components, effectively prioritising regulatory compatibility over technological maximalism.</w:t>
      </w:r>
    </w:p>
    <w:p w14:paraId="1D343318" w14:textId="77777777" w:rsidR="00C774E6" w:rsidRDefault="00C774E6" w:rsidP="00C774E6">
      <w:pPr>
        <w:pStyle w:val="NormalWeb"/>
        <w:spacing w:line="360" w:lineRule="auto"/>
        <w:jc w:val="both"/>
      </w:pPr>
      <w:r>
        <w:t>Second, the AUKUS framework introduces political constraints on technology transfer. This can be addressed by focusing cooperation on domains clearly outside its scope—such as climate data, regulatory standards, and biodiversity research—and by embedding projects in multilateral formats.</w:t>
      </w:r>
    </w:p>
    <w:p w14:paraId="7698E254" w14:textId="77777777" w:rsidR="00C774E6" w:rsidRDefault="00C774E6" w:rsidP="00C774E6">
      <w:pPr>
        <w:pStyle w:val="NormalWeb"/>
        <w:spacing w:line="360" w:lineRule="auto"/>
        <w:jc w:val="both"/>
      </w:pPr>
      <w:r>
        <w:lastRenderedPageBreak/>
        <w:t>Third, concerns over intellectual property protection remain central. The most robust institutional response involves consortium-based models with clearly delineated ownership rights, where each party retains its core technologies while sharing jointly developed outputs under predefined licensing arrangements.</w:t>
      </w:r>
    </w:p>
    <w:p w14:paraId="622F9CB6" w14:textId="77777777" w:rsidR="00C774E6" w:rsidRDefault="00DA2C7A" w:rsidP="00C774E6">
      <w:pPr>
        <w:spacing w:line="360" w:lineRule="auto"/>
        <w:jc w:val="both"/>
      </w:pPr>
      <w:r>
        <w:rPr>
          <w:noProof/>
        </w:rPr>
        <w:pict w14:anchorId="7B77126F">
          <v:rect id="_x0000_i1025" alt="" style="width:451.3pt;height:.05pt;mso-width-percent:0;mso-height-percent:0;mso-width-percent:0;mso-height-percent:0" o:hralign="center" o:hrstd="t" o:hr="t" fillcolor="#a0a0a0" stroked="f"/>
        </w:pict>
      </w:r>
    </w:p>
    <w:p w14:paraId="579BD70B" w14:textId="77777777" w:rsidR="00C774E6" w:rsidRDefault="00C774E6" w:rsidP="00C774E6">
      <w:pPr>
        <w:pStyle w:val="Heading2"/>
        <w:spacing w:line="360" w:lineRule="auto"/>
        <w:jc w:val="both"/>
      </w:pPr>
      <w:r>
        <w:t>Conclusion</w:t>
      </w:r>
    </w:p>
    <w:p w14:paraId="1095B48A" w14:textId="77777777" w:rsidR="00C774E6" w:rsidRDefault="00C774E6" w:rsidP="00C774E6">
      <w:pPr>
        <w:pStyle w:val="NormalWeb"/>
        <w:spacing w:line="360" w:lineRule="auto"/>
        <w:jc w:val="both"/>
      </w:pPr>
      <w:r>
        <w:t>Maritime innovation represents neither a panacea for Australia–China relations nor a marginal technical issue. Rather, it constitutes a domain in which structural economic complementarity is sufficiently strong to sustain cooperation without prior strategic reconciliation. The cases examined illustrate distinct forms of complementarity—resource versus manufacturing capacity, regulatory expertise versus technological scale, and scientific infrastructure versus spatial coverage—each generating outcomes unattainable unilaterally.</w:t>
      </w:r>
    </w:p>
    <w:p w14:paraId="5A3BC90E" w14:textId="77777777" w:rsidR="00C774E6" w:rsidRDefault="00C774E6" w:rsidP="00C774E6">
      <w:pPr>
        <w:pStyle w:val="NormalWeb"/>
        <w:spacing w:line="360" w:lineRule="auto"/>
        <w:jc w:val="both"/>
      </w:pPr>
      <w:r>
        <w:t>Sustaining such cooperation requires three conditions: alignment with existing regulatory regimes, utilisation of multilateral frameworks to enhance legitimacy, and formalisation of intellectual property arrangements. While these conditions are not guaranteed, they are achievable.</w:t>
      </w:r>
    </w:p>
    <w:p w14:paraId="429CFD65" w14:textId="77777777" w:rsidR="00C774E6" w:rsidRDefault="00C774E6" w:rsidP="00C774E6">
      <w:pPr>
        <w:pStyle w:val="NormalWeb"/>
        <w:spacing w:line="360" w:lineRule="auto"/>
        <w:jc w:val="both"/>
      </w:pPr>
      <w:r>
        <w:t>The maritime sector thus offers a rare opportunity for pragmatic engagement under conditions of strategic distrust, establishing a precedent for managing competitive relationships through functional cooperation across the Indo-Pacific.</w:t>
      </w:r>
    </w:p>
    <w:p w14:paraId="377E2EE3" w14:textId="77777777" w:rsidR="00C774E6" w:rsidRDefault="00C774E6">
      <w:pPr>
        <w:pStyle w:val="Heading1"/>
        <w:pBdr>
          <w:bottom w:val="single" w:sz="6" w:space="4" w:color="6B0000"/>
        </w:pBdr>
      </w:pPr>
    </w:p>
    <w:p w14:paraId="0DDBABAC" w14:textId="77777777" w:rsidR="00C774E6" w:rsidRDefault="00C774E6">
      <w:pPr>
        <w:pStyle w:val="Heading1"/>
        <w:pBdr>
          <w:bottom w:val="single" w:sz="6" w:space="4" w:color="6B0000"/>
        </w:pBdr>
      </w:pPr>
    </w:p>
    <w:p w14:paraId="513EAE06" w14:textId="77777777" w:rsidR="00C774E6" w:rsidRDefault="00C774E6">
      <w:pPr>
        <w:pStyle w:val="Heading1"/>
        <w:pBdr>
          <w:bottom w:val="single" w:sz="6" w:space="4" w:color="6B0000"/>
        </w:pBdr>
      </w:pPr>
    </w:p>
    <w:p w14:paraId="5B027D74" w14:textId="77777777" w:rsidR="00C774E6" w:rsidRDefault="00C774E6">
      <w:pPr>
        <w:pStyle w:val="Heading1"/>
        <w:pBdr>
          <w:bottom w:val="single" w:sz="6" w:space="4" w:color="6B0000"/>
        </w:pBdr>
      </w:pPr>
    </w:p>
    <w:p w14:paraId="03911BCE" w14:textId="77777777" w:rsidR="00C774E6" w:rsidRDefault="00C774E6">
      <w:pPr>
        <w:pStyle w:val="Heading1"/>
        <w:pBdr>
          <w:bottom w:val="single" w:sz="6" w:space="4" w:color="6B0000"/>
        </w:pBdr>
      </w:pPr>
    </w:p>
    <w:p w14:paraId="01DB29BE" w14:textId="77777777" w:rsidR="00C774E6" w:rsidRDefault="00C774E6">
      <w:pPr>
        <w:pStyle w:val="Heading1"/>
        <w:pBdr>
          <w:bottom w:val="single" w:sz="6" w:space="4" w:color="6B0000"/>
        </w:pBdr>
      </w:pPr>
    </w:p>
    <w:p w14:paraId="6E70F31F" w14:textId="77777777" w:rsidR="00C774E6" w:rsidRDefault="00C774E6">
      <w:pPr>
        <w:pStyle w:val="Heading1"/>
        <w:pBdr>
          <w:bottom w:val="single" w:sz="6" w:space="4" w:color="6B0000"/>
        </w:pBdr>
      </w:pPr>
    </w:p>
    <w:p w14:paraId="7366A211" w14:textId="77777777" w:rsidR="00C774E6" w:rsidRDefault="00C774E6">
      <w:pPr>
        <w:pStyle w:val="Heading1"/>
        <w:pBdr>
          <w:bottom w:val="single" w:sz="6" w:space="4" w:color="6B0000"/>
        </w:pBdr>
      </w:pPr>
    </w:p>
    <w:p w14:paraId="7874F5AB" w14:textId="587C66BC" w:rsidR="00C774E6" w:rsidRDefault="00C774E6">
      <w:pPr>
        <w:pStyle w:val="Heading1"/>
        <w:pBdr>
          <w:bottom w:val="single" w:sz="6" w:space="4" w:color="6B0000"/>
        </w:pBdr>
      </w:pPr>
      <w:r>
        <w:t>Reference</w:t>
      </w:r>
    </w:p>
    <w:p w14:paraId="1C6C94BB" w14:textId="77777777" w:rsidR="00420233" w:rsidRDefault="00000000">
      <w:pPr>
        <w:spacing w:after="140" w:line="320" w:lineRule="auto"/>
        <w:ind w:left="720" w:hanging="720"/>
        <w:jc w:val="both"/>
      </w:pPr>
      <w:r>
        <w:rPr>
          <w:color w:val="1A1A2E"/>
        </w:rPr>
        <w:t>AIMS (Australian Institute of Marine Science). 2023. Annual Report 2022–23. Townsville: AIMS.</w:t>
      </w:r>
    </w:p>
    <w:p w14:paraId="0C928714" w14:textId="77777777" w:rsidR="00420233" w:rsidRDefault="00000000">
      <w:pPr>
        <w:spacing w:after="140" w:line="320" w:lineRule="auto"/>
        <w:ind w:left="720" w:hanging="720"/>
        <w:jc w:val="both"/>
      </w:pPr>
      <w:r>
        <w:rPr>
          <w:color w:val="1A1A2E"/>
        </w:rPr>
        <w:t>Australia-China Council. 2022. Innovation Partnership Programme: Outcomes Report 2019–2022. Canberra: ACC.</w:t>
      </w:r>
    </w:p>
    <w:p w14:paraId="6C54D1A2" w14:textId="77777777" w:rsidR="00420233" w:rsidRDefault="00000000">
      <w:pPr>
        <w:spacing w:after="140" w:line="320" w:lineRule="auto"/>
        <w:ind w:left="720" w:hanging="720"/>
        <w:jc w:val="both"/>
      </w:pPr>
      <w:r>
        <w:rPr>
          <w:color w:val="1A1A2E"/>
        </w:rPr>
        <w:t>Beeson, Mark. 2023. «Green Infrastructure and the Geopolitics of Clean Energy.» Pacific Review 36 (1): 71–89.</w:t>
      </w:r>
    </w:p>
    <w:p w14:paraId="0CFB215D" w14:textId="77777777" w:rsidR="00420233" w:rsidRDefault="00000000">
      <w:pPr>
        <w:spacing w:after="140" w:line="320" w:lineRule="auto"/>
        <w:ind w:left="720" w:hanging="720"/>
        <w:jc w:val="both"/>
      </w:pPr>
      <w:r>
        <w:rPr>
          <w:color w:val="1A1A2E"/>
        </w:rPr>
        <w:t>Beggs, Helen, Susan Wijffels, and Andreas Marouchos. 2023. «The Indo-Pacific Ocean Initiative and Shared Marine Science.» Ocean &amp; Coastal Management 245: 1–12.</w:t>
      </w:r>
    </w:p>
    <w:p w14:paraId="193B9F11" w14:textId="77777777" w:rsidR="00420233" w:rsidRDefault="00000000">
      <w:pPr>
        <w:spacing w:after="140" w:line="320" w:lineRule="auto"/>
        <w:ind w:left="720" w:hanging="720"/>
        <w:jc w:val="both"/>
      </w:pPr>
      <w:r>
        <w:rPr>
          <w:color w:val="1A1A2E"/>
        </w:rPr>
        <w:t>Bloomberg New Energy Finance (BNEF). 2023. China Clean Energy Investment Review 2023. New York: BloombergNEF.</w:t>
      </w:r>
    </w:p>
    <w:p w14:paraId="1F51FE15" w14:textId="77777777" w:rsidR="00420233" w:rsidRDefault="00000000">
      <w:pPr>
        <w:spacing w:after="140" w:line="320" w:lineRule="auto"/>
        <w:ind w:left="720" w:hanging="720"/>
        <w:jc w:val="both"/>
      </w:pPr>
      <w:r>
        <w:rPr>
          <w:color w:val="1A1A2E"/>
        </w:rPr>
        <w:t>Bradshaw, Samantha. 2023. «Intellectual Property and Technology Transfer in Asymmetric Partnerships.» Review of International Political Economy 30 (1): 210–234.</w:t>
      </w:r>
    </w:p>
    <w:p w14:paraId="278D3A3B" w14:textId="77777777" w:rsidR="00420233" w:rsidRDefault="00000000">
      <w:pPr>
        <w:spacing w:after="140" w:line="320" w:lineRule="auto"/>
        <w:ind w:left="720" w:hanging="720"/>
        <w:jc w:val="both"/>
      </w:pPr>
      <w:r>
        <w:rPr>
          <w:color w:val="1A1A2E"/>
        </w:rPr>
        <w:t>DFAT (Australian Government, Department of Foreign Affairs and Trade). 2023. «Australia–China Trade at a Glance.» Canberra: DFAT. https://www.dfat.gov.au/trade/resources/trade-statistics.</w:t>
      </w:r>
    </w:p>
    <w:p w14:paraId="6FFFB1A9" w14:textId="77777777" w:rsidR="00420233" w:rsidRDefault="00000000">
      <w:pPr>
        <w:spacing w:after="140" w:line="320" w:lineRule="auto"/>
        <w:ind w:left="720" w:hanging="720"/>
        <w:jc w:val="both"/>
      </w:pPr>
      <w:r>
        <w:rPr>
          <w:color w:val="1A1A2E"/>
        </w:rPr>
        <w:t>England, Matthew, and Wenju Cai. 2022. «Southern Ocean Observations and Climate Projection Uncertainty.» Nature Climate Change 12: 891–900.</w:t>
      </w:r>
    </w:p>
    <w:p w14:paraId="3F4FA47E" w14:textId="77777777" w:rsidR="00420233" w:rsidRDefault="00000000">
      <w:pPr>
        <w:spacing w:after="140" w:line="320" w:lineRule="auto"/>
        <w:ind w:left="720" w:hanging="720"/>
        <w:jc w:val="both"/>
      </w:pPr>
      <w:r>
        <w:rPr>
          <w:color w:val="1A1A2E"/>
        </w:rPr>
        <w:t>Golley, Jane, and Adam Triggs, eds. 2018. Australia-China Relations Post 2017. Canberra: ANU Press.</w:t>
      </w:r>
    </w:p>
    <w:p w14:paraId="6D66589A" w14:textId="77777777" w:rsidR="00420233" w:rsidRDefault="00000000">
      <w:pPr>
        <w:spacing w:after="140" w:line="320" w:lineRule="auto"/>
        <w:ind w:left="720" w:hanging="720"/>
        <w:jc w:val="both"/>
      </w:pPr>
      <w:r>
        <w:rPr>
          <w:color w:val="1A1A2E"/>
        </w:rPr>
        <w:t>Heryanto, Ariel. 2023. «Autonomous Shipping and Regional Maritime Safety.» Maritime Policy &amp; Management 50 (4): 403–420.</w:t>
      </w:r>
    </w:p>
    <w:p w14:paraId="0A61FC31" w14:textId="77777777" w:rsidR="00420233" w:rsidRDefault="00000000">
      <w:pPr>
        <w:spacing w:after="140" w:line="320" w:lineRule="auto"/>
        <w:ind w:left="720" w:hanging="720"/>
        <w:jc w:val="both"/>
      </w:pPr>
      <w:r>
        <w:rPr>
          <w:color w:val="1A1A2E"/>
        </w:rPr>
        <w:t>IEA (International Energy Agency). 2023. Offshore Wind Outlook 2023. Paris: IEA.</w:t>
      </w:r>
    </w:p>
    <w:p w14:paraId="6C149B05" w14:textId="77777777" w:rsidR="00420233" w:rsidRDefault="00000000">
      <w:pPr>
        <w:spacing w:after="140" w:line="320" w:lineRule="auto"/>
        <w:ind w:left="720" w:hanging="720"/>
        <w:jc w:val="both"/>
      </w:pPr>
      <w:r>
        <w:rPr>
          <w:color w:val="1A1A2E"/>
        </w:rPr>
        <w:t>Ker, Peter. 2023. «Australia's Offshore Wind Potential Rivals the World's Best.» Australian Financial Review, 14 March.</w:t>
      </w:r>
    </w:p>
    <w:p w14:paraId="6D8C09FF" w14:textId="77777777" w:rsidR="00420233" w:rsidRDefault="00000000">
      <w:pPr>
        <w:spacing w:after="140" w:line="320" w:lineRule="auto"/>
        <w:ind w:left="720" w:hanging="720"/>
        <w:jc w:val="both"/>
      </w:pPr>
      <w:r>
        <w:rPr>
          <w:color w:val="1A1A2E"/>
        </w:rPr>
        <w:lastRenderedPageBreak/>
        <w:t>Kostakos, Vasilis, and Ling Ge. 2023. «Sandboxing Strategic Technology: Lessons from the Australia-China Clean Energy Experience.» Asian Security 19 (2): 143–162.</w:t>
      </w:r>
    </w:p>
    <w:p w14:paraId="30686D28" w14:textId="77777777" w:rsidR="00420233" w:rsidRDefault="00000000">
      <w:pPr>
        <w:spacing w:after="140" w:line="320" w:lineRule="auto"/>
        <w:ind w:left="720" w:hanging="720"/>
        <w:jc w:val="both"/>
      </w:pPr>
      <w:r>
        <w:rPr>
          <w:color w:val="1A1A2E"/>
        </w:rPr>
        <w:t>Liu, Zhen. 2023. «China's Smart Port Initiative and International Partnerships.» Journal of Transport Geography 108: 1–14.</w:t>
      </w:r>
    </w:p>
    <w:p w14:paraId="31305234" w14:textId="77777777" w:rsidR="00420233" w:rsidRDefault="00000000">
      <w:pPr>
        <w:spacing w:after="140" w:line="320" w:lineRule="auto"/>
        <w:ind w:left="720" w:hanging="720"/>
        <w:jc w:val="both"/>
      </w:pPr>
      <w:r>
        <w:rPr>
          <w:color w:val="1A1A2E"/>
        </w:rPr>
        <w:t>Medcalf, Rory. 2020. Contest for the Indo-Pacific: Why China Won't Map the Future. Melbourne: La Trobe University Press.</w:t>
      </w:r>
    </w:p>
    <w:p w14:paraId="25CE50FC" w14:textId="77777777" w:rsidR="00420233" w:rsidRDefault="00000000">
      <w:pPr>
        <w:spacing w:after="140" w:line="320" w:lineRule="auto"/>
        <w:ind w:left="720" w:hanging="720"/>
        <w:jc w:val="both"/>
      </w:pPr>
      <w:r>
        <w:rPr>
          <w:color w:val="1A1A2E"/>
        </w:rPr>
        <w:t>Neeleman, Benno, and Paul Mitchell. 2021. «Functional Cooperation in Contested Spaces.» International Studies Quarterly 65 (2): 340–356.</w:t>
      </w:r>
    </w:p>
    <w:p w14:paraId="7705A0F2" w14:textId="77777777" w:rsidR="00420233" w:rsidRDefault="00000000">
      <w:pPr>
        <w:spacing w:after="140" w:line="320" w:lineRule="auto"/>
        <w:ind w:left="720" w:hanging="720"/>
        <w:jc w:val="both"/>
      </w:pPr>
      <w:r>
        <w:rPr>
          <w:color w:val="1A1A2E"/>
        </w:rPr>
        <w:t>OECD. 2022. Digital Transformation in Freight and Logistics. Paris: OECD Publishing.</w:t>
      </w:r>
    </w:p>
    <w:p w14:paraId="2DFC561B" w14:textId="77777777" w:rsidR="00420233" w:rsidRDefault="00000000">
      <w:pPr>
        <w:spacing w:after="140" w:line="320" w:lineRule="auto"/>
        <w:ind w:left="720" w:hanging="720"/>
        <w:jc w:val="both"/>
      </w:pPr>
      <w:r>
        <w:rPr>
          <w:color w:val="1A1A2E"/>
        </w:rPr>
        <w:t>SOA (State Oceanic Administration of China). 2022. China Ocean Observation Report 2022. Beijing: SOA.</w:t>
      </w:r>
    </w:p>
    <w:p w14:paraId="44801CC1" w14:textId="77777777" w:rsidR="00420233" w:rsidRDefault="00000000">
      <w:pPr>
        <w:spacing w:after="140" w:line="320" w:lineRule="auto"/>
        <w:ind w:left="720" w:hanging="720"/>
        <w:jc w:val="both"/>
      </w:pPr>
      <w:r>
        <w:rPr>
          <w:color w:val="1A1A2E"/>
        </w:rPr>
        <w:t>Tennant-Wood, Robin. 2023. «Port Cooperation and Dual Logistics in the Indo-Pacific.» Australian Journal of International Affairs 77 (3): 292–312.</w:t>
      </w:r>
    </w:p>
    <w:p w14:paraId="01DBF4E1" w14:textId="77777777" w:rsidR="00420233" w:rsidRDefault="00000000">
      <w:pPr>
        <w:spacing w:after="140" w:line="320" w:lineRule="auto"/>
        <w:ind w:left="720" w:hanging="720"/>
        <w:jc w:val="both"/>
      </w:pPr>
      <w:r>
        <w:rPr>
          <w:color w:val="1A1A2E"/>
        </w:rPr>
        <w:t>Thomas-Noone, Brendan. 2023. «AUKUS and the Future of Australian Technology Policy.» Lowy Institute Analysis, October.</w:t>
      </w:r>
    </w:p>
    <w:p w14:paraId="6E4E0A44" w14:textId="77777777" w:rsidR="00420233" w:rsidRDefault="00000000">
      <w:pPr>
        <w:spacing w:after="140" w:line="320" w:lineRule="auto"/>
        <w:ind w:left="720" w:hanging="720"/>
        <w:jc w:val="both"/>
      </w:pPr>
      <w:r>
        <w:rPr>
          <w:color w:val="1A1A2E"/>
        </w:rPr>
        <w:t>Wassenaar Arrangement Secretariat. 2023. List of Dual-Use Goods and Technologies. Vienna: Wassenaar Arrangement.</w:t>
      </w:r>
    </w:p>
    <w:sectPr w:rsidR="00420233">
      <w:pgSz w:w="11906" w:h="16838"/>
      <w:pgMar w:top="1418" w:right="1134" w:bottom="1418"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241A7"/>
    <w:multiLevelType w:val="hybridMultilevel"/>
    <w:tmpl w:val="A4D6323C"/>
    <w:lvl w:ilvl="0" w:tplc="8256BBD2">
      <w:start w:val="1"/>
      <w:numFmt w:val="bullet"/>
      <w:lvlText w:val="●"/>
      <w:lvlJc w:val="left"/>
      <w:pPr>
        <w:ind w:left="720" w:hanging="360"/>
      </w:pPr>
    </w:lvl>
    <w:lvl w:ilvl="1" w:tplc="E7D45F2A">
      <w:start w:val="1"/>
      <w:numFmt w:val="bullet"/>
      <w:lvlText w:val="○"/>
      <w:lvlJc w:val="left"/>
      <w:pPr>
        <w:ind w:left="1440" w:hanging="360"/>
      </w:pPr>
    </w:lvl>
    <w:lvl w:ilvl="2" w:tplc="593CE954">
      <w:start w:val="1"/>
      <w:numFmt w:val="bullet"/>
      <w:lvlText w:val="■"/>
      <w:lvlJc w:val="left"/>
      <w:pPr>
        <w:ind w:left="2160" w:hanging="360"/>
      </w:pPr>
    </w:lvl>
    <w:lvl w:ilvl="3" w:tplc="E330292A">
      <w:start w:val="1"/>
      <w:numFmt w:val="bullet"/>
      <w:lvlText w:val="●"/>
      <w:lvlJc w:val="left"/>
      <w:pPr>
        <w:ind w:left="2880" w:hanging="360"/>
      </w:pPr>
    </w:lvl>
    <w:lvl w:ilvl="4" w:tplc="BDD8ABDE">
      <w:start w:val="1"/>
      <w:numFmt w:val="bullet"/>
      <w:lvlText w:val="○"/>
      <w:lvlJc w:val="left"/>
      <w:pPr>
        <w:ind w:left="3600" w:hanging="360"/>
      </w:pPr>
    </w:lvl>
    <w:lvl w:ilvl="5" w:tplc="07EC2AEC">
      <w:start w:val="1"/>
      <w:numFmt w:val="bullet"/>
      <w:lvlText w:val="■"/>
      <w:lvlJc w:val="left"/>
      <w:pPr>
        <w:ind w:left="4320" w:hanging="360"/>
      </w:pPr>
    </w:lvl>
    <w:lvl w:ilvl="6" w:tplc="2A9AD62A">
      <w:start w:val="1"/>
      <w:numFmt w:val="bullet"/>
      <w:lvlText w:val="●"/>
      <w:lvlJc w:val="left"/>
      <w:pPr>
        <w:ind w:left="5040" w:hanging="360"/>
      </w:pPr>
    </w:lvl>
    <w:lvl w:ilvl="7" w:tplc="AA7A7E9A">
      <w:start w:val="1"/>
      <w:numFmt w:val="bullet"/>
      <w:lvlText w:val="●"/>
      <w:lvlJc w:val="left"/>
      <w:pPr>
        <w:ind w:left="5760" w:hanging="360"/>
      </w:pPr>
    </w:lvl>
    <w:lvl w:ilvl="8" w:tplc="770A31E2">
      <w:start w:val="1"/>
      <w:numFmt w:val="bullet"/>
      <w:lvlText w:val="●"/>
      <w:lvlJc w:val="left"/>
      <w:pPr>
        <w:ind w:left="6480" w:hanging="360"/>
      </w:pPr>
    </w:lvl>
  </w:abstractNum>
  <w:num w:numId="1" w16cid:durableId="1065176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33"/>
    <w:rsid w:val="000C6811"/>
    <w:rsid w:val="00420233"/>
    <w:rsid w:val="00434950"/>
    <w:rsid w:val="004436E0"/>
    <w:rsid w:val="00765CFB"/>
    <w:rsid w:val="007E3FB0"/>
    <w:rsid w:val="008240E8"/>
    <w:rsid w:val="00925626"/>
    <w:rsid w:val="00A205EE"/>
    <w:rsid w:val="00AE5B45"/>
    <w:rsid w:val="00C774E6"/>
    <w:rsid w:val="00DA2C7A"/>
    <w:rsid w:val="00DC302C"/>
    <w:rsid w:val="00F73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E7CA"/>
  <w15:docId w15:val="{D12AA70A-8279-174C-8973-FF8259A2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40" w:after="160"/>
      <w:outlineLvl w:val="0"/>
    </w:pPr>
    <w:rPr>
      <w:b/>
      <w:bCs/>
      <w:color w:val="1A1A2E"/>
      <w:sz w:val="30"/>
      <w:szCs w:val="30"/>
    </w:rPr>
  </w:style>
  <w:style w:type="paragraph" w:styleId="Heading2">
    <w:name w:val="heading 2"/>
    <w:uiPriority w:val="9"/>
    <w:unhideWhenUsed/>
    <w:qFormat/>
    <w:pPr>
      <w:spacing w:before="300" w:after="120"/>
      <w:outlineLvl w:val="1"/>
    </w:pPr>
    <w:rPr>
      <w:b/>
      <w:bCs/>
      <w:i/>
      <w:iCs/>
      <w:color w:val="6B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4436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1866</Words>
  <Characters>14319</Characters>
  <Application>Microsoft Office Word</Application>
  <DocSecurity>0</DocSecurity>
  <Lines>230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SHOKHRUKHMIRZO UBAYDULLAEV</cp:lastModifiedBy>
  <cp:revision>10</cp:revision>
  <dcterms:created xsi:type="dcterms:W3CDTF">2026-03-14T12:06:00Z</dcterms:created>
  <dcterms:modified xsi:type="dcterms:W3CDTF">2026-03-20T11:03:00Z</dcterms:modified>
</cp:coreProperties>
</file>