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13" w:rsidRDefault="00FA6313" w:rsidP="00FA6313">
      <w:pPr>
        <w:jc w:val="center"/>
        <w:rPr>
          <w:rFonts w:ascii="Times New Roman" w:hAnsi="Times New Roman" w:cs="Times New Roman"/>
          <w:b/>
          <w:bCs/>
          <w:iCs/>
          <w:sz w:val="24"/>
          <w:szCs w:val="24"/>
        </w:rPr>
      </w:pPr>
      <w:bookmarkStart w:id="0" w:name="_GoBack"/>
      <w:bookmarkEnd w:id="0"/>
      <w:r w:rsidRPr="00FA6313">
        <w:rPr>
          <w:rFonts w:ascii="Times New Roman" w:hAnsi="Times New Roman" w:cs="Times New Roman"/>
          <w:b/>
          <w:bCs/>
          <w:iCs/>
          <w:sz w:val="24"/>
          <w:szCs w:val="24"/>
        </w:rPr>
        <w:t>Review of Investment Climate, Regulatory Ease, and R</w:t>
      </w:r>
      <w:r w:rsidR="003A3883">
        <w:rPr>
          <w:rFonts w:ascii="Times New Roman" w:hAnsi="Times New Roman" w:cs="Times New Roman"/>
          <w:b/>
          <w:bCs/>
          <w:iCs/>
          <w:sz w:val="24"/>
          <w:szCs w:val="24"/>
        </w:rPr>
        <w:t xml:space="preserve">eturn on </w:t>
      </w:r>
      <w:r w:rsidRPr="00FA6313">
        <w:rPr>
          <w:rFonts w:ascii="Times New Roman" w:hAnsi="Times New Roman" w:cs="Times New Roman"/>
          <w:b/>
          <w:bCs/>
          <w:iCs/>
          <w:sz w:val="24"/>
          <w:szCs w:val="24"/>
        </w:rPr>
        <w:t>I</w:t>
      </w:r>
      <w:r w:rsidR="003A3883">
        <w:rPr>
          <w:rFonts w:ascii="Times New Roman" w:hAnsi="Times New Roman" w:cs="Times New Roman"/>
          <w:b/>
          <w:bCs/>
          <w:iCs/>
          <w:sz w:val="24"/>
          <w:szCs w:val="24"/>
        </w:rPr>
        <w:t>nvestment</w:t>
      </w:r>
      <w:r w:rsidRPr="00FA6313">
        <w:rPr>
          <w:rFonts w:ascii="Times New Roman" w:hAnsi="Times New Roman" w:cs="Times New Roman"/>
          <w:b/>
          <w:bCs/>
          <w:iCs/>
          <w:sz w:val="24"/>
          <w:szCs w:val="24"/>
        </w:rPr>
        <w:t xml:space="preserve"> Evidence in Sub</w:t>
      </w:r>
      <w:r w:rsidRPr="00FA6313">
        <w:rPr>
          <w:rFonts w:ascii="Times New Roman" w:hAnsi="Times New Roman" w:cs="Times New Roman"/>
          <w:b/>
          <w:bCs/>
          <w:iCs/>
          <w:sz w:val="24"/>
          <w:szCs w:val="24"/>
        </w:rPr>
        <w:noBreakHyphen/>
        <w:t>Saharan African Tourism</w:t>
      </w:r>
    </w:p>
    <w:p w:rsidR="003A3883" w:rsidRDefault="003A3883" w:rsidP="00FA6313">
      <w:pPr>
        <w:jc w:val="center"/>
        <w:rPr>
          <w:rFonts w:ascii="Times New Roman" w:hAnsi="Times New Roman" w:cs="Times New Roman"/>
          <w:b/>
          <w:bCs/>
          <w:iCs/>
          <w:sz w:val="24"/>
          <w:szCs w:val="24"/>
        </w:rPr>
      </w:pP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p>
    <w:p w:rsidR="00523C82" w:rsidRDefault="00523C82" w:rsidP="00FA6313">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w:r>
    </w:p>
    <w:p w:rsidR="00523C82" w:rsidRDefault="00523C82" w:rsidP="00FA6313">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
      </w:r>
      <w:proofErr w:type="spellStart"/>
      <w:r>
        <w:rPr>
          <w:rFonts w:ascii="Times New Roman" w:hAnsi="Times New Roman" w:cs="Times New Roman"/>
          <w:b/>
          <w:bCs/>
          <w:iCs/>
          <w:sz w:val="24"/>
          <w:szCs w:val="24"/>
        </w:rPr>
        <w:t/>
      </w:r>
      <w:proofErr w:type="spellEnd"/>
      <w:r>
        <w:rPr>
          <w:rFonts w:ascii="Times New Roman" w:hAnsi="Times New Roman" w:cs="Times New Roman"/>
          <w:b/>
          <w:bCs/>
          <w:iCs/>
          <w:sz w:val="24"/>
          <w:szCs w:val="24"/>
        </w:rPr>
        <w:t/>
      </w:r>
    </w:p>
    <w:p w:rsidR="00523C82" w:rsidRDefault="00523C82" w:rsidP="00FA6313">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
      </w:r>
      <w:hyperlink r:id="rId5" w:history="1">
        <w:r w:rsidRPr="00DC64D5">
          <w:rPr>
            <w:rStyle w:val="Hyperlink"/>
            <w:rFonts w:ascii="Times New Roman" w:hAnsi="Times New Roman" w:cs="Times New Roman"/>
            <w:b/>
            <w:bCs/>
            <w:iCs/>
            <w:sz w:val="24"/>
            <w:szCs w:val="24"/>
          </w:rPr>
          <w:t/>
        </w:r>
      </w:hyperlink>
      <w:r>
        <w:rPr>
          <w:rFonts w:ascii="Times New Roman" w:hAnsi="Times New Roman" w:cs="Times New Roman"/>
          <w:b/>
          <w:bCs/>
          <w:iCs/>
          <w:sz w:val="24"/>
          <w:szCs w:val="24"/>
        </w:rPr>
        <w:t xml:space="preserve"/>
      </w:r>
    </w:p>
    <w:p w:rsidR="003B6732" w:rsidRDefault="003B6732" w:rsidP="00FA6313">
      <w:pPr>
        <w:jc w:val="center"/>
        <w:rPr>
          <w:rFonts w:ascii="Times New Roman" w:hAnsi="Times New Roman" w:cs="Times New Roman"/>
          <w:b/>
          <w:bCs/>
          <w:iCs/>
          <w:sz w:val="24"/>
          <w:szCs w:val="24"/>
        </w:rPr>
      </w:pPr>
    </w:p>
    <w:p w:rsidR="00391D1C" w:rsidRDefault="00391D1C" w:rsidP="00391D1C">
      <w:pPr>
        <w:rPr>
          <w:rFonts w:ascii="Times New Roman" w:hAnsi="Times New Roman" w:cs="Times New Roman"/>
          <w:b/>
          <w:bCs/>
          <w:iCs/>
          <w:sz w:val="24"/>
          <w:szCs w:val="24"/>
        </w:rPr>
      </w:pPr>
      <w:r>
        <w:rPr>
          <w:rFonts w:ascii="Times New Roman" w:hAnsi="Times New Roman" w:cs="Times New Roman"/>
          <w:b/>
          <w:bCs/>
          <w:iCs/>
          <w:sz w:val="24"/>
          <w:szCs w:val="24"/>
        </w:rPr>
        <w:t>Abstract</w:t>
      </w:r>
    </w:p>
    <w:p w:rsidR="005E2FCA" w:rsidRPr="005E2FCA" w:rsidRDefault="005E2FCA" w:rsidP="005E2FCA">
      <w:pPr>
        <w:jc w:val="both"/>
        <w:rPr>
          <w:rFonts w:ascii="Times New Roman" w:hAnsi="Times New Roman" w:cs="Times New Roman"/>
          <w:bCs/>
          <w:sz w:val="24"/>
          <w:szCs w:val="24"/>
        </w:rPr>
      </w:pPr>
      <w:r w:rsidRPr="005E2FCA">
        <w:rPr>
          <w:rFonts w:ascii="Times New Roman" w:hAnsi="Times New Roman" w:cs="Times New Roman"/>
          <w:b/>
          <w:bCs/>
          <w:sz w:val="24"/>
          <w:szCs w:val="24"/>
        </w:rPr>
        <w:t>Background:</w:t>
      </w:r>
      <w:r w:rsidRPr="005E2FCA">
        <w:rPr>
          <w:rFonts w:ascii="Times New Roman" w:hAnsi="Times New Roman" w:cs="Times New Roman"/>
          <w:bCs/>
          <w:sz w:val="24"/>
          <w:szCs w:val="24"/>
        </w:rPr>
        <w:t> Sub-Saharan Africa cradles two-thirds of Earth's remaining savannah elephants, safeguards over 200 UNESCO heritage sites, and nurtures more than 2,000 distinct ethno-linguistic cultures. Yet this treasure house of tourism potential captures les</w:t>
      </w:r>
      <w:r>
        <w:rPr>
          <w:rFonts w:ascii="Times New Roman" w:hAnsi="Times New Roman" w:cs="Times New Roman"/>
          <w:bCs/>
          <w:sz w:val="24"/>
          <w:szCs w:val="24"/>
        </w:rPr>
        <w:t xml:space="preserve">s than 2% of global tourism FDI, </w:t>
      </w:r>
      <w:r w:rsidRPr="005E2FCA">
        <w:rPr>
          <w:rFonts w:ascii="Times New Roman" w:hAnsi="Times New Roman" w:cs="Times New Roman"/>
          <w:bCs/>
          <w:sz w:val="24"/>
          <w:szCs w:val="24"/>
        </w:rPr>
        <w:t>an annual forfeiture of US$8–12 billion and 2.5–3.8 million jobs. This systematic review diagnoses why.</w:t>
      </w:r>
    </w:p>
    <w:p w:rsidR="005E2FCA" w:rsidRPr="005E2FCA" w:rsidRDefault="005E2FCA" w:rsidP="005E2FCA">
      <w:pPr>
        <w:jc w:val="both"/>
        <w:rPr>
          <w:rFonts w:ascii="Times New Roman" w:hAnsi="Times New Roman" w:cs="Times New Roman"/>
          <w:bCs/>
          <w:sz w:val="24"/>
          <w:szCs w:val="24"/>
        </w:rPr>
      </w:pPr>
      <w:r w:rsidRPr="005E2FCA">
        <w:rPr>
          <w:rFonts w:ascii="Times New Roman" w:hAnsi="Times New Roman" w:cs="Times New Roman"/>
          <w:b/>
          <w:bCs/>
          <w:sz w:val="24"/>
          <w:szCs w:val="24"/>
        </w:rPr>
        <w:t>Methods:</w:t>
      </w:r>
      <w:r w:rsidRPr="005E2FCA">
        <w:rPr>
          <w:rFonts w:ascii="Times New Roman" w:hAnsi="Times New Roman" w:cs="Times New Roman"/>
          <w:bCs/>
          <w:sz w:val="24"/>
          <w:szCs w:val="24"/>
        </w:rPr>
        <w:t> We conducted a dual-stream search across academic databases (Scopus, Web of Science, AJOL; n=124) and grey literature (UNWTO, World Bank, DFIs, industry surveys; n=87), applying investor relevance scoring and evidence quality grading (Gold/Silver/Bronze).</w:t>
      </w:r>
    </w:p>
    <w:p w:rsidR="005E2FCA" w:rsidRPr="005E2FCA" w:rsidRDefault="005E2FCA" w:rsidP="005E2FCA">
      <w:pPr>
        <w:jc w:val="both"/>
        <w:rPr>
          <w:rFonts w:ascii="Times New Roman" w:hAnsi="Times New Roman" w:cs="Times New Roman"/>
          <w:bCs/>
          <w:sz w:val="24"/>
          <w:szCs w:val="24"/>
        </w:rPr>
      </w:pPr>
      <w:r w:rsidRPr="005E2FCA">
        <w:rPr>
          <w:rFonts w:ascii="Times New Roman" w:hAnsi="Times New Roman" w:cs="Times New Roman"/>
          <w:b/>
          <w:bCs/>
          <w:sz w:val="24"/>
          <w:szCs w:val="24"/>
        </w:rPr>
        <w:t>Results:</w:t>
      </w:r>
      <w:r w:rsidRPr="005E2FCA">
        <w:rPr>
          <w:rFonts w:ascii="Times New Roman" w:hAnsi="Times New Roman" w:cs="Times New Roman"/>
          <w:bCs/>
          <w:sz w:val="24"/>
          <w:szCs w:val="24"/>
        </w:rPr>
        <w:t> Six binding constraints consistently repel capital: land tenure insecurity (73% of sources), restrictive visa regimes (67%), infrastructure deficits (61%), corruption (58%), profit repatriation hurdles (52%), and licensing burdens (44%). Peer-reviewed ROI evidence is virtually absent (12%). Grey literature reveals median lodging IRR of 11.8% with 11.4-year paybacks, but sovereign risk adjustment (620 basis points) crushe</w:t>
      </w:r>
      <w:r>
        <w:rPr>
          <w:rFonts w:ascii="Times New Roman" w:hAnsi="Times New Roman" w:cs="Times New Roman"/>
          <w:bCs/>
          <w:sz w:val="24"/>
          <w:szCs w:val="24"/>
        </w:rPr>
        <w:t xml:space="preserve">s risk-adjusted returns to 5.6%, </w:t>
      </w:r>
      <w:r w:rsidRPr="005E2FCA">
        <w:rPr>
          <w:rFonts w:ascii="Times New Roman" w:hAnsi="Times New Roman" w:cs="Times New Roman"/>
          <w:bCs/>
          <w:sz w:val="24"/>
          <w:szCs w:val="24"/>
        </w:rPr>
        <w:t>versus 12.2% for Southeast Asia. Tech-enabled ventures demand US$250,000–1.5 million seed capital (traditional lodges: US$5–25 million), delivering promising but non-</w:t>
      </w:r>
      <w:proofErr w:type="spellStart"/>
      <w:r w:rsidRPr="005E2FCA">
        <w:rPr>
          <w:rFonts w:ascii="Times New Roman" w:hAnsi="Times New Roman" w:cs="Times New Roman"/>
          <w:bCs/>
          <w:sz w:val="24"/>
          <w:szCs w:val="24"/>
        </w:rPr>
        <w:t>generalisable</w:t>
      </w:r>
      <w:proofErr w:type="spellEnd"/>
      <w:r w:rsidRPr="005E2FCA">
        <w:rPr>
          <w:rFonts w:ascii="Times New Roman" w:hAnsi="Times New Roman" w:cs="Times New Roman"/>
          <w:bCs/>
          <w:sz w:val="24"/>
          <w:szCs w:val="24"/>
        </w:rPr>
        <w:t xml:space="preserve"> returns (18–45% IRR). Patient capital commitments have surged 26.8% annually to US$1.4 billion (2023).</w:t>
      </w:r>
    </w:p>
    <w:p w:rsidR="005E2FCA" w:rsidRPr="005E2FCA" w:rsidRDefault="005E2FCA" w:rsidP="005E2FCA">
      <w:pPr>
        <w:jc w:val="both"/>
        <w:rPr>
          <w:rFonts w:ascii="Times New Roman" w:hAnsi="Times New Roman" w:cs="Times New Roman"/>
          <w:bCs/>
          <w:sz w:val="24"/>
          <w:szCs w:val="24"/>
        </w:rPr>
      </w:pPr>
      <w:r w:rsidRPr="005E2FCA">
        <w:rPr>
          <w:rFonts w:ascii="Times New Roman" w:hAnsi="Times New Roman" w:cs="Times New Roman"/>
          <w:b/>
          <w:bCs/>
          <w:sz w:val="24"/>
          <w:szCs w:val="24"/>
        </w:rPr>
        <w:t>Conclusions:</w:t>
      </w:r>
      <w:r w:rsidRPr="005E2FCA">
        <w:rPr>
          <w:rFonts w:ascii="Times New Roman" w:hAnsi="Times New Roman" w:cs="Times New Roman"/>
          <w:bCs/>
          <w:sz w:val="24"/>
          <w:szCs w:val="24"/>
        </w:rPr>
        <w:t xml:space="preserve"> The investment readiness paradox is solvable. Visa </w:t>
      </w:r>
      <w:proofErr w:type="spellStart"/>
      <w:r w:rsidRPr="005E2FCA">
        <w:rPr>
          <w:rFonts w:ascii="Times New Roman" w:hAnsi="Times New Roman" w:cs="Times New Roman"/>
          <w:bCs/>
          <w:sz w:val="24"/>
          <w:szCs w:val="24"/>
        </w:rPr>
        <w:t>liberalisation</w:t>
      </w:r>
      <w:proofErr w:type="spellEnd"/>
      <w:r w:rsidRPr="005E2FCA">
        <w:rPr>
          <w:rFonts w:ascii="Times New Roman" w:hAnsi="Times New Roman" w:cs="Times New Roman"/>
          <w:bCs/>
          <w:sz w:val="24"/>
          <w:szCs w:val="24"/>
        </w:rPr>
        <w:t xml:space="preserve">, land tenure reform, and tourism development zones lift ROI by 3–5 percentage points. Patient capital (6–10% IRR, 10–20 year horizons) and tech-enabled models offer viable pathways where traditional lodging investments face prohibitive risk-adjusted returns. The question is no longer </w:t>
      </w:r>
      <w:r>
        <w:rPr>
          <w:rFonts w:ascii="Times New Roman" w:hAnsi="Times New Roman" w:cs="Times New Roman"/>
          <w:bCs/>
          <w:sz w:val="24"/>
          <w:szCs w:val="24"/>
        </w:rPr>
        <w:t xml:space="preserve">whether SSA tourism can deliver, </w:t>
      </w:r>
      <w:r w:rsidRPr="005E2FCA">
        <w:rPr>
          <w:rFonts w:ascii="Times New Roman" w:hAnsi="Times New Roman" w:cs="Times New Roman"/>
          <w:bCs/>
          <w:sz w:val="24"/>
          <w:szCs w:val="24"/>
        </w:rPr>
        <w:t>but whether capital will be structured to meet it where it stands.</w:t>
      </w:r>
    </w:p>
    <w:p w:rsidR="00391D1C" w:rsidRPr="00084040" w:rsidRDefault="00391D1C" w:rsidP="00084040">
      <w:pPr>
        <w:jc w:val="both"/>
        <w:rPr>
          <w:rFonts w:ascii="Times New Roman" w:hAnsi="Times New Roman" w:cs="Times New Roman"/>
          <w:bCs/>
          <w:sz w:val="24"/>
          <w:szCs w:val="24"/>
        </w:rPr>
      </w:pPr>
      <w:r w:rsidRPr="00FB66C9">
        <w:rPr>
          <w:rFonts w:ascii="Times New Roman" w:hAnsi="Times New Roman" w:cs="Times New Roman"/>
          <w:b/>
          <w:bCs/>
          <w:sz w:val="24"/>
          <w:szCs w:val="24"/>
        </w:rPr>
        <w:t>Keywords:</w:t>
      </w:r>
      <w:r w:rsidRPr="00084040">
        <w:rPr>
          <w:rFonts w:ascii="Times New Roman" w:hAnsi="Times New Roman" w:cs="Times New Roman"/>
          <w:bCs/>
          <w:sz w:val="24"/>
          <w:szCs w:val="24"/>
        </w:rPr>
        <w:t> Tourism investment readiness, Sub-Saharan Africa, return on investment, patient capital, tech-enabled tourism, ease of doing business, FDI</w:t>
      </w:r>
    </w:p>
    <w:p w:rsidR="00391D1C" w:rsidRPr="00391D1C" w:rsidRDefault="00391D1C" w:rsidP="00391D1C">
      <w:pPr>
        <w:rPr>
          <w:rFonts w:ascii="Times New Roman" w:hAnsi="Times New Roman" w:cs="Times New Roman"/>
          <w:bCs/>
          <w:sz w:val="24"/>
          <w:szCs w:val="24"/>
        </w:rPr>
      </w:pPr>
    </w:p>
    <w:p w:rsidR="00457F36" w:rsidRPr="00457F36" w:rsidRDefault="00457F36" w:rsidP="00457F36">
      <w:pPr>
        <w:jc w:val="both"/>
        <w:rPr>
          <w:rFonts w:ascii="Times New Roman" w:hAnsi="Times New Roman" w:cs="Times New Roman"/>
          <w:b/>
          <w:bCs/>
          <w:sz w:val="24"/>
          <w:szCs w:val="24"/>
        </w:rPr>
      </w:pPr>
      <w:r w:rsidRPr="00457F36">
        <w:rPr>
          <w:rFonts w:ascii="Times New Roman" w:hAnsi="Times New Roman" w:cs="Times New Roman"/>
          <w:b/>
          <w:bCs/>
          <w:sz w:val="24"/>
          <w:szCs w:val="24"/>
        </w:rPr>
        <w:t>1. Introduction</w:t>
      </w:r>
    </w:p>
    <w:p w:rsidR="00457F36" w:rsidRPr="00457F36" w:rsidRDefault="00457F36" w:rsidP="00457F36">
      <w:pPr>
        <w:jc w:val="both"/>
        <w:rPr>
          <w:rFonts w:ascii="Times New Roman" w:hAnsi="Times New Roman" w:cs="Times New Roman"/>
          <w:b/>
          <w:bCs/>
          <w:sz w:val="24"/>
          <w:szCs w:val="24"/>
        </w:rPr>
      </w:pPr>
      <w:r w:rsidRPr="00457F36">
        <w:rPr>
          <w:rFonts w:ascii="Times New Roman" w:hAnsi="Times New Roman" w:cs="Times New Roman"/>
          <w:b/>
          <w:bCs/>
          <w:sz w:val="24"/>
          <w:szCs w:val="24"/>
        </w:rPr>
        <w:t>1.1 The Paradox of Potential and Underinvestment</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lastRenderedPageBreak/>
        <w:t xml:space="preserve">Sub-Saharan Africa (SSA) stands at a critical juncture in its economic development trajectory, with tourism increasingly </w:t>
      </w:r>
      <w:proofErr w:type="spellStart"/>
      <w:r w:rsidRPr="00457F36">
        <w:rPr>
          <w:rFonts w:ascii="Times New Roman" w:hAnsi="Times New Roman" w:cs="Times New Roman"/>
          <w:bCs/>
          <w:sz w:val="24"/>
          <w:szCs w:val="24"/>
        </w:rPr>
        <w:t>recognised</w:t>
      </w:r>
      <w:proofErr w:type="spellEnd"/>
      <w:r w:rsidRPr="00457F36">
        <w:rPr>
          <w:rFonts w:ascii="Times New Roman" w:hAnsi="Times New Roman" w:cs="Times New Roman"/>
          <w:bCs/>
          <w:sz w:val="24"/>
          <w:szCs w:val="24"/>
        </w:rPr>
        <w:t xml:space="preserve"> as a strategic sector for diversification, job creation, and inclusive growth (Folarin &amp; </w:t>
      </w:r>
      <w:proofErr w:type="spellStart"/>
      <w:r w:rsidRPr="00457F36">
        <w:rPr>
          <w:rFonts w:ascii="Times New Roman" w:hAnsi="Times New Roman" w:cs="Times New Roman"/>
          <w:bCs/>
          <w:sz w:val="24"/>
          <w:szCs w:val="24"/>
        </w:rPr>
        <w:t>Adeniyi</w:t>
      </w:r>
      <w:proofErr w:type="spellEnd"/>
      <w:r w:rsidRPr="00457F36">
        <w:rPr>
          <w:rFonts w:ascii="Times New Roman" w:hAnsi="Times New Roman" w:cs="Times New Roman"/>
          <w:bCs/>
          <w:sz w:val="24"/>
          <w:szCs w:val="24"/>
        </w:rPr>
        <w:t xml:space="preserve">, 2020; </w:t>
      </w:r>
      <w:proofErr w:type="spellStart"/>
      <w:r w:rsidRPr="00457F36">
        <w:rPr>
          <w:rFonts w:ascii="Times New Roman" w:hAnsi="Times New Roman" w:cs="Times New Roman"/>
          <w:bCs/>
          <w:sz w:val="24"/>
          <w:szCs w:val="24"/>
        </w:rPr>
        <w:t>Seraj</w:t>
      </w:r>
      <w:proofErr w:type="spellEnd"/>
      <w:r w:rsidRPr="00457F36">
        <w:rPr>
          <w:rFonts w:ascii="Times New Roman" w:hAnsi="Times New Roman" w:cs="Times New Roman"/>
          <w:bCs/>
          <w:sz w:val="24"/>
          <w:szCs w:val="24"/>
        </w:rPr>
        <w:t xml:space="preserve"> et al., 2025). The region possesses an extraordinary endowment of natural heritage assets, including two-thirds of the world's remaining savannah elephant population, approximately 1.2 million great apes representing 80% of global chimpanzee and gorilla populations, over 200 UNESCO World Heritage sites (93 natural, 118 cultural, and 12 mixed properties), and more than 2,000 distinct ethno-linguistic groups constituting some of the most culturally diverse communities on earth (</w:t>
      </w:r>
      <w:proofErr w:type="spellStart"/>
      <w:r w:rsidRPr="00457F36">
        <w:rPr>
          <w:rFonts w:ascii="Times New Roman" w:hAnsi="Times New Roman" w:cs="Times New Roman"/>
          <w:bCs/>
          <w:sz w:val="24"/>
          <w:szCs w:val="24"/>
        </w:rPr>
        <w:t>Mutanga</w:t>
      </w:r>
      <w:proofErr w:type="spellEnd"/>
      <w:r w:rsidRPr="00457F36">
        <w:rPr>
          <w:rFonts w:ascii="Times New Roman" w:hAnsi="Times New Roman" w:cs="Times New Roman"/>
          <w:bCs/>
          <w:sz w:val="24"/>
          <w:szCs w:val="24"/>
        </w:rPr>
        <w:t xml:space="preserve"> et al., 2023; UNESCO, 2024). Yet</w:t>
      </w:r>
      <w:r w:rsidR="003A3883">
        <w:rPr>
          <w:rFonts w:ascii="Times New Roman" w:hAnsi="Times New Roman" w:cs="Times New Roman"/>
          <w:bCs/>
          <w:sz w:val="24"/>
          <w:szCs w:val="24"/>
        </w:rPr>
        <w:t>,</w:t>
      </w:r>
      <w:r w:rsidRPr="00457F36">
        <w:rPr>
          <w:rFonts w:ascii="Times New Roman" w:hAnsi="Times New Roman" w:cs="Times New Roman"/>
          <w:bCs/>
          <w:sz w:val="24"/>
          <w:szCs w:val="24"/>
        </w:rPr>
        <w:t xml:space="preserve"> this abundance of tourism potential coexists with a persistent and puzzling reality: SSA attracts less than 2% of global tourism foreign direct investment (FDI)</w:t>
      </w:r>
      <w:r w:rsidR="001876B5">
        <w:rPr>
          <w:rFonts w:ascii="Times New Roman" w:hAnsi="Times New Roman" w:cs="Times New Roman"/>
          <w:bCs/>
          <w:sz w:val="24"/>
          <w:szCs w:val="24"/>
        </w:rPr>
        <w:t xml:space="preserve">, </w:t>
      </w:r>
      <w:r w:rsidRPr="00457F36">
        <w:rPr>
          <w:rFonts w:ascii="Times New Roman" w:hAnsi="Times New Roman" w:cs="Times New Roman"/>
          <w:bCs/>
          <w:sz w:val="24"/>
          <w:szCs w:val="24"/>
        </w:rPr>
        <w:t>approximately US$3.2 billion annually compared to global tourism FDI flows exceeding US$180 billion</w:t>
      </w:r>
      <w:r w:rsidR="001876B5">
        <w:rPr>
          <w:rFonts w:ascii="Times New Roman" w:hAnsi="Times New Roman" w:cs="Times New Roman"/>
          <w:bCs/>
          <w:sz w:val="24"/>
          <w:szCs w:val="24"/>
        </w:rPr>
        <w:t xml:space="preserve">, </w:t>
      </w:r>
      <w:r w:rsidRPr="00457F36">
        <w:rPr>
          <w:rFonts w:ascii="Times New Roman" w:hAnsi="Times New Roman" w:cs="Times New Roman"/>
          <w:bCs/>
          <w:sz w:val="24"/>
          <w:szCs w:val="24"/>
        </w:rPr>
        <w:t>despite representing an estimated 10–15% of global tourism growth potential and having recorded average annual tourism growth rates of 5.6% between 2010 and 2019, outpacing the global average of 3.9% (</w:t>
      </w:r>
      <w:proofErr w:type="spellStart"/>
      <w:r w:rsidRPr="00457F36">
        <w:rPr>
          <w:rFonts w:ascii="Times New Roman" w:hAnsi="Times New Roman" w:cs="Times New Roman"/>
          <w:bCs/>
          <w:sz w:val="24"/>
          <w:szCs w:val="24"/>
        </w:rPr>
        <w:t>Adegboye</w:t>
      </w:r>
      <w:proofErr w:type="spellEnd"/>
      <w:r w:rsidRPr="00457F36">
        <w:rPr>
          <w:rFonts w:ascii="Times New Roman" w:hAnsi="Times New Roman" w:cs="Times New Roman"/>
          <w:bCs/>
          <w:sz w:val="24"/>
          <w:szCs w:val="24"/>
        </w:rPr>
        <w:t xml:space="preserve"> et al., 2020; </w:t>
      </w:r>
      <w:proofErr w:type="spellStart"/>
      <w:r w:rsidRPr="00457F36">
        <w:rPr>
          <w:rFonts w:ascii="Times New Roman" w:hAnsi="Times New Roman" w:cs="Times New Roman"/>
          <w:bCs/>
          <w:sz w:val="24"/>
          <w:szCs w:val="24"/>
        </w:rPr>
        <w:t>Asiedu</w:t>
      </w:r>
      <w:proofErr w:type="spellEnd"/>
      <w:r w:rsidRPr="00457F36">
        <w:rPr>
          <w:rFonts w:ascii="Times New Roman" w:hAnsi="Times New Roman" w:cs="Times New Roman"/>
          <w:bCs/>
          <w:sz w:val="24"/>
          <w:szCs w:val="24"/>
        </w:rPr>
        <w:t>, 2001; UNWTO, 2023). The gap between actual and potential investment is stark: SSA receives approximately US$4.50 per international tourist arrival in tourism FDI, compared to US$28.70 in Southeast Asia and US$41.20 in Latin America (World Bank, 2024).</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This disconnect between latent opportunity and </w:t>
      </w:r>
      <w:proofErr w:type="spellStart"/>
      <w:r w:rsidRPr="00457F36">
        <w:rPr>
          <w:rFonts w:ascii="Times New Roman" w:hAnsi="Times New Roman" w:cs="Times New Roman"/>
          <w:bCs/>
          <w:sz w:val="24"/>
          <w:szCs w:val="24"/>
        </w:rPr>
        <w:t>realised</w:t>
      </w:r>
      <w:proofErr w:type="spellEnd"/>
      <w:r w:rsidRPr="00457F36">
        <w:rPr>
          <w:rFonts w:ascii="Times New Roman" w:hAnsi="Times New Roman" w:cs="Times New Roman"/>
          <w:bCs/>
          <w:sz w:val="24"/>
          <w:szCs w:val="24"/>
        </w:rPr>
        <w:t xml:space="preserve"> investment constitutes what we term </w:t>
      </w:r>
      <w:r w:rsidRPr="001876B5">
        <w:rPr>
          <w:rFonts w:ascii="Times New Roman" w:hAnsi="Times New Roman" w:cs="Times New Roman"/>
          <w:bCs/>
          <w:sz w:val="24"/>
          <w:szCs w:val="24"/>
        </w:rPr>
        <w:t>the </w:t>
      </w:r>
      <w:r w:rsidRPr="001876B5">
        <w:rPr>
          <w:rFonts w:ascii="Times New Roman" w:hAnsi="Times New Roman" w:cs="Times New Roman"/>
          <w:bCs/>
          <w:iCs/>
          <w:sz w:val="24"/>
          <w:szCs w:val="24"/>
        </w:rPr>
        <w:t>tourism investment readiness paradox</w:t>
      </w:r>
      <w:r w:rsidR="001876B5">
        <w:rPr>
          <w:rFonts w:ascii="Times New Roman" w:hAnsi="Times New Roman" w:cs="Times New Roman"/>
          <w:bCs/>
          <w:sz w:val="24"/>
          <w:szCs w:val="24"/>
        </w:rPr>
        <w:t xml:space="preserve">, </w:t>
      </w:r>
      <w:r w:rsidRPr="00457F36">
        <w:rPr>
          <w:rFonts w:ascii="Times New Roman" w:hAnsi="Times New Roman" w:cs="Times New Roman"/>
          <w:bCs/>
          <w:sz w:val="24"/>
          <w:szCs w:val="24"/>
        </w:rPr>
        <w:t>a phenomenon wherein regions with high natural and cultural tourism assets systematically fail to convert these endowments into commensurate capital inflows. The magnitude of this paradox is quantifiable: SSA countries with above-median natural heritage density attract only 37% of the tourism FDI per heritage unit compared to equivalent destinations in Southeast Asia, representing an annual foregone investment opportunity estimated at US$8–12 billion (author calculations based on UNWTO &amp; World Bank data). Understanding the determinants of this paradox is not merely an academic exercise; it carries profound implications for development finance, job creation (particularly for women and youth, who constitute 54% and 62% of tourism sector employment in SSA respectively), foreign exchange earnings (tourism accounts for an average of 7.2% of exports in SSA countries compared to 5.8% globally), and the sustainable management of irreplaceable natural and cultural heritage (</w:t>
      </w:r>
      <w:proofErr w:type="spellStart"/>
      <w:r w:rsidRPr="00457F36">
        <w:rPr>
          <w:rFonts w:ascii="Times New Roman" w:hAnsi="Times New Roman" w:cs="Times New Roman"/>
          <w:bCs/>
          <w:sz w:val="24"/>
          <w:szCs w:val="24"/>
        </w:rPr>
        <w:t>Kimbu</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Tichaawa</w:t>
      </w:r>
      <w:proofErr w:type="spellEnd"/>
      <w:r w:rsidRPr="00457F36">
        <w:rPr>
          <w:rFonts w:ascii="Times New Roman" w:hAnsi="Times New Roman" w:cs="Times New Roman"/>
          <w:bCs/>
          <w:sz w:val="24"/>
          <w:szCs w:val="24"/>
        </w:rPr>
        <w:t xml:space="preserve">, 2020; </w:t>
      </w:r>
      <w:proofErr w:type="spellStart"/>
      <w:r w:rsidRPr="00457F36">
        <w:rPr>
          <w:rFonts w:ascii="Times New Roman" w:hAnsi="Times New Roman" w:cs="Times New Roman"/>
          <w:bCs/>
          <w:sz w:val="24"/>
          <w:szCs w:val="24"/>
        </w:rPr>
        <w:t>Lemunge</w:t>
      </w:r>
      <w:proofErr w:type="spellEnd"/>
      <w:r w:rsidRPr="00457F36">
        <w:rPr>
          <w:rFonts w:ascii="Times New Roman" w:hAnsi="Times New Roman" w:cs="Times New Roman"/>
          <w:bCs/>
          <w:sz w:val="24"/>
          <w:szCs w:val="24"/>
        </w:rPr>
        <w:t xml:space="preserve"> et al., 2025; WTTC, 2024).</w:t>
      </w:r>
    </w:p>
    <w:p w:rsidR="00457F36" w:rsidRPr="001876B5" w:rsidRDefault="00457F36" w:rsidP="00457F36">
      <w:pPr>
        <w:jc w:val="both"/>
        <w:rPr>
          <w:rFonts w:ascii="Times New Roman" w:hAnsi="Times New Roman" w:cs="Times New Roman"/>
          <w:b/>
          <w:bCs/>
          <w:sz w:val="24"/>
          <w:szCs w:val="24"/>
        </w:rPr>
      </w:pPr>
      <w:r w:rsidRPr="001876B5">
        <w:rPr>
          <w:rFonts w:ascii="Times New Roman" w:hAnsi="Times New Roman" w:cs="Times New Roman"/>
          <w:b/>
          <w:bCs/>
          <w:sz w:val="24"/>
          <w:szCs w:val="24"/>
        </w:rPr>
        <w:t>1.2 The Investment Readiness Concept</w:t>
      </w:r>
    </w:p>
    <w:p w:rsidR="00457F36" w:rsidRPr="00457F36" w:rsidRDefault="003A3883" w:rsidP="00457F36">
      <w:pPr>
        <w:jc w:val="both"/>
        <w:rPr>
          <w:rFonts w:ascii="Times New Roman" w:hAnsi="Times New Roman" w:cs="Times New Roman"/>
          <w:bCs/>
          <w:sz w:val="24"/>
          <w:szCs w:val="24"/>
        </w:rPr>
      </w:pPr>
      <w:r>
        <w:rPr>
          <w:rFonts w:ascii="Times New Roman" w:hAnsi="Times New Roman" w:cs="Times New Roman"/>
          <w:bCs/>
          <w:sz w:val="24"/>
          <w:szCs w:val="24"/>
        </w:rPr>
        <w:t>The concept of investment readiness</w:t>
      </w:r>
      <w:r w:rsidR="00457F36" w:rsidRPr="00457F36">
        <w:rPr>
          <w:rFonts w:ascii="Times New Roman" w:hAnsi="Times New Roman" w:cs="Times New Roman"/>
          <w:bCs/>
          <w:sz w:val="24"/>
          <w:szCs w:val="24"/>
        </w:rPr>
        <w:t xml:space="preserve"> has traditionally been </w:t>
      </w:r>
      <w:proofErr w:type="spellStart"/>
      <w:r w:rsidR="00457F36" w:rsidRPr="00457F36">
        <w:rPr>
          <w:rFonts w:ascii="Times New Roman" w:hAnsi="Times New Roman" w:cs="Times New Roman"/>
          <w:bCs/>
          <w:sz w:val="24"/>
          <w:szCs w:val="24"/>
        </w:rPr>
        <w:t>operationalised</w:t>
      </w:r>
      <w:proofErr w:type="spellEnd"/>
      <w:r w:rsidR="00457F36" w:rsidRPr="00457F36">
        <w:rPr>
          <w:rFonts w:ascii="Times New Roman" w:hAnsi="Times New Roman" w:cs="Times New Roman"/>
          <w:bCs/>
          <w:sz w:val="24"/>
          <w:szCs w:val="24"/>
        </w:rPr>
        <w:t xml:space="preserve"> through generic cross-national indices such as the World Bank's Ease of Doing Business rankings (discontinued in 2021 but replaced by Business Ready), the Transparency International Corruption Perceptions Index, and the World Economic Forum's Travel and Tourism Competitiveness Index. While these instruments provide valuable macro-level signals, they suffer from three fundamental limitations when applied to tourism investment decisions in SSA.</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First, generic indices aggregate across all sectors, obscuring sector-specific barriers that disproporti</w:t>
      </w:r>
      <w:r w:rsidR="001876B5">
        <w:rPr>
          <w:rFonts w:ascii="Times New Roman" w:hAnsi="Times New Roman" w:cs="Times New Roman"/>
          <w:bCs/>
          <w:sz w:val="24"/>
          <w:szCs w:val="24"/>
        </w:rPr>
        <w:t xml:space="preserve">onately affect tourism ventures, </w:t>
      </w:r>
      <w:r w:rsidRPr="00457F36">
        <w:rPr>
          <w:rFonts w:ascii="Times New Roman" w:hAnsi="Times New Roman" w:cs="Times New Roman"/>
          <w:bCs/>
          <w:sz w:val="24"/>
          <w:szCs w:val="24"/>
        </w:rPr>
        <w:t xml:space="preserve">particularly land tenure systems for lodge development (where only 12% of SSA countries have clear tourism-specific land use policies), visa regimes affecting tourist arrivals (the average SSA country requires visas for citizens of 62% of source </w:t>
      </w:r>
      <w:r w:rsidRPr="00457F36">
        <w:rPr>
          <w:rFonts w:ascii="Times New Roman" w:hAnsi="Times New Roman" w:cs="Times New Roman"/>
          <w:bCs/>
          <w:sz w:val="24"/>
          <w:szCs w:val="24"/>
        </w:rPr>
        <w:lastRenderedPageBreak/>
        <w:t>markets compared to 28% in Southeast Asia), licensing burdens for tour operators (average licensing time of 94 days in SSA versus 23 days in East Asia), and repatriation constraints on tourism revenues (average of 18.5 days for profit repatriation approval in SSA versus 4.2 days in OECD economies) (</w:t>
      </w:r>
      <w:proofErr w:type="spellStart"/>
      <w:r w:rsidRPr="00457F36">
        <w:rPr>
          <w:rFonts w:ascii="Times New Roman" w:hAnsi="Times New Roman" w:cs="Times New Roman"/>
          <w:bCs/>
          <w:sz w:val="24"/>
          <w:szCs w:val="24"/>
        </w:rPr>
        <w:t>Asongu</w:t>
      </w:r>
      <w:proofErr w:type="spellEnd"/>
      <w:r w:rsidRPr="00457F36">
        <w:rPr>
          <w:rFonts w:ascii="Times New Roman" w:hAnsi="Times New Roman" w:cs="Times New Roman"/>
          <w:bCs/>
          <w:sz w:val="24"/>
          <w:szCs w:val="24"/>
        </w:rPr>
        <w:t xml:space="preserve"> et al., 2023; Xu et al., 2022; World Bank, 2024). Second, these indices typically operate at national levels, failing to capture sub-national variation in tourism asset density, infrastructure q</w:t>
      </w:r>
      <w:r w:rsidR="001876B5">
        <w:rPr>
          <w:rFonts w:ascii="Times New Roman" w:hAnsi="Times New Roman" w:cs="Times New Roman"/>
          <w:bCs/>
          <w:sz w:val="24"/>
          <w:szCs w:val="24"/>
        </w:rPr>
        <w:t xml:space="preserve">uality, and security conditions, </w:t>
      </w:r>
      <w:r w:rsidRPr="00457F36">
        <w:rPr>
          <w:rFonts w:ascii="Times New Roman" w:hAnsi="Times New Roman" w:cs="Times New Roman"/>
          <w:bCs/>
          <w:sz w:val="24"/>
          <w:szCs w:val="24"/>
        </w:rPr>
        <w:t>variation that often exceeds cross-country differences within SSA. For example, within Nigeria, tourism FDI varies by factor of 12 between Lagos State (US$214 million annually) and the northeastern states (US$18 million), while national indices suggest uniformity (Chen et al., 2025; NIPC, 2023). Third, existing indices provide no systematic linkage to return on investment (ROI) outcomes, leaving investors unable to assess whether improvements in enabling environment scores translate into measurable improvements in financial performance. A one-point improvement in the World Bank's Ease of Doing Business score (0–100 scale) predicts only a 0.3% increase in tourism ROI in SSA, compared to 1.8% in South Asia, suggesting that generic indices poorly proxy tourism-specific investment conditions (</w:t>
      </w:r>
      <w:proofErr w:type="spellStart"/>
      <w:r w:rsidRPr="00457F36">
        <w:rPr>
          <w:rFonts w:ascii="Times New Roman" w:hAnsi="Times New Roman" w:cs="Times New Roman"/>
          <w:bCs/>
          <w:sz w:val="24"/>
          <w:szCs w:val="24"/>
        </w:rPr>
        <w:t>Nakimu</w:t>
      </w:r>
      <w:proofErr w:type="spellEnd"/>
      <w:r w:rsidRPr="00457F36">
        <w:rPr>
          <w:rFonts w:ascii="Times New Roman" w:hAnsi="Times New Roman" w:cs="Times New Roman"/>
          <w:bCs/>
          <w:sz w:val="24"/>
          <w:szCs w:val="24"/>
        </w:rPr>
        <w:t xml:space="preserve"> et al., 2025).</w:t>
      </w:r>
    </w:p>
    <w:p w:rsidR="00457F36" w:rsidRPr="001876B5" w:rsidRDefault="00990A05" w:rsidP="00457F36">
      <w:pPr>
        <w:jc w:val="both"/>
        <w:rPr>
          <w:rFonts w:ascii="Times New Roman" w:hAnsi="Times New Roman" w:cs="Times New Roman"/>
          <w:b/>
          <w:bCs/>
          <w:sz w:val="24"/>
          <w:szCs w:val="24"/>
        </w:rPr>
      </w:pPr>
      <w:r>
        <w:rPr>
          <w:rFonts w:ascii="Times New Roman" w:hAnsi="Times New Roman" w:cs="Times New Roman"/>
          <w:b/>
          <w:bCs/>
          <w:sz w:val="24"/>
          <w:szCs w:val="24"/>
        </w:rPr>
        <w:t>1.3 The State of Evidence and</w:t>
      </w:r>
      <w:r w:rsidR="00457F36" w:rsidRPr="001876B5">
        <w:rPr>
          <w:rFonts w:ascii="Times New Roman" w:hAnsi="Times New Roman" w:cs="Times New Roman"/>
          <w:b/>
          <w:bCs/>
          <w:sz w:val="24"/>
          <w:szCs w:val="24"/>
        </w:rPr>
        <w:t xml:space="preserve"> Fragmented Foundations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The available research literature addresses important components of the tourism investment readiness framework without providing an integrated synthesis. Macro-econometric work has establi</w:t>
      </w:r>
      <w:r w:rsidR="001876B5">
        <w:rPr>
          <w:rFonts w:ascii="Times New Roman" w:hAnsi="Times New Roman" w:cs="Times New Roman"/>
          <w:bCs/>
          <w:sz w:val="24"/>
          <w:szCs w:val="24"/>
        </w:rPr>
        <w:t xml:space="preserve">shed that institutional quality, </w:t>
      </w:r>
      <w:r w:rsidRPr="00457F36">
        <w:rPr>
          <w:rFonts w:ascii="Times New Roman" w:hAnsi="Times New Roman" w:cs="Times New Roman"/>
          <w:bCs/>
          <w:sz w:val="24"/>
          <w:szCs w:val="24"/>
        </w:rPr>
        <w:t>particularly rule of law, political stability, and control of corr</w:t>
      </w:r>
      <w:r w:rsidR="001876B5">
        <w:rPr>
          <w:rFonts w:ascii="Times New Roman" w:hAnsi="Times New Roman" w:cs="Times New Roman"/>
          <w:bCs/>
          <w:sz w:val="24"/>
          <w:szCs w:val="24"/>
        </w:rPr>
        <w:t xml:space="preserve">uption, </w:t>
      </w:r>
      <w:r w:rsidRPr="00457F36">
        <w:rPr>
          <w:rFonts w:ascii="Times New Roman" w:hAnsi="Times New Roman" w:cs="Times New Roman"/>
          <w:bCs/>
          <w:sz w:val="24"/>
          <w:szCs w:val="24"/>
        </w:rPr>
        <w:t>significantly affects both FDI inflows and tourism development outcomes across African economies (</w:t>
      </w:r>
      <w:proofErr w:type="spellStart"/>
      <w:r w:rsidRPr="00457F36">
        <w:rPr>
          <w:rFonts w:ascii="Times New Roman" w:hAnsi="Times New Roman" w:cs="Times New Roman"/>
          <w:bCs/>
          <w:sz w:val="24"/>
          <w:szCs w:val="24"/>
        </w:rPr>
        <w:t>Adegboye</w:t>
      </w:r>
      <w:proofErr w:type="spellEnd"/>
      <w:r w:rsidRPr="00457F36">
        <w:rPr>
          <w:rFonts w:ascii="Times New Roman" w:hAnsi="Times New Roman" w:cs="Times New Roman"/>
          <w:bCs/>
          <w:sz w:val="24"/>
          <w:szCs w:val="24"/>
        </w:rPr>
        <w:t xml:space="preserve"> et al., 2020; </w:t>
      </w:r>
      <w:proofErr w:type="spellStart"/>
      <w:r w:rsidRPr="00457F36">
        <w:rPr>
          <w:rFonts w:ascii="Times New Roman" w:hAnsi="Times New Roman" w:cs="Times New Roman"/>
          <w:bCs/>
          <w:sz w:val="24"/>
          <w:szCs w:val="24"/>
        </w:rPr>
        <w:t>Asongu</w:t>
      </w:r>
      <w:proofErr w:type="spellEnd"/>
      <w:r w:rsidRPr="00457F36">
        <w:rPr>
          <w:rFonts w:ascii="Times New Roman" w:hAnsi="Times New Roman" w:cs="Times New Roman"/>
          <w:bCs/>
          <w:sz w:val="24"/>
          <w:szCs w:val="24"/>
        </w:rPr>
        <w:t xml:space="preserve"> et al., 2024; Xu et al., 2022). Specifically, a one-standard-deviation improvement in rule of law indices is associated with a 27% increase in tourism FDI flows to SSA countries, while each unit increase in corruption perception (lower corruption) correlates with a 0.34% increase in tourism's contribution to GDP (</w:t>
      </w:r>
      <w:proofErr w:type="spellStart"/>
      <w:r w:rsidRPr="00457F36">
        <w:rPr>
          <w:rFonts w:ascii="Times New Roman" w:hAnsi="Times New Roman" w:cs="Times New Roman"/>
          <w:bCs/>
          <w:sz w:val="24"/>
          <w:szCs w:val="24"/>
        </w:rPr>
        <w:t>Asongu</w:t>
      </w:r>
      <w:proofErr w:type="spellEnd"/>
      <w:r w:rsidRPr="00457F36">
        <w:rPr>
          <w:rFonts w:ascii="Times New Roman" w:hAnsi="Times New Roman" w:cs="Times New Roman"/>
          <w:bCs/>
          <w:sz w:val="24"/>
          <w:szCs w:val="24"/>
        </w:rPr>
        <w:t xml:space="preserve"> et al., 2023). Infrastructure deficits, especially in transport, energy, and digital connectivity, have been identified as binding constraints on community-based tourism and ecotourism ventures. Only 48% of SSA's road network is paved (compared to 67% in Latin America and 81% in Southeast Asia), electricity access in rural tourism areas averages 34% (versus 72% in South Africa alone), and internet penetration stands at 40% in SSA compared to 70% in Southeast Asia (</w:t>
      </w:r>
      <w:proofErr w:type="spellStart"/>
      <w:r w:rsidRPr="00457F36">
        <w:rPr>
          <w:rFonts w:ascii="Times New Roman" w:hAnsi="Times New Roman" w:cs="Times New Roman"/>
          <w:bCs/>
          <w:sz w:val="24"/>
          <w:szCs w:val="24"/>
        </w:rPr>
        <w:t>Forje</w:t>
      </w:r>
      <w:proofErr w:type="spellEnd"/>
      <w:r w:rsidRPr="00457F36">
        <w:rPr>
          <w:rFonts w:ascii="Times New Roman" w:hAnsi="Times New Roman" w:cs="Times New Roman"/>
          <w:bCs/>
          <w:sz w:val="24"/>
          <w:szCs w:val="24"/>
        </w:rPr>
        <w:t xml:space="preserve"> et al., 2022; </w:t>
      </w:r>
      <w:proofErr w:type="spellStart"/>
      <w:r w:rsidRPr="00457F36">
        <w:rPr>
          <w:rFonts w:ascii="Times New Roman" w:hAnsi="Times New Roman" w:cs="Times New Roman"/>
          <w:bCs/>
          <w:sz w:val="24"/>
          <w:szCs w:val="24"/>
        </w:rPr>
        <w:t>Lemunge</w:t>
      </w:r>
      <w:proofErr w:type="spellEnd"/>
      <w:r w:rsidRPr="00457F36">
        <w:rPr>
          <w:rFonts w:ascii="Times New Roman" w:hAnsi="Times New Roman" w:cs="Times New Roman"/>
          <w:bCs/>
          <w:sz w:val="24"/>
          <w:szCs w:val="24"/>
        </w:rPr>
        <w:t xml:space="preserve"> et al., 2025; </w:t>
      </w:r>
      <w:proofErr w:type="spellStart"/>
      <w:r w:rsidRPr="00457F36">
        <w:rPr>
          <w:rFonts w:ascii="Times New Roman" w:hAnsi="Times New Roman" w:cs="Times New Roman"/>
          <w:bCs/>
          <w:sz w:val="24"/>
          <w:szCs w:val="24"/>
        </w:rPr>
        <w:t>Mtweve</w:t>
      </w:r>
      <w:proofErr w:type="spellEnd"/>
      <w:r w:rsidRPr="00457F36">
        <w:rPr>
          <w:rFonts w:ascii="Times New Roman" w:hAnsi="Times New Roman" w:cs="Times New Roman"/>
          <w:bCs/>
          <w:sz w:val="24"/>
          <w:szCs w:val="24"/>
        </w:rPr>
        <w:t xml:space="preserve"> et al., 2025; ITU, 2024). Tourism's macroeconomic contributions have been documented through poverty reduction elasticities (a 1% increase in tourism receipts reduces poverty by 0.38% in SSA, compared to 0.21% globally), GDP multipliers (tourism has a multiplier of 1.6 in SSA versus 1.2 in OECD economies), and human development index improvements (each 10% increase in tourism arrivals associated with a 0.65% improvement in HDI) (Folarin &amp; </w:t>
      </w:r>
      <w:proofErr w:type="spellStart"/>
      <w:r w:rsidRPr="00457F36">
        <w:rPr>
          <w:rFonts w:ascii="Times New Roman" w:hAnsi="Times New Roman" w:cs="Times New Roman"/>
          <w:bCs/>
          <w:sz w:val="24"/>
          <w:szCs w:val="24"/>
        </w:rPr>
        <w:t>Adeniyi</w:t>
      </w:r>
      <w:proofErr w:type="spellEnd"/>
      <w:r w:rsidRPr="00457F36">
        <w:rPr>
          <w:rFonts w:ascii="Times New Roman" w:hAnsi="Times New Roman" w:cs="Times New Roman"/>
          <w:bCs/>
          <w:sz w:val="24"/>
          <w:szCs w:val="24"/>
        </w:rPr>
        <w:t xml:space="preserve">, 2020; </w:t>
      </w:r>
      <w:proofErr w:type="spellStart"/>
      <w:r w:rsidRPr="00457F36">
        <w:rPr>
          <w:rFonts w:ascii="Times New Roman" w:hAnsi="Times New Roman" w:cs="Times New Roman"/>
          <w:bCs/>
          <w:sz w:val="24"/>
          <w:szCs w:val="24"/>
        </w:rPr>
        <w:t>Nyasha</w:t>
      </w:r>
      <w:proofErr w:type="spellEnd"/>
      <w:r w:rsidRPr="00457F36">
        <w:rPr>
          <w:rFonts w:ascii="Times New Roman" w:hAnsi="Times New Roman" w:cs="Times New Roman"/>
          <w:bCs/>
          <w:sz w:val="24"/>
          <w:szCs w:val="24"/>
        </w:rPr>
        <w:t xml:space="preserve"> et al., 2020; </w:t>
      </w:r>
      <w:proofErr w:type="spellStart"/>
      <w:r w:rsidRPr="00457F36">
        <w:rPr>
          <w:rFonts w:ascii="Times New Roman" w:hAnsi="Times New Roman" w:cs="Times New Roman"/>
          <w:bCs/>
          <w:sz w:val="24"/>
          <w:szCs w:val="24"/>
        </w:rPr>
        <w:t>Alola</w:t>
      </w:r>
      <w:proofErr w:type="spellEnd"/>
      <w:r w:rsidRPr="00457F36">
        <w:rPr>
          <w:rFonts w:ascii="Times New Roman" w:hAnsi="Times New Roman" w:cs="Times New Roman"/>
          <w:bCs/>
          <w:sz w:val="24"/>
          <w:szCs w:val="24"/>
        </w:rPr>
        <w:t xml:space="preserve"> et al., 2022).</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However, this literature exhibits critical fragmentation that limits its utility for investment decision-making. Tourism FDI is almost never disaggregated by subsector (lodging versus attractions versus transport versus technology platforms) or by sub-region (West, East, Southern, Central Africa), making it impossible to identify where specific investment opportunities exist. Available data suggest that of the US$3.2 billion annual tourism FDI into SSA, approximately 58% flows to Southern Africa, 24% to East Africa, 12% to West Africa, and 6% to Central Africa, </w:t>
      </w:r>
      <w:r w:rsidRPr="00457F36">
        <w:rPr>
          <w:rFonts w:ascii="Times New Roman" w:hAnsi="Times New Roman" w:cs="Times New Roman"/>
          <w:bCs/>
          <w:sz w:val="24"/>
          <w:szCs w:val="24"/>
        </w:rPr>
        <w:lastRenderedPageBreak/>
        <w:t>but these figures aggregate across all subsectors and include significant double-counting of regional headquarters investments (</w:t>
      </w:r>
      <w:proofErr w:type="spellStart"/>
      <w:r w:rsidRPr="00457F36">
        <w:rPr>
          <w:rFonts w:ascii="Times New Roman" w:hAnsi="Times New Roman" w:cs="Times New Roman"/>
          <w:bCs/>
          <w:sz w:val="24"/>
          <w:szCs w:val="24"/>
        </w:rPr>
        <w:t>Bekun</w:t>
      </w:r>
      <w:proofErr w:type="spellEnd"/>
      <w:r w:rsidRPr="00457F36">
        <w:rPr>
          <w:rFonts w:ascii="Times New Roman" w:hAnsi="Times New Roman" w:cs="Times New Roman"/>
          <w:bCs/>
          <w:sz w:val="24"/>
          <w:szCs w:val="24"/>
        </w:rPr>
        <w:t xml:space="preserve"> et al., 2022; </w:t>
      </w:r>
      <w:proofErr w:type="spellStart"/>
      <w:r w:rsidRPr="00457F36">
        <w:rPr>
          <w:rFonts w:ascii="Times New Roman" w:hAnsi="Times New Roman" w:cs="Times New Roman"/>
          <w:bCs/>
          <w:sz w:val="24"/>
          <w:szCs w:val="24"/>
        </w:rPr>
        <w:t>Nakimu</w:t>
      </w:r>
      <w:proofErr w:type="spellEnd"/>
      <w:r w:rsidRPr="00457F36">
        <w:rPr>
          <w:rFonts w:ascii="Times New Roman" w:hAnsi="Times New Roman" w:cs="Times New Roman"/>
          <w:bCs/>
          <w:sz w:val="24"/>
          <w:szCs w:val="24"/>
        </w:rPr>
        <w:t xml:space="preserve"> et al., 2025; UNCTAD, 2024). Ease-of-do</w:t>
      </w:r>
      <w:r w:rsidR="001876B5">
        <w:rPr>
          <w:rFonts w:ascii="Times New Roman" w:hAnsi="Times New Roman" w:cs="Times New Roman"/>
          <w:bCs/>
          <w:sz w:val="24"/>
          <w:szCs w:val="24"/>
        </w:rPr>
        <w:t xml:space="preserve">ing-tourism-business indicators, </w:t>
      </w:r>
      <w:r w:rsidRPr="00457F36">
        <w:rPr>
          <w:rFonts w:ascii="Times New Roman" w:hAnsi="Times New Roman" w:cs="Times New Roman"/>
          <w:bCs/>
          <w:sz w:val="24"/>
          <w:szCs w:val="24"/>
        </w:rPr>
        <w:t>visa processing times (ranging from 2 days in Rwanda to 45 days in Nigeria), business registration durations for tourism enterprises (3 days in Ghana to 120 days in Angola), land tenure security for tourism sites (clear tourism land policies exist in only 8 of 49 SSA countries), licensing requirements for specific tourism activities (averaging 7 distinct permit</w:t>
      </w:r>
      <w:r w:rsidR="001876B5">
        <w:rPr>
          <w:rFonts w:ascii="Times New Roman" w:hAnsi="Times New Roman" w:cs="Times New Roman"/>
          <w:bCs/>
          <w:sz w:val="24"/>
          <w:szCs w:val="24"/>
        </w:rPr>
        <w:t xml:space="preserve">s per tour operator across SSA), </w:t>
      </w:r>
      <w:r w:rsidRPr="00457F36">
        <w:rPr>
          <w:rFonts w:ascii="Times New Roman" w:hAnsi="Times New Roman" w:cs="Times New Roman"/>
          <w:bCs/>
          <w:sz w:val="24"/>
          <w:szCs w:val="24"/>
        </w:rPr>
        <w:t>are treated implicitly through aggregate institutional proxies rather than measured directly (</w:t>
      </w:r>
      <w:proofErr w:type="spellStart"/>
      <w:r w:rsidRPr="00457F36">
        <w:rPr>
          <w:rFonts w:ascii="Times New Roman" w:hAnsi="Times New Roman" w:cs="Times New Roman"/>
          <w:bCs/>
          <w:sz w:val="24"/>
          <w:szCs w:val="24"/>
        </w:rPr>
        <w:t>Asongu</w:t>
      </w:r>
      <w:proofErr w:type="spellEnd"/>
      <w:r w:rsidRPr="00457F36">
        <w:rPr>
          <w:rFonts w:ascii="Times New Roman" w:hAnsi="Times New Roman" w:cs="Times New Roman"/>
          <w:bCs/>
          <w:sz w:val="24"/>
          <w:szCs w:val="24"/>
        </w:rPr>
        <w:t xml:space="preserve"> et al., 2023; </w:t>
      </w:r>
      <w:proofErr w:type="spellStart"/>
      <w:r w:rsidRPr="00457F36">
        <w:rPr>
          <w:rFonts w:ascii="Times New Roman" w:hAnsi="Times New Roman" w:cs="Times New Roman"/>
          <w:bCs/>
          <w:sz w:val="24"/>
          <w:szCs w:val="24"/>
        </w:rPr>
        <w:t>Forje</w:t>
      </w:r>
      <w:proofErr w:type="spellEnd"/>
      <w:r w:rsidRPr="00457F36">
        <w:rPr>
          <w:rFonts w:ascii="Times New Roman" w:hAnsi="Times New Roman" w:cs="Times New Roman"/>
          <w:bCs/>
          <w:sz w:val="24"/>
          <w:szCs w:val="24"/>
        </w:rPr>
        <w:t xml:space="preserve"> et al., 2022; World Bank, 2024). Most critica</w:t>
      </w:r>
      <w:r w:rsidR="001876B5">
        <w:rPr>
          <w:rFonts w:ascii="Times New Roman" w:hAnsi="Times New Roman" w:cs="Times New Roman"/>
          <w:bCs/>
          <w:sz w:val="24"/>
          <w:szCs w:val="24"/>
        </w:rPr>
        <w:t xml:space="preserve">lly, project-level ROI evidence, </w:t>
      </w:r>
      <w:r w:rsidRPr="00457F36">
        <w:rPr>
          <w:rFonts w:ascii="Times New Roman" w:hAnsi="Times New Roman" w:cs="Times New Roman"/>
          <w:bCs/>
          <w:sz w:val="24"/>
          <w:szCs w:val="24"/>
        </w:rPr>
        <w:t>occupancy rates (averaging 54% in SSA hotels versus 68% in Southeast Asia), average daily rates (US$112 in SSA versus US$98 in Southeast Asia, but with significantly higher operating costs), payback periods (averaging 11.4 years for SSA tourism projects versus 7.2 years in comparable destinations), internal rates of return (estimated at 9-14% for SSA tourism versus 15-22% for Southeast Asia)</w:t>
      </w:r>
      <w:r w:rsidR="001876B5">
        <w:rPr>
          <w:rFonts w:ascii="Times New Roman" w:hAnsi="Times New Roman" w:cs="Times New Roman"/>
          <w:bCs/>
          <w:sz w:val="24"/>
          <w:szCs w:val="24"/>
        </w:rPr>
        <w:t xml:space="preserve">, </w:t>
      </w:r>
      <w:r w:rsidRPr="00457F36">
        <w:rPr>
          <w:rFonts w:ascii="Times New Roman" w:hAnsi="Times New Roman" w:cs="Times New Roman"/>
          <w:bCs/>
          <w:sz w:val="24"/>
          <w:szCs w:val="24"/>
        </w:rPr>
        <w:t>is almost entirely absent from the peer-reviewed literature, forcing investors to rely on proprietary industry reports or anecdotal case evidence (</w:t>
      </w:r>
      <w:proofErr w:type="spellStart"/>
      <w:r w:rsidRPr="00457F36">
        <w:rPr>
          <w:rFonts w:ascii="Times New Roman" w:hAnsi="Times New Roman" w:cs="Times New Roman"/>
          <w:bCs/>
          <w:sz w:val="24"/>
          <w:szCs w:val="24"/>
        </w:rPr>
        <w:t>Kimbu</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Tichaawa</w:t>
      </w:r>
      <w:proofErr w:type="spellEnd"/>
      <w:r w:rsidRPr="00457F36">
        <w:rPr>
          <w:rFonts w:ascii="Times New Roman" w:hAnsi="Times New Roman" w:cs="Times New Roman"/>
          <w:bCs/>
          <w:sz w:val="24"/>
          <w:szCs w:val="24"/>
        </w:rPr>
        <w:t xml:space="preserve">, 2020; </w:t>
      </w:r>
      <w:proofErr w:type="spellStart"/>
      <w:r w:rsidRPr="00457F36">
        <w:rPr>
          <w:rFonts w:ascii="Times New Roman" w:hAnsi="Times New Roman" w:cs="Times New Roman"/>
          <w:bCs/>
          <w:sz w:val="24"/>
          <w:szCs w:val="24"/>
        </w:rPr>
        <w:t>Makandwa</w:t>
      </w:r>
      <w:proofErr w:type="spellEnd"/>
      <w:r w:rsidRPr="00457F36">
        <w:rPr>
          <w:rFonts w:ascii="Times New Roman" w:hAnsi="Times New Roman" w:cs="Times New Roman"/>
          <w:bCs/>
          <w:sz w:val="24"/>
          <w:szCs w:val="24"/>
        </w:rPr>
        <w:t xml:space="preserve"> et al., 2022; JLL, 2024; AECOM, 2023).</w:t>
      </w:r>
    </w:p>
    <w:p w:rsidR="00457F36" w:rsidRPr="001876B5" w:rsidRDefault="00457F36" w:rsidP="00457F36">
      <w:pPr>
        <w:jc w:val="both"/>
        <w:rPr>
          <w:rFonts w:ascii="Times New Roman" w:hAnsi="Times New Roman" w:cs="Times New Roman"/>
          <w:b/>
          <w:bCs/>
          <w:sz w:val="24"/>
          <w:szCs w:val="24"/>
        </w:rPr>
      </w:pPr>
      <w:r w:rsidRPr="001876B5">
        <w:rPr>
          <w:rFonts w:ascii="Times New Roman" w:hAnsi="Times New Roman" w:cs="Times New Roman"/>
          <w:b/>
          <w:bCs/>
          <w:sz w:val="24"/>
          <w:szCs w:val="24"/>
        </w:rPr>
        <w:t>1.4 The Emergent Opportunity: Patient Capital and Tech-Enabled Ventures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Two parallel developments create new urgency for a systematic review of tourism investment readiness in SSA. First, the rise </w:t>
      </w:r>
      <w:r w:rsidRPr="001876B5">
        <w:rPr>
          <w:rFonts w:ascii="Times New Roman" w:hAnsi="Times New Roman" w:cs="Times New Roman"/>
          <w:bCs/>
          <w:sz w:val="24"/>
          <w:szCs w:val="24"/>
        </w:rPr>
        <w:t>of </w:t>
      </w:r>
      <w:r w:rsidRPr="001876B5">
        <w:rPr>
          <w:rFonts w:ascii="Times New Roman" w:hAnsi="Times New Roman" w:cs="Times New Roman"/>
          <w:bCs/>
          <w:iCs/>
          <w:sz w:val="24"/>
          <w:szCs w:val="24"/>
        </w:rPr>
        <w:t>patient capital</w:t>
      </w:r>
      <w:r w:rsidR="001876B5" w:rsidRPr="001876B5">
        <w:rPr>
          <w:rFonts w:ascii="Times New Roman" w:hAnsi="Times New Roman" w:cs="Times New Roman"/>
          <w:bCs/>
          <w:sz w:val="24"/>
          <w:szCs w:val="24"/>
        </w:rPr>
        <w:t xml:space="preserve">, </w:t>
      </w:r>
      <w:r w:rsidRPr="001876B5">
        <w:rPr>
          <w:rFonts w:ascii="Times New Roman" w:hAnsi="Times New Roman" w:cs="Times New Roman"/>
          <w:bCs/>
          <w:sz w:val="24"/>
          <w:szCs w:val="24"/>
        </w:rPr>
        <w:t>investment vehicles</w:t>
      </w:r>
      <w:r w:rsidRPr="00457F36">
        <w:rPr>
          <w:rFonts w:ascii="Times New Roman" w:hAnsi="Times New Roman" w:cs="Times New Roman"/>
          <w:bCs/>
          <w:sz w:val="24"/>
          <w:szCs w:val="24"/>
        </w:rPr>
        <w:t xml:space="preserve"> that accept longer time horizons (typically 10-20 years rather than 5-7 years) and lower liquidity (exits every 8-12 years rather than 3-5 years) in exchange for measurable development impact</w:t>
      </w:r>
      <w:r w:rsidR="001876B5">
        <w:rPr>
          <w:rFonts w:ascii="Times New Roman" w:hAnsi="Times New Roman" w:cs="Times New Roman"/>
          <w:bCs/>
          <w:sz w:val="24"/>
          <w:szCs w:val="24"/>
        </w:rPr>
        <w:t xml:space="preserve">, </w:t>
      </w:r>
      <w:r w:rsidRPr="00457F36">
        <w:rPr>
          <w:rFonts w:ascii="Times New Roman" w:hAnsi="Times New Roman" w:cs="Times New Roman"/>
          <w:bCs/>
          <w:sz w:val="24"/>
          <w:szCs w:val="24"/>
        </w:rPr>
        <w:t>has expanded the set of financially viable tourism models, particularly in community-based conservation and cultural heritage contexts (</w:t>
      </w:r>
      <w:proofErr w:type="spellStart"/>
      <w:r w:rsidRPr="00457F36">
        <w:rPr>
          <w:rFonts w:ascii="Times New Roman" w:hAnsi="Times New Roman" w:cs="Times New Roman"/>
          <w:bCs/>
          <w:sz w:val="24"/>
          <w:szCs w:val="24"/>
        </w:rPr>
        <w:t>Dingru</w:t>
      </w:r>
      <w:proofErr w:type="spellEnd"/>
      <w:r w:rsidRPr="00457F36">
        <w:rPr>
          <w:rFonts w:ascii="Times New Roman" w:hAnsi="Times New Roman" w:cs="Times New Roman"/>
          <w:bCs/>
          <w:sz w:val="24"/>
          <w:szCs w:val="24"/>
        </w:rPr>
        <w:t xml:space="preserve"> et al., 2023; </w:t>
      </w:r>
      <w:proofErr w:type="spellStart"/>
      <w:r w:rsidRPr="00457F36">
        <w:rPr>
          <w:rFonts w:ascii="Times New Roman" w:hAnsi="Times New Roman" w:cs="Times New Roman"/>
          <w:bCs/>
          <w:sz w:val="24"/>
          <w:szCs w:val="24"/>
        </w:rPr>
        <w:t>Mungai</w:t>
      </w:r>
      <w:proofErr w:type="spellEnd"/>
      <w:r w:rsidRPr="00457F36">
        <w:rPr>
          <w:rFonts w:ascii="Times New Roman" w:hAnsi="Times New Roman" w:cs="Times New Roman"/>
          <w:bCs/>
          <w:sz w:val="24"/>
          <w:szCs w:val="24"/>
        </w:rPr>
        <w:t xml:space="preserve"> et al., 2021; </w:t>
      </w:r>
      <w:proofErr w:type="spellStart"/>
      <w:r w:rsidRPr="00457F36">
        <w:rPr>
          <w:rFonts w:ascii="Times New Roman" w:hAnsi="Times New Roman" w:cs="Times New Roman"/>
          <w:bCs/>
          <w:sz w:val="24"/>
          <w:szCs w:val="24"/>
        </w:rPr>
        <w:t>Osabohien</w:t>
      </w:r>
      <w:proofErr w:type="spellEnd"/>
      <w:r w:rsidRPr="00457F36">
        <w:rPr>
          <w:rFonts w:ascii="Times New Roman" w:hAnsi="Times New Roman" w:cs="Times New Roman"/>
          <w:bCs/>
          <w:sz w:val="24"/>
          <w:szCs w:val="24"/>
        </w:rPr>
        <w:t xml:space="preserve"> et al., 2025). Patient capital commitments to SSA tourism have grown from US$210 million in 2015 to US$1.4 billion in 2023, representing a compound annual growth rate of 26.8% (GIIN, 2024). Development finance institutions, impact investors, and philanthropic foundations have increasingly targeted tourism as a sector capable of generating both financial returns (averaging 8-12% IRR for patient capital tourism investments in SSA) and sustainable development outcomes (average of 3.4 jobs created per US$100,000 invested compared to 1.2 jobs in extractive industries) (</w:t>
      </w:r>
      <w:proofErr w:type="spellStart"/>
      <w:r w:rsidRPr="00457F36">
        <w:rPr>
          <w:rFonts w:ascii="Times New Roman" w:hAnsi="Times New Roman" w:cs="Times New Roman"/>
          <w:bCs/>
          <w:sz w:val="24"/>
          <w:szCs w:val="24"/>
        </w:rPr>
        <w:t>Kimbu</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Tichaawa</w:t>
      </w:r>
      <w:proofErr w:type="spellEnd"/>
      <w:r w:rsidRPr="00457F36">
        <w:rPr>
          <w:rFonts w:ascii="Times New Roman" w:hAnsi="Times New Roman" w:cs="Times New Roman"/>
          <w:bCs/>
          <w:sz w:val="24"/>
          <w:szCs w:val="24"/>
        </w:rPr>
        <w:t>, 2020; Zhang et al., 2023; CDC Group, 2024).</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Second, the digital transformation of tourism services has lowered capital expenditure requirements for market entry while enabling scalable business models that were previously infeasible in SSA contexts. AI-powered booking platforms, dynamic pricing algorithms, virtual tour technologies, and digital marketing aggregators can now reach SSA destinations at a fraction of the cost of traditional brick</w:t>
      </w:r>
      <w:r w:rsidR="00521C10">
        <w:rPr>
          <w:rFonts w:ascii="Times New Roman" w:hAnsi="Times New Roman" w:cs="Times New Roman"/>
          <w:bCs/>
          <w:sz w:val="24"/>
          <w:szCs w:val="24"/>
        </w:rPr>
        <w:t xml:space="preserve">-and-mortar tourism investments, </w:t>
      </w:r>
      <w:r w:rsidRPr="00457F36">
        <w:rPr>
          <w:rFonts w:ascii="Times New Roman" w:hAnsi="Times New Roman" w:cs="Times New Roman"/>
          <w:bCs/>
          <w:sz w:val="24"/>
          <w:szCs w:val="24"/>
        </w:rPr>
        <w:t>typical tech-enabled tourism ventures require US$250,000-1.5 million in seed capital compared to US$5-25 million for traditional lodge developments (</w:t>
      </w:r>
      <w:proofErr w:type="spellStart"/>
      <w:r w:rsidRPr="00457F36">
        <w:rPr>
          <w:rFonts w:ascii="Times New Roman" w:hAnsi="Times New Roman" w:cs="Times New Roman"/>
          <w:bCs/>
          <w:sz w:val="24"/>
          <w:szCs w:val="24"/>
        </w:rPr>
        <w:t>Filieri</w:t>
      </w:r>
      <w:proofErr w:type="spellEnd"/>
      <w:r w:rsidRPr="00457F36">
        <w:rPr>
          <w:rFonts w:ascii="Times New Roman" w:hAnsi="Times New Roman" w:cs="Times New Roman"/>
          <w:bCs/>
          <w:sz w:val="24"/>
          <w:szCs w:val="24"/>
        </w:rPr>
        <w:t xml:space="preserve"> et al., 2021; </w:t>
      </w:r>
      <w:proofErr w:type="spellStart"/>
      <w:r w:rsidRPr="00457F36">
        <w:rPr>
          <w:rFonts w:ascii="Times New Roman" w:hAnsi="Times New Roman" w:cs="Times New Roman"/>
          <w:bCs/>
          <w:sz w:val="24"/>
          <w:szCs w:val="24"/>
        </w:rPr>
        <w:t>Florido-Benítez</w:t>
      </w:r>
      <w:proofErr w:type="spellEnd"/>
      <w:r w:rsidRPr="00457F36">
        <w:rPr>
          <w:rFonts w:ascii="Times New Roman" w:hAnsi="Times New Roman" w:cs="Times New Roman"/>
          <w:bCs/>
          <w:sz w:val="24"/>
          <w:szCs w:val="24"/>
        </w:rPr>
        <w:t xml:space="preserve"> &amp; Del </w:t>
      </w:r>
      <w:proofErr w:type="spellStart"/>
      <w:r w:rsidRPr="00457F36">
        <w:rPr>
          <w:rFonts w:ascii="Times New Roman" w:hAnsi="Times New Roman" w:cs="Times New Roman"/>
          <w:bCs/>
          <w:sz w:val="24"/>
          <w:szCs w:val="24"/>
        </w:rPr>
        <w:t>Alcázar</w:t>
      </w:r>
      <w:proofErr w:type="spellEnd"/>
      <w:r w:rsidRPr="00457F36">
        <w:rPr>
          <w:rFonts w:ascii="Times New Roman" w:hAnsi="Times New Roman" w:cs="Times New Roman"/>
          <w:bCs/>
          <w:sz w:val="24"/>
          <w:szCs w:val="24"/>
        </w:rPr>
        <w:t xml:space="preserve"> </w:t>
      </w:r>
      <w:proofErr w:type="spellStart"/>
      <w:r w:rsidRPr="00457F36">
        <w:rPr>
          <w:rFonts w:ascii="Times New Roman" w:hAnsi="Times New Roman" w:cs="Times New Roman"/>
          <w:bCs/>
          <w:sz w:val="24"/>
          <w:szCs w:val="24"/>
        </w:rPr>
        <w:t>Martínez</w:t>
      </w:r>
      <w:proofErr w:type="spellEnd"/>
      <w:r w:rsidRPr="00457F36">
        <w:rPr>
          <w:rFonts w:ascii="Times New Roman" w:hAnsi="Times New Roman" w:cs="Times New Roman"/>
          <w:bCs/>
          <w:sz w:val="24"/>
          <w:szCs w:val="24"/>
        </w:rPr>
        <w:t>, 2024). Empirical evidence from SSA indicates that internet access significantly amplifies the growth effects of tourism: countries with internet penetration above the SSA median (40%) show tourism growth elasticities of 0.42 compared to 0.18 for below-median countries, suggesting that tech-enabled ventures may represent a lower-risk entry point for investors (</w:t>
      </w:r>
      <w:proofErr w:type="spellStart"/>
      <w:r w:rsidRPr="00457F36">
        <w:rPr>
          <w:rFonts w:ascii="Times New Roman" w:hAnsi="Times New Roman" w:cs="Times New Roman"/>
          <w:bCs/>
          <w:sz w:val="24"/>
          <w:szCs w:val="24"/>
        </w:rPr>
        <w:t>Nakimu</w:t>
      </w:r>
      <w:proofErr w:type="spellEnd"/>
      <w:r w:rsidRPr="00457F36">
        <w:rPr>
          <w:rFonts w:ascii="Times New Roman" w:hAnsi="Times New Roman" w:cs="Times New Roman"/>
          <w:bCs/>
          <w:sz w:val="24"/>
          <w:szCs w:val="24"/>
        </w:rPr>
        <w:t xml:space="preserve"> et al., 2025; Sun et al., 2024). Community-based rural tourism studies further demonstrat</w:t>
      </w:r>
      <w:r w:rsidR="00521C10">
        <w:rPr>
          <w:rFonts w:ascii="Times New Roman" w:hAnsi="Times New Roman" w:cs="Times New Roman"/>
          <w:bCs/>
          <w:sz w:val="24"/>
          <w:szCs w:val="24"/>
        </w:rPr>
        <w:t xml:space="preserve">e that even basic </w:t>
      </w:r>
      <w:r w:rsidR="00521C10">
        <w:rPr>
          <w:rFonts w:ascii="Times New Roman" w:hAnsi="Times New Roman" w:cs="Times New Roman"/>
          <w:bCs/>
          <w:sz w:val="24"/>
          <w:szCs w:val="24"/>
        </w:rPr>
        <w:lastRenderedPageBreak/>
        <w:t xml:space="preserve">digital tools, </w:t>
      </w:r>
      <w:r w:rsidRPr="00457F36">
        <w:rPr>
          <w:rFonts w:ascii="Times New Roman" w:hAnsi="Times New Roman" w:cs="Times New Roman"/>
          <w:bCs/>
          <w:sz w:val="24"/>
          <w:szCs w:val="24"/>
        </w:rPr>
        <w:t>social media presence, email booking systems, basic websites</w:t>
      </w:r>
      <w:r w:rsidR="00521C10">
        <w:rPr>
          <w:rFonts w:ascii="Times New Roman" w:hAnsi="Times New Roman" w:cs="Times New Roman"/>
          <w:bCs/>
          <w:sz w:val="24"/>
          <w:szCs w:val="24"/>
        </w:rPr>
        <w:t xml:space="preserve">, </w:t>
      </w:r>
      <w:r w:rsidRPr="00457F36">
        <w:rPr>
          <w:rFonts w:ascii="Times New Roman" w:hAnsi="Times New Roman" w:cs="Times New Roman"/>
          <w:bCs/>
          <w:sz w:val="24"/>
          <w:szCs w:val="24"/>
        </w:rPr>
        <w:t>substantially enhance venture sustainability (increasing occupancy by an average of 34 percentage points) and socio-economic outcomes (increasing local income retention by 28%) (</w:t>
      </w:r>
      <w:proofErr w:type="spellStart"/>
      <w:r w:rsidRPr="00457F36">
        <w:rPr>
          <w:rFonts w:ascii="Times New Roman" w:hAnsi="Times New Roman" w:cs="Times New Roman"/>
          <w:bCs/>
          <w:sz w:val="24"/>
          <w:szCs w:val="24"/>
        </w:rPr>
        <w:t>Ndlovu</w:t>
      </w:r>
      <w:proofErr w:type="spellEnd"/>
      <w:r w:rsidRPr="00457F36">
        <w:rPr>
          <w:rFonts w:ascii="Times New Roman" w:hAnsi="Times New Roman" w:cs="Times New Roman"/>
          <w:bCs/>
          <w:sz w:val="24"/>
          <w:szCs w:val="24"/>
        </w:rPr>
        <w:t xml:space="preserve"> et al., 2025). The addressable market for tech-enabled tourism services in SSA is substantial: online travel penetration stands at only 18% of total tourism bookings in SSA compared to 52% in North America and 47% in Europe, representing an estimated US$2.8 billion untapped digital tourism market (Statista, 2024).</w:t>
      </w:r>
    </w:p>
    <w:p w:rsidR="00457F36" w:rsidRPr="00521C10" w:rsidRDefault="00457F36" w:rsidP="00457F36">
      <w:pPr>
        <w:jc w:val="both"/>
        <w:rPr>
          <w:rFonts w:ascii="Times New Roman" w:hAnsi="Times New Roman" w:cs="Times New Roman"/>
          <w:b/>
          <w:bCs/>
          <w:sz w:val="24"/>
          <w:szCs w:val="24"/>
        </w:rPr>
      </w:pPr>
      <w:r w:rsidRPr="00521C10">
        <w:rPr>
          <w:rFonts w:ascii="Times New Roman" w:hAnsi="Times New Roman" w:cs="Times New Roman"/>
          <w:b/>
          <w:bCs/>
          <w:sz w:val="24"/>
          <w:szCs w:val="24"/>
        </w:rPr>
        <w:t>1.5 The Gap: No Systematic Review of Tourism Investment Readiness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Despite the policy importance and investor interest in SSA tourism, no systematic review has comprehensively </w:t>
      </w:r>
      <w:proofErr w:type="spellStart"/>
      <w:r w:rsidRPr="00457F36">
        <w:rPr>
          <w:rFonts w:ascii="Times New Roman" w:hAnsi="Times New Roman" w:cs="Times New Roman"/>
          <w:bCs/>
          <w:sz w:val="24"/>
          <w:szCs w:val="24"/>
        </w:rPr>
        <w:t>synthesised</w:t>
      </w:r>
      <w:proofErr w:type="spellEnd"/>
      <w:r w:rsidRPr="00457F36">
        <w:rPr>
          <w:rFonts w:ascii="Times New Roman" w:hAnsi="Times New Roman" w:cs="Times New Roman"/>
          <w:bCs/>
          <w:sz w:val="24"/>
          <w:szCs w:val="24"/>
        </w:rPr>
        <w:t xml:space="preserve"> evidence across the full investment readiness framework. Existing reviews have focused on ecotourism governance (</w:t>
      </w:r>
      <w:proofErr w:type="spellStart"/>
      <w:r w:rsidRPr="00457F36">
        <w:rPr>
          <w:rFonts w:ascii="Times New Roman" w:hAnsi="Times New Roman" w:cs="Times New Roman"/>
          <w:bCs/>
          <w:sz w:val="24"/>
          <w:szCs w:val="24"/>
        </w:rPr>
        <w:t>Forje</w:t>
      </w:r>
      <w:proofErr w:type="spellEnd"/>
      <w:r w:rsidRPr="00457F36">
        <w:rPr>
          <w:rFonts w:ascii="Times New Roman" w:hAnsi="Times New Roman" w:cs="Times New Roman"/>
          <w:bCs/>
          <w:sz w:val="24"/>
          <w:szCs w:val="24"/>
        </w:rPr>
        <w:t xml:space="preserve"> et al., 2022; </w:t>
      </w:r>
      <w:proofErr w:type="spellStart"/>
      <w:r w:rsidRPr="00457F36">
        <w:rPr>
          <w:rFonts w:ascii="Times New Roman" w:hAnsi="Times New Roman" w:cs="Times New Roman"/>
          <w:bCs/>
          <w:sz w:val="24"/>
          <w:szCs w:val="24"/>
        </w:rPr>
        <w:t>synthesising</w:t>
      </w:r>
      <w:proofErr w:type="spellEnd"/>
      <w:r w:rsidRPr="00457F36">
        <w:rPr>
          <w:rFonts w:ascii="Times New Roman" w:hAnsi="Times New Roman" w:cs="Times New Roman"/>
          <w:bCs/>
          <w:sz w:val="24"/>
          <w:szCs w:val="24"/>
        </w:rPr>
        <w:t xml:space="preserve"> 47 studies), community-based tourism status (</w:t>
      </w:r>
      <w:proofErr w:type="spellStart"/>
      <w:r w:rsidRPr="00457F36">
        <w:rPr>
          <w:rFonts w:ascii="Times New Roman" w:hAnsi="Times New Roman" w:cs="Times New Roman"/>
          <w:bCs/>
          <w:sz w:val="24"/>
          <w:szCs w:val="24"/>
        </w:rPr>
        <w:t>Lemunge</w:t>
      </w:r>
      <w:proofErr w:type="spellEnd"/>
      <w:r w:rsidRPr="00457F36">
        <w:rPr>
          <w:rFonts w:ascii="Times New Roman" w:hAnsi="Times New Roman" w:cs="Times New Roman"/>
          <w:bCs/>
          <w:sz w:val="24"/>
          <w:szCs w:val="24"/>
        </w:rPr>
        <w:t xml:space="preserve"> et al., 2025; </w:t>
      </w:r>
      <w:proofErr w:type="spellStart"/>
      <w:r w:rsidRPr="00457F36">
        <w:rPr>
          <w:rFonts w:ascii="Times New Roman" w:hAnsi="Times New Roman" w:cs="Times New Roman"/>
          <w:bCs/>
          <w:sz w:val="24"/>
          <w:szCs w:val="24"/>
        </w:rPr>
        <w:t>synthesising</w:t>
      </w:r>
      <w:proofErr w:type="spellEnd"/>
      <w:r w:rsidRPr="00457F36">
        <w:rPr>
          <w:rFonts w:ascii="Times New Roman" w:hAnsi="Times New Roman" w:cs="Times New Roman"/>
          <w:bCs/>
          <w:sz w:val="24"/>
          <w:szCs w:val="24"/>
        </w:rPr>
        <w:t xml:space="preserve"> 89 studies), natural heritage tourism (</w:t>
      </w:r>
      <w:proofErr w:type="spellStart"/>
      <w:r w:rsidRPr="00457F36">
        <w:rPr>
          <w:rFonts w:ascii="Times New Roman" w:hAnsi="Times New Roman" w:cs="Times New Roman"/>
          <w:bCs/>
          <w:sz w:val="24"/>
          <w:szCs w:val="24"/>
        </w:rPr>
        <w:t>Mutanga</w:t>
      </w:r>
      <w:proofErr w:type="spellEnd"/>
      <w:r w:rsidRPr="00457F36">
        <w:rPr>
          <w:rFonts w:ascii="Times New Roman" w:hAnsi="Times New Roman" w:cs="Times New Roman"/>
          <w:bCs/>
          <w:sz w:val="24"/>
          <w:szCs w:val="24"/>
        </w:rPr>
        <w:t xml:space="preserve"> et al., 2023; </w:t>
      </w:r>
      <w:proofErr w:type="spellStart"/>
      <w:r w:rsidRPr="00457F36">
        <w:rPr>
          <w:rFonts w:ascii="Times New Roman" w:hAnsi="Times New Roman" w:cs="Times New Roman"/>
          <w:bCs/>
          <w:sz w:val="24"/>
          <w:szCs w:val="24"/>
        </w:rPr>
        <w:t>synthesising</w:t>
      </w:r>
      <w:proofErr w:type="spellEnd"/>
      <w:r w:rsidRPr="00457F36">
        <w:rPr>
          <w:rFonts w:ascii="Times New Roman" w:hAnsi="Times New Roman" w:cs="Times New Roman"/>
          <w:bCs/>
          <w:sz w:val="24"/>
          <w:szCs w:val="24"/>
        </w:rPr>
        <w:t xml:space="preserve"> 124 studies), or responsible tourism development (</w:t>
      </w:r>
      <w:proofErr w:type="spellStart"/>
      <w:r w:rsidRPr="00457F36">
        <w:rPr>
          <w:rFonts w:ascii="Times New Roman" w:hAnsi="Times New Roman" w:cs="Times New Roman"/>
          <w:bCs/>
          <w:sz w:val="24"/>
          <w:szCs w:val="24"/>
        </w:rPr>
        <w:t>Pattiyagedara</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Ranasinghe</w:t>
      </w:r>
      <w:proofErr w:type="spellEnd"/>
      <w:r w:rsidRPr="00457F36">
        <w:rPr>
          <w:rFonts w:ascii="Times New Roman" w:hAnsi="Times New Roman" w:cs="Times New Roman"/>
          <w:bCs/>
          <w:sz w:val="24"/>
          <w:szCs w:val="24"/>
        </w:rPr>
        <w:t xml:space="preserve">, 2024; </w:t>
      </w:r>
      <w:proofErr w:type="spellStart"/>
      <w:r w:rsidRPr="00457F36">
        <w:rPr>
          <w:rFonts w:ascii="Times New Roman" w:hAnsi="Times New Roman" w:cs="Times New Roman"/>
          <w:bCs/>
          <w:sz w:val="24"/>
          <w:szCs w:val="24"/>
        </w:rPr>
        <w:t>synthesising</w:t>
      </w:r>
      <w:proofErr w:type="spellEnd"/>
      <w:r w:rsidRPr="00457F36">
        <w:rPr>
          <w:rFonts w:ascii="Times New Roman" w:hAnsi="Times New Roman" w:cs="Times New Roman"/>
          <w:bCs/>
          <w:sz w:val="24"/>
          <w:szCs w:val="24"/>
        </w:rPr>
        <w:t xml:space="preserve"> 213 studies). Each addresses important sub-themes, but none integrates the core investment readiness dimensions: ease of doing business indicators, enabling environment characteristics, ROI evidence, patient capital applicability, and tech-enabled venture potential. Critically, of the 473 tourism-focused systematic reviews published between 2015 and 2024 (Scopus search), only 12 focus on SSA, and none </w:t>
      </w:r>
      <w:proofErr w:type="spellStart"/>
      <w:r w:rsidRPr="00457F36">
        <w:rPr>
          <w:rFonts w:ascii="Times New Roman" w:hAnsi="Times New Roman" w:cs="Times New Roman"/>
          <w:bCs/>
          <w:sz w:val="24"/>
          <w:szCs w:val="24"/>
        </w:rPr>
        <w:t>centre</w:t>
      </w:r>
      <w:proofErr w:type="spellEnd"/>
      <w:r w:rsidRPr="00457F36">
        <w:rPr>
          <w:rFonts w:ascii="Times New Roman" w:hAnsi="Times New Roman" w:cs="Times New Roman"/>
          <w:bCs/>
          <w:sz w:val="24"/>
          <w:szCs w:val="24"/>
        </w:rPr>
        <w:t xml:space="preserve"> on investment readiness or ROI evidence.</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This gap is consequential. Without systematic synthesis, investors lack evidence-based guidance on where and how to deploy tourism capital in SSA, leading to suboptimal capital allocation and risk mispricing. Policymakers lack benchmarks against which to assess the competitiveness of their regulatory </w:t>
      </w:r>
      <w:r w:rsidR="00521C10">
        <w:rPr>
          <w:rFonts w:ascii="Times New Roman" w:hAnsi="Times New Roman" w:cs="Times New Roman"/>
          <w:bCs/>
          <w:sz w:val="24"/>
          <w:szCs w:val="24"/>
        </w:rPr>
        <w:t xml:space="preserve">and infrastructure environments, </w:t>
      </w:r>
      <w:r w:rsidRPr="00457F36">
        <w:rPr>
          <w:rFonts w:ascii="Times New Roman" w:hAnsi="Times New Roman" w:cs="Times New Roman"/>
          <w:bCs/>
          <w:sz w:val="24"/>
          <w:szCs w:val="24"/>
        </w:rPr>
        <w:t>only 14 of 49 SSA countries have conducted investment climate assessments specific to tourism in the past decade. Development finance institutions lack frameworks for targeting technical assistance and concessional finance to the most binding constraints, with only 23% of DFI tourism funding in SSA explicitly addressing investment readiness barriers (</w:t>
      </w:r>
      <w:proofErr w:type="spellStart"/>
      <w:r w:rsidRPr="00457F36">
        <w:rPr>
          <w:rFonts w:ascii="Times New Roman" w:hAnsi="Times New Roman" w:cs="Times New Roman"/>
          <w:bCs/>
          <w:sz w:val="24"/>
          <w:szCs w:val="24"/>
        </w:rPr>
        <w:t>Kimbu</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Tichaawa</w:t>
      </w:r>
      <w:proofErr w:type="spellEnd"/>
      <w:r w:rsidRPr="00457F36">
        <w:rPr>
          <w:rFonts w:ascii="Times New Roman" w:hAnsi="Times New Roman" w:cs="Times New Roman"/>
          <w:bCs/>
          <w:sz w:val="24"/>
          <w:szCs w:val="24"/>
        </w:rPr>
        <w:t xml:space="preserve">, 2020; </w:t>
      </w:r>
      <w:proofErr w:type="spellStart"/>
      <w:r w:rsidRPr="00457F36">
        <w:rPr>
          <w:rFonts w:ascii="Times New Roman" w:hAnsi="Times New Roman" w:cs="Times New Roman"/>
          <w:bCs/>
          <w:sz w:val="24"/>
          <w:szCs w:val="24"/>
        </w:rPr>
        <w:t>AfDB</w:t>
      </w:r>
      <w:proofErr w:type="spellEnd"/>
      <w:r w:rsidRPr="00457F36">
        <w:rPr>
          <w:rFonts w:ascii="Times New Roman" w:hAnsi="Times New Roman" w:cs="Times New Roman"/>
          <w:bCs/>
          <w:sz w:val="24"/>
          <w:szCs w:val="24"/>
        </w:rPr>
        <w:t>, 2024). And researchers lack an integrated evidence base from which to derive theoretical propositions about the determinants of tourism investment readiness in developing economy contexts.</w:t>
      </w:r>
    </w:p>
    <w:p w:rsidR="00457F36" w:rsidRPr="00521C10" w:rsidRDefault="00457F36" w:rsidP="00457F36">
      <w:pPr>
        <w:jc w:val="both"/>
        <w:rPr>
          <w:rFonts w:ascii="Times New Roman" w:hAnsi="Times New Roman" w:cs="Times New Roman"/>
          <w:b/>
          <w:bCs/>
          <w:sz w:val="24"/>
          <w:szCs w:val="24"/>
        </w:rPr>
      </w:pPr>
      <w:r w:rsidRPr="00521C10">
        <w:rPr>
          <w:rFonts w:ascii="Times New Roman" w:hAnsi="Times New Roman" w:cs="Times New Roman"/>
          <w:b/>
          <w:bCs/>
          <w:sz w:val="24"/>
          <w:szCs w:val="24"/>
        </w:rPr>
        <w:t>1.6 Study Purpose and Research Questions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This systematic review addresses these gaps by </w:t>
      </w:r>
      <w:proofErr w:type="spellStart"/>
      <w:r w:rsidRPr="00457F36">
        <w:rPr>
          <w:rFonts w:ascii="Times New Roman" w:hAnsi="Times New Roman" w:cs="Times New Roman"/>
          <w:bCs/>
          <w:sz w:val="24"/>
          <w:szCs w:val="24"/>
        </w:rPr>
        <w:t>synthesising</w:t>
      </w:r>
      <w:proofErr w:type="spellEnd"/>
      <w:r w:rsidRPr="00457F36">
        <w:rPr>
          <w:rFonts w:ascii="Times New Roman" w:hAnsi="Times New Roman" w:cs="Times New Roman"/>
          <w:bCs/>
          <w:sz w:val="24"/>
          <w:szCs w:val="24"/>
        </w:rPr>
        <w:t xml:space="preserve"> peer-reviewed and grey literature on tourism investment readiness in Sub-Saharan Africa, with explicit attention to ease of doing business indicators, enabling environment characteristics, ROI evidence, and the emergent roles of patient capital and tech-enabled ventures. The review is structured around three investor-framed research questions that move from diagnostic assessment to evidence synthesis to actionable intersection:</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RQ1 (Diagnostic): According to peer-reviewed and grey literature, what are the most consistently documented barriers to ease of doing tourism business in Sub-Saharan Africa, and how do these barriers vary by sub-region (West, East, Southern, Central Africa) and by tourism subsector (lodging, attractions, transport, tech platforms)?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lastRenderedPageBreak/>
        <w:t>RQ2 (Evidence of Returns): What empirical evidence exists on actual Return on Investment (R</w:t>
      </w:r>
      <w:r w:rsidR="00521C10">
        <w:rPr>
          <w:rFonts w:ascii="Times New Roman" w:hAnsi="Times New Roman" w:cs="Times New Roman"/>
          <w:bCs/>
          <w:sz w:val="24"/>
          <w:szCs w:val="24"/>
        </w:rPr>
        <w:t xml:space="preserve">OI) for tourism ventures in SSA, </w:t>
      </w:r>
      <w:r w:rsidRPr="00457F36">
        <w:rPr>
          <w:rFonts w:ascii="Times New Roman" w:hAnsi="Times New Roman" w:cs="Times New Roman"/>
          <w:bCs/>
          <w:sz w:val="24"/>
          <w:szCs w:val="24"/>
        </w:rPr>
        <w:t>disaggregated by venture type (lodging, attractions, transport, tech platforms), capital scale, and investor origin (local vs. foreign vs. development finance)?</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RQ3 (Actionable Intersection): Which specific combinations of enabling environment reforms, tech adoption strategies, and investment vehicles show the strongest theoretical or empirical promise to improve ROI while lowering entry</w:t>
      </w:r>
      <w:r w:rsidR="00521C10">
        <w:rPr>
          <w:rFonts w:ascii="Times New Roman" w:hAnsi="Times New Roman" w:cs="Times New Roman"/>
          <w:bCs/>
          <w:sz w:val="24"/>
          <w:szCs w:val="24"/>
        </w:rPr>
        <w:t xml:space="preserve"> barriers for private investors, </w:t>
      </w:r>
      <w:r w:rsidRPr="00457F36">
        <w:rPr>
          <w:rFonts w:ascii="Times New Roman" w:hAnsi="Times New Roman" w:cs="Times New Roman"/>
          <w:bCs/>
          <w:sz w:val="24"/>
          <w:szCs w:val="24"/>
        </w:rPr>
        <w:t>particularly patient capital and diaspora investors?</w:t>
      </w:r>
    </w:p>
    <w:p w:rsidR="00457F36" w:rsidRPr="00521C10" w:rsidRDefault="00457F36" w:rsidP="00457F36">
      <w:pPr>
        <w:jc w:val="both"/>
        <w:rPr>
          <w:rFonts w:ascii="Times New Roman" w:hAnsi="Times New Roman" w:cs="Times New Roman"/>
          <w:b/>
          <w:bCs/>
          <w:sz w:val="24"/>
          <w:szCs w:val="24"/>
        </w:rPr>
      </w:pPr>
      <w:r w:rsidRPr="00521C10">
        <w:rPr>
          <w:rFonts w:ascii="Times New Roman" w:hAnsi="Times New Roman" w:cs="Times New Roman"/>
          <w:b/>
          <w:bCs/>
          <w:sz w:val="24"/>
          <w:szCs w:val="24"/>
        </w:rPr>
        <w:t>1.7 Contribution and Significance</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This review makes three primary contributions. First, it provides the first systematic synthesis of tourism investment readiness evidence specific to SSA, creating an evidence base that integrates previously fragmented literatures on governance, infrastructure, FDI determinants, and tourism development outcomes. Second, it introduces an investor-centric analytical framework that maps directly on</w:t>
      </w:r>
      <w:r w:rsidR="00521C10">
        <w:rPr>
          <w:rFonts w:ascii="Times New Roman" w:hAnsi="Times New Roman" w:cs="Times New Roman"/>
          <w:bCs/>
          <w:sz w:val="24"/>
          <w:szCs w:val="24"/>
        </w:rPr>
        <w:t xml:space="preserve">to capital allocation decisions, </w:t>
      </w:r>
      <w:r w:rsidRPr="00457F36">
        <w:rPr>
          <w:rFonts w:ascii="Times New Roman" w:hAnsi="Times New Roman" w:cs="Times New Roman"/>
          <w:bCs/>
          <w:sz w:val="24"/>
          <w:szCs w:val="24"/>
        </w:rPr>
        <w:t xml:space="preserve">identifying not only what barriers exist but which combinations of reforms and investment vehicles most effectively overcome them. Third, it establishes a foundation for developing a Tourism Investment Readiness Index (TIRI) that could guide capital allocation, policy reform </w:t>
      </w:r>
      <w:proofErr w:type="spellStart"/>
      <w:r w:rsidRPr="00457F36">
        <w:rPr>
          <w:rFonts w:ascii="Times New Roman" w:hAnsi="Times New Roman" w:cs="Times New Roman"/>
          <w:bCs/>
          <w:sz w:val="24"/>
          <w:szCs w:val="24"/>
        </w:rPr>
        <w:t>prioritisation</w:t>
      </w:r>
      <w:proofErr w:type="spellEnd"/>
      <w:r w:rsidRPr="00457F36">
        <w:rPr>
          <w:rFonts w:ascii="Times New Roman" w:hAnsi="Times New Roman" w:cs="Times New Roman"/>
          <w:bCs/>
          <w:sz w:val="24"/>
          <w:szCs w:val="24"/>
        </w:rPr>
        <w:t>, and future research on the determinants of successful tourism investment in developing economy contexts.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For investors, this review offers evidence-based guidance on risk-return profiles across SSA sub-regions and tourism subsectors, identifies conditions under which patient capital (currently US$1.4 billion committed to SSA tourism) and tech-enabled models (addressable market of US$2.8 billion) improve investment viability, and highlights critical evidence gaps that warrant primary due diligence. For policymakers, the review </w:t>
      </w:r>
      <w:proofErr w:type="spellStart"/>
      <w:r w:rsidRPr="00457F36">
        <w:rPr>
          <w:rFonts w:ascii="Times New Roman" w:hAnsi="Times New Roman" w:cs="Times New Roman"/>
          <w:bCs/>
          <w:sz w:val="24"/>
          <w:szCs w:val="24"/>
        </w:rPr>
        <w:t>synthesises</w:t>
      </w:r>
      <w:proofErr w:type="spellEnd"/>
      <w:r w:rsidRPr="00457F36">
        <w:rPr>
          <w:rFonts w:ascii="Times New Roman" w:hAnsi="Times New Roman" w:cs="Times New Roman"/>
          <w:bCs/>
          <w:sz w:val="24"/>
          <w:szCs w:val="24"/>
        </w:rPr>
        <w:t xml:space="preserve"> regulatory and infrastructure interventions with demonstrated potential to improve investment outcomes while identifying reforms that remain under-evaluated—particularly tourism-specific visa regimes (adopted by only 8 SSA countries), land tenure reform (only 12 countries with tourism land policies), and investment promotion (average tourism promotion budget of US$2.1 million per SSA country compared to US$18.7 million in Southeast Asia). For development finance institutions, the review maps opportunities for blended finance structures that address binding constraints on private investment, noting that only 18% of DFI tourism funding currently targets investment readiness barriers despite these representing 67% of investor-identified constraints (</w:t>
      </w:r>
      <w:proofErr w:type="spellStart"/>
      <w:r w:rsidRPr="00457F36">
        <w:rPr>
          <w:rFonts w:ascii="Times New Roman" w:hAnsi="Times New Roman" w:cs="Times New Roman"/>
          <w:bCs/>
          <w:sz w:val="24"/>
          <w:szCs w:val="24"/>
        </w:rPr>
        <w:t>Kimbu</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Tichaawa</w:t>
      </w:r>
      <w:proofErr w:type="spellEnd"/>
      <w:r w:rsidRPr="00457F36">
        <w:rPr>
          <w:rFonts w:ascii="Times New Roman" w:hAnsi="Times New Roman" w:cs="Times New Roman"/>
          <w:bCs/>
          <w:sz w:val="24"/>
          <w:szCs w:val="24"/>
        </w:rPr>
        <w:t xml:space="preserve">, 2020; </w:t>
      </w:r>
      <w:proofErr w:type="spellStart"/>
      <w:r w:rsidRPr="00457F36">
        <w:rPr>
          <w:rFonts w:ascii="Times New Roman" w:hAnsi="Times New Roman" w:cs="Times New Roman"/>
          <w:bCs/>
          <w:sz w:val="24"/>
          <w:szCs w:val="24"/>
        </w:rPr>
        <w:t>AfDB</w:t>
      </w:r>
      <w:proofErr w:type="spellEnd"/>
      <w:r w:rsidRPr="00457F36">
        <w:rPr>
          <w:rFonts w:ascii="Times New Roman" w:hAnsi="Times New Roman" w:cs="Times New Roman"/>
          <w:bCs/>
          <w:sz w:val="24"/>
          <w:szCs w:val="24"/>
        </w:rPr>
        <w:t>, 2024; WTTC, 2024).</w:t>
      </w:r>
    </w:p>
    <w:p w:rsidR="00457F36" w:rsidRPr="00241C72" w:rsidRDefault="00457F36" w:rsidP="00457F36">
      <w:pPr>
        <w:jc w:val="both"/>
        <w:rPr>
          <w:rFonts w:ascii="Times New Roman" w:hAnsi="Times New Roman" w:cs="Times New Roman"/>
          <w:b/>
          <w:bCs/>
          <w:sz w:val="24"/>
          <w:szCs w:val="24"/>
        </w:rPr>
      </w:pPr>
      <w:r w:rsidRPr="00241C72">
        <w:rPr>
          <w:rFonts w:ascii="Times New Roman" w:hAnsi="Times New Roman" w:cs="Times New Roman"/>
          <w:b/>
          <w:bCs/>
          <w:sz w:val="24"/>
          <w:szCs w:val="24"/>
        </w:rPr>
        <w:t>1.8 Scope and Delimitations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This review focuses on Sub-Saharan Africa, comprising 49 countries with a combined population of 1.2 billion people and tourism receipts of US$42 billion annually (2019 peak), excluding North Africa due to substantially different tourism market structures (mass coastal tourism versus SSA's nature-cultural focus), investment climates (North Africa attracts 4.7 times more tourism FDI per capita than SSA), and regional integration dynamics (</w:t>
      </w:r>
      <w:proofErr w:type="spellStart"/>
      <w:r w:rsidRPr="00457F36">
        <w:rPr>
          <w:rFonts w:ascii="Times New Roman" w:hAnsi="Times New Roman" w:cs="Times New Roman"/>
          <w:bCs/>
          <w:sz w:val="24"/>
          <w:szCs w:val="24"/>
        </w:rPr>
        <w:t>Kimbu</w:t>
      </w:r>
      <w:proofErr w:type="spellEnd"/>
      <w:r w:rsidRPr="00457F36">
        <w:rPr>
          <w:rFonts w:ascii="Times New Roman" w:hAnsi="Times New Roman" w:cs="Times New Roman"/>
          <w:bCs/>
          <w:sz w:val="24"/>
          <w:szCs w:val="24"/>
        </w:rPr>
        <w:t xml:space="preserve"> &amp; </w:t>
      </w:r>
      <w:proofErr w:type="spellStart"/>
      <w:r w:rsidRPr="00457F36">
        <w:rPr>
          <w:rFonts w:ascii="Times New Roman" w:hAnsi="Times New Roman" w:cs="Times New Roman"/>
          <w:bCs/>
          <w:sz w:val="24"/>
          <w:szCs w:val="24"/>
        </w:rPr>
        <w:t>Tichaawa</w:t>
      </w:r>
      <w:proofErr w:type="spellEnd"/>
      <w:r w:rsidRPr="00457F36">
        <w:rPr>
          <w:rFonts w:ascii="Times New Roman" w:hAnsi="Times New Roman" w:cs="Times New Roman"/>
          <w:bCs/>
          <w:sz w:val="24"/>
          <w:szCs w:val="24"/>
        </w:rPr>
        <w:t xml:space="preserve">, 2020; UNWTO, 2023). The temporal scope encompasses literature published from 2000 to 2025, capturing the period during which SSA tourism investment gained policy attention (post-2000 African Renaissance tourism initiatives), digital transformation began affecting tourism business models (post-2010 </w:t>
      </w:r>
      <w:r w:rsidRPr="00457F36">
        <w:rPr>
          <w:rFonts w:ascii="Times New Roman" w:hAnsi="Times New Roman" w:cs="Times New Roman"/>
          <w:bCs/>
          <w:sz w:val="24"/>
          <w:szCs w:val="24"/>
        </w:rPr>
        <w:lastRenderedPageBreak/>
        <w:t xml:space="preserve">mobile internet expansion), and patient capital emerged as a distinct asset class in SSA (post-2015 SDG financing frameworks). Geographic scope includes West Africa (16 countries, 12% of SSA tourism FDI), East Africa (14 countries, 24% of SSA tourism FDI), Southern Africa (10 countries, 58% of SSA tourism FDI), and Central Africa (9 countries, 6% of SSA tourism FDI), with comparative analysis across these regions where evidence permits. Thematic scope encompasses ease of doing business indicators, enabling environment characteristics, ROI evidence, patient capital applications, and </w:t>
      </w:r>
      <w:r w:rsidR="00241C72">
        <w:rPr>
          <w:rFonts w:ascii="Times New Roman" w:hAnsi="Times New Roman" w:cs="Times New Roman"/>
          <w:bCs/>
          <w:sz w:val="24"/>
          <w:szCs w:val="24"/>
        </w:rPr>
        <w:t xml:space="preserve">tech-enabled ventures, </w:t>
      </w:r>
      <w:r w:rsidRPr="00457F36">
        <w:rPr>
          <w:rFonts w:ascii="Times New Roman" w:hAnsi="Times New Roman" w:cs="Times New Roman"/>
          <w:bCs/>
          <w:sz w:val="24"/>
          <w:szCs w:val="24"/>
        </w:rPr>
        <w:t>excluding purely operational tourism management topics without investment relevance, such as customer service training or destination marketing tactics, unless explicitly linked to investment outcomes.</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The remainder of this review proceeds as follows. Section 2 presents the systematic review methodology, including search strategy, inclusion criteria, quality assessment, and data extraction procedures. Section 3 </w:t>
      </w:r>
      <w:proofErr w:type="spellStart"/>
      <w:r w:rsidRPr="00457F36">
        <w:rPr>
          <w:rFonts w:ascii="Times New Roman" w:hAnsi="Times New Roman" w:cs="Times New Roman"/>
          <w:bCs/>
          <w:sz w:val="24"/>
          <w:szCs w:val="24"/>
        </w:rPr>
        <w:t>synthesises</w:t>
      </w:r>
      <w:proofErr w:type="spellEnd"/>
      <w:r w:rsidRPr="00457F36">
        <w:rPr>
          <w:rFonts w:ascii="Times New Roman" w:hAnsi="Times New Roman" w:cs="Times New Roman"/>
          <w:bCs/>
          <w:sz w:val="24"/>
          <w:szCs w:val="24"/>
        </w:rPr>
        <w:t xml:space="preserve"> evidence across the six thematic domains: mapping the investment landscape, ease of doing tourism business indicators, enabling environment characteristics, ROI evidence, tech-enabled ventures, and the proposed Tourism Inves</w:t>
      </w:r>
      <w:r w:rsidR="00B71C8A">
        <w:rPr>
          <w:rFonts w:ascii="Times New Roman" w:hAnsi="Times New Roman" w:cs="Times New Roman"/>
          <w:bCs/>
          <w:sz w:val="24"/>
          <w:szCs w:val="24"/>
        </w:rPr>
        <w:t>tment Readiness Index. The section</w:t>
      </w:r>
      <w:r w:rsidRPr="00457F36">
        <w:rPr>
          <w:rFonts w:ascii="Times New Roman" w:hAnsi="Times New Roman" w:cs="Times New Roman"/>
          <w:bCs/>
          <w:sz w:val="24"/>
          <w:szCs w:val="24"/>
        </w:rPr>
        <w:t xml:space="preserve"> </w:t>
      </w:r>
      <w:r w:rsidR="00B71C8A">
        <w:rPr>
          <w:rFonts w:ascii="Times New Roman" w:hAnsi="Times New Roman" w:cs="Times New Roman"/>
          <w:bCs/>
          <w:sz w:val="24"/>
          <w:szCs w:val="24"/>
        </w:rPr>
        <w:t xml:space="preserve">also </w:t>
      </w:r>
      <w:r w:rsidRPr="00457F36">
        <w:rPr>
          <w:rFonts w:ascii="Times New Roman" w:hAnsi="Times New Roman" w:cs="Times New Roman"/>
          <w:bCs/>
          <w:sz w:val="24"/>
          <w:szCs w:val="24"/>
        </w:rPr>
        <w:t>discusses findings, articulates theoretical and practical implications, and identifies priority direction</w:t>
      </w:r>
      <w:r w:rsidR="00B71C8A">
        <w:rPr>
          <w:rFonts w:ascii="Times New Roman" w:hAnsi="Times New Roman" w:cs="Times New Roman"/>
          <w:bCs/>
          <w:sz w:val="24"/>
          <w:szCs w:val="24"/>
        </w:rPr>
        <w:t>s for future research. Section 4</w:t>
      </w:r>
      <w:r w:rsidRPr="00457F36">
        <w:rPr>
          <w:rFonts w:ascii="Times New Roman" w:hAnsi="Times New Roman" w:cs="Times New Roman"/>
          <w:bCs/>
          <w:sz w:val="24"/>
          <w:szCs w:val="24"/>
        </w:rPr>
        <w:t xml:space="preserve"> concludes with actionable recommendations for investors, policymakers, and development finance institutions seeking to unlock SSA's substantial but </w:t>
      </w:r>
      <w:proofErr w:type="spellStart"/>
      <w:r w:rsidRPr="00457F36">
        <w:rPr>
          <w:rFonts w:ascii="Times New Roman" w:hAnsi="Times New Roman" w:cs="Times New Roman"/>
          <w:bCs/>
          <w:sz w:val="24"/>
          <w:szCs w:val="24"/>
        </w:rPr>
        <w:t>underrealised</w:t>
      </w:r>
      <w:proofErr w:type="spellEnd"/>
      <w:r w:rsidRPr="00457F36">
        <w:rPr>
          <w:rFonts w:ascii="Times New Roman" w:hAnsi="Times New Roman" w:cs="Times New Roman"/>
          <w:bCs/>
          <w:sz w:val="24"/>
          <w:szCs w:val="24"/>
        </w:rPr>
        <w:t xml:space="preserve"> tourism investment</w:t>
      </w:r>
      <w:r w:rsidR="00811B1C">
        <w:rPr>
          <w:rFonts w:ascii="Times New Roman" w:hAnsi="Times New Roman" w:cs="Times New Roman"/>
          <w:bCs/>
          <w:sz w:val="24"/>
          <w:szCs w:val="24"/>
        </w:rPr>
        <w:t xml:space="preserve"> potential, </w:t>
      </w:r>
      <w:r w:rsidRPr="00457F36">
        <w:rPr>
          <w:rFonts w:ascii="Times New Roman" w:hAnsi="Times New Roman" w:cs="Times New Roman"/>
          <w:bCs/>
          <w:sz w:val="24"/>
          <w:szCs w:val="24"/>
        </w:rPr>
        <w:t xml:space="preserve">estimated at US$8-12 billion annually of foregone investment and 2.5-3.8 million potential jobs currently </w:t>
      </w:r>
      <w:proofErr w:type="spellStart"/>
      <w:r w:rsidRPr="00457F36">
        <w:rPr>
          <w:rFonts w:ascii="Times New Roman" w:hAnsi="Times New Roman" w:cs="Times New Roman"/>
          <w:bCs/>
          <w:sz w:val="24"/>
          <w:szCs w:val="24"/>
        </w:rPr>
        <w:t>unrealised</w:t>
      </w:r>
      <w:proofErr w:type="spellEnd"/>
      <w:r w:rsidRPr="00457F36">
        <w:rPr>
          <w:rFonts w:ascii="Times New Roman" w:hAnsi="Times New Roman" w:cs="Times New Roman"/>
          <w:bCs/>
          <w:sz w:val="24"/>
          <w:szCs w:val="24"/>
        </w:rPr>
        <w:t xml:space="preserve"> due to investment readiness gaps (author calculations based on UNWTO, World Bank, and ILO data).</w:t>
      </w:r>
    </w:p>
    <w:p w:rsidR="008C0303" w:rsidRPr="008C0303" w:rsidRDefault="008C0303" w:rsidP="008C0303">
      <w:pPr>
        <w:jc w:val="both"/>
        <w:rPr>
          <w:rFonts w:ascii="Times New Roman" w:hAnsi="Times New Roman" w:cs="Times New Roman"/>
          <w:b/>
          <w:bCs/>
          <w:sz w:val="24"/>
          <w:szCs w:val="24"/>
        </w:rPr>
      </w:pPr>
      <w:r w:rsidRPr="008C0303">
        <w:rPr>
          <w:rFonts w:ascii="Times New Roman" w:hAnsi="Times New Roman" w:cs="Times New Roman"/>
          <w:b/>
          <w:bCs/>
          <w:sz w:val="24"/>
          <w:szCs w:val="24"/>
        </w:rPr>
        <w:t>2. Methodology</w:t>
      </w:r>
    </w:p>
    <w:p w:rsidR="008C0303" w:rsidRPr="008C0303" w:rsidRDefault="008C0303" w:rsidP="008C0303">
      <w:pPr>
        <w:jc w:val="both"/>
        <w:rPr>
          <w:rFonts w:ascii="Times New Roman" w:hAnsi="Times New Roman" w:cs="Times New Roman"/>
          <w:b/>
          <w:bCs/>
          <w:sz w:val="24"/>
          <w:szCs w:val="24"/>
        </w:rPr>
      </w:pPr>
      <w:r w:rsidRPr="008C0303">
        <w:rPr>
          <w:rFonts w:ascii="Times New Roman" w:hAnsi="Times New Roman" w:cs="Times New Roman"/>
          <w:b/>
          <w:bCs/>
          <w:sz w:val="24"/>
          <w:szCs w:val="24"/>
        </w:rPr>
        <w:t>2.1 Philosophical and Methodological Orientation</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This systematic review adopts a pragmatist epistemological stance, </w:t>
      </w:r>
      <w:proofErr w:type="spellStart"/>
      <w:r w:rsidRPr="008C0303">
        <w:rPr>
          <w:rFonts w:ascii="Times New Roman" w:hAnsi="Times New Roman" w:cs="Times New Roman"/>
          <w:bCs/>
          <w:sz w:val="24"/>
          <w:szCs w:val="24"/>
        </w:rPr>
        <w:t>recognising</w:t>
      </w:r>
      <w:proofErr w:type="spellEnd"/>
      <w:r w:rsidRPr="008C0303">
        <w:rPr>
          <w:rFonts w:ascii="Times New Roman" w:hAnsi="Times New Roman" w:cs="Times New Roman"/>
          <w:bCs/>
          <w:sz w:val="24"/>
          <w:szCs w:val="24"/>
        </w:rPr>
        <w:t xml:space="preserve"> that tourism investment decisions in Sub-Saharan Africa (SSA) are neither purely positivist (reducible to quantifiable risk-return metrics) nor purely </w:t>
      </w:r>
      <w:proofErr w:type="spellStart"/>
      <w:r w:rsidRPr="008C0303">
        <w:rPr>
          <w:rFonts w:ascii="Times New Roman" w:hAnsi="Times New Roman" w:cs="Times New Roman"/>
          <w:bCs/>
          <w:sz w:val="24"/>
          <w:szCs w:val="24"/>
        </w:rPr>
        <w:t>interpretivist</w:t>
      </w:r>
      <w:proofErr w:type="spellEnd"/>
      <w:r w:rsidRPr="008C0303">
        <w:rPr>
          <w:rFonts w:ascii="Times New Roman" w:hAnsi="Times New Roman" w:cs="Times New Roman"/>
          <w:bCs/>
          <w:sz w:val="24"/>
          <w:szCs w:val="24"/>
        </w:rPr>
        <w:t xml:space="preserve"> (socially constructed without material foundations), but rather emerge from the interaction between measurable financial indicators and institutionally embedded investor perceptions (</w:t>
      </w:r>
      <w:proofErr w:type="spellStart"/>
      <w:r w:rsidRPr="008C0303">
        <w:rPr>
          <w:rFonts w:ascii="Times New Roman" w:hAnsi="Times New Roman" w:cs="Times New Roman"/>
          <w:bCs/>
          <w:sz w:val="24"/>
          <w:szCs w:val="24"/>
        </w:rPr>
        <w:t>Kimbu</w:t>
      </w:r>
      <w:proofErr w:type="spellEnd"/>
      <w:r w:rsidRPr="008C0303">
        <w:rPr>
          <w:rFonts w:ascii="Times New Roman" w:hAnsi="Times New Roman" w:cs="Times New Roman"/>
          <w:bCs/>
          <w:sz w:val="24"/>
          <w:szCs w:val="24"/>
        </w:rPr>
        <w:t xml:space="preserve"> &amp; </w:t>
      </w:r>
      <w:proofErr w:type="spellStart"/>
      <w:r w:rsidRPr="008C0303">
        <w:rPr>
          <w:rFonts w:ascii="Times New Roman" w:hAnsi="Times New Roman" w:cs="Times New Roman"/>
          <w:bCs/>
          <w:sz w:val="24"/>
          <w:szCs w:val="24"/>
        </w:rPr>
        <w:t>Tichaawa</w:t>
      </w:r>
      <w:proofErr w:type="spellEnd"/>
      <w:r w:rsidRPr="008C0303">
        <w:rPr>
          <w:rFonts w:ascii="Times New Roman" w:hAnsi="Times New Roman" w:cs="Times New Roman"/>
          <w:bCs/>
          <w:sz w:val="24"/>
          <w:szCs w:val="24"/>
        </w:rPr>
        <w:t>, 2020; Zhang et al., 2023). Consequently, the review methodology integrates quantitative synthesis of available financial data with qualitative synthesis of regulatory, governance, and enabling environment evidence, following established protocols for mixed-methods systematic reviews in tourism research (</w:t>
      </w:r>
      <w:proofErr w:type="spellStart"/>
      <w:r w:rsidRPr="008C0303">
        <w:rPr>
          <w:rFonts w:ascii="Times New Roman" w:hAnsi="Times New Roman" w:cs="Times New Roman"/>
          <w:bCs/>
          <w:sz w:val="24"/>
          <w:szCs w:val="24"/>
        </w:rPr>
        <w:t>Mendola</w:t>
      </w:r>
      <w:proofErr w:type="spellEnd"/>
      <w:r w:rsidRPr="008C0303">
        <w:rPr>
          <w:rFonts w:ascii="Times New Roman" w:hAnsi="Times New Roman" w:cs="Times New Roman"/>
          <w:bCs/>
          <w:sz w:val="24"/>
          <w:szCs w:val="24"/>
        </w:rPr>
        <w:t xml:space="preserve"> &amp; Volo, 2017; </w:t>
      </w:r>
      <w:proofErr w:type="spellStart"/>
      <w:r w:rsidRPr="008C0303">
        <w:rPr>
          <w:rFonts w:ascii="Times New Roman" w:hAnsi="Times New Roman" w:cs="Times New Roman"/>
          <w:bCs/>
          <w:sz w:val="24"/>
          <w:szCs w:val="24"/>
        </w:rPr>
        <w:t>Pattiyagedara</w:t>
      </w:r>
      <w:proofErr w:type="spellEnd"/>
      <w:r w:rsidRPr="008C0303">
        <w:rPr>
          <w:rFonts w:ascii="Times New Roman" w:hAnsi="Times New Roman" w:cs="Times New Roman"/>
          <w:bCs/>
          <w:sz w:val="24"/>
          <w:szCs w:val="24"/>
        </w:rPr>
        <w:t xml:space="preserve"> &amp; </w:t>
      </w:r>
      <w:proofErr w:type="spellStart"/>
      <w:r w:rsidRPr="008C0303">
        <w:rPr>
          <w:rFonts w:ascii="Times New Roman" w:hAnsi="Times New Roman" w:cs="Times New Roman"/>
          <w:bCs/>
          <w:sz w:val="24"/>
          <w:szCs w:val="24"/>
        </w:rPr>
        <w:t>Ranasinghe</w:t>
      </w:r>
      <w:proofErr w:type="spellEnd"/>
      <w:r w:rsidRPr="008C0303">
        <w:rPr>
          <w:rFonts w:ascii="Times New Roman" w:hAnsi="Times New Roman" w:cs="Times New Roman"/>
          <w:bCs/>
          <w:sz w:val="24"/>
          <w:szCs w:val="24"/>
        </w:rPr>
        <w:t xml:space="preserve">, 2024). This orientation </w:t>
      </w:r>
      <w:proofErr w:type="spellStart"/>
      <w:r w:rsidRPr="008C0303">
        <w:rPr>
          <w:rFonts w:ascii="Times New Roman" w:hAnsi="Times New Roman" w:cs="Times New Roman"/>
          <w:bCs/>
          <w:sz w:val="24"/>
          <w:szCs w:val="24"/>
        </w:rPr>
        <w:t>recognises</w:t>
      </w:r>
      <w:proofErr w:type="spellEnd"/>
      <w:r w:rsidRPr="008C0303">
        <w:rPr>
          <w:rFonts w:ascii="Times New Roman" w:hAnsi="Times New Roman" w:cs="Times New Roman"/>
          <w:bCs/>
          <w:sz w:val="24"/>
          <w:szCs w:val="24"/>
        </w:rPr>
        <w:t xml:space="preserve"> that investment readiness is fundamentally a </w:t>
      </w:r>
      <w:r w:rsidRPr="00811B1C">
        <w:rPr>
          <w:rFonts w:ascii="Times New Roman" w:hAnsi="Times New Roman" w:cs="Times New Roman"/>
          <w:bCs/>
          <w:iCs/>
          <w:sz w:val="24"/>
          <w:szCs w:val="24"/>
        </w:rPr>
        <w:t>relational</w:t>
      </w:r>
      <w:r w:rsidRPr="00811B1C">
        <w:rPr>
          <w:rFonts w:ascii="Times New Roman" w:hAnsi="Times New Roman" w:cs="Times New Roman"/>
          <w:bCs/>
          <w:sz w:val="24"/>
          <w:szCs w:val="24"/>
        </w:rPr>
        <w:t> </w:t>
      </w:r>
      <w:r w:rsidRPr="008C0303">
        <w:rPr>
          <w:rFonts w:ascii="Times New Roman" w:hAnsi="Times New Roman" w:cs="Times New Roman"/>
          <w:bCs/>
          <w:sz w:val="24"/>
          <w:szCs w:val="24"/>
        </w:rPr>
        <w:t>concept</w:t>
      </w:r>
      <w:r w:rsidR="00811B1C">
        <w:rPr>
          <w:rFonts w:ascii="Times New Roman" w:hAnsi="Times New Roman" w:cs="Times New Roman"/>
          <w:bCs/>
          <w:sz w:val="24"/>
          <w:szCs w:val="24"/>
        </w:rPr>
        <w:t xml:space="preserve">, </w:t>
      </w:r>
      <w:r w:rsidRPr="008C0303">
        <w:rPr>
          <w:rFonts w:ascii="Times New Roman" w:hAnsi="Times New Roman" w:cs="Times New Roman"/>
          <w:bCs/>
          <w:sz w:val="24"/>
          <w:szCs w:val="24"/>
        </w:rPr>
        <w:t xml:space="preserve">determined not only by objective regulatory indicators but also by how investors perceive, interpret, and respond to those indicators within their specific capital allocation frameworks (Chen et al., 2025; </w:t>
      </w:r>
      <w:proofErr w:type="spellStart"/>
      <w:r w:rsidRPr="008C0303">
        <w:rPr>
          <w:rFonts w:ascii="Times New Roman" w:hAnsi="Times New Roman" w:cs="Times New Roman"/>
          <w:bCs/>
          <w:sz w:val="24"/>
          <w:szCs w:val="24"/>
        </w:rPr>
        <w:t>Asongu</w:t>
      </w:r>
      <w:proofErr w:type="spellEnd"/>
      <w:r w:rsidRPr="008C0303">
        <w:rPr>
          <w:rFonts w:ascii="Times New Roman" w:hAnsi="Times New Roman" w:cs="Times New Roman"/>
          <w:bCs/>
          <w:sz w:val="24"/>
          <w:szCs w:val="24"/>
        </w:rPr>
        <w:t xml:space="preserve"> et al., 2023).</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The review protocol the Preferred Reporting Items for Systematic Reviews and Meta-Analyses (PRISHMA) guidelines, adapted for business and economics systematic reviews where meta-analysis is precluded by heterogeneous outcome measures (Page et al., 2021). The review diverges from standard PRISMA in two respects: first, inclusion of grey literature as a primary rather than supplementary evidence stream, justified by the absence of peer-reviewed project-level financial </w:t>
      </w:r>
      <w:r w:rsidRPr="008C0303">
        <w:rPr>
          <w:rFonts w:ascii="Times New Roman" w:hAnsi="Times New Roman" w:cs="Times New Roman"/>
          <w:bCs/>
          <w:sz w:val="24"/>
          <w:szCs w:val="24"/>
        </w:rPr>
        <w:lastRenderedPageBreak/>
        <w:t>data in tourism investment research; second, development of investor-facing output formats (summary dashboards, evidence quality ratings) that depart from conventional academic systematic review reporting.</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2.2 Dual-Stream Literature Search Protocol</w:t>
      </w:r>
    </w:p>
    <w:p w:rsidR="008C0303" w:rsidRPr="008C0303" w:rsidRDefault="008C0303" w:rsidP="008C0303">
      <w:pPr>
        <w:jc w:val="both"/>
        <w:rPr>
          <w:rFonts w:ascii="Times New Roman" w:hAnsi="Times New Roman" w:cs="Times New Roman"/>
          <w:bCs/>
          <w:sz w:val="24"/>
          <w:szCs w:val="24"/>
        </w:rPr>
      </w:pPr>
      <w:proofErr w:type="spellStart"/>
      <w:r w:rsidRPr="008C0303">
        <w:rPr>
          <w:rFonts w:ascii="Times New Roman" w:hAnsi="Times New Roman" w:cs="Times New Roman"/>
          <w:bCs/>
          <w:sz w:val="24"/>
          <w:szCs w:val="24"/>
        </w:rPr>
        <w:t>Recognising</w:t>
      </w:r>
      <w:proofErr w:type="spellEnd"/>
      <w:r w:rsidRPr="008C0303">
        <w:rPr>
          <w:rFonts w:ascii="Times New Roman" w:hAnsi="Times New Roman" w:cs="Times New Roman"/>
          <w:bCs/>
          <w:sz w:val="24"/>
          <w:szCs w:val="24"/>
        </w:rPr>
        <w:t xml:space="preserve"> that tourism investment readiness evidence resides in two parallel </w:t>
      </w:r>
      <w:r w:rsidR="000033ED">
        <w:rPr>
          <w:rFonts w:ascii="Times New Roman" w:hAnsi="Times New Roman" w:cs="Times New Roman"/>
          <w:bCs/>
          <w:sz w:val="24"/>
          <w:szCs w:val="24"/>
        </w:rPr>
        <w:t xml:space="preserve">but poorly integrated universes, </w:t>
      </w:r>
      <w:r w:rsidRPr="008C0303">
        <w:rPr>
          <w:rFonts w:ascii="Times New Roman" w:hAnsi="Times New Roman" w:cs="Times New Roman"/>
          <w:bCs/>
          <w:sz w:val="24"/>
          <w:szCs w:val="24"/>
        </w:rPr>
        <w:t>peer-reviewed academic literature and practitioner-focused grey literature</w:t>
      </w:r>
      <w:r w:rsidR="000033ED">
        <w:rPr>
          <w:rFonts w:ascii="Times New Roman" w:hAnsi="Times New Roman" w:cs="Times New Roman"/>
          <w:bCs/>
          <w:sz w:val="24"/>
          <w:szCs w:val="24"/>
        </w:rPr>
        <w:t xml:space="preserve">, </w:t>
      </w:r>
      <w:r w:rsidRPr="008C0303">
        <w:rPr>
          <w:rFonts w:ascii="Times New Roman" w:hAnsi="Times New Roman" w:cs="Times New Roman"/>
          <w:bCs/>
          <w:sz w:val="24"/>
          <w:szCs w:val="24"/>
        </w:rPr>
        <w:t>we developed a dual-stream search protocol (Protocol A). This design addresses the fundamental evidence gap identified in Section 1.3: project-level ROI data and tourism-specific regulatory indicators are rarely published in peer-reviewed journals but appear regularly in industry reports, investment guides, and development finance institution evaluations (</w:t>
      </w:r>
      <w:proofErr w:type="spellStart"/>
      <w:r w:rsidRPr="008C0303">
        <w:rPr>
          <w:rFonts w:ascii="Times New Roman" w:hAnsi="Times New Roman" w:cs="Times New Roman"/>
          <w:bCs/>
          <w:sz w:val="24"/>
          <w:szCs w:val="24"/>
        </w:rPr>
        <w:t>Kimbu</w:t>
      </w:r>
      <w:proofErr w:type="spellEnd"/>
      <w:r w:rsidRPr="008C0303">
        <w:rPr>
          <w:rFonts w:ascii="Times New Roman" w:hAnsi="Times New Roman" w:cs="Times New Roman"/>
          <w:bCs/>
          <w:sz w:val="24"/>
          <w:szCs w:val="24"/>
        </w:rPr>
        <w:t xml:space="preserve"> &amp; </w:t>
      </w:r>
      <w:proofErr w:type="spellStart"/>
      <w:r w:rsidRPr="008C0303">
        <w:rPr>
          <w:rFonts w:ascii="Times New Roman" w:hAnsi="Times New Roman" w:cs="Times New Roman"/>
          <w:bCs/>
          <w:sz w:val="24"/>
          <w:szCs w:val="24"/>
        </w:rPr>
        <w:t>Tichaawa</w:t>
      </w:r>
      <w:proofErr w:type="spellEnd"/>
      <w:r w:rsidRPr="008C0303">
        <w:rPr>
          <w:rFonts w:ascii="Times New Roman" w:hAnsi="Times New Roman" w:cs="Times New Roman"/>
          <w:bCs/>
          <w:sz w:val="24"/>
          <w:szCs w:val="24"/>
        </w:rPr>
        <w:t xml:space="preserve">, 2020; </w:t>
      </w:r>
      <w:proofErr w:type="spellStart"/>
      <w:r w:rsidRPr="008C0303">
        <w:rPr>
          <w:rFonts w:ascii="Times New Roman" w:hAnsi="Times New Roman" w:cs="Times New Roman"/>
          <w:bCs/>
          <w:sz w:val="24"/>
          <w:szCs w:val="24"/>
        </w:rPr>
        <w:t>Lemunge</w:t>
      </w:r>
      <w:proofErr w:type="spellEnd"/>
      <w:r w:rsidRPr="008C0303">
        <w:rPr>
          <w:rFonts w:ascii="Times New Roman" w:hAnsi="Times New Roman" w:cs="Times New Roman"/>
          <w:bCs/>
          <w:sz w:val="24"/>
          <w:szCs w:val="24"/>
        </w:rPr>
        <w:t xml:space="preserve"> et al., 2025).</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2.2.1 Stream 1: Academic Literature</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The academic search targeted peer-reviewed evidence on tourism investment climate, ROI determinants, ease of doing business indicators, and enabling environment characteristics within SSA. Databases searched included Scopus (Elsevier), Web of Science Core Collection (</w:t>
      </w:r>
      <w:proofErr w:type="spellStart"/>
      <w:r w:rsidRPr="008C0303">
        <w:rPr>
          <w:rFonts w:ascii="Times New Roman" w:hAnsi="Times New Roman" w:cs="Times New Roman"/>
          <w:bCs/>
          <w:sz w:val="24"/>
          <w:szCs w:val="24"/>
        </w:rPr>
        <w:t>Clarivate</w:t>
      </w:r>
      <w:proofErr w:type="spellEnd"/>
      <w:r w:rsidRPr="008C0303">
        <w:rPr>
          <w:rFonts w:ascii="Times New Roman" w:hAnsi="Times New Roman" w:cs="Times New Roman"/>
          <w:bCs/>
          <w:sz w:val="24"/>
          <w:szCs w:val="24"/>
        </w:rPr>
        <w:t>), Google Scholar (first 200 results by relevance), and African Journals Online (AJOL) to ensure regional publication coverage. The search was conducted between January and March 2025, with no lower date restriction but an upper limit of December 2024 to allow for processing and peer review. The search string was developed iteratively through preliminary scoping searches and expert consultation, combining four concept blocks: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Concept Block 1 (Tourism Investment): ("tourism investment" OR "tourism FDI" OR "hotel investment" OR "tourism capital" OR "tourism finance" OR "ecotourism investment" OR "lodge investment" OR "tourism infrastructure investment")</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Concept Block 2 (Geography): ("Sub-Saharan Africa" OR "West Africa" OR "East Africa" OR "Southern Africa" OR "Central Africa" OR [individual country names: South Africa, Nigeria, Kenya, Ghana, Rwanda, Namibia, Senegal, Tanzania, Uganda, Botswana, Mozambique, Zambia, Zimbabwe, Ethiopia, Côte d'Ivoire, Cameroon, DRC, Angola, Malawi, Madagascar, Benin, Burkina Faso, Mali, Niger, Togo, Gabon, Republic of Congo, Liberia, Sierra Leone, Mauritania, </w:t>
      </w:r>
      <w:proofErr w:type="spellStart"/>
      <w:r w:rsidRPr="008C0303">
        <w:rPr>
          <w:rFonts w:ascii="Times New Roman" w:hAnsi="Times New Roman" w:cs="Times New Roman"/>
          <w:bCs/>
          <w:sz w:val="24"/>
          <w:szCs w:val="24"/>
        </w:rPr>
        <w:t>Eswatini</w:t>
      </w:r>
      <w:proofErr w:type="spellEnd"/>
      <w:r w:rsidRPr="008C0303">
        <w:rPr>
          <w:rFonts w:ascii="Times New Roman" w:hAnsi="Times New Roman" w:cs="Times New Roman"/>
          <w:bCs/>
          <w:sz w:val="24"/>
          <w:szCs w:val="24"/>
        </w:rPr>
        <w:t>, Lesotho, Namibia, Botswana, Zambia, Zimbabwe, Malawi, Mozambique, Angola, DRC, Congo, Gabon, Cameroon, Central African Republic, Chad, Equatorial Guinea, Burundi, Rwanda, Uganda, Kenya, Tanzania, Ethiopia, Somalia, South Sudan, Sudan, Eritrea, Djibouti, Comoros, Mauritius, Seychelles, Cabo Verde, São Tomé and Príncipe, Guinea-Bissau, Guinea, Liberia, Sierra Leone, Côte d'Ivoire, Ghana, Togo, Benin, Nigeria, Niger, Burkina Faso, Mali, Mauritania, Senegal, Gambia, Guinea-Bissau, Guinea, Liberia])</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Concept Block 3 (Investment Climate): ("ease of doing business" OR "regulatory environment" OR "investment climate" OR "business climate" OR "governance" OR "institutional quality" OR "rule of law" OR "corruption" OR "political stability" OR "contract enforcement" OR "profit repatriation" OR "tax regime" OR "land tenure" OR "visa regime" OR "licensing" OR "business registration")</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lastRenderedPageBreak/>
        <w:t>Concept Block 4 (Returns): ("return on investment" OR "ROI" OR "IRR" OR "internal rate of return" OR "payback period" OR "net present value" OR "occupancy rate" OR "average daily rate" OR "RevPAR" OR "financial performance" OR "profitability" OR "risk-adjusted return")</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The final search string combined blocks using Boolean AND/OR operators, with truncation and phrase searching as appropriate for each database platform. A representative search for Scopus was: TITLE-ABS-</w:t>
      </w:r>
      <w:proofErr w:type="gramStart"/>
      <w:r w:rsidRPr="008C0303">
        <w:rPr>
          <w:rFonts w:ascii="Times New Roman" w:hAnsi="Times New Roman" w:cs="Times New Roman"/>
          <w:bCs/>
          <w:sz w:val="24"/>
          <w:szCs w:val="24"/>
        </w:rPr>
        <w:t>KEY(</w:t>
      </w:r>
      <w:proofErr w:type="gramEnd"/>
      <w:r w:rsidRPr="008C0303">
        <w:rPr>
          <w:rFonts w:ascii="Times New Roman" w:hAnsi="Times New Roman" w:cs="Times New Roman"/>
          <w:bCs/>
          <w:sz w:val="24"/>
          <w:szCs w:val="24"/>
        </w:rPr>
        <w:t>("tourism investment" OR "tourism FDI" OR "hotel investment") AND ("Sub-Saharan Africa" OR "Ghana" OR "Kenya" OR "Rwanda" OR "Senegal" OR "Namibia" OR "Nigeria" OR "South Africa" OR "Tanzania" OR "Uganda") AND ("ease of doing business" OR "regulatory environment" OR "investment climate" OR "governance" OR "corruption") AND ("return on investment" OR "ROI" OR "IRR" OR "occupancy rate")). This search yielded 847 records after duplicate removal, of which 124 proceeded to full-text review following title and abstract screening.</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2.2.2 Stream 2: Grey and Industry Literature</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The grey literature stream targeted four document types containing evidence absent from peer-reviewed sources: (a) investment guides and country profiles from multilateral agencies; (b) industry consulting reports containing financial benchmarks; (c) development finance institution evaluation reports; and (d) conference proceedings from African tourism investment forums. Sources were selected based on preliminary mapping of tourism investment information ecosystems in SSA.</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Multilateral and Development Finance Sources: UNWTO Investment Guidelines for SSA countries (2015-2024 series), World Bank Country Private Sector Diagnostics (tourism sections only), IFC Tourism Investment Reports (Africa series), African Development Bank Tourism Sector Strategy evaluations, CDC Group (now British International Investment) tourism portfolio reviews, </w:t>
      </w:r>
      <w:proofErr w:type="spellStart"/>
      <w:r w:rsidRPr="008C0303">
        <w:rPr>
          <w:rFonts w:ascii="Times New Roman" w:hAnsi="Times New Roman" w:cs="Times New Roman"/>
          <w:bCs/>
          <w:sz w:val="24"/>
          <w:szCs w:val="24"/>
        </w:rPr>
        <w:t>Proparco</w:t>
      </w:r>
      <w:proofErr w:type="spellEnd"/>
      <w:r w:rsidRPr="008C0303">
        <w:rPr>
          <w:rFonts w:ascii="Times New Roman" w:hAnsi="Times New Roman" w:cs="Times New Roman"/>
          <w:bCs/>
          <w:sz w:val="24"/>
          <w:szCs w:val="24"/>
        </w:rPr>
        <w:t xml:space="preserve"> tourism investment case studies, US DFC Africa tourism evaluations, and EU-Africa Infrastructure Trust Fund tourism project reports.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Industry Consulting Sources: McKinsey Africa Tourism reports (2014-2024), Deloitte Hospitality Investment Outlook Africa (annual series 2018-2024), JLL Africa Hotel Investor surveys (2019-2024), AECOM Africa Tourism Infrastructure reports (2016-2024), and </w:t>
      </w:r>
      <w:proofErr w:type="spellStart"/>
      <w:r w:rsidRPr="008C0303">
        <w:rPr>
          <w:rFonts w:ascii="Times New Roman" w:hAnsi="Times New Roman" w:cs="Times New Roman"/>
          <w:bCs/>
          <w:sz w:val="24"/>
          <w:szCs w:val="24"/>
        </w:rPr>
        <w:t>Hor</w:t>
      </w:r>
      <w:r w:rsidR="000033ED">
        <w:rPr>
          <w:rFonts w:ascii="Times New Roman" w:hAnsi="Times New Roman" w:cs="Times New Roman"/>
          <w:bCs/>
          <w:sz w:val="24"/>
          <w:szCs w:val="24"/>
        </w:rPr>
        <w:t>wath</w:t>
      </w:r>
      <w:proofErr w:type="spellEnd"/>
      <w:r w:rsidR="000033ED">
        <w:rPr>
          <w:rFonts w:ascii="Times New Roman" w:hAnsi="Times New Roman" w:cs="Times New Roman"/>
          <w:bCs/>
          <w:sz w:val="24"/>
          <w:szCs w:val="24"/>
        </w:rPr>
        <w:t xml:space="preserve"> HTL Africa Hotel Surveys</w:t>
      </w:r>
      <w:r w:rsidRPr="008C0303">
        <w:rPr>
          <w:rFonts w:ascii="Times New Roman" w:hAnsi="Times New Roman" w:cs="Times New Roman"/>
          <w:bCs/>
          <w:sz w:val="24"/>
          <w:szCs w:val="24"/>
        </w:rPr>
        <w:t>.</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Conference Proceedings: Africa Hospitality Investment Forum (AHIF) proceedings (2015-2024), Africa Hotel Investment Forum (AHIF, same acronym but distinct event) presentations, and World Travel &amp; Tourism Council (WTTC) Africa Summit materials.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Investment Promotion Agency Sources: National investment promotion agency tourism investment guides from Rwanda Development Board, Ghana Investment Promotion Centre, Kenya Tourism Board, Nigeria Investment Promotion Commission, South African Tourism, Namibia Investment Promotion and Development Board, Senegal's APIX, and Tanzania Investment Centre.</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The grey literature search employed purposive sampling based on source authority rather than systematic database searching, </w:t>
      </w:r>
      <w:proofErr w:type="spellStart"/>
      <w:r w:rsidRPr="008C0303">
        <w:rPr>
          <w:rFonts w:ascii="Times New Roman" w:hAnsi="Times New Roman" w:cs="Times New Roman"/>
          <w:bCs/>
          <w:sz w:val="24"/>
          <w:szCs w:val="24"/>
        </w:rPr>
        <w:t>recognising</w:t>
      </w:r>
      <w:proofErr w:type="spellEnd"/>
      <w:r w:rsidRPr="008C0303">
        <w:rPr>
          <w:rFonts w:ascii="Times New Roman" w:hAnsi="Times New Roman" w:cs="Times New Roman"/>
          <w:bCs/>
          <w:sz w:val="24"/>
          <w:szCs w:val="24"/>
        </w:rPr>
        <w:t xml:space="preserve"> that investment reports are not consistently indexed. Each source was assessed for credibility using the AACODS (Authority, Accuracy, Coverage, </w:t>
      </w:r>
      <w:r w:rsidRPr="008C0303">
        <w:rPr>
          <w:rFonts w:ascii="Times New Roman" w:hAnsi="Times New Roman" w:cs="Times New Roman"/>
          <w:bCs/>
          <w:sz w:val="24"/>
          <w:szCs w:val="24"/>
        </w:rPr>
        <w:lastRenderedPageBreak/>
        <w:t>Objectivity, Date, Significance) checklist for grey literature (Tyndall, 2008). Sources lacking clear methodology sections or containing unsubstantiated claims were excluded.</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2.3 Investor Relevance Scoring Protocol</w:t>
      </w:r>
    </w:p>
    <w:p w:rsidR="00962A84" w:rsidRDefault="00962A84" w:rsidP="008C0303">
      <w:pPr>
        <w:jc w:val="both"/>
        <w:rPr>
          <w:rFonts w:ascii="Times New Roman" w:hAnsi="Times New Roman" w:cs="Times New Roman"/>
          <w:bCs/>
          <w:sz w:val="24"/>
          <w:szCs w:val="24"/>
        </w:rPr>
      </w:pPr>
      <w:r w:rsidRPr="00962A84">
        <w:rPr>
          <w:rFonts w:ascii="Times New Roman" w:hAnsi="Times New Roman" w:cs="Times New Roman"/>
          <w:bCs/>
          <w:sz w:val="24"/>
          <w:szCs w:val="24"/>
        </w:rPr>
        <w:t>To ensure that included studies address investment decision-making rather than purely academic or sociological questions, we developed an Investor Relevance Score (Protocol B) (</w:t>
      </w:r>
      <w:proofErr w:type="spellStart"/>
      <w:r w:rsidRPr="00962A84">
        <w:rPr>
          <w:rFonts w:ascii="Times New Roman" w:hAnsi="Times New Roman" w:cs="Times New Roman"/>
          <w:bCs/>
          <w:sz w:val="24"/>
          <w:szCs w:val="24"/>
        </w:rPr>
        <w:t>Kimbu</w:t>
      </w:r>
      <w:proofErr w:type="spellEnd"/>
      <w:r w:rsidRPr="00962A84">
        <w:rPr>
          <w:rFonts w:ascii="Times New Roman" w:hAnsi="Times New Roman" w:cs="Times New Roman"/>
          <w:bCs/>
          <w:sz w:val="24"/>
          <w:szCs w:val="24"/>
        </w:rPr>
        <w:t xml:space="preserve"> &amp; </w:t>
      </w:r>
      <w:proofErr w:type="spellStart"/>
      <w:r w:rsidRPr="00962A84">
        <w:rPr>
          <w:rFonts w:ascii="Times New Roman" w:hAnsi="Times New Roman" w:cs="Times New Roman"/>
          <w:bCs/>
          <w:sz w:val="24"/>
          <w:szCs w:val="24"/>
        </w:rPr>
        <w:t>Tichaawa</w:t>
      </w:r>
      <w:proofErr w:type="spellEnd"/>
      <w:r w:rsidRPr="00962A84">
        <w:rPr>
          <w:rFonts w:ascii="Times New Roman" w:hAnsi="Times New Roman" w:cs="Times New Roman"/>
          <w:bCs/>
          <w:sz w:val="24"/>
          <w:szCs w:val="24"/>
        </w:rPr>
        <w:t xml:space="preserve">, 2020; Zhang et al., 2023). This scoring system </w:t>
      </w:r>
      <w:proofErr w:type="spellStart"/>
      <w:r w:rsidRPr="00962A84">
        <w:rPr>
          <w:rFonts w:ascii="Times New Roman" w:hAnsi="Times New Roman" w:cs="Times New Roman"/>
          <w:bCs/>
          <w:sz w:val="24"/>
          <w:szCs w:val="24"/>
        </w:rPr>
        <w:t>operationalises</w:t>
      </w:r>
      <w:proofErr w:type="spellEnd"/>
      <w:r w:rsidRPr="00962A84">
        <w:rPr>
          <w:rFonts w:ascii="Times New Roman" w:hAnsi="Times New Roman" w:cs="Times New Roman"/>
          <w:bCs/>
          <w:sz w:val="24"/>
          <w:szCs w:val="24"/>
        </w:rPr>
        <w:t xml:space="preserve"> the investor-centric framing articulated in Section 1.6 (Chen et al., 2025; </w:t>
      </w:r>
      <w:proofErr w:type="spellStart"/>
      <w:r w:rsidRPr="00962A84">
        <w:rPr>
          <w:rFonts w:ascii="Times New Roman" w:hAnsi="Times New Roman" w:cs="Times New Roman"/>
          <w:bCs/>
          <w:sz w:val="24"/>
          <w:szCs w:val="24"/>
        </w:rPr>
        <w:t>Asongu</w:t>
      </w:r>
      <w:proofErr w:type="spellEnd"/>
      <w:r w:rsidRPr="00962A84">
        <w:rPr>
          <w:rFonts w:ascii="Times New Roman" w:hAnsi="Times New Roman" w:cs="Times New Roman"/>
          <w:bCs/>
          <w:sz w:val="24"/>
          <w:szCs w:val="24"/>
        </w:rPr>
        <w:t xml:space="preserve"> et al., 2023), distinguishing between evidence that directly informs capital allocation decisions and evidence that merely describes tourism phenomena without investment implications (</w:t>
      </w:r>
      <w:proofErr w:type="spellStart"/>
      <w:r w:rsidRPr="00962A84">
        <w:rPr>
          <w:rFonts w:ascii="Times New Roman" w:hAnsi="Times New Roman" w:cs="Times New Roman"/>
          <w:bCs/>
          <w:sz w:val="24"/>
          <w:szCs w:val="24"/>
        </w:rPr>
        <w:t>Mendola</w:t>
      </w:r>
      <w:proofErr w:type="spellEnd"/>
      <w:r w:rsidRPr="00962A84">
        <w:rPr>
          <w:rFonts w:ascii="Times New Roman" w:hAnsi="Times New Roman" w:cs="Times New Roman"/>
          <w:bCs/>
          <w:sz w:val="24"/>
          <w:szCs w:val="24"/>
        </w:rPr>
        <w:t xml:space="preserve"> &amp; Volo, 2017; </w:t>
      </w:r>
      <w:proofErr w:type="spellStart"/>
      <w:r w:rsidRPr="00962A84">
        <w:rPr>
          <w:rFonts w:ascii="Times New Roman" w:hAnsi="Times New Roman" w:cs="Times New Roman"/>
          <w:bCs/>
          <w:sz w:val="24"/>
          <w:szCs w:val="24"/>
        </w:rPr>
        <w:t>Pattiyagedara</w:t>
      </w:r>
      <w:proofErr w:type="spellEnd"/>
      <w:r w:rsidRPr="00962A84">
        <w:rPr>
          <w:rFonts w:ascii="Times New Roman" w:hAnsi="Times New Roman" w:cs="Times New Roman"/>
          <w:bCs/>
          <w:sz w:val="24"/>
          <w:szCs w:val="24"/>
        </w:rPr>
        <w:t xml:space="preserve"> &amp; </w:t>
      </w:r>
      <w:proofErr w:type="spellStart"/>
      <w:r w:rsidRPr="00962A84">
        <w:rPr>
          <w:rFonts w:ascii="Times New Roman" w:hAnsi="Times New Roman" w:cs="Times New Roman"/>
          <w:bCs/>
          <w:sz w:val="24"/>
          <w:szCs w:val="24"/>
        </w:rPr>
        <w:t>Ranasinghe</w:t>
      </w:r>
      <w:proofErr w:type="spellEnd"/>
      <w:r w:rsidRPr="00962A84">
        <w:rPr>
          <w:rFonts w:ascii="Times New Roman" w:hAnsi="Times New Roman" w:cs="Times New Roman"/>
          <w:bCs/>
          <w:sz w:val="24"/>
          <w:szCs w:val="24"/>
        </w:rPr>
        <w:t>, 2024).</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High Relevance (Include): Studies or reports containing any of the following: (a) financial data including ROI, IRR, payback periods, net present value, or cash flow projections for tourism ventures in SSA; (b) cost structures (capital expenditure, operating expenditure, </w:t>
      </w:r>
      <w:proofErr w:type="spellStart"/>
      <w:r w:rsidRPr="008C0303">
        <w:rPr>
          <w:rFonts w:ascii="Times New Roman" w:hAnsi="Times New Roman" w:cs="Times New Roman"/>
          <w:bCs/>
          <w:sz w:val="24"/>
          <w:szCs w:val="24"/>
        </w:rPr>
        <w:t>labour</w:t>
      </w:r>
      <w:proofErr w:type="spellEnd"/>
      <w:r w:rsidRPr="008C0303">
        <w:rPr>
          <w:rFonts w:ascii="Times New Roman" w:hAnsi="Times New Roman" w:cs="Times New Roman"/>
          <w:bCs/>
          <w:sz w:val="24"/>
          <w:szCs w:val="24"/>
        </w:rPr>
        <w:t xml:space="preserve"> costs, utility costs) for tourism subsectors; (c) regulatory timelines (business registration duration, visa processing times, permit approval periods) specific to tourism enterprises; (d) actual ROI figures from operating tourism businesses, even if self-reported or estimated; (e) investor case studies with sufficient detail to infer financial performance; (f) risk-return comparisons between SSA tourism and other asset classes or regions.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Medium Relevance (Include): Studies or reports containing: (a) enabling environment analysis with clear policy recommendations that investors could use to assess country risk; (b) governance indicators (corruption perceptions, rule of law indices, political stability scores) with demonstrated or </w:t>
      </w:r>
      <w:proofErr w:type="spellStart"/>
      <w:r w:rsidRPr="008C0303">
        <w:rPr>
          <w:rFonts w:ascii="Times New Roman" w:hAnsi="Times New Roman" w:cs="Times New Roman"/>
          <w:bCs/>
          <w:sz w:val="24"/>
          <w:szCs w:val="24"/>
        </w:rPr>
        <w:t>hypothesised</w:t>
      </w:r>
      <w:proofErr w:type="spellEnd"/>
      <w:r w:rsidRPr="008C0303">
        <w:rPr>
          <w:rFonts w:ascii="Times New Roman" w:hAnsi="Times New Roman" w:cs="Times New Roman"/>
          <w:bCs/>
          <w:sz w:val="24"/>
          <w:szCs w:val="24"/>
        </w:rPr>
        <w:t xml:space="preserve"> links to tourism investment outcomes; (c) infrastructure assessments (transport, energy, digital connectivity) with tourism sector specificity; (d) market entry barrier analyses that quantify costs or time requirements; (e) investment promotion agency evaluations with concrete metrics.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Low Relevance (Exclude): Studies or reports that are: (a) purely sociological or anthropological tourism studies with no economic or regulatory dimension; (b) tourist </w:t>
      </w:r>
      <w:proofErr w:type="spellStart"/>
      <w:r w:rsidRPr="008C0303">
        <w:rPr>
          <w:rFonts w:ascii="Times New Roman" w:hAnsi="Times New Roman" w:cs="Times New Roman"/>
          <w:bCs/>
          <w:sz w:val="24"/>
          <w:szCs w:val="24"/>
        </w:rPr>
        <w:t>behaviour</w:t>
      </w:r>
      <w:proofErr w:type="spellEnd"/>
      <w:r w:rsidRPr="008C0303">
        <w:rPr>
          <w:rFonts w:ascii="Times New Roman" w:hAnsi="Times New Roman" w:cs="Times New Roman"/>
          <w:bCs/>
          <w:sz w:val="24"/>
          <w:szCs w:val="24"/>
        </w:rPr>
        <w:t xml:space="preserve"> or satisfaction research without investment implications; (c) destination image or branding studies lacking financial or regulatory content; (d) community-based tourism case studies that do not report financial sustainability metrics; (e) conceptual or theoretical papers without empirical SSA focus; (f) studies focused on North Africa (Morocco, Algeria, Tunisia, Egypt, Libya) unless explicitly comparing to SSA.</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All screening was conducted independently by two reviewers, with disagreements resolved through consensus or third reviewer adjudication. Inter-rater reliability was calculated using Cohen's kappa, with acceptable agreement defined as κ ≥ 0.70 (Landis &amp; Koch, 1977). For the academic stream, 847 records were screened at title/abstract level, with 306 proceeding to full-text review. Of these, 124 met inclusion criteria for data extraction. For the grey literature stream, 189 documents were assessed for credibility, with 87 meeting AACODS criteria and containing investor-relevant content.</w:t>
      </w:r>
    </w:p>
    <w:p w:rsidR="008C0303" w:rsidRPr="000033ED" w:rsidRDefault="008C0303" w:rsidP="008C0303">
      <w:pPr>
        <w:jc w:val="both"/>
        <w:rPr>
          <w:rFonts w:ascii="Times New Roman" w:hAnsi="Times New Roman" w:cs="Times New Roman"/>
          <w:b/>
          <w:bCs/>
          <w:sz w:val="24"/>
          <w:szCs w:val="24"/>
        </w:rPr>
      </w:pPr>
      <w:r w:rsidRPr="000033ED">
        <w:rPr>
          <w:rFonts w:ascii="Times New Roman" w:hAnsi="Times New Roman" w:cs="Times New Roman"/>
          <w:b/>
          <w:bCs/>
          <w:sz w:val="24"/>
          <w:szCs w:val="24"/>
        </w:rPr>
        <w:lastRenderedPageBreak/>
        <w:t>2.4 Data Extraction Framework</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Data extraction followed a </w:t>
      </w:r>
      <w:proofErr w:type="spellStart"/>
      <w:r w:rsidRPr="008C0303">
        <w:rPr>
          <w:rFonts w:ascii="Times New Roman" w:hAnsi="Times New Roman" w:cs="Times New Roman"/>
          <w:bCs/>
          <w:sz w:val="24"/>
          <w:szCs w:val="24"/>
        </w:rPr>
        <w:t>standardised</w:t>
      </w:r>
      <w:proofErr w:type="spellEnd"/>
      <w:r w:rsidRPr="008C0303">
        <w:rPr>
          <w:rFonts w:ascii="Times New Roman" w:hAnsi="Times New Roman" w:cs="Times New Roman"/>
          <w:bCs/>
          <w:sz w:val="24"/>
          <w:szCs w:val="24"/>
        </w:rPr>
        <w:t xml:space="preserve"> template developed iteratively through pilot testing on five academic papers and five grey literature documents. The template captured six categories of information aligned with the research questions and thematic structure:</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Category 1 (Bibliographic and Source Metadata): Author(s), year, title, source type (peer-reviewed journal, working paper, industry report, DFI evaluation, investment guide), geographic scope (country, sub-region, SSA-wide), tourism subsector focus (lodging, attractions, transport, tech platforms, multiple, unspecified).</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Category 2 (Ease of Doing Tourism Business Indicators): Visa regime (description, processing time, cost, visa-on-arrival availability); business registration (time to register tourism enterprise, cost, number of procedures, specific tourism licensing requirements); land tenure (availability of tourism-specific land policies, leasehold vs freehold, duration of land leases, foreign ownership restrictions); operating permits (licensing requirements for tour operators, lodges, restaurants, guides; time and cost); tax regime (corporate tax rate, tourism-specific taxes, VAT on tourism services, withholding taxes on repatriated profits); </w:t>
      </w:r>
      <w:proofErr w:type="spellStart"/>
      <w:r w:rsidRPr="008C0303">
        <w:rPr>
          <w:rFonts w:ascii="Times New Roman" w:hAnsi="Times New Roman" w:cs="Times New Roman"/>
          <w:bCs/>
          <w:sz w:val="24"/>
          <w:szCs w:val="24"/>
        </w:rPr>
        <w:t>labour</w:t>
      </w:r>
      <w:proofErr w:type="spellEnd"/>
      <w:r w:rsidRPr="008C0303">
        <w:rPr>
          <w:rFonts w:ascii="Times New Roman" w:hAnsi="Times New Roman" w:cs="Times New Roman"/>
          <w:bCs/>
          <w:sz w:val="24"/>
          <w:szCs w:val="24"/>
        </w:rPr>
        <w:t xml:space="preserve"> regulations (work permit requirements for foreign staff, local hiring quotas, </w:t>
      </w:r>
      <w:proofErr w:type="spellStart"/>
      <w:r w:rsidRPr="008C0303">
        <w:rPr>
          <w:rFonts w:ascii="Times New Roman" w:hAnsi="Times New Roman" w:cs="Times New Roman"/>
          <w:bCs/>
          <w:sz w:val="24"/>
          <w:szCs w:val="24"/>
        </w:rPr>
        <w:t>labour</w:t>
      </w:r>
      <w:proofErr w:type="spellEnd"/>
      <w:r w:rsidRPr="008C0303">
        <w:rPr>
          <w:rFonts w:ascii="Times New Roman" w:hAnsi="Times New Roman" w:cs="Times New Roman"/>
          <w:bCs/>
          <w:sz w:val="24"/>
          <w:szCs w:val="24"/>
        </w:rPr>
        <w:t xml:space="preserve"> costs); contract enforcement (time to resolve commercial disputes, contract enforcement index).</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Category 3 (Enabling Environment Characteristics): Infrastructure (transport access to tourism sites, road quality, airport connectivity, rail where relevant; energy reliability, electricity costs, backup power requirements; water availability and quality; digital connectivity, internet penetration, mobile broadband coverage); security (tourist-specific crime data, political risk assessments, travel advisory scores, conflict proximity); government incentives (tax holidays, co-investment funds, tourism development zones, </w:t>
      </w:r>
      <w:proofErr w:type="spellStart"/>
      <w:r w:rsidRPr="008C0303">
        <w:rPr>
          <w:rFonts w:ascii="Times New Roman" w:hAnsi="Times New Roman" w:cs="Times New Roman"/>
          <w:bCs/>
          <w:sz w:val="24"/>
          <w:szCs w:val="24"/>
        </w:rPr>
        <w:t>subsidised</w:t>
      </w:r>
      <w:proofErr w:type="spellEnd"/>
      <w:r w:rsidRPr="008C0303">
        <w:rPr>
          <w:rFonts w:ascii="Times New Roman" w:hAnsi="Times New Roman" w:cs="Times New Roman"/>
          <w:bCs/>
          <w:sz w:val="24"/>
          <w:szCs w:val="24"/>
        </w:rPr>
        <w:t xml:space="preserve"> land, infrastructure support); corruption (corruption perceptions relevant to tourism, visa bribery, land allocation transparency, inspection extortion); policy frameworks (existence of tourism master plan, implementation track record, tourism-specific investment promotion).</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Category 4 (Return on Investment Evidence): Financial metrics (occupancy rates, average daily rates, revenue per available room, gross operating profit per available room, net operating income; where reported: IRR, NPV, payback period, equity multiple, cash-on-cash return); capital requirements (capital expenditure per room for hotels, development cost per lodge, infrastructure investment requirements); operating costs (</w:t>
      </w:r>
      <w:proofErr w:type="spellStart"/>
      <w:r w:rsidRPr="008C0303">
        <w:rPr>
          <w:rFonts w:ascii="Times New Roman" w:hAnsi="Times New Roman" w:cs="Times New Roman"/>
          <w:bCs/>
          <w:sz w:val="24"/>
          <w:szCs w:val="24"/>
        </w:rPr>
        <w:t>labour</w:t>
      </w:r>
      <w:proofErr w:type="spellEnd"/>
      <w:r w:rsidRPr="008C0303">
        <w:rPr>
          <w:rFonts w:ascii="Times New Roman" w:hAnsi="Times New Roman" w:cs="Times New Roman"/>
          <w:bCs/>
          <w:sz w:val="24"/>
          <w:szCs w:val="24"/>
        </w:rPr>
        <w:t xml:space="preserve"> as percentage of revenue, utility costs, marketing expenses, management fees); investment time horizons (construction period, ramp-up period, hold period, exit timing). For each ROI claim, the evidence quality rating (Protocol D) was recorded: Gold (audited financial statement or DFI evaluation report with verified data), Silver (industry survey with documented methodology and reasonable sample size, e.g., AHIF or JLL surveys), Bronze (expert interview, single case study, or estimated figures from credible source), Unrated (anecdotal claims or "investors say" without attributable source).</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Category 5 (Investor Typology and Capital Structure): Investor type (international chain, development finance institution, impact investor, private equity, diaspora investor, local entrepreneur, joint venture); capital scale (US$ range for total investment); capital structure </w:t>
      </w:r>
      <w:r w:rsidRPr="008C0303">
        <w:rPr>
          <w:rFonts w:ascii="Times New Roman" w:hAnsi="Times New Roman" w:cs="Times New Roman"/>
          <w:bCs/>
          <w:sz w:val="24"/>
          <w:szCs w:val="24"/>
        </w:rPr>
        <w:lastRenderedPageBreak/>
        <w:t>(debt/equity ratio, concessional vs commercial elements, blended finance components); exit strategy (trade sale, IPO, refinancing, secondary sale, indefinite hold); patient capital indicators (target hold period, expected IRR range, impact measurement framework).</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Category 6 (Tech-Enabled Venture Specifics): Venture type (booking platform, dynamic pricing engine, virtual tour provider, marketing aggregator, property management system, distribution channel); technology stack (AI/ML usage, mobile-first design, offline functionality, payment integration); capital requirements (seed stage, growth stage; US$ amounts); scaling metrics (user acquisition cost, customer lifetime value, network effects, addressable market); ROI evidence specific to tech ventures (where available).</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Data extraction was conducted by two independent reviewers for a 20% randomly selected subset to ensure reliability, with acceptable agreement defined as ≥80% concordance on extracted values. Disagreements were resolved through discussion and reference to the extraction template guidelines.</w:t>
      </w:r>
    </w:p>
    <w:p w:rsidR="008C0303" w:rsidRPr="000033ED" w:rsidRDefault="008C0303" w:rsidP="008C0303">
      <w:pPr>
        <w:jc w:val="both"/>
        <w:rPr>
          <w:rFonts w:ascii="Times New Roman" w:hAnsi="Times New Roman" w:cs="Times New Roman"/>
          <w:b/>
          <w:bCs/>
          <w:sz w:val="24"/>
          <w:szCs w:val="24"/>
        </w:rPr>
      </w:pPr>
      <w:r w:rsidRPr="000033ED">
        <w:rPr>
          <w:rFonts w:ascii="Times New Roman" w:hAnsi="Times New Roman" w:cs="Times New Roman"/>
          <w:b/>
          <w:bCs/>
          <w:sz w:val="24"/>
          <w:szCs w:val="24"/>
        </w:rPr>
        <w:t>2.5 Evidence Quality and Critical Appraisal</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Given the heterogeneous evidence types included (peer-reviewed econometric studies, industry surveys, DFI evaluations, investment guides), a single quality appraisal instrument was inappropriate. Instead, we employed source-appropriate critical appraisal tools: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 xml:space="preserve">For peer-reviewed econometric studies: Adapted criteria from the Journal of Economic Surveys' guidelines for development economics research, assessing: (a) theoretical grounding and causal identification strategy; (b) data quality and representativeness; (c) appropriate handling of </w:t>
      </w:r>
      <w:proofErr w:type="spellStart"/>
      <w:r w:rsidRPr="008C0303">
        <w:rPr>
          <w:rFonts w:ascii="Times New Roman" w:hAnsi="Times New Roman" w:cs="Times New Roman"/>
          <w:bCs/>
          <w:sz w:val="24"/>
          <w:szCs w:val="24"/>
        </w:rPr>
        <w:t>endogeneity</w:t>
      </w:r>
      <w:proofErr w:type="spellEnd"/>
      <w:r w:rsidRPr="008C0303">
        <w:rPr>
          <w:rFonts w:ascii="Times New Roman" w:hAnsi="Times New Roman" w:cs="Times New Roman"/>
          <w:bCs/>
          <w:sz w:val="24"/>
          <w:szCs w:val="24"/>
        </w:rPr>
        <w:t xml:space="preserve"> and omitted variable bias; (d) robustness checks and sensitivity analyses; (e) external validity to tourism investment contexts.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For industry surveys and consulting reports: Assessed: (a) methodology transparency (sample frame, response rate, weighting procedures); (b) sample size and composition relative to target population; (c) potential conflicts of interest (consulting clients, industry sponsors); (d) comparability across survey waves where trend data reported.</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For DFI evaluation reports: Assessed using OECD-DAC evaluation criteria: (a) relevance to tourism investment readiness; (b) coherence with other DFI activities; (c) effectiveness (achievement of investment outcomes); (d) efficiency (cost-effectiveness of interventions); (e) impact attribution (counterfactual or theory-based approaches); (f) sustainability of investment outcomes.</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For investment guides and promotion agency materials:</w:t>
      </w:r>
      <w:r w:rsidR="00962A84">
        <w:rPr>
          <w:rFonts w:ascii="Times New Roman" w:hAnsi="Times New Roman" w:cs="Times New Roman"/>
          <w:bCs/>
          <w:sz w:val="24"/>
          <w:szCs w:val="24"/>
        </w:rPr>
        <w:t> Not assessed for quality</w:t>
      </w:r>
      <w:r w:rsidRPr="008C0303">
        <w:rPr>
          <w:rFonts w:ascii="Times New Roman" w:hAnsi="Times New Roman" w:cs="Times New Roman"/>
          <w:bCs/>
          <w:sz w:val="24"/>
          <w:szCs w:val="24"/>
        </w:rPr>
        <w:t xml:space="preserve"> in a validity sense, but rather for completeness and specificity. These materials were treated as primary data on </w:t>
      </w:r>
      <w:r w:rsidRPr="00962A84">
        <w:rPr>
          <w:rFonts w:ascii="Times New Roman" w:hAnsi="Times New Roman" w:cs="Times New Roman"/>
          <w:bCs/>
          <w:iCs/>
          <w:sz w:val="24"/>
          <w:szCs w:val="24"/>
        </w:rPr>
        <w:t>what investors are told</w:t>
      </w:r>
      <w:r w:rsidRPr="008C0303">
        <w:rPr>
          <w:rFonts w:ascii="Times New Roman" w:hAnsi="Times New Roman" w:cs="Times New Roman"/>
          <w:bCs/>
          <w:sz w:val="24"/>
          <w:szCs w:val="24"/>
        </w:rPr>
        <w:t xml:space="preserve"> rather than objective conditions, </w:t>
      </w:r>
      <w:proofErr w:type="spellStart"/>
      <w:r w:rsidRPr="008C0303">
        <w:rPr>
          <w:rFonts w:ascii="Times New Roman" w:hAnsi="Times New Roman" w:cs="Times New Roman"/>
          <w:bCs/>
          <w:sz w:val="24"/>
          <w:szCs w:val="24"/>
        </w:rPr>
        <w:t>recognising</w:t>
      </w:r>
      <w:proofErr w:type="spellEnd"/>
      <w:r w:rsidRPr="008C0303">
        <w:rPr>
          <w:rFonts w:ascii="Times New Roman" w:hAnsi="Times New Roman" w:cs="Times New Roman"/>
          <w:bCs/>
          <w:sz w:val="24"/>
          <w:szCs w:val="24"/>
        </w:rPr>
        <w:t xml:space="preserve"> potential promotional bias (Chen et al., 2025).</w:t>
      </w:r>
    </w:p>
    <w:p w:rsidR="008C0303" w:rsidRP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No study or report was excluded solely on quality grounds given the scarcity of evidence; instead, quality assessments informed the strength of synthesis findings and were explicitly reported in the Investor Summary Dashboard evidence quality ratings.</w:t>
      </w:r>
    </w:p>
    <w:p w:rsidR="008C0303" w:rsidRPr="000033ED" w:rsidRDefault="008C0303" w:rsidP="008C0303">
      <w:pPr>
        <w:jc w:val="both"/>
        <w:rPr>
          <w:rFonts w:ascii="Times New Roman" w:hAnsi="Times New Roman" w:cs="Times New Roman"/>
          <w:b/>
          <w:bCs/>
          <w:sz w:val="24"/>
          <w:szCs w:val="24"/>
        </w:rPr>
      </w:pPr>
      <w:r w:rsidRPr="000033ED">
        <w:rPr>
          <w:rFonts w:ascii="Times New Roman" w:hAnsi="Times New Roman" w:cs="Times New Roman"/>
          <w:b/>
          <w:bCs/>
          <w:sz w:val="24"/>
          <w:szCs w:val="24"/>
        </w:rPr>
        <w:lastRenderedPageBreak/>
        <w:t>2.6 Data Synthesis and Analytical Strategy</w:t>
      </w:r>
    </w:p>
    <w:p w:rsidR="00D5227C" w:rsidRPr="00D5227C" w:rsidRDefault="00D5227C" w:rsidP="00D5227C">
      <w:pPr>
        <w:jc w:val="both"/>
        <w:rPr>
          <w:rFonts w:ascii="Times New Roman" w:hAnsi="Times New Roman" w:cs="Times New Roman"/>
          <w:bCs/>
          <w:sz w:val="24"/>
          <w:szCs w:val="24"/>
        </w:rPr>
      </w:pPr>
      <w:r w:rsidRPr="00D5227C">
        <w:rPr>
          <w:rFonts w:ascii="Times New Roman" w:hAnsi="Times New Roman" w:cs="Times New Roman"/>
          <w:bCs/>
          <w:sz w:val="24"/>
          <w:szCs w:val="24"/>
        </w:rPr>
        <w:t>The synthesis strategy followed a convergent integrated mixed-methods systematic review design, in which quantitative and qualitative evidence are extracted, then transformed (</w:t>
      </w:r>
      <w:proofErr w:type="spellStart"/>
      <w:r w:rsidRPr="00D5227C">
        <w:rPr>
          <w:rFonts w:ascii="Times New Roman" w:hAnsi="Times New Roman" w:cs="Times New Roman"/>
          <w:bCs/>
          <w:sz w:val="24"/>
          <w:szCs w:val="24"/>
        </w:rPr>
        <w:t>qualitized</w:t>
      </w:r>
      <w:proofErr w:type="spellEnd"/>
      <w:r w:rsidRPr="00D5227C">
        <w:rPr>
          <w:rFonts w:ascii="Times New Roman" w:hAnsi="Times New Roman" w:cs="Times New Roman"/>
          <w:bCs/>
          <w:sz w:val="24"/>
          <w:szCs w:val="24"/>
        </w:rPr>
        <w:t>) into common thematic categories and integrated in a single synthesis (</w:t>
      </w:r>
      <w:proofErr w:type="spellStart"/>
      <w:r w:rsidRPr="00D5227C">
        <w:rPr>
          <w:rFonts w:ascii="Times New Roman" w:hAnsi="Times New Roman" w:cs="Times New Roman"/>
          <w:bCs/>
          <w:sz w:val="24"/>
          <w:szCs w:val="24"/>
        </w:rPr>
        <w:t>Lizarondo</w:t>
      </w:r>
      <w:proofErr w:type="spellEnd"/>
      <w:r w:rsidRPr="00D5227C">
        <w:rPr>
          <w:rFonts w:ascii="Times New Roman" w:hAnsi="Times New Roman" w:cs="Times New Roman"/>
          <w:bCs/>
          <w:sz w:val="24"/>
          <w:szCs w:val="24"/>
        </w:rPr>
        <w:t xml:space="preserve"> et al., 2025; Purcell et al., 2023). This was appropriate because mixed-studies reviews explicitly aim to combine heterogeneous quantitative and qualitative data addressing related dimensions of a phenomenon (Hong et al., 2018; </w:t>
      </w:r>
      <w:proofErr w:type="spellStart"/>
      <w:r w:rsidRPr="00D5227C">
        <w:rPr>
          <w:rFonts w:ascii="Times New Roman" w:hAnsi="Times New Roman" w:cs="Times New Roman"/>
          <w:bCs/>
          <w:sz w:val="24"/>
          <w:szCs w:val="24"/>
        </w:rPr>
        <w:t>Souto</w:t>
      </w:r>
      <w:proofErr w:type="spellEnd"/>
      <w:r w:rsidRPr="00D5227C">
        <w:rPr>
          <w:rFonts w:ascii="Times New Roman" w:hAnsi="Times New Roman" w:cs="Times New Roman"/>
          <w:bCs/>
          <w:sz w:val="24"/>
          <w:szCs w:val="24"/>
        </w:rPr>
        <w:t xml:space="preserve"> et al., 2020; Purcell et al., 2023).</w:t>
      </w:r>
    </w:p>
    <w:p w:rsidR="00D5227C" w:rsidRPr="00D5227C" w:rsidRDefault="00D5227C" w:rsidP="00D5227C">
      <w:pPr>
        <w:jc w:val="both"/>
        <w:rPr>
          <w:rFonts w:ascii="Times New Roman" w:hAnsi="Times New Roman" w:cs="Times New Roman"/>
          <w:bCs/>
          <w:sz w:val="24"/>
          <w:szCs w:val="24"/>
        </w:rPr>
      </w:pPr>
      <w:r>
        <w:rPr>
          <w:rFonts w:ascii="Times New Roman" w:hAnsi="Times New Roman" w:cs="Times New Roman"/>
          <w:bCs/>
          <w:sz w:val="24"/>
          <w:szCs w:val="24"/>
        </w:rPr>
        <w:t>RQ1:</w:t>
      </w:r>
      <w:r w:rsidRPr="00D5227C">
        <w:rPr>
          <w:rFonts w:ascii="Times New Roman" w:hAnsi="Times New Roman" w:cs="Times New Roman"/>
          <w:bCs/>
          <w:sz w:val="24"/>
          <w:szCs w:val="24"/>
        </w:rPr>
        <w:t xml:space="preserve"> Barriers to Ease of Doing Tourism Business</w:t>
      </w:r>
      <w:r>
        <w:rPr>
          <w:rFonts w:ascii="Times New Roman" w:hAnsi="Times New Roman" w:cs="Times New Roman"/>
          <w:bCs/>
          <w:sz w:val="24"/>
          <w:szCs w:val="24"/>
        </w:rPr>
        <w:t xml:space="preserve">. </w:t>
      </w:r>
      <w:r w:rsidRPr="00D5227C">
        <w:rPr>
          <w:rFonts w:ascii="Times New Roman" w:hAnsi="Times New Roman" w:cs="Times New Roman"/>
          <w:bCs/>
          <w:sz w:val="24"/>
          <w:szCs w:val="24"/>
        </w:rPr>
        <w:t xml:space="preserve">A thematic synthesis with </w:t>
      </w:r>
      <w:proofErr w:type="spellStart"/>
      <w:r w:rsidRPr="00D5227C">
        <w:rPr>
          <w:rFonts w:ascii="Times New Roman" w:hAnsi="Times New Roman" w:cs="Times New Roman"/>
          <w:bCs/>
          <w:sz w:val="24"/>
          <w:szCs w:val="24"/>
        </w:rPr>
        <w:t>qualitization</w:t>
      </w:r>
      <w:proofErr w:type="spellEnd"/>
      <w:r w:rsidRPr="00D5227C">
        <w:rPr>
          <w:rFonts w:ascii="Times New Roman" w:hAnsi="Times New Roman" w:cs="Times New Roman"/>
          <w:bCs/>
          <w:sz w:val="24"/>
          <w:szCs w:val="24"/>
        </w:rPr>
        <w:t xml:space="preserve"> is consistent with convergent integrated MMSR guidance, which recommends assembling quantitative and qualitative findings and creating categories based on similarities in meaning (</w:t>
      </w:r>
      <w:proofErr w:type="spellStart"/>
      <w:r w:rsidRPr="00D5227C">
        <w:rPr>
          <w:rFonts w:ascii="Times New Roman" w:hAnsi="Times New Roman" w:cs="Times New Roman"/>
          <w:bCs/>
          <w:sz w:val="24"/>
          <w:szCs w:val="24"/>
        </w:rPr>
        <w:t>Lizarondo</w:t>
      </w:r>
      <w:proofErr w:type="spellEnd"/>
      <w:r w:rsidRPr="00D5227C">
        <w:rPr>
          <w:rFonts w:ascii="Times New Roman" w:hAnsi="Times New Roman" w:cs="Times New Roman"/>
          <w:bCs/>
          <w:sz w:val="24"/>
          <w:szCs w:val="24"/>
        </w:rPr>
        <w:t xml:space="preserve"> et al., 2025; Purcell et al., 2023). Subgrouping by region and subsector, and exploring heterogeneity with subgroup analysis and statistical tests, aligns with MMSR practice of integrating diverse data types while retaining quantitative detail where possible (</w:t>
      </w:r>
      <w:proofErr w:type="spellStart"/>
      <w:r w:rsidRPr="00D5227C">
        <w:rPr>
          <w:rFonts w:ascii="Times New Roman" w:hAnsi="Times New Roman" w:cs="Times New Roman"/>
          <w:bCs/>
          <w:sz w:val="24"/>
          <w:szCs w:val="24"/>
        </w:rPr>
        <w:t>Lizarondo</w:t>
      </w:r>
      <w:proofErr w:type="spellEnd"/>
      <w:r w:rsidRPr="00D5227C">
        <w:rPr>
          <w:rFonts w:ascii="Times New Roman" w:hAnsi="Times New Roman" w:cs="Times New Roman"/>
          <w:bCs/>
          <w:sz w:val="24"/>
          <w:szCs w:val="24"/>
        </w:rPr>
        <w:t xml:space="preserve"> et al., 2025; Purcell et al., 2023).</w:t>
      </w:r>
    </w:p>
    <w:p w:rsidR="00D5227C" w:rsidRPr="00D5227C" w:rsidRDefault="00D5227C" w:rsidP="00D5227C">
      <w:pPr>
        <w:jc w:val="both"/>
        <w:rPr>
          <w:rFonts w:ascii="Times New Roman" w:hAnsi="Times New Roman" w:cs="Times New Roman"/>
          <w:bCs/>
          <w:sz w:val="24"/>
          <w:szCs w:val="24"/>
        </w:rPr>
      </w:pPr>
      <w:r>
        <w:rPr>
          <w:rFonts w:ascii="Times New Roman" w:hAnsi="Times New Roman" w:cs="Times New Roman"/>
          <w:bCs/>
          <w:sz w:val="24"/>
          <w:szCs w:val="24"/>
        </w:rPr>
        <w:t>RQ2:</w:t>
      </w:r>
      <w:r w:rsidRPr="00D5227C">
        <w:rPr>
          <w:rFonts w:ascii="Times New Roman" w:hAnsi="Times New Roman" w:cs="Times New Roman"/>
          <w:bCs/>
          <w:sz w:val="24"/>
          <w:szCs w:val="24"/>
        </w:rPr>
        <w:t xml:space="preserve"> ROI Evidence and Narrative Synthesis</w:t>
      </w:r>
      <w:r>
        <w:rPr>
          <w:rFonts w:ascii="Times New Roman" w:hAnsi="Times New Roman" w:cs="Times New Roman"/>
          <w:bCs/>
          <w:sz w:val="24"/>
          <w:szCs w:val="24"/>
        </w:rPr>
        <w:t xml:space="preserve">. </w:t>
      </w:r>
      <w:r w:rsidRPr="00D5227C">
        <w:rPr>
          <w:rFonts w:ascii="Times New Roman" w:hAnsi="Times New Roman" w:cs="Times New Roman"/>
          <w:bCs/>
          <w:sz w:val="24"/>
          <w:szCs w:val="24"/>
        </w:rPr>
        <w:t>High heterogeneity in metrics and lack of standardization are established reasons to avoid meta-analysis and instead use narrative synthesis with descriptive statistics in mixed-studies reviews (</w:t>
      </w:r>
      <w:proofErr w:type="spellStart"/>
      <w:r w:rsidRPr="00D5227C">
        <w:rPr>
          <w:rFonts w:ascii="Times New Roman" w:hAnsi="Times New Roman" w:cs="Times New Roman"/>
          <w:bCs/>
          <w:sz w:val="24"/>
          <w:szCs w:val="24"/>
        </w:rPr>
        <w:t>Lizarondo</w:t>
      </w:r>
      <w:proofErr w:type="spellEnd"/>
      <w:r w:rsidRPr="00D5227C">
        <w:rPr>
          <w:rFonts w:ascii="Times New Roman" w:hAnsi="Times New Roman" w:cs="Times New Roman"/>
          <w:bCs/>
          <w:sz w:val="24"/>
          <w:szCs w:val="24"/>
        </w:rPr>
        <w:t xml:space="preserve"> et al., 2025; Purcell et al., 2023). Use of structured quality appraisal categories is consistent with mixed-methods critical appraisal approaches such as the MMAT, which provide standardized criteria and graded judgments across diverse designs (Hong et al., 2018; Whitaker et al., 2016; </w:t>
      </w:r>
      <w:proofErr w:type="spellStart"/>
      <w:r w:rsidRPr="00D5227C">
        <w:rPr>
          <w:rFonts w:ascii="Times New Roman" w:hAnsi="Times New Roman" w:cs="Times New Roman"/>
          <w:bCs/>
          <w:sz w:val="24"/>
          <w:szCs w:val="24"/>
        </w:rPr>
        <w:t>Souto</w:t>
      </w:r>
      <w:proofErr w:type="spellEnd"/>
      <w:r w:rsidRPr="00D5227C">
        <w:rPr>
          <w:rFonts w:ascii="Times New Roman" w:hAnsi="Times New Roman" w:cs="Times New Roman"/>
          <w:bCs/>
          <w:sz w:val="24"/>
          <w:szCs w:val="24"/>
        </w:rPr>
        <w:t xml:space="preserve"> et al., 2014; </w:t>
      </w:r>
      <w:proofErr w:type="spellStart"/>
      <w:r w:rsidRPr="00D5227C">
        <w:rPr>
          <w:rFonts w:ascii="Times New Roman" w:hAnsi="Times New Roman" w:cs="Times New Roman"/>
          <w:bCs/>
          <w:sz w:val="24"/>
          <w:szCs w:val="24"/>
        </w:rPr>
        <w:t>Souto</w:t>
      </w:r>
      <w:proofErr w:type="spellEnd"/>
      <w:r w:rsidRPr="00D5227C">
        <w:rPr>
          <w:rFonts w:ascii="Times New Roman" w:hAnsi="Times New Roman" w:cs="Times New Roman"/>
          <w:bCs/>
          <w:sz w:val="24"/>
          <w:szCs w:val="24"/>
        </w:rPr>
        <w:t xml:space="preserve"> et al., 2020; Hong et al., 2019). Explicit documentation of gaps aligns with guidance to use appraisal and mapping to highlight evidentiary absences in MMSRs (</w:t>
      </w:r>
      <w:proofErr w:type="spellStart"/>
      <w:r w:rsidRPr="00D5227C">
        <w:rPr>
          <w:rFonts w:ascii="Times New Roman" w:hAnsi="Times New Roman" w:cs="Times New Roman"/>
          <w:bCs/>
          <w:sz w:val="24"/>
          <w:szCs w:val="24"/>
        </w:rPr>
        <w:t>Lizarondo</w:t>
      </w:r>
      <w:proofErr w:type="spellEnd"/>
      <w:r w:rsidRPr="00D5227C">
        <w:rPr>
          <w:rFonts w:ascii="Times New Roman" w:hAnsi="Times New Roman" w:cs="Times New Roman"/>
          <w:bCs/>
          <w:sz w:val="24"/>
          <w:szCs w:val="24"/>
        </w:rPr>
        <w:t xml:space="preserve"> et al., 2025; Hong et al., 2018; </w:t>
      </w:r>
      <w:proofErr w:type="spellStart"/>
      <w:r w:rsidRPr="00D5227C">
        <w:rPr>
          <w:rFonts w:ascii="Times New Roman" w:hAnsi="Times New Roman" w:cs="Times New Roman"/>
          <w:bCs/>
          <w:sz w:val="24"/>
          <w:szCs w:val="24"/>
        </w:rPr>
        <w:t>Souto</w:t>
      </w:r>
      <w:proofErr w:type="spellEnd"/>
      <w:r w:rsidRPr="00D5227C">
        <w:rPr>
          <w:rFonts w:ascii="Times New Roman" w:hAnsi="Times New Roman" w:cs="Times New Roman"/>
          <w:bCs/>
          <w:sz w:val="24"/>
          <w:szCs w:val="24"/>
        </w:rPr>
        <w:t xml:space="preserve"> et al., 2020; Purcell et al., 2023).</w:t>
      </w:r>
    </w:p>
    <w:p w:rsidR="00D5227C" w:rsidRPr="00D5227C" w:rsidRDefault="00D5227C" w:rsidP="00D5227C">
      <w:pPr>
        <w:jc w:val="both"/>
        <w:rPr>
          <w:rFonts w:ascii="Times New Roman" w:hAnsi="Times New Roman" w:cs="Times New Roman"/>
          <w:bCs/>
          <w:sz w:val="24"/>
          <w:szCs w:val="24"/>
        </w:rPr>
      </w:pPr>
      <w:r>
        <w:rPr>
          <w:rFonts w:ascii="Times New Roman" w:hAnsi="Times New Roman" w:cs="Times New Roman"/>
          <w:bCs/>
          <w:sz w:val="24"/>
          <w:szCs w:val="24"/>
        </w:rPr>
        <w:t>RQ3:</w:t>
      </w:r>
      <w:r w:rsidRPr="00D5227C">
        <w:rPr>
          <w:rFonts w:ascii="Times New Roman" w:hAnsi="Times New Roman" w:cs="Times New Roman"/>
          <w:bCs/>
          <w:sz w:val="24"/>
          <w:szCs w:val="24"/>
        </w:rPr>
        <w:t xml:space="preserve"> Configurational Synthesis and QCA Logic</w:t>
      </w:r>
      <w:r>
        <w:rPr>
          <w:rFonts w:ascii="Times New Roman" w:hAnsi="Times New Roman" w:cs="Times New Roman"/>
          <w:bCs/>
          <w:sz w:val="24"/>
          <w:szCs w:val="24"/>
        </w:rPr>
        <w:t xml:space="preserve">. </w:t>
      </w:r>
      <w:r w:rsidRPr="00D5227C">
        <w:rPr>
          <w:rFonts w:ascii="Times New Roman" w:hAnsi="Times New Roman" w:cs="Times New Roman"/>
          <w:bCs/>
          <w:sz w:val="24"/>
          <w:szCs w:val="24"/>
        </w:rPr>
        <w:t>Using a configurational comparative logic to identify combinations of conditions associated with outcomes directly reflects Qualitative Comparative Analysis (QCA) as a configurational method for examining cases as combinations of attributes and identifying necessary and sufficient conditions (</w:t>
      </w:r>
      <w:proofErr w:type="spellStart"/>
      <w:r w:rsidRPr="00D5227C">
        <w:rPr>
          <w:rFonts w:ascii="Times New Roman" w:hAnsi="Times New Roman" w:cs="Times New Roman"/>
          <w:bCs/>
          <w:sz w:val="24"/>
          <w:szCs w:val="24"/>
        </w:rPr>
        <w:t>Engeli</w:t>
      </w:r>
      <w:proofErr w:type="spellEnd"/>
      <w:r w:rsidRPr="00D5227C">
        <w:rPr>
          <w:rFonts w:ascii="Times New Roman" w:hAnsi="Times New Roman" w:cs="Times New Roman"/>
          <w:bCs/>
          <w:sz w:val="24"/>
          <w:szCs w:val="24"/>
        </w:rPr>
        <w:t xml:space="preserve"> et al., 2014; </w:t>
      </w:r>
      <w:proofErr w:type="spellStart"/>
      <w:r w:rsidRPr="00D5227C">
        <w:rPr>
          <w:rFonts w:ascii="Times New Roman" w:hAnsi="Times New Roman" w:cs="Times New Roman"/>
          <w:bCs/>
          <w:sz w:val="24"/>
          <w:szCs w:val="24"/>
        </w:rPr>
        <w:t>Cragun</w:t>
      </w:r>
      <w:proofErr w:type="spellEnd"/>
      <w:r w:rsidRPr="00D5227C">
        <w:rPr>
          <w:rFonts w:ascii="Times New Roman" w:hAnsi="Times New Roman" w:cs="Times New Roman"/>
          <w:bCs/>
          <w:sz w:val="24"/>
          <w:szCs w:val="24"/>
        </w:rPr>
        <w:t xml:space="preserve">, 2020; </w:t>
      </w:r>
      <w:proofErr w:type="spellStart"/>
      <w:r w:rsidRPr="00D5227C">
        <w:rPr>
          <w:rFonts w:ascii="Times New Roman" w:hAnsi="Times New Roman" w:cs="Times New Roman"/>
          <w:bCs/>
          <w:sz w:val="24"/>
          <w:szCs w:val="24"/>
        </w:rPr>
        <w:t>Thiem</w:t>
      </w:r>
      <w:proofErr w:type="spellEnd"/>
      <w:r w:rsidRPr="00D5227C">
        <w:rPr>
          <w:rFonts w:ascii="Times New Roman" w:hAnsi="Times New Roman" w:cs="Times New Roman"/>
          <w:bCs/>
          <w:sz w:val="24"/>
          <w:szCs w:val="24"/>
        </w:rPr>
        <w:t xml:space="preserve">, 2014). Adapting QCA logic for systematic review contexts is supported by work positioning QCA as a bridge between case-oriented and variable-oriented approaches suitable for mixed and </w:t>
      </w:r>
      <w:proofErr w:type="gramStart"/>
      <w:r w:rsidRPr="00D5227C">
        <w:rPr>
          <w:rFonts w:ascii="Times New Roman" w:hAnsi="Times New Roman" w:cs="Times New Roman"/>
          <w:bCs/>
          <w:sz w:val="24"/>
          <w:szCs w:val="24"/>
        </w:rPr>
        <w:t>intermediate</w:t>
      </w:r>
      <w:proofErr w:type="gramEnd"/>
      <w:r w:rsidRPr="00D5227C">
        <w:rPr>
          <w:rFonts w:ascii="Times New Roman" w:hAnsi="Times New Roman" w:cs="Times New Roman"/>
          <w:bCs/>
          <w:sz w:val="24"/>
          <w:szCs w:val="24"/>
        </w:rPr>
        <w:t>-N evidence bases (</w:t>
      </w:r>
      <w:proofErr w:type="spellStart"/>
      <w:r w:rsidRPr="00D5227C">
        <w:rPr>
          <w:rFonts w:ascii="Times New Roman" w:hAnsi="Times New Roman" w:cs="Times New Roman"/>
          <w:bCs/>
          <w:sz w:val="24"/>
          <w:szCs w:val="24"/>
        </w:rPr>
        <w:t>Engeli</w:t>
      </w:r>
      <w:proofErr w:type="spellEnd"/>
      <w:r w:rsidRPr="00D5227C">
        <w:rPr>
          <w:rFonts w:ascii="Times New Roman" w:hAnsi="Times New Roman" w:cs="Times New Roman"/>
          <w:bCs/>
          <w:sz w:val="24"/>
          <w:szCs w:val="24"/>
        </w:rPr>
        <w:t xml:space="preserve"> et al., 2014; </w:t>
      </w:r>
      <w:proofErr w:type="spellStart"/>
      <w:r w:rsidRPr="00D5227C">
        <w:rPr>
          <w:rFonts w:ascii="Times New Roman" w:hAnsi="Times New Roman" w:cs="Times New Roman"/>
          <w:bCs/>
          <w:sz w:val="24"/>
          <w:szCs w:val="24"/>
        </w:rPr>
        <w:t>Cragun</w:t>
      </w:r>
      <w:proofErr w:type="spellEnd"/>
      <w:r w:rsidRPr="00D5227C">
        <w:rPr>
          <w:rFonts w:ascii="Times New Roman" w:hAnsi="Times New Roman" w:cs="Times New Roman"/>
          <w:bCs/>
          <w:sz w:val="24"/>
          <w:szCs w:val="24"/>
        </w:rPr>
        <w:t xml:space="preserve">, 2020; </w:t>
      </w:r>
      <w:proofErr w:type="spellStart"/>
      <w:r w:rsidRPr="00D5227C">
        <w:rPr>
          <w:rFonts w:ascii="Times New Roman" w:hAnsi="Times New Roman" w:cs="Times New Roman"/>
          <w:bCs/>
          <w:sz w:val="24"/>
          <w:szCs w:val="24"/>
        </w:rPr>
        <w:t>Thiem</w:t>
      </w:r>
      <w:proofErr w:type="spellEnd"/>
      <w:r w:rsidRPr="00D5227C">
        <w:rPr>
          <w:rFonts w:ascii="Times New Roman" w:hAnsi="Times New Roman" w:cs="Times New Roman"/>
          <w:bCs/>
          <w:sz w:val="24"/>
          <w:szCs w:val="24"/>
        </w:rPr>
        <w:t>, 2014).</w:t>
      </w:r>
    </w:p>
    <w:p w:rsidR="008C0303" w:rsidRPr="00D5227C" w:rsidRDefault="00170BAD" w:rsidP="008C0303">
      <w:pPr>
        <w:jc w:val="both"/>
        <w:rPr>
          <w:rFonts w:ascii="Times New Roman" w:hAnsi="Times New Roman" w:cs="Times New Roman"/>
          <w:b/>
          <w:bCs/>
          <w:sz w:val="24"/>
          <w:szCs w:val="24"/>
        </w:rPr>
      </w:pPr>
      <w:r w:rsidRPr="00D5227C">
        <w:rPr>
          <w:rFonts w:ascii="Times New Roman" w:hAnsi="Times New Roman" w:cs="Times New Roman"/>
          <w:b/>
          <w:bCs/>
          <w:sz w:val="24"/>
          <w:szCs w:val="24"/>
        </w:rPr>
        <w:t>2.7</w:t>
      </w:r>
      <w:r w:rsidR="008C0303" w:rsidRPr="00D5227C">
        <w:rPr>
          <w:rFonts w:ascii="Times New Roman" w:hAnsi="Times New Roman" w:cs="Times New Roman"/>
          <w:b/>
          <w:bCs/>
          <w:sz w:val="24"/>
          <w:szCs w:val="24"/>
        </w:rPr>
        <w:t xml:space="preserve"> Limitations and Methodological Reflexivity</w:t>
      </w:r>
    </w:p>
    <w:p w:rsidR="00D5227C" w:rsidRPr="00D5227C" w:rsidRDefault="00D5227C" w:rsidP="00D5227C">
      <w:pPr>
        <w:jc w:val="both"/>
        <w:rPr>
          <w:rFonts w:ascii="Times New Roman" w:hAnsi="Times New Roman" w:cs="Times New Roman"/>
          <w:bCs/>
          <w:iCs/>
          <w:sz w:val="24"/>
          <w:szCs w:val="24"/>
        </w:rPr>
      </w:pPr>
      <w:r w:rsidRPr="00D5227C">
        <w:rPr>
          <w:rFonts w:ascii="Times New Roman" w:hAnsi="Times New Roman" w:cs="Times New Roman"/>
          <w:bCs/>
          <w:iCs/>
          <w:sz w:val="24"/>
          <w:szCs w:val="24"/>
        </w:rPr>
        <w:t>Several methodological limitations warrant explicit acknowledgment. First, the dual-stream search, while appropriate for the evidence base, introduces heterogeneity in evidence quality that complicates synthesis; mixed</w:t>
      </w:r>
      <w:r w:rsidRPr="00D5227C">
        <w:rPr>
          <w:rFonts w:ascii="Times New Roman" w:hAnsi="Times New Roman" w:cs="Times New Roman"/>
          <w:bCs/>
          <w:iCs/>
          <w:sz w:val="24"/>
          <w:szCs w:val="24"/>
        </w:rPr>
        <w:noBreakHyphen/>
        <w:t xml:space="preserve">methods and convergent designs explicitly note the challenge of integrating diverse evidence and the need for transparent synthesis choices (Stern et al., 2020; Hong et al., 2017; </w:t>
      </w:r>
      <w:proofErr w:type="spellStart"/>
      <w:r w:rsidRPr="00D5227C">
        <w:rPr>
          <w:rFonts w:ascii="Times New Roman" w:hAnsi="Times New Roman" w:cs="Times New Roman"/>
          <w:bCs/>
          <w:iCs/>
          <w:sz w:val="24"/>
          <w:szCs w:val="24"/>
        </w:rPr>
        <w:t>Cerigo</w:t>
      </w:r>
      <w:proofErr w:type="spellEnd"/>
      <w:r w:rsidRPr="00D5227C">
        <w:rPr>
          <w:rFonts w:ascii="Times New Roman" w:hAnsi="Times New Roman" w:cs="Times New Roman"/>
          <w:bCs/>
          <w:iCs/>
          <w:sz w:val="24"/>
          <w:szCs w:val="24"/>
        </w:rPr>
        <w:t xml:space="preserve"> &amp; </w:t>
      </w:r>
      <w:proofErr w:type="spellStart"/>
      <w:r w:rsidRPr="00D5227C">
        <w:rPr>
          <w:rFonts w:ascii="Times New Roman" w:hAnsi="Times New Roman" w:cs="Times New Roman"/>
          <w:bCs/>
          <w:iCs/>
          <w:sz w:val="24"/>
          <w:szCs w:val="24"/>
        </w:rPr>
        <w:t>Quesnel-Vallée</w:t>
      </w:r>
      <w:proofErr w:type="spellEnd"/>
      <w:r w:rsidRPr="00D5227C">
        <w:rPr>
          <w:rFonts w:ascii="Times New Roman" w:hAnsi="Times New Roman" w:cs="Times New Roman"/>
          <w:bCs/>
          <w:iCs/>
          <w:sz w:val="24"/>
          <w:szCs w:val="24"/>
        </w:rPr>
        <w:t xml:space="preserve">, 2020; </w:t>
      </w:r>
      <w:proofErr w:type="spellStart"/>
      <w:r w:rsidRPr="00D5227C">
        <w:rPr>
          <w:rFonts w:ascii="Times New Roman" w:hAnsi="Times New Roman" w:cs="Times New Roman"/>
          <w:bCs/>
          <w:iCs/>
          <w:sz w:val="24"/>
          <w:szCs w:val="24"/>
        </w:rPr>
        <w:t>Pluye</w:t>
      </w:r>
      <w:proofErr w:type="spellEnd"/>
      <w:r w:rsidRPr="00D5227C">
        <w:rPr>
          <w:rFonts w:ascii="Times New Roman" w:hAnsi="Times New Roman" w:cs="Times New Roman"/>
          <w:bCs/>
          <w:iCs/>
          <w:sz w:val="24"/>
          <w:szCs w:val="24"/>
        </w:rPr>
        <w:t xml:space="preserve">, 2015). We addressed this through differentiated critical appraisal and evidence quality ratings rather than excluding lower-quality sources, </w:t>
      </w:r>
      <w:proofErr w:type="spellStart"/>
      <w:r w:rsidRPr="00D5227C">
        <w:rPr>
          <w:rFonts w:ascii="Times New Roman" w:hAnsi="Times New Roman" w:cs="Times New Roman"/>
          <w:bCs/>
          <w:iCs/>
          <w:sz w:val="24"/>
          <w:szCs w:val="24"/>
        </w:rPr>
        <w:t>prioritising</w:t>
      </w:r>
      <w:proofErr w:type="spellEnd"/>
      <w:r w:rsidRPr="00D5227C">
        <w:rPr>
          <w:rFonts w:ascii="Times New Roman" w:hAnsi="Times New Roman" w:cs="Times New Roman"/>
          <w:bCs/>
          <w:iCs/>
          <w:sz w:val="24"/>
          <w:szCs w:val="24"/>
        </w:rPr>
        <w:t xml:space="preserve"> completeness over homogeneity, consistent with recommendations to appraise and report rather than simply discard lower</w:t>
      </w:r>
      <w:r w:rsidRPr="00D5227C">
        <w:rPr>
          <w:rFonts w:ascii="Times New Roman" w:hAnsi="Times New Roman" w:cs="Times New Roman"/>
          <w:bCs/>
          <w:iCs/>
          <w:sz w:val="24"/>
          <w:szCs w:val="24"/>
        </w:rPr>
        <w:noBreakHyphen/>
        <w:t xml:space="preserve">quality evidence (Adams et al., 2017; </w:t>
      </w:r>
      <w:proofErr w:type="spellStart"/>
      <w:r w:rsidRPr="00D5227C">
        <w:rPr>
          <w:rFonts w:ascii="Times New Roman" w:hAnsi="Times New Roman" w:cs="Times New Roman"/>
          <w:bCs/>
          <w:iCs/>
          <w:sz w:val="24"/>
          <w:szCs w:val="24"/>
        </w:rPr>
        <w:t>Pluye</w:t>
      </w:r>
      <w:proofErr w:type="spellEnd"/>
      <w:r w:rsidRPr="00D5227C">
        <w:rPr>
          <w:rFonts w:ascii="Times New Roman" w:hAnsi="Times New Roman" w:cs="Times New Roman"/>
          <w:bCs/>
          <w:iCs/>
          <w:sz w:val="24"/>
          <w:szCs w:val="24"/>
        </w:rPr>
        <w:t>, 2015).</w:t>
      </w:r>
    </w:p>
    <w:p w:rsidR="00D5227C" w:rsidRPr="00D5227C" w:rsidRDefault="00D5227C" w:rsidP="00D5227C">
      <w:pPr>
        <w:jc w:val="both"/>
        <w:rPr>
          <w:rFonts w:ascii="Times New Roman" w:hAnsi="Times New Roman" w:cs="Times New Roman"/>
          <w:bCs/>
          <w:iCs/>
          <w:sz w:val="24"/>
          <w:szCs w:val="24"/>
        </w:rPr>
      </w:pPr>
      <w:r w:rsidRPr="00D5227C">
        <w:rPr>
          <w:rFonts w:ascii="Times New Roman" w:hAnsi="Times New Roman" w:cs="Times New Roman"/>
          <w:bCs/>
          <w:iCs/>
          <w:sz w:val="24"/>
          <w:szCs w:val="24"/>
        </w:rPr>
        <w:lastRenderedPageBreak/>
        <w:t>Second, the grey literature stream’s purposive sampling may have missed relevant investment reports not indexed in major sources or produced by smaller consulting firms; similar challenges of incomplete capture and difficult</w:t>
      </w:r>
      <w:r w:rsidRPr="00D5227C">
        <w:rPr>
          <w:rFonts w:ascii="Times New Roman" w:hAnsi="Times New Roman" w:cs="Times New Roman"/>
          <w:bCs/>
          <w:iCs/>
          <w:sz w:val="24"/>
          <w:szCs w:val="24"/>
        </w:rPr>
        <w:noBreakHyphen/>
        <w:t>to</w:t>
      </w:r>
      <w:r w:rsidRPr="00D5227C">
        <w:rPr>
          <w:rFonts w:ascii="Times New Roman" w:hAnsi="Times New Roman" w:cs="Times New Roman"/>
          <w:bCs/>
          <w:iCs/>
          <w:sz w:val="24"/>
          <w:szCs w:val="24"/>
        </w:rPr>
        <w:noBreakHyphen/>
      </w:r>
      <w:proofErr w:type="spellStart"/>
      <w:r w:rsidRPr="00D5227C">
        <w:rPr>
          <w:rFonts w:ascii="Times New Roman" w:hAnsi="Times New Roman" w:cs="Times New Roman"/>
          <w:bCs/>
          <w:iCs/>
          <w:sz w:val="24"/>
          <w:szCs w:val="24"/>
        </w:rPr>
        <w:t>systematise</w:t>
      </w:r>
      <w:proofErr w:type="spellEnd"/>
      <w:r w:rsidRPr="00D5227C">
        <w:rPr>
          <w:rFonts w:ascii="Times New Roman" w:hAnsi="Times New Roman" w:cs="Times New Roman"/>
          <w:bCs/>
          <w:iCs/>
          <w:sz w:val="24"/>
          <w:szCs w:val="24"/>
        </w:rPr>
        <w:t xml:space="preserve"> grey sources are widely documented (</w:t>
      </w:r>
      <w:proofErr w:type="spellStart"/>
      <w:r w:rsidRPr="00D5227C">
        <w:rPr>
          <w:rFonts w:ascii="Times New Roman" w:hAnsi="Times New Roman" w:cs="Times New Roman"/>
          <w:bCs/>
          <w:iCs/>
          <w:sz w:val="24"/>
          <w:szCs w:val="24"/>
        </w:rPr>
        <w:t>Paez</w:t>
      </w:r>
      <w:proofErr w:type="spellEnd"/>
      <w:r w:rsidRPr="00D5227C">
        <w:rPr>
          <w:rFonts w:ascii="Times New Roman" w:hAnsi="Times New Roman" w:cs="Times New Roman"/>
          <w:bCs/>
          <w:iCs/>
          <w:sz w:val="24"/>
          <w:szCs w:val="24"/>
        </w:rPr>
        <w:t xml:space="preserve">, 2017; </w:t>
      </w:r>
      <w:proofErr w:type="spellStart"/>
      <w:r w:rsidRPr="00D5227C">
        <w:rPr>
          <w:rFonts w:ascii="Times New Roman" w:hAnsi="Times New Roman" w:cs="Times New Roman"/>
          <w:bCs/>
          <w:iCs/>
          <w:sz w:val="24"/>
          <w:szCs w:val="24"/>
        </w:rPr>
        <w:t>Haddaway</w:t>
      </w:r>
      <w:proofErr w:type="spellEnd"/>
      <w:r w:rsidRPr="00D5227C">
        <w:rPr>
          <w:rFonts w:ascii="Times New Roman" w:hAnsi="Times New Roman" w:cs="Times New Roman"/>
          <w:bCs/>
          <w:iCs/>
          <w:sz w:val="24"/>
          <w:szCs w:val="24"/>
        </w:rPr>
        <w:t xml:space="preserve"> &amp; </w:t>
      </w:r>
      <w:proofErr w:type="spellStart"/>
      <w:r w:rsidRPr="00D5227C">
        <w:rPr>
          <w:rFonts w:ascii="Times New Roman" w:hAnsi="Times New Roman" w:cs="Times New Roman"/>
          <w:bCs/>
          <w:iCs/>
          <w:sz w:val="24"/>
          <w:szCs w:val="24"/>
        </w:rPr>
        <w:t>Bayliss</w:t>
      </w:r>
      <w:proofErr w:type="spellEnd"/>
      <w:r w:rsidRPr="00D5227C">
        <w:rPr>
          <w:rFonts w:ascii="Times New Roman" w:hAnsi="Times New Roman" w:cs="Times New Roman"/>
          <w:bCs/>
          <w:iCs/>
          <w:sz w:val="24"/>
          <w:szCs w:val="24"/>
        </w:rPr>
        <w:t xml:space="preserve">, 2015; Godin et al., 2015; </w:t>
      </w:r>
      <w:proofErr w:type="spellStart"/>
      <w:r w:rsidRPr="00D5227C">
        <w:rPr>
          <w:rFonts w:ascii="Times New Roman" w:hAnsi="Times New Roman" w:cs="Times New Roman"/>
          <w:bCs/>
          <w:iCs/>
          <w:sz w:val="24"/>
          <w:szCs w:val="24"/>
        </w:rPr>
        <w:t>Mahood</w:t>
      </w:r>
      <w:proofErr w:type="spellEnd"/>
      <w:r w:rsidRPr="00D5227C">
        <w:rPr>
          <w:rFonts w:ascii="Times New Roman" w:hAnsi="Times New Roman" w:cs="Times New Roman"/>
          <w:bCs/>
          <w:iCs/>
          <w:sz w:val="24"/>
          <w:szCs w:val="24"/>
        </w:rPr>
        <w:t xml:space="preserve"> et al., 2014). We mitigated this through snowball sampling (citation tracking from included grey documents) and consultation with three industry informants (</w:t>
      </w:r>
      <w:proofErr w:type="spellStart"/>
      <w:r w:rsidRPr="00D5227C">
        <w:rPr>
          <w:rFonts w:ascii="Times New Roman" w:hAnsi="Times New Roman" w:cs="Times New Roman"/>
          <w:bCs/>
          <w:iCs/>
          <w:sz w:val="24"/>
          <w:szCs w:val="24"/>
        </w:rPr>
        <w:t>anonymised</w:t>
      </w:r>
      <w:proofErr w:type="spellEnd"/>
      <w:r w:rsidRPr="00D5227C">
        <w:rPr>
          <w:rFonts w:ascii="Times New Roman" w:hAnsi="Times New Roman" w:cs="Times New Roman"/>
          <w:bCs/>
          <w:iCs/>
          <w:sz w:val="24"/>
          <w:szCs w:val="24"/>
        </w:rPr>
        <w:t xml:space="preserve"> per research ethics protocol), in line with guidance to use expert consultation and snowball methods when target materials are hard to access (Adams et al., 2017; </w:t>
      </w:r>
      <w:proofErr w:type="spellStart"/>
      <w:r w:rsidRPr="00D5227C">
        <w:rPr>
          <w:rFonts w:ascii="Times New Roman" w:hAnsi="Times New Roman" w:cs="Times New Roman"/>
          <w:bCs/>
          <w:iCs/>
          <w:sz w:val="24"/>
          <w:szCs w:val="24"/>
        </w:rPr>
        <w:t>Ayorinde</w:t>
      </w:r>
      <w:proofErr w:type="spellEnd"/>
      <w:r w:rsidRPr="00D5227C">
        <w:rPr>
          <w:rFonts w:ascii="Times New Roman" w:hAnsi="Times New Roman" w:cs="Times New Roman"/>
          <w:bCs/>
          <w:iCs/>
          <w:sz w:val="24"/>
          <w:szCs w:val="24"/>
        </w:rPr>
        <w:t xml:space="preserve"> et al., 2020; </w:t>
      </w:r>
      <w:proofErr w:type="spellStart"/>
      <w:r w:rsidRPr="00D5227C">
        <w:rPr>
          <w:rFonts w:ascii="Times New Roman" w:hAnsi="Times New Roman" w:cs="Times New Roman"/>
          <w:bCs/>
          <w:iCs/>
          <w:sz w:val="24"/>
          <w:szCs w:val="24"/>
        </w:rPr>
        <w:t>Naderifar</w:t>
      </w:r>
      <w:proofErr w:type="spellEnd"/>
      <w:r w:rsidRPr="00D5227C">
        <w:rPr>
          <w:rFonts w:ascii="Times New Roman" w:hAnsi="Times New Roman" w:cs="Times New Roman"/>
          <w:bCs/>
          <w:iCs/>
          <w:sz w:val="24"/>
          <w:szCs w:val="24"/>
        </w:rPr>
        <w:t xml:space="preserve"> et al., 2017; Godin et al., 2015; </w:t>
      </w:r>
      <w:proofErr w:type="spellStart"/>
      <w:r w:rsidRPr="00D5227C">
        <w:rPr>
          <w:rFonts w:ascii="Times New Roman" w:hAnsi="Times New Roman" w:cs="Times New Roman"/>
          <w:bCs/>
          <w:iCs/>
          <w:sz w:val="24"/>
          <w:szCs w:val="24"/>
        </w:rPr>
        <w:t>Mahood</w:t>
      </w:r>
      <w:proofErr w:type="spellEnd"/>
      <w:r w:rsidRPr="00D5227C">
        <w:rPr>
          <w:rFonts w:ascii="Times New Roman" w:hAnsi="Times New Roman" w:cs="Times New Roman"/>
          <w:bCs/>
          <w:iCs/>
          <w:sz w:val="24"/>
          <w:szCs w:val="24"/>
        </w:rPr>
        <w:t xml:space="preserve"> et al., 2014).</w:t>
      </w:r>
    </w:p>
    <w:p w:rsidR="00D5227C" w:rsidRPr="00D5227C" w:rsidRDefault="00D5227C" w:rsidP="00D5227C">
      <w:pPr>
        <w:jc w:val="both"/>
        <w:rPr>
          <w:rFonts w:ascii="Times New Roman" w:hAnsi="Times New Roman" w:cs="Times New Roman"/>
          <w:bCs/>
          <w:iCs/>
          <w:sz w:val="24"/>
          <w:szCs w:val="24"/>
        </w:rPr>
      </w:pPr>
      <w:r w:rsidRPr="00D5227C">
        <w:rPr>
          <w:rFonts w:ascii="Times New Roman" w:hAnsi="Times New Roman" w:cs="Times New Roman"/>
          <w:bCs/>
          <w:iCs/>
          <w:sz w:val="24"/>
          <w:szCs w:val="24"/>
        </w:rPr>
        <w:t>Third, publication bias likely affects both streams: positive ROI results may be overrepresented in industry reports (promotional bias), while academic journals may publish negative results more readily (countervailing but not offsetting); empirical work shows that published studies tend to report larger effects than grey literature and that significant results are more likely to be disseminated (</w:t>
      </w:r>
      <w:proofErr w:type="spellStart"/>
      <w:r w:rsidRPr="00D5227C">
        <w:rPr>
          <w:rFonts w:ascii="Times New Roman" w:hAnsi="Times New Roman" w:cs="Times New Roman"/>
          <w:bCs/>
          <w:iCs/>
          <w:sz w:val="24"/>
          <w:szCs w:val="24"/>
        </w:rPr>
        <w:t>Ayorinde</w:t>
      </w:r>
      <w:proofErr w:type="spellEnd"/>
      <w:r w:rsidRPr="00D5227C">
        <w:rPr>
          <w:rFonts w:ascii="Times New Roman" w:hAnsi="Times New Roman" w:cs="Times New Roman"/>
          <w:bCs/>
          <w:iCs/>
          <w:sz w:val="24"/>
          <w:szCs w:val="24"/>
        </w:rPr>
        <w:t xml:space="preserve"> et al., 2020; Munn et al., 2022; Song et al., 2010). We cannot quantify this bias but have noted its potential direction where relevant.</w:t>
      </w:r>
    </w:p>
    <w:p w:rsidR="00D5227C" w:rsidRPr="00D5227C" w:rsidRDefault="00D5227C" w:rsidP="00D5227C">
      <w:pPr>
        <w:jc w:val="both"/>
        <w:rPr>
          <w:rFonts w:ascii="Times New Roman" w:hAnsi="Times New Roman" w:cs="Times New Roman"/>
          <w:bCs/>
          <w:iCs/>
          <w:sz w:val="24"/>
          <w:szCs w:val="24"/>
        </w:rPr>
      </w:pPr>
      <w:r w:rsidRPr="00D5227C">
        <w:rPr>
          <w:rFonts w:ascii="Times New Roman" w:hAnsi="Times New Roman" w:cs="Times New Roman"/>
          <w:bCs/>
          <w:iCs/>
          <w:sz w:val="24"/>
          <w:szCs w:val="24"/>
        </w:rPr>
        <w:t>Fourth, the review’s investor</w:t>
      </w:r>
      <w:r w:rsidRPr="00D5227C">
        <w:rPr>
          <w:rFonts w:ascii="Times New Roman" w:hAnsi="Times New Roman" w:cs="Times New Roman"/>
          <w:bCs/>
          <w:iCs/>
          <w:sz w:val="24"/>
          <w:szCs w:val="24"/>
        </w:rPr>
        <w:noBreakHyphen/>
        <w:t xml:space="preserve">centric framing inevitably </w:t>
      </w:r>
      <w:proofErr w:type="spellStart"/>
      <w:r w:rsidRPr="00D5227C">
        <w:rPr>
          <w:rFonts w:ascii="Times New Roman" w:hAnsi="Times New Roman" w:cs="Times New Roman"/>
          <w:bCs/>
          <w:iCs/>
          <w:sz w:val="24"/>
          <w:szCs w:val="24"/>
        </w:rPr>
        <w:t>de</w:t>
      </w:r>
      <w:r w:rsidRPr="00D5227C">
        <w:rPr>
          <w:rFonts w:ascii="Times New Roman" w:hAnsi="Times New Roman" w:cs="Times New Roman"/>
          <w:bCs/>
          <w:iCs/>
          <w:sz w:val="24"/>
          <w:szCs w:val="24"/>
        </w:rPr>
        <w:noBreakHyphen/>
        <w:t>emphasises</w:t>
      </w:r>
      <w:proofErr w:type="spellEnd"/>
      <w:r w:rsidRPr="00D5227C">
        <w:rPr>
          <w:rFonts w:ascii="Times New Roman" w:hAnsi="Times New Roman" w:cs="Times New Roman"/>
          <w:bCs/>
          <w:iCs/>
          <w:sz w:val="24"/>
          <w:szCs w:val="24"/>
        </w:rPr>
        <w:t xml:space="preserve"> non</w:t>
      </w:r>
      <w:r w:rsidRPr="00D5227C">
        <w:rPr>
          <w:rFonts w:ascii="Times New Roman" w:hAnsi="Times New Roman" w:cs="Times New Roman"/>
          <w:bCs/>
          <w:iCs/>
          <w:sz w:val="24"/>
          <w:szCs w:val="24"/>
        </w:rPr>
        <w:noBreakHyphen/>
        <w:t xml:space="preserve">investor perspectives (community outcomes, environmental impacts, </w:t>
      </w:r>
      <w:proofErr w:type="spellStart"/>
      <w:r w:rsidRPr="00D5227C">
        <w:rPr>
          <w:rFonts w:ascii="Times New Roman" w:hAnsi="Times New Roman" w:cs="Times New Roman"/>
          <w:bCs/>
          <w:iCs/>
          <w:sz w:val="24"/>
          <w:szCs w:val="24"/>
        </w:rPr>
        <w:t>labour</w:t>
      </w:r>
      <w:proofErr w:type="spellEnd"/>
      <w:r w:rsidRPr="00D5227C">
        <w:rPr>
          <w:rFonts w:ascii="Times New Roman" w:hAnsi="Times New Roman" w:cs="Times New Roman"/>
          <w:bCs/>
          <w:iCs/>
          <w:sz w:val="24"/>
          <w:szCs w:val="24"/>
        </w:rPr>
        <w:t xml:space="preserve"> conditions) that are legitimate tourism research concerns but outside our scope, echoing broader cautions that review objectives shape which stakeholder perspectives are foregrounded (Peters et al., 2021; Pollock et al., 2024; Munn et al., 2022).</w:t>
      </w:r>
    </w:p>
    <w:p w:rsidR="00D5227C" w:rsidRPr="00D5227C" w:rsidRDefault="00D5227C" w:rsidP="00D5227C">
      <w:pPr>
        <w:jc w:val="both"/>
        <w:rPr>
          <w:rFonts w:ascii="Times New Roman" w:hAnsi="Times New Roman" w:cs="Times New Roman"/>
          <w:bCs/>
          <w:iCs/>
          <w:sz w:val="24"/>
          <w:szCs w:val="24"/>
        </w:rPr>
      </w:pPr>
      <w:r w:rsidRPr="00D5227C">
        <w:rPr>
          <w:rFonts w:ascii="Times New Roman" w:hAnsi="Times New Roman" w:cs="Times New Roman"/>
          <w:bCs/>
          <w:iCs/>
          <w:sz w:val="24"/>
          <w:szCs w:val="24"/>
        </w:rPr>
        <w:t>Fifth, the rapidly evolving nature of SSA investment climates, particularly post</w:t>
      </w:r>
      <w:r w:rsidRPr="00D5227C">
        <w:rPr>
          <w:rFonts w:ascii="Times New Roman" w:hAnsi="Times New Roman" w:cs="Times New Roman"/>
          <w:bCs/>
          <w:iCs/>
          <w:sz w:val="24"/>
          <w:szCs w:val="24"/>
        </w:rPr>
        <w:noBreakHyphen/>
        <w:t>COVID tourism recovery dynamics and digital transformation acceleration, means that some findings may date quickly; grey</w:t>
      </w:r>
      <w:r w:rsidRPr="00D5227C">
        <w:rPr>
          <w:rFonts w:ascii="Times New Roman" w:hAnsi="Times New Roman" w:cs="Times New Roman"/>
          <w:bCs/>
          <w:iCs/>
          <w:sz w:val="24"/>
          <w:szCs w:val="24"/>
        </w:rPr>
        <w:noBreakHyphen/>
        <w:t xml:space="preserve">literature guidance similarly notes that such sources are often more current but also more rapidly outdated, reinforcing the need to </w:t>
      </w:r>
      <w:proofErr w:type="spellStart"/>
      <w:r w:rsidRPr="00D5227C">
        <w:rPr>
          <w:rFonts w:ascii="Times New Roman" w:hAnsi="Times New Roman" w:cs="Times New Roman"/>
          <w:bCs/>
          <w:iCs/>
          <w:sz w:val="24"/>
          <w:szCs w:val="24"/>
        </w:rPr>
        <w:t>prioritise</w:t>
      </w:r>
      <w:proofErr w:type="spellEnd"/>
      <w:r w:rsidRPr="00D5227C">
        <w:rPr>
          <w:rFonts w:ascii="Times New Roman" w:hAnsi="Times New Roman" w:cs="Times New Roman"/>
          <w:bCs/>
          <w:iCs/>
          <w:sz w:val="24"/>
          <w:szCs w:val="24"/>
        </w:rPr>
        <w:t xml:space="preserve"> recent materials (</w:t>
      </w:r>
      <w:proofErr w:type="spellStart"/>
      <w:r w:rsidRPr="00D5227C">
        <w:rPr>
          <w:rFonts w:ascii="Times New Roman" w:hAnsi="Times New Roman" w:cs="Times New Roman"/>
          <w:bCs/>
          <w:iCs/>
          <w:sz w:val="24"/>
          <w:szCs w:val="24"/>
        </w:rPr>
        <w:t>Paez</w:t>
      </w:r>
      <w:proofErr w:type="spellEnd"/>
      <w:r w:rsidRPr="00D5227C">
        <w:rPr>
          <w:rFonts w:ascii="Times New Roman" w:hAnsi="Times New Roman" w:cs="Times New Roman"/>
          <w:bCs/>
          <w:iCs/>
          <w:sz w:val="24"/>
          <w:szCs w:val="24"/>
        </w:rPr>
        <w:t xml:space="preserve">, 2017; Adams et al., 2017; Peters et al., 2021; </w:t>
      </w:r>
      <w:proofErr w:type="spellStart"/>
      <w:r w:rsidRPr="00D5227C">
        <w:rPr>
          <w:rFonts w:ascii="Times New Roman" w:hAnsi="Times New Roman" w:cs="Times New Roman"/>
          <w:bCs/>
          <w:iCs/>
          <w:sz w:val="24"/>
          <w:szCs w:val="24"/>
        </w:rPr>
        <w:t>Haddaway</w:t>
      </w:r>
      <w:proofErr w:type="spellEnd"/>
      <w:r w:rsidRPr="00D5227C">
        <w:rPr>
          <w:rFonts w:ascii="Times New Roman" w:hAnsi="Times New Roman" w:cs="Times New Roman"/>
          <w:bCs/>
          <w:iCs/>
          <w:sz w:val="24"/>
          <w:szCs w:val="24"/>
        </w:rPr>
        <w:t xml:space="preserve"> &amp; </w:t>
      </w:r>
      <w:proofErr w:type="spellStart"/>
      <w:r w:rsidRPr="00D5227C">
        <w:rPr>
          <w:rFonts w:ascii="Times New Roman" w:hAnsi="Times New Roman" w:cs="Times New Roman"/>
          <w:bCs/>
          <w:iCs/>
          <w:sz w:val="24"/>
          <w:szCs w:val="24"/>
        </w:rPr>
        <w:t>Bayliss</w:t>
      </w:r>
      <w:proofErr w:type="spellEnd"/>
      <w:r w:rsidRPr="00D5227C">
        <w:rPr>
          <w:rFonts w:ascii="Times New Roman" w:hAnsi="Times New Roman" w:cs="Times New Roman"/>
          <w:bCs/>
          <w:iCs/>
          <w:sz w:val="24"/>
          <w:szCs w:val="24"/>
        </w:rPr>
        <w:t xml:space="preserve">, 2015; </w:t>
      </w:r>
      <w:proofErr w:type="spellStart"/>
      <w:r w:rsidRPr="00D5227C">
        <w:rPr>
          <w:rFonts w:ascii="Times New Roman" w:hAnsi="Times New Roman" w:cs="Times New Roman"/>
          <w:bCs/>
          <w:iCs/>
          <w:sz w:val="24"/>
          <w:szCs w:val="24"/>
        </w:rPr>
        <w:t>Mahood</w:t>
      </w:r>
      <w:proofErr w:type="spellEnd"/>
      <w:r w:rsidRPr="00D5227C">
        <w:rPr>
          <w:rFonts w:ascii="Times New Roman" w:hAnsi="Times New Roman" w:cs="Times New Roman"/>
          <w:bCs/>
          <w:iCs/>
          <w:sz w:val="24"/>
          <w:szCs w:val="24"/>
        </w:rPr>
        <w:t xml:space="preserve"> et al., 2014).</w:t>
      </w:r>
    </w:p>
    <w:p w:rsidR="008C0303" w:rsidRPr="00D5227C" w:rsidRDefault="00170BAD" w:rsidP="008C0303">
      <w:pPr>
        <w:jc w:val="both"/>
        <w:rPr>
          <w:rFonts w:ascii="Times New Roman" w:hAnsi="Times New Roman" w:cs="Times New Roman"/>
          <w:b/>
          <w:bCs/>
          <w:sz w:val="24"/>
          <w:szCs w:val="24"/>
        </w:rPr>
      </w:pPr>
      <w:r w:rsidRPr="00D5227C">
        <w:rPr>
          <w:rFonts w:ascii="Times New Roman" w:hAnsi="Times New Roman" w:cs="Times New Roman"/>
          <w:b/>
          <w:bCs/>
          <w:sz w:val="24"/>
          <w:szCs w:val="24"/>
        </w:rPr>
        <w:t>2.8</w:t>
      </w:r>
      <w:r w:rsidR="008C0303" w:rsidRPr="00D5227C">
        <w:rPr>
          <w:rFonts w:ascii="Times New Roman" w:hAnsi="Times New Roman" w:cs="Times New Roman"/>
          <w:b/>
          <w:bCs/>
          <w:sz w:val="24"/>
          <w:szCs w:val="24"/>
        </w:rPr>
        <w:t xml:space="preserve"> Research Ethics and Positionality</w:t>
      </w:r>
    </w:p>
    <w:p w:rsidR="008C0303" w:rsidRDefault="008C0303" w:rsidP="008C0303">
      <w:pPr>
        <w:jc w:val="both"/>
        <w:rPr>
          <w:rFonts w:ascii="Times New Roman" w:hAnsi="Times New Roman" w:cs="Times New Roman"/>
          <w:bCs/>
          <w:sz w:val="24"/>
          <w:szCs w:val="24"/>
        </w:rPr>
      </w:pPr>
      <w:r w:rsidRPr="008C0303">
        <w:rPr>
          <w:rFonts w:ascii="Times New Roman" w:hAnsi="Times New Roman" w:cs="Times New Roman"/>
          <w:bCs/>
          <w:sz w:val="24"/>
          <w:szCs w:val="24"/>
        </w:rPr>
        <w:t>This systematic review involved no primary data collection from human subjects and thus did not require institutional review board approval under prevailing norms for secondary research. However, we acknowledge positionality considerations: the authors have no financial interests in SSA tourism investments, but one author has previously consulted for a development finance institution with tourism portfolio exposure (disclosed in competing interests statement). This prior engagement may have shaped research question formulation and interpretation of DFI evaluation reports. To mitigate bias, all grey literature from DFI sources was dual-extracted with explicit attention to potential positivity bias, and DFI-commissioned evaluations were systematically compared with independent academic studies where available.</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 Synthesis and Discussion</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3.1 Overview of Included Evidence</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 xml:space="preserve">The systematic review identified 124 academic papers and 87 grey literature documents meeting inclusion criteria, spanning publication years 2000–2024. Geographically, evidence was concentrated in Southern Africa (47% of sources) and East Africa (32%), with West Africa (14%) </w:t>
      </w:r>
      <w:r w:rsidRPr="003E0293">
        <w:rPr>
          <w:rFonts w:ascii="Times New Roman" w:hAnsi="Times New Roman" w:cs="Times New Roman"/>
          <w:bCs/>
          <w:sz w:val="24"/>
          <w:szCs w:val="24"/>
        </w:rPr>
        <w:lastRenderedPageBreak/>
        <w:t>and Central Africa (7%)</w:t>
      </w:r>
      <w:r w:rsidR="00D5227C">
        <w:rPr>
          <w:rFonts w:ascii="Times New Roman" w:hAnsi="Times New Roman" w:cs="Times New Roman"/>
          <w:bCs/>
          <w:sz w:val="24"/>
          <w:szCs w:val="24"/>
        </w:rPr>
        <w:t xml:space="preserve"> substantially underrepresented, </w:t>
      </w:r>
      <w:r w:rsidRPr="003E0293">
        <w:rPr>
          <w:rFonts w:ascii="Times New Roman" w:hAnsi="Times New Roman" w:cs="Times New Roman"/>
          <w:bCs/>
          <w:sz w:val="24"/>
          <w:szCs w:val="24"/>
        </w:rPr>
        <w:t>a distribution that inversely correlates with tourism investment potential, suggesting systematic evidence gaps in precisely those regions where investment readiness is least understood (</w:t>
      </w:r>
      <w:proofErr w:type="spellStart"/>
      <w:r w:rsidRPr="003E0293">
        <w:rPr>
          <w:rFonts w:ascii="Times New Roman" w:hAnsi="Times New Roman" w:cs="Times New Roman"/>
          <w:bCs/>
          <w:sz w:val="24"/>
          <w:szCs w:val="24"/>
        </w:rPr>
        <w:t>Adegboye</w:t>
      </w:r>
      <w:proofErr w:type="spellEnd"/>
      <w:r w:rsidRPr="003E0293">
        <w:rPr>
          <w:rFonts w:ascii="Times New Roman" w:hAnsi="Times New Roman" w:cs="Times New Roman"/>
          <w:bCs/>
          <w:sz w:val="24"/>
          <w:szCs w:val="24"/>
        </w:rPr>
        <w:t xml:space="preserve"> et al., 2020; </w:t>
      </w:r>
      <w:proofErr w:type="spellStart"/>
      <w:r w:rsidRPr="003E0293">
        <w:rPr>
          <w:rFonts w:ascii="Times New Roman" w:hAnsi="Times New Roman" w:cs="Times New Roman"/>
          <w:bCs/>
          <w:sz w:val="24"/>
          <w:szCs w:val="24"/>
        </w:rPr>
        <w:t>Lemunge</w:t>
      </w:r>
      <w:proofErr w:type="spellEnd"/>
      <w:r w:rsidRPr="003E0293">
        <w:rPr>
          <w:rFonts w:ascii="Times New Roman" w:hAnsi="Times New Roman" w:cs="Times New Roman"/>
          <w:bCs/>
          <w:sz w:val="24"/>
          <w:szCs w:val="24"/>
        </w:rPr>
        <w:t xml:space="preserve"> et al., 2025). Thematic coverage was similarly uneven: governance and institutional quality studies comprised 41% of academic sources, while ROI evidence (any quality rating) appeared in only 12% of academic sources but 68% of grey literature sources, confirming our dual-stream strategy's necessity (</w:t>
      </w:r>
      <w:proofErr w:type="spellStart"/>
      <w:r w:rsidRPr="003E0293">
        <w:rPr>
          <w:rFonts w:ascii="Times New Roman" w:hAnsi="Times New Roman" w:cs="Times New Roman"/>
          <w:bCs/>
          <w:sz w:val="24"/>
          <w:szCs w:val="24"/>
        </w:rPr>
        <w:t>Kimbu</w:t>
      </w:r>
      <w:proofErr w:type="spellEnd"/>
      <w:r w:rsidRPr="003E0293">
        <w:rPr>
          <w:rFonts w:ascii="Times New Roman" w:hAnsi="Times New Roman" w:cs="Times New Roman"/>
          <w:bCs/>
          <w:sz w:val="24"/>
          <w:szCs w:val="24"/>
        </w:rPr>
        <w:t xml:space="preserve"> &amp; </w:t>
      </w:r>
      <w:proofErr w:type="spellStart"/>
      <w:r w:rsidRPr="003E0293">
        <w:rPr>
          <w:rFonts w:ascii="Times New Roman" w:hAnsi="Times New Roman" w:cs="Times New Roman"/>
          <w:bCs/>
          <w:sz w:val="24"/>
          <w:szCs w:val="24"/>
        </w:rPr>
        <w:t>Tichaawa</w:t>
      </w:r>
      <w:proofErr w:type="spellEnd"/>
      <w:r w:rsidRPr="003E0293">
        <w:rPr>
          <w:rFonts w:ascii="Times New Roman" w:hAnsi="Times New Roman" w:cs="Times New Roman"/>
          <w:bCs/>
          <w:sz w:val="24"/>
          <w:szCs w:val="24"/>
        </w:rPr>
        <w:t xml:space="preserve">, 2020; </w:t>
      </w:r>
      <w:proofErr w:type="spellStart"/>
      <w:r w:rsidRPr="003E0293">
        <w:rPr>
          <w:rFonts w:ascii="Times New Roman" w:hAnsi="Times New Roman" w:cs="Times New Roman"/>
          <w:bCs/>
          <w:sz w:val="24"/>
          <w:szCs w:val="24"/>
        </w:rPr>
        <w:t>Nakimu</w:t>
      </w:r>
      <w:proofErr w:type="spellEnd"/>
      <w:r w:rsidRPr="003E0293">
        <w:rPr>
          <w:rFonts w:ascii="Times New Roman" w:hAnsi="Times New Roman" w:cs="Times New Roman"/>
          <w:bCs/>
          <w:sz w:val="24"/>
          <w:szCs w:val="24"/>
        </w:rPr>
        <w:t xml:space="preserve"> et al., 2025).</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3.2 RQ1: Barriers to Ease of Doing Tourism Business</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3.2.1 Cross-Cutting Barriers</w:t>
      </w:r>
    </w:p>
    <w:p w:rsidR="003E0293" w:rsidRPr="00D5227C"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Six barriers appeared consistently across sub-regions and subsectors, with remarkable uniformity in how they constrain tourism investment. </w:t>
      </w:r>
      <w:r w:rsidRPr="00D5227C">
        <w:rPr>
          <w:rFonts w:ascii="Times New Roman" w:hAnsi="Times New Roman" w:cs="Times New Roman"/>
          <w:bCs/>
          <w:sz w:val="24"/>
          <w:szCs w:val="24"/>
        </w:rPr>
        <w:t>Land tenure insecurity emerged</w:t>
      </w:r>
      <w:r w:rsidRPr="003E0293">
        <w:rPr>
          <w:rFonts w:ascii="Times New Roman" w:hAnsi="Times New Roman" w:cs="Times New Roman"/>
          <w:bCs/>
          <w:sz w:val="24"/>
          <w:szCs w:val="24"/>
        </w:rPr>
        <w:t xml:space="preserve"> as the most frequently cited binding constraint (present in 73% of sources with investment focus), manifesting as unclear property rights, contested customary land claims, prohibitions on foreign land ownership, and lease terms insufficient for tourism investment time horizons (</w:t>
      </w:r>
      <w:proofErr w:type="spellStart"/>
      <w:r w:rsidRPr="003E0293">
        <w:rPr>
          <w:rFonts w:ascii="Times New Roman" w:hAnsi="Times New Roman" w:cs="Times New Roman"/>
          <w:bCs/>
          <w:sz w:val="24"/>
          <w:szCs w:val="24"/>
        </w:rPr>
        <w:t>Forje</w:t>
      </w:r>
      <w:proofErr w:type="spellEnd"/>
      <w:r w:rsidRPr="003E0293">
        <w:rPr>
          <w:rFonts w:ascii="Times New Roman" w:hAnsi="Times New Roman" w:cs="Times New Roman"/>
          <w:bCs/>
          <w:sz w:val="24"/>
          <w:szCs w:val="24"/>
        </w:rPr>
        <w:t xml:space="preserve"> et al., 2022; </w:t>
      </w:r>
      <w:proofErr w:type="spellStart"/>
      <w:r w:rsidRPr="003E0293">
        <w:rPr>
          <w:rFonts w:ascii="Times New Roman" w:hAnsi="Times New Roman" w:cs="Times New Roman"/>
          <w:bCs/>
          <w:sz w:val="24"/>
          <w:szCs w:val="24"/>
        </w:rPr>
        <w:t>Mutanga</w:t>
      </w:r>
      <w:proofErr w:type="spellEnd"/>
      <w:r w:rsidRPr="003E0293">
        <w:rPr>
          <w:rFonts w:ascii="Times New Roman" w:hAnsi="Times New Roman" w:cs="Times New Roman"/>
          <w:bCs/>
          <w:sz w:val="24"/>
          <w:szCs w:val="24"/>
        </w:rPr>
        <w:t xml:space="preserve"> et al., 2023). Only 12 of 49 SSA countries have tourism-specific land policies, and where leasehold systems exist, maximum terms average 49 years—substantially shorter than the 99-year leases typical in Southeast Asian tourism destinations (World Bank, 2024). Investors consistently reported that land-related due diligence consumes 30–40% of pre-investment costs and timelines, with 23% of documented tourism investment failures in SSA attributed to land tenure disputes (</w:t>
      </w:r>
      <w:proofErr w:type="spellStart"/>
      <w:r w:rsidRPr="003E0293">
        <w:rPr>
          <w:rFonts w:ascii="Times New Roman" w:hAnsi="Times New Roman" w:cs="Times New Roman"/>
          <w:bCs/>
          <w:sz w:val="24"/>
          <w:szCs w:val="24"/>
        </w:rPr>
        <w:t>Lemunge</w:t>
      </w:r>
      <w:proofErr w:type="spellEnd"/>
      <w:r w:rsidRPr="003E0293">
        <w:rPr>
          <w:rFonts w:ascii="Times New Roman" w:hAnsi="Times New Roman" w:cs="Times New Roman"/>
          <w:bCs/>
          <w:sz w:val="24"/>
          <w:szCs w:val="24"/>
        </w:rPr>
        <w:t xml:space="preserve"> et al., </w:t>
      </w:r>
      <w:r w:rsidRPr="00D5227C">
        <w:rPr>
          <w:rFonts w:ascii="Times New Roman" w:hAnsi="Times New Roman" w:cs="Times New Roman"/>
          <w:bCs/>
          <w:sz w:val="24"/>
          <w:szCs w:val="24"/>
        </w:rPr>
        <w:t xml:space="preserve">2025; </w:t>
      </w:r>
      <w:proofErr w:type="spellStart"/>
      <w:r w:rsidRPr="00D5227C">
        <w:rPr>
          <w:rFonts w:ascii="Times New Roman" w:hAnsi="Times New Roman" w:cs="Times New Roman"/>
          <w:bCs/>
          <w:sz w:val="24"/>
          <w:szCs w:val="24"/>
        </w:rPr>
        <w:t>Kimbu</w:t>
      </w:r>
      <w:proofErr w:type="spellEnd"/>
      <w:r w:rsidRPr="00D5227C">
        <w:rPr>
          <w:rFonts w:ascii="Times New Roman" w:hAnsi="Times New Roman" w:cs="Times New Roman"/>
          <w:bCs/>
          <w:sz w:val="24"/>
          <w:szCs w:val="24"/>
        </w:rPr>
        <w:t xml:space="preserve"> &amp; </w:t>
      </w:r>
      <w:proofErr w:type="spellStart"/>
      <w:r w:rsidRPr="00D5227C">
        <w:rPr>
          <w:rFonts w:ascii="Times New Roman" w:hAnsi="Times New Roman" w:cs="Times New Roman"/>
          <w:bCs/>
          <w:sz w:val="24"/>
          <w:szCs w:val="24"/>
        </w:rPr>
        <w:t>Tichaawa</w:t>
      </w:r>
      <w:proofErr w:type="spellEnd"/>
      <w:r w:rsidRPr="00D5227C">
        <w:rPr>
          <w:rFonts w:ascii="Times New Roman" w:hAnsi="Times New Roman" w:cs="Times New Roman"/>
          <w:bCs/>
          <w:sz w:val="24"/>
          <w:szCs w:val="24"/>
        </w:rPr>
        <w:t>, 2020).</w:t>
      </w:r>
    </w:p>
    <w:p w:rsidR="003E0293" w:rsidRPr="003E0293" w:rsidRDefault="003E0293" w:rsidP="003E0293">
      <w:pPr>
        <w:jc w:val="both"/>
        <w:rPr>
          <w:rFonts w:ascii="Times New Roman" w:hAnsi="Times New Roman" w:cs="Times New Roman"/>
          <w:bCs/>
          <w:sz w:val="24"/>
          <w:szCs w:val="24"/>
        </w:rPr>
      </w:pPr>
      <w:r w:rsidRPr="00D5227C">
        <w:rPr>
          <w:rFonts w:ascii="Times New Roman" w:hAnsi="Times New Roman" w:cs="Times New Roman"/>
          <w:bCs/>
          <w:sz w:val="24"/>
          <w:szCs w:val="24"/>
        </w:rPr>
        <w:t>Visa regimes</w:t>
      </w:r>
      <w:r w:rsidRPr="003E0293">
        <w:rPr>
          <w:rFonts w:ascii="Times New Roman" w:hAnsi="Times New Roman" w:cs="Times New Roman"/>
          <w:bCs/>
          <w:sz w:val="24"/>
          <w:szCs w:val="24"/>
        </w:rPr>
        <w:t> ranked second (67% of sources), with SSA countries requiring visas for citizens of an average of 62% of source markets, compared to 28% in Southeast Asia and 23% in Latin America (</w:t>
      </w:r>
      <w:proofErr w:type="spellStart"/>
      <w:r w:rsidRPr="003E0293">
        <w:rPr>
          <w:rFonts w:ascii="Times New Roman" w:hAnsi="Times New Roman" w:cs="Times New Roman"/>
          <w:bCs/>
          <w:sz w:val="24"/>
          <w:szCs w:val="24"/>
        </w:rPr>
        <w:t>Asongu</w:t>
      </w:r>
      <w:proofErr w:type="spellEnd"/>
      <w:r w:rsidRPr="003E0293">
        <w:rPr>
          <w:rFonts w:ascii="Times New Roman" w:hAnsi="Times New Roman" w:cs="Times New Roman"/>
          <w:bCs/>
          <w:sz w:val="24"/>
          <w:szCs w:val="24"/>
        </w:rPr>
        <w:t xml:space="preserve"> et al., 2023; Xu et al., 2022). The economic impact is quantifiable: each additional visa-requiring country reduces tourist arrivals by an estimated 4.7% for SSA destinations, with corresponding reductions in hotel investment viability (Chen et al., 2025). Rwanda's 2011 introduction of visa-on-arrival for all African nationals and 2018 elimination of visa fees increased arrivals by 28% and stimulated US$214 million in new hotel investment—a natural experiment demonstrating visa regime elasticity (</w:t>
      </w:r>
      <w:proofErr w:type="spellStart"/>
      <w:r w:rsidRPr="003E0293">
        <w:rPr>
          <w:rFonts w:ascii="Times New Roman" w:hAnsi="Times New Roman" w:cs="Times New Roman"/>
          <w:bCs/>
          <w:sz w:val="24"/>
          <w:szCs w:val="24"/>
        </w:rPr>
        <w:t>Nakimu</w:t>
      </w:r>
      <w:proofErr w:type="spellEnd"/>
      <w:r w:rsidRPr="003E0293">
        <w:rPr>
          <w:rFonts w:ascii="Times New Roman" w:hAnsi="Times New Roman" w:cs="Times New Roman"/>
          <w:bCs/>
          <w:sz w:val="24"/>
          <w:szCs w:val="24"/>
        </w:rPr>
        <w:t xml:space="preserve"> et al., 2025; RDB, 2023).</w:t>
      </w:r>
    </w:p>
    <w:p w:rsidR="003E0293" w:rsidRPr="003E0293" w:rsidRDefault="003E0293" w:rsidP="003E0293">
      <w:pPr>
        <w:jc w:val="both"/>
        <w:rPr>
          <w:rFonts w:ascii="Times New Roman" w:hAnsi="Times New Roman" w:cs="Times New Roman"/>
          <w:bCs/>
          <w:sz w:val="24"/>
          <w:szCs w:val="24"/>
        </w:rPr>
      </w:pPr>
      <w:r w:rsidRPr="00D5227C">
        <w:rPr>
          <w:rFonts w:ascii="Times New Roman" w:hAnsi="Times New Roman" w:cs="Times New Roman"/>
          <w:bCs/>
          <w:sz w:val="24"/>
          <w:szCs w:val="24"/>
        </w:rPr>
        <w:t>Infrastructure deficits, pa</w:t>
      </w:r>
      <w:r w:rsidRPr="003E0293">
        <w:rPr>
          <w:rFonts w:ascii="Times New Roman" w:hAnsi="Times New Roman" w:cs="Times New Roman"/>
          <w:bCs/>
          <w:sz w:val="24"/>
          <w:szCs w:val="24"/>
        </w:rPr>
        <w:t>rticularly energy reliability (61% of sources), impose direct costs on tourism operations. Average electricity tariffs in SSA (US$0.21/kWh) exceed those in Southeast Asia (US$0.11/kWh), but more damaging is reliability: SSA hotels experience an average of 8.4 grid failures per month, requiring 100% diesel backup capacity at additional operating costs of 12–18% of total energy expenditure (</w:t>
      </w:r>
      <w:proofErr w:type="spellStart"/>
      <w:r w:rsidRPr="003E0293">
        <w:rPr>
          <w:rFonts w:ascii="Times New Roman" w:hAnsi="Times New Roman" w:cs="Times New Roman"/>
          <w:bCs/>
          <w:sz w:val="24"/>
          <w:szCs w:val="24"/>
        </w:rPr>
        <w:t>Mtweve</w:t>
      </w:r>
      <w:proofErr w:type="spellEnd"/>
      <w:r w:rsidRPr="003E0293">
        <w:rPr>
          <w:rFonts w:ascii="Times New Roman" w:hAnsi="Times New Roman" w:cs="Times New Roman"/>
          <w:bCs/>
          <w:sz w:val="24"/>
          <w:szCs w:val="24"/>
        </w:rPr>
        <w:t xml:space="preserve"> et al., 2025; JLL, 2024). For remote lodge developments, self-generation capital costs add US$150,000–500,000 to project costs, extending payback periods by 2–3 years (AECOM, 2023). Transport infrastructure follows similar patterns: only 48% of SSA's road network is paved, and 54% of tourism sites are accessible only via unpaved roads requiring 4×4 vehicles, increasing transfer costs and reducing market accessibility (</w:t>
      </w:r>
      <w:proofErr w:type="spellStart"/>
      <w:r w:rsidRPr="003E0293">
        <w:rPr>
          <w:rFonts w:ascii="Times New Roman" w:hAnsi="Times New Roman" w:cs="Times New Roman"/>
          <w:bCs/>
          <w:sz w:val="24"/>
          <w:szCs w:val="24"/>
        </w:rPr>
        <w:t>Forje</w:t>
      </w:r>
      <w:proofErr w:type="spellEnd"/>
      <w:r w:rsidRPr="003E0293">
        <w:rPr>
          <w:rFonts w:ascii="Times New Roman" w:hAnsi="Times New Roman" w:cs="Times New Roman"/>
          <w:bCs/>
          <w:sz w:val="24"/>
          <w:szCs w:val="24"/>
        </w:rPr>
        <w:t xml:space="preserve"> et al., 2022; ITU, 2024).</w:t>
      </w:r>
    </w:p>
    <w:p w:rsidR="003E0293" w:rsidRPr="003E0293" w:rsidRDefault="003E0293" w:rsidP="003E0293">
      <w:pPr>
        <w:jc w:val="both"/>
        <w:rPr>
          <w:rFonts w:ascii="Times New Roman" w:hAnsi="Times New Roman" w:cs="Times New Roman"/>
          <w:bCs/>
          <w:sz w:val="24"/>
          <w:szCs w:val="24"/>
        </w:rPr>
      </w:pPr>
      <w:r w:rsidRPr="00D5227C">
        <w:rPr>
          <w:rFonts w:ascii="Times New Roman" w:hAnsi="Times New Roman" w:cs="Times New Roman"/>
          <w:bCs/>
          <w:sz w:val="24"/>
          <w:szCs w:val="24"/>
        </w:rPr>
        <w:t>Corruption at the tourism-investment interface (</w:t>
      </w:r>
      <w:r w:rsidRPr="003E0293">
        <w:rPr>
          <w:rFonts w:ascii="Times New Roman" w:hAnsi="Times New Roman" w:cs="Times New Roman"/>
          <w:bCs/>
          <w:sz w:val="24"/>
          <w:szCs w:val="24"/>
        </w:rPr>
        <w:t xml:space="preserve">58% of sources) operates through distinct channels: visa bribery (average reported bribe of US$47 for expedited processing), land allocation </w:t>
      </w:r>
      <w:r w:rsidRPr="003E0293">
        <w:rPr>
          <w:rFonts w:ascii="Times New Roman" w:hAnsi="Times New Roman" w:cs="Times New Roman"/>
          <w:bCs/>
          <w:sz w:val="24"/>
          <w:szCs w:val="24"/>
        </w:rPr>
        <w:lastRenderedPageBreak/>
        <w:t>opacity (28% of tourism land deals in SSA involve irregular payments according to investor surveys), and inspection extortion (reported by 41% of lodge operators) (Xu et al., 2022; Transparency International, 2024). The aggregate effect is substantial: a one-standard-deviation increase in corruption perceptions reduces tourism FDI by 19% and increases required pre-tax ROI thresholds by 4–6 percentage points (</w:t>
      </w:r>
      <w:proofErr w:type="spellStart"/>
      <w:r w:rsidRPr="003E0293">
        <w:rPr>
          <w:rFonts w:ascii="Times New Roman" w:hAnsi="Times New Roman" w:cs="Times New Roman"/>
          <w:bCs/>
          <w:sz w:val="24"/>
          <w:szCs w:val="24"/>
        </w:rPr>
        <w:t>Asongu</w:t>
      </w:r>
      <w:proofErr w:type="spellEnd"/>
      <w:r w:rsidRPr="003E0293">
        <w:rPr>
          <w:rFonts w:ascii="Times New Roman" w:hAnsi="Times New Roman" w:cs="Times New Roman"/>
          <w:bCs/>
          <w:sz w:val="24"/>
          <w:szCs w:val="24"/>
        </w:rPr>
        <w:t xml:space="preserve"> et al., 2023; </w:t>
      </w:r>
      <w:proofErr w:type="spellStart"/>
      <w:r w:rsidRPr="003E0293">
        <w:rPr>
          <w:rFonts w:ascii="Times New Roman" w:hAnsi="Times New Roman" w:cs="Times New Roman"/>
          <w:bCs/>
          <w:sz w:val="24"/>
          <w:szCs w:val="24"/>
        </w:rPr>
        <w:t>Adegboye</w:t>
      </w:r>
      <w:proofErr w:type="spellEnd"/>
      <w:r w:rsidRPr="003E0293">
        <w:rPr>
          <w:rFonts w:ascii="Times New Roman" w:hAnsi="Times New Roman" w:cs="Times New Roman"/>
          <w:bCs/>
          <w:sz w:val="24"/>
          <w:szCs w:val="24"/>
        </w:rPr>
        <w:t xml:space="preserve"> et al., 2020).</w:t>
      </w:r>
    </w:p>
    <w:p w:rsidR="003E0293" w:rsidRPr="003E0293" w:rsidRDefault="003E0293" w:rsidP="003E0293">
      <w:pPr>
        <w:jc w:val="both"/>
        <w:rPr>
          <w:rFonts w:ascii="Times New Roman" w:hAnsi="Times New Roman" w:cs="Times New Roman"/>
          <w:bCs/>
          <w:sz w:val="24"/>
          <w:szCs w:val="24"/>
        </w:rPr>
      </w:pPr>
      <w:r w:rsidRPr="00D5227C">
        <w:rPr>
          <w:rFonts w:ascii="Times New Roman" w:hAnsi="Times New Roman" w:cs="Times New Roman"/>
          <w:bCs/>
          <w:sz w:val="24"/>
          <w:szCs w:val="24"/>
        </w:rPr>
        <w:t>Profit repatriation constraints (52%</w:t>
      </w:r>
      <w:r w:rsidRPr="003E0293">
        <w:rPr>
          <w:rFonts w:ascii="Times New Roman" w:hAnsi="Times New Roman" w:cs="Times New Roman"/>
          <w:bCs/>
          <w:sz w:val="24"/>
          <w:szCs w:val="24"/>
        </w:rPr>
        <w:t xml:space="preserve"> of sources) manifest as foreign exchange shortages, approval delays (average 18.5 days in SSA versus 4.2 days in OECD economies), and withholding taxes averaging 15% compared to 8% in Southeast Asia (World Bank, 2024; </w:t>
      </w:r>
      <w:proofErr w:type="spellStart"/>
      <w:r w:rsidRPr="003E0293">
        <w:rPr>
          <w:rFonts w:ascii="Times New Roman" w:hAnsi="Times New Roman" w:cs="Times New Roman"/>
          <w:bCs/>
          <w:sz w:val="24"/>
          <w:szCs w:val="24"/>
        </w:rPr>
        <w:t>Dingru</w:t>
      </w:r>
      <w:proofErr w:type="spellEnd"/>
      <w:r w:rsidRPr="003E0293">
        <w:rPr>
          <w:rFonts w:ascii="Times New Roman" w:hAnsi="Times New Roman" w:cs="Times New Roman"/>
          <w:bCs/>
          <w:sz w:val="24"/>
          <w:szCs w:val="24"/>
        </w:rPr>
        <w:t xml:space="preserve"> et al., 2023). For private equity and institutional investors with 5–7 year hold periods, repatriation frictions reduce effective IRR by an estimated 2–3 percentage points, shifting SSA tourism from attractive to marginal relative to other emerging markets (</w:t>
      </w:r>
      <w:proofErr w:type="spellStart"/>
      <w:r w:rsidRPr="003E0293">
        <w:rPr>
          <w:rFonts w:ascii="Times New Roman" w:hAnsi="Times New Roman" w:cs="Times New Roman"/>
          <w:bCs/>
          <w:sz w:val="24"/>
          <w:szCs w:val="24"/>
        </w:rPr>
        <w:t>Kimbu</w:t>
      </w:r>
      <w:proofErr w:type="spellEnd"/>
      <w:r w:rsidRPr="003E0293">
        <w:rPr>
          <w:rFonts w:ascii="Times New Roman" w:hAnsi="Times New Roman" w:cs="Times New Roman"/>
          <w:bCs/>
          <w:sz w:val="24"/>
          <w:szCs w:val="24"/>
        </w:rPr>
        <w:t xml:space="preserve"> &amp; </w:t>
      </w:r>
      <w:proofErr w:type="spellStart"/>
      <w:r w:rsidRPr="003E0293">
        <w:rPr>
          <w:rFonts w:ascii="Times New Roman" w:hAnsi="Times New Roman" w:cs="Times New Roman"/>
          <w:bCs/>
          <w:sz w:val="24"/>
          <w:szCs w:val="24"/>
        </w:rPr>
        <w:t>Tichaawa</w:t>
      </w:r>
      <w:proofErr w:type="spellEnd"/>
      <w:r w:rsidRPr="003E0293">
        <w:rPr>
          <w:rFonts w:ascii="Times New Roman" w:hAnsi="Times New Roman" w:cs="Times New Roman"/>
          <w:bCs/>
          <w:sz w:val="24"/>
          <w:szCs w:val="24"/>
        </w:rPr>
        <w:t>, 2020; CDC Group, 2024).</w:t>
      </w:r>
    </w:p>
    <w:p w:rsidR="003E0293" w:rsidRPr="003E0293" w:rsidRDefault="003E0293" w:rsidP="003E0293">
      <w:pPr>
        <w:jc w:val="both"/>
        <w:rPr>
          <w:rFonts w:ascii="Times New Roman" w:hAnsi="Times New Roman" w:cs="Times New Roman"/>
          <w:bCs/>
          <w:sz w:val="24"/>
          <w:szCs w:val="24"/>
        </w:rPr>
      </w:pPr>
      <w:r w:rsidRPr="00D5227C">
        <w:rPr>
          <w:rFonts w:ascii="Times New Roman" w:hAnsi="Times New Roman" w:cs="Times New Roman"/>
          <w:bCs/>
          <w:sz w:val="24"/>
          <w:szCs w:val="24"/>
        </w:rPr>
        <w:t>Licensing and registration burdens (</w:t>
      </w:r>
      <w:r w:rsidRPr="003E0293">
        <w:rPr>
          <w:rFonts w:ascii="Times New Roman" w:hAnsi="Times New Roman" w:cs="Times New Roman"/>
          <w:bCs/>
          <w:sz w:val="24"/>
          <w:szCs w:val="24"/>
        </w:rPr>
        <w:t xml:space="preserve">44% of sources) average 94 days and 7 distinct permits for tourism enterprises in SSA, compared to 23 days and 3 permits in East Asia (World Bank, 2024). Tour operators face particularly onerous requirements, with an average of 9 separate </w:t>
      </w:r>
      <w:proofErr w:type="spellStart"/>
      <w:r w:rsidRPr="003E0293">
        <w:rPr>
          <w:rFonts w:ascii="Times New Roman" w:hAnsi="Times New Roman" w:cs="Times New Roman"/>
          <w:bCs/>
          <w:sz w:val="24"/>
          <w:szCs w:val="24"/>
        </w:rPr>
        <w:t>licences</w:t>
      </w:r>
      <w:proofErr w:type="spellEnd"/>
      <w:r w:rsidRPr="003E0293">
        <w:rPr>
          <w:rFonts w:ascii="Times New Roman" w:hAnsi="Times New Roman" w:cs="Times New Roman"/>
          <w:bCs/>
          <w:sz w:val="24"/>
          <w:szCs w:val="24"/>
        </w:rPr>
        <w:t xml:space="preserve"> required across SSA countries, each requiring renewal every 1–3 years at average costs of US$340–1,200 (</w:t>
      </w:r>
      <w:proofErr w:type="spellStart"/>
      <w:r w:rsidRPr="003E0293">
        <w:rPr>
          <w:rFonts w:ascii="Times New Roman" w:hAnsi="Times New Roman" w:cs="Times New Roman"/>
          <w:bCs/>
          <w:sz w:val="24"/>
          <w:szCs w:val="24"/>
        </w:rPr>
        <w:t>Asongu</w:t>
      </w:r>
      <w:proofErr w:type="spellEnd"/>
      <w:r w:rsidRPr="003E0293">
        <w:rPr>
          <w:rFonts w:ascii="Times New Roman" w:hAnsi="Times New Roman" w:cs="Times New Roman"/>
          <w:bCs/>
          <w:sz w:val="24"/>
          <w:szCs w:val="24"/>
        </w:rPr>
        <w:t xml:space="preserve"> et al., 2023; </w:t>
      </w:r>
      <w:proofErr w:type="spellStart"/>
      <w:r w:rsidRPr="003E0293">
        <w:rPr>
          <w:rFonts w:ascii="Times New Roman" w:hAnsi="Times New Roman" w:cs="Times New Roman"/>
          <w:bCs/>
          <w:sz w:val="24"/>
          <w:szCs w:val="24"/>
        </w:rPr>
        <w:t>Forje</w:t>
      </w:r>
      <w:proofErr w:type="spellEnd"/>
      <w:r w:rsidRPr="003E0293">
        <w:rPr>
          <w:rFonts w:ascii="Times New Roman" w:hAnsi="Times New Roman" w:cs="Times New Roman"/>
          <w:bCs/>
          <w:sz w:val="24"/>
          <w:szCs w:val="24"/>
        </w:rPr>
        <w:t xml:space="preserve"> et al., 2022).</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3.2.2 Sub-Regional and Subsector Variation</w:t>
      </w:r>
    </w:p>
    <w:p w:rsidR="003E0293" w:rsidRPr="003E0293" w:rsidRDefault="003E0293" w:rsidP="003E0293">
      <w:pPr>
        <w:jc w:val="both"/>
        <w:rPr>
          <w:rFonts w:ascii="Times New Roman" w:hAnsi="Times New Roman" w:cs="Times New Roman"/>
          <w:bCs/>
          <w:sz w:val="24"/>
          <w:szCs w:val="24"/>
        </w:rPr>
      </w:pPr>
      <w:r w:rsidRPr="00D5227C">
        <w:rPr>
          <w:rFonts w:ascii="Times New Roman" w:hAnsi="Times New Roman" w:cs="Times New Roman"/>
          <w:bCs/>
          <w:sz w:val="24"/>
          <w:szCs w:val="24"/>
        </w:rPr>
        <w:t>Sub-regional variation followed a hierarchy of binding constraints. Southern Africa exhibits relatively advanced institutional frameworks (median rule of law score 62/100 versus SSA average 48/100) but faces infrastructure and skills constraints (</w:t>
      </w:r>
      <w:proofErr w:type="spellStart"/>
      <w:r w:rsidRPr="00D5227C">
        <w:rPr>
          <w:rFonts w:ascii="Times New Roman" w:hAnsi="Times New Roman" w:cs="Times New Roman"/>
          <w:bCs/>
          <w:sz w:val="24"/>
          <w:szCs w:val="24"/>
        </w:rPr>
        <w:t>Lemunge</w:t>
      </w:r>
      <w:proofErr w:type="spellEnd"/>
      <w:r w:rsidRPr="00D5227C">
        <w:rPr>
          <w:rFonts w:ascii="Times New Roman" w:hAnsi="Times New Roman" w:cs="Times New Roman"/>
          <w:bCs/>
          <w:sz w:val="24"/>
          <w:szCs w:val="24"/>
        </w:rPr>
        <w:t xml:space="preserve"> et al., 2025; </w:t>
      </w:r>
      <w:proofErr w:type="spellStart"/>
      <w:r w:rsidRPr="00D5227C">
        <w:rPr>
          <w:rFonts w:ascii="Times New Roman" w:hAnsi="Times New Roman" w:cs="Times New Roman"/>
          <w:bCs/>
          <w:sz w:val="24"/>
          <w:szCs w:val="24"/>
        </w:rPr>
        <w:t>Mutanga</w:t>
      </w:r>
      <w:proofErr w:type="spellEnd"/>
      <w:r w:rsidRPr="00D5227C">
        <w:rPr>
          <w:rFonts w:ascii="Times New Roman" w:hAnsi="Times New Roman" w:cs="Times New Roman"/>
          <w:bCs/>
          <w:sz w:val="24"/>
          <w:szCs w:val="24"/>
        </w:rPr>
        <w:t xml:space="preserve"> et al., 2023). East Africa shows the most dynamic reform trajectory, particularly Rwanda (global ease of doing business rank 38th) and Kenya (digital infrastructure leadership), but struggles with regional integration inconsistencies and security spillovers (</w:t>
      </w:r>
      <w:proofErr w:type="spellStart"/>
      <w:r w:rsidRPr="00D5227C">
        <w:rPr>
          <w:rFonts w:ascii="Times New Roman" w:hAnsi="Times New Roman" w:cs="Times New Roman"/>
          <w:bCs/>
          <w:sz w:val="24"/>
          <w:szCs w:val="24"/>
        </w:rPr>
        <w:t>Nakimu</w:t>
      </w:r>
      <w:proofErr w:type="spellEnd"/>
      <w:r w:rsidRPr="00D5227C">
        <w:rPr>
          <w:rFonts w:ascii="Times New Roman" w:hAnsi="Times New Roman" w:cs="Times New Roman"/>
          <w:bCs/>
          <w:sz w:val="24"/>
          <w:szCs w:val="24"/>
        </w:rPr>
        <w:t xml:space="preserve"> et al., 2025; Chen et al., 2025). West Africa presents the most heterogeneous landscape, with Ghana and Senegal demonstrating reform momentum while Nigeria's potential remains constrained by security, forex, and coordination failures (</w:t>
      </w:r>
      <w:proofErr w:type="spellStart"/>
      <w:r w:rsidRPr="00D5227C">
        <w:rPr>
          <w:rFonts w:ascii="Times New Roman" w:hAnsi="Times New Roman" w:cs="Times New Roman"/>
          <w:bCs/>
          <w:sz w:val="24"/>
          <w:szCs w:val="24"/>
        </w:rPr>
        <w:t>Adegboye</w:t>
      </w:r>
      <w:proofErr w:type="spellEnd"/>
      <w:r w:rsidRPr="00D5227C">
        <w:rPr>
          <w:rFonts w:ascii="Times New Roman" w:hAnsi="Times New Roman" w:cs="Times New Roman"/>
          <w:bCs/>
          <w:sz w:val="24"/>
          <w:szCs w:val="24"/>
        </w:rPr>
        <w:t xml:space="preserve"> et al., 2020; Xu et al., 2022). Central Africa remains severely understudied (only 7% of sources), with evidence suggesting land tenure and conflict represent binding constrai</w:t>
      </w:r>
      <w:r w:rsidRPr="003E0293">
        <w:rPr>
          <w:rFonts w:ascii="Times New Roman" w:hAnsi="Times New Roman" w:cs="Times New Roman"/>
          <w:bCs/>
          <w:sz w:val="24"/>
          <w:szCs w:val="24"/>
        </w:rPr>
        <w:t>nts (</w:t>
      </w:r>
      <w:proofErr w:type="spellStart"/>
      <w:r w:rsidRPr="003E0293">
        <w:rPr>
          <w:rFonts w:ascii="Times New Roman" w:hAnsi="Times New Roman" w:cs="Times New Roman"/>
          <w:bCs/>
          <w:sz w:val="24"/>
          <w:szCs w:val="24"/>
        </w:rPr>
        <w:t>Mutanga</w:t>
      </w:r>
      <w:proofErr w:type="spellEnd"/>
      <w:r w:rsidRPr="003E0293">
        <w:rPr>
          <w:rFonts w:ascii="Times New Roman" w:hAnsi="Times New Roman" w:cs="Times New Roman"/>
          <w:bCs/>
          <w:sz w:val="24"/>
          <w:szCs w:val="24"/>
        </w:rPr>
        <w:t xml:space="preserve"> et al., 2023).</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 xml:space="preserve">Subsector variation </w:t>
      </w:r>
      <w:r w:rsidRPr="00D5227C">
        <w:rPr>
          <w:rFonts w:ascii="Times New Roman" w:hAnsi="Times New Roman" w:cs="Times New Roman"/>
          <w:bCs/>
          <w:sz w:val="24"/>
          <w:szCs w:val="24"/>
        </w:rPr>
        <w:t>reveals that lodging investments face land tenure and construction permitting as primary barriers; attractions (parks, heritage sites) face infrastructure access and revenue repatriation constraints; transport faces regulatory fragmentation and safety perceptions; while tech platforms face digital infrastructure and payment integration barriers more than traditional regulatory obstacles (</w:t>
      </w:r>
      <w:proofErr w:type="spellStart"/>
      <w:r w:rsidRPr="00D5227C">
        <w:rPr>
          <w:rFonts w:ascii="Times New Roman" w:hAnsi="Times New Roman" w:cs="Times New Roman"/>
          <w:bCs/>
          <w:sz w:val="24"/>
          <w:szCs w:val="24"/>
        </w:rPr>
        <w:t>Bekun</w:t>
      </w:r>
      <w:proofErr w:type="spellEnd"/>
      <w:r w:rsidRPr="00D5227C">
        <w:rPr>
          <w:rFonts w:ascii="Times New Roman" w:hAnsi="Times New Roman" w:cs="Times New Roman"/>
          <w:bCs/>
          <w:sz w:val="24"/>
          <w:szCs w:val="24"/>
        </w:rPr>
        <w:t xml:space="preserve"> et al., 2022;</w:t>
      </w:r>
      <w:r w:rsidRPr="003E0293">
        <w:rPr>
          <w:rFonts w:ascii="Times New Roman" w:hAnsi="Times New Roman" w:cs="Times New Roman"/>
          <w:bCs/>
          <w:sz w:val="24"/>
          <w:szCs w:val="24"/>
        </w:rPr>
        <w:t xml:space="preserve"> </w:t>
      </w:r>
      <w:proofErr w:type="spellStart"/>
      <w:r w:rsidRPr="003E0293">
        <w:rPr>
          <w:rFonts w:ascii="Times New Roman" w:hAnsi="Times New Roman" w:cs="Times New Roman"/>
          <w:bCs/>
          <w:sz w:val="24"/>
          <w:szCs w:val="24"/>
        </w:rPr>
        <w:t>Forje</w:t>
      </w:r>
      <w:proofErr w:type="spellEnd"/>
      <w:r w:rsidRPr="003E0293">
        <w:rPr>
          <w:rFonts w:ascii="Times New Roman" w:hAnsi="Times New Roman" w:cs="Times New Roman"/>
          <w:bCs/>
          <w:sz w:val="24"/>
          <w:szCs w:val="24"/>
        </w:rPr>
        <w:t xml:space="preserve"> et al., 2022; </w:t>
      </w:r>
      <w:proofErr w:type="spellStart"/>
      <w:r w:rsidRPr="003E0293">
        <w:rPr>
          <w:rFonts w:ascii="Times New Roman" w:hAnsi="Times New Roman" w:cs="Times New Roman"/>
          <w:bCs/>
          <w:sz w:val="24"/>
          <w:szCs w:val="24"/>
        </w:rPr>
        <w:t>Ndlovu</w:t>
      </w:r>
      <w:proofErr w:type="spellEnd"/>
      <w:r w:rsidRPr="003E0293">
        <w:rPr>
          <w:rFonts w:ascii="Times New Roman" w:hAnsi="Times New Roman" w:cs="Times New Roman"/>
          <w:bCs/>
          <w:sz w:val="24"/>
          <w:szCs w:val="24"/>
        </w:rPr>
        <w:t xml:space="preserve"> et al., 2025).</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3.3 RQ2: Return on Investment Evidence</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3.3.1 Availability and Quality</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 xml:space="preserve">Direct ROI evidence for SSA tourism ventures is exceptionally sparse. Of 124 academic sources, only 15 (12%) contained any financial metric that could be construed as ROI-related, and none provided audited financial statements (Gold rating). The 87 grey sources performed substantially better: 59 (68%) contained ROI-relevant data, with 8 achieving Gold rating (DFI evaluation reports </w:t>
      </w:r>
      <w:r w:rsidRPr="003E0293">
        <w:rPr>
          <w:rFonts w:ascii="Times New Roman" w:hAnsi="Times New Roman" w:cs="Times New Roman"/>
          <w:bCs/>
          <w:sz w:val="24"/>
          <w:szCs w:val="24"/>
        </w:rPr>
        <w:lastRenderedPageBreak/>
        <w:t>with verified financials), 23 Silver (industry surveys with documented methodology), and 28 Bronze (case studies or estimated figures). No source provided systematic ROI comparisons across SSA countries or subsectors (</w:t>
      </w:r>
      <w:proofErr w:type="spellStart"/>
      <w:r w:rsidRPr="003E0293">
        <w:rPr>
          <w:rFonts w:ascii="Times New Roman" w:hAnsi="Times New Roman" w:cs="Times New Roman"/>
          <w:bCs/>
          <w:sz w:val="24"/>
          <w:szCs w:val="24"/>
        </w:rPr>
        <w:t>Kimbu</w:t>
      </w:r>
      <w:proofErr w:type="spellEnd"/>
      <w:r w:rsidRPr="003E0293">
        <w:rPr>
          <w:rFonts w:ascii="Times New Roman" w:hAnsi="Times New Roman" w:cs="Times New Roman"/>
          <w:bCs/>
          <w:sz w:val="24"/>
          <w:szCs w:val="24"/>
        </w:rPr>
        <w:t xml:space="preserve"> &amp; </w:t>
      </w:r>
      <w:proofErr w:type="spellStart"/>
      <w:r w:rsidRPr="003E0293">
        <w:rPr>
          <w:rFonts w:ascii="Times New Roman" w:hAnsi="Times New Roman" w:cs="Times New Roman"/>
          <w:bCs/>
          <w:sz w:val="24"/>
          <w:szCs w:val="24"/>
        </w:rPr>
        <w:t>Tichaawa</w:t>
      </w:r>
      <w:proofErr w:type="spellEnd"/>
      <w:r w:rsidRPr="003E0293">
        <w:rPr>
          <w:rFonts w:ascii="Times New Roman" w:hAnsi="Times New Roman" w:cs="Times New Roman"/>
          <w:bCs/>
          <w:sz w:val="24"/>
          <w:szCs w:val="24"/>
        </w:rPr>
        <w:t>, 2020; JLL, 2024).</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3.3.2 ROI Estimates by Venture Type</w:t>
      </w:r>
    </w:p>
    <w:p w:rsidR="003E0293" w:rsidRPr="006D7472" w:rsidRDefault="003E0293" w:rsidP="003E0293">
      <w:pPr>
        <w:jc w:val="both"/>
        <w:rPr>
          <w:rFonts w:ascii="Times New Roman" w:hAnsi="Times New Roman" w:cs="Times New Roman"/>
          <w:bCs/>
          <w:sz w:val="24"/>
          <w:szCs w:val="24"/>
        </w:rPr>
      </w:pPr>
      <w:r w:rsidRPr="006D7472">
        <w:rPr>
          <w:rFonts w:ascii="Times New Roman" w:hAnsi="Times New Roman" w:cs="Times New Roman"/>
          <w:bCs/>
          <w:sz w:val="24"/>
          <w:szCs w:val="24"/>
        </w:rPr>
        <w:t>Lodging (hotels and lodges): From 23 sources with Silver or Bronze ratings, median IRR for SSA hotel investments was 11.8% (range 7–22%), with substantial variation by country: Rwanda (15–20%), Kenya (12–18%), Ghana (12–18%), South Africa (9–14%), Nigeria (unreliable data, estimated 8–25% with extreme risk). Payback periods averaged 11.4 years (range 7–15 years) compared to 7.2 years in Southeast Asia. Occupancy rates averaged 54% (versus 68% Southeast Asia), while average daily rates averaged US$112 (versus US$98 Southeast Asia), but gross operating profit margins were lower (28% versus 35%) due to higher operating costs (energy, security, import duties) (JLL, 2024; AECOM, 2023; AHIF, 2023).</w:t>
      </w:r>
    </w:p>
    <w:p w:rsidR="003E0293" w:rsidRPr="006D7472" w:rsidRDefault="003E0293" w:rsidP="003E0293">
      <w:pPr>
        <w:jc w:val="both"/>
        <w:rPr>
          <w:rFonts w:ascii="Times New Roman" w:hAnsi="Times New Roman" w:cs="Times New Roman"/>
          <w:bCs/>
          <w:sz w:val="24"/>
          <w:szCs w:val="24"/>
        </w:rPr>
      </w:pPr>
      <w:r w:rsidRPr="006D7472">
        <w:rPr>
          <w:rFonts w:ascii="Times New Roman" w:hAnsi="Times New Roman" w:cs="Times New Roman"/>
          <w:bCs/>
          <w:sz w:val="24"/>
          <w:szCs w:val="24"/>
        </w:rPr>
        <w:t>Eco-lodges and conservation tourism: Only 9 sources contained ROI data, with median IRR of 9.2% (range 6–14%) and payback periods of 12–18 years. However, patient capital vehicles reported lower required returns (7–10% IRR) and longer hold periods (15–20 years), making these ventures viable within impact-oriented capital structures (</w:t>
      </w:r>
      <w:proofErr w:type="spellStart"/>
      <w:r w:rsidRPr="006D7472">
        <w:rPr>
          <w:rFonts w:ascii="Times New Roman" w:hAnsi="Times New Roman" w:cs="Times New Roman"/>
          <w:bCs/>
          <w:sz w:val="24"/>
          <w:szCs w:val="24"/>
        </w:rPr>
        <w:t>Dingru</w:t>
      </w:r>
      <w:proofErr w:type="spellEnd"/>
      <w:r w:rsidRPr="006D7472">
        <w:rPr>
          <w:rFonts w:ascii="Times New Roman" w:hAnsi="Times New Roman" w:cs="Times New Roman"/>
          <w:bCs/>
          <w:sz w:val="24"/>
          <w:szCs w:val="24"/>
        </w:rPr>
        <w:t xml:space="preserve"> et al., 2023; </w:t>
      </w:r>
      <w:proofErr w:type="spellStart"/>
      <w:r w:rsidRPr="006D7472">
        <w:rPr>
          <w:rFonts w:ascii="Times New Roman" w:hAnsi="Times New Roman" w:cs="Times New Roman"/>
          <w:bCs/>
          <w:sz w:val="24"/>
          <w:szCs w:val="24"/>
        </w:rPr>
        <w:t>Mungai</w:t>
      </w:r>
      <w:proofErr w:type="spellEnd"/>
      <w:r w:rsidRPr="006D7472">
        <w:rPr>
          <w:rFonts w:ascii="Times New Roman" w:hAnsi="Times New Roman" w:cs="Times New Roman"/>
          <w:bCs/>
          <w:sz w:val="24"/>
          <w:szCs w:val="24"/>
        </w:rPr>
        <w:t xml:space="preserve"> et al., 2021; CDC Group, 2024).</w:t>
      </w:r>
    </w:p>
    <w:p w:rsidR="003E0293" w:rsidRPr="006D7472" w:rsidRDefault="003E0293" w:rsidP="003E0293">
      <w:pPr>
        <w:jc w:val="both"/>
        <w:rPr>
          <w:rFonts w:ascii="Times New Roman" w:hAnsi="Times New Roman" w:cs="Times New Roman"/>
          <w:bCs/>
          <w:sz w:val="24"/>
          <w:szCs w:val="24"/>
        </w:rPr>
      </w:pPr>
      <w:r w:rsidRPr="006D7472">
        <w:rPr>
          <w:rFonts w:ascii="Times New Roman" w:hAnsi="Times New Roman" w:cs="Times New Roman"/>
          <w:bCs/>
          <w:sz w:val="24"/>
          <w:szCs w:val="24"/>
        </w:rPr>
        <w:t xml:space="preserve">Attractions (parks, heritage sites): ROI evidence is almost entirely absent, with only 4 sources providing any financial data. What exists suggests highly variable returns (0–25% IRR) dependent on visitation volumes, pricing power, and concession arrangements, but no systematic data allows </w:t>
      </w:r>
      <w:proofErr w:type="spellStart"/>
      <w:r w:rsidRPr="006D7472">
        <w:rPr>
          <w:rFonts w:ascii="Times New Roman" w:hAnsi="Times New Roman" w:cs="Times New Roman"/>
          <w:bCs/>
          <w:sz w:val="24"/>
          <w:szCs w:val="24"/>
        </w:rPr>
        <w:t>generalisation</w:t>
      </w:r>
      <w:proofErr w:type="spellEnd"/>
      <w:r w:rsidRPr="006D7472">
        <w:rPr>
          <w:rFonts w:ascii="Times New Roman" w:hAnsi="Times New Roman" w:cs="Times New Roman"/>
          <w:bCs/>
          <w:sz w:val="24"/>
          <w:szCs w:val="24"/>
        </w:rPr>
        <w:t xml:space="preserve"> (</w:t>
      </w:r>
      <w:proofErr w:type="spellStart"/>
      <w:r w:rsidRPr="006D7472">
        <w:rPr>
          <w:rFonts w:ascii="Times New Roman" w:hAnsi="Times New Roman" w:cs="Times New Roman"/>
          <w:bCs/>
          <w:sz w:val="24"/>
          <w:szCs w:val="24"/>
        </w:rPr>
        <w:t>Mutanga</w:t>
      </w:r>
      <w:proofErr w:type="spellEnd"/>
      <w:r w:rsidRPr="006D7472">
        <w:rPr>
          <w:rFonts w:ascii="Times New Roman" w:hAnsi="Times New Roman" w:cs="Times New Roman"/>
          <w:bCs/>
          <w:sz w:val="24"/>
          <w:szCs w:val="24"/>
        </w:rPr>
        <w:t xml:space="preserve"> et al., 2023; </w:t>
      </w:r>
      <w:proofErr w:type="spellStart"/>
      <w:r w:rsidRPr="006D7472">
        <w:rPr>
          <w:rFonts w:ascii="Times New Roman" w:hAnsi="Times New Roman" w:cs="Times New Roman"/>
          <w:bCs/>
          <w:sz w:val="24"/>
          <w:szCs w:val="24"/>
        </w:rPr>
        <w:t>Kimbu</w:t>
      </w:r>
      <w:proofErr w:type="spellEnd"/>
      <w:r w:rsidRPr="006D7472">
        <w:rPr>
          <w:rFonts w:ascii="Times New Roman" w:hAnsi="Times New Roman" w:cs="Times New Roman"/>
          <w:bCs/>
          <w:sz w:val="24"/>
          <w:szCs w:val="24"/>
        </w:rPr>
        <w:t xml:space="preserve"> &amp; </w:t>
      </w:r>
      <w:proofErr w:type="spellStart"/>
      <w:r w:rsidRPr="006D7472">
        <w:rPr>
          <w:rFonts w:ascii="Times New Roman" w:hAnsi="Times New Roman" w:cs="Times New Roman"/>
          <w:bCs/>
          <w:sz w:val="24"/>
          <w:szCs w:val="24"/>
        </w:rPr>
        <w:t>Tichaawa</w:t>
      </w:r>
      <w:proofErr w:type="spellEnd"/>
      <w:r w:rsidRPr="006D7472">
        <w:rPr>
          <w:rFonts w:ascii="Times New Roman" w:hAnsi="Times New Roman" w:cs="Times New Roman"/>
          <w:bCs/>
          <w:sz w:val="24"/>
          <w:szCs w:val="24"/>
        </w:rPr>
        <w:t>, 2020).</w:t>
      </w:r>
    </w:p>
    <w:p w:rsidR="003E0293" w:rsidRPr="003E0293" w:rsidRDefault="003E0293" w:rsidP="003E0293">
      <w:pPr>
        <w:jc w:val="both"/>
        <w:rPr>
          <w:rFonts w:ascii="Times New Roman" w:hAnsi="Times New Roman" w:cs="Times New Roman"/>
          <w:bCs/>
          <w:sz w:val="24"/>
          <w:szCs w:val="24"/>
        </w:rPr>
      </w:pPr>
      <w:r w:rsidRPr="006D7472">
        <w:rPr>
          <w:rFonts w:ascii="Times New Roman" w:hAnsi="Times New Roman" w:cs="Times New Roman"/>
          <w:bCs/>
          <w:sz w:val="24"/>
          <w:szCs w:val="24"/>
        </w:rPr>
        <w:t>Tech-enabled ventures: Only 2 academic and 11 grey sources provided ROI estimates for SSA tourism tech platforms. Seed-stage valuations ranged US$2–15 million, with Series A valuations US$10–50 million. Reported IRRs for exited ventures (n=4) ranged 18–45%, substantially exceeding traditional lodging returns. However, selection bias likely inflates these figures (failed ventures not reported), and the sample size precludes robus</w:t>
      </w:r>
      <w:r w:rsidRPr="003E0293">
        <w:rPr>
          <w:rFonts w:ascii="Times New Roman" w:hAnsi="Times New Roman" w:cs="Times New Roman"/>
          <w:bCs/>
          <w:sz w:val="24"/>
          <w:szCs w:val="24"/>
        </w:rPr>
        <w:t>t inference (</w:t>
      </w:r>
      <w:proofErr w:type="spellStart"/>
      <w:r w:rsidRPr="003E0293">
        <w:rPr>
          <w:rFonts w:ascii="Times New Roman" w:hAnsi="Times New Roman" w:cs="Times New Roman"/>
          <w:bCs/>
          <w:sz w:val="24"/>
          <w:szCs w:val="24"/>
        </w:rPr>
        <w:t>Filieri</w:t>
      </w:r>
      <w:proofErr w:type="spellEnd"/>
      <w:r w:rsidRPr="003E0293">
        <w:rPr>
          <w:rFonts w:ascii="Times New Roman" w:hAnsi="Times New Roman" w:cs="Times New Roman"/>
          <w:bCs/>
          <w:sz w:val="24"/>
          <w:szCs w:val="24"/>
        </w:rPr>
        <w:t xml:space="preserve"> et al., 2021; </w:t>
      </w:r>
      <w:proofErr w:type="spellStart"/>
      <w:r w:rsidRPr="003E0293">
        <w:rPr>
          <w:rFonts w:ascii="Times New Roman" w:hAnsi="Times New Roman" w:cs="Times New Roman"/>
          <w:bCs/>
          <w:sz w:val="24"/>
          <w:szCs w:val="24"/>
        </w:rPr>
        <w:t>Florido-Benítez</w:t>
      </w:r>
      <w:proofErr w:type="spellEnd"/>
      <w:r w:rsidRPr="003E0293">
        <w:rPr>
          <w:rFonts w:ascii="Times New Roman" w:hAnsi="Times New Roman" w:cs="Times New Roman"/>
          <w:bCs/>
          <w:sz w:val="24"/>
          <w:szCs w:val="24"/>
        </w:rPr>
        <w:t xml:space="preserve"> &amp; Del </w:t>
      </w:r>
      <w:proofErr w:type="spellStart"/>
      <w:r w:rsidRPr="003E0293">
        <w:rPr>
          <w:rFonts w:ascii="Times New Roman" w:hAnsi="Times New Roman" w:cs="Times New Roman"/>
          <w:bCs/>
          <w:sz w:val="24"/>
          <w:szCs w:val="24"/>
        </w:rPr>
        <w:t>Alcázar</w:t>
      </w:r>
      <w:proofErr w:type="spellEnd"/>
      <w:r w:rsidRPr="003E0293">
        <w:rPr>
          <w:rFonts w:ascii="Times New Roman" w:hAnsi="Times New Roman" w:cs="Times New Roman"/>
          <w:bCs/>
          <w:sz w:val="24"/>
          <w:szCs w:val="24"/>
        </w:rPr>
        <w:t xml:space="preserve"> </w:t>
      </w:r>
      <w:proofErr w:type="spellStart"/>
      <w:r w:rsidRPr="003E0293">
        <w:rPr>
          <w:rFonts w:ascii="Times New Roman" w:hAnsi="Times New Roman" w:cs="Times New Roman"/>
          <w:bCs/>
          <w:sz w:val="24"/>
          <w:szCs w:val="24"/>
        </w:rPr>
        <w:t>Martínez</w:t>
      </w:r>
      <w:proofErr w:type="spellEnd"/>
      <w:r w:rsidRPr="003E0293">
        <w:rPr>
          <w:rFonts w:ascii="Times New Roman" w:hAnsi="Times New Roman" w:cs="Times New Roman"/>
          <w:bCs/>
          <w:sz w:val="24"/>
          <w:szCs w:val="24"/>
        </w:rPr>
        <w:t>, 2024; Statista, 2024).</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3.3.3 Risk-Adjusted Returns and Comparative Analysis</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 xml:space="preserve">No source systematically compared risk-adjusted ROI for SSA tourism versus other asset classes or regions. Proxy evidence suggests that on a standalone basis, SSA tourism ROI (median 11.8% IRR) compares </w:t>
      </w:r>
      <w:proofErr w:type="spellStart"/>
      <w:r w:rsidRPr="003E0293">
        <w:rPr>
          <w:rFonts w:ascii="Times New Roman" w:hAnsi="Times New Roman" w:cs="Times New Roman"/>
          <w:bCs/>
          <w:sz w:val="24"/>
          <w:szCs w:val="24"/>
        </w:rPr>
        <w:t>unfavourably</w:t>
      </w:r>
      <w:proofErr w:type="spellEnd"/>
      <w:r w:rsidRPr="003E0293">
        <w:rPr>
          <w:rFonts w:ascii="Times New Roman" w:hAnsi="Times New Roman" w:cs="Times New Roman"/>
          <w:bCs/>
          <w:sz w:val="24"/>
          <w:szCs w:val="24"/>
        </w:rPr>
        <w:t xml:space="preserve"> to Southeast Asia (15–22% IRR) but </w:t>
      </w:r>
      <w:proofErr w:type="spellStart"/>
      <w:r w:rsidRPr="003E0293">
        <w:rPr>
          <w:rFonts w:ascii="Times New Roman" w:hAnsi="Times New Roman" w:cs="Times New Roman"/>
          <w:bCs/>
          <w:sz w:val="24"/>
          <w:szCs w:val="24"/>
        </w:rPr>
        <w:t>favourably</w:t>
      </w:r>
      <w:proofErr w:type="spellEnd"/>
      <w:r w:rsidRPr="003E0293">
        <w:rPr>
          <w:rFonts w:ascii="Times New Roman" w:hAnsi="Times New Roman" w:cs="Times New Roman"/>
          <w:bCs/>
          <w:sz w:val="24"/>
          <w:szCs w:val="24"/>
        </w:rPr>
        <w:t xml:space="preserve"> to OECD hospitality (8–12% IRR). However, risk adjustment using sovereign credit spreads (average SSA 620 basis points versus Southeast Asia 280 basis points) erases this advantage, producing risk-adjusted returns of 5.6% for SSA versus 12.2% for Southeast Asia (author calculation based on available data). This differential precisely explains institutional investor hesitation despite the "potential narrative" (</w:t>
      </w:r>
      <w:proofErr w:type="spellStart"/>
      <w:r w:rsidRPr="003E0293">
        <w:rPr>
          <w:rFonts w:ascii="Times New Roman" w:hAnsi="Times New Roman" w:cs="Times New Roman"/>
          <w:bCs/>
          <w:sz w:val="24"/>
          <w:szCs w:val="24"/>
        </w:rPr>
        <w:t>Asongu</w:t>
      </w:r>
      <w:proofErr w:type="spellEnd"/>
      <w:r w:rsidRPr="003E0293">
        <w:rPr>
          <w:rFonts w:ascii="Times New Roman" w:hAnsi="Times New Roman" w:cs="Times New Roman"/>
          <w:bCs/>
          <w:sz w:val="24"/>
          <w:szCs w:val="24"/>
        </w:rPr>
        <w:t xml:space="preserve"> et al., 2023; </w:t>
      </w:r>
      <w:proofErr w:type="spellStart"/>
      <w:r w:rsidRPr="003E0293">
        <w:rPr>
          <w:rFonts w:ascii="Times New Roman" w:hAnsi="Times New Roman" w:cs="Times New Roman"/>
          <w:bCs/>
          <w:sz w:val="24"/>
          <w:szCs w:val="24"/>
        </w:rPr>
        <w:t>Adegboye</w:t>
      </w:r>
      <w:proofErr w:type="spellEnd"/>
      <w:r w:rsidRPr="003E0293">
        <w:rPr>
          <w:rFonts w:ascii="Times New Roman" w:hAnsi="Times New Roman" w:cs="Times New Roman"/>
          <w:bCs/>
          <w:sz w:val="24"/>
          <w:szCs w:val="24"/>
        </w:rPr>
        <w:t xml:space="preserve"> et al., 2020).</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3.4 RQ3: Actionable Intersections – Reform, Tech, and Patient Capital</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3.4.1 Reform Combinations with Demonstrated Impact</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lastRenderedPageBreak/>
        <w:t>Three reform combinations show consistent evidence of improving investment outcomes. </w:t>
      </w:r>
      <w:r w:rsidRPr="003E0293">
        <w:rPr>
          <w:rFonts w:ascii="Times New Roman" w:hAnsi="Times New Roman" w:cs="Times New Roman"/>
          <w:b/>
          <w:bCs/>
          <w:sz w:val="24"/>
          <w:szCs w:val="24"/>
        </w:rPr>
        <w:t>First</w:t>
      </w:r>
      <w:r w:rsidRPr="003E0293">
        <w:rPr>
          <w:rFonts w:ascii="Times New Roman" w:hAnsi="Times New Roman" w:cs="Times New Roman"/>
          <w:bCs/>
          <w:sz w:val="24"/>
          <w:szCs w:val="24"/>
        </w:rPr>
        <w:t xml:space="preserve">, visa </w:t>
      </w:r>
      <w:proofErr w:type="spellStart"/>
      <w:r w:rsidRPr="003E0293">
        <w:rPr>
          <w:rFonts w:ascii="Times New Roman" w:hAnsi="Times New Roman" w:cs="Times New Roman"/>
          <w:bCs/>
          <w:sz w:val="24"/>
          <w:szCs w:val="24"/>
        </w:rPr>
        <w:t>liberalisation</w:t>
      </w:r>
      <w:proofErr w:type="spellEnd"/>
      <w:r w:rsidRPr="003E0293">
        <w:rPr>
          <w:rFonts w:ascii="Times New Roman" w:hAnsi="Times New Roman" w:cs="Times New Roman"/>
          <w:bCs/>
          <w:sz w:val="24"/>
          <w:szCs w:val="24"/>
        </w:rPr>
        <w:t xml:space="preserve"> combined with investment promotion (Rwanda, Kenya, Ghana) increased tourism FDI by an average of 34% within 24 months of implementation (</w:t>
      </w:r>
      <w:proofErr w:type="spellStart"/>
      <w:r w:rsidRPr="003E0293">
        <w:rPr>
          <w:rFonts w:ascii="Times New Roman" w:hAnsi="Times New Roman" w:cs="Times New Roman"/>
          <w:bCs/>
          <w:sz w:val="24"/>
          <w:szCs w:val="24"/>
        </w:rPr>
        <w:t>Nakimu</w:t>
      </w:r>
      <w:proofErr w:type="spellEnd"/>
      <w:r w:rsidRPr="003E0293">
        <w:rPr>
          <w:rFonts w:ascii="Times New Roman" w:hAnsi="Times New Roman" w:cs="Times New Roman"/>
          <w:bCs/>
          <w:sz w:val="24"/>
          <w:szCs w:val="24"/>
        </w:rPr>
        <w:t xml:space="preserve"> et al., 2025; RDB, 2023). </w:t>
      </w:r>
      <w:r w:rsidRPr="006D7472">
        <w:rPr>
          <w:rFonts w:ascii="Times New Roman" w:hAnsi="Times New Roman" w:cs="Times New Roman"/>
          <w:bCs/>
          <w:sz w:val="24"/>
          <w:szCs w:val="24"/>
        </w:rPr>
        <w:t xml:space="preserve">Second, land tenure clarification combined with leasehold </w:t>
      </w:r>
      <w:proofErr w:type="spellStart"/>
      <w:r w:rsidRPr="006D7472">
        <w:rPr>
          <w:rFonts w:ascii="Times New Roman" w:hAnsi="Times New Roman" w:cs="Times New Roman"/>
          <w:bCs/>
          <w:sz w:val="24"/>
          <w:szCs w:val="24"/>
        </w:rPr>
        <w:t>securitisation</w:t>
      </w:r>
      <w:proofErr w:type="spellEnd"/>
      <w:r w:rsidRPr="006D7472">
        <w:rPr>
          <w:rFonts w:ascii="Times New Roman" w:hAnsi="Times New Roman" w:cs="Times New Roman"/>
          <w:bCs/>
          <w:sz w:val="24"/>
          <w:szCs w:val="24"/>
        </w:rPr>
        <w:t xml:space="preserve"> (Namibia, Botswana) reduced pre-investment due diligence costs by an estimated 40% and accelerated project timelines by 12–18 months (</w:t>
      </w:r>
      <w:proofErr w:type="spellStart"/>
      <w:r w:rsidRPr="006D7472">
        <w:rPr>
          <w:rFonts w:ascii="Times New Roman" w:hAnsi="Times New Roman" w:cs="Times New Roman"/>
          <w:bCs/>
          <w:sz w:val="24"/>
          <w:szCs w:val="24"/>
        </w:rPr>
        <w:t>Lemunge</w:t>
      </w:r>
      <w:proofErr w:type="spellEnd"/>
      <w:r w:rsidRPr="006D7472">
        <w:rPr>
          <w:rFonts w:ascii="Times New Roman" w:hAnsi="Times New Roman" w:cs="Times New Roman"/>
          <w:bCs/>
          <w:sz w:val="24"/>
          <w:szCs w:val="24"/>
        </w:rPr>
        <w:t xml:space="preserve"> et al., 2025; World Bank, 2024). Third, special tourism development zones with integrated infrastructure (Senegal's </w:t>
      </w:r>
      <w:proofErr w:type="spellStart"/>
      <w:r w:rsidRPr="006D7472">
        <w:rPr>
          <w:rFonts w:ascii="Times New Roman" w:hAnsi="Times New Roman" w:cs="Times New Roman"/>
          <w:bCs/>
          <w:sz w:val="24"/>
          <w:szCs w:val="24"/>
        </w:rPr>
        <w:t>Saly</w:t>
      </w:r>
      <w:proofErr w:type="spellEnd"/>
      <w:r w:rsidRPr="006D7472">
        <w:rPr>
          <w:rFonts w:ascii="Times New Roman" w:hAnsi="Times New Roman" w:cs="Times New Roman"/>
          <w:bCs/>
          <w:sz w:val="24"/>
          <w:szCs w:val="24"/>
        </w:rPr>
        <w:t>, Rwanda's Kivu Belt) demonstrated that bundling transport</w:t>
      </w:r>
      <w:r w:rsidRPr="003E0293">
        <w:rPr>
          <w:rFonts w:ascii="Times New Roman" w:hAnsi="Times New Roman" w:cs="Times New Roman"/>
          <w:bCs/>
          <w:sz w:val="24"/>
          <w:szCs w:val="24"/>
        </w:rPr>
        <w:t xml:space="preserve">, energy, and digital infrastructure with streamlined permitting produces ROI improvements of 3–5 percentage points compared to standalone projects (Chen et al., 2025; </w:t>
      </w:r>
      <w:proofErr w:type="spellStart"/>
      <w:r w:rsidRPr="003E0293">
        <w:rPr>
          <w:rFonts w:ascii="Times New Roman" w:hAnsi="Times New Roman" w:cs="Times New Roman"/>
          <w:bCs/>
          <w:sz w:val="24"/>
          <w:szCs w:val="24"/>
        </w:rPr>
        <w:t>AfDB</w:t>
      </w:r>
      <w:proofErr w:type="spellEnd"/>
      <w:r w:rsidRPr="003E0293">
        <w:rPr>
          <w:rFonts w:ascii="Times New Roman" w:hAnsi="Times New Roman" w:cs="Times New Roman"/>
          <w:bCs/>
          <w:sz w:val="24"/>
          <w:szCs w:val="24"/>
        </w:rPr>
        <w:t>, 2024).</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3.4.2 Tech Adoption Strategies Lowering Entry Barriers</w:t>
      </w:r>
    </w:p>
    <w:p w:rsidR="003E0293" w:rsidRPr="003E0293" w:rsidRDefault="003E0293" w:rsidP="003E0293">
      <w:pPr>
        <w:jc w:val="both"/>
        <w:rPr>
          <w:rFonts w:ascii="Times New Roman" w:hAnsi="Times New Roman" w:cs="Times New Roman"/>
          <w:bCs/>
          <w:sz w:val="24"/>
          <w:szCs w:val="24"/>
        </w:rPr>
      </w:pPr>
      <w:r w:rsidRPr="006D7472">
        <w:rPr>
          <w:rFonts w:ascii="Times New Roman" w:hAnsi="Times New Roman" w:cs="Times New Roman"/>
          <w:bCs/>
          <w:sz w:val="24"/>
          <w:szCs w:val="24"/>
        </w:rPr>
        <w:t>Digital transformation creates three distinct pathways for reducing investment barriers. Market access platforms (booking aggregators, experience marketplaces) bypass traditional distribution constraints, requiring US$250,000–1.5 million seed capital compared to US$5–25 million for lodge development, with digital-first entrants achieving positive cash flow in 18–30 months versus 5–7 years for brick-and-mortar (</w:t>
      </w:r>
      <w:proofErr w:type="spellStart"/>
      <w:r w:rsidRPr="006D7472">
        <w:rPr>
          <w:rFonts w:ascii="Times New Roman" w:hAnsi="Times New Roman" w:cs="Times New Roman"/>
          <w:bCs/>
          <w:sz w:val="24"/>
          <w:szCs w:val="24"/>
        </w:rPr>
        <w:t>Filieri</w:t>
      </w:r>
      <w:proofErr w:type="spellEnd"/>
      <w:r w:rsidRPr="006D7472">
        <w:rPr>
          <w:rFonts w:ascii="Times New Roman" w:hAnsi="Times New Roman" w:cs="Times New Roman"/>
          <w:bCs/>
          <w:sz w:val="24"/>
          <w:szCs w:val="24"/>
        </w:rPr>
        <w:t xml:space="preserve"> et al., 2021; </w:t>
      </w:r>
      <w:proofErr w:type="spellStart"/>
      <w:r w:rsidRPr="006D7472">
        <w:rPr>
          <w:rFonts w:ascii="Times New Roman" w:hAnsi="Times New Roman" w:cs="Times New Roman"/>
          <w:bCs/>
          <w:sz w:val="24"/>
          <w:szCs w:val="24"/>
        </w:rPr>
        <w:t>Ndlovu</w:t>
      </w:r>
      <w:proofErr w:type="spellEnd"/>
      <w:r w:rsidRPr="006D7472">
        <w:rPr>
          <w:rFonts w:ascii="Times New Roman" w:hAnsi="Times New Roman" w:cs="Times New Roman"/>
          <w:bCs/>
          <w:sz w:val="24"/>
          <w:szCs w:val="24"/>
        </w:rPr>
        <w:t xml:space="preserve"> et al., 2025). Operations </w:t>
      </w:r>
      <w:proofErr w:type="spellStart"/>
      <w:r w:rsidRPr="006D7472">
        <w:rPr>
          <w:rFonts w:ascii="Times New Roman" w:hAnsi="Times New Roman" w:cs="Times New Roman"/>
          <w:bCs/>
          <w:sz w:val="24"/>
          <w:szCs w:val="24"/>
        </w:rPr>
        <w:t>optimisation</w:t>
      </w:r>
      <w:proofErr w:type="spellEnd"/>
      <w:r w:rsidRPr="006D7472">
        <w:rPr>
          <w:rFonts w:ascii="Times New Roman" w:hAnsi="Times New Roman" w:cs="Times New Roman"/>
          <w:bCs/>
          <w:sz w:val="24"/>
          <w:szCs w:val="24"/>
        </w:rPr>
        <w:t xml:space="preserve"> technologies (property management systems, revenue management software, energy monitoring) reduce operating costs by 15–25%, directly improving ROI for traditional assets without structural reform (</w:t>
      </w:r>
      <w:proofErr w:type="spellStart"/>
      <w:r w:rsidRPr="006D7472">
        <w:rPr>
          <w:rFonts w:ascii="Times New Roman" w:hAnsi="Times New Roman" w:cs="Times New Roman"/>
          <w:bCs/>
          <w:sz w:val="24"/>
          <w:szCs w:val="24"/>
        </w:rPr>
        <w:t>Florido-Benítez</w:t>
      </w:r>
      <w:proofErr w:type="spellEnd"/>
      <w:r w:rsidRPr="006D7472">
        <w:rPr>
          <w:rFonts w:ascii="Times New Roman" w:hAnsi="Times New Roman" w:cs="Times New Roman"/>
          <w:bCs/>
          <w:sz w:val="24"/>
          <w:szCs w:val="24"/>
        </w:rPr>
        <w:t xml:space="preserve"> &amp; Del </w:t>
      </w:r>
      <w:proofErr w:type="spellStart"/>
      <w:r w:rsidRPr="006D7472">
        <w:rPr>
          <w:rFonts w:ascii="Times New Roman" w:hAnsi="Times New Roman" w:cs="Times New Roman"/>
          <w:bCs/>
          <w:sz w:val="24"/>
          <w:szCs w:val="24"/>
        </w:rPr>
        <w:t>Alcázar</w:t>
      </w:r>
      <w:proofErr w:type="spellEnd"/>
      <w:r w:rsidRPr="006D7472">
        <w:rPr>
          <w:rFonts w:ascii="Times New Roman" w:hAnsi="Times New Roman" w:cs="Times New Roman"/>
          <w:bCs/>
          <w:sz w:val="24"/>
          <w:szCs w:val="24"/>
        </w:rPr>
        <w:t xml:space="preserve"> </w:t>
      </w:r>
      <w:proofErr w:type="spellStart"/>
      <w:r w:rsidRPr="006D7472">
        <w:rPr>
          <w:rFonts w:ascii="Times New Roman" w:hAnsi="Times New Roman" w:cs="Times New Roman"/>
          <w:bCs/>
          <w:sz w:val="24"/>
          <w:szCs w:val="24"/>
        </w:rPr>
        <w:t>Martínez</w:t>
      </w:r>
      <w:proofErr w:type="spellEnd"/>
      <w:r w:rsidRPr="006D7472">
        <w:rPr>
          <w:rFonts w:ascii="Times New Roman" w:hAnsi="Times New Roman" w:cs="Times New Roman"/>
          <w:bCs/>
          <w:sz w:val="24"/>
          <w:szCs w:val="24"/>
        </w:rPr>
        <w:t>, 2024; JLL, 2024). Virtual and augmented</w:t>
      </w:r>
      <w:r w:rsidRPr="003E0293">
        <w:rPr>
          <w:rFonts w:ascii="Times New Roman" w:hAnsi="Times New Roman" w:cs="Times New Roman"/>
          <w:b/>
          <w:bCs/>
          <w:sz w:val="24"/>
          <w:szCs w:val="24"/>
        </w:rPr>
        <w:t xml:space="preserve"> reality</w:t>
      </w:r>
      <w:r w:rsidRPr="003E0293">
        <w:rPr>
          <w:rFonts w:ascii="Times New Roman" w:hAnsi="Times New Roman" w:cs="Times New Roman"/>
          <w:bCs/>
          <w:sz w:val="24"/>
          <w:szCs w:val="24"/>
        </w:rPr>
        <w:t> pre-trip experiences allow investors to test demand and build brand awareness before committing physical capital, reducing pre-investment risk (Sun et al., 2024; Statista, 2024).</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3.4.3 Patient Capital Structures for Otherwise Unviable Ventures</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Patient capital vehicles demonstrate that tourism ventures with social/environmental impact but marginal commercial returns can achieve viability through appropriate capital structures. Blended finance (concessional first-loss capital + commercial senior debt) has funded 23 SSA eco-lodge and community tourism projects since 2018, with reported IRRs of 6–9%—below commercial thresholds but above philanthropic grant baselines (</w:t>
      </w:r>
      <w:proofErr w:type="spellStart"/>
      <w:r w:rsidRPr="003E0293">
        <w:rPr>
          <w:rFonts w:ascii="Times New Roman" w:hAnsi="Times New Roman" w:cs="Times New Roman"/>
          <w:bCs/>
          <w:sz w:val="24"/>
          <w:szCs w:val="24"/>
        </w:rPr>
        <w:t>Kimbu</w:t>
      </w:r>
      <w:proofErr w:type="spellEnd"/>
      <w:r w:rsidRPr="003E0293">
        <w:rPr>
          <w:rFonts w:ascii="Times New Roman" w:hAnsi="Times New Roman" w:cs="Times New Roman"/>
          <w:bCs/>
          <w:sz w:val="24"/>
          <w:szCs w:val="24"/>
        </w:rPr>
        <w:t xml:space="preserve"> &amp; </w:t>
      </w:r>
      <w:proofErr w:type="spellStart"/>
      <w:r w:rsidRPr="003E0293">
        <w:rPr>
          <w:rFonts w:ascii="Times New Roman" w:hAnsi="Times New Roman" w:cs="Times New Roman"/>
          <w:bCs/>
          <w:sz w:val="24"/>
          <w:szCs w:val="24"/>
        </w:rPr>
        <w:t>Tichaawa</w:t>
      </w:r>
      <w:proofErr w:type="spellEnd"/>
      <w:r w:rsidRPr="003E0293">
        <w:rPr>
          <w:rFonts w:ascii="Times New Roman" w:hAnsi="Times New Roman" w:cs="Times New Roman"/>
          <w:bCs/>
          <w:sz w:val="24"/>
          <w:szCs w:val="24"/>
        </w:rPr>
        <w:t xml:space="preserve">, 2020; GIIN, 2024). Development finance institution mezzanine debt (10–12 year tenors, 6–8% interest, flexible covenants) addresses the "missing middle" between microfinance and commercial bank lending, with 18 active tourism facilities </w:t>
      </w:r>
      <w:proofErr w:type="spellStart"/>
      <w:r w:rsidRPr="003E0293">
        <w:rPr>
          <w:rFonts w:ascii="Times New Roman" w:hAnsi="Times New Roman" w:cs="Times New Roman"/>
          <w:bCs/>
          <w:sz w:val="24"/>
          <w:szCs w:val="24"/>
        </w:rPr>
        <w:t>totalling</w:t>
      </w:r>
      <w:proofErr w:type="spellEnd"/>
      <w:r w:rsidRPr="003E0293">
        <w:rPr>
          <w:rFonts w:ascii="Times New Roman" w:hAnsi="Times New Roman" w:cs="Times New Roman"/>
          <w:bCs/>
          <w:sz w:val="24"/>
          <w:szCs w:val="24"/>
        </w:rPr>
        <w:t xml:space="preserve"> US$340 million (CDC Group, 2024; </w:t>
      </w:r>
      <w:proofErr w:type="spellStart"/>
      <w:r w:rsidRPr="003E0293">
        <w:rPr>
          <w:rFonts w:ascii="Times New Roman" w:hAnsi="Times New Roman" w:cs="Times New Roman"/>
          <w:bCs/>
          <w:sz w:val="24"/>
          <w:szCs w:val="24"/>
        </w:rPr>
        <w:t>Proparco</w:t>
      </w:r>
      <w:proofErr w:type="spellEnd"/>
      <w:r w:rsidRPr="003E0293">
        <w:rPr>
          <w:rFonts w:ascii="Times New Roman" w:hAnsi="Times New Roman" w:cs="Times New Roman"/>
          <w:bCs/>
          <w:sz w:val="24"/>
          <w:szCs w:val="24"/>
        </w:rPr>
        <w:t xml:space="preserve">, 2023). Diaspora investment vehicles (bond issuances, diaspora investment funds targeted at tourism) have raised US$127 million for SSA tourism since 2020, </w:t>
      </w:r>
      <w:proofErr w:type="spellStart"/>
      <w:r w:rsidRPr="003E0293">
        <w:rPr>
          <w:rFonts w:ascii="Times New Roman" w:hAnsi="Times New Roman" w:cs="Times New Roman"/>
          <w:bCs/>
          <w:sz w:val="24"/>
          <w:szCs w:val="24"/>
        </w:rPr>
        <w:t>capitalising</w:t>
      </w:r>
      <w:proofErr w:type="spellEnd"/>
      <w:r w:rsidRPr="003E0293">
        <w:rPr>
          <w:rFonts w:ascii="Times New Roman" w:hAnsi="Times New Roman" w:cs="Times New Roman"/>
          <w:bCs/>
          <w:sz w:val="24"/>
          <w:szCs w:val="24"/>
        </w:rPr>
        <w:t xml:space="preserve"> on diaspora affinity for home-country investment despite moderate returns (</w:t>
      </w:r>
      <w:proofErr w:type="spellStart"/>
      <w:r w:rsidRPr="003E0293">
        <w:rPr>
          <w:rFonts w:ascii="Times New Roman" w:hAnsi="Times New Roman" w:cs="Times New Roman"/>
          <w:bCs/>
          <w:sz w:val="24"/>
          <w:szCs w:val="24"/>
        </w:rPr>
        <w:t>Kimbu</w:t>
      </w:r>
      <w:proofErr w:type="spellEnd"/>
      <w:r w:rsidRPr="003E0293">
        <w:rPr>
          <w:rFonts w:ascii="Times New Roman" w:hAnsi="Times New Roman" w:cs="Times New Roman"/>
          <w:bCs/>
          <w:sz w:val="24"/>
          <w:szCs w:val="24"/>
        </w:rPr>
        <w:t xml:space="preserve"> &amp; </w:t>
      </w:r>
      <w:proofErr w:type="spellStart"/>
      <w:r w:rsidRPr="003E0293">
        <w:rPr>
          <w:rFonts w:ascii="Times New Roman" w:hAnsi="Times New Roman" w:cs="Times New Roman"/>
          <w:bCs/>
          <w:sz w:val="24"/>
          <w:szCs w:val="24"/>
        </w:rPr>
        <w:t>Tichaawa</w:t>
      </w:r>
      <w:proofErr w:type="spellEnd"/>
      <w:r w:rsidRPr="003E0293">
        <w:rPr>
          <w:rFonts w:ascii="Times New Roman" w:hAnsi="Times New Roman" w:cs="Times New Roman"/>
          <w:bCs/>
          <w:sz w:val="24"/>
          <w:szCs w:val="24"/>
        </w:rPr>
        <w:t xml:space="preserve">, 2020; </w:t>
      </w:r>
      <w:proofErr w:type="spellStart"/>
      <w:r w:rsidRPr="003E0293">
        <w:rPr>
          <w:rFonts w:ascii="Times New Roman" w:hAnsi="Times New Roman" w:cs="Times New Roman"/>
          <w:bCs/>
          <w:sz w:val="24"/>
          <w:szCs w:val="24"/>
        </w:rPr>
        <w:t>AfDB</w:t>
      </w:r>
      <w:proofErr w:type="spellEnd"/>
      <w:r w:rsidRPr="003E0293">
        <w:rPr>
          <w:rFonts w:ascii="Times New Roman" w:hAnsi="Times New Roman" w:cs="Times New Roman"/>
          <w:bCs/>
          <w:sz w:val="24"/>
          <w:szCs w:val="24"/>
        </w:rPr>
        <w:t>, 2024).</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3.5 Evidence Gaps and Research Priorities</w:t>
      </w:r>
    </w:p>
    <w:p w:rsidR="003E0293" w:rsidRPr="003E0293" w:rsidRDefault="003E0293" w:rsidP="003E0293">
      <w:pPr>
        <w:jc w:val="both"/>
        <w:rPr>
          <w:rFonts w:ascii="Times New Roman" w:hAnsi="Times New Roman" w:cs="Times New Roman"/>
          <w:bCs/>
          <w:sz w:val="24"/>
          <w:szCs w:val="24"/>
        </w:rPr>
      </w:pPr>
      <w:r w:rsidRPr="006D7472">
        <w:rPr>
          <w:rFonts w:ascii="Times New Roman" w:hAnsi="Times New Roman" w:cs="Times New Roman"/>
          <w:bCs/>
          <w:sz w:val="24"/>
          <w:szCs w:val="24"/>
        </w:rPr>
        <w:t>Four critical evidence gaps constrain both academic understanding and investment decision-making. First, subsector-disaggregated tourism FDI data do not exist in any systematic form, preventing analysis of where capital actually flows versus where potential exists (</w:t>
      </w:r>
      <w:proofErr w:type="spellStart"/>
      <w:r w:rsidRPr="006D7472">
        <w:rPr>
          <w:rFonts w:ascii="Times New Roman" w:hAnsi="Times New Roman" w:cs="Times New Roman"/>
          <w:bCs/>
          <w:sz w:val="24"/>
          <w:szCs w:val="24"/>
        </w:rPr>
        <w:t>Bekun</w:t>
      </w:r>
      <w:proofErr w:type="spellEnd"/>
      <w:r w:rsidRPr="006D7472">
        <w:rPr>
          <w:rFonts w:ascii="Times New Roman" w:hAnsi="Times New Roman" w:cs="Times New Roman"/>
          <w:bCs/>
          <w:sz w:val="24"/>
          <w:szCs w:val="24"/>
        </w:rPr>
        <w:t xml:space="preserve"> et al., 2022; </w:t>
      </w:r>
      <w:proofErr w:type="spellStart"/>
      <w:r w:rsidRPr="006D7472">
        <w:rPr>
          <w:rFonts w:ascii="Times New Roman" w:hAnsi="Times New Roman" w:cs="Times New Roman"/>
          <w:bCs/>
          <w:sz w:val="24"/>
          <w:szCs w:val="24"/>
        </w:rPr>
        <w:t>Nakimu</w:t>
      </w:r>
      <w:proofErr w:type="spellEnd"/>
      <w:r w:rsidRPr="006D7472">
        <w:rPr>
          <w:rFonts w:ascii="Times New Roman" w:hAnsi="Times New Roman" w:cs="Times New Roman"/>
          <w:bCs/>
          <w:sz w:val="24"/>
          <w:szCs w:val="24"/>
        </w:rPr>
        <w:t xml:space="preserve"> et al., 2025). Second, project-level ROI reporting standards are entirely absent, with no SSA tourism ventures publishing audited financial state</w:t>
      </w:r>
      <w:r w:rsidR="006D7472">
        <w:rPr>
          <w:rFonts w:ascii="Times New Roman" w:hAnsi="Times New Roman" w:cs="Times New Roman"/>
          <w:bCs/>
          <w:sz w:val="24"/>
          <w:szCs w:val="24"/>
        </w:rPr>
        <w:t xml:space="preserve">ments accessible to researchers, </w:t>
      </w:r>
      <w:r w:rsidRPr="006D7472">
        <w:rPr>
          <w:rFonts w:ascii="Times New Roman" w:hAnsi="Times New Roman" w:cs="Times New Roman"/>
          <w:bCs/>
          <w:sz w:val="24"/>
          <w:szCs w:val="24"/>
        </w:rPr>
        <w:t>a stark contrast to real estate investment trusts or public hospitality companies in other regions (</w:t>
      </w:r>
      <w:proofErr w:type="spellStart"/>
      <w:r w:rsidRPr="006D7472">
        <w:rPr>
          <w:rFonts w:ascii="Times New Roman" w:hAnsi="Times New Roman" w:cs="Times New Roman"/>
          <w:bCs/>
          <w:sz w:val="24"/>
          <w:szCs w:val="24"/>
        </w:rPr>
        <w:t>Kimbu</w:t>
      </w:r>
      <w:proofErr w:type="spellEnd"/>
      <w:r w:rsidRPr="006D7472">
        <w:rPr>
          <w:rFonts w:ascii="Times New Roman" w:hAnsi="Times New Roman" w:cs="Times New Roman"/>
          <w:bCs/>
          <w:sz w:val="24"/>
          <w:szCs w:val="24"/>
        </w:rPr>
        <w:t xml:space="preserve"> &amp; </w:t>
      </w:r>
      <w:proofErr w:type="spellStart"/>
      <w:r w:rsidRPr="006D7472">
        <w:rPr>
          <w:rFonts w:ascii="Times New Roman" w:hAnsi="Times New Roman" w:cs="Times New Roman"/>
          <w:bCs/>
          <w:sz w:val="24"/>
          <w:szCs w:val="24"/>
        </w:rPr>
        <w:lastRenderedPageBreak/>
        <w:t>Tichaawa</w:t>
      </w:r>
      <w:proofErr w:type="spellEnd"/>
      <w:r w:rsidRPr="006D7472">
        <w:rPr>
          <w:rFonts w:ascii="Times New Roman" w:hAnsi="Times New Roman" w:cs="Times New Roman"/>
          <w:bCs/>
          <w:sz w:val="24"/>
          <w:szCs w:val="24"/>
        </w:rPr>
        <w:t>, 2020). Third, risk-adjusted comparative analyses across asset classes and regions do not exist, forcing investors to rely on proprietary models with inconsistent assumptions. Fourth, longitudinal tracking of tech</w:t>
      </w:r>
      <w:r w:rsidRPr="003E0293">
        <w:rPr>
          <w:rFonts w:ascii="Times New Roman" w:hAnsi="Times New Roman" w:cs="Times New Roman"/>
          <w:bCs/>
          <w:sz w:val="24"/>
          <w:szCs w:val="24"/>
        </w:rPr>
        <w:t>-enabled tourism ventures is impossible due to short operating histories and lack of public disclosures (</w:t>
      </w:r>
      <w:proofErr w:type="spellStart"/>
      <w:r w:rsidRPr="003E0293">
        <w:rPr>
          <w:rFonts w:ascii="Times New Roman" w:hAnsi="Times New Roman" w:cs="Times New Roman"/>
          <w:bCs/>
          <w:sz w:val="24"/>
          <w:szCs w:val="24"/>
        </w:rPr>
        <w:t>Filieri</w:t>
      </w:r>
      <w:proofErr w:type="spellEnd"/>
      <w:r w:rsidRPr="003E0293">
        <w:rPr>
          <w:rFonts w:ascii="Times New Roman" w:hAnsi="Times New Roman" w:cs="Times New Roman"/>
          <w:bCs/>
          <w:sz w:val="24"/>
          <w:szCs w:val="24"/>
        </w:rPr>
        <w:t xml:space="preserve"> et al., 2021; Statista, 2024).</w:t>
      </w:r>
    </w:p>
    <w:p w:rsidR="003E0293" w:rsidRPr="003E0293" w:rsidRDefault="003E0293" w:rsidP="003E0293">
      <w:pPr>
        <w:jc w:val="both"/>
        <w:rPr>
          <w:rFonts w:ascii="Times New Roman" w:hAnsi="Times New Roman" w:cs="Times New Roman"/>
          <w:b/>
          <w:bCs/>
          <w:sz w:val="24"/>
          <w:szCs w:val="24"/>
        </w:rPr>
      </w:pPr>
      <w:r w:rsidRPr="003E0293">
        <w:rPr>
          <w:rFonts w:ascii="Times New Roman" w:hAnsi="Times New Roman" w:cs="Times New Roman"/>
          <w:b/>
          <w:bCs/>
          <w:sz w:val="24"/>
          <w:szCs w:val="24"/>
        </w:rPr>
        <w:t>3.6 Implications for Theory and Practice</w:t>
      </w:r>
    </w:p>
    <w:p w:rsid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Theoretically, our findings challenge the assumption that generic institutional quality measures adequately proxy tourism-specific investment readiness. The weak correlation between global ease of doing business rankings and tourism-specific barrier perceptions (r=0.31 in our synthesis) suggests that tourism constitutes a distinctive investment category requiring dedicated analytical frameworks (</w:t>
      </w:r>
      <w:proofErr w:type="spellStart"/>
      <w:r w:rsidRPr="003E0293">
        <w:rPr>
          <w:rFonts w:ascii="Times New Roman" w:hAnsi="Times New Roman" w:cs="Times New Roman"/>
          <w:bCs/>
          <w:sz w:val="24"/>
          <w:szCs w:val="24"/>
        </w:rPr>
        <w:t>Asongu</w:t>
      </w:r>
      <w:proofErr w:type="spellEnd"/>
      <w:r w:rsidRPr="003E0293">
        <w:rPr>
          <w:rFonts w:ascii="Times New Roman" w:hAnsi="Times New Roman" w:cs="Times New Roman"/>
          <w:bCs/>
          <w:sz w:val="24"/>
          <w:szCs w:val="24"/>
        </w:rPr>
        <w:t xml:space="preserve"> et al., 2023; Chen et al., 2025). Practically, our Investor Summary Dashboard (Section 1.9) provides the first systematic, evidence-graded tool for comparing SSA tourism investment climates, while our identification of tech-enabled and patient capital pathways offers actionable entry strategies for risk-constrained investors (</w:t>
      </w:r>
      <w:proofErr w:type="spellStart"/>
      <w:r w:rsidRPr="003E0293">
        <w:rPr>
          <w:rFonts w:ascii="Times New Roman" w:hAnsi="Times New Roman" w:cs="Times New Roman"/>
          <w:bCs/>
          <w:sz w:val="24"/>
          <w:szCs w:val="24"/>
        </w:rPr>
        <w:t>Kimbu</w:t>
      </w:r>
      <w:proofErr w:type="spellEnd"/>
      <w:r w:rsidRPr="003E0293">
        <w:rPr>
          <w:rFonts w:ascii="Times New Roman" w:hAnsi="Times New Roman" w:cs="Times New Roman"/>
          <w:bCs/>
          <w:sz w:val="24"/>
          <w:szCs w:val="24"/>
        </w:rPr>
        <w:t xml:space="preserve"> &amp; </w:t>
      </w:r>
      <w:proofErr w:type="spellStart"/>
      <w:r w:rsidRPr="003E0293">
        <w:rPr>
          <w:rFonts w:ascii="Times New Roman" w:hAnsi="Times New Roman" w:cs="Times New Roman"/>
          <w:bCs/>
          <w:sz w:val="24"/>
          <w:szCs w:val="24"/>
        </w:rPr>
        <w:t>Tichaawa</w:t>
      </w:r>
      <w:proofErr w:type="spellEnd"/>
      <w:r w:rsidRPr="003E0293">
        <w:rPr>
          <w:rFonts w:ascii="Times New Roman" w:hAnsi="Times New Roman" w:cs="Times New Roman"/>
          <w:bCs/>
          <w:sz w:val="24"/>
          <w:szCs w:val="24"/>
        </w:rPr>
        <w:t xml:space="preserve">, 2020; </w:t>
      </w:r>
      <w:proofErr w:type="spellStart"/>
      <w:r w:rsidRPr="003E0293">
        <w:rPr>
          <w:rFonts w:ascii="Times New Roman" w:hAnsi="Times New Roman" w:cs="Times New Roman"/>
          <w:bCs/>
          <w:sz w:val="24"/>
          <w:szCs w:val="24"/>
        </w:rPr>
        <w:t>Ndlovu</w:t>
      </w:r>
      <w:proofErr w:type="spellEnd"/>
      <w:r w:rsidRPr="003E0293">
        <w:rPr>
          <w:rFonts w:ascii="Times New Roman" w:hAnsi="Times New Roman" w:cs="Times New Roman"/>
          <w:bCs/>
          <w:sz w:val="24"/>
          <w:szCs w:val="24"/>
        </w:rPr>
        <w:t xml:space="preserve"> et al., 2025). For policymakers, the primacy of land tenure and visa</w:t>
      </w:r>
      <w:r w:rsidR="006D7472">
        <w:rPr>
          <w:rFonts w:ascii="Times New Roman" w:hAnsi="Times New Roman" w:cs="Times New Roman"/>
          <w:bCs/>
          <w:sz w:val="24"/>
          <w:szCs w:val="24"/>
        </w:rPr>
        <w:t xml:space="preserve"> regimes as binding constraints, </w:t>
      </w:r>
      <w:r w:rsidRPr="003E0293">
        <w:rPr>
          <w:rFonts w:ascii="Times New Roman" w:hAnsi="Times New Roman" w:cs="Times New Roman"/>
          <w:bCs/>
          <w:sz w:val="24"/>
          <w:szCs w:val="24"/>
        </w:rPr>
        <w:t>both within national control an</w:t>
      </w:r>
      <w:r w:rsidR="006D7472">
        <w:rPr>
          <w:rFonts w:ascii="Times New Roman" w:hAnsi="Times New Roman" w:cs="Times New Roman"/>
          <w:bCs/>
          <w:sz w:val="24"/>
          <w:szCs w:val="24"/>
        </w:rPr>
        <w:t xml:space="preserve">d relatively low-cost to reform, </w:t>
      </w:r>
      <w:r w:rsidRPr="003E0293">
        <w:rPr>
          <w:rFonts w:ascii="Times New Roman" w:hAnsi="Times New Roman" w:cs="Times New Roman"/>
          <w:bCs/>
          <w:sz w:val="24"/>
          <w:szCs w:val="24"/>
        </w:rPr>
        <w:t xml:space="preserve">suggests </w:t>
      </w:r>
      <w:proofErr w:type="spellStart"/>
      <w:r w:rsidRPr="003E0293">
        <w:rPr>
          <w:rFonts w:ascii="Times New Roman" w:hAnsi="Times New Roman" w:cs="Times New Roman"/>
          <w:bCs/>
          <w:sz w:val="24"/>
          <w:szCs w:val="24"/>
        </w:rPr>
        <w:t>prioritisation</w:t>
      </w:r>
      <w:proofErr w:type="spellEnd"/>
      <w:r w:rsidRPr="003E0293">
        <w:rPr>
          <w:rFonts w:ascii="Times New Roman" w:hAnsi="Times New Roman" w:cs="Times New Roman"/>
          <w:bCs/>
          <w:sz w:val="24"/>
          <w:szCs w:val="24"/>
        </w:rPr>
        <w:t xml:space="preserve"> pathways distinct from infrastructure-heavy approaches that dominate current tourism development strategies (</w:t>
      </w:r>
      <w:proofErr w:type="spellStart"/>
      <w:r w:rsidRPr="003E0293">
        <w:rPr>
          <w:rFonts w:ascii="Times New Roman" w:hAnsi="Times New Roman" w:cs="Times New Roman"/>
          <w:bCs/>
          <w:sz w:val="24"/>
          <w:szCs w:val="24"/>
        </w:rPr>
        <w:t>Lemunge</w:t>
      </w:r>
      <w:proofErr w:type="spellEnd"/>
      <w:r w:rsidRPr="003E0293">
        <w:rPr>
          <w:rFonts w:ascii="Times New Roman" w:hAnsi="Times New Roman" w:cs="Times New Roman"/>
          <w:bCs/>
          <w:sz w:val="24"/>
          <w:szCs w:val="24"/>
        </w:rPr>
        <w:t xml:space="preserve"> et al., 2025; World Bank, 2024).</w:t>
      </w:r>
    </w:p>
    <w:p w:rsidR="003E0293" w:rsidRPr="003E0293" w:rsidRDefault="006D7472" w:rsidP="003E0293">
      <w:pPr>
        <w:jc w:val="both"/>
        <w:rPr>
          <w:rFonts w:ascii="Times New Roman" w:hAnsi="Times New Roman" w:cs="Times New Roman"/>
          <w:b/>
          <w:bCs/>
          <w:sz w:val="24"/>
          <w:szCs w:val="24"/>
        </w:rPr>
      </w:pPr>
      <w:r>
        <w:rPr>
          <w:rFonts w:ascii="Times New Roman" w:hAnsi="Times New Roman" w:cs="Times New Roman"/>
          <w:b/>
          <w:bCs/>
          <w:sz w:val="24"/>
          <w:szCs w:val="24"/>
        </w:rPr>
        <w:t>4</w:t>
      </w:r>
      <w:r w:rsidR="003E0293">
        <w:rPr>
          <w:rFonts w:ascii="Times New Roman" w:hAnsi="Times New Roman" w:cs="Times New Roman"/>
          <w:b/>
          <w:bCs/>
          <w:sz w:val="24"/>
          <w:szCs w:val="24"/>
        </w:rPr>
        <w:t>.0 Conclusion</w:t>
      </w:r>
      <w:r w:rsidR="00B71C8A">
        <w:rPr>
          <w:rFonts w:ascii="Times New Roman" w:hAnsi="Times New Roman" w:cs="Times New Roman"/>
          <w:b/>
          <w:bCs/>
          <w:sz w:val="24"/>
          <w:szCs w:val="24"/>
        </w:rPr>
        <w:t xml:space="preserve"> and Discussion</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This systematic review set out to resolve a fundamental paradox: why does Sub-Saharan Africa, endowed with two-thirds of the world's savannah elephants, over 200 UNESCO heritage sites, and tourism growth rates outpacing the global average (5.6% versus 3.9%), attract less than 2% of global tourism FDI? Our synthesis of 124 academic papers and 87 grey literature documents provides a definitive answer. The tourism investment readiness gap is neither mysterious nor immutable. It is the product of six identifiable, measurable, and remediable barriers: land tenure insecurity (73% of sources), restrictive visa regimes (67%), infrastructure deficits particularly energy reliability (61%), corruption at the tourism-investment interface (58%), profit repatriation constraints (52%), and licensing burdens (44%). These barriers systematically depress risk-adjusted returns from a competitive 11.8% median IRR to an unattractive 5.6% after accoun</w:t>
      </w:r>
      <w:r w:rsidR="006A70B7">
        <w:rPr>
          <w:rFonts w:ascii="Times New Roman" w:hAnsi="Times New Roman" w:cs="Times New Roman"/>
          <w:bCs/>
          <w:sz w:val="24"/>
          <w:szCs w:val="24"/>
        </w:rPr>
        <w:t xml:space="preserve">ting for sovereign risk spreads, </w:t>
      </w:r>
      <w:r w:rsidRPr="003E0293">
        <w:rPr>
          <w:rFonts w:ascii="Times New Roman" w:hAnsi="Times New Roman" w:cs="Times New Roman"/>
          <w:bCs/>
          <w:sz w:val="24"/>
          <w:szCs w:val="24"/>
        </w:rPr>
        <w:t>fully explaining institutional investor hesitation.</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Our most consequential finding is also the most troubling: project-level ROI evidence for SSA tourism is nearly absent from peer-reviewed literature (12% of academic sources) and only marginally better in grey literature (68% with any financial data, but only 8 Gold-rated sources with audited statements). Investors are making capital allocation decisions in an evidence vacuum, relying on broker hype and anecdotal case studies rather than systematic financial benchmarks. This review provides the first evidence-graded synthesis, revealing that lodging investments yield median IRR of 11.8% (range 7–22%) with 11.4-year payback periods, eco-lodges generate 9.2% IRR within patient capital structures, and tech-enabled ventures show promise (18–45% IRR for exited ventures) but suffer from severe selection bias and small sample sizes.</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 xml:space="preserve">Three reform combinations demonstrate consistent impact: visa </w:t>
      </w:r>
      <w:proofErr w:type="spellStart"/>
      <w:r w:rsidRPr="003E0293">
        <w:rPr>
          <w:rFonts w:ascii="Times New Roman" w:hAnsi="Times New Roman" w:cs="Times New Roman"/>
          <w:bCs/>
          <w:sz w:val="24"/>
          <w:szCs w:val="24"/>
        </w:rPr>
        <w:t>liberalisation</w:t>
      </w:r>
      <w:proofErr w:type="spellEnd"/>
      <w:r w:rsidRPr="003E0293">
        <w:rPr>
          <w:rFonts w:ascii="Times New Roman" w:hAnsi="Times New Roman" w:cs="Times New Roman"/>
          <w:bCs/>
          <w:sz w:val="24"/>
          <w:szCs w:val="24"/>
        </w:rPr>
        <w:t xml:space="preserve"> plus investment promotion increases tourism FDI by 34% within 24 months; land tenure clarification reduces due </w:t>
      </w:r>
      <w:r w:rsidRPr="003E0293">
        <w:rPr>
          <w:rFonts w:ascii="Times New Roman" w:hAnsi="Times New Roman" w:cs="Times New Roman"/>
          <w:bCs/>
          <w:sz w:val="24"/>
          <w:szCs w:val="24"/>
        </w:rPr>
        <w:lastRenderedPageBreak/>
        <w:t>diligence costs by 40%; and tourism development zones with integrated infrastructure improve ROI by 3–5 percentage points. Tech adoption creates lower-risk entry pathways: digital platforms require US$250,000–1.5 million seed capital versus US$5–25 million for traditional lodges, achieve positive cash flow in 18–30 months, and reduce operating costs by 15–</w:t>
      </w:r>
      <w:r w:rsidR="006D7472">
        <w:rPr>
          <w:rFonts w:ascii="Times New Roman" w:hAnsi="Times New Roman" w:cs="Times New Roman"/>
          <w:bCs/>
          <w:sz w:val="24"/>
          <w:szCs w:val="24"/>
        </w:rPr>
        <w:t xml:space="preserve">25%. Patient capital structures, </w:t>
      </w:r>
      <w:r w:rsidRPr="003E0293">
        <w:rPr>
          <w:rFonts w:ascii="Times New Roman" w:hAnsi="Times New Roman" w:cs="Times New Roman"/>
          <w:bCs/>
          <w:sz w:val="24"/>
          <w:szCs w:val="24"/>
        </w:rPr>
        <w:t>blended finance (23 projects since 2018, IRRs 6–9%), DFI mezzanine debt (US$340 million active), and diaspora vehicles (</w:t>
      </w:r>
      <w:r w:rsidR="006D7472">
        <w:rPr>
          <w:rFonts w:ascii="Times New Roman" w:hAnsi="Times New Roman" w:cs="Times New Roman"/>
          <w:bCs/>
          <w:sz w:val="24"/>
          <w:szCs w:val="24"/>
        </w:rPr>
        <w:t xml:space="preserve">US$127 million raised), </w:t>
      </w:r>
      <w:r w:rsidRPr="003E0293">
        <w:rPr>
          <w:rFonts w:ascii="Times New Roman" w:hAnsi="Times New Roman" w:cs="Times New Roman"/>
          <w:bCs/>
          <w:sz w:val="24"/>
          <w:szCs w:val="24"/>
        </w:rPr>
        <w:t>demonstrate that ventures with social impact but marginal commercial returns can achieve viability through appropriate capital structures.</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The annual foregone inv</w:t>
      </w:r>
      <w:r w:rsidR="006D7472">
        <w:rPr>
          <w:rFonts w:ascii="Times New Roman" w:hAnsi="Times New Roman" w:cs="Times New Roman"/>
          <w:bCs/>
          <w:sz w:val="24"/>
          <w:szCs w:val="24"/>
        </w:rPr>
        <w:t xml:space="preserve">estment opportunity we estimate, </w:t>
      </w:r>
      <w:r w:rsidRPr="003E0293">
        <w:rPr>
          <w:rFonts w:ascii="Times New Roman" w:hAnsi="Times New Roman" w:cs="Times New Roman"/>
          <w:bCs/>
          <w:sz w:val="24"/>
          <w:szCs w:val="24"/>
        </w:rPr>
        <w:t>US$8–12 billion, representing</w:t>
      </w:r>
      <w:r w:rsidR="006D7472">
        <w:rPr>
          <w:rFonts w:ascii="Times New Roman" w:hAnsi="Times New Roman" w:cs="Times New Roman"/>
          <w:bCs/>
          <w:sz w:val="24"/>
          <w:szCs w:val="24"/>
        </w:rPr>
        <w:t xml:space="preserve"> 2.5–3.8 million potential jobs, </w:t>
      </w:r>
      <w:r w:rsidRPr="003E0293">
        <w:rPr>
          <w:rFonts w:ascii="Times New Roman" w:hAnsi="Times New Roman" w:cs="Times New Roman"/>
          <w:bCs/>
          <w:sz w:val="24"/>
          <w:szCs w:val="24"/>
        </w:rPr>
        <w:t xml:space="preserve">is not an abstract statistic. It represents unfunded lodges in communities awaiting tourism employment, unbuilt digital platforms that could connect SSA's artisans to global markets, and </w:t>
      </w:r>
      <w:proofErr w:type="spellStart"/>
      <w:r w:rsidRPr="003E0293">
        <w:rPr>
          <w:rFonts w:ascii="Times New Roman" w:hAnsi="Times New Roman" w:cs="Times New Roman"/>
          <w:bCs/>
          <w:sz w:val="24"/>
          <w:szCs w:val="24"/>
        </w:rPr>
        <w:t>unrealised</w:t>
      </w:r>
      <w:proofErr w:type="spellEnd"/>
      <w:r w:rsidRPr="003E0293">
        <w:rPr>
          <w:rFonts w:ascii="Times New Roman" w:hAnsi="Times New Roman" w:cs="Times New Roman"/>
          <w:bCs/>
          <w:sz w:val="24"/>
          <w:szCs w:val="24"/>
        </w:rPr>
        <w:t xml:space="preserve"> conservation enterprises that could protect wildlife while generating returns. Closing the tourism investment readiness gap is therefore a practical imperative for sustainable development.</w:t>
      </w:r>
    </w:p>
    <w:p w:rsidR="003E0293" w:rsidRP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For investors, we offer the first evidence-graded synthesis of risk-return profiles across SSA sub-regions and subsectors, demonstrating that patient capital (targeting 6–10% IRR with 10–20 year horizons) and tech-enabled models (requiring US$250,000–1.5 million seed capital) offer viable entry strategies where traditional lodging investments (US$5–25 million, 11.8% median IRR) face prohibitive risk-adjusted returns. For policymakers, we identify land tenure and visa regimes as high-impact, low-</w:t>
      </w:r>
      <w:r w:rsidR="006D7472">
        <w:rPr>
          <w:rFonts w:ascii="Times New Roman" w:hAnsi="Times New Roman" w:cs="Times New Roman"/>
          <w:bCs/>
          <w:sz w:val="24"/>
          <w:szCs w:val="24"/>
        </w:rPr>
        <w:t xml:space="preserve">cost reform priorities, </w:t>
      </w:r>
      <w:r w:rsidRPr="003E0293">
        <w:rPr>
          <w:rFonts w:ascii="Times New Roman" w:hAnsi="Times New Roman" w:cs="Times New Roman"/>
          <w:bCs/>
          <w:sz w:val="24"/>
          <w:szCs w:val="24"/>
        </w:rPr>
        <w:t xml:space="preserve">both within national control and capable of improving ROI by 3–5 percentage points. For development finance institutions, we map specific gaps for concessional finance: first-loss capital for tourism SME lending, technical assistance for land tenure reform, and seed funding for tech platforms. For researchers, we issue a call to establish </w:t>
      </w:r>
      <w:proofErr w:type="spellStart"/>
      <w:r w:rsidRPr="003E0293">
        <w:rPr>
          <w:rFonts w:ascii="Times New Roman" w:hAnsi="Times New Roman" w:cs="Times New Roman"/>
          <w:bCs/>
          <w:sz w:val="24"/>
          <w:szCs w:val="24"/>
        </w:rPr>
        <w:t>standardised</w:t>
      </w:r>
      <w:proofErr w:type="spellEnd"/>
      <w:r w:rsidRPr="003E0293">
        <w:rPr>
          <w:rFonts w:ascii="Times New Roman" w:hAnsi="Times New Roman" w:cs="Times New Roman"/>
          <w:bCs/>
          <w:sz w:val="24"/>
          <w:szCs w:val="24"/>
        </w:rPr>
        <w:t xml:space="preserve"> tourism investment reporting protocols, </w:t>
      </w:r>
      <w:proofErr w:type="spellStart"/>
      <w:r w:rsidRPr="003E0293">
        <w:rPr>
          <w:rFonts w:ascii="Times New Roman" w:hAnsi="Times New Roman" w:cs="Times New Roman"/>
          <w:bCs/>
          <w:sz w:val="24"/>
          <w:szCs w:val="24"/>
        </w:rPr>
        <w:t>prioritise</w:t>
      </w:r>
      <w:proofErr w:type="spellEnd"/>
      <w:r w:rsidRPr="003E0293">
        <w:rPr>
          <w:rFonts w:ascii="Times New Roman" w:hAnsi="Times New Roman" w:cs="Times New Roman"/>
          <w:bCs/>
          <w:sz w:val="24"/>
          <w:szCs w:val="24"/>
        </w:rPr>
        <w:t xml:space="preserve"> primary data collection in understudied West and Central Africa, and develop longitudinal tracking of tech-enabled ventures.</w:t>
      </w:r>
    </w:p>
    <w:p w:rsidR="003E0293" w:rsidRDefault="003E0293" w:rsidP="003E0293">
      <w:pPr>
        <w:jc w:val="both"/>
        <w:rPr>
          <w:rFonts w:ascii="Times New Roman" w:hAnsi="Times New Roman" w:cs="Times New Roman"/>
          <w:bCs/>
          <w:sz w:val="24"/>
          <w:szCs w:val="24"/>
        </w:rPr>
      </w:pPr>
      <w:r w:rsidRPr="003E0293">
        <w:rPr>
          <w:rFonts w:ascii="Times New Roman" w:hAnsi="Times New Roman" w:cs="Times New Roman"/>
          <w:bCs/>
          <w:sz w:val="24"/>
          <w:szCs w:val="24"/>
        </w:rPr>
        <w:t>The tourism investment readiness paradox is not an immutable condition. It is a policy choice, a capital allocation decision, and a research agenda. This review has mapped the terrain. The work of implementation now begins.</w:t>
      </w:r>
    </w:p>
    <w:p w:rsidR="00A67F63" w:rsidRPr="00A67F63" w:rsidRDefault="00A67F63" w:rsidP="003E0293">
      <w:pPr>
        <w:jc w:val="both"/>
        <w:rPr>
          <w:rFonts w:ascii="Times New Roman" w:hAnsi="Times New Roman" w:cs="Times New Roman"/>
          <w:b/>
          <w:bCs/>
          <w:sz w:val="24"/>
          <w:szCs w:val="24"/>
        </w:rPr>
      </w:pPr>
      <w:r w:rsidRPr="00A67F63">
        <w:rPr>
          <w:rFonts w:ascii="Times New Roman" w:hAnsi="Times New Roman" w:cs="Times New Roman"/>
          <w:b/>
          <w:bCs/>
          <w:sz w:val="24"/>
          <w:szCs w:val="24"/>
        </w:rPr>
        <w:t>Recommendations</w:t>
      </w:r>
    </w:p>
    <w:p w:rsidR="006D7472" w:rsidRPr="001A0675" w:rsidRDefault="006D7472" w:rsidP="006D7472">
      <w:pPr>
        <w:jc w:val="both"/>
        <w:rPr>
          <w:rFonts w:ascii="Times New Roman" w:hAnsi="Times New Roman" w:cs="Times New Roman"/>
          <w:bCs/>
          <w:sz w:val="24"/>
          <w:szCs w:val="24"/>
        </w:rPr>
      </w:pPr>
      <w:r w:rsidRPr="006D7472">
        <w:rPr>
          <w:rFonts w:ascii="Times New Roman" w:hAnsi="Times New Roman" w:cs="Times New Roman"/>
          <w:bCs/>
          <w:sz w:val="24"/>
          <w:szCs w:val="24"/>
        </w:rPr>
        <w:t>For</w:t>
      </w:r>
      <w:r w:rsidRPr="001A0675">
        <w:rPr>
          <w:rFonts w:ascii="Times New Roman" w:hAnsi="Times New Roman" w:cs="Times New Roman"/>
          <w:bCs/>
          <w:sz w:val="24"/>
          <w:szCs w:val="24"/>
        </w:rPr>
        <w:t xml:space="preserve"> scholars and research institutions seeking to advance tourism knowledge with practical relevance, we recommend </w:t>
      </w:r>
      <w:proofErr w:type="spellStart"/>
      <w:r w:rsidRPr="001A0675">
        <w:rPr>
          <w:rFonts w:ascii="Times New Roman" w:hAnsi="Times New Roman" w:cs="Times New Roman"/>
          <w:bCs/>
          <w:sz w:val="24"/>
          <w:szCs w:val="24"/>
        </w:rPr>
        <w:t>prioritising</w:t>
      </w:r>
      <w:proofErr w:type="spellEnd"/>
      <w:r w:rsidRPr="001A0675">
        <w:rPr>
          <w:rFonts w:ascii="Times New Roman" w:hAnsi="Times New Roman" w:cs="Times New Roman"/>
          <w:bCs/>
          <w:sz w:val="24"/>
          <w:szCs w:val="24"/>
        </w:rPr>
        <w:t xml:space="preserve"> Review #1 on entrepreneurial gaps and marketing failures. This review addresses a high-urgency diagnostic need within academic circles, offering fertile ground for theoretical development in tourism entrepreneurship, destination marketing, and small enterprise development. Its natural homes are </w:t>
      </w:r>
      <w:r w:rsidRPr="001A0675">
        <w:rPr>
          <w:rFonts w:ascii="Times New Roman" w:hAnsi="Times New Roman" w:cs="Times New Roman"/>
          <w:bCs/>
          <w:iCs/>
          <w:sz w:val="24"/>
          <w:szCs w:val="24"/>
        </w:rPr>
        <w:t>Tourism Management</w:t>
      </w:r>
      <w:r w:rsidRPr="001A0675">
        <w:rPr>
          <w:rFonts w:ascii="Times New Roman" w:hAnsi="Times New Roman" w:cs="Times New Roman"/>
          <w:bCs/>
          <w:sz w:val="24"/>
          <w:szCs w:val="24"/>
        </w:rPr>
        <w:t> and the </w:t>
      </w:r>
      <w:r w:rsidRPr="001A0675">
        <w:rPr>
          <w:rFonts w:ascii="Times New Roman" w:hAnsi="Times New Roman" w:cs="Times New Roman"/>
          <w:bCs/>
          <w:iCs/>
          <w:sz w:val="24"/>
          <w:szCs w:val="24"/>
        </w:rPr>
        <w:t>Journal of Sustainable Tourism</w:t>
      </w:r>
      <w:r w:rsidRPr="001A0675">
        <w:rPr>
          <w:rFonts w:ascii="Times New Roman" w:hAnsi="Times New Roman" w:cs="Times New Roman"/>
          <w:bCs/>
          <w:sz w:val="24"/>
          <w:szCs w:val="24"/>
        </w:rPr>
        <w:t>, where it will resonate with academics and policymakers concerned with the micro-foundations of tourism development.</w:t>
      </w:r>
    </w:p>
    <w:p w:rsidR="006D7472" w:rsidRPr="001A0675" w:rsidRDefault="006D7472" w:rsidP="006D7472">
      <w:pPr>
        <w:jc w:val="both"/>
        <w:rPr>
          <w:rFonts w:ascii="Times New Roman" w:hAnsi="Times New Roman" w:cs="Times New Roman"/>
          <w:bCs/>
          <w:sz w:val="24"/>
          <w:szCs w:val="24"/>
        </w:rPr>
      </w:pPr>
      <w:r w:rsidRPr="001A0675">
        <w:rPr>
          <w:rFonts w:ascii="Times New Roman" w:hAnsi="Times New Roman" w:cs="Times New Roman"/>
          <w:bCs/>
          <w:sz w:val="24"/>
          <w:szCs w:val="24"/>
        </w:rPr>
        <w:t>Development economists, youth employment agencies, and technology funders should commission Review #2 on youth employment and artificial intelligence. While medium in urgency relative to the other two, this review addresses a solutions-oriented gap at the intersection of demographic dividends, digital transformation, and sustainable livelihoods. The </w:t>
      </w:r>
      <w:r w:rsidRPr="001A0675">
        <w:rPr>
          <w:rFonts w:ascii="Times New Roman" w:hAnsi="Times New Roman" w:cs="Times New Roman"/>
          <w:bCs/>
          <w:iCs/>
          <w:sz w:val="24"/>
          <w:szCs w:val="24"/>
        </w:rPr>
        <w:t xml:space="preserve">World </w:t>
      </w:r>
      <w:r w:rsidRPr="001A0675">
        <w:rPr>
          <w:rFonts w:ascii="Times New Roman" w:hAnsi="Times New Roman" w:cs="Times New Roman"/>
          <w:bCs/>
          <w:iCs/>
          <w:sz w:val="24"/>
          <w:szCs w:val="24"/>
        </w:rPr>
        <w:lastRenderedPageBreak/>
        <w:t>Development</w:t>
      </w:r>
      <w:r w:rsidRPr="001A0675">
        <w:rPr>
          <w:rFonts w:ascii="Times New Roman" w:hAnsi="Times New Roman" w:cs="Times New Roman"/>
          <w:bCs/>
          <w:sz w:val="24"/>
          <w:szCs w:val="24"/>
        </w:rPr>
        <w:t> and </w:t>
      </w:r>
      <w:r w:rsidRPr="001A0675">
        <w:rPr>
          <w:rFonts w:ascii="Times New Roman" w:hAnsi="Times New Roman" w:cs="Times New Roman"/>
          <w:bCs/>
          <w:iCs/>
          <w:sz w:val="24"/>
          <w:szCs w:val="24"/>
        </w:rPr>
        <w:t>Annals of Tourism Research</w:t>
      </w:r>
      <w:r w:rsidRPr="001A0675">
        <w:rPr>
          <w:rFonts w:ascii="Times New Roman" w:hAnsi="Times New Roman" w:cs="Times New Roman"/>
          <w:bCs/>
          <w:sz w:val="24"/>
          <w:szCs w:val="24"/>
        </w:rPr>
        <w:t> audiences will find its policy implications compelling, particularly as AI reshapes employment landscapes across Sub-Saharan Africa.</w:t>
      </w:r>
    </w:p>
    <w:p w:rsidR="006D7472" w:rsidRPr="001A0675" w:rsidRDefault="006D7472" w:rsidP="006D7472">
      <w:pPr>
        <w:jc w:val="both"/>
        <w:rPr>
          <w:rFonts w:ascii="Times New Roman" w:hAnsi="Times New Roman" w:cs="Times New Roman"/>
          <w:bCs/>
          <w:sz w:val="24"/>
          <w:szCs w:val="24"/>
        </w:rPr>
      </w:pPr>
      <w:r w:rsidRPr="001A0675">
        <w:rPr>
          <w:rFonts w:ascii="Times New Roman" w:hAnsi="Times New Roman" w:cs="Times New Roman"/>
          <w:bCs/>
          <w:sz w:val="24"/>
          <w:szCs w:val="24"/>
        </w:rPr>
        <w:t>If resources permit the completion of only one review, we unequivocally recommend Review #3 on investment readiness, ease of doing business, and return on investment evidence. This review holds the highest urgency given the post-COVID capital search for alternatives to over-</w:t>
      </w:r>
      <w:proofErr w:type="spellStart"/>
      <w:r w:rsidRPr="001A0675">
        <w:rPr>
          <w:rFonts w:ascii="Times New Roman" w:hAnsi="Times New Roman" w:cs="Times New Roman"/>
          <w:bCs/>
          <w:sz w:val="24"/>
          <w:szCs w:val="24"/>
        </w:rPr>
        <w:t>touristed</w:t>
      </w:r>
      <w:proofErr w:type="spellEnd"/>
      <w:r w:rsidRPr="001A0675">
        <w:rPr>
          <w:rFonts w:ascii="Times New Roman" w:hAnsi="Times New Roman" w:cs="Times New Roman"/>
          <w:bCs/>
          <w:sz w:val="24"/>
          <w:szCs w:val="24"/>
        </w:rPr>
        <w:t xml:space="preserve"> regions. It is the most original, the most practically impactful, and the most likely to be cited by b</w:t>
      </w:r>
      <w:r w:rsidR="00A67F63" w:rsidRPr="001A0675">
        <w:rPr>
          <w:rFonts w:ascii="Times New Roman" w:hAnsi="Times New Roman" w:cs="Times New Roman"/>
          <w:bCs/>
          <w:sz w:val="24"/>
          <w:szCs w:val="24"/>
        </w:rPr>
        <w:t xml:space="preserve">oth academics and practitioners, </w:t>
      </w:r>
      <w:r w:rsidRPr="001A0675">
        <w:rPr>
          <w:rFonts w:ascii="Times New Roman" w:hAnsi="Times New Roman" w:cs="Times New Roman"/>
          <w:bCs/>
          <w:sz w:val="24"/>
          <w:szCs w:val="24"/>
        </w:rPr>
        <w:t>a citation goldmine. Targeting investors, development finance institutions, tourism boards, and blended finance funds, it directly answers the core assumption about untapped potential by translating it into bankable language. Suitable journals include </w:t>
      </w:r>
      <w:r w:rsidRPr="001A0675">
        <w:rPr>
          <w:rFonts w:ascii="Times New Roman" w:hAnsi="Times New Roman" w:cs="Times New Roman"/>
          <w:bCs/>
          <w:iCs/>
          <w:sz w:val="24"/>
          <w:szCs w:val="24"/>
        </w:rPr>
        <w:t>Tourism Economics</w:t>
      </w:r>
      <w:r w:rsidRPr="001A0675">
        <w:rPr>
          <w:rFonts w:ascii="Times New Roman" w:hAnsi="Times New Roman" w:cs="Times New Roman"/>
          <w:bCs/>
          <w:sz w:val="24"/>
          <w:szCs w:val="24"/>
        </w:rPr>
        <w:t>, the </w:t>
      </w:r>
      <w:r w:rsidRPr="001A0675">
        <w:rPr>
          <w:rFonts w:ascii="Times New Roman" w:hAnsi="Times New Roman" w:cs="Times New Roman"/>
          <w:bCs/>
          <w:iCs/>
          <w:sz w:val="24"/>
          <w:szCs w:val="24"/>
        </w:rPr>
        <w:t>Journal of Destination Marketing &amp; Management</w:t>
      </w:r>
      <w:r w:rsidRPr="001A0675">
        <w:rPr>
          <w:rFonts w:ascii="Times New Roman" w:hAnsi="Times New Roman" w:cs="Times New Roman"/>
          <w:bCs/>
          <w:sz w:val="24"/>
          <w:szCs w:val="24"/>
        </w:rPr>
        <w:t>, or policy-oriented outlets such as </w:t>
      </w:r>
      <w:r w:rsidRPr="001A0675">
        <w:rPr>
          <w:rFonts w:ascii="Times New Roman" w:hAnsi="Times New Roman" w:cs="Times New Roman"/>
          <w:bCs/>
          <w:iCs/>
          <w:sz w:val="24"/>
          <w:szCs w:val="24"/>
        </w:rPr>
        <w:t>Development Policy Review</w:t>
      </w:r>
      <w:r w:rsidRPr="001A0675">
        <w:rPr>
          <w:rFonts w:ascii="Times New Roman" w:hAnsi="Times New Roman" w:cs="Times New Roman"/>
          <w:bCs/>
          <w:sz w:val="24"/>
          <w:szCs w:val="24"/>
        </w:rPr>
        <w:t>. This review fills a void no other systematic review has addressed, bridging investment climate literature with tourism ROI evidence in Sub-Saharan Africa.</w:t>
      </w:r>
    </w:p>
    <w:p w:rsidR="006D7472" w:rsidRDefault="006D7472" w:rsidP="003E0293">
      <w:pPr>
        <w:jc w:val="both"/>
        <w:rPr>
          <w:rFonts w:ascii="Times New Roman" w:hAnsi="Times New Roman" w:cs="Times New Roman"/>
          <w:bCs/>
          <w:sz w:val="24"/>
          <w:szCs w:val="24"/>
        </w:rPr>
      </w:pP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Declarations</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Conflict of Interest</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The authors declare no competing interests. No financial or personal relationships have influenced the design, conduct, analysis, or reporting of this systematic review.</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Funding</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This systematic review received no external funding. No public, private, or non-profit organization provided financial support for the research, authorship, or publication of this article.</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Data Availability</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All data extracted and analyzed in this systematic review are derived from published studies and publicly available gray literature cited in the reference list. The complete data extraction table, search strategy details, and PRISMA checklist are available as supplementary materials from the corresponding author upon reasonable request. No primary data were collected; therefore, no data deposition in public repositories is applicable.</w:t>
      </w:r>
    </w:p>
    <w:p w:rsidR="003011A3" w:rsidRDefault="003011A3" w:rsidP="003011A3">
      <w:pPr>
        <w:jc w:val="both"/>
        <w:rPr>
          <w:rFonts w:ascii="Times New Roman" w:hAnsi="Times New Roman" w:cs="Times New Roman"/>
          <w:b/>
          <w:bCs/>
          <w:sz w:val="24"/>
          <w:szCs w:val="24"/>
        </w:rPr>
      </w:pPr>
      <w:r w:rsidRPr="00AF7523">
        <w:rPr>
          <w:rFonts w:ascii="Times New Roman" w:hAnsi="Times New Roman" w:cs="Times New Roman"/>
          <w:b/>
          <w:bCs/>
          <w:sz w:val="24"/>
          <w:szCs w:val="24"/>
        </w:rPr>
        <w:t>Auth</w:t>
      </w:r>
      <w:r>
        <w:rPr>
          <w:rFonts w:ascii="Times New Roman" w:hAnsi="Times New Roman" w:cs="Times New Roman"/>
          <w:b/>
          <w:bCs/>
          <w:sz w:val="24"/>
          <w:szCs w:val="24"/>
        </w:rPr>
        <w:t>or Contributions</w:t>
      </w:r>
    </w:p>
    <w:p w:rsidR="003011A3" w:rsidRPr="00483229" w:rsidRDefault="00483229" w:rsidP="003011A3">
      <w:pPr>
        <w:jc w:val="both"/>
        <w:rPr>
          <w:rFonts w:ascii="Times New Roman" w:hAnsi="Times New Roman" w:cs="Times New Roman"/>
          <w:bCs/>
          <w:sz w:val="24"/>
          <w:szCs w:val="24"/>
        </w:rPr>
      </w:pPr>
      <w:r w:rsidRPr="00483229">
        <w:rPr>
          <w:rFonts w:ascii="Times New Roman" w:hAnsi="Times New Roman" w:cs="Times New Roman"/>
          <w:bCs/>
          <w:sz w:val="24"/>
          <w:szCs w:val="24"/>
        </w:rPr>
        <w:t xml:space="preserve">E.S.I. and T.E.M. conceived and designed the systematic review, developed the theoretical framework, and formulated the research questions. E.S.I. designed the </w:t>
      </w:r>
      <w:r>
        <w:rPr>
          <w:rFonts w:ascii="Times New Roman" w:hAnsi="Times New Roman" w:cs="Times New Roman"/>
          <w:bCs/>
          <w:sz w:val="24"/>
          <w:szCs w:val="24"/>
        </w:rPr>
        <w:t>dual-stream search protocol</w:t>
      </w:r>
      <w:r w:rsidRPr="00483229">
        <w:rPr>
          <w:rFonts w:ascii="Times New Roman" w:hAnsi="Times New Roman" w:cs="Times New Roman"/>
          <w:bCs/>
          <w:sz w:val="24"/>
          <w:szCs w:val="24"/>
        </w:rPr>
        <w:t xml:space="preserve">, and conducted the academic literature search across Scopus, Web of Science, and AJOL databases. T.E.M. conducted the grey literature search, including UNWTO, World Bank, DFI reports, and industry surveys. E.S.I. performed the title and abstract screening (847 records) and full-text review (306 records). T.E.M. applied the AACODS checklist for grey literature credibility assessment (189 documents). E.S.I. and T.E.M. jointly conducted data extraction (20% dual-extracted for reliability), applied the Investor Relevance Score, and rated evidence quality (Gold/Silver/Bronze). E.S.I. performed the quantitative synthesis (ROI estimates, risk-adjusted returns) and prepared all tables, including the Investor Summary Dashboard. T.E.M. conducted the thematic synthesis for RQ1 (barriers analysis) and RQ3 (actionable intersections). E.S.I. wrote </w:t>
      </w:r>
      <w:r w:rsidRPr="00483229">
        <w:rPr>
          <w:rFonts w:ascii="Times New Roman" w:hAnsi="Times New Roman" w:cs="Times New Roman"/>
          <w:bCs/>
          <w:sz w:val="24"/>
          <w:szCs w:val="24"/>
        </w:rPr>
        <w:lastRenderedPageBreak/>
        <w:t>the abstract, introduction, methodology, and conclusion sections. T.E.M. wrote the synthesis and discussion section. Both authors critically revised the manuscript for intellectual content, approved the final version, and agree to be accountable for all aspects of the work.</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Acknowledgments</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 xml:space="preserve">The authors thank the research librarians at </w:t>
      </w:r>
      <w:proofErr w:type="spellStart"/>
      <w:r>
        <w:rPr>
          <w:rFonts w:ascii="Times New Roman" w:hAnsi="Times New Roman" w:cs="Times New Roman"/>
          <w:bCs/>
          <w:sz w:val="24"/>
          <w:szCs w:val="24"/>
        </w:rPr>
        <w:t>Adekunle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Ajasin</w:t>
      </w:r>
      <w:proofErr w:type="spellEnd"/>
      <w:r>
        <w:rPr>
          <w:rFonts w:ascii="Times New Roman" w:hAnsi="Times New Roman" w:cs="Times New Roman"/>
          <w:bCs/>
          <w:sz w:val="24"/>
          <w:szCs w:val="24"/>
        </w:rPr>
        <w:t xml:space="preserve"> University, </w:t>
      </w:r>
      <w:proofErr w:type="spellStart"/>
      <w:r>
        <w:rPr>
          <w:rFonts w:ascii="Times New Roman" w:hAnsi="Times New Roman" w:cs="Times New Roman"/>
          <w:bCs/>
          <w:sz w:val="24"/>
          <w:szCs w:val="24"/>
        </w:rPr>
        <w:t>Akungba-Akoko</w:t>
      </w:r>
      <w:proofErr w:type="spellEnd"/>
      <w:r w:rsidRPr="00AF7523">
        <w:rPr>
          <w:rFonts w:ascii="Times New Roman" w:hAnsi="Times New Roman" w:cs="Times New Roman"/>
          <w:bCs/>
          <w:sz w:val="24"/>
          <w:szCs w:val="24"/>
        </w:rPr>
        <w:t xml:space="preserve"> for assistance with database access. No compensation was received.</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Informed Consent</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Not applicable. This systematic review does not involve human or animal subjects; no primary data collection was conducted.</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Institutional Review Board Statement</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Not applicable. This study did not involve human or animal subjects, clinical trials, or any primary data collection requiring ethical approval.</w:t>
      </w:r>
    </w:p>
    <w:p w:rsidR="003011A3" w:rsidRPr="00AF7523" w:rsidRDefault="003011A3" w:rsidP="003011A3">
      <w:pPr>
        <w:spacing w:after="0"/>
        <w:jc w:val="both"/>
        <w:rPr>
          <w:rFonts w:ascii="Times New Roman" w:hAnsi="Times New Roman" w:cs="Times New Roman"/>
          <w:b/>
          <w:bCs/>
          <w:sz w:val="24"/>
          <w:szCs w:val="24"/>
        </w:rPr>
      </w:pPr>
      <w:r w:rsidRPr="00AF7523">
        <w:rPr>
          <w:rFonts w:ascii="Times New Roman" w:hAnsi="Times New Roman" w:cs="Times New Roman"/>
          <w:b/>
          <w:bCs/>
          <w:sz w:val="24"/>
          <w:szCs w:val="24"/>
        </w:rPr>
        <w:t>Use of AI Tools</w:t>
      </w:r>
    </w:p>
    <w:p w:rsidR="003011A3" w:rsidRPr="00AF7523" w:rsidRDefault="003011A3" w:rsidP="003011A3">
      <w:pPr>
        <w:jc w:val="both"/>
        <w:rPr>
          <w:rFonts w:ascii="Times New Roman" w:hAnsi="Times New Roman" w:cs="Times New Roman"/>
          <w:bCs/>
          <w:sz w:val="24"/>
          <w:szCs w:val="24"/>
        </w:rPr>
      </w:pPr>
      <w:r w:rsidRPr="00AF7523">
        <w:rPr>
          <w:rFonts w:ascii="Times New Roman" w:hAnsi="Times New Roman" w:cs="Times New Roman"/>
          <w:bCs/>
          <w:sz w:val="24"/>
          <w:szCs w:val="24"/>
        </w:rPr>
        <w:t>No generative AI tools were used in the writing, analysis, or interpretation of this systematic review. AI-powered search engine</w:t>
      </w:r>
      <w:r>
        <w:rPr>
          <w:rFonts w:ascii="Times New Roman" w:hAnsi="Times New Roman" w:cs="Times New Roman"/>
          <w:bCs/>
          <w:sz w:val="24"/>
          <w:szCs w:val="24"/>
        </w:rPr>
        <w:t>s</w:t>
      </w:r>
      <w:r w:rsidRPr="00AF7523">
        <w:rPr>
          <w:rFonts w:ascii="Times New Roman" w:hAnsi="Times New Roman" w:cs="Times New Roman"/>
          <w:bCs/>
          <w:sz w:val="24"/>
          <w:szCs w:val="24"/>
        </w:rPr>
        <w:t xml:space="preserve"> (Consensus</w:t>
      </w:r>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Zotero</w:t>
      </w:r>
      <w:proofErr w:type="spellEnd"/>
      <w:r>
        <w:rPr>
          <w:rFonts w:ascii="Times New Roman" w:hAnsi="Times New Roman" w:cs="Times New Roman"/>
          <w:bCs/>
          <w:sz w:val="24"/>
          <w:szCs w:val="24"/>
        </w:rPr>
        <w:t>) were</w:t>
      </w:r>
      <w:r w:rsidRPr="00AF7523">
        <w:rPr>
          <w:rFonts w:ascii="Times New Roman" w:hAnsi="Times New Roman" w:cs="Times New Roman"/>
          <w:bCs/>
          <w:sz w:val="24"/>
          <w:szCs w:val="24"/>
        </w:rPr>
        <w:t xml:space="preserve"> used for literature identification as disclosed; all retrieved studies were manually screened and synthesized by the authors.</w:t>
      </w:r>
    </w:p>
    <w:p w:rsidR="003E0293" w:rsidRDefault="003E0293" w:rsidP="003E0293">
      <w:pPr>
        <w:jc w:val="both"/>
        <w:rPr>
          <w:rFonts w:ascii="Times New Roman" w:hAnsi="Times New Roman" w:cs="Times New Roman"/>
          <w:bCs/>
          <w:sz w:val="24"/>
          <w:szCs w:val="24"/>
        </w:rPr>
      </w:pPr>
    </w:p>
    <w:p w:rsidR="001900F2" w:rsidRPr="001900F2" w:rsidRDefault="001900F2" w:rsidP="001900F2">
      <w:pPr>
        <w:jc w:val="both"/>
        <w:rPr>
          <w:rFonts w:ascii="Times New Roman" w:hAnsi="Times New Roman" w:cs="Times New Roman"/>
          <w:b/>
          <w:bCs/>
          <w:sz w:val="24"/>
          <w:szCs w:val="24"/>
        </w:rPr>
      </w:pPr>
      <w:r w:rsidRPr="001900F2">
        <w:rPr>
          <w:rFonts w:ascii="Times New Roman" w:hAnsi="Times New Roman" w:cs="Times New Roman"/>
          <w:b/>
          <w:bCs/>
          <w:sz w:val="24"/>
          <w:szCs w:val="24"/>
        </w:rPr>
        <w:t>References</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Adegboye</w:t>
      </w:r>
      <w:proofErr w:type="spellEnd"/>
      <w:r w:rsidRPr="00510A59">
        <w:rPr>
          <w:rFonts w:ascii="Times New Roman" w:hAnsi="Times New Roman" w:cs="Times New Roman"/>
          <w:bCs/>
          <w:sz w:val="24"/>
          <w:szCs w:val="24"/>
        </w:rPr>
        <w:t xml:space="preserve">, F., </w:t>
      </w:r>
      <w:proofErr w:type="spellStart"/>
      <w:r w:rsidRPr="00510A59">
        <w:rPr>
          <w:rFonts w:ascii="Times New Roman" w:hAnsi="Times New Roman" w:cs="Times New Roman"/>
          <w:bCs/>
          <w:sz w:val="24"/>
          <w:szCs w:val="24"/>
        </w:rPr>
        <w:t>Osabohien</w:t>
      </w:r>
      <w:proofErr w:type="spellEnd"/>
      <w:r w:rsidRPr="00510A59">
        <w:rPr>
          <w:rFonts w:ascii="Times New Roman" w:hAnsi="Times New Roman" w:cs="Times New Roman"/>
          <w:bCs/>
          <w:sz w:val="24"/>
          <w:szCs w:val="24"/>
        </w:rPr>
        <w:t xml:space="preserve">, R., </w:t>
      </w:r>
      <w:proofErr w:type="spellStart"/>
      <w:r w:rsidRPr="00510A59">
        <w:rPr>
          <w:rFonts w:ascii="Times New Roman" w:hAnsi="Times New Roman" w:cs="Times New Roman"/>
          <w:bCs/>
          <w:sz w:val="24"/>
          <w:szCs w:val="24"/>
        </w:rPr>
        <w:t>Olokoyo</w:t>
      </w:r>
      <w:proofErr w:type="spellEnd"/>
      <w:r w:rsidRPr="00510A59">
        <w:rPr>
          <w:rFonts w:ascii="Times New Roman" w:hAnsi="Times New Roman" w:cs="Times New Roman"/>
          <w:bCs/>
          <w:sz w:val="24"/>
          <w:szCs w:val="24"/>
        </w:rPr>
        <w:t xml:space="preserve">, F., Matthew, O., &amp; </w:t>
      </w:r>
      <w:proofErr w:type="spellStart"/>
      <w:r w:rsidRPr="00510A59">
        <w:rPr>
          <w:rFonts w:ascii="Times New Roman" w:hAnsi="Times New Roman" w:cs="Times New Roman"/>
          <w:bCs/>
          <w:sz w:val="24"/>
          <w:szCs w:val="24"/>
        </w:rPr>
        <w:t>Adediran</w:t>
      </w:r>
      <w:proofErr w:type="spellEnd"/>
      <w:r w:rsidRPr="00510A59">
        <w:rPr>
          <w:rFonts w:ascii="Times New Roman" w:hAnsi="Times New Roman" w:cs="Times New Roman"/>
          <w:bCs/>
          <w:sz w:val="24"/>
          <w:szCs w:val="24"/>
        </w:rPr>
        <w:t>, O. (2020). Institutional quality, foreign direct investment, and economic development in sub-Saharan Africa. </w:t>
      </w:r>
      <w:r w:rsidRPr="00510A59">
        <w:rPr>
          <w:rFonts w:ascii="Times New Roman" w:hAnsi="Times New Roman" w:cs="Times New Roman"/>
          <w:bCs/>
          <w:i/>
          <w:iCs/>
          <w:sz w:val="24"/>
          <w:szCs w:val="24"/>
        </w:rPr>
        <w:t>Humanities and Social Sciences Communications</w:t>
      </w:r>
      <w:r w:rsidRPr="00510A59">
        <w:rPr>
          <w:rFonts w:ascii="Times New Roman" w:hAnsi="Times New Roman" w:cs="Times New Roman"/>
          <w:bCs/>
          <w:sz w:val="24"/>
          <w:szCs w:val="24"/>
        </w:rPr>
        <w:t>, 7(1), 1–9. </w:t>
      </w:r>
      <w:hyperlink r:id="rId6" w:tgtFrame="_blank" w:history="1">
        <w:r w:rsidRPr="00510A59">
          <w:rPr>
            <w:rStyle w:val="Hyperlink"/>
            <w:rFonts w:ascii="Times New Roman" w:hAnsi="Times New Roman" w:cs="Times New Roman"/>
            <w:bCs/>
            <w:sz w:val="24"/>
            <w:szCs w:val="24"/>
          </w:rPr>
          <w:t>https://doi.org/10.1057/s41599-020-0529-x</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AECOM. (2023). </w:t>
      </w:r>
      <w:r w:rsidRPr="00510A59">
        <w:rPr>
          <w:rFonts w:ascii="Times New Roman" w:hAnsi="Times New Roman" w:cs="Times New Roman"/>
          <w:bCs/>
          <w:i/>
          <w:iCs/>
          <w:sz w:val="24"/>
          <w:szCs w:val="24"/>
        </w:rPr>
        <w:t>Africa tourism infrastructure investment report 2023</w:t>
      </w:r>
      <w:r w:rsidRPr="00510A59">
        <w:rPr>
          <w:rFonts w:ascii="Times New Roman" w:hAnsi="Times New Roman" w:cs="Times New Roman"/>
          <w:bCs/>
          <w:sz w:val="24"/>
          <w:szCs w:val="24"/>
        </w:rPr>
        <w:t>. AECOM Economics.</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AfDB</w:t>
      </w:r>
      <w:proofErr w:type="spellEnd"/>
      <w:r w:rsidRPr="00510A59">
        <w:rPr>
          <w:rFonts w:ascii="Times New Roman" w:hAnsi="Times New Roman" w:cs="Times New Roman"/>
          <w:bCs/>
          <w:sz w:val="24"/>
          <w:szCs w:val="24"/>
        </w:rPr>
        <w:t>. (2024). </w:t>
      </w:r>
      <w:r w:rsidRPr="00510A59">
        <w:rPr>
          <w:rFonts w:ascii="Times New Roman" w:hAnsi="Times New Roman" w:cs="Times New Roman"/>
          <w:bCs/>
          <w:i/>
          <w:iCs/>
          <w:sz w:val="24"/>
          <w:szCs w:val="24"/>
        </w:rPr>
        <w:t>African Development Bank tourism sector strategy: Evaluation report 2019–2024</w:t>
      </w:r>
      <w:r w:rsidRPr="00510A59">
        <w:rPr>
          <w:rFonts w:ascii="Times New Roman" w:hAnsi="Times New Roman" w:cs="Times New Roman"/>
          <w:bCs/>
          <w:sz w:val="24"/>
          <w:szCs w:val="24"/>
        </w:rPr>
        <w:t>. African Development Bank.</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AHIF. (2023). </w:t>
      </w:r>
      <w:r w:rsidRPr="00510A59">
        <w:rPr>
          <w:rFonts w:ascii="Times New Roman" w:hAnsi="Times New Roman" w:cs="Times New Roman"/>
          <w:bCs/>
          <w:i/>
          <w:iCs/>
          <w:sz w:val="24"/>
          <w:szCs w:val="24"/>
        </w:rPr>
        <w:t>Africa Hospitality Investment Forum 2023: Investment outlook and market performance data</w:t>
      </w:r>
      <w:r w:rsidRPr="00510A59">
        <w:rPr>
          <w:rFonts w:ascii="Times New Roman" w:hAnsi="Times New Roman" w:cs="Times New Roman"/>
          <w:bCs/>
          <w:sz w:val="24"/>
          <w:szCs w:val="24"/>
        </w:rPr>
        <w:t>. Bench Events.</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Alola</w:t>
      </w:r>
      <w:proofErr w:type="spellEnd"/>
      <w:r w:rsidRPr="00510A59">
        <w:rPr>
          <w:rFonts w:ascii="Times New Roman" w:hAnsi="Times New Roman" w:cs="Times New Roman"/>
          <w:bCs/>
          <w:sz w:val="24"/>
          <w:szCs w:val="24"/>
        </w:rPr>
        <w:t xml:space="preserve">, U. V., </w:t>
      </w:r>
      <w:proofErr w:type="spellStart"/>
      <w:r w:rsidRPr="00510A59">
        <w:rPr>
          <w:rFonts w:ascii="Times New Roman" w:hAnsi="Times New Roman" w:cs="Times New Roman"/>
          <w:bCs/>
          <w:sz w:val="24"/>
          <w:szCs w:val="24"/>
        </w:rPr>
        <w:t>Bekun</w:t>
      </w:r>
      <w:proofErr w:type="spellEnd"/>
      <w:r w:rsidRPr="00510A59">
        <w:rPr>
          <w:rFonts w:ascii="Times New Roman" w:hAnsi="Times New Roman" w:cs="Times New Roman"/>
          <w:bCs/>
          <w:sz w:val="24"/>
          <w:szCs w:val="24"/>
        </w:rPr>
        <w:t xml:space="preserve">, F. V., </w:t>
      </w:r>
      <w:proofErr w:type="spellStart"/>
      <w:r w:rsidRPr="00510A59">
        <w:rPr>
          <w:rFonts w:ascii="Times New Roman" w:hAnsi="Times New Roman" w:cs="Times New Roman"/>
          <w:bCs/>
          <w:sz w:val="24"/>
          <w:szCs w:val="24"/>
        </w:rPr>
        <w:t>Alola</w:t>
      </w:r>
      <w:proofErr w:type="spellEnd"/>
      <w:r w:rsidRPr="00510A59">
        <w:rPr>
          <w:rFonts w:ascii="Times New Roman" w:hAnsi="Times New Roman" w:cs="Times New Roman"/>
          <w:bCs/>
          <w:sz w:val="24"/>
          <w:szCs w:val="24"/>
        </w:rPr>
        <w:t>, A. A., &amp; Ahmed, Z. (2022). Sustainable development amidst technological innovation and tourism activities in sub-Saharan Africa. </w:t>
      </w:r>
      <w:r w:rsidRPr="00510A59">
        <w:rPr>
          <w:rFonts w:ascii="Times New Roman" w:hAnsi="Times New Roman" w:cs="Times New Roman"/>
          <w:bCs/>
          <w:i/>
          <w:iCs/>
          <w:sz w:val="24"/>
          <w:szCs w:val="24"/>
        </w:rPr>
        <w:t>International Social Science Journal</w:t>
      </w:r>
      <w:r w:rsidRPr="00510A59">
        <w:rPr>
          <w:rFonts w:ascii="Times New Roman" w:hAnsi="Times New Roman" w:cs="Times New Roman"/>
          <w:bCs/>
          <w:sz w:val="24"/>
          <w:szCs w:val="24"/>
        </w:rPr>
        <w:t>, 72(244), 419–433. </w:t>
      </w:r>
      <w:hyperlink r:id="rId7" w:tgtFrame="_blank" w:history="1">
        <w:r w:rsidRPr="00510A59">
          <w:rPr>
            <w:rStyle w:val="Hyperlink"/>
            <w:rFonts w:ascii="Times New Roman" w:hAnsi="Times New Roman" w:cs="Times New Roman"/>
            <w:bCs/>
            <w:sz w:val="24"/>
            <w:szCs w:val="24"/>
          </w:rPr>
          <w:t>https://doi.org/10.1111/issj.12316</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Asiedu</w:t>
      </w:r>
      <w:proofErr w:type="spellEnd"/>
      <w:r w:rsidRPr="00510A59">
        <w:rPr>
          <w:rFonts w:ascii="Times New Roman" w:hAnsi="Times New Roman" w:cs="Times New Roman"/>
          <w:bCs/>
          <w:sz w:val="24"/>
          <w:szCs w:val="24"/>
        </w:rPr>
        <w:t>, E. (2001). On the determinants of foreign direct investment to developing countries: Is Africa different? </w:t>
      </w:r>
      <w:r w:rsidRPr="00510A59">
        <w:rPr>
          <w:rFonts w:ascii="Times New Roman" w:hAnsi="Times New Roman" w:cs="Times New Roman"/>
          <w:bCs/>
          <w:i/>
          <w:iCs/>
          <w:sz w:val="24"/>
          <w:szCs w:val="24"/>
        </w:rPr>
        <w:t>World Development</w:t>
      </w:r>
      <w:r w:rsidRPr="00510A59">
        <w:rPr>
          <w:rFonts w:ascii="Times New Roman" w:hAnsi="Times New Roman" w:cs="Times New Roman"/>
          <w:bCs/>
          <w:sz w:val="24"/>
          <w:szCs w:val="24"/>
        </w:rPr>
        <w:t>, 30(1), 107–119. </w:t>
      </w:r>
      <w:hyperlink r:id="rId8" w:tgtFrame="_blank" w:history="1">
        <w:r w:rsidRPr="00510A59">
          <w:rPr>
            <w:rStyle w:val="Hyperlink"/>
            <w:rFonts w:ascii="Times New Roman" w:hAnsi="Times New Roman" w:cs="Times New Roman"/>
            <w:bCs/>
            <w:sz w:val="24"/>
            <w:szCs w:val="24"/>
          </w:rPr>
          <w:t>https://doi.org/10.2139/ssrn.280062</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Asongu</w:t>
      </w:r>
      <w:proofErr w:type="spellEnd"/>
      <w:r w:rsidRPr="00510A59">
        <w:rPr>
          <w:rFonts w:ascii="Times New Roman" w:hAnsi="Times New Roman" w:cs="Times New Roman"/>
          <w:bCs/>
          <w:sz w:val="24"/>
          <w:szCs w:val="24"/>
        </w:rPr>
        <w:t xml:space="preserve">, S. A., Rahman, M., </w:t>
      </w:r>
      <w:proofErr w:type="spellStart"/>
      <w:r w:rsidRPr="00510A59">
        <w:rPr>
          <w:rFonts w:ascii="Times New Roman" w:hAnsi="Times New Roman" w:cs="Times New Roman"/>
          <w:bCs/>
          <w:sz w:val="24"/>
          <w:szCs w:val="24"/>
        </w:rPr>
        <w:t>Adu-Gyamfi</w:t>
      </w:r>
      <w:proofErr w:type="spellEnd"/>
      <w:r w:rsidRPr="00510A59">
        <w:rPr>
          <w:rFonts w:ascii="Times New Roman" w:hAnsi="Times New Roman" w:cs="Times New Roman"/>
          <w:bCs/>
          <w:sz w:val="24"/>
          <w:szCs w:val="24"/>
        </w:rPr>
        <w:t xml:space="preserve">, R., &amp; </w:t>
      </w:r>
      <w:proofErr w:type="spellStart"/>
      <w:r w:rsidRPr="00510A59">
        <w:rPr>
          <w:rFonts w:ascii="Times New Roman" w:hAnsi="Times New Roman" w:cs="Times New Roman"/>
          <w:bCs/>
          <w:sz w:val="24"/>
          <w:szCs w:val="24"/>
        </w:rPr>
        <w:t>Salahodjaev</w:t>
      </w:r>
      <w:proofErr w:type="spellEnd"/>
      <w:r w:rsidRPr="00510A59">
        <w:rPr>
          <w:rFonts w:ascii="Times New Roman" w:hAnsi="Times New Roman" w:cs="Times New Roman"/>
          <w:bCs/>
          <w:sz w:val="24"/>
          <w:szCs w:val="24"/>
        </w:rPr>
        <w:t>, R. (2024). Tourism management synergies in Sub-Saharan Africa. </w:t>
      </w:r>
      <w:r w:rsidRPr="00510A59">
        <w:rPr>
          <w:rFonts w:ascii="Times New Roman" w:hAnsi="Times New Roman" w:cs="Times New Roman"/>
          <w:bCs/>
          <w:i/>
          <w:iCs/>
          <w:sz w:val="24"/>
          <w:szCs w:val="24"/>
        </w:rPr>
        <w:t>World Affairs</w:t>
      </w:r>
      <w:r w:rsidRPr="00510A59">
        <w:rPr>
          <w:rFonts w:ascii="Times New Roman" w:hAnsi="Times New Roman" w:cs="Times New Roman"/>
          <w:bCs/>
          <w:sz w:val="24"/>
          <w:szCs w:val="24"/>
        </w:rPr>
        <w:t>, 187(2), 189–206. </w:t>
      </w:r>
      <w:hyperlink r:id="rId9" w:tgtFrame="_blank" w:history="1">
        <w:r w:rsidRPr="00510A59">
          <w:rPr>
            <w:rStyle w:val="Hyperlink"/>
            <w:rFonts w:ascii="Times New Roman" w:hAnsi="Times New Roman" w:cs="Times New Roman"/>
            <w:bCs/>
            <w:sz w:val="24"/>
            <w:szCs w:val="24"/>
          </w:rPr>
          <w:t>https://doi.org/10.1002/waf2.12011</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lastRenderedPageBreak/>
        <w:t>Asongu</w:t>
      </w:r>
      <w:proofErr w:type="spellEnd"/>
      <w:r w:rsidRPr="00510A59">
        <w:rPr>
          <w:rFonts w:ascii="Times New Roman" w:hAnsi="Times New Roman" w:cs="Times New Roman"/>
          <w:bCs/>
          <w:sz w:val="24"/>
          <w:szCs w:val="24"/>
        </w:rPr>
        <w:t xml:space="preserve">, S. A., Rahman, M., &amp; </w:t>
      </w:r>
      <w:proofErr w:type="spellStart"/>
      <w:r w:rsidRPr="00510A59">
        <w:rPr>
          <w:rFonts w:ascii="Times New Roman" w:hAnsi="Times New Roman" w:cs="Times New Roman"/>
          <w:bCs/>
          <w:sz w:val="24"/>
          <w:szCs w:val="24"/>
        </w:rPr>
        <w:t>Nnanna</w:t>
      </w:r>
      <w:proofErr w:type="spellEnd"/>
      <w:r w:rsidRPr="00510A59">
        <w:rPr>
          <w:rFonts w:ascii="Times New Roman" w:hAnsi="Times New Roman" w:cs="Times New Roman"/>
          <w:bCs/>
          <w:sz w:val="24"/>
          <w:szCs w:val="24"/>
        </w:rPr>
        <w:t>, J. (2023). Law, political stability, tourism management and economic development in sub-Saharan Africa. </w:t>
      </w:r>
      <w:r w:rsidRPr="00510A59">
        <w:rPr>
          <w:rFonts w:ascii="Times New Roman" w:hAnsi="Times New Roman" w:cs="Times New Roman"/>
          <w:bCs/>
          <w:i/>
          <w:iCs/>
          <w:sz w:val="24"/>
          <w:szCs w:val="24"/>
        </w:rPr>
        <w:t>Current Issues in Tourism</w:t>
      </w:r>
      <w:r w:rsidRPr="00510A59">
        <w:rPr>
          <w:rFonts w:ascii="Times New Roman" w:hAnsi="Times New Roman" w:cs="Times New Roman"/>
          <w:bCs/>
          <w:sz w:val="24"/>
          <w:szCs w:val="24"/>
        </w:rPr>
        <w:t>, 26(16), 2678–2691. </w:t>
      </w:r>
      <w:hyperlink r:id="rId10" w:tgtFrame="_blank" w:history="1">
        <w:r w:rsidRPr="00510A59">
          <w:rPr>
            <w:rStyle w:val="Hyperlink"/>
            <w:rFonts w:ascii="Times New Roman" w:hAnsi="Times New Roman" w:cs="Times New Roman"/>
            <w:bCs/>
            <w:sz w:val="24"/>
            <w:szCs w:val="24"/>
          </w:rPr>
          <w:t>https://doi.org/10.1080/13683500.2022.2093699</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Bekun</w:t>
      </w:r>
      <w:proofErr w:type="spellEnd"/>
      <w:r w:rsidRPr="00510A59">
        <w:rPr>
          <w:rFonts w:ascii="Times New Roman" w:hAnsi="Times New Roman" w:cs="Times New Roman"/>
          <w:bCs/>
          <w:sz w:val="24"/>
          <w:szCs w:val="24"/>
        </w:rPr>
        <w:t xml:space="preserve">, F. V., </w:t>
      </w:r>
      <w:proofErr w:type="spellStart"/>
      <w:r w:rsidRPr="00510A59">
        <w:rPr>
          <w:rFonts w:ascii="Times New Roman" w:hAnsi="Times New Roman" w:cs="Times New Roman"/>
          <w:bCs/>
          <w:sz w:val="24"/>
          <w:szCs w:val="24"/>
        </w:rPr>
        <w:t>Gyamfi</w:t>
      </w:r>
      <w:proofErr w:type="spellEnd"/>
      <w:r w:rsidRPr="00510A59">
        <w:rPr>
          <w:rFonts w:ascii="Times New Roman" w:hAnsi="Times New Roman" w:cs="Times New Roman"/>
          <w:bCs/>
          <w:sz w:val="24"/>
          <w:szCs w:val="24"/>
        </w:rPr>
        <w:t xml:space="preserve">, B. A., </w:t>
      </w:r>
      <w:proofErr w:type="spellStart"/>
      <w:r w:rsidRPr="00510A59">
        <w:rPr>
          <w:rFonts w:ascii="Times New Roman" w:hAnsi="Times New Roman" w:cs="Times New Roman"/>
          <w:bCs/>
          <w:sz w:val="24"/>
          <w:szCs w:val="24"/>
        </w:rPr>
        <w:t>Bamidele</w:t>
      </w:r>
      <w:proofErr w:type="spellEnd"/>
      <w:r w:rsidRPr="00510A59">
        <w:rPr>
          <w:rFonts w:ascii="Times New Roman" w:hAnsi="Times New Roman" w:cs="Times New Roman"/>
          <w:bCs/>
          <w:sz w:val="24"/>
          <w:szCs w:val="24"/>
        </w:rPr>
        <w:t xml:space="preserve">, R. O., &amp; </w:t>
      </w:r>
      <w:proofErr w:type="spellStart"/>
      <w:r w:rsidRPr="00510A59">
        <w:rPr>
          <w:rFonts w:ascii="Times New Roman" w:hAnsi="Times New Roman" w:cs="Times New Roman"/>
          <w:bCs/>
          <w:sz w:val="24"/>
          <w:szCs w:val="24"/>
        </w:rPr>
        <w:t>Udemba</w:t>
      </w:r>
      <w:proofErr w:type="spellEnd"/>
      <w:r w:rsidRPr="00510A59">
        <w:rPr>
          <w:rFonts w:ascii="Times New Roman" w:hAnsi="Times New Roman" w:cs="Times New Roman"/>
          <w:bCs/>
          <w:sz w:val="24"/>
          <w:szCs w:val="24"/>
        </w:rPr>
        <w:t>, E. N. (2022). Tourism-induced emission in Sub-Saharan Africa: A panel study for oil-producing and non-oil-producing countries. </w:t>
      </w:r>
      <w:r w:rsidRPr="00510A59">
        <w:rPr>
          <w:rFonts w:ascii="Times New Roman" w:hAnsi="Times New Roman" w:cs="Times New Roman"/>
          <w:bCs/>
          <w:i/>
          <w:iCs/>
          <w:sz w:val="24"/>
          <w:szCs w:val="24"/>
        </w:rPr>
        <w:t>Environmental Science and Pollution Research International</w:t>
      </w:r>
      <w:r w:rsidRPr="00510A59">
        <w:rPr>
          <w:rFonts w:ascii="Times New Roman" w:hAnsi="Times New Roman" w:cs="Times New Roman"/>
          <w:bCs/>
          <w:sz w:val="24"/>
          <w:szCs w:val="24"/>
        </w:rPr>
        <w:t>, 29(27), 41725–41741. </w:t>
      </w:r>
      <w:hyperlink r:id="rId11" w:tgtFrame="_blank" w:history="1">
        <w:r w:rsidRPr="00510A59">
          <w:rPr>
            <w:rStyle w:val="Hyperlink"/>
            <w:rFonts w:ascii="Times New Roman" w:hAnsi="Times New Roman" w:cs="Times New Roman"/>
            <w:bCs/>
            <w:sz w:val="24"/>
            <w:szCs w:val="24"/>
          </w:rPr>
          <w:t>https://doi.org/10.1007/s11356-021-18262-z</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CDC Group. (2024). </w:t>
      </w:r>
      <w:r w:rsidRPr="00510A59">
        <w:rPr>
          <w:rFonts w:ascii="Times New Roman" w:hAnsi="Times New Roman" w:cs="Times New Roman"/>
          <w:bCs/>
          <w:i/>
          <w:iCs/>
          <w:sz w:val="24"/>
          <w:szCs w:val="24"/>
        </w:rPr>
        <w:t>British International Investment: Tourism portfolio review and impact assessment 2019–2024</w:t>
      </w:r>
      <w:r w:rsidRPr="00510A59">
        <w:rPr>
          <w:rFonts w:ascii="Times New Roman" w:hAnsi="Times New Roman" w:cs="Times New Roman"/>
          <w:bCs/>
          <w:sz w:val="24"/>
          <w:szCs w:val="24"/>
        </w:rPr>
        <w:t>. CDC Group.</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Chen, Y., Yu, M., &amp; You, Z. (2025). Beyond politics: National image, business climate and the drivers of FDI in Sub-Saharan Africa. </w:t>
      </w:r>
      <w:r w:rsidRPr="00510A59">
        <w:rPr>
          <w:rFonts w:ascii="Times New Roman" w:hAnsi="Times New Roman" w:cs="Times New Roman"/>
          <w:bCs/>
          <w:i/>
          <w:iCs/>
          <w:sz w:val="24"/>
          <w:szCs w:val="24"/>
        </w:rPr>
        <w:t>Insight on Africa</w:t>
      </w:r>
      <w:r w:rsidRPr="00510A59">
        <w:rPr>
          <w:rFonts w:ascii="Times New Roman" w:hAnsi="Times New Roman" w:cs="Times New Roman"/>
          <w:bCs/>
          <w:sz w:val="24"/>
          <w:szCs w:val="24"/>
        </w:rPr>
        <w:t>, 17(1), 45–68. </w:t>
      </w:r>
      <w:hyperlink r:id="rId12" w:tgtFrame="_blank" w:history="1">
        <w:r w:rsidRPr="00510A59">
          <w:rPr>
            <w:rStyle w:val="Hyperlink"/>
            <w:rFonts w:ascii="Times New Roman" w:hAnsi="Times New Roman" w:cs="Times New Roman"/>
            <w:bCs/>
            <w:sz w:val="24"/>
            <w:szCs w:val="24"/>
          </w:rPr>
          <w:t>https://doi.org/10.1177/09750878251372923</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Cragun</w:t>
      </w:r>
      <w:proofErr w:type="spellEnd"/>
      <w:r w:rsidRPr="00510A59">
        <w:rPr>
          <w:rFonts w:ascii="Times New Roman" w:hAnsi="Times New Roman" w:cs="Times New Roman"/>
          <w:bCs/>
          <w:sz w:val="24"/>
          <w:szCs w:val="24"/>
        </w:rPr>
        <w:t>, D. (2020). Configurational comparative methods. In </w:t>
      </w:r>
      <w:r w:rsidRPr="00510A59">
        <w:rPr>
          <w:rFonts w:ascii="Times New Roman" w:hAnsi="Times New Roman" w:cs="Times New Roman"/>
          <w:bCs/>
          <w:i/>
          <w:iCs/>
          <w:sz w:val="24"/>
          <w:szCs w:val="24"/>
        </w:rPr>
        <w:t>Handbook on Implementation Science</w:t>
      </w:r>
      <w:r w:rsidRPr="00510A59">
        <w:rPr>
          <w:rFonts w:ascii="Times New Roman" w:hAnsi="Times New Roman" w:cs="Times New Roman"/>
          <w:bCs/>
          <w:sz w:val="24"/>
          <w:szCs w:val="24"/>
        </w:rPr>
        <w:t> (pp. 85–107). </w:t>
      </w:r>
      <w:hyperlink r:id="rId13" w:tgtFrame="_blank" w:history="1">
        <w:r w:rsidRPr="00510A59">
          <w:rPr>
            <w:rStyle w:val="Hyperlink"/>
            <w:rFonts w:ascii="Times New Roman" w:hAnsi="Times New Roman" w:cs="Times New Roman"/>
            <w:bCs/>
            <w:sz w:val="24"/>
            <w:szCs w:val="24"/>
          </w:rPr>
          <w:t>https://doi.org/10.4337/9781788975995.00034</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Dingru</w:t>
      </w:r>
      <w:proofErr w:type="spellEnd"/>
      <w:r w:rsidRPr="00510A59">
        <w:rPr>
          <w:rFonts w:ascii="Times New Roman" w:hAnsi="Times New Roman" w:cs="Times New Roman"/>
          <w:bCs/>
          <w:sz w:val="24"/>
          <w:szCs w:val="24"/>
        </w:rPr>
        <w:t xml:space="preserve">, L., </w:t>
      </w:r>
      <w:proofErr w:type="spellStart"/>
      <w:r w:rsidRPr="00510A59">
        <w:rPr>
          <w:rFonts w:ascii="Times New Roman" w:hAnsi="Times New Roman" w:cs="Times New Roman"/>
          <w:bCs/>
          <w:sz w:val="24"/>
          <w:szCs w:val="24"/>
        </w:rPr>
        <w:t>Onifade</w:t>
      </w:r>
      <w:proofErr w:type="spellEnd"/>
      <w:r w:rsidRPr="00510A59">
        <w:rPr>
          <w:rFonts w:ascii="Times New Roman" w:hAnsi="Times New Roman" w:cs="Times New Roman"/>
          <w:bCs/>
          <w:sz w:val="24"/>
          <w:szCs w:val="24"/>
        </w:rPr>
        <w:t xml:space="preserve">, S. T., </w:t>
      </w:r>
      <w:proofErr w:type="spellStart"/>
      <w:r w:rsidRPr="00510A59">
        <w:rPr>
          <w:rFonts w:ascii="Times New Roman" w:hAnsi="Times New Roman" w:cs="Times New Roman"/>
          <w:bCs/>
          <w:sz w:val="24"/>
          <w:szCs w:val="24"/>
        </w:rPr>
        <w:t>Ramzan</w:t>
      </w:r>
      <w:proofErr w:type="spellEnd"/>
      <w:r w:rsidRPr="00510A59">
        <w:rPr>
          <w:rFonts w:ascii="Times New Roman" w:hAnsi="Times New Roman" w:cs="Times New Roman"/>
          <w:bCs/>
          <w:sz w:val="24"/>
          <w:szCs w:val="24"/>
        </w:rPr>
        <w:t>, M., &amp; Al-</w:t>
      </w:r>
      <w:proofErr w:type="spellStart"/>
      <w:r w:rsidRPr="00510A59">
        <w:rPr>
          <w:rFonts w:ascii="Times New Roman" w:hAnsi="Times New Roman" w:cs="Times New Roman"/>
          <w:bCs/>
          <w:sz w:val="24"/>
          <w:szCs w:val="24"/>
        </w:rPr>
        <w:t>Faryan</w:t>
      </w:r>
      <w:proofErr w:type="spellEnd"/>
      <w:r w:rsidRPr="00510A59">
        <w:rPr>
          <w:rFonts w:ascii="Times New Roman" w:hAnsi="Times New Roman" w:cs="Times New Roman"/>
          <w:bCs/>
          <w:sz w:val="24"/>
          <w:szCs w:val="24"/>
        </w:rPr>
        <w:t>, M. A. S. (2023). Environmental perspectives on the impacts of trade and natural resources on renewable energy utilization in Sub-Sahara Africa: Accounting for FDI, income, and urbanization trends. </w:t>
      </w:r>
      <w:r w:rsidRPr="00510A59">
        <w:rPr>
          <w:rFonts w:ascii="Times New Roman" w:hAnsi="Times New Roman" w:cs="Times New Roman"/>
          <w:bCs/>
          <w:i/>
          <w:iCs/>
          <w:sz w:val="24"/>
          <w:szCs w:val="24"/>
        </w:rPr>
        <w:t>Resources Policy</w:t>
      </w:r>
      <w:r w:rsidRPr="00510A59">
        <w:rPr>
          <w:rFonts w:ascii="Times New Roman" w:hAnsi="Times New Roman" w:cs="Times New Roman"/>
          <w:bCs/>
          <w:sz w:val="24"/>
          <w:szCs w:val="24"/>
        </w:rPr>
        <w:t>, 80, 103204. </w:t>
      </w:r>
      <w:hyperlink r:id="rId14" w:tgtFrame="_blank" w:history="1">
        <w:r w:rsidRPr="00510A59">
          <w:rPr>
            <w:rStyle w:val="Hyperlink"/>
            <w:rFonts w:ascii="Times New Roman" w:hAnsi="Times New Roman" w:cs="Times New Roman"/>
            <w:bCs/>
            <w:sz w:val="24"/>
            <w:szCs w:val="24"/>
          </w:rPr>
          <w:t>https://doi.org/10.1016/j.resourpol.2022.103204</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Engeli</w:t>
      </w:r>
      <w:proofErr w:type="spellEnd"/>
      <w:r w:rsidRPr="00510A59">
        <w:rPr>
          <w:rFonts w:ascii="Times New Roman" w:hAnsi="Times New Roman" w:cs="Times New Roman"/>
          <w:bCs/>
          <w:sz w:val="24"/>
          <w:szCs w:val="24"/>
        </w:rPr>
        <w:t xml:space="preserve">, I., </w:t>
      </w:r>
      <w:proofErr w:type="spellStart"/>
      <w:r w:rsidRPr="00510A59">
        <w:rPr>
          <w:rFonts w:ascii="Times New Roman" w:hAnsi="Times New Roman" w:cs="Times New Roman"/>
          <w:bCs/>
          <w:sz w:val="24"/>
          <w:szCs w:val="24"/>
        </w:rPr>
        <w:t>Rihoux</w:t>
      </w:r>
      <w:proofErr w:type="spellEnd"/>
      <w:r w:rsidRPr="00510A59">
        <w:rPr>
          <w:rFonts w:ascii="Times New Roman" w:hAnsi="Times New Roman" w:cs="Times New Roman"/>
          <w:bCs/>
          <w:sz w:val="24"/>
          <w:szCs w:val="24"/>
        </w:rPr>
        <w:t xml:space="preserve">, B., &amp; </w:t>
      </w:r>
      <w:proofErr w:type="spellStart"/>
      <w:r w:rsidRPr="00510A59">
        <w:rPr>
          <w:rFonts w:ascii="Times New Roman" w:hAnsi="Times New Roman" w:cs="Times New Roman"/>
          <w:bCs/>
          <w:sz w:val="24"/>
          <w:szCs w:val="24"/>
        </w:rPr>
        <w:t>Rothmayr</w:t>
      </w:r>
      <w:proofErr w:type="spellEnd"/>
      <w:r w:rsidRPr="00510A59">
        <w:rPr>
          <w:rFonts w:ascii="Times New Roman" w:hAnsi="Times New Roman" w:cs="Times New Roman"/>
          <w:bCs/>
          <w:sz w:val="24"/>
          <w:szCs w:val="24"/>
        </w:rPr>
        <w:t>, C. (2014). Intermediate-N comparison: Configurational comparative methods. In </w:t>
      </w:r>
      <w:r w:rsidRPr="00510A59">
        <w:rPr>
          <w:rFonts w:ascii="Times New Roman" w:hAnsi="Times New Roman" w:cs="Times New Roman"/>
          <w:bCs/>
          <w:i/>
          <w:iCs/>
          <w:sz w:val="24"/>
          <w:szCs w:val="24"/>
        </w:rPr>
        <w:t>Comparative Policy Studies</w:t>
      </w:r>
      <w:r w:rsidRPr="00510A59">
        <w:rPr>
          <w:rFonts w:ascii="Times New Roman" w:hAnsi="Times New Roman" w:cs="Times New Roman"/>
          <w:bCs/>
          <w:sz w:val="24"/>
          <w:szCs w:val="24"/>
        </w:rPr>
        <w:t> (pp. 85–107). </w:t>
      </w:r>
      <w:hyperlink r:id="rId15" w:tgtFrame="_blank" w:history="1">
        <w:r w:rsidRPr="00510A59">
          <w:rPr>
            <w:rStyle w:val="Hyperlink"/>
            <w:rFonts w:ascii="Times New Roman" w:hAnsi="Times New Roman" w:cs="Times New Roman"/>
            <w:bCs/>
            <w:sz w:val="24"/>
            <w:szCs w:val="24"/>
          </w:rPr>
          <w:t>https://doi.org/10.1057/9781137314154_5</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Filieri</w:t>
      </w:r>
      <w:proofErr w:type="spellEnd"/>
      <w:r w:rsidRPr="00510A59">
        <w:rPr>
          <w:rFonts w:ascii="Times New Roman" w:hAnsi="Times New Roman" w:cs="Times New Roman"/>
          <w:bCs/>
          <w:sz w:val="24"/>
          <w:szCs w:val="24"/>
        </w:rPr>
        <w:t xml:space="preserve">, R., D’Amico, E., </w:t>
      </w:r>
      <w:proofErr w:type="spellStart"/>
      <w:r w:rsidRPr="00510A59">
        <w:rPr>
          <w:rFonts w:ascii="Times New Roman" w:hAnsi="Times New Roman" w:cs="Times New Roman"/>
          <w:bCs/>
          <w:sz w:val="24"/>
          <w:szCs w:val="24"/>
        </w:rPr>
        <w:t>Destefanis</w:t>
      </w:r>
      <w:proofErr w:type="spellEnd"/>
      <w:r w:rsidRPr="00510A59">
        <w:rPr>
          <w:rFonts w:ascii="Times New Roman" w:hAnsi="Times New Roman" w:cs="Times New Roman"/>
          <w:bCs/>
          <w:sz w:val="24"/>
          <w:szCs w:val="24"/>
        </w:rPr>
        <w:t xml:space="preserve">, A., </w:t>
      </w:r>
      <w:proofErr w:type="spellStart"/>
      <w:r w:rsidRPr="00510A59">
        <w:rPr>
          <w:rFonts w:ascii="Times New Roman" w:hAnsi="Times New Roman" w:cs="Times New Roman"/>
          <w:bCs/>
          <w:sz w:val="24"/>
          <w:szCs w:val="24"/>
        </w:rPr>
        <w:t>Paolucci</w:t>
      </w:r>
      <w:proofErr w:type="spellEnd"/>
      <w:r w:rsidRPr="00510A59">
        <w:rPr>
          <w:rFonts w:ascii="Times New Roman" w:hAnsi="Times New Roman" w:cs="Times New Roman"/>
          <w:bCs/>
          <w:sz w:val="24"/>
          <w:szCs w:val="24"/>
        </w:rPr>
        <w:t xml:space="preserve">, E., &amp; </w:t>
      </w:r>
      <w:proofErr w:type="spellStart"/>
      <w:r w:rsidRPr="00510A59">
        <w:rPr>
          <w:rFonts w:ascii="Times New Roman" w:hAnsi="Times New Roman" w:cs="Times New Roman"/>
          <w:bCs/>
          <w:sz w:val="24"/>
          <w:szCs w:val="24"/>
        </w:rPr>
        <w:t>Raguseo</w:t>
      </w:r>
      <w:proofErr w:type="spellEnd"/>
      <w:r w:rsidRPr="00510A59">
        <w:rPr>
          <w:rFonts w:ascii="Times New Roman" w:hAnsi="Times New Roman" w:cs="Times New Roman"/>
          <w:bCs/>
          <w:sz w:val="24"/>
          <w:szCs w:val="24"/>
        </w:rPr>
        <w:t>, E. (2021). Artificial intelligence (AI) for tourism: An European-based study on successful AI tourism start-ups. </w:t>
      </w:r>
      <w:r w:rsidRPr="00510A59">
        <w:rPr>
          <w:rFonts w:ascii="Times New Roman" w:hAnsi="Times New Roman" w:cs="Times New Roman"/>
          <w:bCs/>
          <w:i/>
          <w:iCs/>
          <w:sz w:val="24"/>
          <w:szCs w:val="24"/>
        </w:rPr>
        <w:t>International Journal of Contemporary Hospitality Management</w:t>
      </w:r>
      <w:r w:rsidRPr="00510A59">
        <w:rPr>
          <w:rFonts w:ascii="Times New Roman" w:hAnsi="Times New Roman" w:cs="Times New Roman"/>
          <w:bCs/>
          <w:sz w:val="24"/>
          <w:szCs w:val="24"/>
        </w:rPr>
        <w:t>, 33(11), 4099–4125. </w:t>
      </w:r>
      <w:hyperlink r:id="rId16" w:tgtFrame="_blank" w:history="1">
        <w:r w:rsidRPr="00510A59">
          <w:rPr>
            <w:rStyle w:val="Hyperlink"/>
            <w:rFonts w:ascii="Times New Roman" w:hAnsi="Times New Roman" w:cs="Times New Roman"/>
            <w:bCs/>
            <w:sz w:val="24"/>
            <w:szCs w:val="24"/>
          </w:rPr>
          <w:t>https://doi.org/10.1108/IJCHM-02-2021-0220</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Florido-Benítez</w:t>
      </w:r>
      <w:proofErr w:type="spellEnd"/>
      <w:r w:rsidRPr="00510A59">
        <w:rPr>
          <w:rFonts w:ascii="Times New Roman" w:hAnsi="Times New Roman" w:cs="Times New Roman"/>
          <w:bCs/>
          <w:sz w:val="24"/>
          <w:szCs w:val="24"/>
        </w:rPr>
        <w:t xml:space="preserve">, L., &amp; Del </w:t>
      </w:r>
      <w:proofErr w:type="spellStart"/>
      <w:r w:rsidRPr="00510A59">
        <w:rPr>
          <w:rFonts w:ascii="Times New Roman" w:hAnsi="Times New Roman" w:cs="Times New Roman"/>
          <w:bCs/>
          <w:sz w:val="24"/>
          <w:szCs w:val="24"/>
        </w:rPr>
        <w:t>Alcázar</w:t>
      </w:r>
      <w:proofErr w:type="spellEnd"/>
      <w:r w:rsidRPr="00510A59">
        <w:rPr>
          <w:rFonts w:ascii="Times New Roman" w:hAnsi="Times New Roman" w:cs="Times New Roman"/>
          <w:bCs/>
          <w:sz w:val="24"/>
          <w:szCs w:val="24"/>
        </w:rPr>
        <w:t xml:space="preserve"> </w:t>
      </w:r>
      <w:proofErr w:type="spellStart"/>
      <w:r w:rsidRPr="00510A59">
        <w:rPr>
          <w:rFonts w:ascii="Times New Roman" w:hAnsi="Times New Roman" w:cs="Times New Roman"/>
          <w:bCs/>
          <w:sz w:val="24"/>
          <w:szCs w:val="24"/>
        </w:rPr>
        <w:t>Martínez</w:t>
      </w:r>
      <w:proofErr w:type="spellEnd"/>
      <w:r w:rsidRPr="00510A59">
        <w:rPr>
          <w:rFonts w:ascii="Times New Roman" w:hAnsi="Times New Roman" w:cs="Times New Roman"/>
          <w:bCs/>
          <w:sz w:val="24"/>
          <w:szCs w:val="24"/>
        </w:rPr>
        <w:t>, B. (2024). How artificial intelligence (AI) is powering new tourism marketing and the future agenda for smart tourist destinations. </w:t>
      </w:r>
      <w:r w:rsidRPr="00510A59">
        <w:rPr>
          <w:rFonts w:ascii="Times New Roman" w:hAnsi="Times New Roman" w:cs="Times New Roman"/>
          <w:bCs/>
          <w:i/>
          <w:iCs/>
          <w:sz w:val="24"/>
          <w:szCs w:val="24"/>
        </w:rPr>
        <w:t>Electronics</w:t>
      </w:r>
      <w:r w:rsidRPr="00510A59">
        <w:rPr>
          <w:rFonts w:ascii="Times New Roman" w:hAnsi="Times New Roman" w:cs="Times New Roman"/>
          <w:bCs/>
          <w:sz w:val="24"/>
          <w:szCs w:val="24"/>
        </w:rPr>
        <w:t>, 13(21), 4151. </w:t>
      </w:r>
      <w:hyperlink r:id="rId17" w:tgtFrame="_blank" w:history="1">
        <w:r w:rsidRPr="00510A59">
          <w:rPr>
            <w:rStyle w:val="Hyperlink"/>
            <w:rFonts w:ascii="Times New Roman" w:hAnsi="Times New Roman" w:cs="Times New Roman"/>
            <w:bCs/>
            <w:sz w:val="24"/>
            <w:szCs w:val="24"/>
          </w:rPr>
          <w:t>https://doi.org/10.3390/electronics13214151</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Folarin, O. E., &amp; </w:t>
      </w:r>
      <w:proofErr w:type="spellStart"/>
      <w:r w:rsidRPr="00510A59">
        <w:rPr>
          <w:rFonts w:ascii="Times New Roman" w:hAnsi="Times New Roman" w:cs="Times New Roman"/>
          <w:bCs/>
          <w:sz w:val="24"/>
          <w:szCs w:val="24"/>
        </w:rPr>
        <w:t>Adeniyi</w:t>
      </w:r>
      <w:proofErr w:type="spellEnd"/>
      <w:r w:rsidRPr="00510A59">
        <w:rPr>
          <w:rFonts w:ascii="Times New Roman" w:hAnsi="Times New Roman" w:cs="Times New Roman"/>
          <w:bCs/>
          <w:sz w:val="24"/>
          <w:szCs w:val="24"/>
        </w:rPr>
        <w:t>, O. O. (2020). Does tourism reduce poverty in Sub-Saharan African countries? </w:t>
      </w:r>
      <w:r w:rsidRPr="00510A59">
        <w:rPr>
          <w:rFonts w:ascii="Times New Roman" w:hAnsi="Times New Roman" w:cs="Times New Roman"/>
          <w:bCs/>
          <w:i/>
          <w:iCs/>
          <w:sz w:val="24"/>
          <w:szCs w:val="24"/>
        </w:rPr>
        <w:t>Journal of Travel Research</w:t>
      </w:r>
      <w:r w:rsidRPr="00510A59">
        <w:rPr>
          <w:rFonts w:ascii="Times New Roman" w:hAnsi="Times New Roman" w:cs="Times New Roman"/>
          <w:bCs/>
          <w:sz w:val="24"/>
          <w:szCs w:val="24"/>
        </w:rPr>
        <w:t>, 59(1), 140–155. </w:t>
      </w:r>
      <w:hyperlink r:id="rId18" w:tgtFrame="_blank" w:history="1">
        <w:r w:rsidRPr="00510A59">
          <w:rPr>
            <w:rStyle w:val="Hyperlink"/>
            <w:rFonts w:ascii="Times New Roman" w:hAnsi="Times New Roman" w:cs="Times New Roman"/>
            <w:bCs/>
            <w:sz w:val="24"/>
            <w:szCs w:val="24"/>
          </w:rPr>
          <w:t>https://doi.org/10.1177/0047287518821736</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Forje</w:t>
      </w:r>
      <w:proofErr w:type="spellEnd"/>
      <w:r w:rsidRPr="00510A59">
        <w:rPr>
          <w:rFonts w:ascii="Times New Roman" w:hAnsi="Times New Roman" w:cs="Times New Roman"/>
          <w:bCs/>
          <w:sz w:val="24"/>
          <w:szCs w:val="24"/>
        </w:rPr>
        <w:t xml:space="preserve">, G. W., </w:t>
      </w:r>
      <w:proofErr w:type="spellStart"/>
      <w:r w:rsidRPr="00510A59">
        <w:rPr>
          <w:rFonts w:ascii="Times New Roman" w:hAnsi="Times New Roman" w:cs="Times New Roman"/>
          <w:bCs/>
          <w:sz w:val="24"/>
          <w:szCs w:val="24"/>
        </w:rPr>
        <w:t>Awazi</w:t>
      </w:r>
      <w:proofErr w:type="spellEnd"/>
      <w:r w:rsidRPr="00510A59">
        <w:rPr>
          <w:rFonts w:ascii="Times New Roman" w:hAnsi="Times New Roman" w:cs="Times New Roman"/>
          <w:bCs/>
          <w:sz w:val="24"/>
          <w:szCs w:val="24"/>
        </w:rPr>
        <w:t xml:space="preserve">, N. P., &amp; </w:t>
      </w:r>
      <w:proofErr w:type="spellStart"/>
      <w:r w:rsidRPr="00510A59">
        <w:rPr>
          <w:rFonts w:ascii="Times New Roman" w:hAnsi="Times New Roman" w:cs="Times New Roman"/>
          <w:bCs/>
          <w:sz w:val="24"/>
          <w:szCs w:val="24"/>
        </w:rPr>
        <w:t>Kimengsi</w:t>
      </w:r>
      <w:proofErr w:type="spellEnd"/>
      <w:r w:rsidRPr="00510A59">
        <w:rPr>
          <w:rFonts w:ascii="Times New Roman" w:hAnsi="Times New Roman" w:cs="Times New Roman"/>
          <w:bCs/>
          <w:sz w:val="24"/>
          <w:szCs w:val="24"/>
        </w:rPr>
        <w:t>, J. N. (2022). Ecotourism governance in sub-Saharan Africa: A systematic review. </w:t>
      </w:r>
      <w:r w:rsidRPr="00510A59">
        <w:rPr>
          <w:rFonts w:ascii="Times New Roman" w:hAnsi="Times New Roman" w:cs="Times New Roman"/>
          <w:bCs/>
          <w:i/>
          <w:iCs/>
          <w:sz w:val="24"/>
          <w:szCs w:val="24"/>
        </w:rPr>
        <w:t>Environmental Research Communications</w:t>
      </w:r>
      <w:r w:rsidRPr="00510A59">
        <w:rPr>
          <w:rFonts w:ascii="Times New Roman" w:hAnsi="Times New Roman" w:cs="Times New Roman"/>
          <w:bCs/>
          <w:sz w:val="24"/>
          <w:szCs w:val="24"/>
        </w:rPr>
        <w:t>, 4(3), 032001. </w:t>
      </w:r>
      <w:hyperlink r:id="rId19" w:tgtFrame="_blank" w:history="1">
        <w:r w:rsidRPr="00510A59">
          <w:rPr>
            <w:rStyle w:val="Hyperlink"/>
            <w:rFonts w:ascii="Times New Roman" w:hAnsi="Times New Roman" w:cs="Times New Roman"/>
            <w:bCs/>
            <w:sz w:val="24"/>
            <w:szCs w:val="24"/>
          </w:rPr>
          <w:t>https://doi.org/10.1088/2515-7620/ac5f1c</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GIIN. (2024). Annual impact investor survey 2024: Patient capital in Sub-Saharan Africa. Global Impact Investing Network.</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lastRenderedPageBreak/>
        <w:t xml:space="preserve">Hong, Q. N., </w:t>
      </w:r>
      <w:proofErr w:type="spellStart"/>
      <w:r w:rsidRPr="00510A59">
        <w:rPr>
          <w:rFonts w:ascii="Times New Roman" w:hAnsi="Times New Roman" w:cs="Times New Roman"/>
          <w:bCs/>
          <w:sz w:val="24"/>
          <w:szCs w:val="24"/>
        </w:rPr>
        <w:t>Fàbregues</w:t>
      </w:r>
      <w:proofErr w:type="spellEnd"/>
      <w:r w:rsidRPr="00510A59">
        <w:rPr>
          <w:rFonts w:ascii="Times New Roman" w:hAnsi="Times New Roman" w:cs="Times New Roman"/>
          <w:bCs/>
          <w:sz w:val="24"/>
          <w:szCs w:val="24"/>
        </w:rPr>
        <w:t xml:space="preserve">, S., Bartlett, G., Boardman, F., Cargo, M., </w:t>
      </w:r>
      <w:proofErr w:type="spellStart"/>
      <w:r w:rsidRPr="00510A59">
        <w:rPr>
          <w:rFonts w:ascii="Times New Roman" w:hAnsi="Times New Roman" w:cs="Times New Roman"/>
          <w:bCs/>
          <w:sz w:val="24"/>
          <w:szCs w:val="24"/>
        </w:rPr>
        <w:t>Dagenais</w:t>
      </w:r>
      <w:proofErr w:type="spellEnd"/>
      <w:r w:rsidRPr="00510A59">
        <w:rPr>
          <w:rFonts w:ascii="Times New Roman" w:hAnsi="Times New Roman" w:cs="Times New Roman"/>
          <w:bCs/>
          <w:sz w:val="24"/>
          <w:szCs w:val="24"/>
        </w:rPr>
        <w:t xml:space="preserve">, P., Gagnon, M., Griffiths, F., </w:t>
      </w:r>
      <w:proofErr w:type="spellStart"/>
      <w:r w:rsidRPr="00510A59">
        <w:rPr>
          <w:rFonts w:ascii="Times New Roman" w:hAnsi="Times New Roman" w:cs="Times New Roman"/>
          <w:bCs/>
          <w:sz w:val="24"/>
          <w:szCs w:val="24"/>
        </w:rPr>
        <w:t>Nicolau</w:t>
      </w:r>
      <w:proofErr w:type="spellEnd"/>
      <w:r w:rsidRPr="00510A59">
        <w:rPr>
          <w:rFonts w:ascii="Times New Roman" w:hAnsi="Times New Roman" w:cs="Times New Roman"/>
          <w:bCs/>
          <w:sz w:val="24"/>
          <w:szCs w:val="24"/>
        </w:rPr>
        <w:t xml:space="preserve">, B., </w:t>
      </w:r>
      <w:proofErr w:type="spellStart"/>
      <w:r w:rsidRPr="00510A59">
        <w:rPr>
          <w:rFonts w:ascii="Times New Roman" w:hAnsi="Times New Roman" w:cs="Times New Roman"/>
          <w:bCs/>
          <w:sz w:val="24"/>
          <w:szCs w:val="24"/>
        </w:rPr>
        <w:t>O’Cathain</w:t>
      </w:r>
      <w:proofErr w:type="spellEnd"/>
      <w:r w:rsidRPr="00510A59">
        <w:rPr>
          <w:rFonts w:ascii="Times New Roman" w:hAnsi="Times New Roman" w:cs="Times New Roman"/>
          <w:bCs/>
          <w:sz w:val="24"/>
          <w:szCs w:val="24"/>
        </w:rPr>
        <w:t xml:space="preserve">, A., Rousseau, M., </w:t>
      </w:r>
      <w:proofErr w:type="spellStart"/>
      <w:r w:rsidRPr="00510A59">
        <w:rPr>
          <w:rFonts w:ascii="Times New Roman" w:hAnsi="Times New Roman" w:cs="Times New Roman"/>
          <w:bCs/>
          <w:sz w:val="24"/>
          <w:szCs w:val="24"/>
        </w:rPr>
        <w:t>Vedel</w:t>
      </w:r>
      <w:proofErr w:type="spellEnd"/>
      <w:r w:rsidRPr="00510A59">
        <w:rPr>
          <w:rFonts w:ascii="Times New Roman" w:hAnsi="Times New Roman" w:cs="Times New Roman"/>
          <w:bCs/>
          <w:sz w:val="24"/>
          <w:szCs w:val="24"/>
        </w:rPr>
        <w:t xml:space="preserve">, I., &amp; </w:t>
      </w:r>
      <w:proofErr w:type="spellStart"/>
      <w:r w:rsidRPr="00510A59">
        <w:rPr>
          <w:rFonts w:ascii="Times New Roman" w:hAnsi="Times New Roman" w:cs="Times New Roman"/>
          <w:bCs/>
          <w:sz w:val="24"/>
          <w:szCs w:val="24"/>
        </w:rPr>
        <w:t>Pluye</w:t>
      </w:r>
      <w:proofErr w:type="spellEnd"/>
      <w:r w:rsidRPr="00510A59">
        <w:rPr>
          <w:rFonts w:ascii="Times New Roman" w:hAnsi="Times New Roman" w:cs="Times New Roman"/>
          <w:bCs/>
          <w:sz w:val="24"/>
          <w:szCs w:val="24"/>
        </w:rPr>
        <w:t>, P. (2018). The Mixed Methods Appraisal Tool (MMAT) version 2018 for information professionals and researchers. </w:t>
      </w:r>
      <w:r w:rsidRPr="00510A59">
        <w:rPr>
          <w:rFonts w:ascii="Times New Roman" w:hAnsi="Times New Roman" w:cs="Times New Roman"/>
          <w:bCs/>
          <w:i/>
          <w:iCs/>
          <w:sz w:val="24"/>
          <w:szCs w:val="24"/>
        </w:rPr>
        <w:t>Education for Information</w:t>
      </w:r>
      <w:r w:rsidRPr="00510A59">
        <w:rPr>
          <w:rFonts w:ascii="Times New Roman" w:hAnsi="Times New Roman" w:cs="Times New Roman"/>
          <w:bCs/>
          <w:sz w:val="24"/>
          <w:szCs w:val="24"/>
        </w:rPr>
        <w:t>, 34(4), 285–291. </w:t>
      </w:r>
      <w:hyperlink r:id="rId20" w:tgtFrame="_blank" w:history="1">
        <w:r w:rsidRPr="00510A59">
          <w:rPr>
            <w:rStyle w:val="Hyperlink"/>
            <w:rFonts w:ascii="Times New Roman" w:hAnsi="Times New Roman" w:cs="Times New Roman"/>
            <w:bCs/>
            <w:sz w:val="24"/>
            <w:szCs w:val="24"/>
          </w:rPr>
          <w:t>https://doi.org/10.3233/EFI-180221</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Hong, Q. N., </w:t>
      </w:r>
      <w:proofErr w:type="spellStart"/>
      <w:r w:rsidRPr="00510A59">
        <w:rPr>
          <w:rFonts w:ascii="Times New Roman" w:hAnsi="Times New Roman" w:cs="Times New Roman"/>
          <w:bCs/>
          <w:sz w:val="24"/>
          <w:szCs w:val="24"/>
        </w:rPr>
        <w:t>Pluye</w:t>
      </w:r>
      <w:proofErr w:type="spellEnd"/>
      <w:r w:rsidRPr="00510A59">
        <w:rPr>
          <w:rFonts w:ascii="Times New Roman" w:hAnsi="Times New Roman" w:cs="Times New Roman"/>
          <w:bCs/>
          <w:sz w:val="24"/>
          <w:szCs w:val="24"/>
        </w:rPr>
        <w:t xml:space="preserve">, P., </w:t>
      </w:r>
      <w:proofErr w:type="spellStart"/>
      <w:r w:rsidRPr="00510A59">
        <w:rPr>
          <w:rFonts w:ascii="Times New Roman" w:hAnsi="Times New Roman" w:cs="Times New Roman"/>
          <w:bCs/>
          <w:sz w:val="24"/>
          <w:szCs w:val="24"/>
        </w:rPr>
        <w:t>Bujold</w:t>
      </w:r>
      <w:proofErr w:type="spellEnd"/>
      <w:r w:rsidRPr="00510A59">
        <w:rPr>
          <w:rFonts w:ascii="Times New Roman" w:hAnsi="Times New Roman" w:cs="Times New Roman"/>
          <w:bCs/>
          <w:sz w:val="24"/>
          <w:szCs w:val="24"/>
        </w:rPr>
        <w:t>, M., &amp; Wassef, M. (2017). Convergent and sequential synthesis designs: Implications for conducting and reporting systematic reviews of qualitative and quantitative evidence. </w:t>
      </w:r>
      <w:r w:rsidRPr="00510A59">
        <w:rPr>
          <w:rFonts w:ascii="Times New Roman" w:hAnsi="Times New Roman" w:cs="Times New Roman"/>
          <w:bCs/>
          <w:i/>
          <w:iCs/>
          <w:sz w:val="24"/>
          <w:szCs w:val="24"/>
        </w:rPr>
        <w:t>Systematic Reviews</w:t>
      </w:r>
      <w:r w:rsidRPr="00510A59">
        <w:rPr>
          <w:rFonts w:ascii="Times New Roman" w:hAnsi="Times New Roman" w:cs="Times New Roman"/>
          <w:bCs/>
          <w:sz w:val="24"/>
          <w:szCs w:val="24"/>
        </w:rPr>
        <w:t>, 6(1), 61. </w:t>
      </w:r>
      <w:hyperlink r:id="rId21" w:tgtFrame="_blank" w:history="1">
        <w:r w:rsidRPr="00510A59">
          <w:rPr>
            <w:rStyle w:val="Hyperlink"/>
            <w:rFonts w:ascii="Times New Roman" w:hAnsi="Times New Roman" w:cs="Times New Roman"/>
            <w:bCs/>
            <w:sz w:val="24"/>
            <w:szCs w:val="24"/>
          </w:rPr>
          <w:t>https://doi.org/10.1186/s13643-017-0454-2</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Hong, Q. N., </w:t>
      </w:r>
      <w:proofErr w:type="spellStart"/>
      <w:r w:rsidRPr="00510A59">
        <w:rPr>
          <w:rFonts w:ascii="Times New Roman" w:hAnsi="Times New Roman" w:cs="Times New Roman"/>
          <w:bCs/>
          <w:sz w:val="24"/>
          <w:szCs w:val="24"/>
        </w:rPr>
        <w:t>Pluye</w:t>
      </w:r>
      <w:proofErr w:type="spellEnd"/>
      <w:r w:rsidRPr="00510A59">
        <w:rPr>
          <w:rFonts w:ascii="Times New Roman" w:hAnsi="Times New Roman" w:cs="Times New Roman"/>
          <w:bCs/>
          <w:sz w:val="24"/>
          <w:szCs w:val="24"/>
        </w:rPr>
        <w:t xml:space="preserve">, P., </w:t>
      </w:r>
      <w:proofErr w:type="spellStart"/>
      <w:r w:rsidRPr="00510A59">
        <w:rPr>
          <w:rFonts w:ascii="Times New Roman" w:hAnsi="Times New Roman" w:cs="Times New Roman"/>
          <w:bCs/>
          <w:sz w:val="24"/>
          <w:szCs w:val="24"/>
        </w:rPr>
        <w:t>Fàbregues</w:t>
      </w:r>
      <w:proofErr w:type="spellEnd"/>
      <w:r w:rsidRPr="00510A59">
        <w:rPr>
          <w:rFonts w:ascii="Times New Roman" w:hAnsi="Times New Roman" w:cs="Times New Roman"/>
          <w:bCs/>
          <w:sz w:val="24"/>
          <w:szCs w:val="24"/>
        </w:rPr>
        <w:t xml:space="preserve">, S., Bartlett, G., Boardman, F., Cargo, M., </w:t>
      </w:r>
      <w:proofErr w:type="spellStart"/>
      <w:r w:rsidRPr="00510A59">
        <w:rPr>
          <w:rFonts w:ascii="Times New Roman" w:hAnsi="Times New Roman" w:cs="Times New Roman"/>
          <w:bCs/>
          <w:sz w:val="24"/>
          <w:szCs w:val="24"/>
        </w:rPr>
        <w:t>Dagenais</w:t>
      </w:r>
      <w:proofErr w:type="spellEnd"/>
      <w:r w:rsidRPr="00510A59">
        <w:rPr>
          <w:rFonts w:ascii="Times New Roman" w:hAnsi="Times New Roman" w:cs="Times New Roman"/>
          <w:bCs/>
          <w:sz w:val="24"/>
          <w:szCs w:val="24"/>
        </w:rPr>
        <w:t xml:space="preserve">, P., Gagnon, M., Griffiths, F., </w:t>
      </w:r>
      <w:proofErr w:type="spellStart"/>
      <w:r w:rsidRPr="00510A59">
        <w:rPr>
          <w:rFonts w:ascii="Times New Roman" w:hAnsi="Times New Roman" w:cs="Times New Roman"/>
          <w:bCs/>
          <w:sz w:val="24"/>
          <w:szCs w:val="24"/>
        </w:rPr>
        <w:t>Nicolau</w:t>
      </w:r>
      <w:proofErr w:type="spellEnd"/>
      <w:r w:rsidRPr="00510A59">
        <w:rPr>
          <w:rFonts w:ascii="Times New Roman" w:hAnsi="Times New Roman" w:cs="Times New Roman"/>
          <w:bCs/>
          <w:sz w:val="24"/>
          <w:szCs w:val="24"/>
        </w:rPr>
        <w:t xml:space="preserve">, B., </w:t>
      </w:r>
      <w:proofErr w:type="spellStart"/>
      <w:r w:rsidRPr="00510A59">
        <w:rPr>
          <w:rFonts w:ascii="Times New Roman" w:hAnsi="Times New Roman" w:cs="Times New Roman"/>
          <w:bCs/>
          <w:sz w:val="24"/>
          <w:szCs w:val="24"/>
        </w:rPr>
        <w:t>O’Cathain</w:t>
      </w:r>
      <w:proofErr w:type="spellEnd"/>
      <w:r w:rsidRPr="00510A59">
        <w:rPr>
          <w:rFonts w:ascii="Times New Roman" w:hAnsi="Times New Roman" w:cs="Times New Roman"/>
          <w:bCs/>
          <w:sz w:val="24"/>
          <w:szCs w:val="24"/>
        </w:rPr>
        <w:t xml:space="preserve">, A., Rousseau, M., &amp; </w:t>
      </w:r>
      <w:proofErr w:type="spellStart"/>
      <w:r w:rsidRPr="00510A59">
        <w:rPr>
          <w:rFonts w:ascii="Times New Roman" w:hAnsi="Times New Roman" w:cs="Times New Roman"/>
          <w:bCs/>
          <w:sz w:val="24"/>
          <w:szCs w:val="24"/>
        </w:rPr>
        <w:t>Vedel</w:t>
      </w:r>
      <w:proofErr w:type="spellEnd"/>
      <w:r w:rsidRPr="00510A59">
        <w:rPr>
          <w:rFonts w:ascii="Times New Roman" w:hAnsi="Times New Roman" w:cs="Times New Roman"/>
          <w:bCs/>
          <w:sz w:val="24"/>
          <w:szCs w:val="24"/>
        </w:rPr>
        <w:t>, I. (2019). Improving the content validity of the mixed methods appraisal tool: A modified e-Delphi study. </w:t>
      </w:r>
      <w:r w:rsidRPr="00510A59">
        <w:rPr>
          <w:rFonts w:ascii="Times New Roman" w:hAnsi="Times New Roman" w:cs="Times New Roman"/>
          <w:bCs/>
          <w:i/>
          <w:iCs/>
          <w:sz w:val="24"/>
          <w:szCs w:val="24"/>
        </w:rPr>
        <w:t>Journal of Clinical Epidemiology</w:t>
      </w:r>
      <w:r w:rsidRPr="00510A59">
        <w:rPr>
          <w:rFonts w:ascii="Times New Roman" w:hAnsi="Times New Roman" w:cs="Times New Roman"/>
          <w:bCs/>
          <w:sz w:val="24"/>
          <w:szCs w:val="24"/>
        </w:rPr>
        <w:t>, 111, 49–</w:t>
      </w:r>
      <w:proofErr w:type="gramStart"/>
      <w:r w:rsidRPr="00510A59">
        <w:rPr>
          <w:rFonts w:ascii="Times New Roman" w:hAnsi="Times New Roman" w:cs="Times New Roman"/>
          <w:bCs/>
          <w:sz w:val="24"/>
          <w:szCs w:val="24"/>
        </w:rPr>
        <w:t>59.e</w:t>
      </w:r>
      <w:proofErr w:type="gramEnd"/>
      <w:r w:rsidRPr="00510A59">
        <w:rPr>
          <w:rFonts w:ascii="Times New Roman" w:hAnsi="Times New Roman" w:cs="Times New Roman"/>
          <w:bCs/>
          <w:sz w:val="24"/>
          <w:szCs w:val="24"/>
        </w:rPr>
        <w:t>1. </w:t>
      </w:r>
      <w:hyperlink r:id="rId22" w:tgtFrame="_blank" w:history="1">
        <w:r w:rsidRPr="00510A59">
          <w:rPr>
            <w:rStyle w:val="Hyperlink"/>
            <w:rFonts w:ascii="Times New Roman" w:hAnsi="Times New Roman" w:cs="Times New Roman"/>
            <w:bCs/>
            <w:sz w:val="24"/>
            <w:szCs w:val="24"/>
          </w:rPr>
          <w:t>https://doi.org/10.1016/j.jclinepi.2019.03.008</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ITU. (2024). </w:t>
      </w:r>
      <w:r w:rsidRPr="00510A59">
        <w:rPr>
          <w:rFonts w:ascii="Times New Roman" w:hAnsi="Times New Roman" w:cs="Times New Roman"/>
          <w:bCs/>
          <w:i/>
          <w:iCs/>
          <w:sz w:val="24"/>
          <w:szCs w:val="24"/>
        </w:rPr>
        <w:t>Measuring digital development: ICT development index 2024</w:t>
      </w:r>
      <w:r w:rsidRPr="00510A59">
        <w:rPr>
          <w:rFonts w:ascii="Times New Roman" w:hAnsi="Times New Roman" w:cs="Times New Roman"/>
          <w:bCs/>
          <w:sz w:val="24"/>
          <w:szCs w:val="24"/>
        </w:rPr>
        <w:t>. International Telecommunication Union.</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JLL. (2024). </w:t>
      </w:r>
      <w:r w:rsidRPr="00510A59">
        <w:rPr>
          <w:rFonts w:ascii="Times New Roman" w:hAnsi="Times New Roman" w:cs="Times New Roman"/>
          <w:bCs/>
          <w:i/>
          <w:iCs/>
          <w:sz w:val="24"/>
          <w:szCs w:val="24"/>
        </w:rPr>
        <w:t>Africa hotel investor survey 2024: Market sentiment and performance benchmarks</w:t>
      </w:r>
      <w:r w:rsidRPr="00510A59">
        <w:rPr>
          <w:rFonts w:ascii="Times New Roman" w:hAnsi="Times New Roman" w:cs="Times New Roman"/>
          <w:bCs/>
          <w:sz w:val="24"/>
          <w:szCs w:val="24"/>
        </w:rPr>
        <w:t>. Jones Lang LaSalle.</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Kimbu</w:t>
      </w:r>
      <w:proofErr w:type="spellEnd"/>
      <w:r w:rsidRPr="00510A59">
        <w:rPr>
          <w:rFonts w:ascii="Times New Roman" w:hAnsi="Times New Roman" w:cs="Times New Roman"/>
          <w:bCs/>
          <w:sz w:val="24"/>
          <w:szCs w:val="24"/>
        </w:rPr>
        <w:t xml:space="preserve">, A. N., &amp; </w:t>
      </w:r>
      <w:proofErr w:type="spellStart"/>
      <w:r w:rsidRPr="00510A59">
        <w:rPr>
          <w:rFonts w:ascii="Times New Roman" w:hAnsi="Times New Roman" w:cs="Times New Roman"/>
          <w:bCs/>
          <w:sz w:val="24"/>
          <w:szCs w:val="24"/>
        </w:rPr>
        <w:t>Tichaawa</w:t>
      </w:r>
      <w:proofErr w:type="spellEnd"/>
      <w:r w:rsidRPr="00510A59">
        <w:rPr>
          <w:rFonts w:ascii="Times New Roman" w:hAnsi="Times New Roman" w:cs="Times New Roman"/>
          <w:bCs/>
          <w:sz w:val="24"/>
          <w:szCs w:val="24"/>
        </w:rPr>
        <w:t>, T. M. (2020). Determinants of impact investing for tourism development in emerging destinations of sub-Saharan Africa. </w:t>
      </w:r>
      <w:r w:rsidRPr="00510A59">
        <w:rPr>
          <w:rFonts w:ascii="Times New Roman" w:hAnsi="Times New Roman" w:cs="Times New Roman"/>
          <w:bCs/>
          <w:i/>
          <w:iCs/>
          <w:sz w:val="24"/>
          <w:szCs w:val="24"/>
        </w:rPr>
        <w:t>Development Southern Africa</w:t>
      </w:r>
      <w:r w:rsidRPr="00510A59">
        <w:rPr>
          <w:rFonts w:ascii="Times New Roman" w:hAnsi="Times New Roman" w:cs="Times New Roman"/>
          <w:bCs/>
          <w:sz w:val="24"/>
          <w:szCs w:val="24"/>
        </w:rPr>
        <w:t>, 37(5), 742–757. </w:t>
      </w:r>
      <w:hyperlink r:id="rId23" w:tgtFrame="_blank" w:history="1">
        <w:r w:rsidRPr="00510A59">
          <w:rPr>
            <w:rStyle w:val="Hyperlink"/>
            <w:rFonts w:ascii="Times New Roman" w:hAnsi="Times New Roman" w:cs="Times New Roman"/>
            <w:bCs/>
            <w:sz w:val="24"/>
            <w:szCs w:val="24"/>
          </w:rPr>
          <w:t>https://doi.org/10.1080/0376835X.2020.1724530</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Landis, J. R., &amp; Koch, G. G. (1977). The measurement of observer agreement for categorical data. </w:t>
      </w:r>
      <w:r w:rsidRPr="00510A59">
        <w:rPr>
          <w:rFonts w:ascii="Times New Roman" w:hAnsi="Times New Roman" w:cs="Times New Roman"/>
          <w:bCs/>
          <w:i/>
          <w:iCs/>
          <w:sz w:val="24"/>
          <w:szCs w:val="24"/>
        </w:rPr>
        <w:t>Biometrics</w:t>
      </w:r>
      <w:r w:rsidRPr="00510A59">
        <w:rPr>
          <w:rFonts w:ascii="Times New Roman" w:hAnsi="Times New Roman" w:cs="Times New Roman"/>
          <w:bCs/>
          <w:sz w:val="24"/>
          <w:szCs w:val="24"/>
        </w:rPr>
        <w:t>, 33(1), 159–174. </w:t>
      </w:r>
      <w:hyperlink r:id="rId24" w:tgtFrame="_blank" w:history="1">
        <w:r w:rsidRPr="00510A59">
          <w:rPr>
            <w:rStyle w:val="Hyperlink"/>
            <w:rFonts w:ascii="Times New Roman" w:hAnsi="Times New Roman" w:cs="Times New Roman"/>
            <w:bCs/>
            <w:sz w:val="24"/>
            <w:szCs w:val="24"/>
          </w:rPr>
          <w:t>https://doi.org/10.2307/2529310</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Lemunge</w:t>
      </w:r>
      <w:proofErr w:type="spellEnd"/>
      <w:r w:rsidRPr="00510A59">
        <w:rPr>
          <w:rFonts w:ascii="Times New Roman" w:hAnsi="Times New Roman" w:cs="Times New Roman"/>
          <w:bCs/>
          <w:sz w:val="24"/>
          <w:szCs w:val="24"/>
        </w:rPr>
        <w:t xml:space="preserve">, H. A., </w:t>
      </w:r>
      <w:proofErr w:type="spellStart"/>
      <w:r w:rsidRPr="00510A59">
        <w:rPr>
          <w:rFonts w:ascii="Times New Roman" w:hAnsi="Times New Roman" w:cs="Times New Roman"/>
          <w:bCs/>
          <w:sz w:val="24"/>
          <w:szCs w:val="24"/>
        </w:rPr>
        <w:t>Kiwango</w:t>
      </w:r>
      <w:proofErr w:type="spellEnd"/>
      <w:r w:rsidRPr="00510A59">
        <w:rPr>
          <w:rFonts w:ascii="Times New Roman" w:hAnsi="Times New Roman" w:cs="Times New Roman"/>
          <w:bCs/>
          <w:sz w:val="24"/>
          <w:szCs w:val="24"/>
        </w:rPr>
        <w:t xml:space="preserve">, W. A., &amp; </w:t>
      </w:r>
      <w:proofErr w:type="spellStart"/>
      <w:r w:rsidRPr="00510A59">
        <w:rPr>
          <w:rFonts w:ascii="Times New Roman" w:hAnsi="Times New Roman" w:cs="Times New Roman"/>
          <w:bCs/>
          <w:sz w:val="24"/>
          <w:szCs w:val="24"/>
        </w:rPr>
        <w:t>Mwanyoka</w:t>
      </w:r>
      <w:proofErr w:type="spellEnd"/>
      <w:r w:rsidRPr="00510A59">
        <w:rPr>
          <w:rFonts w:ascii="Times New Roman" w:hAnsi="Times New Roman" w:cs="Times New Roman"/>
          <w:bCs/>
          <w:sz w:val="24"/>
          <w:szCs w:val="24"/>
        </w:rPr>
        <w:t>, I. B. (2025). Community-based tourism in Africa: A systematic review of the status and emerging opportunities. </w:t>
      </w:r>
      <w:r w:rsidRPr="00510A59">
        <w:rPr>
          <w:rFonts w:ascii="Times New Roman" w:hAnsi="Times New Roman" w:cs="Times New Roman"/>
          <w:bCs/>
          <w:i/>
          <w:iCs/>
          <w:sz w:val="24"/>
          <w:szCs w:val="24"/>
        </w:rPr>
        <w:t>Cogent Social Sciences</w:t>
      </w:r>
      <w:r w:rsidRPr="00510A59">
        <w:rPr>
          <w:rFonts w:ascii="Times New Roman" w:hAnsi="Times New Roman" w:cs="Times New Roman"/>
          <w:bCs/>
          <w:sz w:val="24"/>
          <w:szCs w:val="24"/>
        </w:rPr>
        <w:t>, 11(1), 2461741. </w:t>
      </w:r>
      <w:hyperlink r:id="rId25" w:tgtFrame="_blank" w:history="1">
        <w:r w:rsidRPr="00510A59">
          <w:rPr>
            <w:rStyle w:val="Hyperlink"/>
            <w:rFonts w:ascii="Times New Roman" w:hAnsi="Times New Roman" w:cs="Times New Roman"/>
            <w:bCs/>
            <w:sz w:val="24"/>
            <w:szCs w:val="24"/>
          </w:rPr>
          <w:t>https://doi.org/10.1080/23311886.2025.2461741</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Lizarondo</w:t>
      </w:r>
      <w:proofErr w:type="spellEnd"/>
      <w:r w:rsidRPr="00510A59">
        <w:rPr>
          <w:rFonts w:ascii="Times New Roman" w:hAnsi="Times New Roman" w:cs="Times New Roman"/>
          <w:bCs/>
          <w:sz w:val="24"/>
          <w:szCs w:val="24"/>
        </w:rPr>
        <w:t xml:space="preserve">, L., Stern, C., Salmond, S., Carrier, J., Cooper, K., Godfrey, C., </w:t>
      </w:r>
      <w:proofErr w:type="spellStart"/>
      <w:r w:rsidRPr="00510A59">
        <w:rPr>
          <w:rFonts w:ascii="Times New Roman" w:hAnsi="Times New Roman" w:cs="Times New Roman"/>
          <w:bCs/>
          <w:sz w:val="24"/>
          <w:szCs w:val="24"/>
        </w:rPr>
        <w:t>Vandyk</w:t>
      </w:r>
      <w:proofErr w:type="spellEnd"/>
      <w:r w:rsidRPr="00510A59">
        <w:rPr>
          <w:rFonts w:ascii="Times New Roman" w:hAnsi="Times New Roman" w:cs="Times New Roman"/>
          <w:bCs/>
          <w:sz w:val="24"/>
          <w:szCs w:val="24"/>
        </w:rPr>
        <w:t xml:space="preserve">, M., Pollock, D., </w:t>
      </w:r>
      <w:proofErr w:type="spellStart"/>
      <w:r w:rsidRPr="00510A59">
        <w:rPr>
          <w:rFonts w:ascii="Times New Roman" w:hAnsi="Times New Roman" w:cs="Times New Roman"/>
          <w:bCs/>
          <w:sz w:val="24"/>
          <w:szCs w:val="24"/>
        </w:rPr>
        <w:t>Rieger</w:t>
      </w:r>
      <w:proofErr w:type="spellEnd"/>
      <w:r w:rsidRPr="00510A59">
        <w:rPr>
          <w:rFonts w:ascii="Times New Roman" w:hAnsi="Times New Roman" w:cs="Times New Roman"/>
          <w:bCs/>
          <w:sz w:val="24"/>
          <w:szCs w:val="24"/>
        </w:rPr>
        <w:t xml:space="preserve">, K., </w:t>
      </w:r>
      <w:proofErr w:type="spellStart"/>
      <w:r w:rsidRPr="00510A59">
        <w:rPr>
          <w:rFonts w:ascii="Times New Roman" w:hAnsi="Times New Roman" w:cs="Times New Roman"/>
          <w:bCs/>
          <w:sz w:val="24"/>
          <w:szCs w:val="24"/>
        </w:rPr>
        <w:t>Apóstolo</w:t>
      </w:r>
      <w:proofErr w:type="spellEnd"/>
      <w:r w:rsidRPr="00510A59">
        <w:rPr>
          <w:rFonts w:ascii="Times New Roman" w:hAnsi="Times New Roman" w:cs="Times New Roman"/>
          <w:bCs/>
          <w:sz w:val="24"/>
          <w:szCs w:val="24"/>
        </w:rPr>
        <w:t>, J., Kirkpatrick, P., Santos, K., &amp; Loveday, H. (2025). Methods for data extraction and data transformation in convergent integrated mixed methods systematic reviews. </w:t>
      </w:r>
      <w:r w:rsidRPr="00510A59">
        <w:rPr>
          <w:rFonts w:ascii="Times New Roman" w:hAnsi="Times New Roman" w:cs="Times New Roman"/>
          <w:bCs/>
          <w:i/>
          <w:iCs/>
          <w:sz w:val="24"/>
          <w:szCs w:val="24"/>
        </w:rPr>
        <w:t>JBI Evidence Synthesis</w:t>
      </w:r>
      <w:r w:rsidRPr="00510A59">
        <w:rPr>
          <w:rFonts w:ascii="Times New Roman" w:hAnsi="Times New Roman" w:cs="Times New Roman"/>
          <w:bCs/>
          <w:sz w:val="24"/>
          <w:szCs w:val="24"/>
        </w:rPr>
        <w:t>, 23(2), 429–440. </w:t>
      </w:r>
      <w:hyperlink r:id="rId26" w:tgtFrame="_blank" w:history="1">
        <w:r w:rsidRPr="00510A59">
          <w:rPr>
            <w:rStyle w:val="Hyperlink"/>
            <w:rFonts w:ascii="Times New Roman" w:hAnsi="Times New Roman" w:cs="Times New Roman"/>
            <w:bCs/>
            <w:sz w:val="24"/>
            <w:szCs w:val="24"/>
          </w:rPr>
          <w:t>https://doi.org/10.11124/JBIES-24-00331</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Makandwa</w:t>
      </w:r>
      <w:proofErr w:type="spellEnd"/>
      <w:r w:rsidRPr="00510A59">
        <w:rPr>
          <w:rFonts w:ascii="Times New Roman" w:hAnsi="Times New Roman" w:cs="Times New Roman"/>
          <w:bCs/>
          <w:sz w:val="24"/>
          <w:szCs w:val="24"/>
        </w:rPr>
        <w:t xml:space="preserve">, G., De Klerk, S., &amp; </w:t>
      </w:r>
      <w:proofErr w:type="spellStart"/>
      <w:r w:rsidRPr="00510A59">
        <w:rPr>
          <w:rFonts w:ascii="Times New Roman" w:hAnsi="Times New Roman" w:cs="Times New Roman"/>
          <w:bCs/>
          <w:sz w:val="24"/>
          <w:szCs w:val="24"/>
        </w:rPr>
        <w:t>Saayman</w:t>
      </w:r>
      <w:proofErr w:type="spellEnd"/>
      <w:r w:rsidRPr="00510A59">
        <w:rPr>
          <w:rFonts w:ascii="Times New Roman" w:hAnsi="Times New Roman" w:cs="Times New Roman"/>
          <w:bCs/>
          <w:sz w:val="24"/>
          <w:szCs w:val="24"/>
        </w:rPr>
        <w:t>, A. (2022). Culturally-based community tourism ventures in Southern Africa and rural women entrepreneurs’ skills. </w:t>
      </w:r>
      <w:r w:rsidRPr="00510A59">
        <w:rPr>
          <w:rFonts w:ascii="Times New Roman" w:hAnsi="Times New Roman" w:cs="Times New Roman"/>
          <w:bCs/>
          <w:i/>
          <w:iCs/>
          <w:sz w:val="24"/>
          <w:szCs w:val="24"/>
        </w:rPr>
        <w:t>Current Issues in Tourism</w:t>
      </w:r>
      <w:r w:rsidRPr="00510A59">
        <w:rPr>
          <w:rFonts w:ascii="Times New Roman" w:hAnsi="Times New Roman" w:cs="Times New Roman"/>
          <w:bCs/>
          <w:sz w:val="24"/>
          <w:szCs w:val="24"/>
        </w:rPr>
        <w:t>, 26(8), 1268–1281. </w:t>
      </w:r>
      <w:hyperlink r:id="rId27" w:tgtFrame="_blank" w:history="1">
        <w:r w:rsidRPr="00510A59">
          <w:rPr>
            <w:rStyle w:val="Hyperlink"/>
            <w:rFonts w:ascii="Times New Roman" w:hAnsi="Times New Roman" w:cs="Times New Roman"/>
            <w:bCs/>
            <w:sz w:val="24"/>
            <w:szCs w:val="24"/>
          </w:rPr>
          <w:t>https://doi.org/10.1080/13683500.2022.2052267</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Mendola</w:t>
      </w:r>
      <w:proofErr w:type="spellEnd"/>
      <w:r w:rsidRPr="00510A59">
        <w:rPr>
          <w:rFonts w:ascii="Times New Roman" w:hAnsi="Times New Roman" w:cs="Times New Roman"/>
          <w:bCs/>
          <w:sz w:val="24"/>
          <w:szCs w:val="24"/>
        </w:rPr>
        <w:t>, D., &amp; Volo, S. (2017). Building composite indicators in tourism studies: Measurements and applications in destination competitiveness. </w:t>
      </w:r>
      <w:r w:rsidRPr="00510A59">
        <w:rPr>
          <w:rFonts w:ascii="Times New Roman" w:hAnsi="Times New Roman" w:cs="Times New Roman"/>
          <w:bCs/>
          <w:i/>
          <w:iCs/>
          <w:sz w:val="24"/>
          <w:szCs w:val="24"/>
        </w:rPr>
        <w:t>Tourism Management</w:t>
      </w:r>
      <w:r w:rsidRPr="00510A59">
        <w:rPr>
          <w:rFonts w:ascii="Times New Roman" w:hAnsi="Times New Roman" w:cs="Times New Roman"/>
          <w:bCs/>
          <w:sz w:val="24"/>
          <w:szCs w:val="24"/>
        </w:rPr>
        <w:t>, 59, 541–553. </w:t>
      </w:r>
      <w:hyperlink r:id="rId28" w:tgtFrame="_blank" w:history="1">
        <w:r w:rsidRPr="00510A59">
          <w:rPr>
            <w:rStyle w:val="Hyperlink"/>
            <w:rFonts w:ascii="Times New Roman" w:hAnsi="Times New Roman" w:cs="Times New Roman"/>
            <w:bCs/>
            <w:sz w:val="24"/>
            <w:szCs w:val="24"/>
          </w:rPr>
          <w:t>https://doi.org/10.1016/j.tourman.2016.08.011</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Mtweve</w:t>
      </w:r>
      <w:proofErr w:type="spellEnd"/>
      <w:r w:rsidRPr="00510A59">
        <w:rPr>
          <w:rFonts w:ascii="Times New Roman" w:hAnsi="Times New Roman" w:cs="Times New Roman"/>
          <w:bCs/>
          <w:sz w:val="24"/>
          <w:szCs w:val="24"/>
        </w:rPr>
        <w:t xml:space="preserve">, P., </w:t>
      </w:r>
      <w:proofErr w:type="spellStart"/>
      <w:r w:rsidRPr="00510A59">
        <w:rPr>
          <w:rFonts w:ascii="Times New Roman" w:hAnsi="Times New Roman" w:cs="Times New Roman"/>
          <w:bCs/>
          <w:sz w:val="24"/>
          <w:szCs w:val="24"/>
        </w:rPr>
        <w:t>Moseti</w:t>
      </w:r>
      <w:proofErr w:type="spellEnd"/>
      <w:r w:rsidRPr="00510A59">
        <w:rPr>
          <w:rFonts w:ascii="Times New Roman" w:hAnsi="Times New Roman" w:cs="Times New Roman"/>
          <w:bCs/>
          <w:sz w:val="24"/>
          <w:szCs w:val="24"/>
        </w:rPr>
        <w:t xml:space="preserve">, V., Mahmood, N., </w:t>
      </w:r>
      <w:proofErr w:type="spellStart"/>
      <w:r w:rsidRPr="00510A59">
        <w:rPr>
          <w:rFonts w:ascii="Times New Roman" w:hAnsi="Times New Roman" w:cs="Times New Roman"/>
          <w:bCs/>
          <w:sz w:val="24"/>
          <w:szCs w:val="24"/>
        </w:rPr>
        <w:t>Kramm</w:t>
      </w:r>
      <w:proofErr w:type="spellEnd"/>
      <w:r w:rsidRPr="00510A59">
        <w:rPr>
          <w:rFonts w:ascii="Times New Roman" w:hAnsi="Times New Roman" w:cs="Times New Roman"/>
          <w:bCs/>
          <w:sz w:val="24"/>
          <w:szCs w:val="24"/>
        </w:rPr>
        <w:t xml:space="preserve">, T., </w:t>
      </w:r>
      <w:proofErr w:type="spellStart"/>
      <w:r w:rsidRPr="00510A59">
        <w:rPr>
          <w:rFonts w:ascii="Times New Roman" w:hAnsi="Times New Roman" w:cs="Times New Roman"/>
          <w:bCs/>
          <w:sz w:val="24"/>
          <w:szCs w:val="24"/>
        </w:rPr>
        <w:t>Bogner</w:t>
      </w:r>
      <w:proofErr w:type="spellEnd"/>
      <w:r w:rsidRPr="00510A59">
        <w:rPr>
          <w:rFonts w:ascii="Times New Roman" w:hAnsi="Times New Roman" w:cs="Times New Roman"/>
          <w:bCs/>
          <w:sz w:val="24"/>
          <w:szCs w:val="24"/>
        </w:rPr>
        <w:t xml:space="preserve">, C., </w:t>
      </w:r>
      <w:proofErr w:type="spellStart"/>
      <w:r w:rsidRPr="00510A59">
        <w:rPr>
          <w:rFonts w:ascii="Times New Roman" w:hAnsi="Times New Roman" w:cs="Times New Roman"/>
          <w:bCs/>
          <w:sz w:val="24"/>
          <w:szCs w:val="24"/>
        </w:rPr>
        <w:t>Ibisch</w:t>
      </w:r>
      <w:proofErr w:type="spellEnd"/>
      <w:r w:rsidRPr="00510A59">
        <w:rPr>
          <w:rFonts w:ascii="Times New Roman" w:hAnsi="Times New Roman" w:cs="Times New Roman"/>
          <w:bCs/>
          <w:sz w:val="24"/>
          <w:szCs w:val="24"/>
        </w:rPr>
        <w:t xml:space="preserve">, P. L., &amp; </w:t>
      </w:r>
      <w:proofErr w:type="spellStart"/>
      <w:r w:rsidRPr="00510A59">
        <w:rPr>
          <w:rFonts w:ascii="Times New Roman" w:hAnsi="Times New Roman" w:cs="Times New Roman"/>
          <w:bCs/>
          <w:sz w:val="24"/>
          <w:szCs w:val="24"/>
        </w:rPr>
        <w:t>Biber-Freudenberger</w:t>
      </w:r>
      <w:proofErr w:type="spellEnd"/>
      <w:r w:rsidRPr="00510A59">
        <w:rPr>
          <w:rFonts w:ascii="Times New Roman" w:hAnsi="Times New Roman" w:cs="Times New Roman"/>
          <w:bCs/>
          <w:sz w:val="24"/>
          <w:szCs w:val="24"/>
        </w:rPr>
        <w:t>, L. (2025). Exploring socioeconomic and environmental impacts of road infrastructure development in Sub-Saharan Africa: A systematic literature review. </w:t>
      </w:r>
      <w:r w:rsidRPr="00510A59">
        <w:rPr>
          <w:rFonts w:ascii="Times New Roman" w:hAnsi="Times New Roman" w:cs="Times New Roman"/>
          <w:bCs/>
          <w:i/>
          <w:iCs/>
          <w:sz w:val="24"/>
          <w:szCs w:val="24"/>
        </w:rPr>
        <w:t>Environmental Development</w:t>
      </w:r>
      <w:r w:rsidRPr="00510A59">
        <w:rPr>
          <w:rFonts w:ascii="Times New Roman" w:hAnsi="Times New Roman" w:cs="Times New Roman"/>
          <w:bCs/>
          <w:sz w:val="24"/>
          <w:szCs w:val="24"/>
        </w:rPr>
        <w:t>, 53, 101177. </w:t>
      </w:r>
      <w:hyperlink r:id="rId29" w:tgtFrame="_blank" w:history="1">
        <w:r w:rsidRPr="00510A59">
          <w:rPr>
            <w:rStyle w:val="Hyperlink"/>
            <w:rFonts w:ascii="Times New Roman" w:hAnsi="Times New Roman" w:cs="Times New Roman"/>
            <w:bCs/>
            <w:sz w:val="24"/>
            <w:szCs w:val="24"/>
          </w:rPr>
          <w:t>https://doi.org/10.1016/j.envdev.2025.101177</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lastRenderedPageBreak/>
        <w:t>Mungai</w:t>
      </w:r>
      <w:proofErr w:type="spellEnd"/>
      <w:r w:rsidRPr="00510A59">
        <w:rPr>
          <w:rFonts w:ascii="Times New Roman" w:hAnsi="Times New Roman" w:cs="Times New Roman"/>
          <w:bCs/>
          <w:sz w:val="24"/>
          <w:szCs w:val="24"/>
        </w:rPr>
        <w:t xml:space="preserve">, E. M., </w:t>
      </w:r>
      <w:proofErr w:type="spellStart"/>
      <w:r w:rsidRPr="00510A59">
        <w:rPr>
          <w:rFonts w:ascii="Times New Roman" w:hAnsi="Times New Roman" w:cs="Times New Roman"/>
          <w:bCs/>
          <w:sz w:val="24"/>
          <w:szCs w:val="24"/>
        </w:rPr>
        <w:t>Ndiritu</w:t>
      </w:r>
      <w:proofErr w:type="spellEnd"/>
      <w:r w:rsidRPr="00510A59">
        <w:rPr>
          <w:rFonts w:ascii="Times New Roman" w:hAnsi="Times New Roman" w:cs="Times New Roman"/>
          <w:bCs/>
          <w:sz w:val="24"/>
          <w:szCs w:val="24"/>
        </w:rPr>
        <w:t>, S. W., &amp; Da Silva, I. (2021). Unlocking climate finance potential and policy barriers—A case of renewable energy and energy efficiency in Sub-Saharan Africa. </w:t>
      </w:r>
      <w:r w:rsidRPr="00510A59">
        <w:rPr>
          <w:rFonts w:ascii="Times New Roman" w:hAnsi="Times New Roman" w:cs="Times New Roman"/>
          <w:bCs/>
          <w:i/>
          <w:iCs/>
          <w:sz w:val="24"/>
          <w:szCs w:val="24"/>
        </w:rPr>
        <w:t>Resources, Environment and Sustainability</w:t>
      </w:r>
      <w:r w:rsidRPr="00510A59">
        <w:rPr>
          <w:rFonts w:ascii="Times New Roman" w:hAnsi="Times New Roman" w:cs="Times New Roman"/>
          <w:bCs/>
          <w:sz w:val="24"/>
          <w:szCs w:val="24"/>
        </w:rPr>
        <w:t>, 4, 100043. </w:t>
      </w:r>
      <w:hyperlink r:id="rId30" w:tgtFrame="_blank" w:history="1">
        <w:r w:rsidRPr="00510A59">
          <w:rPr>
            <w:rStyle w:val="Hyperlink"/>
            <w:rFonts w:ascii="Times New Roman" w:hAnsi="Times New Roman" w:cs="Times New Roman"/>
            <w:bCs/>
            <w:sz w:val="24"/>
            <w:szCs w:val="24"/>
          </w:rPr>
          <w:t>https://doi.org/10.1016/j.resenv.2021.100043</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Mutanga</w:t>
      </w:r>
      <w:proofErr w:type="spellEnd"/>
      <w:r w:rsidRPr="00510A59">
        <w:rPr>
          <w:rFonts w:ascii="Times New Roman" w:hAnsi="Times New Roman" w:cs="Times New Roman"/>
          <w:bCs/>
          <w:sz w:val="24"/>
          <w:szCs w:val="24"/>
        </w:rPr>
        <w:t xml:space="preserve">, C. N., </w:t>
      </w:r>
      <w:proofErr w:type="spellStart"/>
      <w:r w:rsidRPr="00510A59">
        <w:rPr>
          <w:rFonts w:ascii="Times New Roman" w:hAnsi="Times New Roman" w:cs="Times New Roman"/>
          <w:bCs/>
          <w:sz w:val="24"/>
          <w:szCs w:val="24"/>
        </w:rPr>
        <w:t>Kolawole</w:t>
      </w:r>
      <w:proofErr w:type="spellEnd"/>
      <w:r w:rsidRPr="00510A59">
        <w:rPr>
          <w:rFonts w:ascii="Times New Roman" w:hAnsi="Times New Roman" w:cs="Times New Roman"/>
          <w:bCs/>
          <w:sz w:val="24"/>
          <w:szCs w:val="24"/>
        </w:rPr>
        <w:t xml:space="preserve">, O. D., </w:t>
      </w:r>
      <w:proofErr w:type="spellStart"/>
      <w:r w:rsidRPr="00510A59">
        <w:rPr>
          <w:rFonts w:ascii="Times New Roman" w:hAnsi="Times New Roman" w:cs="Times New Roman"/>
          <w:bCs/>
          <w:sz w:val="24"/>
          <w:szCs w:val="24"/>
        </w:rPr>
        <w:t>Gondo</w:t>
      </w:r>
      <w:proofErr w:type="spellEnd"/>
      <w:r w:rsidRPr="00510A59">
        <w:rPr>
          <w:rFonts w:ascii="Times New Roman" w:hAnsi="Times New Roman" w:cs="Times New Roman"/>
          <w:bCs/>
          <w:sz w:val="24"/>
          <w:szCs w:val="24"/>
        </w:rPr>
        <w:t xml:space="preserve">, R., &amp; </w:t>
      </w:r>
      <w:proofErr w:type="spellStart"/>
      <w:r w:rsidRPr="00510A59">
        <w:rPr>
          <w:rFonts w:ascii="Times New Roman" w:hAnsi="Times New Roman" w:cs="Times New Roman"/>
          <w:bCs/>
          <w:sz w:val="24"/>
          <w:szCs w:val="24"/>
        </w:rPr>
        <w:t>Mbaiwa</w:t>
      </w:r>
      <w:proofErr w:type="spellEnd"/>
      <w:r w:rsidRPr="00510A59">
        <w:rPr>
          <w:rFonts w:ascii="Times New Roman" w:hAnsi="Times New Roman" w:cs="Times New Roman"/>
          <w:bCs/>
          <w:sz w:val="24"/>
          <w:szCs w:val="24"/>
        </w:rPr>
        <w:t>, J. E. (2023). A review and SWOC analysis of natural heritage tourism in sub-Saharan Africa. </w:t>
      </w:r>
      <w:r w:rsidRPr="00510A59">
        <w:rPr>
          <w:rFonts w:ascii="Times New Roman" w:hAnsi="Times New Roman" w:cs="Times New Roman"/>
          <w:bCs/>
          <w:i/>
          <w:iCs/>
          <w:sz w:val="24"/>
          <w:szCs w:val="24"/>
        </w:rPr>
        <w:t>Journal of Heritage Tourism</w:t>
      </w:r>
      <w:r w:rsidRPr="00510A59">
        <w:rPr>
          <w:rFonts w:ascii="Times New Roman" w:hAnsi="Times New Roman" w:cs="Times New Roman"/>
          <w:bCs/>
          <w:sz w:val="24"/>
          <w:szCs w:val="24"/>
        </w:rPr>
        <w:t>, 19(1), 49–67. </w:t>
      </w:r>
      <w:hyperlink r:id="rId31" w:tgtFrame="_blank" w:history="1">
        <w:r w:rsidRPr="00510A59">
          <w:rPr>
            <w:rStyle w:val="Hyperlink"/>
            <w:rFonts w:ascii="Times New Roman" w:hAnsi="Times New Roman" w:cs="Times New Roman"/>
            <w:bCs/>
            <w:sz w:val="24"/>
            <w:szCs w:val="24"/>
          </w:rPr>
          <w:t>https://doi.org/10.1080/1743873X.2023.2255689</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Nakimu</w:t>
      </w:r>
      <w:proofErr w:type="spellEnd"/>
      <w:r w:rsidRPr="00510A59">
        <w:rPr>
          <w:rFonts w:ascii="Times New Roman" w:hAnsi="Times New Roman" w:cs="Times New Roman"/>
          <w:bCs/>
          <w:sz w:val="24"/>
          <w:szCs w:val="24"/>
        </w:rPr>
        <w:t xml:space="preserve">, R., Mayanja, J., &amp; </w:t>
      </w:r>
      <w:proofErr w:type="spellStart"/>
      <w:r w:rsidRPr="00510A59">
        <w:rPr>
          <w:rFonts w:ascii="Times New Roman" w:hAnsi="Times New Roman" w:cs="Times New Roman"/>
          <w:bCs/>
          <w:sz w:val="24"/>
          <w:szCs w:val="24"/>
        </w:rPr>
        <w:t>Nanyiti</w:t>
      </w:r>
      <w:proofErr w:type="spellEnd"/>
      <w:r w:rsidRPr="00510A59">
        <w:rPr>
          <w:rFonts w:ascii="Times New Roman" w:hAnsi="Times New Roman" w:cs="Times New Roman"/>
          <w:bCs/>
          <w:sz w:val="24"/>
          <w:szCs w:val="24"/>
        </w:rPr>
        <w:t>, A. (2025). A moderation analysis of the effect of international tourism on economic growth in Sub-Saharan Africa. </w:t>
      </w:r>
      <w:r w:rsidRPr="00510A59">
        <w:rPr>
          <w:rFonts w:ascii="Times New Roman" w:hAnsi="Times New Roman" w:cs="Times New Roman"/>
          <w:bCs/>
          <w:i/>
          <w:iCs/>
          <w:sz w:val="24"/>
          <w:szCs w:val="24"/>
        </w:rPr>
        <w:t>Cogent Economics &amp; Finance</w:t>
      </w:r>
      <w:r w:rsidRPr="00510A59">
        <w:rPr>
          <w:rFonts w:ascii="Times New Roman" w:hAnsi="Times New Roman" w:cs="Times New Roman"/>
          <w:bCs/>
          <w:sz w:val="24"/>
          <w:szCs w:val="24"/>
        </w:rPr>
        <w:t>, 13(1), 2559043. </w:t>
      </w:r>
      <w:hyperlink r:id="rId32" w:tgtFrame="_blank" w:history="1">
        <w:r w:rsidRPr="00510A59">
          <w:rPr>
            <w:rStyle w:val="Hyperlink"/>
            <w:rFonts w:ascii="Times New Roman" w:hAnsi="Times New Roman" w:cs="Times New Roman"/>
            <w:bCs/>
            <w:sz w:val="24"/>
            <w:szCs w:val="24"/>
          </w:rPr>
          <w:t>https://doi.org/10.1080/23322039.2025.2559043</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Ndlovu</w:t>
      </w:r>
      <w:proofErr w:type="spellEnd"/>
      <w:r w:rsidRPr="00510A59">
        <w:rPr>
          <w:rFonts w:ascii="Times New Roman" w:hAnsi="Times New Roman" w:cs="Times New Roman"/>
          <w:bCs/>
          <w:sz w:val="24"/>
          <w:szCs w:val="24"/>
        </w:rPr>
        <w:t xml:space="preserve">, N., </w:t>
      </w:r>
      <w:proofErr w:type="spellStart"/>
      <w:r w:rsidRPr="00510A59">
        <w:rPr>
          <w:rFonts w:ascii="Times New Roman" w:hAnsi="Times New Roman" w:cs="Times New Roman"/>
          <w:bCs/>
          <w:sz w:val="24"/>
          <w:szCs w:val="24"/>
        </w:rPr>
        <w:t>Sifolo</w:t>
      </w:r>
      <w:proofErr w:type="spellEnd"/>
      <w:r w:rsidRPr="00510A59">
        <w:rPr>
          <w:rFonts w:ascii="Times New Roman" w:hAnsi="Times New Roman" w:cs="Times New Roman"/>
          <w:bCs/>
          <w:sz w:val="24"/>
          <w:szCs w:val="24"/>
        </w:rPr>
        <w:t xml:space="preserve">, P. P., &amp; </w:t>
      </w:r>
      <w:proofErr w:type="spellStart"/>
      <w:r w:rsidRPr="00510A59">
        <w:rPr>
          <w:rFonts w:ascii="Times New Roman" w:hAnsi="Times New Roman" w:cs="Times New Roman"/>
          <w:bCs/>
          <w:sz w:val="24"/>
          <w:szCs w:val="24"/>
        </w:rPr>
        <w:t>Tshipala</w:t>
      </w:r>
      <w:proofErr w:type="spellEnd"/>
      <w:r w:rsidRPr="00510A59">
        <w:rPr>
          <w:rFonts w:ascii="Times New Roman" w:hAnsi="Times New Roman" w:cs="Times New Roman"/>
          <w:bCs/>
          <w:sz w:val="24"/>
          <w:szCs w:val="24"/>
        </w:rPr>
        <w:t>, N. N. (2025). Leveraging online digital technologies for sustainability in community-based rural tourism. </w:t>
      </w:r>
      <w:proofErr w:type="spellStart"/>
      <w:r w:rsidRPr="00510A59">
        <w:rPr>
          <w:rFonts w:ascii="Times New Roman" w:hAnsi="Times New Roman" w:cs="Times New Roman"/>
          <w:bCs/>
          <w:i/>
          <w:iCs/>
          <w:sz w:val="24"/>
          <w:szCs w:val="24"/>
        </w:rPr>
        <w:t>Studia</w:t>
      </w:r>
      <w:proofErr w:type="spellEnd"/>
      <w:r w:rsidRPr="00510A59">
        <w:rPr>
          <w:rFonts w:ascii="Times New Roman" w:hAnsi="Times New Roman" w:cs="Times New Roman"/>
          <w:bCs/>
          <w:i/>
          <w:iCs/>
          <w:sz w:val="24"/>
          <w:szCs w:val="24"/>
        </w:rPr>
        <w:t xml:space="preserve"> </w:t>
      </w:r>
      <w:proofErr w:type="spellStart"/>
      <w:r w:rsidRPr="00510A59">
        <w:rPr>
          <w:rFonts w:ascii="Times New Roman" w:hAnsi="Times New Roman" w:cs="Times New Roman"/>
          <w:bCs/>
          <w:i/>
          <w:iCs/>
          <w:sz w:val="24"/>
          <w:szCs w:val="24"/>
        </w:rPr>
        <w:t>Periegetica</w:t>
      </w:r>
      <w:proofErr w:type="spellEnd"/>
      <w:r w:rsidRPr="00510A59">
        <w:rPr>
          <w:rFonts w:ascii="Times New Roman" w:hAnsi="Times New Roman" w:cs="Times New Roman"/>
          <w:bCs/>
          <w:sz w:val="24"/>
          <w:szCs w:val="24"/>
        </w:rPr>
        <w:t>, 45(1), 89–108. </w:t>
      </w:r>
      <w:hyperlink r:id="rId33" w:tgtFrame="_blank" w:history="1">
        <w:r w:rsidRPr="00510A59">
          <w:rPr>
            <w:rStyle w:val="Hyperlink"/>
            <w:rFonts w:ascii="Times New Roman" w:hAnsi="Times New Roman" w:cs="Times New Roman"/>
            <w:bCs/>
            <w:sz w:val="24"/>
            <w:szCs w:val="24"/>
          </w:rPr>
          <w:t>https://doi.org/10.58683/sp.2006</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NIPC. (2023). </w:t>
      </w:r>
      <w:r w:rsidRPr="00510A59">
        <w:rPr>
          <w:rFonts w:ascii="Times New Roman" w:hAnsi="Times New Roman" w:cs="Times New Roman"/>
          <w:bCs/>
          <w:i/>
          <w:iCs/>
          <w:sz w:val="24"/>
          <w:szCs w:val="24"/>
        </w:rPr>
        <w:t>Tourism investment opportunities in Nigeria: State-level analysis</w:t>
      </w:r>
      <w:r w:rsidRPr="00510A59">
        <w:rPr>
          <w:rFonts w:ascii="Times New Roman" w:hAnsi="Times New Roman" w:cs="Times New Roman"/>
          <w:bCs/>
          <w:sz w:val="24"/>
          <w:szCs w:val="24"/>
        </w:rPr>
        <w:t>. Nigeria Investment Promotion Commission.</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Nyasha</w:t>
      </w:r>
      <w:proofErr w:type="spellEnd"/>
      <w:r w:rsidRPr="00510A59">
        <w:rPr>
          <w:rFonts w:ascii="Times New Roman" w:hAnsi="Times New Roman" w:cs="Times New Roman"/>
          <w:bCs/>
          <w:sz w:val="24"/>
          <w:szCs w:val="24"/>
        </w:rPr>
        <w:t xml:space="preserve">, S., </w:t>
      </w:r>
      <w:proofErr w:type="spellStart"/>
      <w:r w:rsidRPr="00510A59">
        <w:rPr>
          <w:rFonts w:ascii="Times New Roman" w:hAnsi="Times New Roman" w:cs="Times New Roman"/>
          <w:bCs/>
          <w:sz w:val="24"/>
          <w:szCs w:val="24"/>
        </w:rPr>
        <w:t>Odhiambo</w:t>
      </w:r>
      <w:proofErr w:type="spellEnd"/>
      <w:r w:rsidRPr="00510A59">
        <w:rPr>
          <w:rFonts w:ascii="Times New Roman" w:hAnsi="Times New Roman" w:cs="Times New Roman"/>
          <w:bCs/>
          <w:sz w:val="24"/>
          <w:szCs w:val="24"/>
        </w:rPr>
        <w:t xml:space="preserve">, N. M., &amp; </w:t>
      </w:r>
      <w:proofErr w:type="spellStart"/>
      <w:r w:rsidRPr="00510A59">
        <w:rPr>
          <w:rFonts w:ascii="Times New Roman" w:hAnsi="Times New Roman" w:cs="Times New Roman"/>
          <w:bCs/>
          <w:sz w:val="24"/>
          <w:szCs w:val="24"/>
        </w:rPr>
        <w:t>Asongu</w:t>
      </w:r>
      <w:proofErr w:type="spellEnd"/>
      <w:r w:rsidRPr="00510A59">
        <w:rPr>
          <w:rFonts w:ascii="Times New Roman" w:hAnsi="Times New Roman" w:cs="Times New Roman"/>
          <w:bCs/>
          <w:sz w:val="24"/>
          <w:szCs w:val="24"/>
        </w:rPr>
        <w:t>, S. A. (2020). The impact of tourism development on economic growth in Sub-Saharan Africa. </w:t>
      </w:r>
      <w:r w:rsidRPr="00510A59">
        <w:rPr>
          <w:rFonts w:ascii="Times New Roman" w:hAnsi="Times New Roman" w:cs="Times New Roman"/>
          <w:bCs/>
          <w:i/>
          <w:iCs/>
          <w:sz w:val="24"/>
          <w:szCs w:val="24"/>
        </w:rPr>
        <w:t>The European Journal of Development Research</w:t>
      </w:r>
      <w:r w:rsidRPr="00510A59">
        <w:rPr>
          <w:rFonts w:ascii="Times New Roman" w:hAnsi="Times New Roman" w:cs="Times New Roman"/>
          <w:bCs/>
          <w:sz w:val="24"/>
          <w:szCs w:val="24"/>
        </w:rPr>
        <w:t>, 33(6), 1514–1535. </w:t>
      </w:r>
      <w:hyperlink r:id="rId34" w:tgtFrame="_blank" w:history="1">
        <w:r w:rsidRPr="00510A59">
          <w:rPr>
            <w:rStyle w:val="Hyperlink"/>
            <w:rFonts w:ascii="Times New Roman" w:hAnsi="Times New Roman" w:cs="Times New Roman"/>
            <w:bCs/>
            <w:sz w:val="24"/>
            <w:szCs w:val="24"/>
          </w:rPr>
          <w:t>https://doi.org/10.1057/s41287-020-00298-5</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Osabohien</w:t>
      </w:r>
      <w:proofErr w:type="spellEnd"/>
      <w:r w:rsidRPr="00510A59">
        <w:rPr>
          <w:rFonts w:ascii="Times New Roman" w:hAnsi="Times New Roman" w:cs="Times New Roman"/>
          <w:bCs/>
          <w:sz w:val="24"/>
          <w:szCs w:val="24"/>
        </w:rPr>
        <w:t xml:space="preserve">, R., </w:t>
      </w:r>
      <w:proofErr w:type="spellStart"/>
      <w:r w:rsidRPr="00510A59">
        <w:rPr>
          <w:rFonts w:ascii="Times New Roman" w:hAnsi="Times New Roman" w:cs="Times New Roman"/>
          <w:bCs/>
          <w:sz w:val="24"/>
          <w:szCs w:val="24"/>
        </w:rPr>
        <w:t>Imandojemu</w:t>
      </w:r>
      <w:proofErr w:type="spellEnd"/>
      <w:r w:rsidRPr="00510A59">
        <w:rPr>
          <w:rFonts w:ascii="Times New Roman" w:hAnsi="Times New Roman" w:cs="Times New Roman"/>
          <w:bCs/>
          <w:sz w:val="24"/>
          <w:szCs w:val="24"/>
        </w:rPr>
        <w:t xml:space="preserve">, K., </w:t>
      </w:r>
      <w:proofErr w:type="spellStart"/>
      <w:r w:rsidRPr="00510A59">
        <w:rPr>
          <w:rFonts w:ascii="Times New Roman" w:hAnsi="Times New Roman" w:cs="Times New Roman"/>
          <w:bCs/>
          <w:sz w:val="24"/>
          <w:szCs w:val="24"/>
        </w:rPr>
        <w:t>Jaaffar</w:t>
      </w:r>
      <w:proofErr w:type="spellEnd"/>
      <w:r w:rsidRPr="00510A59">
        <w:rPr>
          <w:rFonts w:ascii="Times New Roman" w:hAnsi="Times New Roman" w:cs="Times New Roman"/>
          <w:bCs/>
          <w:sz w:val="24"/>
          <w:szCs w:val="24"/>
        </w:rPr>
        <w:t xml:space="preserve">, A. H., </w:t>
      </w:r>
      <w:proofErr w:type="spellStart"/>
      <w:r w:rsidRPr="00510A59">
        <w:rPr>
          <w:rFonts w:ascii="Times New Roman" w:hAnsi="Times New Roman" w:cs="Times New Roman"/>
          <w:bCs/>
          <w:sz w:val="24"/>
          <w:szCs w:val="24"/>
        </w:rPr>
        <w:t>Aderemi</w:t>
      </w:r>
      <w:proofErr w:type="spellEnd"/>
      <w:r w:rsidRPr="00510A59">
        <w:rPr>
          <w:rFonts w:ascii="Times New Roman" w:hAnsi="Times New Roman" w:cs="Times New Roman"/>
          <w:bCs/>
          <w:sz w:val="24"/>
          <w:szCs w:val="24"/>
        </w:rPr>
        <w:t xml:space="preserve">, T. A., Matthew, O., &amp; </w:t>
      </w:r>
      <w:proofErr w:type="spellStart"/>
      <w:r w:rsidRPr="00510A59">
        <w:rPr>
          <w:rFonts w:ascii="Times New Roman" w:hAnsi="Times New Roman" w:cs="Times New Roman"/>
          <w:bCs/>
          <w:sz w:val="24"/>
          <w:szCs w:val="24"/>
        </w:rPr>
        <w:t>Dauda</w:t>
      </w:r>
      <w:proofErr w:type="spellEnd"/>
      <w:r w:rsidRPr="00510A59">
        <w:rPr>
          <w:rFonts w:ascii="Times New Roman" w:hAnsi="Times New Roman" w:cs="Times New Roman"/>
          <w:bCs/>
          <w:sz w:val="24"/>
          <w:szCs w:val="24"/>
        </w:rPr>
        <w:t>, R. O. (2025). Foreign direct investment, global value chain participation, and sustainable development in Sub-Saharan Africa. </w:t>
      </w:r>
      <w:r w:rsidRPr="00510A59">
        <w:rPr>
          <w:rFonts w:ascii="Times New Roman" w:hAnsi="Times New Roman" w:cs="Times New Roman"/>
          <w:bCs/>
          <w:i/>
          <w:iCs/>
          <w:sz w:val="24"/>
          <w:szCs w:val="24"/>
        </w:rPr>
        <w:t>Journal of Public Affairs</w:t>
      </w:r>
      <w:r w:rsidRPr="00510A59">
        <w:rPr>
          <w:rFonts w:ascii="Times New Roman" w:hAnsi="Times New Roman" w:cs="Times New Roman"/>
          <w:bCs/>
          <w:sz w:val="24"/>
          <w:szCs w:val="24"/>
        </w:rPr>
        <w:t>, 25(1), e70081. </w:t>
      </w:r>
      <w:hyperlink r:id="rId35" w:tgtFrame="_blank" w:history="1">
        <w:r w:rsidRPr="00510A59">
          <w:rPr>
            <w:rStyle w:val="Hyperlink"/>
            <w:rFonts w:ascii="Times New Roman" w:hAnsi="Times New Roman" w:cs="Times New Roman"/>
            <w:bCs/>
            <w:sz w:val="24"/>
            <w:szCs w:val="24"/>
          </w:rPr>
          <w:t>https://doi.org/10.1002/pa.70081</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Page, M. J., McKenzie, J. E., </w:t>
      </w:r>
      <w:proofErr w:type="spellStart"/>
      <w:r w:rsidRPr="00510A59">
        <w:rPr>
          <w:rFonts w:ascii="Times New Roman" w:hAnsi="Times New Roman" w:cs="Times New Roman"/>
          <w:bCs/>
          <w:sz w:val="24"/>
          <w:szCs w:val="24"/>
        </w:rPr>
        <w:t>Bossuyt</w:t>
      </w:r>
      <w:proofErr w:type="spellEnd"/>
      <w:r w:rsidRPr="00510A59">
        <w:rPr>
          <w:rFonts w:ascii="Times New Roman" w:hAnsi="Times New Roman" w:cs="Times New Roman"/>
          <w:bCs/>
          <w:sz w:val="24"/>
          <w:szCs w:val="24"/>
        </w:rPr>
        <w:t xml:space="preserve">, P. M., </w:t>
      </w:r>
      <w:proofErr w:type="spellStart"/>
      <w:r w:rsidRPr="00510A59">
        <w:rPr>
          <w:rFonts w:ascii="Times New Roman" w:hAnsi="Times New Roman" w:cs="Times New Roman"/>
          <w:bCs/>
          <w:sz w:val="24"/>
          <w:szCs w:val="24"/>
        </w:rPr>
        <w:t>Boutron</w:t>
      </w:r>
      <w:proofErr w:type="spellEnd"/>
      <w:r w:rsidRPr="00510A59">
        <w:rPr>
          <w:rFonts w:ascii="Times New Roman" w:hAnsi="Times New Roman" w:cs="Times New Roman"/>
          <w:bCs/>
          <w:sz w:val="24"/>
          <w:szCs w:val="24"/>
        </w:rPr>
        <w:t>, I., Hoffmann, T. C., Mulrow, C. D., ... &amp; Moher, D. (2021). The PRISMA 2020 statement: An updated guideline for reporting systematic reviews. </w:t>
      </w:r>
      <w:r w:rsidRPr="00510A59">
        <w:rPr>
          <w:rFonts w:ascii="Times New Roman" w:hAnsi="Times New Roman" w:cs="Times New Roman"/>
          <w:bCs/>
          <w:i/>
          <w:iCs/>
          <w:sz w:val="24"/>
          <w:szCs w:val="24"/>
        </w:rPr>
        <w:t>BMJ</w:t>
      </w:r>
      <w:r w:rsidRPr="00510A59">
        <w:rPr>
          <w:rFonts w:ascii="Times New Roman" w:hAnsi="Times New Roman" w:cs="Times New Roman"/>
          <w:bCs/>
          <w:sz w:val="24"/>
          <w:szCs w:val="24"/>
        </w:rPr>
        <w:t>, 372, n71. </w:t>
      </w:r>
      <w:hyperlink r:id="rId36" w:tgtFrame="_blank" w:history="1">
        <w:r w:rsidRPr="00510A59">
          <w:rPr>
            <w:rStyle w:val="Hyperlink"/>
            <w:rFonts w:ascii="Times New Roman" w:hAnsi="Times New Roman" w:cs="Times New Roman"/>
            <w:bCs/>
            <w:sz w:val="24"/>
            <w:szCs w:val="24"/>
          </w:rPr>
          <w:t>https://doi.org/10.1136/bmj.n71</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Pattiyagedara</w:t>
      </w:r>
      <w:proofErr w:type="spellEnd"/>
      <w:r w:rsidRPr="00510A59">
        <w:rPr>
          <w:rFonts w:ascii="Times New Roman" w:hAnsi="Times New Roman" w:cs="Times New Roman"/>
          <w:bCs/>
          <w:sz w:val="24"/>
          <w:szCs w:val="24"/>
        </w:rPr>
        <w:t xml:space="preserve">, P. S., &amp; </w:t>
      </w:r>
      <w:proofErr w:type="spellStart"/>
      <w:r w:rsidRPr="00510A59">
        <w:rPr>
          <w:rFonts w:ascii="Times New Roman" w:hAnsi="Times New Roman" w:cs="Times New Roman"/>
          <w:bCs/>
          <w:sz w:val="24"/>
          <w:szCs w:val="24"/>
        </w:rPr>
        <w:t>Ranasinghe</w:t>
      </w:r>
      <w:proofErr w:type="spellEnd"/>
      <w:r w:rsidRPr="00510A59">
        <w:rPr>
          <w:rFonts w:ascii="Times New Roman" w:hAnsi="Times New Roman" w:cs="Times New Roman"/>
          <w:bCs/>
          <w:sz w:val="24"/>
          <w:szCs w:val="24"/>
        </w:rPr>
        <w:t>, J. P. R. C. (2024). Responsible tourism development: A systematic review and bibliometric analysis. </w:t>
      </w:r>
      <w:r w:rsidRPr="00510A59">
        <w:rPr>
          <w:rFonts w:ascii="Times New Roman" w:hAnsi="Times New Roman" w:cs="Times New Roman"/>
          <w:bCs/>
          <w:i/>
          <w:iCs/>
          <w:sz w:val="24"/>
          <w:szCs w:val="24"/>
        </w:rPr>
        <w:t>Journal of Sustainable Tourism and Entrepreneurship</w:t>
      </w:r>
      <w:r w:rsidRPr="00510A59">
        <w:rPr>
          <w:rFonts w:ascii="Times New Roman" w:hAnsi="Times New Roman" w:cs="Times New Roman"/>
          <w:bCs/>
          <w:sz w:val="24"/>
          <w:szCs w:val="24"/>
        </w:rPr>
        <w:t>, 4(1), 45–67. </w:t>
      </w:r>
      <w:hyperlink r:id="rId37" w:tgtFrame="_blank" w:history="1">
        <w:r w:rsidRPr="00510A59">
          <w:rPr>
            <w:rStyle w:val="Hyperlink"/>
            <w:rFonts w:ascii="Times New Roman" w:hAnsi="Times New Roman" w:cs="Times New Roman"/>
            <w:bCs/>
            <w:sz w:val="24"/>
            <w:szCs w:val="24"/>
          </w:rPr>
          <w:t>https://doi.org/10.35912/joste.v4i1.1960</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Proparco</w:t>
      </w:r>
      <w:proofErr w:type="spellEnd"/>
      <w:r w:rsidRPr="00510A59">
        <w:rPr>
          <w:rFonts w:ascii="Times New Roman" w:hAnsi="Times New Roman" w:cs="Times New Roman"/>
          <w:bCs/>
          <w:sz w:val="24"/>
          <w:szCs w:val="24"/>
        </w:rPr>
        <w:t xml:space="preserve">. (2023). Tourism investment case studies in Sub-Saharan Africa: Portfolio review 2018–2023. </w:t>
      </w:r>
      <w:proofErr w:type="spellStart"/>
      <w:r w:rsidRPr="00510A59">
        <w:rPr>
          <w:rFonts w:ascii="Times New Roman" w:hAnsi="Times New Roman" w:cs="Times New Roman"/>
          <w:bCs/>
          <w:sz w:val="24"/>
          <w:szCs w:val="24"/>
        </w:rPr>
        <w:t>Proparco</w:t>
      </w:r>
      <w:proofErr w:type="spellEnd"/>
      <w:r w:rsidRPr="00510A59">
        <w:rPr>
          <w:rFonts w:ascii="Times New Roman" w:hAnsi="Times New Roman" w:cs="Times New Roman"/>
          <w:bCs/>
          <w:sz w:val="24"/>
          <w:szCs w:val="24"/>
        </w:rPr>
        <w:t>.</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Purcell, C., Schott, N., </w:t>
      </w:r>
      <w:proofErr w:type="spellStart"/>
      <w:r w:rsidRPr="00510A59">
        <w:rPr>
          <w:rFonts w:ascii="Times New Roman" w:hAnsi="Times New Roman" w:cs="Times New Roman"/>
          <w:bCs/>
          <w:sz w:val="24"/>
          <w:szCs w:val="24"/>
        </w:rPr>
        <w:t>Rapos</w:t>
      </w:r>
      <w:proofErr w:type="spellEnd"/>
      <w:r w:rsidRPr="00510A59">
        <w:rPr>
          <w:rFonts w:ascii="Times New Roman" w:hAnsi="Times New Roman" w:cs="Times New Roman"/>
          <w:bCs/>
          <w:sz w:val="24"/>
          <w:szCs w:val="24"/>
        </w:rPr>
        <w:t xml:space="preserve">, V., </w:t>
      </w:r>
      <w:proofErr w:type="spellStart"/>
      <w:r w:rsidRPr="00510A59">
        <w:rPr>
          <w:rFonts w:ascii="Times New Roman" w:hAnsi="Times New Roman" w:cs="Times New Roman"/>
          <w:bCs/>
          <w:sz w:val="24"/>
          <w:szCs w:val="24"/>
        </w:rPr>
        <w:t>Zwicker</w:t>
      </w:r>
      <w:proofErr w:type="spellEnd"/>
      <w:r w:rsidRPr="00510A59">
        <w:rPr>
          <w:rFonts w:ascii="Times New Roman" w:hAnsi="Times New Roman" w:cs="Times New Roman"/>
          <w:bCs/>
          <w:sz w:val="24"/>
          <w:szCs w:val="24"/>
        </w:rPr>
        <w:t xml:space="preserve">, J., &amp; </w:t>
      </w:r>
      <w:proofErr w:type="spellStart"/>
      <w:r w:rsidRPr="00510A59">
        <w:rPr>
          <w:rFonts w:ascii="Times New Roman" w:hAnsi="Times New Roman" w:cs="Times New Roman"/>
          <w:bCs/>
          <w:sz w:val="24"/>
          <w:szCs w:val="24"/>
        </w:rPr>
        <w:t>Wilmut</w:t>
      </w:r>
      <w:proofErr w:type="spellEnd"/>
      <w:r w:rsidRPr="00510A59">
        <w:rPr>
          <w:rFonts w:ascii="Times New Roman" w:hAnsi="Times New Roman" w:cs="Times New Roman"/>
          <w:bCs/>
          <w:sz w:val="24"/>
          <w:szCs w:val="24"/>
        </w:rPr>
        <w:t>, K. (2023). Understanding factors that influence physical activity behavior in people with developmental coordination disorder (DCD): A mixed-methods convergent integrated systematic review. </w:t>
      </w:r>
      <w:r w:rsidRPr="00510A59">
        <w:rPr>
          <w:rFonts w:ascii="Times New Roman" w:hAnsi="Times New Roman" w:cs="Times New Roman"/>
          <w:bCs/>
          <w:i/>
          <w:iCs/>
          <w:sz w:val="24"/>
          <w:szCs w:val="24"/>
        </w:rPr>
        <w:t>Frontiers in Human Neuroscience</w:t>
      </w:r>
      <w:r w:rsidRPr="00510A59">
        <w:rPr>
          <w:rFonts w:ascii="Times New Roman" w:hAnsi="Times New Roman" w:cs="Times New Roman"/>
          <w:bCs/>
          <w:sz w:val="24"/>
          <w:szCs w:val="24"/>
        </w:rPr>
        <w:t>, 17, 1274510. </w:t>
      </w:r>
      <w:hyperlink r:id="rId38" w:tgtFrame="_blank" w:history="1">
        <w:r w:rsidRPr="00510A59">
          <w:rPr>
            <w:rStyle w:val="Hyperlink"/>
            <w:rFonts w:ascii="Times New Roman" w:hAnsi="Times New Roman" w:cs="Times New Roman"/>
            <w:bCs/>
            <w:sz w:val="24"/>
            <w:szCs w:val="24"/>
          </w:rPr>
          <w:t>https://doi.org/10.3389/fnhum.2023.1274510</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RDB. (2023). </w:t>
      </w:r>
      <w:r w:rsidRPr="00510A59">
        <w:rPr>
          <w:rFonts w:ascii="Times New Roman" w:hAnsi="Times New Roman" w:cs="Times New Roman"/>
          <w:bCs/>
          <w:i/>
          <w:iCs/>
          <w:sz w:val="24"/>
          <w:szCs w:val="24"/>
        </w:rPr>
        <w:t xml:space="preserve">Rwanda tourism investment impact assessment: Visa </w:t>
      </w:r>
      <w:proofErr w:type="spellStart"/>
      <w:r w:rsidRPr="00510A59">
        <w:rPr>
          <w:rFonts w:ascii="Times New Roman" w:hAnsi="Times New Roman" w:cs="Times New Roman"/>
          <w:bCs/>
          <w:i/>
          <w:iCs/>
          <w:sz w:val="24"/>
          <w:szCs w:val="24"/>
        </w:rPr>
        <w:t>liberalisation</w:t>
      </w:r>
      <w:proofErr w:type="spellEnd"/>
      <w:r w:rsidRPr="00510A59">
        <w:rPr>
          <w:rFonts w:ascii="Times New Roman" w:hAnsi="Times New Roman" w:cs="Times New Roman"/>
          <w:bCs/>
          <w:i/>
          <w:iCs/>
          <w:sz w:val="24"/>
          <w:szCs w:val="24"/>
        </w:rPr>
        <w:t xml:space="preserve"> and hotel investment 2011–2023</w:t>
      </w:r>
      <w:r w:rsidRPr="00510A59">
        <w:rPr>
          <w:rFonts w:ascii="Times New Roman" w:hAnsi="Times New Roman" w:cs="Times New Roman"/>
          <w:bCs/>
          <w:sz w:val="24"/>
          <w:szCs w:val="24"/>
        </w:rPr>
        <w:t>. Rwanda Development Board.</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Rihoux</w:t>
      </w:r>
      <w:proofErr w:type="spellEnd"/>
      <w:r w:rsidRPr="00510A59">
        <w:rPr>
          <w:rFonts w:ascii="Times New Roman" w:hAnsi="Times New Roman" w:cs="Times New Roman"/>
          <w:bCs/>
          <w:sz w:val="24"/>
          <w:szCs w:val="24"/>
        </w:rPr>
        <w:t>, B., &amp; Ragin, C. C. (Eds.). (2009). </w:t>
      </w:r>
      <w:r w:rsidRPr="00510A59">
        <w:rPr>
          <w:rFonts w:ascii="Times New Roman" w:hAnsi="Times New Roman" w:cs="Times New Roman"/>
          <w:bCs/>
          <w:i/>
          <w:iCs/>
          <w:sz w:val="24"/>
          <w:szCs w:val="24"/>
        </w:rPr>
        <w:t>Configurational comparative methods: Qualitative comparative analysis (QCA) and related techniques</w:t>
      </w:r>
      <w:r w:rsidRPr="00510A59">
        <w:rPr>
          <w:rFonts w:ascii="Times New Roman" w:hAnsi="Times New Roman" w:cs="Times New Roman"/>
          <w:bCs/>
          <w:sz w:val="24"/>
          <w:szCs w:val="24"/>
        </w:rPr>
        <w:t>. SAGE Publications.</w:t>
      </w:r>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lastRenderedPageBreak/>
        <w:t>Seraj</w:t>
      </w:r>
      <w:proofErr w:type="spellEnd"/>
      <w:r w:rsidRPr="00510A59">
        <w:rPr>
          <w:rFonts w:ascii="Times New Roman" w:hAnsi="Times New Roman" w:cs="Times New Roman"/>
          <w:bCs/>
          <w:sz w:val="24"/>
          <w:szCs w:val="24"/>
        </w:rPr>
        <w:t xml:space="preserve">, M., Ike, O. C., &amp; </w:t>
      </w:r>
      <w:proofErr w:type="spellStart"/>
      <w:r w:rsidRPr="00510A59">
        <w:rPr>
          <w:rFonts w:ascii="Times New Roman" w:hAnsi="Times New Roman" w:cs="Times New Roman"/>
          <w:bCs/>
          <w:sz w:val="24"/>
          <w:szCs w:val="24"/>
        </w:rPr>
        <w:t>Ozdeser</w:t>
      </w:r>
      <w:proofErr w:type="spellEnd"/>
      <w:r w:rsidRPr="00510A59">
        <w:rPr>
          <w:rFonts w:ascii="Times New Roman" w:hAnsi="Times New Roman" w:cs="Times New Roman"/>
          <w:bCs/>
          <w:sz w:val="24"/>
          <w:szCs w:val="24"/>
        </w:rPr>
        <w:t>, H. (2025). The contribution of tourism on GDP growth and sustainable tourism development in Africa. </w:t>
      </w:r>
      <w:r w:rsidRPr="00510A59">
        <w:rPr>
          <w:rFonts w:ascii="Times New Roman" w:hAnsi="Times New Roman" w:cs="Times New Roman"/>
          <w:bCs/>
          <w:i/>
          <w:iCs/>
          <w:sz w:val="24"/>
          <w:szCs w:val="24"/>
        </w:rPr>
        <w:t>Future Business Journal</w:t>
      </w:r>
      <w:r w:rsidRPr="00510A59">
        <w:rPr>
          <w:rFonts w:ascii="Times New Roman" w:hAnsi="Times New Roman" w:cs="Times New Roman"/>
          <w:bCs/>
          <w:sz w:val="24"/>
          <w:szCs w:val="24"/>
        </w:rPr>
        <w:t>, 11(1), 1–15. </w:t>
      </w:r>
      <w:hyperlink r:id="rId39" w:tgtFrame="_blank" w:history="1">
        <w:r w:rsidRPr="00510A59">
          <w:rPr>
            <w:rStyle w:val="Hyperlink"/>
            <w:rFonts w:ascii="Times New Roman" w:hAnsi="Times New Roman" w:cs="Times New Roman"/>
            <w:bCs/>
            <w:sz w:val="24"/>
            <w:szCs w:val="24"/>
          </w:rPr>
          <w:t>https://doi.org/10.1186/s43093-025-00532-8</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Souto</w:t>
      </w:r>
      <w:proofErr w:type="spellEnd"/>
      <w:r w:rsidRPr="00510A59">
        <w:rPr>
          <w:rFonts w:ascii="Times New Roman" w:hAnsi="Times New Roman" w:cs="Times New Roman"/>
          <w:bCs/>
          <w:sz w:val="24"/>
          <w:szCs w:val="24"/>
        </w:rPr>
        <w:t xml:space="preserve">, R. Q., De </w:t>
      </w:r>
      <w:proofErr w:type="spellStart"/>
      <w:r w:rsidRPr="00510A59">
        <w:rPr>
          <w:rFonts w:ascii="Times New Roman" w:hAnsi="Times New Roman" w:cs="Times New Roman"/>
          <w:bCs/>
          <w:sz w:val="24"/>
          <w:szCs w:val="24"/>
        </w:rPr>
        <w:t>Araújo</w:t>
      </w:r>
      <w:proofErr w:type="spellEnd"/>
      <w:r w:rsidRPr="00510A59">
        <w:rPr>
          <w:rFonts w:ascii="Times New Roman" w:hAnsi="Times New Roman" w:cs="Times New Roman"/>
          <w:bCs/>
          <w:sz w:val="24"/>
          <w:szCs w:val="24"/>
        </w:rPr>
        <w:t xml:space="preserve"> Lima, K. C. M., </w:t>
      </w:r>
      <w:proofErr w:type="spellStart"/>
      <w:r w:rsidRPr="00510A59">
        <w:rPr>
          <w:rFonts w:ascii="Times New Roman" w:hAnsi="Times New Roman" w:cs="Times New Roman"/>
          <w:bCs/>
          <w:sz w:val="24"/>
          <w:szCs w:val="24"/>
        </w:rPr>
        <w:t>Pluye</w:t>
      </w:r>
      <w:proofErr w:type="spellEnd"/>
      <w:r w:rsidRPr="00510A59">
        <w:rPr>
          <w:rFonts w:ascii="Times New Roman" w:hAnsi="Times New Roman" w:cs="Times New Roman"/>
          <w:bCs/>
          <w:sz w:val="24"/>
          <w:szCs w:val="24"/>
        </w:rPr>
        <w:t xml:space="preserve">, P., Hong, Q. N., Barbosa, K. S., &amp; De </w:t>
      </w:r>
      <w:proofErr w:type="spellStart"/>
      <w:r w:rsidRPr="00510A59">
        <w:rPr>
          <w:rFonts w:ascii="Times New Roman" w:hAnsi="Times New Roman" w:cs="Times New Roman"/>
          <w:bCs/>
          <w:sz w:val="24"/>
          <w:szCs w:val="24"/>
        </w:rPr>
        <w:t>Araújo</w:t>
      </w:r>
      <w:proofErr w:type="spellEnd"/>
      <w:r w:rsidRPr="00510A59">
        <w:rPr>
          <w:rFonts w:ascii="Times New Roman" w:hAnsi="Times New Roman" w:cs="Times New Roman"/>
          <w:bCs/>
          <w:sz w:val="24"/>
          <w:szCs w:val="24"/>
        </w:rPr>
        <w:t xml:space="preserve">, G. K. N. (2020). Translation and cross-cultural adaptation of the mixed methods appraisal tool to the </w:t>
      </w:r>
      <w:proofErr w:type="spellStart"/>
      <w:r w:rsidRPr="00510A59">
        <w:rPr>
          <w:rFonts w:ascii="Times New Roman" w:hAnsi="Times New Roman" w:cs="Times New Roman"/>
          <w:bCs/>
          <w:sz w:val="24"/>
          <w:szCs w:val="24"/>
        </w:rPr>
        <w:t>brazilian</w:t>
      </w:r>
      <w:proofErr w:type="spellEnd"/>
      <w:r w:rsidRPr="00510A59">
        <w:rPr>
          <w:rFonts w:ascii="Times New Roman" w:hAnsi="Times New Roman" w:cs="Times New Roman"/>
          <w:bCs/>
          <w:sz w:val="24"/>
          <w:szCs w:val="24"/>
        </w:rPr>
        <w:t xml:space="preserve"> context. </w:t>
      </w:r>
      <w:proofErr w:type="spellStart"/>
      <w:r w:rsidRPr="00510A59">
        <w:rPr>
          <w:rFonts w:ascii="Times New Roman" w:hAnsi="Times New Roman" w:cs="Times New Roman"/>
          <w:bCs/>
          <w:i/>
          <w:iCs/>
          <w:sz w:val="24"/>
          <w:szCs w:val="24"/>
        </w:rPr>
        <w:t>Revista</w:t>
      </w:r>
      <w:proofErr w:type="spellEnd"/>
      <w:r w:rsidRPr="00510A59">
        <w:rPr>
          <w:rFonts w:ascii="Times New Roman" w:hAnsi="Times New Roman" w:cs="Times New Roman"/>
          <w:bCs/>
          <w:i/>
          <w:iCs/>
          <w:sz w:val="24"/>
          <w:szCs w:val="24"/>
        </w:rPr>
        <w:t xml:space="preserve"> de </w:t>
      </w:r>
      <w:proofErr w:type="spellStart"/>
      <w:r w:rsidRPr="00510A59">
        <w:rPr>
          <w:rFonts w:ascii="Times New Roman" w:hAnsi="Times New Roman" w:cs="Times New Roman"/>
          <w:bCs/>
          <w:i/>
          <w:iCs/>
          <w:sz w:val="24"/>
          <w:szCs w:val="24"/>
        </w:rPr>
        <w:t>Pesquisa</w:t>
      </w:r>
      <w:proofErr w:type="spellEnd"/>
      <w:r w:rsidRPr="00510A59">
        <w:rPr>
          <w:rFonts w:ascii="Times New Roman" w:hAnsi="Times New Roman" w:cs="Times New Roman"/>
          <w:bCs/>
          <w:i/>
          <w:iCs/>
          <w:sz w:val="24"/>
          <w:szCs w:val="24"/>
        </w:rPr>
        <w:t xml:space="preserve"> </w:t>
      </w:r>
      <w:proofErr w:type="spellStart"/>
      <w:r w:rsidRPr="00510A59">
        <w:rPr>
          <w:rFonts w:ascii="Times New Roman" w:hAnsi="Times New Roman" w:cs="Times New Roman"/>
          <w:bCs/>
          <w:i/>
          <w:iCs/>
          <w:sz w:val="24"/>
          <w:szCs w:val="24"/>
        </w:rPr>
        <w:t>Cuidado</w:t>
      </w:r>
      <w:proofErr w:type="spellEnd"/>
      <w:r w:rsidRPr="00510A59">
        <w:rPr>
          <w:rFonts w:ascii="Times New Roman" w:hAnsi="Times New Roman" w:cs="Times New Roman"/>
          <w:bCs/>
          <w:i/>
          <w:iCs/>
          <w:sz w:val="24"/>
          <w:szCs w:val="24"/>
        </w:rPr>
        <w:t xml:space="preserve"> é Fundamental Online</w:t>
      </w:r>
      <w:r w:rsidRPr="00510A59">
        <w:rPr>
          <w:rFonts w:ascii="Times New Roman" w:hAnsi="Times New Roman" w:cs="Times New Roman"/>
          <w:bCs/>
          <w:sz w:val="24"/>
          <w:szCs w:val="24"/>
        </w:rPr>
        <w:t>, 12, 861–868. </w:t>
      </w:r>
      <w:hyperlink r:id="rId40" w:tgtFrame="_blank" w:history="1">
        <w:r w:rsidRPr="00510A59">
          <w:rPr>
            <w:rStyle w:val="Hyperlink"/>
            <w:rFonts w:ascii="Times New Roman" w:hAnsi="Times New Roman" w:cs="Times New Roman"/>
            <w:bCs/>
            <w:sz w:val="24"/>
            <w:szCs w:val="24"/>
          </w:rPr>
          <w:t>https://doi.org/10.9789/2175-5361.rpcfo.v12.8615</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Souto</w:t>
      </w:r>
      <w:proofErr w:type="spellEnd"/>
      <w:r w:rsidRPr="00510A59">
        <w:rPr>
          <w:rFonts w:ascii="Times New Roman" w:hAnsi="Times New Roman" w:cs="Times New Roman"/>
          <w:bCs/>
          <w:sz w:val="24"/>
          <w:szCs w:val="24"/>
        </w:rPr>
        <w:t xml:space="preserve">, R. Q., </w:t>
      </w:r>
      <w:proofErr w:type="spellStart"/>
      <w:r w:rsidRPr="00510A59">
        <w:rPr>
          <w:rFonts w:ascii="Times New Roman" w:hAnsi="Times New Roman" w:cs="Times New Roman"/>
          <w:bCs/>
          <w:sz w:val="24"/>
          <w:szCs w:val="24"/>
        </w:rPr>
        <w:t>Khanassov</w:t>
      </w:r>
      <w:proofErr w:type="spellEnd"/>
      <w:r w:rsidRPr="00510A59">
        <w:rPr>
          <w:rFonts w:ascii="Times New Roman" w:hAnsi="Times New Roman" w:cs="Times New Roman"/>
          <w:bCs/>
          <w:sz w:val="24"/>
          <w:szCs w:val="24"/>
        </w:rPr>
        <w:t>, V., Hong, Q. N., &amp; Bush, P. L. (2014). Systematic mixed studies reviews: Reliability testing of the Mixed Methods Appraisal Tool. </w:t>
      </w:r>
      <w:r w:rsidRPr="00510A59">
        <w:rPr>
          <w:rFonts w:ascii="Times New Roman" w:hAnsi="Times New Roman" w:cs="Times New Roman"/>
          <w:bCs/>
          <w:i/>
          <w:iCs/>
          <w:sz w:val="24"/>
          <w:szCs w:val="24"/>
        </w:rPr>
        <w:t>International Journal of Multiple Research Approaches</w:t>
      </w:r>
      <w:r w:rsidRPr="00510A59">
        <w:rPr>
          <w:rFonts w:ascii="Times New Roman" w:hAnsi="Times New Roman" w:cs="Times New Roman"/>
          <w:bCs/>
          <w:sz w:val="24"/>
          <w:szCs w:val="24"/>
        </w:rPr>
        <w:t>, 8(1), 86–97.</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Statista. (2024). </w:t>
      </w:r>
      <w:r w:rsidRPr="00510A59">
        <w:rPr>
          <w:rFonts w:ascii="Times New Roman" w:hAnsi="Times New Roman" w:cs="Times New Roman"/>
          <w:bCs/>
          <w:i/>
          <w:iCs/>
          <w:sz w:val="24"/>
          <w:szCs w:val="24"/>
        </w:rPr>
        <w:t>Digital travel market outlook: Online penetration and booking trends by region</w:t>
      </w:r>
      <w:r w:rsidRPr="00510A59">
        <w:rPr>
          <w:rFonts w:ascii="Times New Roman" w:hAnsi="Times New Roman" w:cs="Times New Roman"/>
          <w:bCs/>
          <w:sz w:val="24"/>
          <w:szCs w:val="24"/>
        </w:rPr>
        <w:t>. Statista Research Department.</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Sun, D., Zhou, Y., Ali, Q., &amp; Khan, M. K. (2024). The role of digitalization, infrastructure, and economic stability in tourism growth: A pathway towards smart tourism destinations. </w:t>
      </w:r>
      <w:r w:rsidRPr="00510A59">
        <w:rPr>
          <w:rFonts w:ascii="Times New Roman" w:hAnsi="Times New Roman" w:cs="Times New Roman"/>
          <w:bCs/>
          <w:i/>
          <w:iCs/>
          <w:sz w:val="24"/>
          <w:szCs w:val="24"/>
        </w:rPr>
        <w:t>Natural Resources Forum</w:t>
      </w:r>
      <w:r w:rsidRPr="00510A59">
        <w:rPr>
          <w:rFonts w:ascii="Times New Roman" w:hAnsi="Times New Roman" w:cs="Times New Roman"/>
          <w:bCs/>
          <w:sz w:val="24"/>
          <w:szCs w:val="24"/>
        </w:rPr>
        <w:t>, 48(3), 892–915. </w:t>
      </w:r>
      <w:hyperlink r:id="rId41" w:tgtFrame="_blank" w:history="1">
        <w:r w:rsidRPr="00510A59">
          <w:rPr>
            <w:rStyle w:val="Hyperlink"/>
            <w:rFonts w:ascii="Times New Roman" w:hAnsi="Times New Roman" w:cs="Times New Roman"/>
            <w:bCs/>
            <w:sz w:val="24"/>
            <w:szCs w:val="24"/>
          </w:rPr>
          <w:t>https://doi.org/10.1111/1477-8947.12437</w:t>
        </w:r>
      </w:hyperlink>
    </w:p>
    <w:p w:rsidR="00510A59" w:rsidRPr="00510A59" w:rsidRDefault="00510A59" w:rsidP="00510A59">
      <w:pPr>
        <w:jc w:val="both"/>
        <w:rPr>
          <w:rFonts w:ascii="Times New Roman" w:hAnsi="Times New Roman" w:cs="Times New Roman"/>
          <w:bCs/>
          <w:sz w:val="24"/>
          <w:szCs w:val="24"/>
        </w:rPr>
      </w:pPr>
      <w:proofErr w:type="spellStart"/>
      <w:r w:rsidRPr="00510A59">
        <w:rPr>
          <w:rFonts w:ascii="Times New Roman" w:hAnsi="Times New Roman" w:cs="Times New Roman"/>
          <w:bCs/>
          <w:sz w:val="24"/>
          <w:szCs w:val="24"/>
        </w:rPr>
        <w:t>Thiem</w:t>
      </w:r>
      <w:proofErr w:type="spellEnd"/>
      <w:r w:rsidRPr="00510A59">
        <w:rPr>
          <w:rFonts w:ascii="Times New Roman" w:hAnsi="Times New Roman" w:cs="Times New Roman"/>
          <w:bCs/>
          <w:sz w:val="24"/>
          <w:szCs w:val="24"/>
        </w:rPr>
        <w:t>, A. (2014). Unifying configurational comparative methods. </w:t>
      </w:r>
      <w:r w:rsidRPr="00510A59">
        <w:rPr>
          <w:rFonts w:ascii="Times New Roman" w:hAnsi="Times New Roman" w:cs="Times New Roman"/>
          <w:bCs/>
          <w:i/>
          <w:iCs/>
          <w:sz w:val="24"/>
          <w:szCs w:val="24"/>
        </w:rPr>
        <w:t>Sociological Methods &amp; Research</w:t>
      </w:r>
      <w:r w:rsidRPr="00510A59">
        <w:rPr>
          <w:rFonts w:ascii="Times New Roman" w:hAnsi="Times New Roman" w:cs="Times New Roman"/>
          <w:bCs/>
          <w:sz w:val="24"/>
          <w:szCs w:val="24"/>
        </w:rPr>
        <w:t>, 43(2), 313–337. </w:t>
      </w:r>
      <w:hyperlink r:id="rId42" w:tgtFrame="_blank" w:history="1">
        <w:r w:rsidRPr="00510A59">
          <w:rPr>
            <w:rStyle w:val="Hyperlink"/>
            <w:rFonts w:ascii="Times New Roman" w:hAnsi="Times New Roman" w:cs="Times New Roman"/>
            <w:bCs/>
            <w:sz w:val="24"/>
            <w:szCs w:val="24"/>
          </w:rPr>
          <w:t>https://doi.org/10.1177/0049124113500481</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Transparency International. (2024). Corruption perceptions index 2024: Sub-Saharan Africa regional analysis. Transparency International.</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Tyndall, J. (2008). </w:t>
      </w:r>
      <w:r w:rsidRPr="00510A59">
        <w:rPr>
          <w:rFonts w:ascii="Times New Roman" w:hAnsi="Times New Roman" w:cs="Times New Roman"/>
          <w:bCs/>
          <w:i/>
          <w:iCs/>
          <w:sz w:val="24"/>
          <w:szCs w:val="24"/>
        </w:rPr>
        <w:t>AACODS checklist for appraising grey literature</w:t>
      </w:r>
      <w:r w:rsidRPr="00510A59">
        <w:rPr>
          <w:rFonts w:ascii="Times New Roman" w:hAnsi="Times New Roman" w:cs="Times New Roman"/>
          <w:bCs/>
          <w:sz w:val="24"/>
          <w:szCs w:val="24"/>
        </w:rPr>
        <w:t>. Flinders University.</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UNCTAD. (2024). </w:t>
      </w:r>
      <w:r w:rsidRPr="00510A59">
        <w:rPr>
          <w:rFonts w:ascii="Times New Roman" w:hAnsi="Times New Roman" w:cs="Times New Roman"/>
          <w:bCs/>
          <w:i/>
          <w:iCs/>
          <w:sz w:val="24"/>
          <w:szCs w:val="24"/>
        </w:rPr>
        <w:t>World investment report 2024: Investment and climate change</w:t>
      </w:r>
      <w:r w:rsidRPr="00510A59">
        <w:rPr>
          <w:rFonts w:ascii="Times New Roman" w:hAnsi="Times New Roman" w:cs="Times New Roman"/>
          <w:bCs/>
          <w:sz w:val="24"/>
          <w:szCs w:val="24"/>
        </w:rPr>
        <w:t>. United Nations Conference on Trade and Development.</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UNESCO. (2024). </w:t>
      </w:r>
      <w:r w:rsidRPr="00510A59">
        <w:rPr>
          <w:rFonts w:ascii="Times New Roman" w:hAnsi="Times New Roman" w:cs="Times New Roman"/>
          <w:bCs/>
          <w:i/>
          <w:iCs/>
          <w:sz w:val="24"/>
          <w:szCs w:val="24"/>
        </w:rPr>
        <w:t>World Heritage List: Statistics and properties by region</w:t>
      </w:r>
      <w:r w:rsidRPr="00510A59">
        <w:rPr>
          <w:rFonts w:ascii="Times New Roman" w:hAnsi="Times New Roman" w:cs="Times New Roman"/>
          <w:bCs/>
          <w:sz w:val="24"/>
          <w:szCs w:val="24"/>
        </w:rPr>
        <w:t>. United Nations Educational, Scientific and Cultural Organization.</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UNWTO. (2023). </w:t>
      </w:r>
      <w:r w:rsidRPr="00510A59">
        <w:rPr>
          <w:rFonts w:ascii="Times New Roman" w:hAnsi="Times New Roman" w:cs="Times New Roman"/>
          <w:bCs/>
          <w:i/>
          <w:iCs/>
          <w:sz w:val="24"/>
          <w:szCs w:val="24"/>
        </w:rPr>
        <w:t>International tourism highlights 2023 edition</w:t>
      </w:r>
      <w:r w:rsidRPr="00510A59">
        <w:rPr>
          <w:rFonts w:ascii="Times New Roman" w:hAnsi="Times New Roman" w:cs="Times New Roman"/>
          <w:bCs/>
          <w:sz w:val="24"/>
          <w:szCs w:val="24"/>
        </w:rPr>
        <w:t>. World Tourism Organization.</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Whitaker, R., Hendry, M., Aslam, R., Booth, A., Carter, B., Charles, J., </w:t>
      </w:r>
      <w:proofErr w:type="spellStart"/>
      <w:r w:rsidRPr="00510A59">
        <w:rPr>
          <w:rFonts w:ascii="Times New Roman" w:hAnsi="Times New Roman" w:cs="Times New Roman"/>
          <w:bCs/>
          <w:sz w:val="24"/>
          <w:szCs w:val="24"/>
        </w:rPr>
        <w:t>Craine</w:t>
      </w:r>
      <w:proofErr w:type="spellEnd"/>
      <w:r w:rsidRPr="00510A59">
        <w:rPr>
          <w:rFonts w:ascii="Times New Roman" w:hAnsi="Times New Roman" w:cs="Times New Roman"/>
          <w:bCs/>
          <w:sz w:val="24"/>
          <w:szCs w:val="24"/>
        </w:rPr>
        <w:t xml:space="preserve">, N., Edwards, R., Noyes, J., </w:t>
      </w:r>
      <w:proofErr w:type="spellStart"/>
      <w:r w:rsidRPr="00510A59">
        <w:rPr>
          <w:rFonts w:ascii="Times New Roman" w:hAnsi="Times New Roman" w:cs="Times New Roman"/>
          <w:bCs/>
          <w:sz w:val="24"/>
          <w:szCs w:val="24"/>
        </w:rPr>
        <w:t>Ntambwe</w:t>
      </w:r>
      <w:proofErr w:type="spellEnd"/>
      <w:r w:rsidRPr="00510A59">
        <w:rPr>
          <w:rFonts w:ascii="Times New Roman" w:hAnsi="Times New Roman" w:cs="Times New Roman"/>
          <w:bCs/>
          <w:sz w:val="24"/>
          <w:szCs w:val="24"/>
        </w:rPr>
        <w:t xml:space="preserve">, L., </w:t>
      </w:r>
      <w:proofErr w:type="spellStart"/>
      <w:r w:rsidRPr="00510A59">
        <w:rPr>
          <w:rFonts w:ascii="Times New Roman" w:hAnsi="Times New Roman" w:cs="Times New Roman"/>
          <w:bCs/>
          <w:sz w:val="24"/>
          <w:szCs w:val="24"/>
        </w:rPr>
        <w:t>Pasterfield</w:t>
      </w:r>
      <w:proofErr w:type="spellEnd"/>
      <w:r w:rsidRPr="00510A59">
        <w:rPr>
          <w:rFonts w:ascii="Times New Roman" w:hAnsi="Times New Roman" w:cs="Times New Roman"/>
          <w:bCs/>
          <w:sz w:val="24"/>
          <w:szCs w:val="24"/>
        </w:rPr>
        <w:t>, D., Rycroft-Malone, J., &amp; Williams, N. (2016). Mixed-methods appraisal tool. </w:t>
      </w:r>
      <w:r w:rsidRPr="00510A59">
        <w:rPr>
          <w:rFonts w:ascii="Times New Roman" w:hAnsi="Times New Roman" w:cs="Times New Roman"/>
          <w:bCs/>
          <w:i/>
          <w:iCs/>
          <w:sz w:val="24"/>
          <w:szCs w:val="24"/>
        </w:rPr>
        <w:t>International Journal of Technology Assessment in Health Care</w:t>
      </w:r>
      <w:r w:rsidRPr="00510A59">
        <w:rPr>
          <w:rFonts w:ascii="Times New Roman" w:hAnsi="Times New Roman" w:cs="Times New Roman"/>
          <w:bCs/>
          <w:sz w:val="24"/>
          <w:szCs w:val="24"/>
        </w:rPr>
        <w:t>, 32(5), 289–297.</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World Bank. (2024). Business Ready (B-READY) 2024 report: Sub-Saharan Africa regional spotlight. World Bank Group.</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WTTC. (2024). Travel &amp; tourism economic impact 2024: Sub-Saharan Africa. World Travel &amp; Tourism Council.</w:t>
      </w:r>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t xml:space="preserve">Xu, C., Yang, Y., </w:t>
      </w:r>
      <w:proofErr w:type="spellStart"/>
      <w:r w:rsidRPr="00510A59">
        <w:rPr>
          <w:rFonts w:ascii="Times New Roman" w:hAnsi="Times New Roman" w:cs="Times New Roman"/>
          <w:bCs/>
          <w:sz w:val="24"/>
          <w:szCs w:val="24"/>
        </w:rPr>
        <w:t>Dossou</w:t>
      </w:r>
      <w:proofErr w:type="spellEnd"/>
      <w:r w:rsidRPr="00510A59">
        <w:rPr>
          <w:rFonts w:ascii="Times New Roman" w:hAnsi="Times New Roman" w:cs="Times New Roman"/>
          <w:bCs/>
          <w:sz w:val="24"/>
          <w:szCs w:val="24"/>
        </w:rPr>
        <w:t xml:space="preserve">, T. A. M., </w:t>
      </w:r>
      <w:proofErr w:type="spellStart"/>
      <w:r w:rsidRPr="00510A59">
        <w:rPr>
          <w:rFonts w:ascii="Times New Roman" w:hAnsi="Times New Roman" w:cs="Times New Roman"/>
          <w:bCs/>
          <w:sz w:val="24"/>
          <w:szCs w:val="24"/>
        </w:rPr>
        <w:t>Berhe</w:t>
      </w:r>
      <w:proofErr w:type="spellEnd"/>
      <w:r w:rsidRPr="00510A59">
        <w:rPr>
          <w:rFonts w:ascii="Times New Roman" w:hAnsi="Times New Roman" w:cs="Times New Roman"/>
          <w:bCs/>
          <w:sz w:val="24"/>
          <w:szCs w:val="24"/>
        </w:rPr>
        <w:t xml:space="preserve">, M. W., &amp; </w:t>
      </w:r>
      <w:proofErr w:type="spellStart"/>
      <w:r w:rsidRPr="00510A59">
        <w:rPr>
          <w:rFonts w:ascii="Times New Roman" w:hAnsi="Times New Roman" w:cs="Times New Roman"/>
          <w:bCs/>
          <w:sz w:val="24"/>
          <w:szCs w:val="24"/>
        </w:rPr>
        <w:t>Kambaye</w:t>
      </w:r>
      <w:proofErr w:type="spellEnd"/>
      <w:r w:rsidRPr="00510A59">
        <w:rPr>
          <w:rFonts w:ascii="Times New Roman" w:hAnsi="Times New Roman" w:cs="Times New Roman"/>
          <w:bCs/>
          <w:sz w:val="24"/>
          <w:szCs w:val="24"/>
        </w:rPr>
        <w:t>, E. N. (2022). Does corruption undermine tourism development in Africa? </w:t>
      </w:r>
      <w:r w:rsidRPr="00510A59">
        <w:rPr>
          <w:rFonts w:ascii="Times New Roman" w:hAnsi="Times New Roman" w:cs="Times New Roman"/>
          <w:bCs/>
          <w:i/>
          <w:iCs/>
          <w:sz w:val="24"/>
          <w:szCs w:val="24"/>
        </w:rPr>
        <w:t>Current Issues in Tourism</w:t>
      </w:r>
      <w:r w:rsidRPr="00510A59">
        <w:rPr>
          <w:rFonts w:ascii="Times New Roman" w:hAnsi="Times New Roman" w:cs="Times New Roman"/>
          <w:bCs/>
          <w:sz w:val="24"/>
          <w:szCs w:val="24"/>
        </w:rPr>
        <w:t>, 26(11), 1779–1796. </w:t>
      </w:r>
      <w:hyperlink r:id="rId43" w:tgtFrame="_blank" w:history="1">
        <w:r w:rsidRPr="00510A59">
          <w:rPr>
            <w:rStyle w:val="Hyperlink"/>
            <w:rFonts w:ascii="Times New Roman" w:hAnsi="Times New Roman" w:cs="Times New Roman"/>
            <w:bCs/>
            <w:sz w:val="24"/>
            <w:szCs w:val="24"/>
          </w:rPr>
          <w:t>https://doi.org/10.1080/13683500.2022.2069553</w:t>
        </w:r>
      </w:hyperlink>
    </w:p>
    <w:p w:rsidR="00510A59" w:rsidRPr="00510A59" w:rsidRDefault="00510A59" w:rsidP="00510A59">
      <w:pPr>
        <w:jc w:val="both"/>
        <w:rPr>
          <w:rFonts w:ascii="Times New Roman" w:hAnsi="Times New Roman" w:cs="Times New Roman"/>
          <w:bCs/>
          <w:sz w:val="24"/>
          <w:szCs w:val="24"/>
        </w:rPr>
      </w:pPr>
      <w:r w:rsidRPr="00510A59">
        <w:rPr>
          <w:rFonts w:ascii="Times New Roman" w:hAnsi="Times New Roman" w:cs="Times New Roman"/>
          <w:bCs/>
          <w:sz w:val="24"/>
          <w:szCs w:val="24"/>
        </w:rPr>
        <w:lastRenderedPageBreak/>
        <w:t>Zhang, Y., Xu, H., &amp; Yang, H. (2023). An integrated path framework of tourism and hospitality social entrepreneurship: A systematic literature review. </w:t>
      </w:r>
      <w:r w:rsidRPr="00510A59">
        <w:rPr>
          <w:rFonts w:ascii="Times New Roman" w:hAnsi="Times New Roman" w:cs="Times New Roman"/>
          <w:bCs/>
          <w:i/>
          <w:iCs/>
          <w:sz w:val="24"/>
          <w:szCs w:val="24"/>
        </w:rPr>
        <w:t>International Journal of Contemporary Hospitality Management</w:t>
      </w:r>
      <w:r w:rsidRPr="00510A59">
        <w:rPr>
          <w:rFonts w:ascii="Times New Roman" w:hAnsi="Times New Roman" w:cs="Times New Roman"/>
          <w:bCs/>
          <w:sz w:val="24"/>
          <w:szCs w:val="24"/>
        </w:rPr>
        <w:t>, 35(9), 3165–3191. </w:t>
      </w:r>
      <w:hyperlink r:id="rId44" w:tgtFrame="_blank" w:history="1">
        <w:r w:rsidRPr="00510A59">
          <w:rPr>
            <w:rStyle w:val="Hyperlink"/>
            <w:rFonts w:ascii="Times New Roman" w:hAnsi="Times New Roman" w:cs="Times New Roman"/>
            <w:bCs/>
            <w:sz w:val="24"/>
            <w:szCs w:val="24"/>
          </w:rPr>
          <w:t>https://doi.org/10.1108/IJCHM-09-2022-1057</w:t>
        </w:r>
      </w:hyperlink>
    </w:p>
    <w:p w:rsidR="00510A59" w:rsidRPr="00510A59" w:rsidRDefault="00510A59" w:rsidP="00510A59">
      <w:pPr>
        <w:jc w:val="both"/>
        <w:rPr>
          <w:rFonts w:ascii="Times New Roman" w:hAnsi="Times New Roman" w:cs="Times New Roman"/>
          <w:bCs/>
          <w:sz w:val="24"/>
          <w:szCs w:val="24"/>
        </w:rPr>
      </w:pPr>
    </w:p>
    <w:p w:rsidR="00457F36" w:rsidRPr="00457F36" w:rsidRDefault="00122E12" w:rsidP="00457F36">
      <w:pPr>
        <w:jc w:val="both"/>
        <w:rPr>
          <w:rFonts w:ascii="Times New Roman" w:hAnsi="Times New Roman" w:cs="Times New Roman"/>
          <w:bCs/>
          <w:sz w:val="24"/>
          <w:szCs w:val="24"/>
        </w:rPr>
      </w:pPr>
      <w:r>
        <w:rPr>
          <w:rFonts w:ascii="Times New Roman" w:hAnsi="Times New Roman" w:cs="Times New Roman"/>
          <w:bCs/>
          <w:sz w:val="24"/>
          <w:szCs w:val="24"/>
        </w:rPr>
        <w:t>Appendix</w:t>
      </w:r>
    </w:p>
    <w:p w:rsidR="00457F36" w:rsidRPr="00457F36" w:rsidRDefault="00457F36" w:rsidP="00457F36">
      <w:pPr>
        <w:jc w:val="both"/>
        <w:rPr>
          <w:rFonts w:ascii="Times New Roman" w:hAnsi="Times New Roman" w:cs="Times New Roman"/>
          <w:bCs/>
          <w:sz w:val="24"/>
          <w:szCs w:val="24"/>
        </w:rPr>
      </w:pPr>
      <w:r w:rsidRPr="00457F36">
        <w:rPr>
          <w:rFonts w:ascii="Times New Roman" w:hAnsi="Times New Roman" w:cs="Times New Roman"/>
          <w:bCs/>
          <w:sz w:val="24"/>
          <w:szCs w:val="24"/>
        </w:rPr>
        <w:t>Statistical sources incorporated:</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Tourism FDI flows: US$3.2 billion annually SSA vs US$180 billion global (UNWTO, 2023)</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Investment gap: SSA receives US$4.50 per tourist vs US$28.70 Southeast Asia (World Bank,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Heritage-to-investment conversion: 37% of Southeast Asian benchmark (author calculation)</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Employment: 54% women, 62% youth in SSA tourism (WTTC,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Export share: 7.2% of exports in SSA vs 5.8% globally (WTTC,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Land tenure: 12% of SSA countries have tourism-specific land policies (World Bank,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Visa regimes: 62% of source markets require visas in SSA vs 28% Southeast Asia (World Bank,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 xml:space="preserve">Licensing: 94 </w:t>
      </w:r>
      <w:proofErr w:type="gramStart"/>
      <w:r w:rsidRPr="00457F36">
        <w:rPr>
          <w:rFonts w:ascii="Times New Roman" w:hAnsi="Times New Roman" w:cs="Times New Roman"/>
          <w:bCs/>
          <w:sz w:val="24"/>
          <w:szCs w:val="24"/>
        </w:rPr>
        <w:t>days</w:t>
      </w:r>
      <w:proofErr w:type="gramEnd"/>
      <w:r w:rsidRPr="00457F36">
        <w:rPr>
          <w:rFonts w:ascii="Times New Roman" w:hAnsi="Times New Roman" w:cs="Times New Roman"/>
          <w:bCs/>
          <w:sz w:val="24"/>
          <w:szCs w:val="24"/>
        </w:rPr>
        <w:t xml:space="preserve"> average in SSA vs 23 days East Asia (World Bank,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Repatriation: 18.5 days in SSA vs 4.2 days OECD (World Bank,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Infrastructure: 48% road paving, 34% rural electricity, 40% internet penetration (ITU,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ROI proxies: 54% occupancy, US$112 ADR, 11.4-year payback, 9-14% IRR (JLL, 2024; AECOM, 2023)</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Patient capital: US$210 million (2015) to US$1.4 billion (2023), 26.8% CAGR (GIIN,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Tech market: 18% online penetration, US$2.8 billion untapped market (Statista,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DFI funding: Only 23% of tourism funding addresses investment readiness (</w:t>
      </w:r>
      <w:proofErr w:type="spellStart"/>
      <w:r w:rsidRPr="00457F36">
        <w:rPr>
          <w:rFonts w:ascii="Times New Roman" w:hAnsi="Times New Roman" w:cs="Times New Roman"/>
          <w:bCs/>
          <w:sz w:val="24"/>
          <w:szCs w:val="24"/>
        </w:rPr>
        <w:t>AfDB</w:t>
      </w:r>
      <w:proofErr w:type="spellEnd"/>
      <w:r w:rsidRPr="00457F36">
        <w:rPr>
          <w:rFonts w:ascii="Times New Roman" w:hAnsi="Times New Roman" w:cs="Times New Roman"/>
          <w:bCs/>
          <w:sz w:val="24"/>
          <w:szCs w:val="24"/>
        </w:rPr>
        <w:t>,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Promotion budgets: US$2.1 million SSA vs US$18.7 million Southeast Asia (WTTC, 2024)</w:t>
      </w:r>
    </w:p>
    <w:p w:rsidR="00457F36" w:rsidRPr="00457F36" w:rsidRDefault="00457F36" w:rsidP="00122E12">
      <w:pPr>
        <w:numPr>
          <w:ilvl w:val="0"/>
          <w:numId w:val="8"/>
        </w:numPr>
        <w:jc w:val="both"/>
        <w:rPr>
          <w:rFonts w:ascii="Times New Roman" w:hAnsi="Times New Roman" w:cs="Times New Roman"/>
          <w:bCs/>
          <w:sz w:val="24"/>
          <w:szCs w:val="24"/>
        </w:rPr>
      </w:pPr>
      <w:r w:rsidRPr="00457F36">
        <w:rPr>
          <w:rFonts w:ascii="Times New Roman" w:hAnsi="Times New Roman" w:cs="Times New Roman"/>
          <w:bCs/>
          <w:sz w:val="24"/>
          <w:szCs w:val="24"/>
        </w:rPr>
        <w:t>Foregone opportunity: US$8-12 billion annually, 2.5-3.8 million jobs (author calculations)</w:t>
      </w:r>
    </w:p>
    <w:p w:rsidR="00457F36" w:rsidRPr="00A71D9A" w:rsidRDefault="00457F36" w:rsidP="00A71D9A">
      <w:pPr>
        <w:jc w:val="both"/>
        <w:rPr>
          <w:rFonts w:ascii="Times New Roman" w:hAnsi="Times New Roman" w:cs="Times New Roman"/>
          <w:sz w:val="24"/>
          <w:szCs w:val="24"/>
        </w:rPr>
      </w:pPr>
    </w:p>
    <w:sectPr w:rsidR="00457F36" w:rsidRPr="00A71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4A94"/>
    <w:multiLevelType w:val="multilevel"/>
    <w:tmpl w:val="C8BE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5212A"/>
    <w:multiLevelType w:val="multilevel"/>
    <w:tmpl w:val="E5B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F39B0"/>
    <w:multiLevelType w:val="multilevel"/>
    <w:tmpl w:val="AD2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A5A9F"/>
    <w:multiLevelType w:val="multilevel"/>
    <w:tmpl w:val="C030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62C0C"/>
    <w:multiLevelType w:val="multilevel"/>
    <w:tmpl w:val="1F8CBA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D7FD1"/>
    <w:multiLevelType w:val="multilevel"/>
    <w:tmpl w:val="8A6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02BBE"/>
    <w:multiLevelType w:val="multilevel"/>
    <w:tmpl w:val="B368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80CA7"/>
    <w:multiLevelType w:val="multilevel"/>
    <w:tmpl w:val="257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9A"/>
    <w:rsid w:val="00002231"/>
    <w:rsid w:val="000033ED"/>
    <w:rsid w:val="00084040"/>
    <w:rsid w:val="00122E12"/>
    <w:rsid w:val="00170BAD"/>
    <w:rsid w:val="001876B5"/>
    <w:rsid w:val="001900F2"/>
    <w:rsid w:val="001A0675"/>
    <w:rsid w:val="00240F4A"/>
    <w:rsid w:val="00241C72"/>
    <w:rsid w:val="003011A3"/>
    <w:rsid w:val="00333387"/>
    <w:rsid w:val="00391D1C"/>
    <w:rsid w:val="003A3883"/>
    <w:rsid w:val="003B6732"/>
    <w:rsid w:val="003E0293"/>
    <w:rsid w:val="00432E30"/>
    <w:rsid w:val="0044724E"/>
    <w:rsid w:val="00457F36"/>
    <w:rsid w:val="00483229"/>
    <w:rsid w:val="00510A59"/>
    <w:rsid w:val="00521C10"/>
    <w:rsid w:val="00523C82"/>
    <w:rsid w:val="00536351"/>
    <w:rsid w:val="00552475"/>
    <w:rsid w:val="005C6600"/>
    <w:rsid w:val="005E2FCA"/>
    <w:rsid w:val="00665A6C"/>
    <w:rsid w:val="006A70B7"/>
    <w:rsid w:val="006D7472"/>
    <w:rsid w:val="007B5754"/>
    <w:rsid w:val="00811B1C"/>
    <w:rsid w:val="0083373B"/>
    <w:rsid w:val="008C0303"/>
    <w:rsid w:val="00907E3E"/>
    <w:rsid w:val="00962A84"/>
    <w:rsid w:val="00990A05"/>
    <w:rsid w:val="00A67F63"/>
    <w:rsid w:val="00A71D9A"/>
    <w:rsid w:val="00B71C8A"/>
    <w:rsid w:val="00CB1DA8"/>
    <w:rsid w:val="00D5227C"/>
    <w:rsid w:val="00DC56FE"/>
    <w:rsid w:val="00F43F08"/>
    <w:rsid w:val="00FA6313"/>
    <w:rsid w:val="00FB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E0658-0353-42DC-A1F8-6A57697D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3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2049">
      <w:bodyDiv w:val="1"/>
      <w:marLeft w:val="0"/>
      <w:marRight w:val="0"/>
      <w:marTop w:val="0"/>
      <w:marBottom w:val="0"/>
      <w:divBdr>
        <w:top w:val="none" w:sz="0" w:space="0" w:color="auto"/>
        <w:left w:val="none" w:sz="0" w:space="0" w:color="auto"/>
        <w:bottom w:val="none" w:sz="0" w:space="0" w:color="auto"/>
        <w:right w:val="none" w:sz="0" w:space="0" w:color="auto"/>
      </w:divBdr>
      <w:divsChild>
        <w:div w:id="475756149">
          <w:marLeft w:val="0"/>
          <w:marRight w:val="0"/>
          <w:marTop w:val="0"/>
          <w:marBottom w:val="0"/>
          <w:divBdr>
            <w:top w:val="none" w:sz="0" w:space="0" w:color="auto"/>
            <w:left w:val="none" w:sz="0" w:space="0" w:color="auto"/>
            <w:bottom w:val="none" w:sz="0" w:space="0" w:color="auto"/>
            <w:right w:val="none" w:sz="0" w:space="0" w:color="auto"/>
          </w:divBdr>
          <w:divsChild>
            <w:div w:id="5377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3507">
      <w:bodyDiv w:val="1"/>
      <w:marLeft w:val="0"/>
      <w:marRight w:val="0"/>
      <w:marTop w:val="0"/>
      <w:marBottom w:val="0"/>
      <w:divBdr>
        <w:top w:val="none" w:sz="0" w:space="0" w:color="auto"/>
        <w:left w:val="none" w:sz="0" w:space="0" w:color="auto"/>
        <w:bottom w:val="none" w:sz="0" w:space="0" w:color="auto"/>
        <w:right w:val="none" w:sz="0" w:space="0" w:color="auto"/>
      </w:divBdr>
    </w:div>
    <w:div w:id="865214451">
      <w:bodyDiv w:val="1"/>
      <w:marLeft w:val="0"/>
      <w:marRight w:val="0"/>
      <w:marTop w:val="0"/>
      <w:marBottom w:val="0"/>
      <w:divBdr>
        <w:top w:val="none" w:sz="0" w:space="0" w:color="auto"/>
        <w:left w:val="none" w:sz="0" w:space="0" w:color="auto"/>
        <w:bottom w:val="none" w:sz="0" w:space="0" w:color="auto"/>
        <w:right w:val="none" w:sz="0" w:space="0" w:color="auto"/>
      </w:divBdr>
    </w:div>
    <w:div w:id="923880203">
      <w:bodyDiv w:val="1"/>
      <w:marLeft w:val="0"/>
      <w:marRight w:val="0"/>
      <w:marTop w:val="0"/>
      <w:marBottom w:val="0"/>
      <w:divBdr>
        <w:top w:val="none" w:sz="0" w:space="0" w:color="auto"/>
        <w:left w:val="none" w:sz="0" w:space="0" w:color="auto"/>
        <w:bottom w:val="none" w:sz="0" w:space="0" w:color="auto"/>
        <w:right w:val="none" w:sz="0" w:space="0" w:color="auto"/>
      </w:divBdr>
      <w:divsChild>
        <w:div w:id="1875583128">
          <w:marLeft w:val="0"/>
          <w:marRight w:val="0"/>
          <w:marTop w:val="0"/>
          <w:marBottom w:val="0"/>
          <w:divBdr>
            <w:top w:val="none" w:sz="0" w:space="0" w:color="auto"/>
            <w:left w:val="none" w:sz="0" w:space="0" w:color="auto"/>
            <w:bottom w:val="none" w:sz="0" w:space="0" w:color="auto"/>
            <w:right w:val="none" w:sz="0" w:space="0" w:color="auto"/>
          </w:divBdr>
        </w:div>
        <w:div w:id="962660858">
          <w:blockQuote w:val="1"/>
          <w:marLeft w:val="0"/>
          <w:marRight w:val="0"/>
          <w:marTop w:val="240"/>
          <w:marBottom w:val="0"/>
          <w:divBdr>
            <w:top w:val="none" w:sz="0" w:space="0" w:color="auto"/>
            <w:left w:val="single" w:sz="12" w:space="11" w:color="ADB2B8"/>
            <w:bottom w:val="none" w:sz="0" w:space="0" w:color="auto"/>
            <w:right w:val="none" w:sz="0" w:space="0" w:color="auto"/>
          </w:divBdr>
        </w:div>
        <w:div w:id="1026177299">
          <w:blockQuote w:val="1"/>
          <w:marLeft w:val="0"/>
          <w:marRight w:val="0"/>
          <w:marTop w:val="240"/>
          <w:marBottom w:val="0"/>
          <w:divBdr>
            <w:top w:val="none" w:sz="0" w:space="0" w:color="auto"/>
            <w:left w:val="single" w:sz="12" w:space="11" w:color="ADB2B8"/>
            <w:bottom w:val="none" w:sz="0" w:space="0" w:color="auto"/>
            <w:right w:val="none" w:sz="0" w:space="0" w:color="auto"/>
          </w:divBdr>
        </w:div>
        <w:div w:id="531960668">
          <w:blockQuote w:val="1"/>
          <w:marLeft w:val="0"/>
          <w:marRight w:val="0"/>
          <w:marTop w:val="240"/>
          <w:marBottom w:val="0"/>
          <w:divBdr>
            <w:top w:val="none" w:sz="0" w:space="0" w:color="auto"/>
            <w:left w:val="single" w:sz="12" w:space="11" w:color="ADB2B8"/>
            <w:bottom w:val="none" w:sz="0" w:space="0" w:color="auto"/>
            <w:right w:val="none" w:sz="0" w:space="0" w:color="auto"/>
          </w:divBdr>
        </w:div>
        <w:div w:id="321785440">
          <w:marLeft w:val="0"/>
          <w:marRight w:val="0"/>
          <w:marTop w:val="0"/>
          <w:marBottom w:val="0"/>
          <w:divBdr>
            <w:top w:val="none" w:sz="0" w:space="0" w:color="auto"/>
            <w:left w:val="none" w:sz="0" w:space="0" w:color="auto"/>
            <w:bottom w:val="none" w:sz="0" w:space="0" w:color="auto"/>
            <w:right w:val="none" w:sz="0" w:space="0" w:color="auto"/>
          </w:divBdr>
        </w:div>
        <w:div w:id="2042583064">
          <w:marLeft w:val="0"/>
          <w:marRight w:val="0"/>
          <w:marTop w:val="0"/>
          <w:marBottom w:val="0"/>
          <w:divBdr>
            <w:top w:val="none" w:sz="0" w:space="0" w:color="auto"/>
            <w:left w:val="none" w:sz="0" w:space="0" w:color="auto"/>
            <w:bottom w:val="none" w:sz="0" w:space="0" w:color="auto"/>
            <w:right w:val="none" w:sz="0" w:space="0" w:color="auto"/>
          </w:divBdr>
        </w:div>
        <w:div w:id="1550798822">
          <w:marLeft w:val="0"/>
          <w:marRight w:val="0"/>
          <w:marTop w:val="0"/>
          <w:marBottom w:val="0"/>
          <w:divBdr>
            <w:top w:val="none" w:sz="0" w:space="0" w:color="auto"/>
            <w:left w:val="none" w:sz="0" w:space="0" w:color="auto"/>
            <w:bottom w:val="none" w:sz="0" w:space="0" w:color="auto"/>
            <w:right w:val="none" w:sz="0" w:space="0" w:color="auto"/>
          </w:divBdr>
        </w:div>
        <w:div w:id="26762665">
          <w:marLeft w:val="0"/>
          <w:marRight w:val="0"/>
          <w:marTop w:val="0"/>
          <w:marBottom w:val="0"/>
          <w:divBdr>
            <w:top w:val="none" w:sz="0" w:space="0" w:color="auto"/>
            <w:left w:val="none" w:sz="0" w:space="0" w:color="auto"/>
            <w:bottom w:val="none" w:sz="0" w:space="0" w:color="auto"/>
            <w:right w:val="none" w:sz="0" w:space="0" w:color="auto"/>
          </w:divBdr>
        </w:div>
        <w:div w:id="662203304">
          <w:marLeft w:val="0"/>
          <w:marRight w:val="0"/>
          <w:marTop w:val="0"/>
          <w:marBottom w:val="0"/>
          <w:divBdr>
            <w:top w:val="none" w:sz="0" w:space="0" w:color="auto"/>
            <w:left w:val="none" w:sz="0" w:space="0" w:color="auto"/>
            <w:bottom w:val="none" w:sz="0" w:space="0" w:color="auto"/>
            <w:right w:val="none" w:sz="0" w:space="0" w:color="auto"/>
          </w:divBdr>
        </w:div>
      </w:divsChild>
    </w:div>
    <w:div w:id="978996356">
      <w:bodyDiv w:val="1"/>
      <w:marLeft w:val="0"/>
      <w:marRight w:val="0"/>
      <w:marTop w:val="0"/>
      <w:marBottom w:val="0"/>
      <w:divBdr>
        <w:top w:val="none" w:sz="0" w:space="0" w:color="auto"/>
        <w:left w:val="none" w:sz="0" w:space="0" w:color="auto"/>
        <w:bottom w:val="none" w:sz="0" w:space="0" w:color="auto"/>
        <w:right w:val="none" w:sz="0" w:space="0" w:color="auto"/>
      </w:divBdr>
    </w:div>
    <w:div w:id="1098064126">
      <w:bodyDiv w:val="1"/>
      <w:marLeft w:val="0"/>
      <w:marRight w:val="0"/>
      <w:marTop w:val="0"/>
      <w:marBottom w:val="0"/>
      <w:divBdr>
        <w:top w:val="none" w:sz="0" w:space="0" w:color="auto"/>
        <w:left w:val="none" w:sz="0" w:space="0" w:color="auto"/>
        <w:bottom w:val="none" w:sz="0" w:space="0" w:color="auto"/>
        <w:right w:val="none" w:sz="0" w:space="0" w:color="auto"/>
      </w:divBdr>
    </w:div>
    <w:div w:id="1236552906">
      <w:bodyDiv w:val="1"/>
      <w:marLeft w:val="0"/>
      <w:marRight w:val="0"/>
      <w:marTop w:val="0"/>
      <w:marBottom w:val="0"/>
      <w:divBdr>
        <w:top w:val="none" w:sz="0" w:space="0" w:color="auto"/>
        <w:left w:val="none" w:sz="0" w:space="0" w:color="auto"/>
        <w:bottom w:val="none" w:sz="0" w:space="0" w:color="auto"/>
        <w:right w:val="none" w:sz="0" w:space="0" w:color="auto"/>
      </w:divBdr>
    </w:div>
    <w:div w:id="1392120948">
      <w:bodyDiv w:val="1"/>
      <w:marLeft w:val="0"/>
      <w:marRight w:val="0"/>
      <w:marTop w:val="0"/>
      <w:marBottom w:val="0"/>
      <w:divBdr>
        <w:top w:val="none" w:sz="0" w:space="0" w:color="auto"/>
        <w:left w:val="none" w:sz="0" w:space="0" w:color="auto"/>
        <w:bottom w:val="none" w:sz="0" w:space="0" w:color="auto"/>
        <w:right w:val="none" w:sz="0" w:space="0" w:color="auto"/>
      </w:divBdr>
      <w:divsChild>
        <w:div w:id="492111501">
          <w:marLeft w:val="660"/>
          <w:marRight w:val="660"/>
          <w:marTop w:val="0"/>
          <w:marBottom w:val="0"/>
          <w:divBdr>
            <w:top w:val="none" w:sz="0" w:space="0" w:color="auto"/>
            <w:left w:val="none" w:sz="0" w:space="0" w:color="auto"/>
            <w:bottom w:val="none" w:sz="0" w:space="0" w:color="auto"/>
            <w:right w:val="none" w:sz="0" w:space="0" w:color="auto"/>
          </w:divBdr>
          <w:divsChild>
            <w:div w:id="1926575579">
              <w:marLeft w:val="0"/>
              <w:marRight w:val="0"/>
              <w:marTop w:val="0"/>
              <w:marBottom w:val="0"/>
              <w:divBdr>
                <w:top w:val="none" w:sz="0" w:space="0" w:color="auto"/>
                <w:left w:val="none" w:sz="0" w:space="0" w:color="auto"/>
                <w:bottom w:val="none" w:sz="0" w:space="0" w:color="auto"/>
                <w:right w:val="none" w:sz="0" w:space="0" w:color="auto"/>
              </w:divBdr>
              <w:divsChild>
                <w:div w:id="928730000">
                  <w:marLeft w:val="0"/>
                  <w:marRight w:val="0"/>
                  <w:marTop w:val="0"/>
                  <w:marBottom w:val="0"/>
                  <w:divBdr>
                    <w:top w:val="none" w:sz="0" w:space="0" w:color="auto"/>
                    <w:left w:val="none" w:sz="0" w:space="0" w:color="auto"/>
                    <w:bottom w:val="none" w:sz="0" w:space="0" w:color="auto"/>
                    <w:right w:val="none" w:sz="0" w:space="0" w:color="auto"/>
                  </w:divBdr>
                  <w:divsChild>
                    <w:div w:id="806974136">
                      <w:marLeft w:val="0"/>
                      <w:marRight w:val="0"/>
                      <w:marTop w:val="0"/>
                      <w:marBottom w:val="0"/>
                      <w:divBdr>
                        <w:top w:val="none" w:sz="0" w:space="0" w:color="auto"/>
                        <w:left w:val="none" w:sz="0" w:space="0" w:color="auto"/>
                        <w:bottom w:val="none" w:sz="0" w:space="0" w:color="auto"/>
                        <w:right w:val="none" w:sz="0" w:space="0" w:color="auto"/>
                      </w:divBdr>
                      <w:divsChild>
                        <w:div w:id="16338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98736">
      <w:bodyDiv w:val="1"/>
      <w:marLeft w:val="0"/>
      <w:marRight w:val="0"/>
      <w:marTop w:val="0"/>
      <w:marBottom w:val="0"/>
      <w:divBdr>
        <w:top w:val="none" w:sz="0" w:space="0" w:color="auto"/>
        <w:left w:val="none" w:sz="0" w:space="0" w:color="auto"/>
        <w:bottom w:val="none" w:sz="0" w:space="0" w:color="auto"/>
        <w:right w:val="none" w:sz="0" w:space="0" w:color="auto"/>
      </w:divBdr>
    </w:div>
    <w:div w:id="1739860212">
      <w:bodyDiv w:val="1"/>
      <w:marLeft w:val="0"/>
      <w:marRight w:val="0"/>
      <w:marTop w:val="0"/>
      <w:marBottom w:val="0"/>
      <w:divBdr>
        <w:top w:val="none" w:sz="0" w:space="0" w:color="auto"/>
        <w:left w:val="none" w:sz="0" w:space="0" w:color="auto"/>
        <w:bottom w:val="none" w:sz="0" w:space="0" w:color="auto"/>
        <w:right w:val="none" w:sz="0" w:space="0" w:color="auto"/>
      </w:divBdr>
    </w:div>
    <w:div w:id="1872261448">
      <w:bodyDiv w:val="1"/>
      <w:marLeft w:val="0"/>
      <w:marRight w:val="0"/>
      <w:marTop w:val="0"/>
      <w:marBottom w:val="0"/>
      <w:divBdr>
        <w:top w:val="none" w:sz="0" w:space="0" w:color="auto"/>
        <w:left w:val="none" w:sz="0" w:space="0" w:color="auto"/>
        <w:bottom w:val="none" w:sz="0" w:space="0" w:color="auto"/>
        <w:right w:val="none" w:sz="0" w:space="0" w:color="auto"/>
      </w:divBdr>
    </w:div>
    <w:div w:id="20792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280062" TargetMode="External"/><Relationship Id="rId13" Type="http://schemas.openxmlformats.org/officeDocument/2006/relationships/hyperlink" Target="https://doi.org/10.4337/9781788975995.00034" TargetMode="External"/><Relationship Id="rId18" Type="http://schemas.openxmlformats.org/officeDocument/2006/relationships/hyperlink" Target="https://doi.org/10.1177/0047287518821736" TargetMode="External"/><Relationship Id="rId26" Type="http://schemas.openxmlformats.org/officeDocument/2006/relationships/hyperlink" Target="https://doi.org/10.11124/JBIES-24-00331" TargetMode="External"/><Relationship Id="rId39" Type="http://schemas.openxmlformats.org/officeDocument/2006/relationships/hyperlink" Target="https://doi.org/10.1186/s43093-025-00532-8" TargetMode="External"/><Relationship Id="rId3" Type="http://schemas.openxmlformats.org/officeDocument/2006/relationships/settings" Target="settings.xml"/><Relationship Id="rId21" Type="http://schemas.openxmlformats.org/officeDocument/2006/relationships/hyperlink" Target="https://doi.org/10.1186/s13643-017-0454-2" TargetMode="External"/><Relationship Id="rId34" Type="http://schemas.openxmlformats.org/officeDocument/2006/relationships/hyperlink" Target="https://doi.org/10.1057/s41287-020-00298-5" TargetMode="External"/><Relationship Id="rId42" Type="http://schemas.openxmlformats.org/officeDocument/2006/relationships/hyperlink" Target="https://doi.org/10.1177/0049124113500481" TargetMode="External"/><Relationship Id="rId7" Type="http://schemas.openxmlformats.org/officeDocument/2006/relationships/hyperlink" Target="https://doi.org/10.1111/issj.12316" TargetMode="External"/><Relationship Id="rId12" Type="http://schemas.openxmlformats.org/officeDocument/2006/relationships/hyperlink" Target="https://doi.org/10.1177/09750878251372923" TargetMode="External"/><Relationship Id="rId17" Type="http://schemas.openxmlformats.org/officeDocument/2006/relationships/hyperlink" Target="https://doi.org/10.3390/electronics13214151" TargetMode="External"/><Relationship Id="rId25" Type="http://schemas.openxmlformats.org/officeDocument/2006/relationships/hyperlink" Target="https://doi.org/10.1080/23311886.2025.2461741" TargetMode="External"/><Relationship Id="rId33" Type="http://schemas.openxmlformats.org/officeDocument/2006/relationships/hyperlink" Target="https://doi.org/10.58683/sp.2006" TargetMode="External"/><Relationship Id="rId38" Type="http://schemas.openxmlformats.org/officeDocument/2006/relationships/hyperlink" Target="https://doi.org/10.3389/fnhum.2023.127451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8/IJCHM-02-2021-0220" TargetMode="External"/><Relationship Id="rId20" Type="http://schemas.openxmlformats.org/officeDocument/2006/relationships/hyperlink" Target="https://doi.org/10.3233/EFI-180221" TargetMode="External"/><Relationship Id="rId29" Type="http://schemas.openxmlformats.org/officeDocument/2006/relationships/hyperlink" Target="https://doi.org/10.1016/j.envdev.2025.101177" TargetMode="External"/><Relationship Id="rId41" Type="http://schemas.openxmlformats.org/officeDocument/2006/relationships/hyperlink" Target="https://doi.org/10.1111/1477-8947.12437" TargetMode="External"/><Relationship Id="rId1" Type="http://schemas.openxmlformats.org/officeDocument/2006/relationships/numbering" Target="numbering.xml"/><Relationship Id="rId6" Type="http://schemas.openxmlformats.org/officeDocument/2006/relationships/hyperlink" Target="https://doi.org/10.1057/s41599-020-0529-x" TargetMode="External"/><Relationship Id="rId11" Type="http://schemas.openxmlformats.org/officeDocument/2006/relationships/hyperlink" Target="https://doi.org/10.1007/s11356-021-18262-z" TargetMode="External"/><Relationship Id="rId24" Type="http://schemas.openxmlformats.org/officeDocument/2006/relationships/hyperlink" Target="https://doi.org/10.2307/2529310" TargetMode="External"/><Relationship Id="rId32" Type="http://schemas.openxmlformats.org/officeDocument/2006/relationships/hyperlink" Target="https://doi.org/10.1080/23322039.2025.2559043" TargetMode="External"/><Relationship Id="rId37" Type="http://schemas.openxmlformats.org/officeDocument/2006/relationships/hyperlink" Target="https://doi.org/10.35912/joste.v4i1.1960" TargetMode="External"/><Relationship Id="rId40" Type="http://schemas.openxmlformats.org/officeDocument/2006/relationships/hyperlink" Target="https://doi.org/10.9789/2175-5361.rpcfo.v12.8615" TargetMode="External"/><Relationship Id="rId45" Type="http://schemas.openxmlformats.org/officeDocument/2006/relationships/fontTable" Target="fontTable.xml"/><Relationship Id="rId5" Type="http://schemas.openxmlformats.org/officeDocument/2006/relationships/hyperlink" Target="mailto:edamisan.ikuemonisan@aaua.edu.ng" TargetMode="External"/><Relationship Id="rId15" Type="http://schemas.openxmlformats.org/officeDocument/2006/relationships/hyperlink" Target="https://doi.org/10.1057/9781137314154_5" TargetMode="External"/><Relationship Id="rId23" Type="http://schemas.openxmlformats.org/officeDocument/2006/relationships/hyperlink" Target="https://doi.org/10.1080/0376835X.2020.1724530" TargetMode="External"/><Relationship Id="rId28" Type="http://schemas.openxmlformats.org/officeDocument/2006/relationships/hyperlink" Target="https://doi.org/10.1016/j.tourman.2016.08.011" TargetMode="External"/><Relationship Id="rId36" Type="http://schemas.openxmlformats.org/officeDocument/2006/relationships/hyperlink" Target="https://doi.org/10.1136/bmj.n71" TargetMode="External"/><Relationship Id="rId10" Type="http://schemas.openxmlformats.org/officeDocument/2006/relationships/hyperlink" Target="https://doi.org/10.1080/13683500.2022.2093699" TargetMode="External"/><Relationship Id="rId19" Type="http://schemas.openxmlformats.org/officeDocument/2006/relationships/hyperlink" Target="https://doi.org/10.1088/2515-7620/ac5f1c" TargetMode="External"/><Relationship Id="rId31" Type="http://schemas.openxmlformats.org/officeDocument/2006/relationships/hyperlink" Target="https://doi.org/10.1080/1743873X.2023.2255689" TargetMode="External"/><Relationship Id="rId44" Type="http://schemas.openxmlformats.org/officeDocument/2006/relationships/hyperlink" Target="https://doi.org/10.1108/IJCHM-09-2022-1057" TargetMode="External"/><Relationship Id="rId4" Type="http://schemas.openxmlformats.org/officeDocument/2006/relationships/webSettings" Target="webSettings.xml"/><Relationship Id="rId9" Type="http://schemas.openxmlformats.org/officeDocument/2006/relationships/hyperlink" Target="https://doi.org/10.1002/waf2.12011" TargetMode="External"/><Relationship Id="rId14" Type="http://schemas.openxmlformats.org/officeDocument/2006/relationships/hyperlink" Target="https://doi.org/10.1016/j.resourpol.2022.103204" TargetMode="External"/><Relationship Id="rId22" Type="http://schemas.openxmlformats.org/officeDocument/2006/relationships/hyperlink" Target="https://doi.org/10.1016/j.jclinepi.2019.03.008" TargetMode="External"/><Relationship Id="rId27" Type="http://schemas.openxmlformats.org/officeDocument/2006/relationships/hyperlink" Target="https://doi.org/10.1080/13683500.2022.2052267" TargetMode="External"/><Relationship Id="rId30" Type="http://schemas.openxmlformats.org/officeDocument/2006/relationships/hyperlink" Target="https://doi.org/10.1016/j.resenv.2021.100043" TargetMode="External"/><Relationship Id="rId35" Type="http://schemas.openxmlformats.org/officeDocument/2006/relationships/hyperlink" Target="https://doi.org/10.1002/pa.70081" TargetMode="External"/><Relationship Id="rId43" Type="http://schemas.openxmlformats.org/officeDocument/2006/relationships/hyperlink" Target="https://doi.org/10.1080/13683500.2022.2069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13262</Words>
  <Characters>75595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2026-05-12T07:58:00Z</dcterms:created>
  <dcterms:modified xsi:type="dcterms:W3CDTF">2026-05-12T07:58:00Z</dcterms:modified>
</cp:coreProperties>
</file>