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F3066" w:rsidRDefault="00000000" w:rsidP="00452CC5">
      <w:pPr>
        <w:rPr>
          <w:b/>
          <w:bCs/>
          <w:sz w:val="24"/>
          <w:szCs w:val="24"/>
        </w:rPr>
      </w:pPr>
      <w:r>
        <w:rPr>
          <w:b/>
          <w:bCs/>
          <w:sz w:val="24"/>
          <w:szCs w:val="24"/>
        </w:rPr>
        <w:t xml:space="preserve">SAFETY AND EFFICACY OF PERCUTANEOUS IMAGE-GUIDED </w:t>
      </w:r>
      <w:proofErr w:type="gramStart"/>
      <w:r>
        <w:rPr>
          <w:b/>
          <w:bCs/>
          <w:sz w:val="24"/>
          <w:szCs w:val="24"/>
        </w:rPr>
        <w:t>PROCEDURE  IN</w:t>
      </w:r>
      <w:proofErr w:type="gramEnd"/>
      <w:r>
        <w:rPr>
          <w:b/>
          <w:bCs/>
          <w:sz w:val="24"/>
          <w:szCs w:val="24"/>
        </w:rPr>
        <w:t xml:space="preserve"> MANAGING PLEURAL FLUID COLLECTIONS</w:t>
      </w:r>
    </w:p>
    <w:p w:rsidR="001F3066" w:rsidRDefault="001F3066">
      <w:pPr>
        <w:jc w:val="both"/>
        <w:rPr>
          <w:b/>
          <w:bCs/>
          <w:sz w:val="24"/>
          <w:szCs w:val="24"/>
        </w:rPr>
      </w:pPr>
    </w:p>
    <w:p w:rsidR="001F3066" w:rsidRDefault="00000000">
      <w:pPr>
        <w:jc w:val="both"/>
        <w:rPr>
          <w:sz w:val="24"/>
          <w:szCs w:val="24"/>
        </w:rPr>
      </w:pPr>
      <w:r>
        <w:rPr>
          <w:sz w:val="24"/>
          <w:szCs w:val="24"/>
        </w:rPr>
        <w:t>James Patrick Sango</w:t>
      </w:r>
      <w:r w:rsidR="00452CC5">
        <w:rPr>
          <w:sz w:val="24"/>
          <w:szCs w:val="24"/>
        </w:rPr>
        <w:t xml:space="preserve">; </w:t>
      </w:r>
      <w:proofErr w:type="spellStart"/>
      <w:r>
        <w:rPr>
          <w:sz w:val="24"/>
          <w:szCs w:val="24"/>
        </w:rPr>
        <w:t>Trexie</w:t>
      </w:r>
      <w:proofErr w:type="spellEnd"/>
      <w:r>
        <w:rPr>
          <w:sz w:val="24"/>
          <w:szCs w:val="24"/>
        </w:rPr>
        <w:t xml:space="preserve"> Lou D. Testa</w:t>
      </w:r>
      <w:r w:rsidR="00452CC5">
        <w:rPr>
          <w:sz w:val="24"/>
          <w:szCs w:val="24"/>
        </w:rPr>
        <w:t>;</w:t>
      </w:r>
      <w:r>
        <w:rPr>
          <w:sz w:val="24"/>
          <w:szCs w:val="24"/>
        </w:rPr>
        <w:t xml:space="preserve"> Princess Ivy Reth O. Paclibar</w:t>
      </w:r>
      <w:r w:rsidR="00452CC5">
        <w:rPr>
          <w:sz w:val="24"/>
          <w:szCs w:val="24"/>
        </w:rPr>
        <w:t>;</w:t>
      </w:r>
      <w:r>
        <w:rPr>
          <w:sz w:val="24"/>
          <w:szCs w:val="24"/>
        </w:rPr>
        <w:t xml:space="preserve"> Diana Nice Anne C. </w:t>
      </w:r>
      <w:proofErr w:type="spellStart"/>
      <w:proofErr w:type="gramStart"/>
      <w:r>
        <w:rPr>
          <w:sz w:val="24"/>
          <w:szCs w:val="24"/>
        </w:rPr>
        <w:t>Candol</w:t>
      </w:r>
      <w:proofErr w:type="spellEnd"/>
      <w:r w:rsidR="00452CC5">
        <w:rPr>
          <w:sz w:val="24"/>
          <w:szCs w:val="24"/>
        </w:rPr>
        <w:t xml:space="preserve">; </w:t>
      </w:r>
      <w:r>
        <w:rPr>
          <w:sz w:val="24"/>
          <w:szCs w:val="24"/>
        </w:rPr>
        <w:t xml:space="preserve"> </w:t>
      </w:r>
      <w:proofErr w:type="spellStart"/>
      <w:r>
        <w:rPr>
          <w:sz w:val="24"/>
          <w:szCs w:val="24"/>
        </w:rPr>
        <w:t>Mawyn</w:t>
      </w:r>
      <w:proofErr w:type="spellEnd"/>
      <w:proofErr w:type="gramEnd"/>
      <w:r>
        <w:rPr>
          <w:sz w:val="24"/>
          <w:szCs w:val="24"/>
        </w:rPr>
        <w:t xml:space="preserve"> Kyle Gabutan</w:t>
      </w:r>
      <w:r w:rsidR="00452CC5">
        <w:rPr>
          <w:sz w:val="24"/>
          <w:szCs w:val="24"/>
        </w:rPr>
        <w:t xml:space="preserve">; </w:t>
      </w:r>
      <w:r>
        <w:rPr>
          <w:sz w:val="24"/>
          <w:szCs w:val="24"/>
        </w:rPr>
        <w:t xml:space="preserve">Devin L. Revilla </w:t>
      </w:r>
      <m:oMath>
        <m:r>
          <w:rPr>
            <w:rFonts w:ascii="Cambria Math" w:hAnsi="Cambria Math"/>
            <w:sz w:val="24"/>
            <w:szCs w:val="24"/>
          </w:rPr>
          <m:t>¹</m:t>
        </m:r>
      </m:oMath>
    </w:p>
    <w:p w:rsidR="001F3066" w:rsidRDefault="001F3066">
      <w:pPr>
        <w:jc w:val="both"/>
        <w:rPr>
          <w:sz w:val="24"/>
          <w:szCs w:val="24"/>
        </w:rPr>
      </w:pPr>
    </w:p>
    <w:p w:rsidR="001F3066" w:rsidRDefault="00000000">
      <w:pPr>
        <w:pBdr>
          <w:bottom w:val="single" w:sz="12" w:space="1" w:color="000000"/>
        </w:pBdr>
        <w:jc w:val="both"/>
        <w:rPr>
          <w:sz w:val="24"/>
          <w:szCs w:val="24"/>
        </w:rPr>
      </w:pPr>
      <w:r>
        <w:rPr>
          <w:sz w:val="24"/>
          <w:szCs w:val="24"/>
        </w:rPr>
        <w:t xml:space="preserve"> </w:t>
      </w:r>
      <m:oMath>
        <m:r>
          <w:rPr>
            <w:rFonts w:ascii="Cambria Math" w:hAnsi="Cambria Math"/>
            <w:sz w:val="24"/>
            <w:szCs w:val="24"/>
          </w:rPr>
          <m:t>¹</m:t>
        </m:r>
      </m:oMath>
      <w:r>
        <w:rPr>
          <w:sz w:val="24"/>
          <w:szCs w:val="24"/>
        </w:rPr>
        <w:t xml:space="preserve"> Radiologic Technology Department, San Pedro College, Davao City, 8000, Philippines</w:t>
      </w:r>
    </w:p>
    <w:p w:rsidR="001F3066" w:rsidRDefault="001F3066">
      <w:pPr>
        <w:pBdr>
          <w:bottom w:val="single" w:sz="12" w:space="1" w:color="000000"/>
        </w:pBdr>
        <w:jc w:val="both"/>
        <w:rPr>
          <w:sz w:val="24"/>
          <w:szCs w:val="24"/>
        </w:rPr>
      </w:pPr>
    </w:p>
    <w:p w:rsidR="001F3066" w:rsidRDefault="001F3066">
      <w:pPr>
        <w:pBdr>
          <w:bottom w:val="nil"/>
          <w:between w:val="single" w:sz="12" w:space="0" w:color="000000"/>
        </w:pBdr>
        <w:jc w:val="both"/>
        <w:rPr>
          <w:sz w:val="24"/>
          <w:szCs w:val="24"/>
        </w:rPr>
      </w:pPr>
    </w:p>
    <w:p w:rsidR="001F3066" w:rsidRDefault="00000000">
      <w:pPr>
        <w:pBdr>
          <w:bottom w:val="single" w:sz="12" w:space="1" w:color="000000"/>
        </w:pBdr>
        <w:jc w:val="both"/>
        <w:rPr>
          <w:b/>
          <w:bCs/>
          <w:sz w:val="24"/>
          <w:szCs w:val="24"/>
        </w:rPr>
      </w:pPr>
      <w:r>
        <w:rPr>
          <w:b/>
          <w:bCs/>
          <w:sz w:val="24"/>
          <w:szCs w:val="24"/>
        </w:rPr>
        <w:t xml:space="preserve">ABSTRACT </w:t>
      </w:r>
    </w:p>
    <w:p w:rsidR="001F3066" w:rsidRDefault="001F3066">
      <w:pPr>
        <w:pBdr>
          <w:bottom w:val="single" w:sz="12" w:space="1" w:color="000000"/>
        </w:pBdr>
        <w:jc w:val="both"/>
        <w:rPr>
          <w:b/>
          <w:bCs/>
          <w:sz w:val="24"/>
          <w:szCs w:val="24"/>
        </w:rPr>
      </w:pPr>
    </w:p>
    <w:p w:rsidR="001F3066" w:rsidRDefault="00000000">
      <w:pPr>
        <w:pBdr>
          <w:bottom w:val="single" w:sz="12" w:space="1" w:color="000000"/>
        </w:pBdr>
        <w:ind w:firstLine="720"/>
        <w:jc w:val="both"/>
        <w:rPr>
          <w:sz w:val="24"/>
          <w:szCs w:val="24"/>
        </w:rPr>
      </w:pPr>
      <w:r>
        <w:rPr>
          <w:sz w:val="24"/>
          <w:szCs w:val="24"/>
        </w:rPr>
        <w:t>The percutaneous image-guided method for controlling pleural fluid collections represents a significant development in medical intervention, transforming the therapeutic landscape for patients with pleural effusions. This procedure includes inserting a needle or catheter into the pleural space while guided by imaging modalities such as ultrasound, CT scan, or fluoroscopy, allowing for accurate and less invasive fluid collection. The aims and objectives of percutaneous image-guided procedures in managing pleural fluid collections revolve around achieving diagnostic accuracy, providing effective therapeutic interventions, minimizing invasiveness and complications, delivering patient-centered care, and fostering multidisciplinary collaboration to optimize patient outcomes and quality of life. Ensuring the safety and</w:t>
      </w:r>
    </w:p>
    <w:p w:rsidR="001F3066" w:rsidRDefault="00000000">
      <w:pPr>
        <w:pBdr>
          <w:bottom w:val="single" w:sz="12" w:space="1" w:color="000000"/>
        </w:pBdr>
        <w:jc w:val="both"/>
        <w:rPr>
          <w:color w:val="0D0D0D"/>
          <w:sz w:val="24"/>
          <w:szCs w:val="24"/>
          <w:highlight w:val="white"/>
        </w:rPr>
      </w:pPr>
      <w:r>
        <w:rPr>
          <w:sz w:val="24"/>
          <w:szCs w:val="24"/>
        </w:rPr>
        <w:t xml:space="preserve">efficacy of percutaneous image-guided procedures in managing pleural fluid collections involves several key strategies and considerations aimed at minimizing complications and optimizing patient outcomes. </w:t>
      </w:r>
      <w:r>
        <w:rPr>
          <w:color w:val="0D0D0D"/>
          <w:sz w:val="24"/>
          <w:szCs w:val="24"/>
          <w:highlight w:val="white"/>
        </w:rPr>
        <w:t xml:space="preserve">In conclusion, percutaneous image-guided procedures represent a safe and efficacious approach to managing pleural fluid collections. By leveraging real-time imaging modalities and meticulous procedural techniques, these interventions offer several advantages in terms of diagnostic accuracy, therapeutic efficacy, and patient safety. Furthermore, percutaneous image-guided techniques offer excellent diagnostic sampling and therapeutic drainage, reducing patient discomfort and improving respiratory function in patients with pleural effusions. Patient selection, rigorous pre-procedural evaluation, and meticulous complication management improve safety and effectiveness. </w:t>
      </w:r>
    </w:p>
    <w:p w:rsidR="001F3066" w:rsidRDefault="001F3066">
      <w:pPr>
        <w:pBdr>
          <w:bottom w:val="single" w:sz="12" w:space="1" w:color="000000"/>
        </w:pBdr>
        <w:jc w:val="both"/>
        <w:rPr>
          <w:color w:val="0D0D0D"/>
          <w:sz w:val="24"/>
          <w:szCs w:val="24"/>
          <w:highlight w:val="white"/>
        </w:rPr>
      </w:pPr>
    </w:p>
    <w:p w:rsidR="001F3066" w:rsidRDefault="00000000">
      <w:pPr>
        <w:pBdr>
          <w:bottom w:val="single" w:sz="12" w:space="1" w:color="000000"/>
        </w:pBdr>
        <w:jc w:val="both"/>
        <w:rPr>
          <w:i/>
          <w:iCs/>
          <w:sz w:val="24"/>
          <w:szCs w:val="24"/>
        </w:rPr>
      </w:pPr>
      <w:r>
        <w:rPr>
          <w:b/>
          <w:bCs/>
          <w:i/>
          <w:iCs/>
          <w:sz w:val="24"/>
          <w:szCs w:val="24"/>
        </w:rPr>
        <w:t xml:space="preserve">KEYWORDS: </w:t>
      </w:r>
      <w:r>
        <w:rPr>
          <w:i/>
          <w:iCs/>
          <w:sz w:val="24"/>
          <w:szCs w:val="24"/>
        </w:rPr>
        <w:t xml:space="preserve">Effusions, </w:t>
      </w:r>
      <w:r>
        <w:rPr>
          <w:i/>
          <w:iCs/>
          <w:color w:val="0D0D0D"/>
          <w:sz w:val="24"/>
          <w:szCs w:val="24"/>
          <w:highlight w:val="white"/>
        </w:rPr>
        <w:t>Modalities, Therapeutic drainage, D</w:t>
      </w:r>
      <w:r>
        <w:rPr>
          <w:i/>
          <w:iCs/>
          <w:sz w:val="24"/>
          <w:szCs w:val="24"/>
        </w:rPr>
        <w:t>iagnostic accuracy, Invasive</w:t>
      </w:r>
    </w:p>
    <w:p w:rsidR="00452CC5" w:rsidRDefault="00452CC5">
      <w:pPr>
        <w:pBdr>
          <w:bottom w:val="single" w:sz="12" w:space="1" w:color="000000"/>
        </w:pBdr>
        <w:jc w:val="both"/>
        <w:rPr>
          <w:i/>
          <w:iCs/>
          <w:sz w:val="24"/>
          <w:szCs w:val="24"/>
        </w:rPr>
      </w:pPr>
    </w:p>
    <w:p w:rsidR="001F3066" w:rsidRDefault="001F3066">
      <w:pPr>
        <w:jc w:val="both"/>
        <w:rPr>
          <w:b/>
          <w:bCs/>
          <w:sz w:val="24"/>
          <w:szCs w:val="24"/>
        </w:rPr>
      </w:pPr>
    </w:p>
    <w:p w:rsidR="001F3066" w:rsidRDefault="00000000">
      <w:pPr>
        <w:jc w:val="both"/>
        <w:rPr>
          <w:b/>
          <w:bCs/>
          <w:sz w:val="24"/>
          <w:szCs w:val="24"/>
        </w:rPr>
      </w:pPr>
      <w:r>
        <w:rPr>
          <w:b/>
          <w:bCs/>
          <w:sz w:val="24"/>
          <w:szCs w:val="24"/>
        </w:rPr>
        <w:t xml:space="preserve">INTRODUCTION </w:t>
      </w:r>
    </w:p>
    <w:p w:rsidR="001F3066" w:rsidRDefault="00000000">
      <w:pPr>
        <w:spacing w:before="240" w:after="240"/>
        <w:ind w:firstLine="720"/>
        <w:jc w:val="both"/>
        <w:rPr>
          <w:sz w:val="24"/>
          <w:szCs w:val="24"/>
        </w:rPr>
      </w:pPr>
      <w:r>
        <w:rPr>
          <w:sz w:val="24"/>
          <w:szCs w:val="24"/>
        </w:rPr>
        <w:t xml:space="preserve">The preferred method of diagnosis and therapy for a range of fluid collections is image-guided percutaneous drainage or aspiration of abscesses and aberrant fluid collections (PDAFC). The choice of the access route and the imaging modalities for </w:t>
      </w:r>
      <w:r>
        <w:rPr>
          <w:sz w:val="24"/>
          <w:szCs w:val="24"/>
        </w:rPr>
        <w:lastRenderedPageBreak/>
        <w:t>needle and catheter insertion guidance are the two most important steps in most percutaneous drainage procedures. Sonography and fluoroscopy guidance is used whenever possible because it allows for real-time monitoring of our manipulations and exposes the patient to less radiation than CT (</w:t>
      </w:r>
      <w:proofErr w:type="spellStart"/>
      <w:r>
        <w:rPr>
          <w:sz w:val="24"/>
          <w:szCs w:val="24"/>
        </w:rPr>
        <w:t>Mezhir</w:t>
      </w:r>
      <w:proofErr w:type="spellEnd"/>
      <w:r>
        <w:rPr>
          <w:sz w:val="24"/>
          <w:szCs w:val="24"/>
        </w:rPr>
        <w:t>, J. et al., 2012). In addition, it allows precise pleural space visualization, minimizing complication risks such as pneumothorax and infection. As supported by Bickle (n.d.), fluoroscopy can be an alternative; however, due to its availability, it is a rare modality.   Hence, the technique of image-guided drainage is well-established and has numerous applications. On the other hand, image-guided catheter drainage indications, methods, and administration are still developing.</w:t>
      </w:r>
    </w:p>
    <w:p w:rsidR="001F3066" w:rsidRDefault="00000000">
      <w:pPr>
        <w:spacing w:before="240" w:after="240"/>
        <w:ind w:firstLine="720"/>
        <w:jc w:val="both"/>
        <w:rPr>
          <w:sz w:val="24"/>
          <w:szCs w:val="24"/>
        </w:rPr>
      </w:pPr>
      <w:r>
        <w:rPr>
          <w:sz w:val="24"/>
          <w:szCs w:val="24"/>
        </w:rPr>
        <w:t xml:space="preserve">According to the study of </w:t>
      </w:r>
      <w:proofErr w:type="spellStart"/>
      <w:r>
        <w:rPr>
          <w:sz w:val="24"/>
          <w:szCs w:val="24"/>
        </w:rPr>
        <w:t>Dariushnia</w:t>
      </w:r>
      <w:proofErr w:type="spellEnd"/>
      <w:r>
        <w:rPr>
          <w:sz w:val="24"/>
          <w:szCs w:val="24"/>
        </w:rPr>
        <w:t xml:space="preserve"> et al. (2020) in Clinical Background of the Disease State, infected or not, fluid collections may happen in almost every organ and have a wide variety of etiologies. Lung obstruction, such as fluid accumulation in the thoracic cavity, empyema, and related pathologies, may be caused by infections, congestive heart failure, malignancies, or pulmonary embolism. Clinical manifestations often encompass dyspnea, chest pain, and coughing. Standard medical management for lung abscesses typically entails appropriate antibiotic therapy, yielding favorable outcomes in 80-90 percent of cases. However, instances of resistance to antibiotic treatment necessitate definitive interventions, such as </w:t>
      </w:r>
      <w:proofErr w:type="spellStart"/>
      <w:r>
        <w:rPr>
          <w:sz w:val="24"/>
          <w:szCs w:val="24"/>
        </w:rPr>
        <w:t>resectional</w:t>
      </w:r>
      <w:proofErr w:type="spellEnd"/>
      <w:r>
        <w:rPr>
          <w:sz w:val="24"/>
          <w:szCs w:val="24"/>
        </w:rPr>
        <w:t xml:space="preserve"> surgery. Surgical interventions entail inherent risks, especially in elderly, debilitated individuals with underlying comorbidities such as cardiovascular disease or chronic obstructive pulmonary disease. Alternative treatment strategies are contingent upon the underlying pathology and commonly entail image-guided percutaneous continuous catheter drainage (PCD), offering a therapeutic avenue associated with reduced morbidity and mortality compared to surgical resection for intrapulmonary lung abscesses or unresponsive medical therapy. Utilization of imaging guidance facilitates precise characterization of intrapulmonary collections and optimal catheter positioning and ensures safe and efficacious drainage (Coley, 2008; Prasad et al., 1998; Mahajan et al., 2022).  </w:t>
      </w:r>
    </w:p>
    <w:p w:rsidR="001F3066" w:rsidRDefault="00000000" w:rsidP="00452CC5">
      <w:pPr>
        <w:spacing w:before="240" w:after="240"/>
        <w:ind w:firstLine="720"/>
        <w:jc w:val="both"/>
        <w:rPr>
          <w:sz w:val="24"/>
          <w:szCs w:val="24"/>
        </w:rPr>
      </w:pPr>
      <w:r>
        <w:rPr>
          <w:sz w:val="24"/>
          <w:szCs w:val="24"/>
        </w:rPr>
        <w:t xml:space="preserve">Furthermore, techniques are frequently utilized for placing subcutaneous ports and central venous catheters, which have been shown to have some advantages over surgical placement. As supported by numerical data in the study of </w:t>
      </w:r>
      <w:proofErr w:type="spellStart"/>
      <w:r>
        <w:rPr>
          <w:sz w:val="24"/>
          <w:szCs w:val="24"/>
        </w:rPr>
        <w:t>Lababede</w:t>
      </w:r>
      <w:proofErr w:type="spellEnd"/>
      <w:r>
        <w:rPr>
          <w:sz w:val="24"/>
          <w:szCs w:val="24"/>
        </w:rPr>
        <w:t xml:space="preserve"> (2022), utilizing image guidance decreases the risk that issues arise and enhances operation safety and has been demonstrated that using ultrasonic guidance can lower the incidence of iatrogenic pneumothorax to as low as 0.83%, specifically, radiologically guided drainage operations have a 72–88% success rate. Despite their safety and efficacy, like any invasive treatment, percutaneous image-guided procedures have risks, and complications can occur (Ayed et al., 2018; Bhatnagar et al., 2016). Incidences of pleural complications were classified into three types: pneumothorax, pleural effusion, and empyema. Pleural effusion was only considered a complication if it appeared or increased in volume in follow-up imaging, given that most patients had an existing pleural effusion on the same side (Levin et al., 2015). Significant </w:t>
      </w:r>
      <w:r>
        <w:rPr>
          <w:sz w:val="24"/>
          <w:szCs w:val="24"/>
        </w:rPr>
        <w:lastRenderedPageBreak/>
        <w:t>complications were specified as pneumothorax requiring insertion of a thoracostomy tube, pleural effusion necessitating thoracentesis, or empyema requiring drainage or video-assisted thoracoscopic surgery (Baran et al., 2024).</w:t>
      </w:r>
    </w:p>
    <w:p w:rsidR="001F3066" w:rsidRDefault="00000000">
      <w:pPr>
        <w:spacing w:before="240" w:after="240"/>
        <w:ind w:firstLine="720"/>
        <w:jc w:val="both"/>
        <w:rPr>
          <w:sz w:val="24"/>
          <w:szCs w:val="24"/>
        </w:rPr>
      </w:pPr>
      <w:r>
        <w:rPr>
          <w:sz w:val="24"/>
          <w:szCs w:val="24"/>
        </w:rPr>
        <w:t xml:space="preserve">Therefore, when it comes to minimizing morbidity, mortality, and hospital expenses, image-guided percutaneous drainage has proven to be effective, safe, and efficient. Cited by Arnold, Keung, </w:t>
      </w:r>
      <w:proofErr w:type="spellStart"/>
      <w:r>
        <w:rPr>
          <w:sz w:val="24"/>
          <w:szCs w:val="24"/>
        </w:rPr>
        <w:t>ann</w:t>
      </w:r>
      <w:proofErr w:type="spellEnd"/>
      <w:r>
        <w:rPr>
          <w:sz w:val="24"/>
          <w:szCs w:val="24"/>
        </w:rPr>
        <w:t xml:space="preserve"> Mccarragher (2019), all different types of fluid collections, image-guided procedures and/or fluid collection have emerged as the preferred diagnostic and treatment strategies. However, despite their safety and efficacy, percutaneous image-guided procedures are not without risks, and complications may still occur. </w:t>
      </w:r>
    </w:p>
    <w:p w:rsidR="001F3066" w:rsidRDefault="001F3066">
      <w:pPr>
        <w:pBdr>
          <w:bottom w:val="single" w:sz="12" w:space="0" w:color="000000"/>
        </w:pBdr>
        <w:jc w:val="both"/>
        <w:rPr>
          <w:sz w:val="24"/>
          <w:szCs w:val="24"/>
        </w:rPr>
      </w:pPr>
    </w:p>
    <w:p w:rsidR="001F3066" w:rsidRDefault="00000000">
      <w:pPr>
        <w:spacing w:before="240" w:after="240"/>
        <w:jc w:val="both"/>
        <w:rPr>
          <w:b/>
          <w:bCs/>
          <w:sz w:val="24"/>
          <w:szCs w:val="24"/>
        </w:rPr>
      </w:pPr>
      <w:r>
        <w:rPr>
          <w:b/>
          <w:bCs/>
          <w:sz w:val="24"/>
          <w:szCs w:val="24"/>
        </w:rPr>
        <w:t xml:space="preserve"> METHODS</w:t>
      </w:r>
    </w:p>
    <w:p w:rsidR="001F3066" w:rsidRDefault="00000000" w:rsidP="00452CC5">
      <w:pPr>
        <w:ind w:firstLine="720"/>
        <w:jc w:val="both"/>
        <w:rPr>
          <w:sz w:val="24"/>
          <w:szCs w:val="24"/>
        </w:rPr>
      </w:pPr>
      <w:r>
        <w:rPr>
          <w:sz w:val="24"/>
          <w:szCs w:val="24"/>
        </w:rPr>
        <w:t xml:space="preserve">Using pertinent keywords, a thorough search was carried out across electronic databases, including PubMed and Google Scholar and Science Direct. April 10, 2024, was the start of the article review, which ran through April 13, 2024. Studies discussing the management of pleural fluid collections by percutaneous image-guided techniques. The year these studies were published is ranging from 2011 to 2023. The review's criteria included giving a thorough overview of percutaneous image-guided procedures, including their concepts, indications, methods, and results, with a particular emphasis on how they are used to manage pleural fluid accumulation. Also included are the complications of the percutaneous image-guided procedures while being applied to patients. As some procedures require insertions, and other invasive techniques.  The goal was to draw attention to the function of these methods in clinical practice as well as their effects on patient outcomes, safety, and efficacy. The criteria for the review include studies that have evaluated the safety and efficacy of percutaneous image-guided procedures in managing pleural fluid collections, including randomized controlled trials, cohort studies, and case-control studies. The articles were then screened for relevance, and the data were extracted. In order to extract pertinent information about percutaneous image-guided procedures for pleural effusions, the approach entailed analyzing and synthesizing data from a variety of sources within the said databases, arranging the data into a logical framework, and presenting the data as an essay. </w:t>
      </w:r>
    </w:p>
    <w:p w:rsidR="001F3066" w:rsidRDefault="001F3066">
      <w:pPr>
        <w:jc w:val="both"/>
        <w:rPr>
          <w:sz w:val="24"/>
          <w:szCs w:val="24"/>
        </w:rPr>
      </w:pPr>
    </w:p>
    <w:p w:rsidR="001F3066" w:rsidRDefault="001F3066">
      <w:pPr>
        <w:ind w:firstLine="720"/>
        <w:jc w:val="both"/>
        <w:rPr>
          <w:sz w:val="24"/>
          <w:szCs w:val="24"/>
        </w:rPr>
      </w:pPr>
    </w:p>
    <w:p w:rsidR="001F3066" w:rsidRDefault="001F3066">
      <w:pPr>
        <w:pBdr>
          <w:top w:val="single" w:sz="12" w:space="0" w:color="000000"/>
          <w:between w:val="single" w:sz="12" w:space="0" w:color="000000"/>
        </w:pBdr>
        <w:rPr>
          <w:b/>
          <w:bCs/>
          <w:sz w:val="24"/>
          <w:szCs w:val="24"/>
        </w:rPr>
      </w:pPr>
    </w:p>
    <w:p w:rsidR="001F3066" w:rsidRDefault="00000000">
      <w:pPr>
        <w:rPr>
          <w:b/>
          <w:bCs/>
          <w:sz w:val="24"/>
          <w:szCs w:val="24"/>
        </w:rPr>
      </w:pPr>
      <w:r>
        <w:rPr>
          <w:b/>
          <w:bCs/>
          <w:sz w:val="24"/>
          <w:szCs w:val="24"/>
        </w:rPr>
        <w:t xml:space="preserve">DISCUSSION </w:t>
      </w:r>
    </w:p>
    <w:p w:rsidR="001F3066" w:rsidRDefault="001F3066">
      <w:pPr>
        <w:jc w:val="both"/>
        <w:rPr>
          <w:sz w:val="24"/>
          <w:szCs w:val="24"/>
        </w:rPr>
      </w:pPr>
    </w:p>
    <w:p w:rsidR="001F3066" w:rsidRDefault="00000000">
      <w:pPr>
        <w:ind w:firstLine="720"/>
        <w:jc w:val="both"/>
        <w:rPr>
          <w:sz w:val="24"/>
          <w:szCs w:val="24"/>
        </w:rPr>
      </w:pPr>
      <w:r>
        <w:rPr>
          <w:sz w:val="24"/>
          <w:szCs w:val="24"/>
        </w:rPr>
        <w:t xml:space="preserve">Percutaneous image-guided chest drains, specifically small-bore wire-guided catheters, are currently a growing alternative for medical therapy options in handling pleural fluid collections. The </w:t>
      </w:r>
      <w:proofErr w:type="gramStart"/>
      <w:r>
        <w:rPr>
          <w:sz w:val="24"/>
          <w:szCs w:val="24"/>
        </w:rPr>
        <w:t>study  “</w:t>
      </w:r>
      <w:proofErr w:type="gramEnd"/>
      <w:r>
        <w:rPr>
          <w:sz w:val="24"/>
          <w:szCs w:val="24"/>
        </w:rPr>
        <w:t>Safety and Efficacy of Percutaneous Image-</w:t>
      </w:r>
      <w:r>
        <w:rPr>
          <w:sz w:val="24"/>
          <w:szCs w:val="24"/>
        </w:rPr>
        <w:lastRenderedPageBreak/>
        <w:t xml:space="preserve">Guided Drainage for Pleural Effusions and Pneumothorax: A Large Cohort Study” assesses the information from 1092 patients who underwent the insertion of the small-bore wire-guided chest drains between </w:t>
      </w:r>
      <w:proofErr w:type="gramStart"/>
      <w:r>
        <w:rPr>
          <w:sz w:val="24"/>
          <w:szCs w:val="24"/>
        </w:rPr>
        <w:t>2002  and</w:t>
      </w:r>
      <w:proofErr w:type="gramEnd"/>
      <w:r>
        <w:rPr>
          <w:sz w:val="24"/>
          <w:szCs w:val="24"/>
        </w:rPr>
        <w:t xml:space="preserve"> 2008. The study depicts a favorable safety profile for percutaneous image-guided chest drainage. With a low average pain score during the insertion and a high overall </w:t>
      </w:r>
      <w:proofErr w:type="spellStart"/>
      <w:r>
        <w:rPr>
          <w:sz w:val="24"/>
          <w:szCs w:val="24"/>
        </w:rPr>
        <w:t>dain</w:t>
      </w:r>
      <w:proofErr w:type="spellEnd"/>
      <w:r>
        <w:rPr>
          <w:sz w:val="24"/>
          <w:szCs w:val="24"/>
        </w:rPr>
        <w:t xml:space="preserve"> success rate from 92.3% to 93.8% across the different diagnoses in managing uncomplicated pleural effusion, either malignant or non-malignant, as well as pneumothorax—the procedure’s well-tolerated nature and effectiveness in clinical practice. Patients experienced minimal discomfort during insertion, and most methods successfully obtained the intended outcomes (</w:t>
      </w:r>
      <w:proofErr w:type="spellStart"/>
      <w:r>
        <w:rPr>
          <w:sz w:val="24"/>
          <w:szCs w:val="24"/>
        </w:rPr>
        <w:t>Cafarotti</w:t>
      </w:r>
      <w:proofErr w:type="spellEnd"/>
      <w:r>
        <w:rPr>
          <w:sz w:val="24"/>
          <w:szCs w:val="24"/>
        </w:rPr>
        <w:t xml:space="preserve"> et al., 2011).</w:t>
      </w:r>
    </w:p>
    <w:p w:rsidR="001F3066" w:rsidRDefault="001F3066">
      <w:pPr>
        <w:ind w:firstLine="720"/>
        <w:jc w:val="both"/>
        <w:rPr>
          <w:sz w:val="24"/>
          <w:szCs w:val="24"/>
        </w:rPr>
      </w:pPr>
    </w:p>
    <w:p w:rsidR="001F3066" w:rsidRDefault="00000000">
      <w:pPr>
        <w:ind w:firstLine="720"/>
        <w:jc w:val="both"/>
        <w:rPr>
          <w:sz w:val="24"/>
          <w:szCs w:val="24"/>
        </w:rPr>
      </w:pPr>
      <w:r>
        <w:rPr>
          <w:sz w:val="24"/>
          <w:szCs w:val="24"/>
        </w:rPr>
        <w:t>In almost 80% of patients, curative drainage has been successful. Either a satisfactory abscess drainage followed by surgery to correct an underlying issue, or a temporizing drainage procedure carried out to stabilize the patient's state prior to surgery, is considered a partial success. 5%–10% of patients experience partial success. 5%–10% of cases result in failure, while 5%–10% of cases repeat. Both abdominal and chest drainage techniques yield comparable outcomes. These success percentages will be contingent upon the percentage of patients who have had their collections drained in cases where there were relative contraindications, the intricacy of the collection, and the gravity of the underlying medical conditions (Wallace, M. et al, 2010)</w:t>
      </w:r>
    </w:p>
    <w:p w:rsidR="001F3066" w:rsidRDefault="001F3066">
      <w:pPr>
        <w:jc w:val="both"/>
        <w:rPr>
          <w:sz w:val="24"/>
          <w:szCs w:val="24"/>
        </w:rPr>
      </w:pPr>
    </w:p>
    <w:p w:rsidR="001F3066" w:rsidRDefault="00000000" w:rsidP="00452CC5">
      <w:pPr>
        <w:ind w:firstLine="720"/>
        <w:jc w:val="both"/>
        <w:rPr>
          <w:sz w:val="24"/>
          <w:szCs w:val="24"/>
        </w:rPr>
      </w:pPr>
      <w:r>
        <w:rPr>
          <w:sz w:val="24"/>
          <w:szCs w:val="24"/>
        </w:rPr>
        <w:t>In a similar study, it was highlighted that there were growing health concerns regarding the type of needle employed in the procedure. Life-threatening complications associated with large-bore intercostal chest drains have been extensively documented, with reported incidence rates ranging from 0.2% to 6%. These complications encompass organ penetration, resulting in lung lacerations, punctures of the heart and major vessels, diaphragmatic perforation, as well as spleen and liver injuries. Additionally, they stated that image-guiding modalities prevent such situations from happening. They also noted that small-bore intercostal chest drains demonstrated a limited success rate (24%) and a heightened tendency for blockage, particularly in cases of emphysema, even with the help of imaging modalities, resulting in prolonged hospitalization (</w:t>
      </w:r>
      <w:proofErr w:type="spellStart"/>
      <w:r>
        <w:rPr>
          <w:sz w:val="24"/>
          <w:szCs w:val="24"/>
        </w:rPr>
        <w:t>Cafarotti</w:t>
      </w:r>
      <w:proofErr w:type="spellEnd"/>
      <w:r>
        <w:rPr>
          <w:sz w:val="24"/>
          <w:szCs w:val="24"/>
        </w:rPr>
        <w:t xml:space="preserve"> et al., 2011, Lisa Y.S. Chan et al., 1997)</w:t>
      </w:r>
    </w:p>
    <w:p w:rsidR="001F3066" w:rsidRDefault="001F3066">
      <w:pPr>
        <w:ind w:firstLine="720"/>
        <w:jc w:val="both"/>
        <w:rPr>
          <w:sz w:val="24"/>
          <w:szCs w:val="24"/>
        </w:rPr>
      </w:pPr>
    </w:p>
    <w:p w:rsidR="001F3066" w:rsidRDefault="001F3066">
      <w:pPr>
        <w:ind w:firstLine="720"/>
        <w:jc w:val="both"/>
        <w:rPr>
          <w:sz w:val="24"/>
          <w:szCs w:val="24"/>
        </w:rPr>
      </w:pP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1F3066" w:rsidTr="00452CC5">
        <w:tc>
          <w:tcPr>
            <w:tcW w:w="2258" w:type="dxa"/>
            <w:tcMar>
              <w:top w:w="100" w:type="dxa"/>
              <w:left w:w="100" w:type="dxa"/>
              <w:bottom w:w="100" w:type="dxa"/>
              <w:right w:w="100" w:type="dxa"/>
            </w:tcMar>
          </w:tcPr>
          <w:p w:rsidR="001F3066" w:rsidRDefault="00000000">
            <w:pPr>
              <w:widowControl w:val="0"/>
              <w:pBdr>
                <w:top w:val="nil"/>
                <w:left w:val="nil"/>
                <w:bottom w:val="nil"/>
                <w:right w:val="nil"/>
                <w:between w:val="nil"/>
              </w:pBdr>
              <w:spacing w:line="240" w:lineRule="auto"/>
              <w:rPr>
                <w:b/>
                <w:bCs/>
                <w:sz w:val="24"/>
                <w:szCs w:val="24"/>
              </w:rPr>
            </w:pPr>
            <w:r>
              <w:rPr>
                <w:b/>
                <w:bCs/>
                <w:sz w:val="24"/>
                <w:szCs w:val="24"/>
              </w:rPr>
              <w:t xml:space="preserve">AUTHOR </w:t>
            </w:r>
          </w:p>
        </w:tc>
        <w:tc>
          <w:tcPr>
            <w:tcW w:w="2257" w:type="dxa"/>
            <w:tcMar>
              <w:top w:w="100" w:type="dxa"/>
              <w:left w:w="100" w:type="dxa"/>
              <w:bottom w:w="100" w:type="dxa"/>
              <w:right w:w="100" w:type="dxa"/>
            </w:tcMar>
          </w:tcPr>
          <w:p w:rsidR="001F3066" w:rsidRDefault="00000000">
            <w:pPr>
              <w:widowControl w:val="0"/>
              <w:pBdr>
                <w:top w:val="nil"/>
                <w:left w:val="nil"/>
                <w:bottom w:val="nil"/>
                <w:right w:val="nil"/>
                <w:between w:val="nil"/>
              </w:pBdr>
              <w:spacing w:line="240" w:lineRule="auto"/>
              <w:rPr>
                <w:b/>
                <w:bCs/>
                <w:sz w:val="24"/>
                <w:szCs w:val="24"/>
              </w:rPr>
            </w:pPr>
            <w:r>
              <w:rPr>
                <w:b/>
                <w:bCs/>
                <w:sz w:val="24"/>
                <w:szCs w:val="24"/>
              </w:rPr>
              <w:t xml:space="preserve">YEAR </w:t>
            </w:r>
          </w:p>
        </w:tc>
        <w:tc>
          <w:tcPr>
            <w:tcW w:w="2257" w:type="dxa"/>
            <w:tcMar>
              <w:top w:w="100" w:type="dxa"/>
              <w:left w:w="100" w:type="dxa"/>
              <w:bottom w:w="100" w:type="dxa"/>
              <w:right w:w="100" w:type="dxa"/>
            </w:tcMar>
          </w:tcPr>
          <w:p w:rsidR="001F3066" w:rsidRDefault="00000000">
            <w:pPr>
              <w:widowControl w:val="0"/>
              <w:pBdr>
                <w:top w:val="nil"/>
                <w:left w:val="nil"/>
                <w:bottom w:val="nil"/>
                <w:right w:val="nil"/>
                <w:between w:val="nil"/>
              </w:pBdr>
              <w:spacing w:line="240" w:lineRule="auto"/>
              <w:rPr>
                <w:b/>
                <w:bCs/>
                <w:sz w:val="24"/>
                <w:szCs w:val="24"/>
              </w:rPr>
            </w:pPr>
            <w:r>
              <w:rPr>
                <w:b/>
                <w:bCs/>
                <w:sz w:val="24"/>
                <w:szCs w:val="24"/>
              </w:rPr>
              <w:t>IDEAS/INFORMATION</w:t>
            </w:r>
          </w:p>
        </w:tc>
        <w:tc>
          <w:tcPr>
            <w:tcW w:w="2257" w:type="dxa"/>
            <w:tcMar>
              <w:top w:w="100" w:type="dxa"/>
              <w:left w:w="100" w:type="dxa"/>
              <w:bottom w:w="100" w:type="dxa"/>
              <w:right w:w="100" w:type="dxa"/>
            </w:tcMar>
          </w:tcPr>
          <w:p w:rsidR="001F3066" w:rsidRDefault="00000000">
            <w:pPr>
              <w:widowControl w:val="0"/>
              <w:pBdr>
                <w:top w:val="nil"/>
                <w:left w:val="nil"/>
                <w:bottom w:val="nil"/>
                <w:right w:val="nil"/>
                <w:between w:val="nil"/>
              </w:pBdr>
              <w:spacing w:line="240" w:lineRule="auto"/>
              <w:rPr>
                <w:b/>
                <w:bCs/>
                <w:sz w:val="24"/>
                <w:szCs w:val="24"/>
              </w:rPr>
            </w:pPr>
            <w:r>
              <w:rPr>
                <w:b/>
                <w:bCs/>
                <w:sz w:val="24"/>
                <w:szCs w:val="24"/>
              </w:rPr>
              <w:t xml:space="preserve">OTHER DETAILS </w:t>
            </w:r>
          </w:p>
        </w:tc>
      </w:tr>
      <w:tr w:rsidR="001F3066" w:rsidTr="00452CC5">
        <w:tc>
          <w:tcPr>
            <w:tcW w:w="2258" w:type="dxa"/>
            <w:tcMar>
              <w:top w:w="100" w:type="dxa"/>
              <w:left w:w="100" w:type="dxa"/>
              <w:bottom w:w="100" w:type="dxa"/>
              <w:right w:w="100" w:type="dxa"/>
            </w:tcMar>
          </w:tcPr>
          <w:p w:rsidR="001F3066" w:rsidRDefault="00000000">
            <w:pPr>
              <w:jc w:val="both"/>
              <w:rPr>
                <w:sz w:val="24"/>
                <w:szCs w:val="24"/>
              </w:rPr>
            </w:pPr>
            <w:proofErr w:type="spellStart"/>
            <w:r>
              <w:rPr>
                <w:sz w:val="24"/>
                <w:szCs w:val="24"/>
              </w:rPr>
              <w:t>Cafarotti</w:t>
            </w:r>
            <w:proofErr w:type="spellEnd"/>
            <w:r>
              <w:rPr>
                <w:sz w:val="24"/>
                <w:szCs w:val="24"/>
              </w:rPr>
              <w:t xml:space="preserve"> et al., </w:t>
            </w:r>
          </w:p>
        </w:tc>
        <w:tc>
          <w:tcPr>
            <w:tcW w:w="2257" w:type="dxa"/>
            <w:tcMar>
              <w:top w:w="100" w:type="dxa"/>
              <w:left w:w="100" w:type="dxa"/>
              <w:bottom w:w="100" w:type="dxa"/>
              <w:right w:w="100" w:type="dxa"/>
            </w:tcMar>
          </w:tcPr>
          <w:p w:rsidR="001F3066" w:rsidRDefault="00000000">
            <w:pPr>
              <w:widowControl w:val="0"/>
              <w:pBdr>
                <w:top w:val="nil"/>
                <w:left w:val="nil"/>
                <w:bottom w:val="nil"/>
                <w:right w:val="nil"/>
                <w:between w:val="nil"/>
              </w:pBdr>
              <w:spacing w:line="240" w:lineRule="auto"/>
              <w:rPr>
                <w:sz w:val="24"/>
                <w:szCs w:val="24"/>
              </w:rPr>
            </w:pPr>
            <w:r>
              <w:rPr>
                <w:sz w:val="24"/>
                <w:szCs w:val="24"/>
              </w:rPr>
              <w:t>2011</w:t>
            </w:r>
          </w:p>
        </w:tc>
        <w:tc>
          <w:tcPr>
            <w:tcW w:w="2257" w:type="dxa"/>
            <w:tcMar>
              <w:top w:w="100" w:type="dxa"/>
              <w:left w:w="100" w:type="dxa"/>
              <w:bottom w:w="100" w:type="dxa"/>
              <w:right w:w="100" w:type="dxa"/>
            </w:tcMar>
          </w:tcPr>
          <w:p w:rsidR="001F3066" w:rsidRDefault="00000000">
            <w:pPr>
              <w:widowControl w:val="0"/>
              <w:pBdr>
                <w:top w:val="nil"/>
                <w:left w:val="nil"/>
                <w:bottom w:val="nil"/>
                <w:right w:val="nil"/>
                <w:between w:val="nil"/>
              </w:pBdr>
              <w:spacing w:line="240" w:lineRule="auto"/>
              <w:rPr>
                <w:sz w:val="24"/>
                <w:szCs w:val="24"/>
              </w:rPr>
            </w:pPr>
            <w:r>
              <w:rPr>
                <w:sz w:val="24"/>
                <w:szCs w:val="24"/>
              </w:rPr>
              <w:t xml:space="preserve">Safety of percutaneous image-guided drainage </w:t>
            </w:r>
          </w:p>
        </w:tc>
        <w:tc>
          <w:tcPr>
            <w:tcW w:w="2257" w:type="dxa"/>
            <w:tcMar>
              <w:top w:w="100" w:type="dxa"/>
              <w:left w:w="100" w:type="dxa"/>
              <w:bottom w:w="100" w:type="dxa"/>
              <w:right w:w="100" w:type="dxa"/>
            </w:tcMar>
          </w:tcPr>
          <w:p w:rsidR="001F3066" w:rsidRDefault="00000000">
            <w:pPr>
              <w:ind w:firstLine="720"/>
              <w:rPr>
                <w:sz w:val="24"/>
                <w:szCs w:val="24"/>
              </w:rPr>
            </w:pPr>
            <w:r>
              <w:rPr>
                <w:sz w:val="24"/>
                <w:szCs w:val="24"/>
              </w:rPr>
              <w:t xml:space="preserve">The study depicts a favorable safety profile for percutaneous image-guided </w:t>
            </w:r>
            <w:r>
              <w:rPr>
                <w:sz w:val="24"/>
                <w:szCs w:val="24"/>
              </w:rPr>
              <w:lastRenderedPageBreak/>
              <w:t xml:space="preserve">chest drainage. With a low average pain score during the insertion and a high overall </w:t>
            </w:r>
            <w:proofErr w:type="spellStart"/>
            <w:r>
              <w:rPr>
                <w:sz w:val="24"/>
                <w:szCs w:val="24"/>
              </w:rPr>
              <w:t>dain</w:t>
            </w:r>
            <w:proofErr w:type="spellEnd"/>
            <w:r>
              <w:rPr>
                <w:sz w:val="24"/>
                <w:szCs w:val="24"/>
              </w:rPr>
              <w:t xml:space="preserve"> success rate.</w:t>
            </w:r>
          </w:p>
        </w:tc>
      </w:tr>
      <w:tr w:rsidR="001F3066" w:rsidTr="00452CC5">
        <w:tc>
          <w:tcPr>
            <w:tcW w:w="2258" w:type="dxa"/>
            <w:tcMar>
              <w:top w:w="100" w:type="dxa"/>
              <w:left w:w="100" w:type="dxa"/>
              <w:bottom w:w="100" w:type="dxa"/>
              <w:right w:w="100" w:type="dxa"/>
            </w:tcMar>
          </w:tcPr>
          <w:p w:rsidR="001F3066" w:rsidRDefault="00000000">
            <w:pPr>
              <w:jc w:val="both"/>
              <w:rPr>
                <w:sz w:val="24"/>
                <w:szCs w:val="24"/>
              </w:rPr>
            </w:pPr>
            <w:r>
              <w:rPr>
                <w:sz w:val="24"/>
                <w:szCs w:val="24"/>
              </w:rPr>
              <w:lastRenderedPageBreak/>
              <w:t>Wallace, M. et al</w:t>
            </w:r>
          </w:p>
        </w:tc>
        <w:tc>
          <w:tcPr>
            <w:tcW w:w="2257" w:type="dxa"/>
            <w:tcMar>
              <w:top w:w="100" w:type="dxa"/>
              <w:left w:w="100" w:type="dxa"/>
              <w:bottom w:w="100" w:type="dxa"/>
              <w:right w:w="100" w:type="dxa"/>
            </w:tcMar>
          </w:tcPr>
          <w:p w:rsidR="001F3066" w:rsidRDefault="00000000">
            <w:pPr>
              <w:widowControl w:val="0"/>
              <w:pBdr>
                <w:top w:val="nil"/>
                <w:left w:val="nil"/>
                <w:bottom w:val="nil"/>
                <w:right w:val="nil"/>
                <w:between w:val="nil"/>
              </w:pBdr>
              <w:spacing w:line="240" w:lineRule="auto"/>
              <w:rPr>
                <w:sz w:val="24"/>
                <w:szCs w:val="24"/>
              </w:rPr>
            </w:pPr>
            <w:r>
              <w:rPr>
                <w:sz w:val="24"/>
                <w:szCs w:val="24"/>
              </w:rPr>
              <w:t>2010</w:t>
            </w:r>
          </w:p>
        </w:tc>
        <w:tc>
          <w:tcPr>
            <w:tcW w:w="2257" w:type="dxa"/>
            <w:tcMar>
              <w:top w:w="100" w:type="dxa"/>
              <w:left w:w="100" w:type="dxa"/>
              <w:bottom w:w="100" w:type="dxa"/>
              <w:right w:w="100" w:type="dxa"/>
            </w:tcMar>
          </w:tcPr>
          <w:p w:rsidR="001F3066" w:rsidRDefault="00000000">
            <w:pPr>
              <w:widowControl w:val="0"/>
              <w:pBdr>
                <w:top w:val="nil"/>
                <w:left w:val="nil"/>
                <w:bottom w:val="nil"/>
                <w:right w:val="nil"/>
                <w:between w:val="nil"/>
              </w:pBdr>
              <w:spacing w:line="240" w:lineRule="auto"/>
              <w:rPr>
                <w:sz w:val="24"/>
                <w:szCs w:val="24"/>
              </w:rPr>
            </w:pPr>
            <w:r>
              <w:rPr>
                <w:sz w:val="24"/>
                <w:szCs w:val="24"/>
              </w:rPr>
              <w:t xml:space="preserve">Success rate for percutaneous drainage/ aspiration of abscess and fluid collections </w:t>
            </w:r>
          </w:p>
        </w:tc>
        <w:tc>
          <w:tcPr>
            <w:tcW w:w="2257" w:type="dxa"/>
            <w:tcMar>
              <w:top w:w="100" w:type="dxa"/>
              <w:left w:w="100" w:type="dxa"/>
              <w:bottom w:w="100" w:type="dxa"/>
              <w:right w:w="100" w:type="dxa"/>
            </w:tcMar>
          </w:tcPr>
          <w:p w:rsidR="001F3066" w:rsidRDefault="00000000">
            <w:pPr>
              <w:ind w:firstLine="720"/>
              <w:rPr>
                <w:sz w:val="24"/>
                <w:szCs w:val="24"/>
              </w:rPr>
            </w:pPr>
            <w:r>
              <w:rPr>
                <w:sz w:val="24"/>
                <w:szCs w:val="24"/>
              </w:rPr>
              <w:t xml:space="preserve">In almost 80% of patients, curative drainage has been successful. 5%–10% of cases fail, while 5%–10% of cases repeat. </w:t>
            </w:r>
            <w:r>
              <w:rPr>
                <w:rFonts w:ascii="Roboto" w:eastAsia="Roboto" w:hAnsi="Roboto" w:cs="Roboto"/>
                <w:sz w:val="24"/>
                <w:szCs w:val="24"/>
              </w:rPr>
              <w:t>Contraindications have the potential to influence the procedure's outcome, thus leading to fluctuations in the success rate.</w:t>
            </w:r>
          </w:p>
        </w:tc>
      </w:tr>
      <w:tr w:rsidR="00452CC5" w:rsidTr="00452CC5">
        <w:tc>
          <w:tcPr>
            <w:tcW w:w="2258" w:type="dxa"/>
            <w:tcMar>
              <w:top w:w="100" w:type="dxa"/>
              <w:left w:w="100" w:type="dxa"/>
              <w:bottom w:w="100" w:type="dxa"/>
              <w:right w:w="100" w:type="dxa"/>
            </w:tcMar>
          </w:tcPr>
          <w:p w:rsidR="00452CC5" w:rsidRDefault="00452CC5" w:rsidP="00452CC5">
            <w:pPr>
              <w:jc w:val="both"/>
              <w:rPr>
                <w:sz w:val="24"/>
                <w:szCs w:val="24"/>
              </w:rPr>
            </w:pPr>
            <w:proofErr w:type="spellStart"/>
            <w:r>
              <w:rPr>
                <w:sz w:val="24"/>
                <w:szCs w:val="24"/>
              </w:rPr>
              <w:t>Cafarotti</w:t>
            </w:r>
            <w:proofErr w:type="spellEnd"/>
            <w:r>
              <w:rPr>
                <w:sz w:val="24"/>
                <w:szCs w:val="24"/>
              </w:rPr>
              <w:t xml:space="preserve"> et al., 2011, Lisa Y.S. Chan et al.</w:t>
            </w:r>
          </w:p>
        </w:tc>
        <w:tc>
          <w:tcPr>
            <w:tcW w:w="2257" w:type="dxa"/>
            <w:tcMar>
              <w:top w:w="100" w:type="dxa"/>
              <w:left w:w="100" w:type="dxa"/>
              <w:bottom w:w="100" w:type="dxa"/>
              <w:right w:w="100" w:type="dxa"/>
            </w:tcMar>
          </w:tcPr>
          <w:p w:rsidR="00452CC5" w:rsidRDefault="00452CC5" w:rsidP="00452CC5">
            <w:pPr>
              <w:widowControl w:val="0"/>
              <w:spacing w:line="240" w:lineRule="auto"/>
              <w:rPr>
                <w:sz w:val="24"/>
                <w:szCs w:val="24"/>
              </w:rPr>
            </w:pPr>
            <w:r>
              <w:rPr>
                <w:sz w:val="24"/>
                <w:szCs w:val="24"/>
              </w:rPr>
              <w:t>1997</w:t>
            </w:r>
          </w:p>
        </w:tc>
        <w:tc>
          <w:tcPr>
            <w:tcW w:w="2257" w:type="dxa"/>
            <w:tcMar>
              <w:top w:w="100" w:type="dxa"/>
              <w:left w:w="100" w:type="dxa"/>
              <w:bottom w:w="100" w:type="dxa"/>
              <w:right w:w="100" w:type="dxa"/>
            </w:tcMar>
          </w:tcPr>
          <w:p w:rsidR="00452CC5" w:rsidRDefault="00452CC5" w:rsidP="00452CC5">
            <w:pPr>
              <w:widowControl w:val="0"/>
              <w:spacing w:line="240" w:lineRule="auto"/>
              <w:rPr>
                <w:sz w:val="24"/>
                <w:szCs w:val="24"/>
              </w:rPr>
            </w:pPr>
            <w:r>
              <w:rPr>
                <w:sz w:val="24"/>
                <w:szCs w:val="24"/>
              </w:rPr>
              <w:t>Small- bore wire- guided chest drains</w:t>
            </w:r>
          </w:p>
        </w:tc>
        <w:tc>
          <w:tcPr>
            <w:tcW w:w="2257" w:type="dxa"/>
            <w:tcMar>
              <w:top w:w="100" w:type="dxa"/>
              <w:left w:w="100" w:type="dxa"/>
              <w:bottom w:w="100" w:type="dxa"/>
              <w:right w:w="100" w:type="dxa"/>
            </w:tcMar>
          </w:tcPr>
          <w:p w:rsidR="00452CC5" w:rsidRDefault="00452CC5" w:rsidP="00452CC5">
            <w:pPr>
              <w:jc w:val="both"/>
              <w:rPr>
                <w:sz w:val="24"/>
                <w:szCs w:val="24"/>
              </w:rPr>
            </w:pPr>
            <w:r>
              <w:rPr>
                <w:sz w:val="24"/>
                <w:szCs w:val="24"/>
              </w:rPr>
              <w:t>Small-bore intercostal chest drains demonstrated a limited success rate (24%) and a heightened tendency for blockage, particularly in cases of emphysema, even with the help of imaging modalities, resulting in prolonged hospitalization</w:t>
            </w:r>
          </w:p>
        </w:tc>
      </w:tr>
    </w:tbl>
    <w:p w:rsidR="001F3066" w:rsidRDefault="001F3066">
      <w:pPr>
        <w:jc w:val="both"/>
        <w:rPr>
          <w:sz w:val="24"/>
          <w:szCs w:val="24"/>
        </w:rPr>
      </w:pPr>
    </w:p>
    <w:p w:rsidR="001F3066" w:rsidRDefault="001F3066">
      <w:pPr>
        <w:jc w:val="both"/>
        <w:rPr>
          <w:sz w:val="24"/>
          <w:szCs w:val="24"/>
        </w:rPr>
      </w:pPr>
    </w:p>
    <w:p w:rsidR="001F3066" w:rsidRDefault="001F3066">
      <w:pPr>
        <w:jc w:val="both"/>
        <w:rPr>
          <w:sz w:val="24"/>
          <w:szCs w:val="24"/>
        </w:rPr>
      </w:pPr>
    </w:p>
    <w:p w:rsidR="001F3066" w:rsidRDefault="001F3066">
      <w:pPr>
        <w:pBdr>
          <w:top w:val="single" w:sz="12" w:space="0" w:color="000000"/>
        </w:pBdr>
        <w:rPr>
          <w:sz w:val="24"/>
          <w:szCs w:val="24"/>
        </w:rPr>
      </w:pPr>
    </w:p>
    <w:p w:rsidR="001F3066" w:rsidRDefault="00000000">
      <w:pPr>
        <w:rPr>
          <w:b/>
          <w:bCs/>
          <w:sz w:val="24"/>
          <w:szCs w:val="24"/>
        </w:rPr>
      </w:pPr>
      <w:r>
        <w:rPr>
          <w:b/>
          <w:bCs/>
          <w:sz w:val="24"/>
          <w:szCs w:val="24"/>
        </w:rPr>
        <w:t xml:space="preserve"> CONCLUSION </w:t>
      </w:r>
    </w:p>
    <w:p w:rsidR="001F3066" w:rsidRDefault="001F3066">
      <w:pPr>
        <w:ind w:left="720"/>
        <w:rPr>
          <w:b/>
          <w:bCs/>
          <w:sz w:val="24"/>
          <w:szCs w:val="24"/>
        </w:rPr>
      </w:pPr>
    </w:p>
    <w:p w:rsidR="001F3066" w:rsidRDefault="00000000" w:rsidP="00452CC5">
      <w:pPr>
        <w:ind w:firstLine="720"/>
        <w:jc w:val="both"/>
        <w:rPr>
          <w:sz w:val="24"/>
          <w:szCs w:val="24"/>
        </w:rPr>
      </w:pPr>
      <w:r>
        <w:rPr>
          <w:sz w:val="24"/>
          <w:szCs w:val="24"/>
        </w:rPr>
        <w:t>The safety and efficacy of percutaneous image-guided procedures in managing pleural fluid collections have been widely studied and reported. These procedures have been shown to be a safe and efficient substitute surgical intervention, with high success rates and low complication rates. The success rates of these procedures are high, with technical success rates ranging from 97% to 99% and complication rates of 0.5% to 4%. The technique is well-established and has numerous applications, including the drainage of abscesses and aberrant fluid collections in various organs.  The choice of the access route and the imaging modalities for needle and catheter insertion guidance are crucial steps in most percutaneous drainage procedures. Sonography and fluoroscopy guidance are also preferred modalities due to their real-time monitoring capabilities and lower radiation exposure compared to CT. However, the indications, methods, and administration of image-guided catheter drainage are still developing. While complications like pneumothorax, pleural effusion, and empyema, can be minimized by careful patient selection, thorough pre-procedural imaging, and skilled interventional radiologist performance.  Hence, the overall success and safety of percutaneous image-guided procedures make a valuable tool in interventional radiology for managing pleural fluid collections beneficial for patients with lung abscesses, providing a therapeutic option with reduced morbidity and mortality.</w:t>
      </w:r>
    </w:p>
    <w:p w:rsidR="001F3066" w:rsidRDefault="001F3066">
      <w:pPr>
        <w:pBdr>
          <w:bottom w:val="single" w:sz="12" w:space="0" w:color="000000"/>
        </w:pBdr>
        <w:rPr>
          <w:sz w:val="24"/>
          <w:szCs w:val="24"/>
        </w:rPr>
      </w:pPr>
    </w:p>
    <w:p w:rsidR="001F3066" w:rsidRDefault="001F3066">
      <w:pPr>
        <w:pBdr>
          <w:bottom w:val="single" w:sz="12" w:space="0" w:color="000000"/>
        </w:pBdr>
        <w:rPr>
          <w:b/>
          <w:bCs/>
          <w:sz w:val="24"/>
          <w:szCs w:val="24"/>
        </w:rPr>
      </w:pPr>
    </w:p>
    <w:p w:rsidR="001F3066" w:rsidRDefault="001F3066">
      <w:pPr>
        <w:rPr>
          <w:b/>
          <w:bCs/>
          <w:sz w:val="24"/>
          <w:szCs w:val="24"/>
        </w:rPr>
      </w:pPr>
    </w:p>
    <w:p w:rsidR="001F3066" w:rsidRDefault="00000000">
      <w:pPr>
        <w:rPr>
          <w:b/>
          <w:bCs/>
          <w:sz w:val="24"/>
          <w:szCs w:val="24"/>
        </w:rPr>
      </w:pPr>
      <w:r>
        <w:rPr>
          <w:b/>
          <w:bCs/>
          <w:sz w:val="24"/>
          <w:szCs w:val="24"/>
        </w:rPr>
        <w:t>REFERENCES</w:t>
      </w:r>
    </w:p>
    <w:p w:rsidR="001F3066" w:rsidRDefault="001F3066">
      <w:pPr>
        <w:rPr>
          <w:b/>
          <w:bCs/>
          <w:sz w:val="24"/>
          <w:szCs w:val="24"/>
        </w:rPr>
      </w:pPr>
    </w:p>
    <w:p w:rsidR="001F3066" w:rsidRDefault="00000000">
      <w:pPr>
        <w:numPr>
          <w:ilvl w:val="0"/>
          <w:numId w:val="1"/>
        </w:numPr>
        <w:spacing w:line="240" w:lineRule="auto"/>
        <w:jc w:val="both"/>
        <w:rPr>
          <w:sz w:val="24"/>
          <w:szCs w:val="24"/>
        </w:rPr>
      </w:pPr>
      <w:r>
        <w:rPr>
          <w:sz w:val="24"/>
          <w:szCs w:val="24"/>
        </w:rPr>
        <w:t xml:space="preserve">Bickle, I. (2013). </w:t>
      </w:r>
      <w:r>
        <w:rPr>
          <w:i/>
          <w:iCs/>
          <w:sz w:val="24"/>
          <w:szCs w:val="24"/>
        </w:rPr>
        <w:t xml:space="preserve">CT </w:t>
      </w:r>
      <w:r>
        <w:rPr>
          <w:sz w:val="24"/>
          <w:szCs w:val="24"/>
        </w:rPr>
        <w:t xml:space="preserve">guided percutaneous drainage. Radiopaedia.org. </w:t>
      </w:r>
      <w:hyperlink r:id="rId7">
        <w:r>
          <w:rPr>
            <w:color w:val="0071BC"/>
            <w:sz w:val="24"/>
            <w:szCs w:val="24"/>
            <w:highlight w:val="white"/>
          </w:rPr>
          <w:t>https://doi.org/10.53347/rID-21397</w:t>
        </w:r>
      </w:hyperlink>
    </w:p>
    <w:p w:rsidR="001F3066" w:rsidRDefault="00000000">
      <w:pPr>
        <w:numPr>
          <w:ilvl w:val="0"/>
          <w:numId w:val="1"/>
        </w:numPr>
        <w:spacing w:line="240" w:lineRule="auto"/>
        <w:jc w:val="both"/>
        <w:rPr>
          <w:sz w:val="24"/>
          <w:szCs w:val="24"/>
        </w:rPr>
      </w:pPr>
      <w:proofErr w:type="spellStart"/>
      <w:r>
        <w:rPr>
          <w:sz w:val="24"/>
          <w:szCs w:val="24"/>
        </w:rPr>
        <w:t>Cafarotti</w:t>
      </w:r>
      <w:proofErr w:type="spellEnd"/>
      <w:r>
        <w:rPr>
          <w:sz w:val="24"/>
          <w:szCs w:val="24"/>
        </w:rPr>
        <w:t xml:space="preserve">, S., </w:t>
      </w:r>
      <w:proofErr w:type="spellStart"/>
      <w:r>
        <w:rPr>
          <w:sz w:val="24"/>
          <w:szCs w:val="24"/>
        </w:rPr>
        <w:t>Dall’Armi</w:t>
      </w:r>
      <w:proofErr w:type="spellEnd"/>
      <w:r>
        <w:rPr>
          <w:sz w:val="24"/>
          <w:szCs w:val="24"/>
        </w:rPr>
        <w:t xml:space="preserve">, V., Cusumano, G., </w:t>
      </w:r>
      <w:proofErr w:type="spellStart"/>
      <w:r>
        <w:rPr>
          <w:sz w:val="24"/>
          <w:szCs w:val="24"/>
        </w:rPr>
        <w:t>Margaritora</w:t>
      </w:r>
      <w:proofErr w:type="spellEnd"/>
      <w:r>
        <w:rPr>
          <w:sz w:val="24"/>
          <w:szCs w:val="24"/>
        </w:rPr>
        <w:t xml:space="preserve">, S., </w:t>
      </w:r>
      <w:proofErr w:type="spellStart"/>
      <w:r>
        <w:rPr>
          <w:sz w:val="24"/>
          <w:szCs w:val="24"/>
        </w:rPr>
        <w:t>Meacci</w:t>
      </w:r>
      <w:proofErr w:type="spellEnd"/>
      <w:r>
        <w:rPr>
          <w:sz w:val="24"/>
          <w:szCs w:val="24"/>
        </w:rPr>
        <w:t xml:space="preserve">, E., Lococo, F., Vita, M. L., </w:t>
      </w:r>
      <w:proofErr w:type="spellStart"/>
      <w:r>
        <w:rPr>
          <w:sz w:val="24"/>
          <w:szCs w:val="24"/>
        </w:rPr>
        <w:t>Porziella</w:t>
      </w:r>
      <w:proofErr w:type="spellEnd"/>
      <w:r>
        <w:rPr>
          <w:sz w:val="24"/>
          <w:szCs w:val="24"/>
        </w:rPr>
        <w:t xml:space="preserve">, V., </w:t>
      </w:r>
      <w:proofErr w:type="spellStart"/>
      <w:r>
        <w:rPr>
          <w:sz w:val="24"/>
          <w:szCs w:val="24"/>
        </w:rPr>
        <w:t>Bonassi</w:t>
      </w:r>
      <w:proofErr w:type="spellEnd"/>
      <w:r>
        <w:rPr>
          <w:sz w:val="24"/>
          <w:szCs w:val="24"/>
        </w:rPr>
        <w:t xml:space="preserve">, S., Cesario, A., &amp; </w:t>
      </w:r>
      <w:proofErr w:type="spellStart"/>
      <w:r>
        <w:rPr>
          <w:sz w:val="24"/>
          <w:szCs w:val="24"/>
        </w:rPr>
        <w:t>Granone</w:t>
      </w:r>
      <w:proofErr w:type="spellEnd"/>
      <w:r>
        <w:rPr>
          <w:sz w:val="24"/>
          <w:szCs w:val="24"/>
        </w:rPr>
        <w:t xml:space="preserve">, P. (2011). Small-bore wire-guided chest drains: Safety, tolerability, and effectiveness in pneumothorax, malignant effusions, and pleural empyema. </w:t>
      </w:r>
      <w:r>
        <w:rPr>
          <w:i/>
          <w:iCs/>
          <w:sz w:val="24"/>
          <w:szCs w:val="24"/>
        </w:rPr>
        <w:t>The Journal of Thoracic and Cardiovascular Surgery</w:t>
      </w:r>
      <w:r>
        <w:rPr>
          <w:sz w:val="24"/>
          <w:szCs w:val="24"/>
        </w:rPr>
        <w:t xml:space="preserve">, </w:t>
      </w:r>
      <w:r>
        <w:rPr>
          <w:i/>
          <w:iCs/>
          <w:sz w:val="24"/>
          <w:szCs w:val="24"/>
        </w:rPr>
        <w:t>141</w:t>
      </w:r>
      <w:r>
        <w:rPr>
          <w:sz w:val="24"/>
          <w:szCs w:val="24"/>
        </w:rPr>
        <w:t xml:space="preserve">(3), 683–687. </w:t>
      </w:r>
      <w:r>
        <w:rPr>
          <w:color w:val="0071BC"/>
          <w:sz w:val="24"/>
          <w:szCs w:val="24"/>
        </w:rPr>
        <w:t>https://doi.org/10.1016/j.jtcvs.2010.08.044</w:t>
      </w:r>
    </w:p>
    <w:p w:rsidR="001F3066" w:rsidRDefault="00000000">
      <w:pPr>
        <w:numPr>
          <w:ilvl w:val="0"/>
          <w:numId w:val="1"/>
        </w:numPr>
        <w:spacing w:line="240" w:lineRule="auto"/>
        <w:jc w:val="both"/>
        <w:rPr>
          <w:sz w:val="24"/>
          <w:szCs w:val="24"/>
        </w:rPr>
      </w:pPr>
      <w:r>
        <w:rPr>
          <w:sz w:val="24"/>
          <w:szCs w:val="24"/>
        </w:rPr>
        <w:t xml:space="preserve">Coley, B. (2008). Interventional radiology treatment of empyema and lung abscesses. </w:t>
      </w:r>
      <w:proofErr w:type="spellStart"/>
      <w:r>
        <w:rPr>
          <w:i/>
          <w:iCs/>
          <w:sz w:val="24"/>
          <w:szCs w:val="24"/>
        </w:rPr>
        <w:t>Paediatric</w:t>
      </w:r>
      <w:proofErr w:type="spellEnd"/>
      <w:r>
        <w:rPr>
          <w:i/>
          <w:iCs/>
          <w:sz w:val="24"/>
          <w:szCs w:val="24"/>
        </w:rPr>
        <w:t xml:space="preserve"> Respiratory Reviews</w:t>
      </w:r>
      <w:r>
        <w:rPr>
          <w:sz w:val="24"/>
          <w:szCs w:val="24"/>
        </w:rPr>
        <w:t xml:space="preserve">. </w:t>
      </w:r>
      <w:hyperlink r:id="rId8">
        <w:r>
          <w:rPr>
            <w:color w:val="0071BC"/>
            <w:sz w:val="24"/>
            <w:szCs w:val="24"/>
          </w:rPr>
          <w:t>https://doi.org/10.1016/j.prrv.2007.12.001</w:t>
        </w:r>
      </w:hyperlink>
      <w:r>
        <w:rPr>
          <w:color w:val="0071BC"/>
          <w:sz w:val="24"/>
          <w:szCs w:val="24"/>
        </w:rPr>
        <w:t xml:space="preserve"> </w:t>
      </w:r>
    </w:p>
    <w:p w:rsidR="001F3066" w:rsidRDefault="00000000">
      <w:pPr>
        <w:numPr>
          <w:ilvl w:val="0"/>
          <w:numId w:val="1"/>
        </w:numPr>
        <w:spacing w:line="240" w:lineRule="auto"/>
        <w:jc w:val="both"/>
        <w:rPr>
          <w:sz w:val="24"/>
          <w:szCs w:val="24"/>
        </w:rPr>
      </w:pPr>
      <w:r>
        <w:rPr>
          <w:sz w:val="24"/>
          <w:szCs w:val="24"/>
        </w:rPr>
        <w:t xml:space="preserve">Lin, Q., Jin, M., Luo, Y., Zhou, M., &amp; Cai, C. (2020). Efficacy and safety of percutaneous tube drainage in lung abscess: a systematic review and meta-analysis. </w:t>
      </w:r>
      <w:r>
        <w:rPr>
          <w:i/>
          <w:iCs/>
          <w:sz w:val="24"/>
          <w:szCs w:val="24"/>
        </w:rPr>
        <w:t>Expert Review of Respiratory Medicine</w:t>
      </w:r>
      <w:r>
        <w:rPr>
          <w:sz w:val="24"/>
          <w:szCs w:val="24"/>
        </w:rPr>
        <w:t xml:space="preserve">. </w:t>
      </w:r>
      <w:hyperlink r:id="rId9">
        <w:r>
          <w:rPr>
            <w:color w:val="0071BC"/>
            <w:sz w:val="24"/>
            <w:szCs w:val="24"/>
          </w:rPr>
          <w:t>https://doi.org/10.1080/17476348.2020.1770086</w:t>
        </w:r>
      </w:hyperlink>
    </w:p>
    <w:p w:rsidR="001F3066" w:rsidRDefault="00000000">
      <w:pPr>
        <w:numPr>
          <w:ilvl w:val="0"/>
          <w:numId w:val="1"/>
        </w:numPr>
        <w:spacing w:line="240" w:lineRule="auto"/>
        <w:jc w:val="both"/>
        <w:rPr>
          <w:sz w:val="24"/>
          <w:szCs w:val="24"/>
        </w:rPr>
      </w:pPr>
      <w:r>
        <w:rPr>
          <w:sz w:val="24"/>
          <w:szCs w:val="24"/>
        </w:rPr>
        <w:t xml:space="preserve">Lisa Y.S. Chan, Reilly, K. D., Henderson, C., Kahn, F., &amp; </w:t>
      </w:r>
      <w:proofErr w:type="spellStart"/>
      <w:r>
        <w:rPr>
          <w:sz w:val="24"/>
          <w:szCs w:val="24"/>
        </w:rPr>
        <w:t>Salluzzo</w:t>
      </w:r>
      <w:proofErr w:type="spellEnd"/>
      <w:r>
        <w:rPr>
          <w:sz w:val="24"/>
          <w:szCs w:val="24"/>
        </w:rPr>
        <w:t xml:space="preserve">, R. F. (1997). Complication rates of tube thoracostomy. </w:t>
      </w:r>
      <w:r>
        <w:rPr>
          <w:i/>
          <w:iCs/>
          <w:sz w:val="24"/>
          <w:szCs w:val="24"/>
        </w:rPr>
        <w:t>American Journal of Emergency Medicine</w:t>
      </w:r>
      <w:r>
        <w:rPr>
          <w:sz w:val="24"/>
          <w:szCs w:val="24"/>
        </w:rPr>
        <w:t xml:space="preserve">, </w:t>
      </w:r>
      <w:r>
        <w:rPr>
          <w:i/>
          <w:iCs/>
          <w:sz w:val="24"/>
          <w:szCs w:val="24"/>
        </w:rPr>
        <w:t>15</w:t>
      </w:r>
      <w:r>
        <w:rPr>
          <w:sz w:val="24"/>
          <w:szCs w:val="24"/>
        </w:rPr>
        <w:t xml:space="preserve">(4), 368–370. </w:t>
      </w:r>
      <w:r>
        <w:rPr>
          <w:color w:val="0071BC"/>
          <w:sz w:val="24"/>
          <w:szCs w:val="24"/>
        </w:rPr>
        <w:t>https://doi.org/10.1016/s0735-6757(97)90127-3</w:t>
      </w:r>
    </w:p>
    <w:p w:rsidR="001F3066" w:rsidRDefault="00000000">
      <w:pPr>
        <w:numPr>
          <w:ilvl w:val="0"/>
          <w:numId w:val="1"/>
        </w:numPr>
        <w:spacing w:line="240" w:lineRule="auto"/>
        <w:jc w:val="both"/>
        <w:rPr>
          <w:sz w:val="24"/>
          <w:szCs w:val="24"/>
        </w:rPr>
      </w:pPr>
      <w:r>
        <w:rPr>
          <w:sz w:val="24"/>
          <w:szCs w:val="24"/>
        </w:rPr>
        <w:lastRenderedPageBreak/>
        <w:t xml:space="preserve">Cupido, G. C., Günther, G., &amp; </w:t>
      </w:r>
      <w:proofErr w:type="spellStart"/>
      <w:r>
        <w:rPr>
          <w:sz w:val="24"/>
          <w:szCs w:val="24"/>
        </w:rPr>
        <w:t>Ellitson</w:t>
      </w:r>
      <w:proofErr w:type="spellEnd"/>
      <w:r>
        <w:rPr>
          <w:sz w:val="24"/>
          <w:szCs w:val="24"/>
        </w:rPr>
        <w:t xml:space="preserve">, L. (2022). Percutaneous catheter drainage of a pyogenic lung abscess: A case report. African Journal of Thoracic and Critical Care Medicine, 28(1), 33–34. </w:t>
      </w:r>
      <w:hyperlink r:id="rId10">
        <w:r>
          <w:rPr>
            <w:color w:val="0071BC"/>
            <w:sz w:val="24"/>
            <w:szCs w:val="24"/>
          </w:rPr>
          <w:t>https://doi.org/10.7196/ajtccm.2022.v28i1.145</w:t>
        </w:r>
      </w:hyperlink>
      <w:r>
        <w:rPr>
          <w:color w:val="0071BC"/>
          <w:sz w:val="24"/>
          <w:szCs w:val="24"/>
        </w:rPr>
        <w:t xml:space="preserve"> </w:t>
      </w:r>
    </w:p>
    <w:p w:rsidR="001F3066" w:rsidRDefault="00000000">
      <w:pPr>
        <w:numPr>
          <w:ilvl w:val="0"/>
          <w:numId w:val="1"/>
        </w:numPr>
        <w:spacing w:line="240" w:lineRule="auto"/>
        <w:jc w:val="both"/>
        <w:rPr>
          <w:sz w:val="24"/>
          <w:szCs w:val="24"/>
        </w:rPr>
      </w:pPr>
      <w:r>
        <w:rPr>
          <w:sz w:val="24"/>
          <w:szCs w:val="24"/>
        </w:rPr>
        <w:t xml:space="preserve">De Filippo, M., Puglisi, S., </w:t>
      </w:r>
      <w:proofErr w:type="spellStart"/>
      <w:r>
        <w:rPr>
          <w:sz w:val="24"/>
          <w:szCs w:val="24"/>
        </w:rPr>
        <w:t>D’Amuri</w:t>
      </w:r>
      <w:proofErr w:type="spellEnd"/>
      <w:r>
        <w:rPr>
          <w:sz w:val="24"/>
          <w:szCs w:val="24"/>
        </w:rPr>
        <w:t xml:space="preserve">, F., Gentili, F., Paladini, I., Carrafiello, G., </w:t>
      </w:r>
      <w:proofErr w:type="spellStart"/>
      <w:r>
        <w:rPr>
          <w:sz w:val="24"/>
          <w:szCs w:val="24"/>
        </w:rPr>
        <w:t>Maestroni</w:t>
      </w:r>
      <w:proofErr w:type="spellEnd"/>
      <w:r>
        <w:rPr>
          <w:sz w:val="24"/>
          <w:szCs w:val="24"/>
        </w:rPr>
        <w:t xml:space="preserve">, U., Del Rio, P., </w:t>
      </w:r>
      <w:proofErr w:type="spellStart"/>
      <w:r>
        <w:rPr>
          <w:sz w:val="24"/>
          <w:szCs w:val="24"/>
        </w:rPr>
        <w:t>Ziglioli</w:t>
      </w:r>
      <w:proofErr w:type="spellEnd"/>
      <w:r>
        <w:rPr>
          <w:sz w:val="24"/>
          <w:szCs w:val="24"/>
        </w:rPr>
        <w:t xml:space="preserve">, F., &amp; Pagnini, F. (2021). CT-guided percutaneous drainage of abdominopelvic collections: a pictorial essay. La </w:t>
      </w:r>
      <w:proofErr w:type="spellStart"/>
      <w:r>
        <w:rPr>
          <w:sz w:val="24"/>
          <w:szCs w:val="24"/>
        </w:rPr>
        <w:t>Radiologia</w:t>
      </w:r>
      <w:proofErr w:type="spellEnd"/>
      <w:r>
        <w:rPr>
          <w:sz w:val="24"/>
          <w:szCs w:val="24"/>
        </w:rPr>
        <w:t xml:space="preserve"> Medica, 126(12), 1561–1570. </w:t>
      </w:r>
      <w:hyperlink r:id="rId11">
        <w:r>
          <w:rPr>
            <w:color w:val="0071BC"/>
            <w:sz w:val="24"/>
            <w:szCs w:val="24"/>
          </w:rPr>
          <w:t>https://doi.org/10.1007/s11547-021-01406-z</w:t>
        </w:r>
      </w:hyperlink>
      <w:r>
        <w:rPr>
          <w:color w:val="0071BC"/>
          <w:sz w:val="24"/>
          <w:szCs w:val="24"/>
        </w:rPr>
        <w:t xml:space="preserve"> </w:t>
      </w:r>
    </w:p>
    <w:p w:rsidR="001F3066" w:rsidRDefault="00000000">
      <w:pPr>
        <w:numPr>
          <w:ilvl w:val="0"/>
          <w:numId w:val="1"/>
        </w:numPr>
        <w:spacing w:line="240" w:lineRule="auto"/>
        <w:jc w:val="both"/>
        <w:rPr>
          <w:sz w:val="24"/>
          <w:szCs w:val="24"/>
        </w:rPr>
      </w:pPr>
      <w:r>
        <w:rPr>
          <w:sz w:val="24"/>
          <w:szCs w:val="24"/>
        </w:rPr>
        <w:t xml:space="preserve">Mahajan, A., Moore, J., Mahajan, N., &amp; Singh, A. (2022). Ultrasound Catches the Clue. </w:t>
      </w:r>
      <w:r>
        <w:rPr>
          <w:i/>
          <w:iCs/>
          <w:sz w:val="24"/>
          <w:szCs w:val="24"/>
        </w:rPr>
        <w:t>Chest</w:t>
      </w:r>
      <w:r>
        <w:rPr>
          <w:sz w:val="24"/>
          <w:szCs w:val="24"/>
        </w:rPr>
        <w:t xml:space="preserve">, </w:t>
      </w:r>
      <w:r>
        <w:rPr>
          <w:i/>
          <w:iCs/>
          <w:sz w:val="24"/>
          <w:szCs w:val="24"/>
        </w:rPr>
        <w:t>161</w:t>
      </w:r>
      <w:r>
        <w:rPr>
          <w:sz w:val="24"/>
          <w:szCs w:val="24"/>
        </w:rPr>
        <w:t xml:space="preserve">(6), e383–e385. </w:t>
      </w:r>
      <w:r>
        <w:rPr>
          <w:color w:val="0071BC"/>
          <w:sz w:val="24"/>
          <w:szCs w:val="24"/>
        </w:rPr>
        <w:t>https://doi.org/10.1016/j.chest.2021.07.2184</w:t>
      </w:r>
    </w:p>
    <w:p w:rsidR="001F3066" w:rsidRDefault="00000000">
      <w:pPr>
        <w:numPr>
          <w:ilvl w:val="0"/>
          <w:numId w:val="1"/>
        </w:numPr>
        <w:spacing w:line="240" w:lineRule="auto"/>
        <w:jc w:val="both"/>
        <w:rPr>
          <w:sz w:val="24"/>
          <w:szCs w:val="24"/>
        </w:rPr>
      </w:pPr>
      <w:r>
        <w:rPr>
          <w:sz w:val="24"/>
          <w:szCs w:val="24"/>
        </w:rPr>
        <w:t xml:space="preserve">PRASAD, B., SHASHIREKHA, TEWARI, S., &amp; KASTHURI, A. (1998). MANAGEMENT OF LUNG ABSCESS WITH PERCUTANEOUS CATHETER DRAINAGE. </w:t>
      </w:r>
      <w:r>
        <w:rPr>
          <w:i/>
          <w:iCs/>
          <w:sz w:val="24"/>
          <w:szCs w:val="24"/>
        </w:rPr>
        <w:t>Medical Journal Armed Forces India</w:t>
      </w:r>
      <w:r>
        <w:rPr>
          <w:sz w:val="24"/>
          <w:szCs w:val="24"/>
        </w:rPr>
        <w:t xml:space="preserve">, </w:t>
      </w:r>
      <w:r>
        <w:rPr>
          <w:i/>
          <w:iCs/>
          <w:sz w:val="24"/>
          <w:szCs w:val="24"/>
        </w:rPr>
        <w:t>54</w:t>
      </w:r>
      <w:r>
        <w:rPr>
          <w:sz w:val="24"/>
          <w:szCs w:val="24"/>
        </w:rPr>
        <w:t xml:space="preserve">(2), 134–136. </w:t>
      </w:r>
      <w:hyperlink r:id="rId12">
        <w:r>
          <w:rPr>
            <w:color w:val="0071BC"/>
            <w:sz w:val="24"/>
            <w:szCs w:val="24"/>
          </w:rPr>
          <w:t>https://doi.org/10.1016/s0377-1237(17)30503-8</w:t>
        </w:r>
      </w:hyperlink>
    </w:p>
    <w:p w:rsidR="00D018A0" w:rsidRDefault="00D018A0">
      <w:pPr>
        <w:numPr>
          <w:ilvl w:val="0"/>
          <w:numId w:val="1"/>
        </w:numPr>
        <w:jc w:val="both"/>
        <w:rPr>
          <w:sz w:val="24"/>
          <w:szCs w:val="24"/>
        </w:rPr>
      </w:pPr>
      <w:proofErr w:type="spellStart"/>
      <w:r w:rsidRPr="00D018A0">
        <w:rPr>
          <w:sz w:val="24"/>
          <w:szCs w:val="24"/>
        </w:rPr>
        <w:t>Kelogrigoris</w:t>
      </w:r>
      <w:proofErr w:type="spellEnd"/>
      <w:r w:rsidRPr="00D018A0">
        <w:rPr>
          <w:sz w:val="24"/>
          <w:szCs w:val="24"/>
        </w:rPr>
        <w:t xml:space="preserve">, M., </w:t>
      </w:r>
      <w:proofErr w:type="spellStart"/>
      <w:r w:rsidRPr="00D018A0">
        <w:rPr>
          <w:sz w:val="24"/>
          <w:szCs w:val="24"/>
        </w:rPr>
        <w:t>Tsagouli</w:t>
      </w:r>
      <w:proofErr w:type="spellEnd"/>
      <w:r w:rsidRPr="00D018A0">
        <w:rPr>
          <w:sz w:val="24"/>
          <w:szCs w:val="24"/>
        </w:rPr>
        <w:t xml:space="preserve">, P., Stathopoulos, K., </w:t>
      </w:r>
      <w:proofErr w:type="spellStart"/>
      <w:r w:rsidRPr="00D018A0">
        <w:rPr>
          <w:sz w:val="24"/>
          <w:szCs w:val="24"/>
        </w:rPr>
        <w:t>Tsagaridou</w:t>
      </w:r>
      <w:proofErr w:type="spellEnd"/>
      <w:r w:rsidRPr="00D018A0">
        <w:rPr>
          <w:sz w:val="24"/>
          <w:szCs w:val="24"/>
        </w:rPr>
        <w:t>, I., &amp; Thanos, L. (2011). CT-guided percutaneous drainage of lung abscesses: review of 40 cases. </w:t>
      </w:r>
      <w:r w:rsidRPr="00D018A0">
        <w:rPr>
          <w:i/>
          <w:iCs/>
          <w:sz w:val="24"/>
          <w:szCs w:val="24"/>
        </w:rPr>
        <w:t>JBR-</w:t>
      </w:r>
      <w:proofErr w:type="gramStart"/>
      <w:r w:rsidRPr="00D018A0">
        <w:rPr>
          <w:i/>
          <w:iCs/>
          <w:sz w:val="24"/>
          <w:szCs w:val="24"/>
        </w:rPr>
        <w:t>BTR :</w:t>
      </w:r>
      <w:proofErr w:type="gramEnd"/>
      <w:r w:rsidRPr="00D018A0">
        <w:rPr>
          <w:i/>
          <w:iCs/>
          <w:sz w:val="24"/>
          <w:szCs w:val="24"/>
        </w:rPr>
        <w:t xml:space="preserve"> </w:t>
      </w:r>
      <w:proofErr w:type="spellStart"/>
      <w:r w:rsidRPr="00D018A0">
        <w:rPr>
          <w:i/>
          <w:iCs/>
          <w:sz w:val="24"/>
          <w:szCs w:val="24"/>
        </w:rPr>
        <w:t>organe</w:t>
      </w:r>
      <w:proofErr w:type="spellEnd"/>
      <w:r w:rsidRPr="00D018A0">
        <w:rPr>
          <w:i/>
          <w:iCs/>
          <w:sz w:val="24"/>
          <w:szCs w:val="24"/>
        </w:rPr>
        <w:t xml:space="preserve"> de la Societe royale </w:t>
      </w:r>
      <w:proofErr w:type="spellStart"/>
      <w:r w:rsidRPr="00D018A0">
        <w:rPr>
          <w:i/>
          <w:iCs/>
          <w:sz w:val="24"/>
          <w:szCs w:val="24"/>
        </w:rPr>
        <w:t>belge</w:t>
      </w:r>
      <w:proofErr w:type="spellEnd"/>
      <w:r w:rsidRPr="00D018A0">
        <w:rPr>
          <w:i/>
          <w:iCs/>
          <w:sz w:val="24"/>
          <w:szCs w:val="24"/>
        </w:rPr>
        <w:t xml:space="preserve"> de </w:t>
      </w:r>
      <w:proofErr w:type="spellStart"/>
      <w:r w:rsidRPr="00D018A0">
        <w:rPr>
          <w:i/>
          <w:iCs/>
          <w:sz w:val="24"/>
          <w:szCs w:val="24"/>
        </w:rPr>
        <w:t>radiologie</w:t>
      </w:r>
      <w:proofErr w:type="spellEnd"/>
      <w:r w:rsidRPr="00D018A0">
        <w:rPr>
          <w:i/>
          <w:iCs/>
          <w:sz w:val="24"/>
          <w:szCs w:val="24"/>
        </w:rPr>
        <w:t xml:space="preserve"> (SRBR) = </w:t>
      </w:r>
      <w:proofErr w:type="spellStart"/>
      <w:r w:rsidRPr="00D018A0">
        <w:rPr>
          <w:i/>
          <w:iCs/>
          <w:sz w:val="24"/>
          <w:szCs w:val="24"/>
        </w:rPr>
        <w:t>orgaan</w:t>
      </w:r>
      <w:proofErr w:type="spellEnd"/>
      <w:r w:rsidRPr="00D018A0">
        <w:rPr>
          <w:i/>
          <w:iCs/>
          <w:sz w:val="24"/>
          <w:szCs w:val="24"/>
        </w:rPr>
        <w:t xml:space="preserve"> van de Koninklijke </w:t>
      </w:r>
      <w:proofErr w:type="spellStart"/>
      <w:r w:rsidRPr="00D018A0">
        <w:rPr>
          <w:i/>
          <w:iCs/>
          <w:sz w:val="24"/>
          <w:szCs w:val="24"/>
        </w:rPr>
        <w:t>Belgische</w:t>
      </w:r>
      <w:proofErr w:type="spellEnd"/>
      <w:r w:rsidRPr="00D018A0">
        <w:rPr>
          <w:i/>
          <w:iCs/>
          <w:sz w:val="24"/>
          <w:szCs w:val="24"/>
        </w:rPr>
        <w:t xml:space="preserve"> Vereniging </w:t>
      </w:r>
      <w:proofErr w:type="spellStart"/>
      <w:r w:rsidRPr="00D018A0">
        <w:rPr>
          <w:i/>
          <w:iCs/>
          <w:sz w:val="24"/>
          <w:szCs w:val="24"/>
        </w:rPr>
        <w:t>voor</w:t>
      </w:r>
      <w:proofErr w:type="spellEnd"/>
      <w:r w:rsidRPr="00D018A0">
        <w:rPr>
          <w:i/>
          <w:iCs/>
          <w:sz w:val="24"/>
          <w:szCs w:val="24"/>
        </w:rPr>
        <w:t xml:space="preserve"> </w:t>
      </w:r>
      <w:proofErr w:type="spellStart"/>
      <w:r w:rsidRPr="00D018A0">
        <w:rPr>
          <w:i/>
          <w:iCs/>
          <w:sz w:val="24"/>
          <w:szCs w:val="24"/>
        </w:rPr>
        <w:t>Radiologie</w:t>
      </w:r>
      <w:proofErr w:type="spellEnd"/>
      <w:r w:rsidRPr="00D018A0">
        <w:rPr>
          <w:i/>
          <w:iCs/>
          <w:sz w:val="24"/>
          <w:szCs w:val="24"/>
        </w:rPr>
        <w:t xml:space="preserve"> (KBVR)</w:t>
      </w:r>
      <w:r w:rsidRPr="00D018A0">
        <w:rPr>
          <w:sz w:val="24"/>
          <w:szCs w:val="24"/>
        </w:rPr>
        <w:t>, </w:t>
      </w:r>
      <w:r w:rsidRPr="00D018A0">
        <w:rPr>
          <w:i/>
          <w:iCs/>
          <w:sz w:val="24"/>
          <w:szCs w:val="24"/>
        </w:rPr>
        <w:t>94</w:t>
      </w:r>
      <w:r w:rsidRPr="00D018A0">
        <w:rPr>
          <w:sz w:val="24"/>
          <w:szCs w:val="24"/>
        </w:rPr>
        <w:t xml:space="preserve">(4), 191–195. </w:t>
      </w:r>
      <w:hyperlink r:id="rId13" w:history="1">
        <w:r w:rsidRPr="008A059B">
          <w:rPr>
            <w:rStyle w:val="Hyperlink"/>
            <w:sz w:val="24"/>
            <w:szCs w:val="24"/>
          </w:rPr>
          <w:t>https://doi.org/10.5334/jbr-btr.583</w:t>
        </w:r>
      </w:hyperlink>
    </w:p>
    <w:p w:rsidR="001F3066" w:rsidRDefault="00000000">
      <w:pPr>
        <w:numPr>
          <w:ilvl w:val="0"/>
          <w:numId w:val="1"/>
        </w:numPr>
        <w:jc w:val="both"/>
        <w:rPr>
          <w:sz w:val="24"/>
          <w:szCs w:val="24"/>
        </w:rPr>
      </w:pPr>
      <w:proofErr w:type="spellStart"/>
      <w:r>
        <w:rPr>
          <w:sz w:val="24"/>
          <w:szCs w:val="24"/>
        </w:rPr>
        <w:t>Mezhir</w:t>
      </w:r>
      <w:proofErr w:type="spellEnd"/>
      <w:r>
        <w:rPr>
          <w:sz w:val="24"/>
          <w:szCs w:val="24"/>
        </w:rPr>
        <w:t xml:space="preserve">, J. J., </w:t>
      </w:r>
      <w:proofErr w:type="spellStart"/>
      <w:r>
        <w:rPr>
          <w:sz w:val="24"/>
          <w:szCs w:val="24"/>
        </w:rPr>
        <w:t>Schoellnast</w:t>
      </w:r>
      <w:proofErr w:type="spellEnd"/>
      <w:r>
        <w:rPr>
          <w:sz w:val="24"/>
          <w:szCs w:val="24"/>
        </w:rPr>
        <w:t xml:space="preserve">, H., Solomon, S. B., &amp; Allen, P. J. (2012). Postoperative complications requiring intervention, diagnosis, and                                                                                                                                                                                                                                                                                                                                                                                                                                                                                                          management. In </w:t>
      </w:r>
      <w:r>
        <w:rPr>
          <w:i/>
          <w:iCs/>
          <w:sz w:val="24"/>
          <w:szCs w:val="24"/>
        </w:rPr>
        <w:t>Elsevier eBooks</w:t>
      </w:r>
      <w:r>
        <w:rPr>
          <w:sz w:val="24"/>
          <w:szCs w:val="24"/>
        </w:rPr>
        <w:t xml:space="preserve"> (pp. 401-417.e3). </w:t>
      </w:r>
      <w:hyperlink r:id="rId14">
        <w:r>
          <w:rPr>
            <w:color w:val="0071BC"/>
            <w:sz w:val="24"/>
            <w:szCs w:val="24"/>
          </w:rPr>
          <w:t>https://doi.org/10.1016/b978-1-4377-1454-8.00025-4</w:t>
        </w:r>
      </w:hyperlink>
    </w:p>
    <w:p w:rsidR="001F3066" w:rsidRDefault="00000000">
      <w:pPr>
        <w:numPr>
          <w:ilvl w:val="0"/>
          <w:numId w:val="1"/>
        </w:numPr>
        <w:jc w:val="both"/>
        <w:rPr>
          <w:sz w:val="24"/>
          <w:szCs w:val="24"/>
        </w:rPr>
      </w:pPr>
      <w:r>
        <w:rPr>
          <w:sz w:val="24"/>
          <w:szCs w:val="24"/>
          <w:highlight w:val="white"/>
        </w:rPr>
        <w:t>Lorenz, J. M., Al-</w:t>
      </w:r>
      <w:proofErr w:type="spellStart"/>
      <w:r>
        <w:rPr>
          <w:sz w:val="24"/>
          <w:szCs w:val="24"/>
          <w:highlight w:val="white"/>
        </w:rPr>
        <w:t>Refaie</w:t>
      </w:r>
      <w:proofErr w:type="spellEnd"/>
      <w:r>
        <w:rPr>
          <w:sz w:val="24"/>
          <w:szCs w:val="24"/>
          <w:highlight w:val="white"/>
        </w:rPr>
        <w:t xml:space="preserve">, W. B., Cash, B. D., Gaba, R. C., Gervais, D. A., Gipson, M. G., ... &amp; </w:t>
      </w:r>
      <w:proofErr w:type="spellStart"/>
      <w:r>
        <w:rPr>
          <w:sz w:val="24"/>
          <w:szCs w:val="24"/>
          <w:highlight w:val="white"/>
        </w:rPr>
        <w:t>Hohenwalter</w:t>
      </w:r>
      <w:proofErr w:type="spellEnd"/>
      <w:r>
        <w:rPr>
          <w:sz w:val="24"/>
          <w:szCs w:val="24"/>
          <w:highlight w:val="white"/>
        </w:rPr>
        <w:t xml:space="preserve">, E. J. (2015). ACR appropriateness criteria </w:t>
      </w:r>
      <w:r>
        <w:rPr>
          <w:sz w:val="24"/>
          <w:szCs w:val="24"/>
        </w:rPr>
        <w:t xml:space="preserve">radiologic management of infected fluid collections. </w:t>
      </w:r>
      <w:r>
        <w:rPr>
          <w:i/>
          <w:iCs/>
          <w:sz w:val="24"/>
          <w:szCs w:val="24"/>
        </w:rPr>
        <w:t>Journal of the American College of Radiology</w:t>
      </w:r>
      <w:r>
        <w:rPr>
          <w:sz w:val="24"/>
          <w:szCs w:val="24"/>
        </w:rPr>
        <w:t xml:space="preserve">, </w:t>
      </w:r>
      <w:r>
        <w:rPr>
          <w:i/>
          <w:iCs/>
          <w:sz w:val="24"/>
          <w:szCs w:val="24"/>
        </w:rPr>
        <w:t>12</w:t>
      </w:r>
      <w:r>
        <w:rPr>
          <w:sz w:val="24"/>
          <w:szCs w:val="24"/>
        </w:rPr>
        <w:t xml:space="preserve">(8), 791-799. </w:t>
      </w:r>
      <w:hyperlink r:id="rId15">
        <w:r>
          <w:rPr>
            <w:color w:val="0071BC"/>
            <w:sz w:val="24"/>
            <w:szCs w:val="24"/>
            <w:u w:val="single"/>
          </w:rPr>
          <w:t>https://doi.org/10.1016/j.jacr.2015.04.025</w:t>
        </w:r>
      </w:hyperlink>
    </w:p>
    <w:p w:rsidR="001F3066" w:rsidRDefault="00000000">
      <w:pPr>
        <w:numPr>
          <w:ilvl w:val="0"/>
          <w:numId w:val="1"/>
        </w:numPr>
        <w:jc w:val="both"/>
        <w:rPr>
          <w:sz w:val="24"/>
          <w:szCs w:val="24"/>
        </w:rPr>
      </w:pPr>
      <w:r>
        <w:rPr>
          <w:sz w:val="24"/>
          <w:szCs w:val="24"/>
        </w:rPr>
        <w:t xml:space="preserve">Wallace, M. J., Chin, K. W., Fletcher, T. B., Bakal, C. W., Cardella, J. F., Grassi, C. J., Grizzard, J. D., Kaye, A. D., Kushner, D. C., Larson, P. A., Liebscher, L. A., Luers, P. R., Mauro, M. A., &amp; Kundu, S. (2010). Quality improvement Guidelines for Percutaneous Drainage/Aspiration of Abscess and Fluid collections. </w:t>
      </w:r>
      <w:r>
        <w:rPr>
          <w:i/>
          <w:iCs/>
          <w:sz w:val="24"/>
          <w:szCs w:val="24"/>
        </w:rPr>
        <w:t>Journal of Vascular and Interventional Radiology</w:t>
      </w:r>
      <w:r>
        <w:rPr>
          <w:sz w:val="24"/>
          <w:szCs w:val="24"/>
        </w:rPr>
        <w:t xml:space="preserve">, </w:t>
      </w:r>
      <w:r>
        <w:rPr>
          <w:i/>
          <w:iCs/>
          <w:sz w:val="24"/>
          <w:szCs w:val="24"/>
        </w:rPr>
        <w:t>21</w:t>
      </w:r>
      <w:r>
        <w:rPr>
          <w:sz w:val="24"/>
          <w:szCs w:val="24"/>
        </w:rPr>
        <w:t xml:space="preserve">(4), 431–435. </w:t>
      </w:r>
      <w:hyperlink r:id="rId16">
        <w:r>
          <w:rPr>
            <w:color w:val="0071BC"/>
            <w:sz w:val="24"/>
            <w:szCs w:val="24"/>
          </w:rPr>
          <w:t>https://doi.org/10.1016/j.jvir.2009.12.398</w:t>
        </w:r>
      </w:hyperlink>
      <w:r>
        <w:rPr>
          <w:color w:val="0071BC"/>
          <w:sz w:val="24"/>
          <w:szCs w:val="24"/>
        </w:rPr>
        <w:t xml:space="preserve"> </w:t>
      </w:r>
    </w:p>
    <w:p w:rsidR="00452CC5" w:rsidRDefault="00452CC5">
      <w:pPr>
        <w:numPr>
          <w:ilvl w:val="0"/>
          <w:numId w:val="1"/>
        </w:numPr>
        <w:jc w:val="both"/>
        <w:rPr>
          <w:sz w:val="24"/>
          <w:szCs w:val="24"/>
        </w:rPr>
      </w:pPr>
      <w:r w:rsidRPr="00452CC5">
        <w:rPr>
          <w:sz w:val="24"/>
          <w:szCs w:val="24"/>
        </w:rPr>
        <w:t xml:space="preserve">Rafiq, S., Dar, M. A., Nazir, I., Shaffi, F., Shaheen, F., &amp; </w:t>
      </w:r>
      <w:proofErr w:type="spellStart"/>
      <w:r w:rsidRPr="00452CC5">
        <w:rPr>
          <w:sz w:val="24"/>
          <w:szCs w:val="24"/>
        </w:rPr>
        <w:t>Kuchay</w:t>
      </w:r>
      <w:proofErr w:type="spellEnd"/>
      <w:r w:rsidRPr="00452CC5">
        <w:rPr>
          <w:sz w:val="24"/>
          <w:szCs w:val="24"/>
        </w:rPr>
        <w:t>, I. A. (2020). Image-guided catheter drainage in loculated pleural space collections, effectiveness, and complications. </w:t>
      </w:r>
      <w:r w:rsidRPr="00452CC5">
        <w:rPr>
          <w:i/>
          <w:iCs/>
          <w:sz w:val="24"/>
          <w:szCs w:val="24"/>
        </w:rPr>
        <w:t xml:space="preserve">Lung </w:t>
      </w:r>
      <w:proofErr w:type="gramStart"/>
      <w:r w:rsidRPr="00452CC5">
        <w:rPr>
          <w:i/>
          <w:iCs/>
          <w:sz w:val="24"/>
          <w:szCs w:val="24"/>
        </w:rPr>
        <w:t>India :</w:t>
      </w:r>
      <w:proofErr w:type="gramEnd"/>
      <w:r w:rsidRPr="00452CC5">
        <w:rPr>
          <w:i/>
          <w:iCs/>
          <w:sz w:val="24"/>
          <w:szCs w:val="24"/>
        </w:rPr>
        <w:t xml:space="preserve"> official organ of Indian Chest Society</w:t>
      </w:r>
      <w:r w:rsidRPr="00452CC5">
        <w:rPr>
          <w:sz w:val="24"/>
          <w:szCs w:val="24"/>
        </w:rPr>
        <w:t>, </w:t>
      </w:r>
      <w:r w:rsidRPr="00452CC5">
        <w:rPr>
          <w:i/>
          <w:iCs/>
          <w:sz w:val="24"/>
          <w:szCs w:val="24"/>
        </w:rPr>
        <w:t>37</w:t>
      </w:r>
      <w:r w:rsidRPr="00452CC5">
        <w:rPr>
          <w:sz w:val="24"/>
          <w:szCs w:val="24"/>
        </w:rPr>
        <w:t xml:space="preserve">(4), 316–322. </w:t>
      </w:r>
      <w:hyperlink r:id="rId17" w:history="1">
        <w:r w:rsidRPr="008A059B">
          <w:rPr>
            <w:rStyle w:val="Hyperlink"/>
            <w:sz w:val="24"/>
            <w:szCs w:val="24"/>
          </w:rPr>
          <w:t>https://doi.org/10.4103/lungindia.lungindia_385_19</w:t>
        </w:r>
      </w:hyperlink>
    </w:p>
    <w:p w:rsidR="00452CC5" w:rsidRDefault="00452CC5">
      <w:pPr>
        <w:numPr>
          <w:ilvl w:val="0"/>
          <w:numId w:val="1"/>
        </w:numPr>
        <w:jc w:val="both"/>
        <w:rPr>
          <w:sz w:val="24"/>
          <w:szCs w:val="24"/>
        </w:rPr>
      </w:pPr>
      <w:r w:rsidRPr="00452CC5">
        <w:rPr>
          <w:sz w:val="24"/>
          <w:szCs w:val="24"/>
        </w:rPr>
        <w:t>Williams, J. G., &amp; Lerner, A. D. (2021). Managing complications of pleural procedures. </w:t>
      </w:r>
      <w:r w:rsidRPr="00452CC5">
        <w:rPr>
          <w:i/>
          <w:iCs/>
          <w:sz w:val="24"/>
          <w:szCs w:val="24"/>
        </w:rPr>
        <w:t>Journal of thoracic disease</w:t>
      </w:r>
      <w:r w:rsidRPr="00452CC5">
        <w:rPr>
          <w:sz w:val="24"/>
          <w:szCs w:val="24"/>
        </w:rPr>
        <w:t>, </w:t>
      </w:r>
      <w:r w:rsidRPr="00452CC5">
        <w:rPr>
          <w:i/>
          <w:iCs/>
          <w:sz w:val="24"/>
          <w:szCs w:val="24"/>
        </w:rPr>
        <w:t>13</w:t>
      </w:r>
      <w:r w:rsidRPr="00452CC5">
        <w:rPr>
          <w:sz w:val="24"/>
          <w:szCs w:val="24"/>
        </w:rPr>
        <w:t xml:space="preserve">(8), 5242–5250. </w:t>
      </w:r>
      <w:hyperlink r:id="rId18" w:history="1">
        <w:r w:rsidRPr="008A059B">
          <w:rPr>
            <w:rStyle w:val="Hyperlink"/>
            <w:sz w:val="24"/>
            <w:szCs w:val="24"/>
          </w:rPr>
          <w:t>https://doi.org/10.21037/jtd-2019-ipicu-04</w:t>
        </w:r>
      </w:hyperlink>
    </w:p>
    <w:p w:rsidR="001F3066" w:rsidRDefault="00000000">
      <w:pPr>
        <w:numPr>
          <w:ilvl w:val="0"/>
          <w:numId w:val="1"/>
        </w:numPr>
        <w:jc w:val="both"/>
        <w:rPr>
          <w:sz w:val="24"/>
          <w:szCs w:val="24"/>
        </w:rPr>
      </w:pPr>
      <w:r>
        <w:rPr>
          <w:sz w:val="24"/>
          <w:szCs w:val="24"/>
        </w:rPr>
        <w:t xml:space="preserve">Celik, E., Goertz, L., Henze, J., Schütz, M. B., Mink, B. L., Brinkmann, S., </w:t>
      </w:r>
      <w:proofErr w:type="spellStart"/>
      <w:r>
        <w:rPr>
          <w:sz w:val="24"/>
          <w:szCs w:val="24"/>
        </w:rPr>
        <w:t>Laasch</w:t>
      </w:r>
      <w:proofErr w:type="spellEnd"/>
      <w:r>
        <w:rPr>
          <w:sz w:val="24"/>
          <w:szCs w:val="24"/>
        </w:rPr>
        <w:t xml:space="preserve">, H., Schmidt, A., Grüll, H., Maintz, D., Kloeckner, R., Lorenz, F. W., Santos, D. P. D., &amp; Chon, S. (2023). Evaluation of viscosities of typical drainage </w:t>
      </w:r>
      <w:r>
        <w:rPr>
          <w:sz w:val="24"/>
          <w:szCs w:val="24"/>
        </w:rPr>
        <w:lastRenderedPageBreak/>
        <w:t xml:space="preserve">fluids to promote more evidence-based catheter size selection. Scientific Reports, 13(1). </w:t>
      </w:r>
      <w:r>
        <w:rPr>
          <w:color w:val="0071BC"/>
          <w:sz w:val="24"/>
          <w:szCs w:val="24"/>
        </w:rPr>
        <w:t>https://doi.org/10.1038/s41598-023-49160-8</w:t>
      </w:r>
    </w:p>
    <w:p w:rsidR="001F3066" w:rsidRDefault="00000000">
      <w:pPr>
        <w:numPr>
          <w:ilvl w:val="0"/>
          <w:numId w:val="1"/>
        </w:numPr>
        <w:jc w:val="both"/>
        <w:rPr>
          <w:sz w:val="24"/>
          <w:szCs w:val="24"/>
        </w:rPr>
      </w:pPr>
      <w:r>
        <w:rPr>
          <w:sz w:val="24"/>
          <w:szCs w:val="24"/>
        </w:rPr>
        <w:t xml:space="preserve">Levin, D. C., </w:t>
      </w:r>
      <w:proofErr w:type="spellStart"/>
      <w:r>
        <w:rPr>
          <w:sz w:val="24"/>
          <w:szCs w:val="24"/>
        </w:rPr>
        <w:t>Eschelman</w:t>
      </w:r>
      <w:proofErr w:type="spellEnd"/>
      <w:r>
        <w:rPr>
          <w:sz w:val="24"/>
          <w:szCs w:val="24"/>
        </w:rPr>
        <w:t xml:space="preserve">, D. J., Parker, L., &amp; Rao, V. M. (2015). Trends in use of percutaneous versus open surgical drainage of abdominal abscesses. Journal of the American College of Radiology, 12(12), 1247–1250. </w:t>
      </w:r>
      <w:hyperlink r:id="rId19">
        <w:r>
          <w:rPr>
            <w:color w:val="0071BC"/>
            <w:sz w:val="24"/>
            <w:szCs w:val="24"/>
          </w:rPr>
          <w:t>https://doi.org/10.1016/j.jacr.2015.06.015</w:t>
        </w:r>
      </w:hyperlink>
    </w:p>
    <w:p w:rsidR="001F3066" w:rsidRDefault="00000000">
      <w:pPr>
        <w:numPr>
          <w:ilvl w:val="0"/>
          <w:numId w:val="1"/>
        </w:numPr>
        <w:jc w:val="both"/>
        <w:rPr>
          <w:sz w:val="24"/>
          <w:szCs w:val="24"/>
        </w:rPr>
      </w:pPr>
      <w:r>
        <w:rPr>
          <w:sz w:val="24"/>
          <w:szCs w:val="24"/>
        </w:rPr>
        <w:t xml:space="preserve">Arnold, M., Keung, J., &amp; </w:t>
      </w:r>
      <w:proofErr w:type="spellStart"/>
      <w:r>
        <w:rPr>
          <w:sz w:val="24"/>
          <w:szCs w:val="24"/>
        </w:rPr>
        <w:t>Mccrarragher</w:t>
      </w:r>
      <w:proofErr w:type="spellEnd"/>
      <w:r>
        <w:rPr>
          <w:sz w:val="24"/>
          <w:szCs w:val="24"/>
        </w:rPr>
        <w:t xml:space="preserve">, J. (2019). Interventional Radiology: Indications and Best Practices. American Academy of Family Physicians article.  </w:t>
      </w:r>
      <w:r>
        <w:rPr>
          <w:color w:val="0071BC"/>
          <w:sz w:val="24"/>
          <w:szCs w:val="24"/>
        </w:rPr>
        <w:t xml:space="preserve">https://www.aafp.org/pubs/afp/issues/2019/0501/p547.html </w:t>
      </w:r>
    </w:p>
    <w:p w:rsidR="001F3066" w:rsidRPr="00452CC5" w:rsidRDefault="00000000" w:rsidP="00452CC5">
      <w:pPr>
        <w:numPr>
          <w:ilvl w:val="0"/>
          <w:numId w:val="1"/>
        </w:numPr>
        <w:spacing w:after="240"/>
        <w:jc w:val="both"/>
        <w:rPr>
          <w:sz w:val="24"/>
          <w:szCs w:val="24"/>
        </w:rPr>
      </w:pPr>
      <w:proofErr w:type="spellStart"/>
      <w:r>
        <w:rPr>
          <w:sz w:val="24"/>
          <w:szCs w:val="24"/>
        </w:rPr>
        <w:t>Dariushnia</w:t>
      </w:r>
      <w:proofErr w:type="spellEnd"/>
      <w:r>
        <w:rPr>
          <w:sz w:val="24"/>
          <w:szCs w:val="24"/>
        </w:rPr>
        <w:t xml:space="preserve">, S. et al. (2020). Society of Interventional Radiology Quality Improvement Standards for Image-Guided Percutaneous Drainage and Aspiration of Abscesses and Fluid Collections. Journal of Vascular and Interventional Radiology. </w:t>
      </w:r>
      <w:hyperlink r:id="rId20">
        <w:r>
          <w:rPr>
            <w:color w:val="1155CC"/>
            <w:sz w:val="24"/>
            <w:szCs w:val="24"/>
            <w:u w:val="single"/>
          </w:rPr>
          <w:t>https://doi.org/10.1016/j.jvir.2019.12.001</w:t>
        </w:r>
      </w:hyperlink>
    </w:p>
    <w:p w:rsidR="001F3066" w:rsidRDefault="00000000">
      <w:pPr>
        <w:numPr>
          <w:ilvl w:val="0"/>
          <w:numId w:val="1"/>
        </w:numPr>
        <w:jc w:val="both"/>
        <w:rPr>
          <w:sz w:val="24"/>
          <w:szCs w:val="24"/>
        </w:rPr>
      </w:pPr>
      <w:proofErr w:type="spellStart"/>
      <w:r>
        <w:rPr>
          <w:sz w:val="24"/>
          <w:szCs w:val="24"/>
        </w:rPr>
        <w:t>Lababede</w:t>
      </w:r>
      <w:proofErr w:type="spellEnd"/>
      <w:r>
        <w:rPr>
          <w:sz w:val="24"/>
          <w:szCs w:val="24"/>
        </w:rPr>
        <w:t xml:space="preserve">, O. (2022). Pleural Effusion Imaging. Medscape Article. </w:t>
      </w:r>
      <w:r>
        <w:rPr>
          <w:color w:val="0071BC"/>
          <w:sz w:val="24"/>
          <w:szCs w:val="24"/>
        </w:rPr>
        <w:t>https://emedicine.medscape.com/article/355524-overview#a1?form=fpf</w:t>
      </w:r>
    </w:p>
    <w:p w:rsidR="001F3066" w:rsidRDefault="001F3066">
      <w:pPr>
        <w:spacing w:before="240" w:after="240"/>
        <w:rPr>
          <w:sz w:val="24"/>
          <w:szCs w:val="24"/>
        </w:rPr>
      </w:pPr>
    </w:p>
    <w:p w:rsidR="001F3066" w:rsidRDefault="001F3066">
      <w:pPr>
        <w:spacing w:before="240" w:after="240"/>
        <w:rPr>
          <w:sz w:val="24"/>
          <w:szCs w:val="24"/>
        </w:rPr>
      </w:pPr>
    </w:p>
    <w:p w:rsidR="001F3066" w:rsidRDefault="001F3066">
      <w:pPr>
        <w:spacing w:before="240" w:after="240"/>
        <w:rPr>
          <w:sz w:val="24"/>
          <w:szCs w:val="24"/>
        </w:rPr>
      </w:pPr>
    </w:p>
    <w:p w:rsidR="001F3066" w:rsidRDefault="001F3066">
      <w:pPr>
        <w:spacing w:before="240" w:after="240"/>
        <w:rPr>
          <w:sz w:val="24"/>
          <w:szCs w:val="24"/>
        </w:rPr>
      </w:pPr>
    </w:p>
    <w:p w:rsidR="001F3066" w:rsidRDefault="001F3066">
      <w:pPr>
        <w:spacing w:line="240" w:lineRule="auto"/>
        <w:rPr>
          <w:sz w:val="24"/>
          <w:szCs w:val="24"/>
        </w:rPr>
      </w:pPr>
    </w:p>
    <w:sectPr w:rsidR="001F3066">
      <w:footerReference w:type="default" r:id="rId2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C0CE9" w:rsidRDefault="00CC0CE9">
      <w:pPr>
        <w:spacing w:line="240" w:lineRule="auto"/>
      </w:pPr>
      <w:r>
        <w:separator/>
      </w:r>
    </w:p>
  </w:endnote>
  <w:endnote w:type="continuationSeparator" w:id="0">
    <w:p w:rsidR="00CC0CE9" w:rsidRDefault="00CC0C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0D3DEC5-E831-9043-903E-FCBCBDBCCF6D}"/>
  </w:font>
  <w:font w:name="Arial">
    <w:panose1 w:val="020B0604020202020204"/>
    <w:charset w:val="00"/>
    <w:family w:val="swiss"/>
    <w:pitch w:val="variable"/>
    <w:sig w:usb0="E0002AFF" w:usb1="C0007843" w:usb2="00000009" w:usb3="00000000" w:csb0="000001FF" w:csb1="00000000"/>
    <w:embedRegular r:id="rId2" w:fontKey="{9B025DC1-E3F5-2A4F-B903-12E842C82D7C}"/>
    <w:embedBold r:id="rId3" w:fontKey="{505B83B7-23E9-7444-BE7C-1EC8A26A0809}"/>
    <w:embedItalic r:id="rId4" w:fontKey="{CEA6FA55-498A-734A-A15E-CC067869A690}"/>
    <w:embedBoldItalic r:id="rId5" w:fontKey="{54A2597A-4D94-154A-8A6A-71B7483449F6}"/>
  </w:font>
  <w:font w:name="Cambria Math">
    <w:panose1 w:val="02040503050406030204"/>
    <w:charset w:val="00"/>
    <w:family w:val="roman"/>
    <w:pitch w:val="variable"/>
    <w:sig w:usb0="E00002FF" w:usb1="420024FF" w:usb2="00000000" w:usb3="00000000" w:csb0="0000019F" w:csb1="00000000"/>
    <w:embedItalic r:id="rId6" w:fontKey="{E6B62078-1449-434A-B1C7-3E2569785199}"/>
  </w:font>
  <w:font w:name="Roboto">
    <w:panose1 w:val="02000000000000000000"/>
    <w:charset w:val="00"/>
    <w:family w:val="auto"/>
    <w:pitch w:val="variable"/>
    <w:sig w:usb0="E0000AFF" w:usb1="5000217F" w:usb2="00000021" w:usb3="00000000" w:csb0="0000019F" w:csb1="00000000"/>
    <w:embedRegular r:id="rId7" w:fontKey="{E04D9339-FF20-CF41-A5B7-8371905DF254}"/>
  </w:font>
  <w:font w:name="Calibri">
    <w:panose1 w:val="020F0502020204030204"/>
    <w:charset w:val="00"/>
    <w:family w:val="swiss"/>
    <w:pitch w:val="variable"/>
    <w:sig w:usb0="E0002AFF" w:usb1="C000247B" w:usb2="00000009" w:usb3="00000000" w:csb0="000001FF" w:csb1="00000000"/>
    <w:embedRegular r:id="rId8" w:fontKey="{9E787D63-8DB8-454B-8760-E136F497E796}"/>
  </w:font>
  <w:font w:name="Cambria">
    <w:panose1 w:val="02040503050406030204"/>
    <w:charset w:val="00"/>
    <w:family w:val="roman"/>
    <w:pitch w:val="variable"/>
    <w:sig w:usb0="E00002FF" w:usb1="400004FF" w:usb2="00000000" w:usb3="00000000" w:csb0="0000019F" w:csb1="00000000"/>
    <w:embedRegular r:id="rId9" w:fontKey="{53A0A746-4729-4942-89D1-C4730D8C35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F3066" w:rsidRDefault="00000000">
    <w:r>
      <w:fldChar w:fldCharType="begin"/>
    </w:r>
    <w:r>
      <w:instrText>PAGE</w:instrText>
    </w:r>
    <w:r>
      <w:fldChar w:fldCharType="separate"/>
    </w:r>
    <w:r w:rsidR="00452CC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C0CE9" w:rsidRDefault="00CC0CE9">
      <w:pPr>
        <w:spacing w:line="240" w:lineRule="auto"/>
      </w:pPr>
      <w:r>
        <w:separator/>
      </w:r>
    </w:p>
  </w:footnote>
  <w:footnote w:type="continuationSeparator" w:id="0">
    <w:p w:rsidR="00CC0CE9" w:rsidRDefault="00CC0CE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A12644"/>
    <w:multiLevelType w:val="multilevel"/>
    <w:tmpl w:val="66683F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07052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066"/>
    <w:rsid w:val="001F3066"/>
    <w:rsid w:val="00452CC5"/>
    <w:rsid w:val="00BC46E3"/>
    <w:rsid w:val="00CC0CE9"/>
    <w:rsid w:val="00D018A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4:docId w14:val="4B6C5BCC"/>
  <w15:docId w15:val="{02E47567-1DB3-E645-905C-97B6A2384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Header">
    <w:name w:val="header"/>
    <w:basedOn w:val="Normal"/>
    <w:link w:val="HeaderChar"/>
    <w:uiPriority w:val="99"/>
    <w:unhideWhenUsed/>
    <w:rsid w:val="00452CC5"/>
    <w:pPr>
      <w:tabs>
        <w:tab w:val="center" w:pos="4680"/>
        <w:tab w:val="right" w:pos="9360"/>
      </w:tabs>
      <w:spacing w:line="240" w:lineRule="auto"/>
    </w:pPr>
  </w:style>
  <w:style w:type="character" w:customStyle="1" w:styleId="HeaderChar">
    <w:name w:val="Header Char"/>
    <w:basedOn w:val="DefaultParagraphFont"/>
    <w:link w:val="Header"/>
    <w:uiPriority w:val="99"/>
    <w:rsid w:val="00452CC5"/>
  </w:style>
  <w:style w:type="paragraph" w:styleId="Footer">
    <w:name w:val="footer"/>
    <w:basedOn w:val="Normal"/>
    <w:link w:val="FooterChar"/>
    <w:uiPriority w:val="99"/>
    <w:unhideWhenUsed/>
    <w:rsid w:val="00452CC5"/>
    <w:pPr>
      <w:tabs>
        <w:tab w:val="center" w:pos="4680"/>
        <w:tab w:val="right" w:pos="9360"/>
      </w:tabs>
      <w:spacing w:line="240" w:lineRule="auto"/>
    </w:pPr>
  </w:style>
  <w:style w:type="character" w:customStyle="1" w:styleId="FooterChar">
    <w:name w:val="Footer Char"/>
    <w:basedOn w:val="DefaultParagraphFont"/>
    <w:link w:val="Footer"/>
    <w:uiPriority w:val="99"/>
    <w:rsid w:val="00452CC5"/>
  </w:style>
  <w:style w:type="character" w:styleId="Hyperlink">
    <w:name w:val="Hyperlink"/>
    <w:basedOn w:val="DefaultParagraphFont"/>
    <w:uiPriority w:val="99"/>
    <w:unhideWhenUsed/>
    <w:rsid w:val="00452CC5"/>
    <w:rPr>
      <w:color w:val="0000FF" w:themeColor="hyperlink"/>
      <w:u w:val="single"/>
    </w:rPr>
  </w:style>
  <w:style w:type="character" w:styleId="UnresolvedMention">
    <w:name w:val="Unresolved Mention"/>
    <w:basedOn w:val="DefaultParagraphFont"/>
    <w:uiPriority w:val="99"/>
    <w:semiHidden/>
    <w:unhideWhenUsed/>
    <w:rsid w:val="00452C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016/j.prrv.2007.12.001" TargetMode="External"/><Relationship Id="rId13" Type="http://schemas.openxmlformats.org/officeDocument/2006/relationships/hyperlink" Target="https://doi.org/10.5334/jbr-btr.583" TargetMode="External"/><Relationship Id="rId18" Type="http://schemas.openxmlformats.org/officeDocument/2006/relationships/hyperlink" Target="https://doi.org/10.21037/jtd-2019-ipicu-04"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doi.org/10.53347/rID-21397" TargetMode="External"/><Relationship Id="rId12" Type="http://schemas.openxmlformats.org/officeDocument/2006/relationships/hyperlink" Target="https://doi.org/10.1016/s0377-1237(17)30503-8" TargetMode="External"/><Relationship Id="rId17" Type="http://schemas.openxmlformats.org/officeDocument/2006/relationships/hyperlink" Target="https://doi.org/10.4103/lungindia.lungindia_385_19" TargetMode="External"/><Relationship Id="rId2" Type="http://schemas.openxmlformats.org/officeDocument/2006/relationships/styles" Target="styles.xml"/><Relationship Id="rId16" Type="http://schemas.openxmlformats.org/officeDocument/2006/relationships/hyperlink" Target="https://doi.org/10.1016/j.jvir.2009.12.398" TargetMode="External"/><Relationship Id="rId20" Type="http://schemas.openxmlformats.org/officeDocument/2006/relationships/hyperlink" Target="https://doi.org/10.1016/j.jvir.2019.12.00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07/s11547-021-01406-z" TargetMode="External"/><Relationship Id="rId5" Type="http://schemas.openxmlformats.org/officeDocument/2006/relationships/footnotes" Target="footnotes.xml"/><Relationship Id="rId15" Type="http://schemas.openxmlformats.org/officeDocument/2006/relationships/hyperlink" Target="https://doi.org/10.1016/j.jacr.2015.04.025" TargetMode="External"/><Relationship Id="rId23" Type="http://schemas.openxmlformats.org/officeDocument/2006/relationships/theme" Target="theme/theme1.xml"/><Relationship Id="rId10" Type="http://schemas.openxmlformats.org/officeDocument/2006/relationships/hyperlink" Target="https://doi.org/10.7196/ajtccm.2022.v28i1.145" TargetMode="External"/><Relationship Id="rId19" Type="http://schemas.openxmlformats.org/officeDocument/2006/relationships/hyperlink" Target="https://doi.org/10.1016/j.jacr.2015.06.015" TargetMode="External"/><Relationship Id="rId4" Type="http://schemas.openxmlformats.org/officeDocument/2006/relationships/webSettings" Target="webSettings.xml"/><Relationship Id="rId9" Type="http://schemas.openxmlformats.org/officeDocument/2006/relationships/hyperlink" Target="https://doi.org/10.1080/17476348.2020.1770086" TargetMode="External"/><Relationship Id="rId14" Type="http://schemas.openxmlformats.org/officeDocument/2006/relationships/hyperlink" Target="https://doi.org/10.1016/b978-1-4377-1454-8.00025-4"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2955</Words>
  <Characters>16845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Devin Revilla</cp:lastModifiedBy>
  <cp:revision>2</cp:revision>
  <dcterms:created xsi:type="dcterms:W3CDTF">2026-03-20T17:27:00Z</dcterms:created>
  <dcterms:modified xsi:type="dcterms:W3CDTF">2026-03-20T17:27:00Z</dcterms:modified>
</cp:coreProperties>
</file>