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C8" w:rsidRPr="00FB7C8D" w:rsidRDefault="001D779B" w:rsidP="00FB7C8D">
      <w:pPr>
        <w:pStyle w:val="NormalWeb"/>
        <w:jc w:val="center"/>
        <w:rPr>
          <w:b/>
          <w:sz w:val="36"/>
          <w:szCs w:val="36"/>
        </w:rPr>
      </w:pPr>
      <w:r w:rsidRPr="00FB7C8D">
        <w:rPr>
          <w:b/>
          <w:sz w:val="36"/>
          <w:szCs w:val="36"/>
        </w:rPr>
        <w:t>Challenges Facing Forest Resource Management in Oti Region: A Comparative Analysis of Nchumuru and Adele Communities</w:t>
      </w:r>
    </w:p>
    <w:p w:rsidR="00706FC8" w:rsidRDefault="00706FC8" w:rsidP="00706FC8">
      <w:pPr>
        <w:pStyle w:val="NormalWeb"/>
        <w:rPr>
          <w:b/>
        </w:rPr>
      </w:pPr>
    </w:p>
    <w:p w:rsidR="000F29B5" w:rsidRDefault="000F29B5" w:rsidP="00706FC8">
      <w:pPr>
        <w:pStyle w:val="NormalWeb"/>
        <w:rPr>
          <w:b/>
        </w:rPr>
      </w:pPr>
    </w:p>
    <w:p w:rsidR="00FB7C8D" w:rsidRPr="002920F8" w:rsidRDefault="00D42560"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20F8">
        <w:rPr>
          <w:rFonts w:ascii="Times New Roman" w:eastAsia="Times New Roman" w:hAnsi="Times New Roman" w:cs="Times New Roman"/>
          <w:b/>
          <w:bCs/>
          <w:sz w:val="36"/>
          <w:szCs w:val="36"/>
        </w:rPr>
        <w:t>Professor Isaac Agyemang</w:t>
      </w:r>
    </w:p>
    <w:p w:rsidR="00D42560" w:rsidRPr="002920F8" w:rsidRDefault="00D42560"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20F8">
        <w:rPr>
          <w:rFonts w:ascii="Times New Roman" w:eastAsia="Times New Roman" w:hAnsi="Times New Roman" w:cs="Times New Roman"/>
          <w:b/>
          <w:bCs/>
          <w:sz w:val="36"/>
          <w:szCs w:val="36"/>
        </w:rPr>
        <w:t>dr.iagyemang@uds.edu.gh</w:t>
      </w:r>
    </w:p>
    <w:p w:rsidR="00D42560" w:rsidRPr="002920F8" w:rsidRDefault="00D42560"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20F8">
        <w:rPr>
          <w:rFonts w:ascii="Times New Roman" w:eastAsia="Times New Roman" w:hAnsi="Times New Roman" w:cs="Times New Roman"/>
          <w:b/>
          <w:bCs/>
          <w:sz w:val="36"/>
          <w:szCs w:val="36"/>
        </w:rPr>
        <w:t>University of Business and Integrated Development</w:t>
      </w:r>
    </w:p>
    <w:p w:rsidR="00D42560" w:rsidRPr="002920F8" w:rsidRDefault="00D42560"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05DDB" w:rsidRPr="002920F8" w:rsidRDefault="00505DDB"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20F8">
        <w:rPr>
          <w:rFonts w:ascii="Times New Roman" w:eastAsia="Times New Roman" w:hAnsi="Times New Roman" w:cs="Times New Roman"/>
          <w:b/>
          <w:bCs/>
          <w:sz w:val="36"/>
          <w:szCs w:val="36"/>
        </w:rPr>
        <w:t xml:space="preserve">(*) Makpobi Kwasi Lapah </w:t>
      </w:r>
      <w:r w:rsidR="002920F8" w:rsidRPr="002920F8">
        <w:rPr>
          <w:rFonts w:ascii="Times New Roman" w:eastAsia="Times New Roman" w:hAnsi="Times New Roman" w:cs="Times New Roman"/>
          <w:b/>
          <w:bCs/>
          <w:sz w:val="36"/>
          <w:szCs w:val="36"/>
        </w:rPr>
        <w:t>(PhD</w:t>
      </w:r>
      <w:r w:rsidRPr="002920F8">
        <w:rPr>
          <w:rFonts w:ascii="Times New Roman" w:eastAsia="Times New Roman" w:hAnsi="Times New Roman" w:cs="Times New Roman"/>
          <w:b/>
          <w:bCs/>
          <w:sz w:val="36"/>
          <w:szCs w:val="36"/>
        </w:rPr>
        <w:t xml:space="preserve"> candidate)</w:t>
      </w:r>
    </w:p>
    <w:p w:rsidR="00505DDB" w:rsidRPr="002920F8" w:rsidRDefault="00505DDB"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20F8">
        <w:rPr>
          <w:rFonts w:ascii="Times New Roman" w:eastAsia="Times New Roman" w:hAnsi="Times New Roman" w:cs="Times New Roman"/>
          <w:b/>
          <w:bCs/>
          <w:sz w:val="36"/>
          <w:szCs w:val="36"/>
        </w:rPr>
        <w:t>kwasilapahmakpobi@gmail.com</w:t>
      </w:r>
    </w:p>
    <w:p w:rsidR="00505DDB" w:rsidRPr="002920F8" w:rsidRDefault="00505DDB"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20F8">
        <w:rPr>
          <w:rFonts w:ascii="Times New Roman" w:eastAsia="Times New Roman" w:hAnsi="Times New Roman" w:cs="Times New Roman"/>
          <w:b/>
          <w:bCs/>
          <w:sz w:val="36"/>
          <w:szCs w:val="36"/>
        </w:rPr>
        <w:t>University of Business and Integrated Development</w:t>
      </w:r>
    </w:p>
    <w:p w:rsidR="00FB7C8D" w:rsidRPr="002920F8" w:rsidRDefault="00FB7C8D" w:rsidP="002920F8">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2920F8" w:rsidRDefault="002920F8"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FB7C8D" w:rsidRDefault="00FB7C8D" w:rsidP="000F29B5">
      <w:pPr>
        <w:spacing w:before="100" w:beforeAutospacing="1" w:after="100" w:afterAutospacing="1" w:line="240" w:lineRule="auto"/>
        <w:outlineLvl w:val="1"/>
        <w:rPr>
          <w:rFonts w:ascii="Times New Roman" w:eastAsia="Times New Roman" w:hAnsi="Times New Roman" w:cs="Times New Roman"/>
          <w:b/>
          <w:bCs/>
          <w:sz w:val="24"/>
          <w:szCs w:val="24"/>
        </w:rPr>
      </w:pPr>
    </w:p>
    <w:p w:rsidR="000F29B5" w:rsidRPr="000F29B5" w:rsidRDefault="000F29B5" w:rsidP="000F29B5">
      <w:pPr>
        <w:spacing w:before="100" w:beforeAutospacing="1" w:after="100" w:afterAutospacing="1" w:line="240" w:lineRule="auto"/>
        <w:outlineLvl w:val="1"/>
        <w:rPr>
          <w:rFonts w:ascii="Times New Roman" w:eastAsia="Times New Roman" w:hAnsi="Times New Roman" w:cs="Times New Roman"/>
          <w:b/>
          <w:bCs/>
          <w:sz w:val="24"/>
          <w:szCs w:val="24"/>
        </w:rPr>
      </w:pPr>
      <w:r w:rsidRPr="000F29B5">
        <w:rPr>
          <w:rFonts w:ascii="Times New Roman" w:eastAsia="Times New Roman" w:hAnsi="Times New Roman" w:cs="Times New Roman"/>
          <w:b/>
          <w:bCs/>
          <w:sz w:val="24"/>
          <w:szCs w:val="24"/>
        </w:rPr>
        <w:lastRenderedPageBreak/>
        <w:t>Abstract</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 xml:space="preserve">This study examines the challenges facing community-based forest resource management in the Nchumuru and Adele communities of the Oti Region, Ghana. Despite the adoption of decentralized and participatory forest governance systems, forest conditions continue to vary across communities operating within similar ecological contexts. The study adopts a comparative case study design and a qualitative research approach to explore how institutional, environmental, and socio-economic factors influence forest management outcomes. Data </w:t>
      </w:r>
      <w:proofErr w:type="gramStart"/>
      <w:r w:rsidRPr="000F29B5">
        <w:rPr>
          <w:rFonts w:ascii="Times New Roman" w:eastAsia="Times New Roman" w:hAnsi="Times New Roman" w:cs="Times New Roman"/>
          <w:sz w:val="24"/>
          <w:szCs w:val="24"/>
        </w:rPr>
        <w:t>were collected</w:t>
      </w:r>
      <w:proofErr w:type="gramEnd"/>
      <w:r w:rsidRPr="000F29B5">
        <w:rPr>
          <w:rFonts w:ascii="Times New Roman" w:eastAsia="Times New Roman" w:hAnsi="Times New Roman" w:cs="Times New Roman"/>
          <w:sz w:val="24"/>
          <w:szCs w:val="24"/>
        </w:rPr>
        <w:t xml:space="preserve"> through key informant interviews and focus group discussions involving traditional authorities, community leaders, and local stakeholders.</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The findings reveal that institutional barriers, including weak enforcement mechanisms, declining legitimacy of traditional authority, and limited accountability, significantly undermine effective forest governance. Climate-related challenges such as irregular rainfall patterns and drought further exacerbate forest degradation and increase dependence on forest resources. In addition, inadequate external support, weak collaboration between state and local institutions, and limited livelihood alternatives constrain the sustainability of community-based initiatives. The study also highlights notable differences between the two communities, with stronger institutional cohesion associated with relatively better forest outcomes.</w:t>
      </w:r>
    </w:p>
    <w:p w:rsidR="000F29B5" w:rsidRPr="002920F8" w:rsidRDefault="000F29B5" w:rsidP="002920F8">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The study concludes that the effectiveness of community-based forest resource management is contingent upon the strength of local institutions, the adaptability of governance systems to environmental change, and the availability of sustained external support. It recommends strengthening institutional capacity, enhancing multi-level collaboration, and integrating livelihood and climate resilience strategies into forest management frameworks to improve sustainability outcomes.</w:t>
      </w:r>
    </w:p>
    <w:p w:rsidR="000F29B5" w:rsidRDefault="000F29B5" w:rsidP="00706FC8">
      <w:pPr>
        <w:pStyle w:val="NormalWeb"/>
        <w:rPr>
          <w:b/>
        </w:rPr>
      </w:pPr>
    </w:p>
    <w:p w:rsidR="00842F30" w:rsidRPr="009302F4" w:rsidRDefault="00842F30" w:rsidP="00706FC8">
      <w:pPr>
        <w:pStyle w:val="NormalWeb"/>
        <w:rPr>
          <w:b/>
          <w:sz w:val="28"/>
          <w:szCs w:val="28"/>
        </w:rPr>
      </w:pPr>
      <w:r w:rsidRPr="009302F4">
        <w:rPr>
          <w:b/>
          <w:sz w:val="28"/>
          <w:szCs w:val="28"/>
        </w:rPr>
        <w:t>Introduction</w:t>
      </w:r>
    </w:p>
    <w:p w:rsidR="00842F30" w:rsidRDefault="00842F30" w:rsidP="00842F30">
      <w:pPr>
        <w:pStyle w:val="NormalWeb"/>
        <w:jc w:val="both"/>
      </w:pPr>
      <w:r>
        <w:t xml:space="preserve">Forest resources play a crucial role in supporting livelihoods and maintaining ecological balance in the Oti Region of Ghana, where community-based forest management systems are widely implemented. These systems </w:t>
      </w:r>
      <w:proofErr w:type="gramStart"/>
      <w:r>
        <w:t>are designed</w:t>
      </w:r>
      <w:proofErr w:type="gramEnd"/>
      <w:r>
        <w:t xml:space="preserve"> to promote sustainable resource use through local participation and traditional governance structures. However, their effectiveness is not uniform across communities.</w:t>
      </w:r>
    </w:p>
    <w:p w:rsidR="00842F30" w:rsidRDefault="00842F30" w:rsidP="00842F30">
      <w:pPr>
        <w:pStyle w:val="NormalWeb"/>
        <w:jc w:val="both"/>
      </w:pPr>
      <w:r>
        <w:t>In practice</w:t>
      </w:r>
      <w:r w:rsidR="002920F8">
        <w:t xml:space="preserve">, forest management efforts </w:t>
      </w:r>
      <w:proofErr w:type="gramStart"/>
      <w:r w:rsidR="002920F8">
        <w:t xml:space="preserve">are </w:t>
      </w:r>
      <w:r>
        <w:t>challenged</w:t>
      </w:r>
      <w:proofErr w:type="gramEnd"/>
      <w:r>
        <w:t xml:space="preserve"> by a combination of institutional weaknesses, climate-related pressures, and insufficient external support. Weak enforcement of rules, declining authority of traditional institutions reduce the effectiveness of governance systems. At the same time, environmental factors such as changing rainfall patterns and drought further threaten forest sustainability and local livelihoods.</w:t>
      </w:r>
    </w:p>
    <w:p w:rsidR="00842F30" w:rsidRDefault="00842F30" w:rsidP="00842F30">
      <w:pPr>
        <w:pStyle w:val="NormalWeb"/>
        <w:jc w:val="both"/>
      </w:pPr>
      <w:r>
        <w:t xml:space="preserve">Additionally, differences in governance capacity and support systems contribute to varying outcomes between communities, with some achieving relatively better forest conservation than </w:t>
      </w:r>
      <w:r>
        <w:lastRenderedPageBreak/>
        <w:t>others. Addressing these interconnected challenges is essential for strengthening community-based forest management and ensuring long-term sustainability of forest resources.</w:t>
      </w:r>
    </w:p>
    <w:p w:rsidR="00632832" w:rsidRDefault="00632832" w:rsidP="00842F30">
      <w:pPr>
        <w:pStyle w:val="NormalWeb"/>
        <w:jc w:val="both"/>
      </w:pPr>
    </w:p>
    <w:p w:rsidR="00706FC8" w:rsidRPr="009302F4" w:rsidRDefault="00632832" w:rsidP="009302F4">
      <w:pPr>
        <w:pStyle w:val="NormalWeb"/>
        <w:jc w:val="both"/>
        <w:rPr>
          <w:b/>
          <w:sz w:val="28"/>
          <w:szCs w:val="28"/>
        </w:rPr>
      </w:pPr>
      <w:r w:rsidRPr="009302F4">
        <w:rPr>
          <w:b/>
          <w:sz w:val="28"/>
          <w:szCs w:val="28"/>
        </w:rPr>
        <w:t>Literature Review</w:t>
      </w:r>
    </w:p>
    <w:p w:rsidR="00632832" w:rsidRPr="009302F4" w:rsidRDefault="00632832" w:rsidP="00E86FE5">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Institutional Barriers and Governance Challenges in Community-Based Forest Resource Management</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Institutional factors play a central role in shaping the effectiveness of Community-Based Forest Resource Management (CBFRM), particularly in contexts where forest governance relies heavily on customary authority and local participation. Theoretical and empirical literature consistently demonstrates that the success of community-based systems </w:t>
      </w:r>
      <w:proofErr w:type="gramStart"/>
      <w:r w:rsidRPr="00632832">
        <w:rPr>
          <w:rFonts w:ascii="Times New Roman" w:eastAsia="Times New Roman" w:hAnsi="Times New Roman" w:cs="Times New Roman"/>
          <w:sz w:val="24"/>
          <w:szCs w:val="24"/>
        </w:rPr>
        <w:t>is not determined</w:t>
      </w:r>
      <w:proofErr w:type="gramEnd"/>
      <w:r w:rsidRPr="00632832">
        <w:rPr>
          <w:rFonts w:ascii="Times New Roman" w:eastAsia="Times New Roman" w:hAnsi="Times New Roman" w:cs="Times New Roman"/>
          <w:sz w:val="24"/>
          <w:szCs w:val="24"/>
        </w:rPr>
        <w:t xml:space="preserve"> merely by the presence of local institutions, but by their legitimacy, accountability, enforcement capacity, and adaptability (Ostrom, 1990; Agrawal &amp; </w:t>
      </w:r>
      <w:proofErr w:type="spellStart"/>
      <w:r w:rsidRPr="00632832">
        <w:rPr>
          <w:rFonts w:ascii="Times New Roman" w:eastAsia="Times New Roman" w:hAnsi="Times New Roman" w:cs="Times New Roman"/>
          <w:sz w:val="24"/>
          <w:szCs w:val="24"/>
        </w:rPr>
        <w:t>Ribot</w:t>
      </w:r>
      <w:proofErr w:type="spellEnd"/>
      <w:r w:rsidRPr="00632832">
        <w:rPr>
          <w:rFonts w:ascii="Times New Roman" w:eastAsia="Times New Roman" w:hAnsi="Times New Roman" w:cs="Times New Roman"/>
          <w:sz w:val="24"/>
          <w:szCs w:val="24"/>
        </w:rPr>
        <w:t>, 2019).</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One of the most persistent institutional challenges identified in the literature is weak rule enforcement. Ostrom (1990) emphasizes that sustainable common resource management depends on clearly defined rules supported by effective monitoring and graduated sanctions. However, in many community forestry systems, enforcement mechanisms are either inconsistently applied or lack the authority needed to deter violations. Fleischman et al. (2020) argue that when monitoring systems are weak and sanctions are not credible, rule compliance declines, leading to increased resource exploitation. This challenge is particularly evident in settings where traditional sanctions have lost their social power due to changing cultural values and generational shifts.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Closely related to enforcement is the issue of declining legitimacy of traditional authority structures. In many African contexts, chiefs, elders, and customary institutions historically regulated forest use through socially embedded norms and belief systems. However, recent studies indicate that modernization, migration, and socio-economic transformation have weakened respect for traditional authority, thereby reducing compliance with community rules (</w:t>
      </w:r>
      <w:proofErr w:type="spellStart"/>
      <w:r w:rsidRPr="00632832">
        <w:rPr>
          <w:rFonts w:ascii="Times New Roman" w:eastAsia="Times New Roman" w:hAnsi="Times New Roman" w:cs="Times New Roman"/>
          <w:sz w:val="24"/>
          <w:szCs w:val="24"/>
        </w:rPr>
        <w:t>Kashwan</w:t>
      </w:r>
      <w:proofErr w:type="spellEnd"/>
      <w:r w:rsidRPr="00632832">
        <w:rPr>
          <w:rFonts w:ascii="Times New Roman" w:eastAsia="Times New Roman" w:hAnsi="Times New Roman" w:cs="Times New Roman"/>
          <w:sz w:val="24"/>
          <w:szCs w:val="24"/>
        </w:rPr>
        <w:t xml:space="preserve"> et al., 2020). When local leaders </w:t>
      </w:r>
      <w:proofErr w:type="gramStart"/>
      <w:r w:rsidRPr="00632832">
        <w:rPr>
          <w:rFonts w:ascii="Times New Roman" w:eastAsia="Times New Roman" w:hAnsi="Times New Roman" w:cs="Times New Roman"/>
          <w:sz w:val="24"/>
          <w:szCs w:val="24"/>
        </w:rPr>
        <w:t>are perceived as ineffective, biased, or disconnected from community interests,</w:t>
      </w:r>
      <w:proofErr w:type="gramEnd"/>
      <w:r w:rsidRPr="00632832">
        <w:rPr>
          <w:rFonts w:ascii="Times New Roman" w:eastAsia="Times New Roman" w:hAnsi="Times New Roman" w:cs="Times New Roman"/>
          <w:sz w:val="24"/>
          <w:szCs w:val="24"/>
        </w:rPr>
        <w:t xml:space="preserve"> their ability to enforce conservation measures is significantly undermined.</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Another critical governance challenge is elite capture, where decision-making power and benefits from forest resources are concentrated in the hands of a few individuals or groups. Agrawal and </w:t>
      </w:r>
      <w:proofErr w:type="spellStart"/>
      <w:r w:rsidRPr="00632832">
        <w:rPr>
          <w:rFonts w:ascii="Times New Roman" w:eastAsia="Times New Roman" w:hAnsi="Times New Roman" w:cs="Times New Roman"/>
          <w:sz w:val="24"/>
          <w:szCs w:val="24"/>
        </w:rPr>
        <w:t>Ribot</w:t>
      </w:r>
      <w:proofErr w:type="spellEnd"/>
      <w:r w:rsidRPr="00632832">
        <w:rPr>
          <w:rFonts w:ascii="Times New Roman" w:eastAsia="Times New Roman" w:hAnsi="Times New Roman" w:cs="Times New Roman"/>
          <w:sz w:val="24"/>
          <w:szCs w:val="24"/>
        </w:rPr>
        <w:t xml:space="preserve"> (2019) highlight that decentralization </w:t>
      </w:r>
      <w:proofErr w:type="gramStart"/>
      <w:r w:rsidRPr="00632832">
        <w:rPr>
          <w:rFonts w:ascii="Times New Roman" w:eastAsia="Times New Roman" w:hAnsi="Times New Roman" w:cs="Times New Roman"/>
          <w:sz w:val="24"/>
          <w:szCs w:val="24"/>
        </w:rPr>
        <w:t>does</w:t>
      </w:r>
      <w:proofErr w:type="gramEnd"/>
      <w:r w:rsidRPr="00632832">
        <w:rPr>
          <w:rFonts w:ascii="Times New Roman" w:eastAsia="Times New Roman" w:hAnsi="Times New Roman" w:cs="Times New Roman"/>
          <w:sz w:val="24"/>
          <w:szCs w:val="24"/>
        </w:rPr>
        <w:t xml:space="preserve"> not automatically lead to equitable or effective governance; instead, it may reinforce existing power inequalities if accountability mechanisms are weak. In such cases, local elites may exploit forest resources for personal gain while excluding other community members from decision-making processes. This not only undermines equity but also reduces collective commitment to conservation efforts.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Limited accountability and transparency further compound these challenges. Effective forest governance requires that leaders and institutions are answerable to the community and that decision-making processes are open and inclusive. However, empirical evidence suggests that many community-based systems lack clear accountability structures, leading to mistrust and </w:t>
      </w:r>
      <w:r w:rsidRPr="00632832">
        <w:rPr>
          <w:rFonts w:ascii="Times New Roman" w:eastAsia="Times New Roman" w:hAnsi="Times New Roman" w:cs="Times New Roman"/>
          <w:sz w:val="24"/>
          <w:szCs w:val="24"/>
        </w:rPr>
        <w:lastRenderedPageBreak/>
        <w:t>reduced participation (Fleischman et al., 2020). When community members perceive governance systems as unfair or opaque, their willingness to comply with rules and participate in management activities declines.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Institutional fragmentation is another major barrier highlighted in the literature. In many developing contexts, forest governance operates within a pluralistic system where customary institutions coexist with formal state agencies. While such arrangements have the potential to be complementary, they often result in overlapping roles, unclear jurisdiction, and weak coordination (</w:t>
      </w:r>
      <w:proofErr w:type="spellStart"/>
      <w:r w:rsidRPr="00632832">
        <w:rPr>
          <w:rFonts w:ascii="Times New Roman" w:eastAsia="Times New Roman" w:hAnsi="Times New Roman" w:cs="Times New Roman"/>
          <w:sz w:val="24"/>
          <w:szCs w:val="24"/>
        </w:rPr>
        <w:t>Kashwan</w:t>
      </w:r>
      <w:proofErr w:type="spellEnd"/>
      <w:r w:rsidRPr="00632832">
        <w:rPr>
          <w:rFonts w:ascii="Times New Roman" w:eastAsia="Times New Roman" w:hAnsi="Times New Roman" w:cs="Times New Roman"/>
          <w:sz w:val="24"/>
          <w:szCs w:val="24"/>
        </w:rPr>
        <w:t xml:space="preserve"> et al., 2020). This fragmentation creates enforcement gaps and allows illegal activities such as logging and charcoal production to persist unchecked.</w:t>
      </w:r>
    </w:p>
    <w:p w:rsidR="00706FC8" w:rsidRDefault="00706FC8" w:rsidP="00632832">
      <w:pPr>
        <w:jc w:val="both"/>
        <w:rPr>
          <w:rFonts w:ascii="Times New Roman" w:hAnsi="Times New Roman" w:cs="Times New Roman"/>
          <w:b/>
          <w:sz w:val="24"/>
          <w:szCs w:val="24"/>
        </w:rPr>
      </w:pPr>
    </w:p>
    <w:p w:rsidR="00632832" w:rsidRPr="009302F4" w:rsidRDefault="00632832" w:rsidP="009302F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Climate Change and Environmental Pressures on Forest Resource Sustainability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Climate change and environmental pressures have become significant factors influencing forest resource sustainability, particularly in vulnerable ecological zones such as the forest–savannah transition areas of sub-Saharan Africa. The literature increasingly highlights that forest degradation </w:t>
      </w:r>
      <w:proofErr w:type="gramStart"/>
      <w:r w:rsidRPr="00632832">
        <w:rPr>
          <w:rFonts w:ascii="Times New Roman" w:eastAsia="Times New Roman" w:hAnsi="Times New Roman" w:cs="Times New Roman"/>
          <w:sz w:val="24"/>
          <w:szCs w:val="24"/>
        </w:rPr>
        <w:t>is not only driven</w:t>
      </w:r>
      <w:proofErr w:type="gramEnd"/>
      <w:r w:rsidRPr="00632832">
        <w:rPr>
          <w:rFonts w:ascii="Times New Roman" w:eastAsia="Times New Roman" w:hAnsi="Times New Roman" w:cs="Times New Roman"/>
          <w:sz w:val="24"/>
          <w:szCs w:val="24"/>
        </w:rPr>
        <w:t xml:space="preserve"> by human activities but is also intensified by climate variability, which affects ecosystem resilience and regeneration capacity (FAO, 2020; </w:t>
      </w:r>
      <w:proofErr w:type="spellStart"/>
      <w:r w:rsidRPr="00632832">
        <w:rPr>
          <w:rFonts w:ascii="Times New Roman" w:eastAsia="Times New Roman" w:hAnsi="Times New Roman" w:cs="Times New Roman"/>
          <w:sz w:val="24"/>
          <w:szCs w:val="24"/>
        </w:rPr>
        <w:t>Wilkie</w:t>
      </w:r>
      <w:proofErr w:type="spellEnd"/>
      <w:r w:rsidRPr="00632832">
        <w:rPr>
          <w:rFonts w:ascii="Times New Roman" w:eastAsia="Times New Roman" w:hAnsi="Times New Roman" w:cs="Times New Roman"/>
          <w:sz w:val="24"/>
          <w:szCs w:val="24"/>
        </w:rPr>
        <w:t xml:space="preserve">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One of the major environmental challenges identified is the increasing variability in rainfall patterns. Changes in the timing, intensity, and distribution of rainfall </w:t>
      </w:r>
      <w:proofErr w:type="gramStart"/>
      <w:r w:rsidRPr="00632832">
        <w:rPr>
          <w:rFonts w:ascii="Times New Roman" w:eastAsia="Times New Roman" w:hAnsi="Times New Roman" w:cs="Times New Roman"/>
          <w:sz w:val="24"/>
          <w:szCs w:val="24"/>
        </w:rPr>
        <w:t>have been shown</w:t>
      </w:r>
      <w:proofErr w:type="gramEnd"/>
      <w:r w:rsidRPr="00632832">
        <w:rPr>
          <w:rFonts w:ascii="Times New Roman" w:eastAsia="Times New Roman" w:hAnsi="Times New Roman" w:cs="Times New Roman"/>
          <w:sz w:val="24"/>
          <w:szCs w:val="24"/>
        </w:rPr>
        <w:t xml:space="preserve"> to disrupt natural forest regeneration processes and agricultural cycles. In many rural communities, irregular rainfall leads to crop failures, which in turn increases dependence on forest resources for alternative livelihoods such as charcoal production and fuelwood extraction. This creates additional pressure on already stressed forest ecosystems, accelerating degradation (FAO, 2020).</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Rising temperatures and prolonged drought conditions further compound these challenges. Studies indicate that higher temperatures reduce soil moisture, weaken tree growth, and increase the susceptibility of forests to fires and pest infestations (</w:t>
      </w:r>
      <w:proofErr w:type="spellStart"/>
      <w:r w:rsidRPr="00632832">
        <w:rPr>
          <w:rFonts w:ascii="Times New Roman" w:eastAsia="Times New Roman" w:hAnsi="Times New Roman" w:cs="Times New Roman"/>
          <w:sz w:val="24"/>
          <w:szCs w:val="24"/>
        </w:rPr>
        <w:t>Wilkie</w:t>
      </w:r>
      <w:proofErr w:type="spellEnd"/>
      <w:r w:rsidRPr="00632832">
        <w:rPr>
          <w:rFonts w:ascii="Times New Roman" w:eastAsia="Times New Roman" w:hAnsi="Times New Roman" w:cs="Times New Roman"/>
          <w:sz w:val="24"/>
          <w:szCs w:val="24"/>
        </w:rPr>
        <w:t xml:space="preserve"> et al., 2021). In transitional ecological zones, where ecosystems are already fragile, these climatic stressors can significantly reduce forest cover and biodiversity. As a result, communities that depend on these resources face declining productivity and increased vulnerability.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Another important dimension discussed in the literature is the interaction between climate change and land-use practices. Agricultural expansion, shifting cultivation, and unsustainable harvesting practices are often intensified under climate stress as communities seek to secure their livelihoods. This interaction creates a feedback loop in which environmental degradation further exacerbates climate vulnerability, while climate pressures drive unsustainable resource use (Arts et al., 2023).</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The literature also emphasizes that climate change undermines the effectiveness of local governance systems. Traditional forest management practices, which are often based on predictable seasonal patterns and ecological knowledge, become less effective when environmental conditions change rapidly. This reduces the reliability of indigenous management </w:t>
      </w:r>
      <w:r w:rsidRPr="00632832">
        <w:rPr>
          <w:rFonts w:ascii="Times New Roman" w:eastAsia="Times New Roman" w:hAnsi="Times New Roman" w:cs="Times New Roman"/>
          <w:sz w:val="24"/>
          <w:szCs w:val="24"/>
        </w:rPr>
        <w:lastRenderedPageBreak/>
        <w:t>systems and challenges the adaptability of community-based institutions. In such contexts, communities may struggle to enforce conservation rules when immediate survival needs take precedence over long-term sustainability.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Furthermore, climate-related </w:t>
      </w:r>
      <w:proofErr w:type="spellStart"/>
      <w:r w:rsidRPr="00632832">
        <w:rPr>
          <w:rFonts w:ascii="Times New Roman" w:eastAsia="Times New Roman" w:hAnsi="Times New Roman" w:cs="Times New Roman"/>
          <w:sz w:val="24"/>
          <w:szCs w:val="24"/>
        </w:rPr>
        <w:t>shocks</w:t>
      </w:r>
      <w:proofErr w:type="spellEnd"/>
      <w:r w:rsidRPr="00632832">
        <w:rPr>
          <w:rFonts w:ascii="Times New Roman" w:eastAsia="Times New Roman" w:hAnsi="Times New Roman" w:cs="Times New Roman"/>
          <w:sz w:val="24"/>
          <w:szCs w:val="24"/>
        </w:rPr>
        <w:t xml:space="preserve"> such as droughts and extreme weather events can weaken social cohesion and collective action. Research shows that when communities face increasing economic stress, compliance with forest regulations tends to decline, and illegal activities may rise. This highlights the need to integrate climate resilience into forest governance strategies to ensure that conservation efforts remain effective under changing environmental conditions.</w:t>
      </w:r>
    </w:p>
    <w:p w:rsidR="00632832" w:rsidRPr="009302F4" w:rsidRDefault="00632832" w:rsidP="0063283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Role of External Support and Socio-Economic Factors in Forest Management Outcomes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The effectiveness of Community-Based Forest Resource Management (CBFRM) </w:t>
      </w:r>
      <w:proofErr w:type="gramStart"/>
      <w:r w:rsidRPr="00632832">
        <w:rPr>
          <w:rFonts w:ascii="Times New Roman" w:eastAsia="Times New Roman" w:hAnsi="Times New Roman" w:cs="Times New Roman"/>
          <w:sz w:val="24"/>
          <w:szCs w:val="24"/>
        </w:rPr>
        <w:t>is significantly influenced</w:t>
      </w:r>
      <w:proofErr w:type="gramEnd"/>
      <w:r w:rsidRPr="00632832">
        <w:rPr>
          <w:rFonts w:ascii="Times New Roman" w:eastAsia="Times New Roman" w:hAnsi="Times New Roman" w:cs="Times New Roman"/>
          <w:sz w:val="24"/>
          <w:szCs w:val="24"/>
        </w:rPr>
        <w:t xml:space="preserve"> by the availability of external support and prevailing socio-economic conditions within forest-dependent communities. While CBFRM emphasizes local participation and indigenous governance systems, the literature consistently shows that these systems often require complementary technical, financial, and institutional support to function effectively (</w:t>
      </w:r>
      <w:proofErr w:type="spellStart"/>
      <w:r w:rsidRPr="00632832">
        <w:rPr>
          <w:rFonts w:ascii="Times New Roman" w:eastAsia="Times New Roman" w:hAnsi="Times New Roman" w:cs="Times New Roman"/>
          <w:sz w:val="24"/>
          <w:szCs w:val="24"/>
        </w:rPr>
        <w:t>Oldekop</w:t>
      </w:r>
      <w:proofErr w:type="spellEnd"/>
      <w:r w:rsidRPr="00632832">
        <w:rPr>
          <w:rFonts w:ascii="Times New Roman" w:eastAsia="Times New Roman" w:hAnsi="Times New Roman" w:cs="Times New Roman"/>
          <w:sz w:val="24"/>
          <w:szCs w:val="24"/>
        </w:rPr>
        <w:t xml:space="preserve"> et al., 2019; Hajjar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One major challenge highlighted in the literature is inadequate financial and technical support from government agencies and development partners. Many community-based forest initiatives rely on external assistance for </w:t>
      </w:r>
      <w:r w:rsidR="00D61324" w:rsidRPr="00632832">
        <w:rPr>
          <w:rFonts w:ascii="Times New Roman" w:eastAsia="Times New Roman" w:hAnsi="Times New Roman" w:cs="Times New Roman"/>
          <w:sz w:val="24"/>
          <w:szCs w:val="24"/>
        </w:rPr>
        <w:t>capacity building</w:t>
      </w:r>
      <w:r w:rsidRPr="00632832">
        <w:rPr>
          <w:rFonts w:ascii="Times New Roman" w:eastAsia="Times New Roman" w:hAnsi="Times New Roman" w:cs="Times New Roman"/>
          <w:sz w:val="24"/>
          <w:szCs w:val="24"/>
        </w:rPr>
        <w:t>, monitoring, and implementation of conservation activities. However, such support is often inconsistent, short-term, or poorly coordinated. This limits the ability of communities to sustain forest management efforts, particularly when local resources are insufficient to support enforcement, monitoring, and alternative livelihood programs (Hajjar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Weak collaboration between local institutions and state agencies further complicates forest governance. In many cases, unclear roles, poor communication, and limited institutional coordination create gaps in enforcement and policy implementation. Studies show that when relationships between communities and forestry authorities are weak, it reduces trust, limits information flow, and undermines the effectiveness of conservation interventions (</w:t>
      </w:r>
      <w:proofErr w:type="spellStart"/>
      <w:r w:rsidRPr="00632832">
        <w:rPr>
          <w:rFonts w:ascii="Times New Roman" w:eastAsia="Times New Roman" w:hAnsi="Times New Roman" w:cs="Times New Roman"/>
          <w:sz w:val="24"/>
          <w:szCs w:val="24"/>
        </w:rPr>
        <w:t>Teye</w:t>
      </w:r>
      <w:proofErr w:type="spellEnd"/>
      <w:r w:rsidRPr="00632832">
        <w:rPr>
          <w:rFonts w:ascii="Times New Roman" w:eastAsia="Times New Roman" w:hAnsi="Times New Roman" w:cs="Times New Roman"/>
          <w:sz w:val="24"/>
          <w:szCs w:val="24"/>
        </w:rPr>
        <w:t xml:space="preserve"> et al., 2022). Conversely, strong partnerships between local and external actors are associated with improved governance outcomes and better forest protection.</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Socio-economic pressures also play a critical role in shaping forest management outcomes. In many rural communities, high levels of poverty and limited livelihood opportunities increase dependence on forest resources for survival. Activities such as fuelwood collection, charcoal production, and small-scale farming often become primary sources of income. The literature indicates that when livelihood alternatives are limited, communities may prioritize short-term economic needs over long-term conservation goals, thereby increasing pressure on forest resources (</w:t>
      </w:r>
      <w:proofErr w:type="spellStart"/>
      <w:r w:rsidRPr="00632832">
        <w:rPr>
          <w:rFonts w:ascii="Times New Roman" w:eastAsia="Times New Roman" w:hAnsi="Times New Roman" w:cs="Times New Roman"/>
          <w:sz w:val="24"/>
          <w:szCs w:val="24"/>
        </w:rPr>
        <w:t>Oldekop</w:t>
      </w:r>
      <w:proofErr w:type="spellEnd"/>
      <w:r w:rsidRPr="00632832">
        <w:rPr>
          <w:rFonts w:ascii="Times New Roman" w:eastAsia="Times New Roman" w:hAnsi="Times New Roman" w:cs="Times New Roman"/>
          <w:sz w:val="24"/>
          <w:szCs w:val="24"/>
        </w:rPr>
        <w:t xml:space="preserve"> et al., 2019).</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The issue of </w:t>
      </w:r>
      <w:r w:rsidR="00D61324" w:rsidRPr="00632832">
        <w:rPr>
          <w:rFonts w:ascii="Times New Roman" w:eastAsia="Times New Roman" w:hAnsi="Times New Roman" w:cs="Times New Roman"/>
          <w:sz w:val="24"/>
          <w:szCs w:val="24"/>
        </w:rPr>
        <w:t>benefit sharing</w:t>
      </w:r>
      <w:r w:rsidRPr="00632832">
        <w:rPr>
          <w:rFonts w:ascii="Times New Roman" w:eastAsia="Times New Roman" w:hAnsi="Times New Roman" w:cs="Times New Roman"/>
          <w:sz w:val="24"/>
          <w:szCs w:val="24"/>
        </w:rPr>
        <w:t xml:space="preserve"> is another important factor affecting community participation and compliance. Empirical studies suggest that when the benefits derived from forest management are </w:t>
      </w:r>
      <w:r w:rsidRPr="00632832">
        <w:rPr>
          <w:rFonts w:ascii="Times New Roman" w:eastAsia="Times New Roman" w:hAnsi="Times New Roman" w:cs="Times New Roman"/>
          <w:sz w:val="24"/>
          <w:szCs w:val="24"/>
        </w:rPr>
        <w:lastRenderedPageBreak/>
        <w:t>perceived as unequal or insufficient, community members may lose interest in conservation efforts. Inequitable distribution of benefits can also lead to conflicts and reduce trust in local leadership, further weakening governance systems (Hajjar et al., 2021). Therefore, transparent and inclusive benefit-sharing mechanisms are essential for sustaining community engagement.</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Additionally, external interventions sometimes fail to align with local socio-cultural contexts. Programs designed without adequate understanding of local institutions, values, and practices may face resistance or limited adoption. The literature emphasizes that successful forest management interventions must be context-specific, culturally sensitive, and integrated with existing governance systems rather than imposed externally (</w:t>
      </w:r>
      <w:proofErr w:type="spellStart"/>
      <w:r w:rsidRPr="00632832">
        <w:rPr>
          <w:rFonts w:ascii="Times New Roman" w:eastAsia="Times New Roman" w:hAnsi="Times New Roman" w:cs="Times New Roman"/>
          <w:sz w:val="24"/>
          <w:szCs w:val="24"/>
        </w:rPr>
        <w:t>Teye</w:t>
      </w:r>
      <w:proofErr w:type="spellEnd"/>
      <w:r w:rsidRPr="00632832">
        <w:rPr>
          <w:rFonts w:ascii="Times New Roman" w:eastAsia="Times New Roman" w:hAnsi="Times New Roman" w:cs="Times New Roman"/>
          <w:sz w:val="24"/>
          <w:szCs w:val="24"/>
        </w:rPr>
        <w:t xml:space="preserve"> et al., 2022).</w:t>
      </w:r>
    </w:p>
    <w:p w:rsidR="00E86FE5" w:rsidRPr="009302F4" w:rsidRDefault="00632832" w:rsidP="009302F4">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Overall, the literature demonstrates that external support and socio-economic conditions are critical determinants of forest management outcomes. Inadequate funding, weak institutional collaboration, livelihood pressures, and inequitable benefit-sharing all constrain the effectiveness of community-based forest management systems. Addressing these challenges requires sustained investment in capacity-building, stronger partnerships between stakeholders, and the development of livelihood strategies that align conservation with local economic needs.</w:t>
      </w:r>
    </w:p>
    <w:p w:rsidR="009928A1" w:rsidRPr="009302F4" w:rsidRDefault="009928A1" w:rsidP="009928A1">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Methodology</w:t>
      </w:r>
    </w:p>
    <w:p w:rsidR="009928A1" w:rsidRPr="009928A1" w:rsidRDefault="009928A1" w:rsidP="009928A1">
      <w:pPr>
        <w:spacing w:before="100" w:beforeAutospacing="1" w:after="100" w:afterAutospacing="1" w:line="240" w:lineRule="auto"/>
        <w:jc w:val="both"/>
        <w:rPr>
          <w:rFonts w:ascii="Times New Roman" w:eastAsia="Times New Roman" w:hAnsi="Times New Roman" w:cs="Times New Roman"/>
          <w:sz w:val="24"/>
          <w:szCs w:val="24"/>
        </w:rPr>
      </w:pPr>
      <w:r w:rsidRPr="009928A1">
        <w:rPr>
          <w:rFonts w:ascii="Times New Roman" w:eastAsia="Times New Roman" w:hAnsi="Times New Roman" w:cs="Times New Roman"/>
          <w:sz w:val="24"/>
          <w:szCs w:val="24"/>
        </w:rPr>
        <w:t xml:space="preserve">This study adopted a </w:t>
      </w:r>
      <w:r w:rsidRPr="009928A1">
        <w:rPr>
          <w:rFonts w:ascii="Times New Roman" w:eastAsia="Times New Roman" w:hAnsi="Times New Roman" w:cs="Times New Roman"/>
          <w:bCs/>
          <w:sz w:val="24"/>
          <w:szCs w:val="24"/>
        </w:rPr>
        <w:t>comparative case study design</w:t>
      </w:r>
      <w:r w:rsidRPr="009928A1">
        <w:rPr>
          <w:rFonts w:ascii="Times New Roman" w:eastAsia="Times New Roman" w:hAnsi="Times New Roman" w:cs="Times New Roman"/>
          <w:sz w:val="24"/>
          <w:szCs w:val="24"/>
        </w:rPr>
        <w:t xml:space="preserve"> to examine the challenges facing community-based forest resource management in the Nchumuru and Adele communities of the Oti Region, Ghana. The design was appropriate for analyzing how variations in institutional arrangements, socio-cultural dynamics, and external support systems influence forest governance outcomes within similar ecological settings.</w:t>
      </w:r>
    </w:p>
    <w:p w:rsidR="009302F4" w:rsidRDefault="009302F4" w:rsidP="009928A1">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928A1" w:rsidRPr="009302F4" w:rsidRDefault="009928A1" w:rsidP="00992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Study Area</w:t>
      </w:r>
    </w:p>
    <w:p w:rsidR="009928A1" w:rsidRDefault="009928A1" w:rsidP="009928A1">
      <w:pPr>
        <w:spacing w:before="100" w:beforeAutospacing="1" w:after="100" w:afterAutospacing="1" w:line="240" w:lineRule="auto"/>
        <w:jc w:val="both"/>
        <w:rPr>
          <w:rFonts w:ascii="Times New Roman" w:eastAsia="Times New Roman" w:hAnsi="Times New Roman" w:cs="Times New Roman"/>
          <w:sz w:val="24"/>
          <w:szCs w:val="24"/>
        </w:rPr>
      </w:pPr>
      <w:r w:rsidRPr="0034508E">
        <w:rPr>
          <w:rFonts w:ascii="Times New Roman" w:eastAsia="Times New Roman" w:hAnsi="Times New Roman" w:cs="Times New Roman"/>
          <w:sz w:val="24"/>
          <w:szCs w:val="24"/>
        </w:rPr>
        <w:t xml:space="preserve">The two communities </w:t>
      </w:r>
      <w:proofErr w:type="gramStart"/>
      <w:r w:rsidRPr="0034508E">
        <w:rPr>
          <w:rFonts w:ascii="Times New Roman" w:eastAsia="Times New Roman" w:hAnsi="Times New Roman" w:cs="Times New Roman"/>
          <w:sz w:val="24"/>
          <w:szCs w:val="24"/>
        </w:rPr>
        <w:t>were purposively selected</w:t>
      </w:r>
      <w:proofErr w:type="gramEnd"/>
      <w:r w:rsidRPr="0034508E">
        <w:rPr>
          <w:rFonts w:ascii="Times New Roman" w:eastAsia="Times New Roman" w:hAnsi="Times New Roman" w:cs="Times New Roman"/>
          <w:sz w:val="24"/>
          <w:szCs w:val="24"/>
        </w:rPr>
        <w:t xml:space="preserve"> due to their ecological similarity, shared location within the forest–savannah transition zone, and long-standing dependence on forest resources. Despite these similarities, they differ significantly in institutional arrangements and traditional govern</w:t>
      </w:r>
      <w:r>
        <w:rPr>
          <w:rFonts w:ascii="Times New Roman" w:eastAsia="Times New Roman" w:hAnsi="Times New Roman" w:cs="Times New Roman"/>
          <w:sz w:val="24"/>
          <w:szCs w:val="24"/>
        </w:rPr>
        <w:t>ance systems.</w:t>
      </w:r>
    </w:p>
    <w:p w:rsidR="009928A1" w:rsidRPr="009302F4" w:rsidRDefault="009928A1" w:rsidP="00992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Research Design and Data Collection</w:t>
      </w:r>
    </w:p>
    <w:p w:rsidR="00706FC8" w:rsidRDefault="009928A1" w:rsidP="009928A1">
      <w:pPr>
        <w:spacing w:before="100" w:beforeAutospacing="1" w:after="100" w:afterAutospacing="1" w:line="240" w:lineRule="auto"/>
        <w:jc w:val="both"/>
        <w:outlineLvl w:val="2"/>
        <w:rPr>
          <w:rFonts w:ascii="Times New Roman" w:hAnsi="Times New Roman" w:cs="Times New Roman"/>
          <w:b/>
          <w:sz w:val="24"/>
          <w:szCs w:val="24"/>
        </w:rPr>
      </w:pPr>
      <w:r>
        <w:rPr>
          <w:rFonts w:ascii="Times New Roman" w:hAnsi="Times New Roman" w:cs="Times New Roman"/>
          <w:sz w:val="24"/>
          <w:szCs w:val="24"/>
        </w:rPr>
        <w:t>T</w:t>
      </w:r>
      <w:r w:rsidRPr="009928A1">
        <w:rPr>
          <w:rFonts w:ascii="Times New Roman" w:hAnsi="Times New Roman" w:cs="Times New Roman"/>
          <w:sz w:val="24"/>
          <w:szCs w:val="24"/>
        </w:rPr>
        <w:t xml:space="preserve">he study employed a </w:t>
      </w:r>
      <w:r w:rsidRPr="009928A1">
        <w:rPr>
          <w:rStyle w:val="Strong"/>
          <w:rFonts w:ascii="Times New Roman" w:hAnsi="Times New Roman" w:cs="Times New Roman"/>
          <w:b w:val="0"/>
          <w:sz w:val="24"/>
          <w:szCs w:val="24"/>
        </w:rPr>
        <w:t>qualitative research approach</w:t>
      </w:r>
      <w:r w:rsidRPr="009928A1">
        <w:rPr>
          <w:rFonts w:ascii="Times New Roman" w:hAnsi="Times New Roman" w:cs="Times New Roman"/>
          <w:b/>
          <w:sz w:val="24"/>
          <w:szCs w:val="24"/>
        </w:rPr>
        <w:t>,</w:t>
      </w:r>
      <w:r w:rsidRPr="009928A1">
        <w:rPr>
          <w:rFonts w:ascii="Times New Roman" w:hAnsi="Times New Roman" w:cs="Times New Roman"/>
          <w:sz w:val="24"/>
          <w:szCs w:val="24"/>
        </w:rPr>
        <w:t xml:space="preserve"> which was appropriate for understanding institutional dynamics, community perceptions, and socio-cultural factors shaping forest governance. Data were collected primarily through </w:t>
      </w:r>
      <w:r w:rsidRPr="009928A1">
        <w:rPr>
          <w:rStyle w:val="Strong"/>
          <w:rFonts w:ascii="Times New Roman" w:hAnsi="Times New Roman" w:cs="Times New Roman"/>
          <w:b w:val="0"/>
          <w:sz w:val="24"/>
          <w:szCs w:val="24"/>
        </w:rPr>
        <w:t>key informant interviews (KIIs</w:t>
      </w:r>
      <w:r w:rsidRPr="009928A1">
        <w:rPr>
          <w:rStyle w:val="Strong"/>
          <w:rFonts w:ascii="Times New Roman" w:hAnsi="Times New Roman" w:cs="Times New Roman"/>
          <w:sz w:val="24"/>
          <w:szCs w:val="24"/>
        </w:rPr>
        <w:t>)</w:t>
      </w:r>
      <w:r w:rsidRPr="009928A1">
        <w:rPr>
          <w:rFonts w:ascii="Times New Roman" w:hAnsi="Times New Roman" w:cs="Times New Roman"/>
          <w:sz w:val="24"/>
          <w:szCs w:val="24"/>
        </w:rPr>
        <w:t xml:space="preserve"> and </w:t>
      </w:r>
      <w:r w:rsidRPr="009928A1">
        <w:rPr>
          <w:rStyle w:val="Strong"/>
          <w:rFonts w:ascii="Times New Roman" w:hAnsi="Times New Roman" w:cs="Times New Roman"/>
          <w:b w:val="0"/>
          <w:sz w:val="24"/>
          <w:szCs w:val="24"/>
        </w:rPr>
        <w:t>focus group discussions (FGDs</w:t>
      </w:r>
      <w:r w:rsidRPr="009928A1">
        <w:rPr>
          <w:rStyle w:val="Strong"/>
          <w:rFonts w:ascii="Times New Roman" w:hAnsi="Times New Roman" w:cs="Times New Roman"/>
          <w:sz w:val="24"/>
          <w:szCs w:val="24"/>
        </w:rPr>
        <w:t>)</w:t>
      </w:r>
      <w:r w:rsidRPr="009928A1">
        <w:rPr>
          <w:rFonts w:ascii="Times New Roman" w:hAnsi="Times New Roman" w:cs="Times New Roman"/>
          <w:sz w:val="24"/>
          <w:szCs w:val="24"/>
        </w:rPr>
        <w:t>. Key informants i</w:t>
      </w:r>
      <w:r w:rsidR="00F85ACC">
        <w:rPr>
          <w:rFonts w:ascii="Times New Roman" w:hAnsi="Times New Roman" w:cs="Times New Roman"/>
          <w:sz w:val="24"/>
          <w:szCs w:val="24"/>
        </w:rPr>
        <w:t>ncluded traditional authorities and</w:t>
      </w:r>
      <w:r w:rsidRPr="009928A1">
        <w:rPr>
          <w:rFonts w:ascii="Times New Roman" w:hAnsi="Times New Roman" w:cs="Times New Roman"/>
          <w:sz w:val="24"/>
          <w:szCs w:val="24"/>
        </w:rPr>
        <w:t xml:space="preserve"> community leaders, selected based on their knowledge and involvement in forest management. Focus group discussions were conducted with community members to capture shared experiences and collective perspectives.</w:t>
      </w:r>
      <w:r w:rsidR="00632832" w:rsidRPr="009928A1">
        <w:rPr>
          <w:rFonts w:ascii="Times New Roman" w:hAnsi="Times New Roman" w:cs="Times New Roman"/>
          <w:b/>
          <w:sz w:val="24"/>
          <w:szCs w:val="24"/>
        </w:rPr>
        <w:t xml:space="preserve">  </w:t>
      </w:r>
    </w:p>
    <w:p w:rsidR="002920F8" w:rsidRDefault="002920F8" w:rsidP="00E86FE5">
      <w:pPr>
        <w:spacing w:before="100" w:beforeAutospacing="1" w:after="100" w:afterAutospacing="1" w:line="240" w:lineRule="auto"/>
        <w:outlineLvl w:val="1"/>
        <w:rPr>
          <w:rFonts w:ascii="Times New Roman" w:eastAsia="Times New Roman" w:hAnsi="Times New Roman" w:cs="Times New Roman"/>
          <w:b/>
          <w:bCs/>
          <w:sz w:val="28"/>
          <w:szCs w:val="28"/>
        </w:rPr>
      </w:pPr>
    </w:p>
    <w:p w:rsidR="00E86FE5" w:rsidRPr="009302F4" w:rsidRDefault="00E86FE5" w:rsidP="00E86FE5">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lastRenderedPageBreak/>
        <w:t>Data Analysis</w:t>
      </w:r>
    </w:p>
    <w:p w:rsidR="00E86FE5" w:rsidRPr="00E86FE5" w:rsidRDefault="002920F8" w:rsidP="00FD22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data </w:t>
      </w:r>
      <w:proofErr w:type="gramStart"/>
      <w:r>
        <w:rPr>
          <w:rFonts w:ascii="Times New Roman" w:eastAsia="Times New Roman" w:hAnsi="Times New Roman" w:cs="Times New Roman"/>
          <w:sz w:val="24"/>
          <w:szCs w:val="24"/>
        </w:rPr>
        <w:t xml:space="preserve">were </w:t>
      </w:r>
      <w:r w:rsidR="00E86FE5" w:rsidRPr="00E86FE5">
        <w:rPr>
          <w:rFonts w:ascii="Times New Roman" w:eastAsia="Times New Roman" w:hAnsi="Times New Roman" w:cs="Times New Roman"/>
          <w:sz w:val="24"/>
          <w:szCs w:val="24"/>
        </w:rPr>
        <w:t>analyzed</w:t>
      </w:r>
      <w:proofErr w:type="gramEnd"/>
      <w:r w:rsidR="00E86FE5" w:rsidRPr="00E86FE5">
        <w:rPr>
          <w:rFonts w:ascii="Times New Roman" w:eastAsia="Times New Roman" w:hAnsi="Times New Roman" w:cs="Times New Roman"/>
          <w:sz w:val="24"/>
          <w:szCs w:val="24"/>
        </w:rPr>
        <w:t xml:space="preserve"> using </w:t>
      </w:r>
      <w:r w:rsidR="00E86FE5" w:rsidRPr="00FD225C">
        <w:rPr>
          <w:rFonts w:ascii="Times New Roman" w:eastAsia="Times New Roman" w:hAnsi="Times New Roman" w:cs="Times New Roman"/>
          <w:bCs/>
          <w:sz w:val="24"/>
          <w:szCs w:val="24"/>
        </w:rPr>
        <w:t>thematic analysis</w:t>
      </w:r>
      <w:r w:rsidR="00E86FE5" w:rsidRPr="00E86FE5">
        <w:rPr>
          <w:rFonts w:ascii="Times New Roman" w:eastAsia="Times New Roman" w:hAnsi="Times New Roman" w:cs="Times New Roman"/>
          <w:sz w:val="24"/>
          <w:szCs w:val="24"/>
        </w:rPr>
        <w:t>, involving systematic coding, categorization, and interpretation of responses from key informant interviews and focus group discussions. An iterative process was employed to identify recurring patterns and themes related to governance structures, enforcement mechanisms, and perceived effectiveness of forest management systems.</w:t>
      </w:r>
    </w:p>
    <w:p w:rsidR="00E86FE5" w:rsidRPr="009302F4" w:rsidRDefault="00A012CD" w:rsidP="009928A1">
      <w:pPr>
        <w:spacing w:before="100" w:beforeAutospacing="1" w:after="100" w:afterAutospacing="1" w:line="240" w:lineRule="auto"/>
        <w:jc w:val="both"/>
        <w:outlineLvl w:val="2"/>
        <w:rPr>
          <w:rFonts w:ascii="Times New Roman" w:hAnsi="Times New Roman" w:cs="Times New Roman"/>
          <w:b/>
          <w:sz w:val="28"/>
          <w:szCs w:val="28"/>
        </w:rPr>
      </w:pPr>
      <w:r w:rsidRPr="009302F4">
        <w:rPr>
          <w:rFonts w:ascii="Times New Roman" w:hAnsi="Times New Roman" w:cs="Times New Roman"/>
          <w:b/>
          <w:sz w:val="28"/>
          <w:szCs w:val="28"/>
        </w:rPr>
        <w:t>Thematic Analysis</w:t>
      </w:r>
    </w:p>
    <w:p w:rsidR="00A012CD" w:rsidRPr="009302F4" w:rsidRDefault="00A012CD" w:rsidP="00A012CD">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8"/>
          <w:szCs w:val="28"/>
        </w:rPr>
      </w:pPr>
      <w:bookmarkStart w:id="0" w:name="_Toc224033068"/>
      <w:r w:rsidRPr="009302F4">
        <w:rPr>
          <w:rFonts w:ascii="Times New Roman" w:eastAsiaTheme="majorEastAsia" w:hAnsi="Times New Roman" w:cs="Times New Roman"/>
          <w:b/>
          <w:bCs/>
          <w:sz w:val="28"/>
          <w:szCs w:val="28"/>
        </w:rPr>
        <w:t>Institutional Barriers to Forest Rule Enforcement</w:t>
      </w:r>
      <w:bookmarkEnd w:id="0"/>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A012CD">
        <w:rPr>
          <w:rFonts w:ascii="Times New Roman" w:eastAsia="Times New Roman" w:hAnsi="Times New Roman" w:cs="Times New Roman"/>
          <w:sz w:val="24"/>
          <w:szCs w:val="24"/>
        </w:rPr>
        <w:t xml:space="preserve">Forest resource management in both Nchumuru and Adele is hindered by distinct </w:t>
      </w:r>
      <w:r w:rsidRPr="00A012CD">
        <w:rPr>
          <w:rFonts w:ascii="Times New Roman" w:eastAsia="Times New Roman" w:hAnsi="Times New Roman" w:cs="Times New Roman"/>
          <w:bCs/>
          <w:sz w:val="24"/>
          <w:szCs w:val="24"/>
        </w:rPr>
        <w:t>institutional barriers</w:t>
      </w:r>
      <w:r w:rsidRPr="00A012CD">
        <w:rPr>
          <w:rFonts w:ascii="Times New Roman" w:eastAsia="Times New Roman" w:hAnsi="Times New Roman" w:cs="Times New Roman"/>
          <w:sz w:val="24"/>
          <w:szCs w:val="24"/>
        </w:rPr>
        <w:t xml:space="preserve"> that compromise rule enforcement, despite similar ecological threats such as illegal logging, bushfires, and resource depletion</w:t>
      </w:r>
      <w:proofErr w:type="gramEnd"/>
      <w:r w:rsidRPr="00A012CD">
        <w:rPr>
          <w:rFonts w:ascii="Times New Roman" w:eastAsia="Times New Roman" w:hAnsi="Times New Roman" w:cs="Times New Roman"/>
          <w:sz w:val="24"/>
          <w:szCs w:val="24"/>
        </w:rPr>
        <w:t xml:space="preserve">. This section applies both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and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unpack how enforcement mechanisms are shaped and often weakened by internal social dynamics and external institutional deficits.</w:t>
      </w:r>
    </w:p>
    <w:p w:rsidR="00A012CD" w:rsidRPr="00A012CD" w:rsidRDefault="00A012CD" w:rsidP="00A012CD">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Informal Social Pressures Undermining Formal Rules</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from community account and personal observation, the presence of a centralized chieftaincy, community </w:t>
      </w:r>
      <w:proofErr w:type="spellStart"/>
      <w:r w:rsidRPr="00A012CD">
        <w:rPr>
          <w:rFonts w:ascii="Times New Roman" w:eastAsia="Times New Roman" w:hAnsi="Times New Roman" w:cs="Times New Roman"/>
          <w:sz w:val="24"/>
          <w:szCs w:val="24"/>
        </w:rPr>
        <w:t>bylaws</w:t>
      </w:r>
      <w:proofErr w:type="gramStart"/>
      <w:r w:rsidRPr="00A012CD">
        <w:rPr>
          <w:rFonts w:ascii="Times New Roman" w:eastAsia="Times New Roman" w:hAnsi="Times New Roman" w:cs="Times New Roman"/>
          <w:sz w:val="24"/>
          <w:szCs w:val="24"/>
        </w:rPr>
        <w:t>,and</w:t>
      </w:r>
      <w:proofErr w:type="spellEnd"/>
      <w:proofErr w:type="gramEnd"/>
      <w:r w:rsidRPr="00A012CD">
        <w:rPr>
          <w:rFonts w:ascii="Times New Roman" w:eastAsia="Times New Roman" w:hAnsi="Times New Roman" w:cs="Times New Roman"/>
          <w:sz w:val="24"/>
          <w:szCs w:val="24"/>
        </w:rPr>
        <w:t xml:space="preserve"> active communal meetings suggest a well-organized system. However, these structures are constrained by </w:t>
      </w:r>
      <w:r w:rsidRPr="00A012CD">
        <w:rPr>
          <w:rFonts w:ascii="Times New Roman" w:eastAsia="Times New Roman" w:hAnsi="Times New Roman" w:cs="Times New Roman"/>
          <w:bCs/>
          <w:sz w:val="24"/>
          <w:szCs w:val="24"/>
        </w:rPr>
        <w:t>strong kinship networks and deep social obligations</w:t>
      </w:r>
      <w:r w:rsidRPr="00A012CD">
        <w:rPr>
          <w:rFonts w:ascii="Times New Roman" w:eastAsia="Times New Roman" w:hAnsi="Times New Roman" w:cs="Times New Roman"/>
          <w:sz w:val="24"/>
          <w:szCs w:val="24"/>
        </w:rPr>
        <w:t>, which discourage enforcement actions against family members or neighbors.</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“We do know people who is breaking the rules, but it’s hard to report them. If you speak out, it causes trouble in the family.”</w:t>
      </w:r>
      <w:r w:rsidRPr="00A012CD">
        <w:rPr>
          <w:rFonts w:ascii="Times New Roman" w:eastAsia="Times New Roman" w:hAnsi="Times New Roman" w:cs="Times New Roman"/>
          <w:sz w:val="24"/>
          <w:szCs w:val="24"/>
        </w:rPr>
        <w:t xml:space="preserve"> </w:t>
      </w:r>
    </w:p>
    <w:p w:rsidR="00A012CD" w:rsidRPr="00A012CD" w:rsidRDefault="00A012CD" w:rsidP="00A012CD">
      <w:pPr>
        <w:spacing w:before="100"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dynamic exemplifies a classic tension within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while localized, self-governed systems may promote ownership and rule formation, </w:t>
      </w:r>
      <w:r w:rsidRPr="00A012CD">
        <w:rPr>
          <w:rFonts w:ascii="Times New Roman" w:eastAsia="Times New Roman" w:hAnsi="Times New Roman" w:cs="Times New Roman"/>
          <w:bCs/>
          <w:sz w:val="24"/>
          <w:szCs w:val="24"/>
        </w:rPr>
        <w:t>enforcement becomes fragile when informal social norms conflict with formal rules</w:t>
      </w:r>
      <w:r w:rsidRPr="00A012CD">
        <w:rPr>
          <w:rFonts w:ascii="Times New Roman" w:eastAsia="Times New Roman" w:hAnsi="Times New Roman" w:cs="Times New Roman"/>
          <w:sz w:val="24"/>
          <w:szCs w:val="24"/>
        </w:rPr>
        <w:t xml:space="preserve"> (Ostrom, 1990). Instead of fostering compliance, communal ties may shield violators, making sanctions socially costly and politically sensitive</w:t>
      </w:r>
    </w:p>
    <w:p w:rsidR="00A012CD" w:rsidRPr="00A012CD" w:rsidRDefault="00A012CD" w:rsidP="00A012CD">
      <w:pPr>
        <w:spacing w:before="100" w:beforeAutospacing="1" w:after="100" w:afterAutospacing="1" w:line="240" w:lineRule="auto"/>
        <w:rPr>
          <w:rFonts w:ascii="Times New Roman" w:eastAsia="Times New Roman" w:hAnsi="Times New Roman" w:cs="Times New Roman"/>
          <w:sz w:val="24"/>
          <w:szCs w:val="24"/>
        </w:rPr>
      </w:pPr>
      <w:r w:rsidRPr="00A012CD">
        <w:rPr>
          <w:rFonts w:ascii="Times New Roman" w:eastAsia="Times New Roman" w:hAnsi="Times New Roman" w:cs="Times New Roman"/>
          <w:bCs/>
          <w:sz w:val="24"/>
          <w:szCs w:val="24"/>
        </w:rPr>
        <w:t xml:space="preserve">Adele: Weak Traditional Authority and Institutional Disconnection </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the Adele community, traditional leadership structures persist but remain institutionally weak in the realm of forest governance. The chieftaincy system, primarily composed of clan heads and lineage leaders, fulfills symbolic cultural roles but lacks substantive authority or operational </w:t>
      </w:r>
      <w:r w:rsidRPr="00A012CD">
        <w:rPr>
          <w:rFonts w:ascii="Times New Roman" w:eastAsia="Times New Roman" w:hAnsi="Times New Roman" w:cs="Times New Roman"/>
          <w:sz w:val="24"/>
          <w:szCs w:val="24"/>
        </w:rPr>
        <w:lastRenderedPageBreak/>
        <w:t>influence over natural resource management. Their limited engagement and authority render them ineffective as custodians of communal forest resources.</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As one respondent poignantly explained: </w:t>
      </w:r>
      <w:r w:rsidRPr="00A012CD">
        <w:rPr>
          <w:rFonts w:ascii="Times New Roman" w:eastAsia="Times New Roman" w:hAnsi="Times New Roman" w:cs="Times New Roman"/>
          <w:i/>
          <w:iCs/>
          <w:sz w:val="24"/>
          <w:szCs w:val="24"/>
        </w:rPr>
        <w:t xml:space="preserve">“Yes, we have chiefs, and we respect them in traditional matters like naming ceremonies or funerals. </w:t>
      </w:r>
      <w:proofErr w:type="gramStart"/>
      <w:r w:rsidRPr="00A012CD">
        <w:rPr>
          <w:rFonts w:ascii="Times New Roman" w:eastAsia="Times New Roman" w:hAnsi="Times New Roman" w:cs="Times New Roman"/>
          <w:i/>
          <w:iCs/>
          <w:sz w:val="24"/>
          <w:szCs w:val="24"/>
        </w:rPr>
        <w:t>But</w:t>
      </w:r>
      <w:proofErr w:type="gramEnd"/>
      <w:r w:rsidRPr="00A012CD">
        <w:rPr>
          <w:rFonts w:ascii="Times New Roman" w:eastAsia="Times New Roman" w:hAnsi="Times New Roman" w:cs="Times New Roman"/>
          <w:i/>
          <w:iCs/>
          <w:sz w:val="24"/>
          <w:szCs w:val="24"/>
        </w:rPr>
        <w:t xml:space="preserve"> when it comes to forest issues, they are not involved. People enter the forest to cut trees, burn charcoal, or hunt anytime they like, and nobody stops them. </w:t>
      </w:r>
      <w:proofErr w:type="gramStart"/>
      <w:r w:rsidRPr="00A012CD">
        <w:rPr>
          <w:rFonts w:ascii="Times New Roman" w:eastAsia="Times New Roman" w:hAnsi="Times New Roman" w:cs="Times New Roman"/>
          <w:i/>
          <w:iCs/>
          <w:sz w:val="24"/>
          <w:szCs w:val="24"/>
        </w:rPr>
        <w:t>It’s</w:t>
      </w:r>
      <w:proofErr w:type="gramEnd"/>
      <w:r w:rsidRPr="00A012CD">
        <w:rPr>
          <w:rFonts w:ascii="Times New Roman" w:eastAsia="Times New Roman" w:hAnsi="Times New Roman" w:cs="Times New Roman"/>
          <w:i/>
          <w:iCs/>
          <w:sz w:val="24"/>
          <w:szCs w:val="24"/>
        </w:rPr>
        <w:t xml:space="preserve"> not that the chiefs don’t care they just have no power in this area, and the government people don’t come either. So, in the end, everyone does what they want.”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From the perspective of Comparative Institutionalism, Adele’s case underscores the disjunction between statutory governance frameworks and traditional structures. While formal institutions possess legal mandate, they fail to meaningfully integrate or empower customary actors resulting in a governance vacuum (Ostrom, 1990; </w:t>
      </w:r>
      <w:proofErr w:type="spellStart"/>
      <w:r w:rsidRPr="00A012CD">
        <w:rPr>
          <w:rFonts w:ascii="Times New Roman" w:eastAsia="Times New Roman" w:hAnsi="Times New Roman" w:cs="Times New Roman"/>
          <w:sz w:val="24"/>
          <w:szCs w:val="24"/>
        </w:rPr>
        <w:t>Ribot</w:t>
      </w:r>
      <w:proofErr w:type="spellEnd"/>
      <w:r w:rsidRPr="00A012CD">
        <w:rPr>
          <w:rFonts w:ascii="Times New Roman" w:eastAsia="Times New Roman" w:hAnsi="Times New Roman" w:cs="Times New Roman"/>
          <w:sz w:val="24"/>
          <w:szCs w:val="24"/>
        </w:rPr>
        <w:t xml:space="preserve">, 2009). In the absence of effective coordination and mutual reinforcement, rules lose their normative power, community cohesion erodes, and forest degradation continues unchecked (Agrawal &amp; </w:t>
      </w:r>
      <w:proofErr w:type="spellStart"/>
      <w:r w:rsidRPr="00A012CD">
        <w:rPr>
          <w:rFonts w:ascii="Times New Roman" w:eastAsia="Times New Roman" w:hAnsi="Times New Roman" w:cs="Times New Roman"/>
          <w:sz w:val="24"/>
          <w:szCs w:val="24"/>
        </w:rPr>
        <w:t>Chhatre</w:t>
      </w:r>
      <w:proofErr w:type="spellEnd"/>
      <w:r w:rsidRPr="00A012CD">
        <w:rPr>
          <w:rFonts w:ascii="Times New Roman" w:eastAsia="Times New Roman" w:hAnsi="Times New Roman" w:cs="Times New Roman"/>
          <w:sz w:val="24"/>
          <w:szCs w:val="24"/>
        </w:rPr>
        <w:t>, 2006</w:t>
      </w:r>
      <w:proofErr w:type="gramStart"/>
      <w:r w:rsidRPr="00A012CD">
        <w:rPr>
          <w:rFonts w:ascii="Times New Roman" w:eastAsia="Times New Roman" w:hAnsi="Times New Roman" w:cs="Times New Roman"/>
          <w:sz w:val="24"/>
          <w:szCs w:val="24"/>
        </w:rPr>
        <w:t>;</w:t>
      </w:r>
      <w:proofErr w:type="gramEnd"/>
      <w:r w:rsidRPr="00A012CD">
        <w:rPr>
          <w:rFonts w:ascii="Times New Roman" w:eastAsia="Times New Roman" w:hAnsi="Times New Roman" w:cs="Times New Roman"/>
          <w:sz w:val="24"/>
          <w:szCs w:val="24"/>
        </w:rPr>
        <w:t xml:space="preserve"> Larson et al., 2015).</w:t>
      </w:r>
    </w:p>
    <w:p w:rsidR="00A012CD" w:rsidRDefault="00A012CD" w:rsidP="00A012CD">
      <w:pPr>
        <w:pStyle w:val="Heading2"/>
        <w:jc w:val="both"/>
        <w:rPr>
          <w:rFonts w:ascii="Times New Roman" w:hAnsi="Times New Roman" w:cs="Times New Roman"/>
          <w:b/>
          <w:bCs/>
          <w:color w:val="auto"/>
          <w:sz w:val="24"/>
          <w:szCs w:val="24"/>
        </w:rPr>
      </w:pPr>
      <w:r w:rsidRPr="00A012CD">
        <w:rPr>
          <w:rFonts w:ascii="Times New Roman" w:eastAsia="Times New Roman" w:hAnsi="Times New Roman" w:cs="Times New Roman"/>
          <w:color w:val="000000" w:themeColor="text1"/>
          <w:sz w:val="24"/>
          <w:szCs w:val="24"/>
        </w:rPr>
        <w:t>The findings align with broader African experiences where customary institutions are marginalized or rendered ineffective by the lack of statutory recognition and capacity support (</w:t>
      </w:r>
      <w:proofErr w:type="spellStart"/>
      <w:r w:rsidRPr="00A012CD">
        <w:rPr>
          <w:rFonts w:ascii="Times New Roman" w:eastAsia="Times New Roman" w:hAnsi="Times New Roman" w:cs="Times New Roman"/>
          <w:color w:val="000000" w:themeColor="text1"/>
          <w:sz w:val="24"/>
          <w:szCs w:val="24"/>
        </w:rPr>
        <w:t>Yamoah</w:t>
      </w:r>
      <w:proofErr w:type="spellEnd"/>
      <w:r w:rsidRPr="00A012CD">
        <w:rPr>
          <w:rFonts w:ascii="Times New Roman" w:eastAsia="Times New Roman" w:hAnsi="Times New Roman" w:cs="Times New Roman"/>
          <w:color w:val="000000" w:themeColor="text1"/>
          <w:sz w:val="24"/>
          <w:szCs w:val="24"/>
        </w:rPr>
        <w:t xml:space="preserve"> </w:t>
      </w:r>
      <w:proofErr w:type="spellStart"/>
      <w:r w:rsidRPr="00A012CD">
        <w:rPr>
          <w:rFonts w:ascii="Times New Roman" w:eastAsia="Times New Roman" w:hAnsi="Times New Roman" w:cs="Times New Roman"/>
          <w:color w:val="000000" w:themeColor="text1"/>
          <w:sz w:val="24"/>
          <w:szCs w:val="24"/>
        </w:rPr>
        <w:t>Tenkorang</w:t>
      </w:r>
      <w:proofErr w:type="spellEnd"/>
      <w:r w:rsidRPr="00A012CD">
        <w:rPr>
          <w:rFonts w:ascii="Times New Roman" w:eastAsia="Times New Roman" w:hAnsi="Times New Roman" w:cs="Times New Roman"/>
          <w:color w:val="000000" w:themeColor="text1"/>
          <w:sz w:val="24"/>
          <w:szCs w:val="24"/>
        </w:rPr>
        <w:t xml:space="preserve">, 2023; </w:t>
      </w:r>
      <w:proofErr w:type="spellStart"/>
      <w:r w:rsidRPr="00A012CD">
        <w:rPr>
          <w:rFonts w:ascii="Times New Roman" w:eastAsia="Times New Roman" w:hAnsi="Times New Roman" w:cs="Times New Roman"/>
          <w:color w:val="000000" w:themeColor="text1"/>
          <w:sz w:val="24"/>
          <w:szCs w:val="24"/>
        </w:rPr>
        <w:t>Ojha</w:t>
      </w:r>
      <w:proofErr w:type="spellEnd"/>
      <w:r w:rsidRPr="00A012CD">
        <w:rPr>
          <w:rFonts w:ascii="Times New Roman" w:eastAsia="Times New Roman" w:hAnsi="Times New Roman" w:cs="Times New Roman"/>
          <w:color w:val="000000" w:themeColor="text1"/>
          <w:sz w:val="24"/>
          <w:szCs w:val="24"/>
        </w:rPr>
        <w:t xml:space="preserve"> et al., 2023). The Adele case illustrates how governance fragmentation when neither traditional nor formal systems assert clear stewardship undermines the credibility of rules and weakens collective action</w:t>
      </w:r>
      <w:r>
        <w:rPr>
          <w:rFonts w:ascii="Times New Roman" w:eastAsia="Times New Roman" w:hAnsi="Times New Roman" w:cs="Times New Roman"/>
          <w:sz w:val="24"/>
          <w:szCs w:val="24"/>
        </w:rPr>
        <w:t>.</w:t>
      </w:r>
      <w:bookmarkStart w:id="1" w:name="_Toc224033069"/>
      <w:r w:rsidRPr="00A012CD">
        <w:rPr>
          <w:rFonts w:ascii="Times New Roman" w:hAnsi="Times New Roman" w:cs="Times New Roman"/>
          <w:b/>
          <w:bCs/>
          <w:color w:val="auto"/>
          <w:sz w:val="24"/>
          <w:szCs w:val="24"/>
        </w:rPr>
        <w:t xml:space="preserve"> </w:t>
      </w:r>
    </w:p>
    <w:p w:rsidR="00A012CD" w:rsidRDefault="00A012CD" w:rsidP="00A012CD">
      <w:pPr>
        <w:pStyle w:val="Heading2"/>
        <w:rPr>
          <w:rFonts w:ascii="Times New Roman" w:hAnsi="Times New Roman" w:cs="Times New Roman"/>
          <w:b/>
          <w:bCs/>
          <w:color w:val="auto"/>
          <w:sz w:val="24"/>
          <w:szCs w:val="24"/>
        </w:rPr>
      </w:pPr>
    </w:p>
    <w:p w:rsidR="00A012CD" w:rsidRDefault="00A012CD" w:rsidP="00A012CD">
      <w:pPr>
        <w:pStyle w:val="Heading2"/>
        <w:rPr>
          <w:rFonts w:ascii="Times New Roman" w:hAnsi="Times New Roman" w:cs="Times New Roman"/>
          <w:b/>
          <w:bCs/>
          <w:color w:val="auto"/>
          <w:sz w:val="24"/>
          <w:szCs w:val="24"/>
        </w:rPr>
      </w:pPr>
    </w:p>
    <w:p w:rsidR="00A012CD" w:rsidRPr="009302F4" w:rsidRDefault="00A012CD" w:rsidP="00A012CD">
      <w:pPr>
        <w:pStyle w:val="Heading2"/>
        <w:rPr>
          <w:rFonts w:ascii="Times New Roman" w:hAnsi="Times New Roman" w:cs="Times New Roman"/>
          <w:b/>
          <w:bCs/>
          <w:color w:val="auto"/>
          <w:sz w:val="28"/>
          <w:szCs w:val="28"/>
        </w:rPr>
      </w:pPr>
      <w:r w:rsidRPr="009302F4">
        <w:rPr>
          <w:rFonts w:ascii="Times New Roman" w:hAnsi="Times New Roman" w:cs="Times New Roman"/>
          <w:b/>
          <w:bCs/>
          <w:color w:val="auto"/>
          <w:sz w:val="28"/>
          <w:szCs w:val="28"/>
        </w:rPr>
        <w:t>Climate Vulnerability and Institutional Response</w:t>
      </w:r>
      <w:bookmarkEnd w:id="1"/>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Climate variability presents a formidable and growing challenge to forest resource management in both Nchumuru and Adele. Declining rainfall, unpredictable seasons, prolonged dry spells, and intensified bushfires have all conspired to undermine the effectiveness of community-based conservation. However, the two communities differ markedly in their </w:t>
      </w:r>
      <w:r w:rsidRPr="00A012CD">
        <w:rPr>
          <w:rFonts w:ascii="Times New Roman" w:eastAsia="Times New Roman" w:hAnsi="Times New Roman" w:cs="Times New Roman"/>
          <w:bCs/>
          <w:sz w:val="24"/>
          <w:szCs w:val="24"/>
        </w:rPr>
        <w:t>institutional responses</w:t>
      </w:r>
      <w:r w:rsidRPr="00A012CD">
        <w:rPr>
          <w:rFonts w:ascii="Times New Roman" w:eastAsia="Times New Roman" w:hAnsi="Times New Roman" w:cs="Times New Roman"/>
          <w:sz w:val="24"/>
          <w:szCs w:val="24"/>
        </w:rPr>
        <w:t xml:space="preserve"> to these stressors, a difference that reveals the importance of </w:t>
      </w:r>
      <w:r w:rsidRPr="00A012CD">
        <w:rPr>
          <w:rFonts w:ascii="Times New Roman" w:eastAsia="Times New Roman" w:hAnsi="Times New Roman" w:cs="Times New Roman"/>
          <w:bCs/>
          <w:sz w:val="24"/>
          <w:szCs w:val="24"/>
        </w:rPr>
        <w:t>governance context</w:t>
      </w:r>
      <w:r w:rsidRPr="00A012CD">
        <w:rPr>
          <w:rFonts w:ascii="Times New Roman" w:eastAsia="Times New Roman" w:hAnsi="Times New Roman" w:cs="Times New Roman"/>
          <w:sz w:val="24"/>
          <w:szCs w:val="24"/>
        </w:rPr>
        <w:t xml:space="preserve"> in shaping resilience. This section draws on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and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interpret these dynamics.</w:t>
      </w:r>
    </w:p>
    <w:p w:rsidR="00A012CD" w:rsidRPr="00A012CD" w:rsidRDefault="00A012CD"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Willingness without Capacity</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lastRenderedPageBreak/>
        <w:t xml:space="preserve">In Nchumuru, community actors have maintained a </w:t>
      </w:r>
      <w:r w:rsidRPr="00A012CD">
        <w:rPr>
          <w:rFonts w:ascii="Times New Roman" w:eastAsia="Times New Roman" w:hAnsi="Times New Roman" w:cs="Times New Roman"/>
          <w:bCs/>
          <w:sz w:val="24"/>
          <w:szCs w:val="24"/>
        </w:rPr>
        <w:t>strong ethic of stewardship</w:t>
      </w:r>
      <w:r w:rsidRPr="00A012CD">
        <w:rPr>
          <w:rFonts w:ascii="Times New Roman" w:eastAsia="Times New Roman" w:hAnsi="Times New Roman" w:cs="Times New Roman"/>
          <w:sz w:val="24"/>
          <w:szCs w:val="24"/>
        </w:rPr>
        <w:t xml:space="preserve">. Taboo </w:t>
      </w:r>
      <w:proofErr w:type="gramStart"/>
      <w:r w:rsidRPr="00A012CD">
        <w:rPr>
          <w:rFonts w:ascii="Times New Roman" w:eastAsia="Times New Roman" w:hAnsi="Times New Roman" w:cs="Times New Roman"/>
          <w:sz w:val="24"/>
          <w:szCs w:val="24"/>
        </w:rPr>
        <w:t>zones,</w:t>
      </w:r>
      <w:proofErr w:type="gramEnd"/>
      <w:r w:rsidRPr="00A012CD">
        <w:rPr>
          <w:rFonts w:ascii="Times New Roman" w:eastAsia="Times New Roman" w:hAnsi="Times New Roman" w:cs="Times New Roman"/>
          <w:sz w:val="24"/>
          <w:szCs w:val="24"/>
        </w:rPr>
        <w:t xml:space="preserve"> and tree planting continue despite climate-related setbacks. Yet the environmental changes especially erratic rainfall and persistent drought are visibly eroding the </w:t>
      </w:r>
      <w:r w:rsidRPr="00A012CD">
        <w:rPr>
          <w:rFonts w:ascii="Times New Roman" w:eastAsia="Times New Roman" w:hAnsi="Times New Roman" w:cs="Times New Roman"/>
          <w:bCs/>
          <w:sz w:val="24"/>
          <w:szCs w:val="24"/>
        </w:rPr>
        <w:t>effectiveness</w:t>
      </w:r>
      <w:r w:rsidRPr="00A012CD">
        <w:rPr>
          <w:rFonts w:ascii="Times New Roman" w:eastAsia="Times New Roman" w:hAnsi="Times New Roman" w:cs="Times New Roman"/>
          <w:sz w:val="24"/>
          <w:szCs w:val="24"/>
        </w:rPr>
        <w:t xml:space="preserve"> of these efforts.</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“In the past, we could almost predict when the rains would come, and within that time people plant tree in their farms. Now, everything has changed.  From April to June sometimes there would not be rain.”</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statement encapsulates the growing frustration felt in Nchumuru, where </w:t>
      </w:r>
      <w:r w:rsidRPr="00A012CD">
        <w:rPr>
          <w:rFonts w:ascii="Times New Roman" w:eastAsia="Times New Roman" w:hAnsi="Times New Roman" w:cs="Times New Roman"/>
          <w:bCs/>
          <w:sz w:val="24"/>
          <w:szCs w:val="24"/>
        </w:rPr>
        <w:t>local governance is intact</w:t>
      </w:r>
      <w:r w:rsidRPr="00A012CD">
        <w:rPr>
          <w:rFonts w:ascii="Times New Roman" w:eastAsia="Times New Roman" w:hAnsi="Times New Roman" w:cs="Times New Roman"/>
          <w:sz w:val="24"/>
          <w:szCs w:val="24"/>
        </w:rPr>
        <w:t xml:space="preserve">, but </w:t>
      </w:r>
      <w:r w:rsidRPr="00A012CD">
        <w:rPr>
          <w:rFonts w:ascii="Times New Roman" w:eastAsia="Times New Roman" w:hAnsi="Times New Roman" w:cs="Times New Roman"/>
          <w:bCs/>
          <w:sz w:val="24"/>
          <w:szCs w:val="24"/>
        </w:rPr>
        <w:t>adaptive capacity is low</w:t>
      </w:r>
      <w:r w:rsidRPr="00A012CD">
        <w:rPr>
          <w:rFonts w:ascii="Times New Roman" w:eastAsia="Times New Roman" w:hAnsi="Times New Roman" w:cs="Times New Roman"/>
          <w:sz w:val="24"/>
          <w:szCs w:val="24"/>
        </w:rPr>
        <w:t xml:space="preserve">. In terms of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the community has fulfilled key elements, local rule-making, collective action, and monitoring but their efforts are </w:t>
      </w:r>
      <w:r w:rsidRPr="00A012CD">
        <w:rPr>
          <w:rFonts w:ascii="Times New Roman" w:eastAsia="Times New Roman" w:hAnsi="Times New Roman" w:cs="Times New Roman"/>
          <w:bCs/>
          <w:sz w:val="24"/>
          <w:szCs w:val="24"/>
        </w:rPr>
        <w:t>no much for ecological shocks.</w:t>
      </w:r>
      <w:r w:rsidRPr="00A012CD">
        <w:rPr>
          <w:rFonts w:ascii="Times New Roman" w:eastAsia="Times New Roman" w:hAnsi="Times New Roman" w:cs="Times New Roman"/>
          <w:sz w:val="24"/>
          <w:szCs w:val="24"/>
        </w:rPr>
        <w:t xml:space="preserve"> This finding reinforces a growing argument that </w:t>
      </w:r>
      <w:proofErr w:type="spellStart"/>
      <w:r w:rsidRPr="00A012CD">
        <w:rPr>
          <w:rFonts w:ascii="Times New Roman" w:eastAsia="Times New Roman" w:hAnsi="Times New Roman" w:cs="Times New Roman"/>
          <w:sz w:val="24"/>
          <w:szCs w:val="24"/>
        </w:rPr>
        <w:t>Ostrom’s</w:t>
      </w:r>
      <w:proofErr w:type="spellEnd"/>
      <w:r w:rsidRPr="00A012CD">
        <w:rPr>
          <w:rFonts w:ascii="Times New Roman" w:eastAsia="Times New Roman" w:hAnsi="Times New Roman" w:cs="Times New Roman"/>
          <w:sz w:val="24"/>
          <w:szCs w:val="24"/>
        </w:rPr>
        <w:t xml:space="preserve"> design principles need </w:t>
      </w:r>
      <w:r w:rsidRPr="00A012CD">
        <w:rPr>
          <w:rFonts w:ascii="Times New Roman" w:eastAsia="Times New Roman" w:hAnsi="Times New Roman" w:cs="Times New Roman"/>
          <w:bCs/>
          <w:sz w:val="24"/>
          <w:szCs w:val="24"/>
        </w:rPr>
        <w:t>contextual adaptation</w:t>
      </w:r>
      <w:r w:rsidRPr="00A012CD">
        <w:rPr>
          <w:rFonts w:ascii="Times New Roman" w:eastAsia="Times New Roman" w:hAnsi="Times New Roman" w:cs="Times New Roman"/>
          <w:sz w:val="24"/>
          <w:szCs w:val="24"/>
        </w:rPr>
        <w:t xml:space="preserve"> in climate-vulnerable regions.</w:t>
      </w:r>
    </w:p>
    <w:p w:rsidR="00A012CD" w:rsidRPr="00A012CD" w:rsidRDefault="00A012CD" w:rsidP="00A012CD">
      <w:pPr>
        <w:spacing w:after="0" w:line="360" w:lineRule="auto"/>
        <w:jc w:val="both"/>
        <w:rPr>
          <w:rFonts w:ascii="Times New Roman" w:eastAsia="Times New Roman" w:hAnsi="Times New Roman" w:cs="Times New Roman"/>
          <w:sz w:val="24"/>
          <w:szCs w:val="24"/>
        </w:rPr>
      </w:pPr>
    </w:p>
    <w:p w:rsidR="009302F4" w:rsidRDefault="009302F4"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p>
    <w:p w:rsidR="00A012CD" w:rsidRPr="00A012CD" w:rsidRDefault="00A012CD"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Adele: Fragile Institutions and Community Disengagement in Forest Resources Management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Adele, climate stressors unpredictable rainfall, prolonged dry spells, and rising temperatures have intensified, but the institutional response has remained weak. Governance structures, led primarily by clan elders, lack formal authority, technical knowledge, or external support. With no sustained follow-up from the Forestry Commission or district-level environmental officers, forest management </w:t>
      </w:r>
      <w:proofErr w:type="gramStart"/>
      <w:r w:rsidRPr="00A012CD">
        <w:rPr>
          <w:rFonts w:ascii="Times New Roman" w:eastAsia="Times New Roman" w:hAnsi="Times New Roman" w:cs="Times New Roman"/>
          <w:sz w:val="24"/>
          <w:szCs w:val="24"/>
        </w:rPr>
        <w:t>is marked</w:t>
      </w:r>
      <w:proofErr w:type="gramEnd"/>
      <w:r w:rsidRPr="00A012CD">
        <w:rPr>
          <w:rFonts w:ascii="Times New Roman" w:eastAsia="Times New Roman" w:hAnsi="Times New Roman" w:cs="Times New Roman"/>
          <w:sz w:val="24"/>
          <w:szCs w:val="24"/>
        </w:rPr>
        <w:t xml:space="preserve"> by frustration and passivity rather than resilience.</w:t>
      </w:r>
    </w:p>
    <w:p w:rsidR="00A012CD" w:rsidRPr="00A012CD" w:rsidRDefault="00A012CD" w:rsidP="00A012CD">
      <w:pPr>
        <w:spacing w:before="100" w:beforeAutospacing="1" w:after="100" w:afterAutospacing="1" w:line="360" w:lineRule="auto"/>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One respondent articulated this clearly</w:t>
      </w:r>
      <w:r w:rsidRPr="00A012CD">
        <w:rPr>
          <w:rFonts w:ascii="Times New Roman" w:eastAsia="Times New Roman" w:hAnsi="Times New Roman" w:cs="Times New Roman"/>
          <w:sz w:val="24"/>
          <w:szCs w:val="24"/>
        </w:rPr>
        <w:br/>
      </w:r>
      <w:r w:rsidRPr="00A012CD">
        <w:rPr>
          <w:rFonts w:ascii="Times New Roman" w:eastAsia="Times New Roman" w:hAnsi="Times New Roman" w:cs="Times New Roman"/>
          <w:i/>
          <w:iCs/>
          <w:sz w:val="24"/>
          <w:szCs w:val="24"/>
        </w:rPr>
        <w:t xml:space="preserve">“There is a shift in the weather </w:t>
      </w:r>
      <w:proofErr w:type="gramStart"/>
      <w:r w:rsidRPr="00A012CD">
        <w:rPr>
          <w:rFonts w:ascii="Times New Roman" w:eastAsia="Times New Roman" w:hAnsi="Times New Roman" w:cs="Times New Roman"/>
          <w:i/>
          <w:iCs/>
          <w:sz w:val="24"/>
          <w:szCs w:val="24"/>
        </w:rPr>
        <w:t>condition,</w:t>
      </w:r>
      <w:proofErr w:type="gramEnd"/>
      <w:r w:rsidRPr="00A012CD">
        <w:rPr>
          <w:rFonts w:ascii="Times New Roman" w:eastAsia="Times New Roman" w:hAnsi="Times New Roman" w:cs="Times New Roman"/>
          <w:i/>
          <w:iCs/>
          <w:sz w:val="24"/>
          <w:szCs w:val="24"/>
        </w:rPr>
        <w:t xml:space="preserve"> it does not rains on time. We once tried planting trees, but they all died. We </w:t>
      </w:r>
      <w:proofErr w:type="gramStart"/>
      <w:r w:rsidRPr="00A012CD">
        <w:rPr>
          <w:rFonts w:ascii="Times New Roman" w:eastAsia="Times New Roman" w:hAnsi="Times New Roman" w:cs="Times New Roman"/>
          <w:i/>
          <w:iCs/>
          <w:sz w:val="24"/>
          <w:szCs w:val="24"/>
        </w:rPr>
        <w:t>don’t</w:t>
      </w:r>
      <w:proofErr w:type="gramEnd"/>
      <w:r w:rsidRPr="00A012CD">
        <w:rPr>
          <w:rFonts w:ascii="Times New Roman" w:eastAsia="Times New Roman" w:hAnsi="Times New Roman" w:cs="Times New Roman"/>
          <w:i/>
          <w:iCs/>
          <w:sz w:val="24"/>
          <w:szCs w:val="24"/>
        </w:rPr>
        <w:t xml:space="preserve"> know what do again. When the forest officers visited last year, we asked for guidance, and they promised coming back. </w:t>
      </w:r>
      <w:proofErr w:type="gramStart"/>
      <w:r w:rsidRPr="00A012CD">
        <w:rPr>
          <w:rFonts w:ascii="Times New Roman" w:eastAsia="Times New Roman" w:hAnsi="Times New Roman" w:cs="Times New Roman"/>
          <w:i/>
          <w:iCs/>
          <w:sz w:val="24"/>
          <w:szCs w:val="24"/>
        </w:rPr>
        <w:t>But</w:t>
      </w:r>
      <w:proofErr w:type="gramEnd"/>
      <w:r w:rsidRPr="00A012CD">
        <w:rPr>
          <w:rFonts w:ascii="Times New Roman" w:eastAsia="Times New Roman" w:hAnsi="Times New Roman" w:cs="Times New Roman"/>
          <w:i/>
          <w:iCs/>
          <w:sz w:val="24"/>
          <w:szCs w:val="24"/>
        </w:rPr>
        <w:t xml:space="preserve"> they never came back. Since then, nothing has happened, and we </w:t>
      </w:r>
      <w:proofErr w:type="gramStart"/>
      <w:r w:rsidRPr="00A012CD">
        <w:rPr>
          <w:rFonts w:ascii="Times New Roman" w:eastAsia="Times New Roman" w:hAnsi="Times New Roman" w:cs="Times New Roman"/>
          <w:i/>
          <w:iCs/>
          <w:sz w:val="24"/>
          <w:szCs w:val="24"/>
        </w:rPr>
        <w:t>don’t</w:t>
      </w:r>
      <w:proofErr w:type="gramEnd"/>
      <w:r w:rsidRPr="00A012CD">
        <w:rPr>
          <w:rFonts w:ascii="Times New Roman" w:eastAsia="Times New Roman" w:hAnsi="Times New Roman" w:cs="Times New Roman"/>
          <w:i/>
          <w:iCs/>
          <w:sz w:val="24"/>
          <w:szCs w:val="24"/>
        </w:rPr>
        <w:t xml:space="preserve"> know what steps to take. People have stopped caring.”</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experience reflects a broader institutional failure not of intent, but of integration and consistency. As </w:t>
      </w:r>
      <w:r w:rsidRPr="00A012CD">
        <w:rPr>
          <w:rFonts w:ascii="Times New Roman" w:eastAsia="Times New Roman" w:hAnsi="Times New Roman" w:cs="Times New Roman"/>
          <w:bCs/>
          <w:sz w:val="24"/>
          <w:szCs w:val="24"/>
        </w:rPr>
        <w:t>Arhin et al. (2024)</w:t>
      </w:r>
      <w:r w:rsidRPr="00A012CD">
        <w:rPr>
          <w:rFonts w:ascii="Times New Roman" w:eastAsia="Times New Roman" w:hAnsi="Times New Roman" w:cs="Times New Roman"/>
          <w:sz w:val="24"/>
          <w:szCs w:val="24"/>
        </w:rPr>
        <w:t xml:space="preserve"> and </w:t>
      </w:r>
      <w:proofErr w:type="spellStart"/>
      <w:r w:rsidRPr="00A012CD">
        <w:rPr>
          <w:rFonts w:ascii="Times New Roman" w:eastAsia="Times New Roman" w:hAnsi="Times New Roman" w:cs="Times New Roman"/>
          <w:bCs/>
          <w:sz w:val="24"/>
          <w:szCs w:val="24"/>
        </w:rPr>
        <w:t>Kusters</w:t>
      </w:r>
      <w:proofErr w:type="spellEnd"/>
      <w:r w:rsidRPr="00A012CD">
        <w:rPr>
          <w:rFonts w:ascii="Times New Roman" w:eastAsia="Times New Roman" w:hAnsi="Times New Roman" w:cs="Times New Roman"/>
          <w:bCs/>
          <w:sz w:val="24"/>
          <w:szCs w:val="24"/>
        </w:rPr>
        <w:t xml:space="preserve"> et al. (2023)</w:t>
      </w:r>
      <w:r w:rsidRPr="00A012CD">
        <w:rPr>
          <w:rFonts w:ascii="Times New Roman" w:eastAsia="Times New Roman" w:hAnsi="Times New Roman" w:cs="Times New Roman"/>
          <w:sz w:val="24"/>
          <w:szCs w:val="24"/>
        </w:rPr>
        <w:t xml:space="preserve"> emphasize, successful community-</w:t>
      </w:r>
      <w:r w:rsidRPr="00A012CD">
        <w:rPr>
          <w:rFonts w:ascii="Times New Roman" w:eastAsia="Times New Roman" w:hAnsi="Times New Roman" w:cs="Times New Roman"/>
          <w:sz w:val="24"/>
          <w:szCs w:val="24"/>
        </w:rPr>
        <w:lastRenderedPageBreak/>
        <w:t xml:space="preserve">based resource governance depends not only on decentralization policies </w:t>
      </w:r>
      <w:proofErr w:type="gramStart"/>
      <w:r w:rsidRPr="00A012CD">
        <w:rPr>
          <w:rFonts w:ascii="Times New Roman" w:eastAsia="Times New Roman" w:hAnsi="Times New Roman" w:cs="Times New Roman"/>
          <w:sz w:val="24"/>
          <w:szCs w:val="24"/>
        </w:rPr>
        <w:t>but</w:t>
      </w:r>
      <w:proofErr w:type="gramEnd"/>
      <w:r w:rsidRPr="00A012CD">
        <w:rPr>
          <w:rFonts w:ascii="Times New Roman" w:eastAsia="Times New Roman" w:hAnsi="Times New Roman" w:cs="Times New Roman"/>
          <w:sz w:val="24"/>
          <w:szCs w:val="24"/>
        </w:rPr>
        <w:t xml:space="preserve"> on </w:t>
      </w:r>
      <w:r w:rsidRPr="00A012CD">
        <w:rPr>
          <w:rFonts w:ascii="Times New Roman" w:eastAsia="Times New Roman" w:hAnsi="Times New Roman" w:cs="Times New Roman"/>
          <w:bCs/>
          <w:sz w:val="24"/>
          <w:szCs w:val="24"/>
        </w:rPr>
        <w:t>sustained capacity-building, mutual accountability, and embedded institutional presence</w:t>
      </w:r>
      <w:r w:rsidRPr="00A012CD">
        <w:rPr>
          <w:rFonts w:ascii="Times New Roman" w:eastAsia="Times New Roman" w:hAnsi="Times New Roman" w:cs="Times New Roman"/>
          <w:sz w:val="24"/>
          <w:szCs w:val="24"/>
        </w:rPr>
        <w:t>. In Adele, institutional arrangements are too weak and too episodic to anchor long-term environmental stewardship.</w:t>
      </w:r>
    </w:p>
    <w:p w:rsid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From the lens of Comparative Institutionalism, Adele’s scenario represents a case where </w:t>
      </w:r>
      <w:r w:rsidRPr="00A012CD">
        <w:rPr>
          <w:rFonts w:ascii="Times New Roman" w:eastAsia="Times New Roman" w:hAnsi="Times New Roman" w:cs="Times New Roman"/>
          <w:bCs/>
          <w:sz w:val="24"/>
          <w:szCs w:val="24"/>
        </w:rPr>
        <w:t>institutional design is neither internally coherent nor externally reinforced</w:t>
      </w:r>
      <w:r w:rsidRPr="00A012CD">
        <w:rPr>
          <w:rFonts w:ascii="Times New Roman" w:eastAsia="Times New Roman" w:hAnsi="Times New Roman" w:cs="Times New Roman"/>
          <w:sz w:val="24"/>
          <w:szCs w:val="24"/>
        </w:rPr>
        <w:t xml:space="preserve">. The community’s awareness of environmental risks is evident, but without material tools or technical partnership, their capacity to act is undermined. As </w:t>
      </w:r>
      <w:proofErr w:type="spellStart"/>
      <w:r w:rsidRPr="00A012CD">
        <w:rPr>
          <w:rFonts w:ascii="Times New Roman" w:eastAsia="Times New Roman" w:hAnsi="Times New Roman" w:cs="Times New Roman"/>
          <w:bCs/>
          <w:sz w:val="24"/>
          <w:szCs w:val="24"/>
        </w:rPr>
        <w:t>Ojha</w:t>
      </w:r>
      <w:proofErr w:type="spellEnd"/>
      <w:r w:rsidRPr="00A012CD">
        <w:rPr>
          <w:rFonts w:ascii="Times New Roman" w:eastAsia="Times New Roman" w:hAnsi="Times New Roman" w:cs="Times New Roman"/>
          <w:bCs/>
          <w:sz w:val="24"/>
          <w:szCs w:val="24"/>
        </w:rPr>
        <w:t xml:space="preserve"> et al. (2023)</w:t>
      </w:r>
      <w:r w:rsidRPr="00A012CD">
        <w:rPr>
          <w:rFonts w:ascii="Times New Roman" w:eastAsia="Times New Roman" w:hAnsi="Times New Roman" w:cs="Times New Roman"/>
          <w:sz w:val="24"/>
          <w:szCs w:val="24"/>
        </w:rPr>
        <w:t xml:space="preserve"> note, in such fragmented institutional environments, </w:t>
      </w:r>
      <w:r w:rsidRPr="00A012CD">
        <w:rPr>
          <w:rFonts w:ascii="Times New Roman" w:eastAsia="Times New Roman" w:hAnsi="Times New Roman" w:cs="Times New Roman"/>
          <w:bCs/>
          <w:sz w:val="24"/>
          <w:szCs w:val="24"/>
        </w:rPr>
        <w:t>symbolic decentralization replaces effective governance</w:t>
      </w:r>
      <w:r w:rsidRPr="00A012CD">
        <w:rPr>
          <w:rFonts w:ascii="Times New Roman" w:eastAsia="Times New Roman" w:hAnsi="Times New Roman" w:cs="Times New Roman"/>
          <w:sz w:val="24"/>
          <w:szCs w:val="24"/>
        </w:rPr>
        <w:t xml:space="preserve">, and collective action disintegrates under the weight of unmet expectations. </w:t>
      </w:r>
      <w:r>
        <w:rPr>
          <w:rFonts w:ascii="Times New Roman" w:eastAsia="Times New Roman" w:hAnsi="Times New Roman" w:cs="Times New Roman"/>
          <w:sz w:val="24"/>
          <w:szCs w:val="24"/>
        </w:rPr>
        <w:t xml:space="preserve"> </w:t>
      </w:r>
    </w:p>
    <w:p w:rsidR="00A012CD" w:rsidRPr="009302F4" w:rsidRDefault="00A012CD" w:rsidP="00A012CD">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8"/>
          <w:szCs w:val="28"/>
        </w:rPr>
      </w:pPr>
      <w:bookmarkStart w:id="2" w:name="_Toc224033070"/>
      <w:r w:rsidRPr="009302F4">
        <w:rPr>
          <w:rFonts w:ascii="Times New Roman" w:eastAsiaTheme="majorEastAsia" w:hAnsi="Times New Roman" w:cs="Times New Roman"/>
          <w:b/>
          <w:bCs/>
          <w:sz w:val="28"/>
          <w:szCs w:val="28"/>
        </w:rPr>
        <w:t>Inadequate External Support for Forest Resources Management</w:t>
      </w:r>
      <w:bookmarkEnd w:id="2"/>
    </w:p>
    <w:p w:rsidR="00A012CD" w:rsidRPr="00A012CD" w:rsidRDefault="00A012CD" w:rsidP="00A012CD">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012CD">
        <w:rPr>
          <w:rFonts w:ascii="Times New Roman" w:eastAsia="Times New Roman" w:hAnsi="Times New Roman" w:cs="Times New Roman"/>
          <w:sz w:val="24"/>
          <w:szCs w:val="24"/>
        </w:rPr>
        <w:t>Both Nchumuru and Adele communities recognize the importance of forest conservation and have made local efforts to protect their ecosystems.</w:t>
      </w:r>
      <w:proofErr w:type="gramEnd"/>
      <w:r w:rsidRPr="00A012CD">
        <w:rPr>
          <w:rFonts w:ascii="Times New Roman" w:eastAsia="Times New Roman" w:hAnsi="Times New Roman" w:cs="Times New Roman"/>
          <w:sz w:val="24"/>
          <w:szCs w:val="24"/>
        </w:rPr>
        <w:t xml:space="preserve"> However, the </w:t>
      </w:r>
      <w:r w:rsidRPr="00A012CD">
        <w:rPr>
          <w:rFonts w:ascii="Times New Roman" w:eastAsia="Times New Roman" w:hAnsi="Times New Roman" w:cs="Times New Roman"/>
          <w:bCs/>
          <w:sz w:val="24"/>
          <w:szCs w:val="24"/>
        </w:rPr>
        <w:t>effectiveness of these efforts is shaped by the type and consistency of external support</w:t>
      </w:r>
      <w:r w:rsidRPr="00A012CD">
        <w:rPr>
          <w:rFonts w:ascii="Times New Roman" w:eastAsia="Times New Roman" w:hAnsi="Times New Roman" w:cs="Times New Roman"/>
          <w:sz w:val="24"/>
          <w:szCs w:val="24"/>
        </w:rPr>
        <w:t xml:space="preserve">, not in terms of money, but in the form of </w:t>
      </w:r>
      <w:r w:rsidRPr="00A012CD">
        <w:rPr>
          <w:rFonts w:ascii="Times New Roman" w:eastAsia="Times New Roman" w:hAnsi="Times New Roman" w:cs="Times New Roman"/>
          <w:bCs/>
          <w:sz w:val="24"/>
          <w:szCs w:val="24"/>
        </w:rPr>
        <w:t>technical training, guidance, practical tools, and regular engagement</w:t>
      </w:r>
      <w:r w:rsidRPr="00A012CD">
        <w:rPr>
          <w:rFonts w:ascii="Times New Roman" w:eastAsia="Times New Roman" w:hAnsi="Times New Roman" w:cs="Times New Roman"/>
          <w:sz w:val="24"/>
          <w:szCs w:val="24"/>
        </w:rPr>
        <w:t xml:space="preserve">. This section draws from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show how institutional support or its absence either strengthens or weakens local forest governance.</w:t>
      </w:r>
    </w:p>
    <w:p w:rsidR="00A012CD" w:rsidRPr="00A012CD" w:rsidRDefault="00A012CD" w:rsidP="00A012CD">
      <w:pPr>
        <w:spacing w:after="0" w:line="240" w:lineRule="auto"/>
        <w:jc w:val="both"/>
        <w:rPr>
          <w:rFonts w:ascii="Times New Roman" w:eastAsia="Times New Roman" w:hAnsi="Times New Roman" w:cs="Times New Roman"/>
          <w:sz w:val="24"/>
          <w:szCs w:val="24"/>
        </w:rPr>
      </w:pPr>
    </w:p>
    <w:p w:rsidR="00A012CD" w:rsidRPr="00A012CD" w:rsidRDefault="00A012CD" w:rsidP="00A012CD">
      <w:pPr>
        <w:tabs>
          <w:tab w:val="left" w:pos="6570"/>
        </w:tabs>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Strong Initiative but Inadequate External Support for Forest Resource Management</w:t>
      </w:r>
      <w:r w:rsidRPr="00A012CD">
        <w:rPr>
          <w:rFonts w:ascii="Times New Roman" w:eastAsia="Times New Roman" w:hAnsi="Times New Roman" w:cs="Times New Roman"/>
          <w:bCs/>
          <w:sz w:val="24"/>
          <w:szCs w:val="24"/>
        </w:rPr>
        <w:tab/>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the internal governance system is relatively strong. Forest patrols are active, local rules are in place, and the community has a clear sense of ownership. However, the community's ability to sustain and improve its forest initiatives </w:t>
      </w:r>
      <w:proofErr w:type="gramStart"/>
      <w:r w:rsidRPr="00A012CD">
        <w:rPr>
          <w:rFonts w:ascii="Times New Roman" w:eastAsia="Times New Roman" w:hAnsi="Times New Roman" w:cs="Times New Roman"/>
          <w:sz w:val="24"/>
          <w:szCs w:val="24"/>
        </w:rPr>
        <w:t>is undermined</w:t>
      </w:r>
      <w:proofErr w:type="gramEnd"/>
      <w:r w:rsidRPr="00A012CD">
        <w:rPr>
          <w:rFonts w:ascii="Times New Roman" w:eastAsia="Times New Roman" w:hAnsi="Times New Roman" w:cs="Times New Roman"/>
          <w:sz w:val="24"/>
          <w:szCs w:val="24"/>
        </w:rPr>
        <w:t xml:space="preserve"> by the </w:t>
      </w:r>
      <w:r w:rsidRPr="00A012CD">
        <w:rPr>
          <w:rFonts w:ascii="Times New Roman" w:eastAsia="Times New Roman" w:hAnsi="Times New Roman" w:cs="Times New Roman"/>
          <w:bCs/>
          <w:sz w:val="24"/>
          <w:szCs w:val="24"/>
        </w:rPr>
        <w:t>lack of reliable technical advice and field-level support</w:t>
      </w:r>
      <w:r w:rsidRPr="00A012CD">
        <w:rPr>
          <w:rFonts w:ascii="Times New Roman" w:eastAsia="Times New Roman" w:hAnsi="Times New Roman" w:cs="Times New Roman"/>
          <w:sz w:val="24"/>
          <w:szCs w:val="24"/>
        </w:rPr>
        <w:t>.</w:t>
      </w:r>
    </w:p>
    <w:p w:rsidR="00A012CD" w:rsidRPr="00A012CD" w:rsidRDefault="00A012CD" w:rsidP="00A012CD">
      <w:pPr>
        <w:spacing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 xml:space="preserve">“We’ve made the rules, but we don’t have enough knowledge on afforestation or training. Sometimes we plant trees, but we </w:t>
      </w:r>
      <w:proofErr w:type="gramStart"/>
      <w:r w:rsidRPr="00A012CD">
        <w:rPr>
          <w:rFonts w:ascii="Times New Roman" w:eastAsia="Times New Roman" w:hAnsi="Times New Roman" w:cs="Times New Roman"/>
          <w:i/>
          <w:iCs/>
          <w:sz w:val="24"/>
          <w:szCs w:val="24"/>
        </w:rPr>
        <w:t>don’t</w:t>
      </w:r>
      <w:proofErr w:type="gramEnd"/>
      <w:r w:rsidRPr="00A012CD">
        <w:rPr>
          <w:rFonts w:ascii="Times New Roman" w:eastAsia="Times New Roman" w:hAnsi="Times New Roman" w:cs="Times New Roman"/>
          <w:i/>
          <w:iCs/>
          <w:sz w:val="24"/>
          <w:szCs w:val="24"/>
        </w:rPr>
        <w:t xml:space="preserve"> know which species will survive. We ask the forestry people to </w:t>
      </w:r>
      <w:proofErr w:type="gramStart"/>
      <w:r w:rsidRPr="00A012CD">
        <w:rPr>
          <w:rFonts w:ascii="Times New Roman" w:eastAsia="Times New Roman" w:hAnsi="Times New Roman" w:cs="Times New Roman"/>
          <w:i/>
          <w:iCs/>
          <w:sz w:val="24"/>
          <w:szCs w:val="24"/>
        </w:rPr>
        <w:t>help,</w:t>
      </w:r>
      <w:proofErr w:type="gramEnd"/>
      <w:r w:rsidRPr="00A012CD">
        <w:rPr>
          <w:rFonts w:ascii="Times New Roman" w:eastAsia="Times New Roman" w:hAnsi="Times New Roman" w:cs="Times New Roman"/>
          <w:i/>
          <w:iCs/>
          <w:sz w:val="24"/>
          <w:szCs w:val="24"/>
        </w:rPr>
        <w:t xml:space="preserve"> they agreed but could not come back. We are doing our part, but it needs technical assistance.”</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reflects a core tension in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a gap between formal decentralization policies and actual institutional engagement. Though the local system is committed, </w:t>
      </w:r>
      <w:r w:rsidRPr="00A012CD">
        <w:rPr>
          <w:rFonts w:ascii="Times New Roman" w:eastAsia="Times New Roman" w:hAnsi="Times New Roman" w:cs="Times New Roman"/>
          <w:bCs/>
          <w:sz w:val="24"/>
          <w:szCs w:val="24"/>
        </w:rPr>
        <w:t>the absence of practical support from state actors and environmental agencies</w:t>
      </w:r>
      <w:r w:rsidRPr="00A012CD">
        <w:rPr>
          <w:rFonts w:ascii="Times New Roman" w:eastAsia="Times New Roman" w:hAnsi="Times New Roman" w:cs="Times New Roman"/>
          <w:sz w:val="24"/>
          <w:szCs w:val="24"/>
        </w:rPr>
        <w:t xml:space="preserve"> limits its long-term success.  </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bCs/>
          <w:sz w:val="24"/>
          <w:szCs w:val="24"/>
        </w:rPr>
        <w:lastRenderedPageBreak/>
        <w:t>Adele: Challenge of Weak Leadership and Inadequate external support For Forest Resource Management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Adele, where leadership is more dispersed and informal, the governance response is weaker. Conservation efforts here often depend on </w:t>
      </w:r>
      <w:r w:rsidRPr="00A012CD">
        <w:rPr>
          <w:rFonts w:ascii="Times New Roman" w:eastAsia="Times New Roman" w:hAnsi="Times New Roman" w:cs="Times New Roman"/>
          <w:bCs/>
          <w:sz w:val="24"/>
          <w:szCs w:val="24"/>
        </w:rPr>
        <w:t>outside actors</w:t>
      </w:r>
      <w:r w:rsidRPr="00A012CD">
        <w:rPr>
          <w:rFonts w:ascii="Times New Roman" w:eastAsia="Times New Roman" w:hAnsi="Times New Roman" w:cs="Times New Roman"/>
          <w:sz w:val="24"/>
          <w:szCs w:val="24"/>
        </w:rPr>
        <w:t xml:space="preserve">, yet most of these interventions lack depth and continuity. The result is that </w:t>
      </w:r>
      <w:r w:rsidRPr="00A012CD">
        <w:rPr>
          <w:rFonts w:ascii="Times New Roman" w:eastAsia="Times New Roman" w:hAnsi="Times New Roman" w:cs="Times New Roman"/>
          <w:bCs/>
          <w:sz w:val="24"/>
          <w:szCs w:val="24"/>
        </w:rPr>
        <w:t>information may be delivered</w:t>
      </w:r>
      <w:r w:rsidRPr="00A012CD">
        <w:rPr>
          <w:rFonts w:ascii="Times New Roman" w:eastAsia="Times New Roman" w:hAnsi="Times New Roman" w:cs="Times New Roman"/>
          <w:sz w:val="24"/>
          <w:szCs w:val="24"/>
        </w:rPr>
        <w:t xml:space="preserve">, but </w:t>
      </w:r>
      <w:r w:rsidRPr="00A012CD">
        <w:rPr>
          <w:rFonts w:ascii="Times New Roman" w:eastAsia="Times New Roman" w:hAnsi="Times New Roman" w:cs="Times New Roman"/>
          <w:bCs/>
          <w:sz w:val="24"/>
          <w:szCs w:val="24"/>
        </w:rPr>
        <w:t>guidance and reinforcement are absent</w:t>
      </w:r>
      <w:r w:rsidRPr="00A012CD">
        <w:rPr>
          <w:rFonts w:ascii="Times New Roman" w:eastAsia="Times New Roman" w:hAnsi="Times New Roman" w:cs="Times New Roman"/>
          <w:sz w:val="24"/>
          <w:szCs w:val="24"/>
        </w:rPr>
        <w:t>, leading to growing detachment.</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 xml:space="preserve">“They came once, talked about tree planting and gave us seedlings. </w:t>
      </w:r>
      <w:proofErr w:type="gramStart"/>
      <w:r w:rsidRPr="00A012CD">
        <w:rPr>
          <w:rFonts w:ascii="Times New Roman" w:eastAsia="Times New Roman" w:hAnsi="Times New Roman" w:cs="Times New Roman"/>
          <w:i/>
          <w:iCs/>
          <w:sz w:val="24"/>
          <w:szCs w:val="24"/>
        </w:rPr>
        <w:t>But</w:t>
      </w:r>
      <w:proofErr w:type="gramEnd"/>
      <w:r w:rsidRPr="00A012CD">
        <w:rPr>
          <w:rFonts w:ascii="Times New Roman" w:eastAsia="Times New Roman" w:hAnsi="Times New Roman" w:cs="Times New Roman"/>
          <w:i/>
          <w:iCs/>
          <w:sz w:val="24"/>
          <w:szCs w:val="24"/>
        </w:rPr>
        <w:t xml:space="preserve"> after they left, no one came again. No training or afforestation activities. We are also doing what we could’’ </w:t>
      </w:r>
    </w:p>
    <w:p w:rsidR="00CC1EB1" w:rsidRPr="002920F8" w:rsidRDefault="00A012CD" w:rsidP="00A012CD">
      <w:pPr>
        <w:spacing w:before="100" w:beforeAutospacing="1" w:after="100" w:afterAutospacing="1" w:line="240" w:lineRule="auto"/>
        <w:jc w:val="both"/>
        <w:outlineLvl w:val="2"/>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quote highlights how </w:t>
      </w:r>
      <w:r w:rsidRPr="00A012CD">
        <w:rPr>
          <w:rFonts w:ascii="Times New Roman" w:eastAsia="Times New Roman" w:hAnsi="Times New Roman" w:cs="Times New Roman"/>
          <w:bCs/>
          <w:sz w:val="24"/>
          <w:szCs w:val="24"/>
        </w:rPr>
        <w:t>disjointed and symbolic support can backfire</w:t>
      </w:r>
      <w:r w:rsidRPr="00A012CD">
        <w:rPr>
          <w:rFonts w:ascii="Times New Roman" w:eastAsia="Times New Roman" w:hAnsi="Times New Roman" w:cs="Times New Roman"/>
          <w:sz w:val="24"/>
          <w:szCs w:val="24"/>
        </w:rPr>
        <w:t xml:space="preserve">. From the perspective of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Adele’s institutional environment lacks the coherence and sustained presence required for effective governance. Without steady relationships and knowledge sharing, even well intentioned campaigns lose momentum</w:t>
      </w:r>
      <w:r w:rsidR="002920F8">
        <w:rPr>
          <w:rFonts w:ascii="Times New Roman" w:eastAsia="Times New Roman" w:hAnsi="Times New Roman" w:cs="Times New Roman"/>
          <w:sz w:val="24"/>
          <w:szCs w:val="24"/>
        </w:rPr>
        <w:t>.</w:t>
      </w:r>
    </w:p>
    <w:p w:rsidR="00CC1EB1" w:rsidRPr="009302F4" w:rsidRDefault="00CC1EB1" w:rsidP="00CC1EB1">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Conclusion</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This study examined the challenges affecting community-based forest resource management in the Nchumuru and Adele communities of the Oti Region, Ghana. The findings reveal that although community-based approaches remain relevant for promoting sustainable forest management, their effectiveness is significantly constrained by a combination of institutional, environmental, and socio-economic factors.</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Institutional barriers, particularly weak enforcement mechanisms, declining legitimacy of traditional authority, and limited accountability, were identified as key challenges undermining forest governance. In addition, climate variability and environmental pressures continue to disrupt forest regeneration and intensify livelihood dependence on forest resources. The study also found that inadequate external support, including limited technical assistance, weak institutional collaboration, and insufficient livelihood alternatives, further constrains the sustainability of community-based initiatives.</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The comparative analysis highlights that variations in governance structures and institutional capacity contribute to differing outcomes between communities. Where local institutions remain cohesive and socially legitimate, forest management tends to be more effective. Conversely, weakened institutional systems are associated with higher levels of forest degradation.</w:t>
      </w:r>
    </w:p>
    <w:p w:rsidR="00CC1EB1" w:rsidRDefault="00CC1EB1"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2920F8" w:rsidRDefault="002920F8" w:rsidP="00EA1C7C">
      <w:pPr>
        <w:pStyle w:val="NormalWeb"/>
        <w:rPr>
          <w:b/>
          <w:bCs/>
          <w:sz w:val="28"/>
          <w:szCs w:val="28"/>
        </w:rPr>
      </w:pPr>
    </w:p>
    <w:p w:rsidR="002920F8" w:rsidRDefault="002920F8" w:rsidP="00EA1C7C">
      <w:pPr>
        <w:pStyle w:val="NormalWeb"/>
        <w:rPr>
          <w:b/>
          <w:bCs/>
          <w:sz w:val="28"/>
          <w:szCs w:val="28"/>
        </w:rPr>
      </w:pPr>
    </w:p>
    <w:p w:rsidR="00EA1C7C" w:rsidRPr="009302F4" w:rsidRDefault="00EA1C7C" w:rsidP="00EA1C7C">
      <w:pPr>
        <w:pStyle w:val="NormalWeb"/>
        <w:rPr>
          <w:b/>
          <w:bCs/>
          <w:sz w:val="28"/>
          <w:szCs w:val="28"/>
        </w:rPr>
      </w:pPr>
      <w:r w:rsidRPr="009302F4">
        <w:rPr>
          <w:b/>
          <w:bCs/>
          <w:sz w:val="28"/>
          <w:szCs w:val="28"/>
        </w:rPr>
        <w:lastRenderedPageBreak/>
        <w:t>References</w:t>
      </w:r>
    </w:p>
    <w:p w:rsidR="00EA1C7C" w:rsidRDefault="00EA1C7C" w:rsidP="00EA1C7C">
      <w:pPr>
        <w:pStyle w:val="NormalWeb"/>
      </w:pPr>
      <w:r>
        <w:t xml:space="preserve">Agrawal, A., &amp; </w:t>
      </w:r>
      <w:proofErr w:type="spellStart"/>
      <w:r>
        <w:t>Ribot</w:t>
      </w:r>
      <w:proofErr w:type="spellEnd"/>
      <w:r>
        <w:t xml:space="preserve">, J. C. (2019). Accountability in decentralization: A framework with South Asian and West African cases. </w:t>
      </w:r>
      <w:r>
        <w:rPr>
          <w:rStyle w:val="Emphasis"/>
          <w:rFonts w:eastAsiaTheme="majorEastAsia"/>
        </w:rPr>
        <w:t>Journal of Developing Areas</w:t>
      </w:r>
      <w:r>
        <w:t>, 53(2), 1–18.</w:t>
      </w:r>
    </w:p>
    <w:p w:rsidR="00EA1C7C" w:rsidRDefault="00EA1C7C" w:rsidP="00EA1C7C">
      <w:pPr>
        <w:pStyle w:val="NormalWeb"/>
      </w:pPr>
      <w:r>
        <w:t xml:space="preserve">Arts, B., </w:t>
      </w:r>
      <w:proofErr w:type="spellStart"/>
      <w:r>
        <w:t>Buizer</w:t>
      </w:r>
      <w:proofErr w:type="spellEnd"/>
      <w:r>
        <w:t xml:space="preserve">, M., </w:t>
      </w:r>
      <w:proofErr w:type="spellStart"/>
      <w:r>
        <w:t>Horlings</w:t>
      </w:r>
      <w:proofErr w:type="spellEnd"/>
      <w:r>
        <w:t xml:space="preserve">, L., Ingram, V., van </w:t>
      </w:r>
      <w:proofErr w:type="spellStart"/>
      <w:r>
        <w:t>Oosten</w:t>
      </w:r>
      <w:proofErr w:type="spellEnd"/>
      <w:r>
        <w:t xml:space="preserve">, C., &amp; </w:t>
      </w:r>
      <w:proofErr w:type="spellStart"/>
      <w:r>
        <w:t>Opdam</w:t>
      </w:r>
      <w:proofErr w:type="spellEnd"/>
      <w:r>
        <w:t xml:space="preserve">, P. (2023). Landscape approaches: A state-of-the-art review. </w:t>
      </w:r>
      <w:r>
        <w:rPr>
          <w:rStyle w:val="Emphasis"/>
          <w:rFonts w:eastAsiaTheme="majorEastAsia"/>
        </w:rPr>
        <w:t>Annual Review of Environment and Resources</w:t>
      </w:r>
      <w:r>
        <w:t>, 48, 1–25.</w:t>
      </w:r>
    </w:p>
    <w:p w:rsidR="00EA1C7C" w:rsidRDefault="00EA1C7C" w:rsidP="00EA1C7C">
      <w:pPr>
        <w:pStyle w:val="NormalWeb"/>
      </w:pPr>
      <w:proofErr w:type="spellStart"/>
      <w:r>
        <w:t>Berkes</w:t>
      </w:r>
      <w:proofErr w:type="spellEnd"/>
      <w:r>
        <w:t xml:space="preserve">, F. (2017). </w:t>
      </w:r>
      <w:r>
        <w:rPr>
          <w:rStyle w:val="Emphasis"/>
          <w:rFonts w:eastAsiaTheme="majorEastAsia"/>
        </w:rPr>
        <w:t>Sacred ecology</w:t>
      </w:r>
      <w:r>
        <w:t xml:space="preserve"> (4th </w:t>
      </w:r>
      <w:proofErr w:type="gramStart"/>
      <w:r>
        <w:t>ed</w:t>
      </w:r>
      <w:proofErr w:type="gramEnd"/>
      <w:r>
        <w:t>.). Routledge.</w:t>
      </w:r>
    </w:p>
    <w:p w:rsidR="00EA1C7C" w:rsidRDefault="00EA1C7C" w:rsidP="00EA1C7C">
      <w:pPr>
        <w:pStyle w:val="NormalWeb"/>
      </w:pPr>
      <w:r>
        <w:t xml:space="preserve">Boafo, Y. A. (2013). The role of community forestry in climate change adaptation in Ghana. </w:t>
      </w:r>
      <w:r>
        <w:rPr>
          <w:rStyle w:val="Emphasis"/>
          <w:rFonts w:eastAsiaTheme="majorEastAsia"/>
        </w:rPr>
        <w:t>Journal of Sustainable Forestry</w:t>
      </w:r>
      <w:r>
        <w:t>, 32(5), 1–15.</w:t>
      </w:r>
    </w:p>
    <w:p w:rsidR="00EA1C7C" w:rsidRDefault="00EA1C7C" w:rsidP="00EA1C7C">
      <w:pPr>
        <w:pStyle w:val="NormalWeb"/>
      </w:pPr>
      <w:r>
        <w:t xml:space="preserve">Cleaver, F. (2017). </w:t>
      </w:r>
      <w:r>
        <w:rPr>
          <w:rStyle w:val="Emphasis"/>
          <w:rFonts w:eastAsiaTheme="majorEastAsia"/>
        </w:rPr>
        <w:t>Development through bricolage: Rethinking institutions for natural resource management</w:t>
      </w:r>
      <w:r>
        <w:t>. Routledge.</w:t>
      </w:r>
    </w:p>
    <w:p w:rsidR="00EA1C7C" w:rsidRDefault="00EA1C7C" w:rsidP="00EA1C7C">
      <w:pPr>
        <w:pStyle w:val="NormalWeb"/>
      </w:pPr>
      <w:r>
        <w:t xml:space="preserve">Fleischman, F., </w:t>
      </w:r>
      <w:proofErr w:type="spellStart"/>
      <w:r>
        <w:t>Loken</w:t>
      </w:r>
      <w:proofErr w:type="spellEnd"/>
      <w:r>
        <w:t xml:space="preserve">, B., Garcia-Lopez, G., </w:t>
      </w:r>
      <w:proofErr w:type="spellStart"/>
      <w:r>
        <w:t>Villamayor</w:t>
      </w:r>
      <w:proofErr w:type="spellEnd"/>
      <w:r>
        <w:t xml:space="preserve">-Tomas, S., &amp; </w:t>
      </w:r>
      <w:proofErr w:type="spellStart"/>
      <w:r>
        <w:t>Wittman</w:t>
      </w:r>
      <w:proofErr w:type="spellEnd"/>
      <w:r>
        <w:t xml:space="preserve">, H. (2020). Governing large-scale social-ecological systems: Lessons from five cases. </w:t>
      </w:r>
      <w:r>
        <w:rPr>
          <w:rStyle w:val="Emphasis"/>
          <w:rFonts w:eastAsiaTheme="majorEastAsia"/>
        </w:rPr>
        <w:t>International Journal of the Commons</w:t>
      </w:r>
      <w:r>
        <w:t>, 14(1), 1–20.</w:t>
      </w:r>
    </w:p>
    <w:p w:rsidR="00EA1C7C" w:rsidRDefault="00EA1C7C" w:rsidP="00EA1C7C">
      <w:pPr>
        <w:pStyle w:val="NormalWeb"/>
      </w:pPr>
      <w:r>
        <w:t xml:space="preserve">Food and Agriculture Organization (FAO). (2020). </w:t>
      </w:r>
      <w:r>
        <w:rPr>
          <w:rStyle w:val="Emphasis"/>
          <w:rFonts w:eastAsiaTheme="majorEastAsia"/>
        </w:rPr>
        <w:t>Global forest resources assessment 2020</w:t>
      </w:r>
      <w:r>
        <w:t>. FAO.</w:t>
      </w:r>
    </w:p>
    <w:p w:rsidR="00EA1C7C" w:rsidRDefault="00EA1C7C" w:rsidP="00EA1C7C">
      <w:pPr>
        <w:pStyle w:val="NormalWeb"/>
      </w:pPr>
      <w:r>
        <w:t xml:space="preserve">Hajjar, R., </w:t>
      </w:r>
      <w:proofErr w:type="spellStart"/>
      <w:r>
        <w:t>Oldekop</w:t>
      </w:r>
      <w:proofErr w:type="spellEnd"/>
      <w:r>
        <w:t xml:space="preserve">, J. A., </w:t>
      </w:r>
      <w:proofErr w:type="spellStart"/>
      <w:r>
        <w:t>Cronkleton</w:t>
      </w:r>
      <w:proofErr w:type="spellEnd"/>
      <w:r>
        <w:t xml:space="preserve">, P., Newton, P., Russell, A. J. M., &amp; Zhou, W. (2021). A global analysis of community forest management outcomes. </w:t>
      </w:r>
      <w:r>
        <w:rPr>
          <w:rStyle w:val="Emphasis"/>
          <w:rFonts w:eastAsiaTheme="majorEastAsia"/>
        </w:rPr>
        <w:t>Nature Sustainability</w:t>
      </w:r>
      <w:r>
        <w:t>, 4, 1–8.</w:t>
      </w:r>
    </w:p>
    <w:p w:rsidR="00EA1C7C" w:rsidRDefault="00EA1C7C" w:rsidP="00EA1C7C">
      <w:pPr>
        <w:pStyle w:val="NormalWeb"/>
      </w:pPr>
      <w:proofErr w:type="spellStart"/>
      <w:r>
        <w:t>Kashwan</w:t>
      </w:r>
      <w:proofErr w:type="spellEnd"/>
      <w:r>
        <w:t xml:space="preserve">, P., MacLean, L. M., &amp; </w:t>
      </w:r>
      <w:proofErr w:type="spellStart"/>
      <w:r>
        <w:t>García-López</w:t>
      </w:r>
      <w:proofErr w:type="spellEnd"/>
      <w:r>
        <w:t xml:space="preserve">, G. A. (2020). Rethinking power and institutions in community-based natural resource management. </w:t>
      </w:r>
      <w:r>
        <w:rPr>
          <w:rStyle w:val="Emphasis"/>
          <w:rFonts w:eastAsiaTheme="majorEastAsia"/>
        </w:rPr>
        <w:t>World Development</w:t>
      </w:r>
      <w:r>
        <w:t>, 130, 104–115.</w:t>
      </w:r>
    </w:p>
    <w:p w:rsidR="00EA1C7C" w:rsidRDefault="00EA1C7C" w:rsidP="00EA1C7C">
      <w:pPr>
        <w:pStyle w:val="NormalWeb"/>
      </w:pPr>
      <w:r>
        <w:t xml:space="preserve">North, D. C. (1990). </w:t>
      </w:r>
      <w:r>
        <w:rPr>
          <w:rStyle w:val="Emphasis"/>
          <w:rFonts w:eastAsiaTheme="majorEastAsia"/>
        </w:rPr>
        <w:t>Institutions, institutional change and economic performance</w:t>
      </w:r>
      <w:r>
        <w:t>. Cambridge University Press.</w:t>
      </w:r>
    </w:p>
    <w:p w:rsidR="00EA1C7C" w:rsidRDefault="00EA1C7C" w:rsidP="00EA1C7C">
      <w:pPr>
        <w:pStyle w:val="NormalWeb"/>
      </w:pPr>
      <w:proofErr w:type="spellStart"/>
      <w:r>
        <w:t>Oldekop</w:t>
      </w:r>
      <w:proofErr w:type="spellEnd"/>
      <w:r>
        <w:t xml:space="preserve">, J. A., Sims, K. R. E., </w:t>
      </w:r>
      <w:proofErr w:type="spellStart"/>
      <w:r>
        <w:t>Whittingham</w:t>
      </w:r>
      <w:proofErr w:type="spellEnd"/>
      <w:r>
        <w:t xml:space="preserve">, M. J., &amp; Agrawal, A. (2019). An upside to globalization: International outmigration drives reforestation in Nepal. </w:t>
      </w:r>
      <w:r>
        <w:rPr>
          <w:rStyle w:val="Emphasis"/>
          <w:rFonts w:eastAsiaTheme="majorEastAsia"/>
        </w:rPr>
        <w:t>Global Environmental Change</w:t>
      </w:r>
      <w:r>
        <w:t>, 44, 1–10.</w:t>
      </w:r>
    </w:p>
    <w:p w:rsidR="00EA1C7C" w:rsidRDefault="00EA1C7C" w:rsidP="00EA1C7C">
      <w:pPr>
        <w:pStyle w:val="NormalWeb"/>
      </w:pPr>
      <w:r>
        <w:t xml:space="preserve">Ostrom, E. (1990). </w:t>
      </w:r>
      <w:r>
        <w:rPr>
          <w:rStyle w:val="Emphasis"/>
          <w:rFonts w:eastAsiaTheme="majorEastAsia"/>
        </w:rPr>
        <w:t>Governing the commons: The evolution of institutions for collective action</w:t>
      </w:r>
      <w:r>
        <w:t>. Cambridge University Press.</w:t>
      </w:r>
    </w:p>
    <w:p w:rsidR="00EA1C7C" w:rsidRDefault="00EA1C7C" w:rsidP="00EA1C7C">
      <w:pPr>
        <w:pStyle w:val="NormalWeb"/>
      </w:pPr>
      <w:proofErr w:type="spellStart"/>
      <w:r>
        <w:t>Pahl-Wostl</w:t>
      </w:r>
      <w:proofErr w:type="spellEnd"/>
      <w:r>
        <w:t xml:space="preserve">, C. (2019). Governance of social-ecological systems: A multi-level perspective. </w:t>
      </w:r>
      <w:r>
        <w:rPr>
          <w:rStyle w:val="Emphasis"/>
          <w:rFonts w:eastAsiaTheme="majorEastAsia"/>
        </w:rPr>
        <w:t>Environmental Science &amp; Policy</w:t>
      </w:r>
      <w:r>
        <w:t>, 99, 1–12.</w:t>
      </w:r>
    </w:p>
    <w:p w:rsidR="00EA1C7C" w:rsidRDefault="00EA1C7C" w:rsidP="00EA1C7C">
      <w:pPr>
        <w:pStyle w:val="NormalWeb"/>
      </w:pPr>
      <w:proofErr w:type="spellStart"/>
      <w:r>
        <w:t>Teye</w:t>
      </w:r>
      <w:proofErr w:type="spellEnd"/>
      <w:r>
        <w:t xml:space="preserve">, J. K., </w:t>
      </w:r>
      <w:proofErr w:type="spellStart"/>
      <w:r>
        <w:t>Agyeman</w:t>
      </w:r>
      <w:proofErr w:type="spellEnd"/>
      <w:r>
        <w:t xml:space="preserve">, S., &amp; </w:t>
      </w:r>
      <w:proofErr w:type="spellStart"/>
      <w:r>
        <w:t>Yaro</w:t>
      </w:r>
      <w:proofErr w:type="spellEnd"/>
      <w:r>
        <w:t xml:space="preserve">, J. A. (2022). Community-based natural resource management in Ghana: A review of policy and practice. </w:t>
      </w:r>
      <w:r>
        <w:rPr>
          <w:rStyle w:val="Emphasis"/>
          <w:rFonts w:eastAsiaTheme="majorEastAsia"/>
        </w:rPr>
        <w:t>Land Use Policy</w:t>
      </w:r>
      <w:r>
        <w:t>, 112, 1–10.</w:t>
      </w:r>
    </w:p>
    <w:p w:rsidR="00CC1EB1" w:rsidRPr="009302F4" w:rsidRDefault="00EA1C7C" w:rsidP="009302F4">
      <w:pPr>
        <w:pStyle w:val="NormalWeb"/>
      </w:pPr>
      <w:proofErr w:type="spellStart"/>
      <w:r>
        <w:lastRenderedPageBreak/>
        <w:t>Wilkie</w:t>
      </w:r>
      <w:proofErr w:type="spellEnd"/>
      <w:r>
        <w:t xml:space="preserve">, D. S., Wieland, M., </w:t>
      </w:r>
      <w:proofErr w:type="spellStart"/>
      <w:r>
        <w:t>Boulet</w:t>
      </w:r>
      <w:proofErr w:type="spellEnd"/>
      <w:r>
        <w:t xml:space="preserve">, H., Le Bel, S., van </w:t>
      </w:r>
      <w:proofErr w:type="spellStart"/>
      <w:r>
        <w:t>Vliet</w:t>
      </w:r>
      <w:proofErr w:type="spellEnd"/>
      <w:r>
        <w:t xml:space="preserve">, N., </w:t>
      </w:r>
      <w:proofErr w:type="spellStart"/>
      <w:r>
        <w:t>Cornelis</w:t>
      </w:r>
      <w:proofErr w:type="spellEnd"/>
      <w:r>
        <w:t xml:space="preserve">, D., &amp; Fa, J. E. (2021). Eating and conserving </w:t>
      </w:r>
      <w:proofErr w:type="spellStart"/>
      <w:r>
        <w:t>bushmeat</w:t>
      </w:r>
      <w:proofErr w:type="spellEnd"/>
      <w:r>
        <w:t xml:space="preserve"> in Africa. </w:t>
      </w:r>
      <w:r>
        <w:rPr>
          <w:rStyle w:val="Emphasis"/>
          <w:rFonts w:eastAsiaTheme="majorEastAsia"/>
        </w:rPr>
        <w:t>African Journal of Ecology</w:t>
      </w:r>
      <w:r>
        <w:t>, 59(1), 1–10.</w:t>
      </w:r>
    </w:p>
    <w:p w:rsidR="009302F4" w:rsidRPr="009302F4" w:rsidRDefault="009302F4" w:rsidP="009302F4">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Ethical Approval</w:t>
      </w:r>
    </w:p>
    <w:p w:rsidR="00FB7C8D" w:rsidRPr="002920F8" w:rsidRDefault="009302F4" w:rsidP="002920F8">
      <w:pPr>
        <w:spacing w:before="100" w:beforeAutospacing="1" w:after="100" w:afterAutospacing="1" w:line="480" w:lineRule="auto"/>
        <w:jc w:val="both"/>
        <w:rPr>
          <w:rFonts w:ascii="Times New Roman" w:eastAsia="Times New Roman" w:hAnsi="Times New Roman" w:cs="Times New Roman"/>
          <w:sz w:val="24"/>
          <w:szCs w:val="24"/>
        </w:rPr>
      </w:pPr>
      <w:r w:rsidRPr="009302F4">
        <w:rPr>
          <w:rFonts w:ascii="Times New Roman" w:eastAsia="Times New Roman" w:hAnsi="Times New Roman" w:cs="Times New Roman"/>
          <w:sz w:val="24"/>
          <w:szCs w:val="24"/>
        </w:rPr>
        <w:t xml:space="preserve">Ethical approval for this study was obtained prior to data collection. All participants were informed about the purpose of the study, and their voluntary consent was obtained before participation. Confidentiality and anonymity </w:t>
      </w:r>
      <w:proofErr w:type="gramStart"/>
      <w:r w:rsidRPr="009302F4">
        <w:rPr>
          <w:rFonts w:ascii="Times New Roman" w:eastAsia="Times New Roman" w:hAnsi="Times New Roman" w:cs="Times New Roman"/>
          <w:sz w:val="24"/>
          <w:szCs w:val="24"/>
        </w:rPr>
        <w:t>were strictly maintained</w:t>
      </w:r>
      <w:proofErr w:type="gramEnd"/>
      <w:r w:rsidRPr="009302F4">
        <w:rPr>
          <w:rFonts w:ascii="Times New Roman" w:eastAsia="Times New Roman" w:hAnsi="Times New Roman" w:cs="Times New Roman"/>
          <w:sz w:val="24"/>
          <w:szCs w:val="24"/>
        </w:rPr>
        <w:t>, and respondents were assured of their right to withdraw from the study at any stage without any consequences.</w:t>
      </w:r>
      <w:bookmarkStart w:id="3" w:name="_GoBack"/>
      <w:bookmarkEnd w:id="3"/>
    </w:p>
    <w:p w:rsidR="00AB62B4" w:rsidRPr="00FB7C8D" w:rsidRDefault="00AB62B4" w:rsidP="00AB62B4">
      <w:pPr>
        <w:spacing w:before="100" w:beforeAutospacing="1" w:after="100" w:afterAutospacing="1" w:line="240" w:lineRule="auto"/>
        <w:outlineLvl w:val="1"/>
        <w:rPr>
          <w:rFonts w:ascii="Times New Roman" w:eastAsia="Times New Roman" w:hAnsi="Times New Roman" w:cs="Times New Roman"/>
          <w:b/>
          <w:bCs/>
          <w:sz w:val="28"/>
          <w:szCs w:val="28"/>
        </w:rPr>
      </w:pPr>
      <w:r w:rsidRPr="00FB7C8D">
        <w:rPr>
          <w:rFonts w:ascii="Times New Roman" w:eastAsia="Times New Roman" w:hAnsi="Times New Roman" w:cs="Times New Roman"/>
          <w:b/>
          <w:bCs/>
          <w:sz w:val="28"/>
          <w:szCs w:val="28"/>
        </w:rPr>
        <w:t>Conflict of Interest</w:t>
      </w:r>
    </w:p>
    <w:p w:rsidR="00AB62B4" w:rsidRPr="00AB62B4" w:rsidRDefault="00AB62B4" w:rsidP="00AB62B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 T</w:t>
      </w:r>
      <w:r w:rsidRPr="00AB62B4">
        <w:rPr>
          <w:rFonts w:ascii="Times New Roman" w:eastAsia="Times New Roman" w:hAnsi="Times New Roman" w:cs="Times New Roman"/>
          <w:sz w:val="24"/>
          <w:szCs w:val="24"/>
        </w:rPr>
        <w:t>here are no conflicts of interest regarding the publication of this study.</w:t>
      </w:r>
    </w:p>
    <w:p w:rsidR="00FB7C8D" w:rsidRPr="00FB7C8D" w:rsidRDefault="00FB7C8D" w:rsidP="00FB7C8D">
      <w:pPr>
        <w:spacing w:before="100" w:beforeAutospacing="1" w:after="100" w:afterAutospacing="1" w:line="240" w:lineRule="auto"/>
        <w:outlineLvl w:val="1"/>
        <w:rPr>
          <w:rFonts w:ascii="Times New Roman" w:eastAsia="Times New Roman" w:hAnsi="Times New Roman" w:cs="Times New Roman"/>
          <w:b/>
          <w:bCs/>
          <w:sz w:val="28"/>
          <w:szCs w:val="28"/>
        </w:rPr>
      </w:pPr>
      <w:r w:rsidRPr="00FB7C8D">
        <w:rPr>
          <w:rFonts w:ascii="Times New Roman" w:eastAsia="Times New Roman" w:hAnsi="Times New Roman" w:cs="Times New Roman"/>
          <w:b/>
          <w:bCs/>
          <w:sz w:val="28"/>
          <w:szCs w:val="28"/>
        </w:rPr>
        <w:t>Data Availability</w:t>
      </w:r>
    </w:p>
    <w:p w:rsidR="00FB7C8D" w:rsidRPr="00FB7C8D" w:rsidRDefault="00FB7C8D" w:rsidP="00FB7C8D">
      <w:pPr>
        <w:spacing w:before="100" w:beforeAutospacing="1" w:after="100" w:afterAutospacing="1" w:line="240" w:lineRule="auto"/>
        <w:jc w:val="both"/>
        <w:rPr>
          <w:rFonts w:ascii="Times New Roman" w:eastAsia="Times New Roman" w:hAnsi="Times New Roman" w:cs="Times New Roman"/>
          <w:sz w:val="24"/>
          <w:szCs w:val="24"/>
        </w:rPr>
      </w:pPr>
      <w:r w:rsidRPr="00FB7C8D">
        <w:rPr>
          <w:rFonts w:ascii="Times New Roman" w:eastAsia="Times New Roman" w:hAnsi="Times New Roman" w:cs="Times New Roman"/>
          <w:sz w:val="24"/>
          <w:szCs w:val="24"/>
        </w:rPr>
        <w:t>The data supporting the findings of this study are not publicly available due to ethical and confidentiality considerations, as they contain sensitive information obtained from human participants. However, the data are available from the author upon reasonable request, subject to approval and compliance with ethical guidelines.</w:t>
      </w:r>
    </w:p>
    <w:p w:rsidR="00EA1C7C" w:rsidRPr="009928A1" w:rsidRDefault="00EA1C7C" w:rsidP="00AB62B4">
      <w:pPr>
        <w:spacing w:before="100" w:beforeAutospacing="1" w:after="100" w:afterAutospacing="1" w:line="480" w:lineRule="auto"/>
        <w:jc w:val="both"/>
        <w:outlineLvl w:val="2"/>
        <w:rPr>
          <w:rFonts w:ascii="Times New Roman" w:eastAsia="Times New Roman" w:hAnsi="Times New Roman" w:cs="Times New Roman"/>
          <w:b/>
          <w:bCs/>
          <w:sz w:val="24"/>
          <w:szCs w:val="24"/>
        </w:rPr>
      </w:pPr>
    </w:p>
    <w:sectPr w:rsidR="00EA1C7C" w:rsidRPr="0099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9B"/>
    <w:rsid w:val="000C388A"/>
    <w:rsid w:val="000D77E9"/>
    <w:rsid w:val="000F29B5"/>
    <w:rsid w:val="001D779B"/>
    <w:rsid w:val="002920F8"/>
    <w:rsid w:val="00505DDB"/>
    <w:rsid w:val="00632832"/>
    <w:rsid w:val="00656291"/>
    <w:rsid w:val="00706FC8"/>
    <w:rsid w:val="00842F30"/>
    <w:rsid w:val="009302F4"/>
    <w:rsid w:val="009928A1"/>
    <w:rsid w:val="00A012CD"/>
    <w:rsid w:val="00AB62B4"/>
    <w:rsid w:val="00B45B7D"/>
    <w:rsid w:val="00CC1EB1"/>
    <w:rsid w:val="00D42560"/>
    <w:rsid w:val="00D61324"/>
    <w:rsid w:val="00E86FE5"/>
    <w:rsid w:val="00EA1C7C"/>
    <w:rsid w:val="00F85ACC"/>
    <w:rsid w:val="00FB7C8D"/>
    <w:rsid w:val="00FD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9FC2"/>
  <w15:chartTrackingRefBased/>
  <w15:docId w15:val="{AA899FB5-4B2F-4E2B-8AEE-3CDA9499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01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F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FC8"/>
    <w:rPr>
      <w:b/>
      <w:bCs/>
    </w:rPr>
  </w:style>
  <w:style w:type="character" w:customStyle="1" w:styleId="Heading2Char">
    <w:name w:val="Heading 2 Char"/>
    <w:basedOn w:val="DefaultParagraphFont"/>
    <w:link w:val="Heading2"/>
    <w:uiPriority w:val="9"/>
    <w:semiHidden/>
    <w:rsid w:val="00A012C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A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880">
      <w:bodyDiv w:val="1"/>
      <w:marLeft w:val="0"/>
      <w:marRight w:val="0"/>
      <w:marTop w:val="0"/>
      <w:marBottom w:val="0"/>
      <w:divBdr>
        <w:top w:val="none" w:sz="0" w:space="0" w:color="auto"/>
        <w:left w:val="none" w:sz="0" w:space="0" w:color="auto"/>
        <w:bottom w:val="none" w:sz="0" w:space="0" w:color="auto"/>
        <w:right w:val="none" w:sz="0" w:space="0" w:color="auto"/>
      </w:divBdr>
    </w:div>
    <w:div w:id="116611742">
      <w:bodyDiv w:val="1"/>
      <w:marLeft w:val="0"/>
      <w:marRight w:val="0"/>
      <w:marTop w:val="0"/>
      <w:marBottom w:val="0"/>
      <w:divBdr>
        <w:top w:val="none" w:sz="0" w:space="0" w:color="auto"/>
        <w:left w:val="none" w:sz="0" w:space="0" w:color="auto"/>
        <w:bottom w:val="none" w:sz="0" w:space="0" w:color="auto"/>
        <w:right w:val="none" w:sz="0" w:space="0" w:color="auto"/>
      </w:divBdr>
    </w:div>
    <w:div w:id="428745520">
      <w:bodyDiv w:val="1"/>
      <w:marLeft w:val="0"/>
      <w:marRight w:val="0"/>
      <w:marTop w:val="0"/>
      <w:marBottom w:val="0"/>
      <w:divBdr>
        <w:top w:val="none" w:sz="0" w:space="0" w:color="auto"/>
        <w:left w:val="none" w:sz="0" w:space="0" w:color="auto"/>
        <w:bottom w:val="none" w:sz="0" w:space="0" w:color="auto"/>
        <w:right w:val="none" w:sz="0" w:space="0" w:color="auto"/>
      </w:divBdr>
    </w:div>
    <w:div w:id="691732906">
      <w:bodyDiv w:val="1"/>
      <w:marLeft w:val="0"/>
      <w:marRight w:val="0"/>
      <w:marTop w:val="0"/>
      <w:marBottom w:val="0"/>
      <w:divBdr>
        <w:top w:val="none" w:sz="0" w:space="0" w:color="auto"/>
        <w:left w:val="none" w:sz="0" w:space="0" w:color="auto"/>
        <w:bottom w:val="none" w:sz="0" w:space="0" w:color="auto"/>
        <w:right w:val="none" w:sz="0" w:space="0" w:color="auto"/>
      </w:divBdr>
    </w:div>
    <w:div w:id="793671542">
      <w:bodyDiv w:val="1"/>
      <w:marLeft w:val="0"/>
      <w:marRight w:val="0"/>
      <w:marTop w:val="0"/>
      <w:marBottom w:val="0"/>
      <w:divBdr>
        <w:top w:val="none" w:sz="0" w:space="0" w:color="auto"/>
        <w:left w:val="none" w:sz="0" w:space="0" w:color="auto"/>
        <w:bottom w:val="none" w:sz="0" w:space="0" w:color="auto"/>
        <w:right w:val="none" w:sz="0" w:space="0" w:color="auto"/>
      </w:divBdr>
    </w:div>
    <w:div w:id="949509828">
      <w:bodyDiv w:val="1"/>
      <w:marLeft w:val="0"/>
      <w:marRight w:val="0"/>
      <w:marTop w:val="0"/>
      <w:marBottom w:val="0"/>
      <w:divBdr>
        <w:top w:val="none" w:sz="0" w:space="0" w:color="auto"/>
        <w:left w:val="none" w:sz="0" w:space="0" w:color="auto"/>
        <w:bottom w:val="none" w:sz="0" w:space="0" w:color="auto"/>
        <w:right w:val="none" w:sz="0" w:space="0" w:color="auto"/>
      </w:divBdr>
    </w:div>
    <w:div w:id="1070925581">
      <w:bodyDiv w:val="1"/>
      <w:marLeft w:val="0"/>
      <w:marRight w:val="0"/>
      <w:marTop w:val="0"/>
      <w:marBottom w:val="0"/>
      <w:divBdr>
        <w:top w:val="none" w:sz="0" w:space="0" w:color="auto"/>
        <w:left w:val="none" w:sz="0" w:space="0" w:color="auto"/>
        <w:bottom w:val="none" w:sz="0" w:space="0" w:color="auto"/>
        <w:right w:val="none" w:sz="0" w:space="0" w:color="auto"/>
      </w:divBdr>
    </w:div>
    <w:div w:id="1095132041">
      <w:bodyDiv w:val="1"/>
      <w:marLeft w:val="0"/>
      <w:marRight w:val="0"/>
      <w:marTop w:val="0"/>
      <w:marBottom w:val="0"/>
      <w:divBdr>
        <w:top w:val="none" w:sz="0" w:space="0" w:color="auto"/>
        <w:left w:val="none" w:sz="0" w:space="0" w:color="auto"/>
        <w:bottom w:val="none" w:sz="0" w:space="0" w:color="auto"/>
        <w:right w:val="none" w:sz="0" w:space="0" w:color="auto"/>
      </w:divBdr>
    </w:div>
    <w:div w:id="1192840727">
      <w:bodyDiv w:val="1"/>
      <w:marLeft w:val="0"/>
      <w:marRight w:val="0"/>
      <w:marTop w:val="0"/>
      <w:marBottom w:val="0"/>
      <w:divBdr>
        <w:top w:val="none" w:sz="0" w:space="0" w:color="auto"/>
        <w:left w:val="none" w:sz="0" w:space="0" w:color="auto"/>
        <w:bottom w:val="none" w:sz="0" w:space="0" w:color="auto"/>
        <w:right w:val="none" w:sz="0" w:space="0" w:color="auto"/>
      </w:divBdr>
    </w:div>
    <w:div w:id="1275289127">
      <w:bodyDiv w:val="1"/>
      <w:marLeft w:val="0"/>
      <w:marRight w:val="0"/>
      <w:marTop w:val="0"/>
      <w:marBottom w:val="0"/>
      <w:divBdr>
        <w:top w:val="none" w:sz="0" w:space="0" w:color="auto"/>
        <w:left w:val="none" w:sz="0" w:space="0" w:color="auto"/>
        <w:bottom w:val="none" w:sz="0" w:space="0" w:color="auto"/>
        <w:right w:val="none" w:sz="0" w:space="0" w:color="auto"/>
      </w:divBdr>
    </w:div>
    <w:div w:id="1337421967">
      <w:bodyDiv w:val="1"/>
      <w:marLeft w:val="0"/>
      <w:marRight w:val="0"/>
      <w:marTop w:val="0"/>
      <w:marBottom w:val="0"/>
      <w:divBdr>
        <w:top w:val="none" w:sz="0" w:space="0" w:color="auto"/>
        <w:left w:val="none" w:sz="0" w:space="0" w:color="auto"/>
        <w:bottom w:val="none" w:sz="0" w:space="0" w:color="auto"/>
        <w:right w:val="none" w:sz="0" w:space="0" w:color="auto"/>
      </w:divBdr>
    </w:div>
    <w:div w:id="1551578735">
      <w:bodyDiv w:val="1"/>
      <w:marLeft w:val="0"/>
      <w:marRight w:val="0"/>
      <w:marTop w:val="0"/>
      <w:marBottom w:val="0"/>
      <w:divBdr>
        <w:top w:val="none" w:sz="0" w:space="0" w:color="auto"/>
        <w:left w:val="none" w:sz="0" w:space="0" w:color="auto"/>
        <w:bottom w:val="none" w:sz="0" w:space="0" w:color="auto"/>
        <w:right w:val="none" w:sz="0" w:space="0" w:color="auto"/>
      </w:divBdr>
      <w:divsChild>
        <w:div w:id="368723165">
          <w:marLeft w:val="0"/>
          <w:marRight w:val="0"/>
          <w:marTop w:val="0"/>
          <w:marBottom w:val="0"/>
          <w:divBdr>
            <w:top w:val="none" w:sz="0" w:space="0" w:color="auto"/>
            <w:left w:val="none" w:sz="0" w:space="0" w:color="auto"/>
            <w:bottom w:val="none" w:sz="0" w:space="0" w:color="auto"/>
            <w:right w:val="none" w:sz="0" w:space="0" w:color="auto"/>
          </w:divBdr>
          <w:divsChild>
            <w:div w:id="399058777">
              <w:marLeft w:val="0"/>
              <w:marRight w:val="0"/>
              <w:marTop w:val="0"/>
              <w:marBottom w:val="0"/>
              <w:divBdr>
                <w:top w:val="none" w:sz="0" w:space="0" w:color="auto"/>
                <w:left w:val="none" w:sz="0" w:space="0" w:color="auto"/>
                <w:bottom w:val="none" w:sz="0" w:space="0" w:color="auto"/>
                <w:right w:val="none" w:sz="0" w:space="0" w:color="auto"/>
              </w:divBdr>
              <w:divsChild>
                <w:div w:id="519126434">
                  <w:marLeft w:val="0"/>
                  <w:marRight w:val="0"/>
                  <w:marTop w:val="0"/>
                  <w:marBottom w:val="0"/>
                  <w:divBdr>
                    <w:top w:val="none" w:sz="0" w:space="0" w:color="auto"/>
                    <w:left w:val="none" w:sz="0" w:space="0" w:color="auto"/>
                    <w:bottom w:val="none" w:sz="0" w:space="0" w:color="auto"/>
                    <w:right w:val="none" w:sz="0" w:space="0" w:color="auto"/>
                  </w:divBdr>
                  <w:divsChild>
                    <w:div w:id="1624775639">
                      <w:marLeft w:val="0"/>
                      <w:marRight w:val="0"/>
                      <w:marTop w:val="0"/>
                      <w:marBottom w:val="0"/>
                      <w:divBdr>
                        <w:top w:val="none" w:sz="0" w:space="0" w:color="auto"/>
                        <w:left w:val="none" w:sz="0" w:space="0" w:color="auto"/>
                        <w:bottom w:val="none" w:sz="0" w:space="0" w:color="auto"/>
                        <w:right w:val="none" w:sz="0" w:space="0" w:color="auto"/>
                      </w:divBdr>
                      <w:divsChild>
                        <w:div w:id="1136071257">
                          <w:marLeft w:val="0"/>
                          <w:marRight w:val="0"/>
                          <w:marTop w:val="0"/>
                          <w:marBottom w:val="0"/>
                          <w:divBdr>
                            <w:top w:val="none" w:sz="0" w:space="0" w:color="auto"/>
                            <w:left w:val="none" w:sz="0" w:space="0" w:color="auto"/>
                            <w:bottom w:val="none" w:sz="0" w:space="0" w:color="auto"/>
                            <w:right w:val="none" w:sz="0" w:space="0" w:color="auto"/>
                          </w:divBdr>
                          <w:divsChild>
                            <w:div w:id="160239816">
                              <w:marLeft w:val="0"/>
                              <w:marRight w:val="0"/>
                              <w:marTop w:val="0"/>
                              <w:marBottom w:val="0"/>
                              <w:divBdr>
                                <w:top w:val="none" w:sz="0" w:space="0" w:color="auto"/>
                                <w:left w:val="none" w:sz="0" w:space="0" w:color="auto"/>
                                <w:bottom w:val="none" w:sz="0" w:space="0" w:color="auto"/>
                                <w:right w:val="none" w:sz="0" w:space="0" w:color="auto"/>
                              </w:divBdr>
                              <w:divsChild>
                                <w:div w:id="7054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7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2530</TotalTime>
  <Pages>13</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RINGROW</cp:lastModifiedBy>
  <cp:revision>11</cp:revision>
  <dcterms:created xsi:type="dcterms:W3CDTF">2026-04-07T23:10:00Z</dcterms:created>
  <dcterms:modified xsi:type="dcterms:W3CDTF">2026-04-12T21:46:00Z</dcterms:modified>
</cp:coreProperties>
</file>