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29DD" w14:textId="3CA7612A" w:rsidR="00546437" w:rsidRPr="009D631C" w:rsidRDefault="002619F8" w:rsidP="00E8549C">
      <w:pPr>
        <w:spacing w:after="0" w:line="240" w:lineRule="auto"/>
        <w:jc w:val="center"/>
        <w:rPr>
          <w:rFonts w:ascii="Times New Roman" w:hAnsi="Times New Roman" w:cs="Times New Roman"/>
          <w:b/>
          <w:bCs/>
          <w:color w:val="343541"/>
          <w:sz w:val="36"/>
          <w:szCs w:val="36"/>
        </w:rPr>
      </w:pPr>
      <w:r w:rsidRPr="009D631C">
        <w:rPr>
          <w:rFonts w:ascii="Times New Roman" w:hAnsi="Times New Roman" w:cs="Times New Roman"/>
          <w:b/>
          <w:bCs/>
          <w:color w:val="343541"/>
          <w:sz w:val="36"/>
          <w:szCs w:val="36"/>
        </w:rPr>
        <w:t>Climate-Smart Housing Strategies for Sustainable Urban Development in Nigeria: A PRISMA-Based Review of the Architect’s Integrative Role</w:t>
      </w:r>
    </w:p>
    <w:p w14:paraId="15E78624" w14:textId="0F61E9FE" w:rsidR="00F20C99" w:rsidRPr="00F15B2A" w:rsidRDefault="00F20C99" w:rsidP="00E8549C">
      <w:pPr>
        <w:spacing w:before="240" w:after="0" w:line="240" w:lineRule="auto"/>
        <w:jc w:val="center"/>
        <w:rPr>
          <w:rFonts w:ascii="Times New Roman" w:hAnsi="Times New Roman" w:cs="Times New Roman"/>
          <w:b/>
          <w:color w:val="000000" w:themeColor="text1"/>
          <w:lang w:val="fi-FI"/>
        </w:rPr>
      </w:pPr>
      <w:r w:rsidRPr="00F15B2A">
        <w:rPr>
          <w:rFonts w:ascii="Times New Roman" w:hAnsi="Times New Roman"/>
          <w:b/>
          <w:color w:val="000000" w:themeColor="text1"/>
          <w:lang w:val="fi-FI"/>
        </w:rPr>
        <w:t>Tajudeen O. AJAYI</w:t>
      </w:r>
      <w:r w:rsidRPr="00F15B2A">
        <w:rPr>
          <w:rFonts w:ascii="Times New Roman" w:hAnsi="Times New Roman"/>
          <w:b/>
          <w:color w:val="000000" w:themeColor="text1"/>
          <w:vertAlign w:val="superscript"/>
          <w:lang w:val="fi-FI"/>
        </w:rPr>
        <w:t>1</w:t>
      </w:r>
      <w:r w:rsidR="00EE4224">
        <w:rPr>
          <w:rFonts w:ascii="Times New Roman" w:hAnsi="Times New Roman"/>
          <w:b/>
          <w:color w:val="000000" w:themeColor="text1"/>
          <w:vertAlign w:val="superscript"/>
          <w:lang w:val="fi-FI"/>
        </w:rPr>
        <w:t>*</w:t>
      </w:r>
      <w:r w:rsidRPr="00F15B2A">
        <w:rPr>
          <w:rFonts w:ascii="Times New Roman" w:hAnsi="Times New Roman"/>
          <w:b/>
          <w:color w:val="000000" w:themeColor="text1"/>
          <w:lang w:val="fi-FI"/>
        </w:rPr>
        <w:t xml:space="preserve">; </w:t>
      </w:r>
      <w:r w:rsidRPr="00F15B2A">
        <w:rPr>
          <w:rFonts w:ascii="Times New Roman" w:hAnsi="Times New Roman" w:cs="Times New Roman"/>
          <w:b/>
          <w:color w:val="000000" w:themeColor="text1"/>
          <w:lang w:val="fi-FI"/>
        </w:rPr>
        <w:t>Tope S. AYODELE</w:t>
      </w:r>
      <w:r w:rsidRPr="00F15B2A">
        <w:rPr>
          <w:rFonts w:ascii="Times New Roman" w:hAnsi="Times New Roman" w:cs="Times New Roman"/>
          <w:b/>
          <w:color w:val="000000" w:themeColor="text1"/>
          <w:vertAlign w:val="superscript"/>
          <w:lang w:val="fi-FI"/>
        </w:rPr>
        <w:t>2</w:t>
      </w:r>
      <w:r w:rsidRPr="00F15B2A">
        <w:rPr>
          <w:rFonts w:ascii="Times New Roman" w:hAnsi="Times New Roman" w:cs="Times New Roman"/>
          <w:b/>
          <w:color w:val="000000" w:themeColor="text1"/>
          <w:lang w:val="fi-FI"/>
        </w:rPr>
        <w:t>; Harrison E. OKULA</w:t>
      </w:r>
      <w:r w:rsidRPr="00F15B2A">
        <w:rPr>
          <w:rFonts w:ascii="Times New Roman" w:hAnsi="Times New Roman" w:cs="Times New Roman"/>
          <w:b/>
          <w:color w:val="000000" w:themeColor="text1"/>
          <w:vertAlign w:val="superscript"/>
          <w:lang w:val="fi-FI"/>
        </w:rPr>
        <w:t>3</w:t>
      </w:r>
    </w:p>
    <w:p w14:paraId="55748BD9" w14:textId="08AEF90C" w:rsidR="006D70FD" w:rsidRPr="00F15B2A" w:rsidRDefault="006D70FD" w:rsidP="00E8549C">
      <w:pPr>
        <w:spacing w:before="240" w:after="0" w:line="240" w:lineRule="auto"/>
        <w:jc w:val="center"/>
        <w:rPr>
          <w:rFonts w:ascii="Times New Roman" w:hAnsi="Times New Roman"/>
          <w:color w:val="000000"/>
          <w:lang w:val="en-US"/>
        </w:rPr>
      </w:pPr>
      <w:r w:rsidRPr="00F15B2A">
        <w:rPr>
          <w:rFonts w:ascii="Times New Roman" w:hAnsi="Times New Roman"/>
          <w:color w:val="000000" w:themeColor="text1"/>
          <w:vertAlign w:val="superscript"/>
        </w:rPr>
        <w:t xml:space="preserve">1, </w:t>
      </w:r>
      <w:r w:rsidR="00BA3853" w:rsidRPr="00F15B2A">
        <w:rPr>
          <w:rFonts w:ascii="Times New Roman" w:hAnsi="Times New Roman"/>
          <w:color w:val="000000" w:themeColor="text1"/>
          <w:vertAlign w:val="superscript"/>
        </w:rPr>
        <w:t xml:space="preserve">2, </w:t>
      </w:r>
      <w:r w:rsidRPr="00F15B2A">
        <w:rPr>
          <w:rFonts w:ascii="Times New Roman" w:hAnsi="Times New Roman"/>
          <w:color w:val="000000" w:themeColor="text1"/>
          <w:vertAlign w:val="superscript"/>
        </w:rPr>
        <w:t>3</w:t>
      </w:r>
      <w:r w:rsidRPr="00F15B2A">
        <w:rPr>
          <w:rFonts w:ascii="Times New Roman" w:hAnsi="Times New Roman"/>
          <w:color w:val="000000" w:themeColor="text1"/>
        </w:rPr>
        <w:t>Department of Architectural Technology, Federal Polytechnic, Ado-Ekiti,</w:t>
      </w:r>
      <w:r w:rsidRPr="00F15B2A">
        <w:rPr>
          <w:rFonts w:ascii="Times New Roman" w:hAnsi="Times New Roman"/>
          <w:color w:val="000000" w:themeColor="text1"/>
          <w:lang w:val="en-US"/>
        </w:rPr>
        <w:t xml:space="preserve"> </w:t>
      </w:r>
      <w:r w:rsidRPr="00F15B2A">
        <w:rPr>
          <w:rFonts w:ascii="Times New Roman" w:hAnsi="Times New Roman"/>
          <w:color w:val="000000"/>
          <w:lang w:val="en-US"/>
        </w:rPr>
        <w:t>Nigeria</w:t>
      </w:r>
    </w:p>
    <w:p w14:paraId="17C59FDC" w14:textId="5F5E5BF2" w:rsidR="003B5E43" w:rsidRPr="00F15B2A" w:rsidRDefault="00EE4224" w:rsidP="00E8549C">
      <w:pPr>
        <w:spacing w:after="0" w:line="240" w:lineRule="auto"/>
        <w:jc w:val="center"/>
        <w:rPr>
          <w:rFonts w:ascii="Times New Roman" w:hAnsi="Times New Roman"/>
          <w:i/>
          <w:iCs/>
          <w:color w:val="000000" w:themeColor="text1"/>
        </w:rPr>
      </w:pPr>
      <w:r>
        <w:rPr>
          <w:rFonts w:ascii="Times New Roman" w:hAnsi="Times New Roman" w:cs="Times New Roman"/>
          <w:i/>
          <w:iCs/>
        </w:rPr>
        <w:t>*</w:t>
      </w:r>
      <w:r w:rsidR="006D70FD" w:rsidRPr="00F15B2A">
        <w:rPr>
          <w:rFonts w:ascii="Times New Roman" w:hAnsi="Times New Roman" w:cs="Times New Roman"/>
          <w:i/>
          <w:iCs/>
        </w:rPr>
        <w:t xml:space="preserve">Corresponding Author: ajayi_to@fedpolyado.edu.ng; </w:t>
      </w:r>
      <w:r w:rsidR="003B5E43" w:rsidRPr="00EE4224">
        <w:rPr>
          <w:rFonts w:ascii="Times New Roman" w:hAnsi="Times New Roman" w:cs="Times New Roman"/>
          <w:i/>
          <w:iCs/>
        </w:rPr>
        <w:t>arcteejay2009@gmail.com</w:t>
      </w:r>
      <w:r w:rsidR="003B5E43" w:rsidRPr="00F15B2A">
        <w:rPr>
          <w:rFonts w:ascii="Times New Roman" w:hAnsi="Times New Roman"/>
          <w:i/>
          <w:iCs/>
          <w:color w:val="000000" w:themeColor="text1"/>
        </w:rPr>
        <w:t xml:space="preserve"> </w:t>
      </w:r>
    </w:p>
    <w:p w14:paraId="41D0954B" w14:textId="0769BE3E" w:rsidR="003E0FD6" w:rsidRPr="00734C3D" w:rsidRDefault="00734C3D" w:rsidP="00915236">
      <w:pPr>
        <w:spacing w:before="240" w:after="240" w:line="240" w:lineRule="auto"/>
        <w:jc w:val="both"/>
        <w:rPr>
          <w:rFonts w:ascii="Times New Roman" w:hAnsi="Times New Roman" w:cs="Times New Roman"/>
          <w:b/>
          <w:bCs/>
          <w:sz w:val="28"/>
          <w:szCs w:val="28"/>
          <w:lang w:val="en-NG"/>
        </w:rPr>
      </w:pPr>
      <w:r w:rsidRPr="00734C3D">
        <w:rPr>
          <w:rFonts w:ascii="Times New Roman" w:hAnsi="Times New Roman" w:cs="Times New Roman"/>
          <w:b/>
          <w:bCs/>
          <w:sz w:val="28"/>
          <w:szCs w:val="28"/>
          <w:lang w:val="en-NG"/>
        </w:rPr>
        <w:t>ABSTRACT</w:t>
      </w:r>
    </w:p>
    <w:p w14:paraId="131AF1E6" w14:textId="2694E5C8" w:rsidR="00E05A48" w:rsidRPr="00441943" w:rsidRDefault="00530349" w:rsidP="00915236">
      <w:pPr>
        <w:spacing w:before="240" w:after="240" w:line="240" w:lineRule="auto"/>
        <w:jc w:val="both"/>
        <w:rPr>
          <w:rFonts w:ascii="Times New Roman" w:hAnsi="Times New Roman" w:cs="Times New Roman"/>
          <w:i/>
          <w:iCs/>
          <w:lang w:val="en-NG"/>
        </w:rPr>
      </w:pPr>
      <w:r w:rsidRPr="00530349">
        <w:rPr>
          <w:rFonts w:ascii="Times New Roman" w:hAnsi="Times New Roman" w:cs="Times New Roman"/>
          <w:i/>
          <w:iCs/>
        </w:rPr>
        <w:t>Climate change and rapid urbanisation are intensifying housing deficits and environmental pressures in Nigeria, necessitating a transition toward climate-smart housing systems. However, there is a lack of empirically validated architect-centred integration frameworks linking design, materials, and digital technologies. This study addresses this gap by adopting a PRISMA-based systematic review methodology, analysing 57 peer-reviewed journal articles (2016–2026) selected from an initial pool of 493 records, following PRISMA guidelines and supported by international policy reports. The study synthesises evidence across three core domains: passive design strategies, low-carbon materials, and digital technologies. Findings show that passive strategies reduce operational energy demand by 30–50%, low-carbon materials decrease embodied emissions by 30–40%, and digital technologies enhance construction efficiency and reduce waste by 15–25%. Inferential analysis using a Chi-square test (χ² = 0.94, p &gt; 0.05) indicates no statistically significant difference in thematic prominence, confirming that these strategies are complementary rather than hierarchically dominant. The results further reveal strong correlations between passive design and thermal comfort, low-carbon materials and emission reduction, and digital technologies and lifecycle optimisation. Despite these benefits, adoption remains constrained by institutional inefficiencies, financial limitations, and technical capacity gaps. The study establishes the architect as a system integrator within socio-technical housing systems, capable of aligning environmental performance, material innovation, and technological application. It concludes that architect-led, interdisciplinary, and policy-supported approaches are essential for scaling climate-smart housing and achieving sustainable urban transformation</w:t>
      </w:r>
      <w:r w:rsidR="00E05A48" w:rsidRPr="00441943">
        <w:rPr>
          <w:rFonts w:ascii="Times New Roman" w:hAnsi="Times New Roman" w:cs="Times New Roman"/>
          <w:i/>
          <w:iCs/>
          <w:lang w:val="en-NG"/>
        </w:rPr>
        <w:t>.</w:t>
      </w:r>
    </w:p>
    <w:p w14:paraId="0BBECCF0" w14:textId="67349407" w:rsidR="00E05A48" w:rsidRPr="00E05A48" w:rsidRDefault="00E05A48" w:rsidP="00915236">
      <w:pPr>
        <w:spacing w:before="240" w:after="240" w:line="240" w:lineRule="auto"/>
        <w:jc w:val="both"/>
        <w:rPr>
          <w:rFonts w:ascii="Times New Roman" w:hAnsi="Times New Roman" w:cs="Times New Roman"/>
          <w:i/>
          <w:iCs/>
          <w:lang w:val="en-NG"/>
        </w:rPr>
      </w:pPr>
      <w:r w:rsidRPr="00E05A48">
        <w:rPr>
          <w:rFonts w:ascii="Times New Roman" w:hAnsi="Times New Roman" w:cs="Times New Roman"/>
          <w:b/>
          <w:bCs/>
          <w:i/>
          <w:iCs/>
          <w:lang w:val="en-NG"/>
        </w:rPr>
        <w:t>Keywords:</w:t>
      </w:r>
      <w:r w:rsidRPr="00E05A48">
        <w:rPr>
          <w:rFonts w:ascii="Times New Roman" w:hAnsi="Times New Roman" w:cs="Times New Roman"/>
          <w:i/>
          <w:iCs/>
          <w:lang w:val="en-NG"/>
        </w:rPr>
        <w:t xml:space="preserve"> </w:t>
      </w:r>
      <w:r w:rsidR="00F26B65" w:rsidRPr="00F26B65">
        <w:rPr>
          <w:rFonts w:ascii="Times New Roman" w:hAnsi="Times New Roman" w:cs="Times New Roman"/>
          <w:i/>
          <w:iCs/>
        </w:rPr>
        <w:t>Climate-smart housing; Sustainable urban development; Architect-led integration; Low-carbon construction</w:t>
      </w:r>
      <w:r w:rsidR="00FA708A">
        <w:rPr>
          <w:rFonts w:ascii="Times New Roman" w:hAnsi="Times New Roman" w:cs="Times New Roman"/>
          <w:i/>
          <w:iCs/>
        </w:rPr>
        <w:t xml:space="preserve">; </w:t>
      </w:r>
      <w:r w:rsidR="00F26B65" w:rsidRPr="00F26B65">
        <w:rPr>
          <w:rFonts w:ascii="Times New Roman" w:hAnsi="Times New Roman" w:cs="Times New Roman"/>
          <w:i/>
          <w:iCs/>
        </w:rPr>
        <w:t>Nigeria</w:t>
      </w:r>
    </w:p>
    <w:p w14:paraId="5ED911C7" w14:textId="7586457C" w:rsidR="0022350E" w:rsidRPr="00734C3D" w:rsidRDefault="00734C3D" w:rsidP="00915236">
      <w:pPr>
        <w:spacing w:before="240" w:after="240" w:line="240" w:lineRule="auto"/>
        <w:jc w:val="both"/>
        <w:rPr>
          <w:rFonts w:ascii="Times New Roman" w:hAnsi="Times New Roman" w:cs="Times New Roman"/>
          <w:b/>
          <w:bCs/>
          <w:sz w:val="28"/>
          <w:szCs w:val="28"/>
          <w:lang w:val="en-NG"/>
        </w:rPr>
      </w:pPr>
      <w:r w:rsidRPr="00734C3D">
        <w:rPr>
          <w:rFonts w:ascii="Times New Roman" w:hAnsi="Times New Roman" w:cs="Times New Roman"/>
          <w:b/>
          <w:bCs/>
          <w:sz w:val="28"/>
          <w:szCs w:val="28"/>
          <w:lang w:val="en-NG"/>
        </w:rPr>
        <w:t>1.0 INTRODUCTION</w:t>
      </w:r>
    </w:p>
    <w:p w14:paraId="178911DA" w14:textId="77777777"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Rapid urbanisation and climate change have emerged as defining global challenges, with profound implications for housing delivery systems, particularly in developing countries such as Nigeria. Globally, over 55% of the population resides in urban areas, with projections indicating an increase to nearly 70% by 2050, thereby intensifying pressure on housing infrastructure and urban services (United Nations, 2019; Aliyu &amp; Amadu, 2017; Koko et al., 2021; Li et al., 2022). In Nigeria, major urban centres such as Lagos, Abuja, and Ibadan are experiencing accelerated spatial expansion, leading to acute housing shortages, proliferation of informal settlements, and escalating environmental degradation (World Bank, 2021; Auwalu &amp; Bello, 2023; Umar et al., 2024). Current estimates place the housing deficit at over 17 million units, underscoring the urgency for innovative and sustainable solutions (Ewurum et al., 2020; Adedeji et al., 2023; Olubi &amp; Aseyan, 2022; Garba et al., 2024).</w:t>
      </w:r>
    </w:p>
    <w:p w14:paraId="007E95DE" w14:textId="77777777"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 xml:space="preserve">The built environment significantly contributes to global environmental pressures, accounting for approximately 36% of energy consumption and 37% of greenhouse gas emissions (UNEP, 2022; IPCC, 2022; Andersen et al., 2020). In Nigeria, conventional construction practices rely heavily on carbon-intensive materials such as cement, steel, and sandcrete blocks, leading to high embodied energy and emissions (Taffese &amp; Abegaz, 2019; Chen et al., 2021; Nwagwu et al., 2024). Additionally, many buildings are poorly adapted to local climatic conditions, resulting in excessive reliance on mechanical cooling and reduced indoor comfort </w:t>
      </w:r>
      <w:r w:rsidRPr="00A21521">
        <w:rPr>
          <w:rFonts w:ascii="Times New Roman" w:hAnsi="Times New Roman" w:cs="Times New Roman"/>
          <w:lang w:val="en-NG"/>
        </w:rPr>
        <w:lastRenderedPageBreak/>
        <w:t>(Dorcas &amp; Pourvahidi, 2020; Jega &amp; Al-Din, 2023; Oluwatayo &amp; Miracle, 2025). These challenges necessitate a transition towards climate-responsive and low-carbon housing systems.</w:t>
      </w:r>
    </w:p>
    <w:p w14:paraId="13480592" w14:textId="77777777"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An integrated approach has therefore emerged that aligns environmental sustainability, energy efficiency, and resilience within housing delivery. This approach incorporates passive design strategies, low-carbon material utilisation, and digital technologies to optimise building performance (Chel &amp; Kaushik, 2018; Makhloufi, 2024; Listerborn, 2025; Baesse, 2025). Passive strategies, including natural ventilation, solar orientation, shading, and thermal mass, have been widely recognised for improving indoor comfort and reducing energy demand in tropical climates (Kerdan et al., 2019; Chen et al., 2020; Danjuma et al., 2025). Empirical studies in Nigeria show that passive cooling can significantly reduce reliance on air conditioning, thereby lowering operational energy consumption and emissions (Inusa &amp; Alibaba, 2017; Ibrahim et al., 2024; Rasheed et al., 2024; Zoure &amp; Genovese, 2022). The integration of biophilic and vernacular design further enhances climate responsiveness and occupant well-being (Kalu &amp; Ogunnaike, 2025; Jega &amp; Al-Din, 2023).</w:t>
      </w:r>
    </w:p>
    <w:p w14:paraId="4D0A740D" w14:textId="77777777"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Material selection is equally critical in determining environmental performance. Conventional materials are associated with high embodied carbon, prompting increasing adoption of alternatives such as compressed stabilised earth blocks, laterite, and bamboo (Joshua et al., 2017; Obaje et al., 2022; Asha Sapna &amp; Anbalagan, 2023). These materials reduce environmental impact while improving affordability and supporting local economies. In addition, circular construction practices, including reuse and recycling, enhance resource efficiency and minimise waste (Ogunmakinde et al., 2019; Abdullahi et al., 2023; Unegbu et al., 2025).</w:t>
      </w:r>
    </w:p>
    <w:p w14:paraId="2512FD0A" w14:textId="77777777"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Digital technologies are further transforming housing design and delivery. Tools such as Building Information Modelling (BIM), Geographic Information Systems (GIS), and digital twins enable improved design coordination, lifecycle assessment, and resource optimisation (Soust-Verdaguer et al., 2023; Namaki et al., 2024; Piras et al., 2024; Şenol &amp; Gökgöz, 2024). In Nigeria, BIM adoption has shown potential to improve project efficiency and sustainability performance, although uptake remains constrained by technical and institutional limitations (Okereke et al., 2021; Uduokhai et al., 2023; Olugboyega et al., 2023; Alabi et al., 2026). Integration with life cycle assessment further strengthens evidence-based decision-making in design processes.</w:t>
      </w:r>
    </w:p>
    <w:p w14:paraId="6482306A" w14:textId="77777777"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Despite this growing body of knowledge, several barriers continue to hinder widespread adoption in Nigeria. These include high initial costs, weak policy enforcement, limited stakeholder awareness, and resistance to innovation within the construction industry (Osuizugbo et al., 2020; Oluleye et al., 2021; Erifeta, 2025). Furthermore, a persistent gap exists between research and practical implementation, particularly in large-scale housing projects where cost considerations often override sustainability priorities (Saidu &amp; Yeom, 2020; Ezeokoli et al., 2025; Oke et al., 2025). These constraints highlight the need for integrative approaches that bridge the divide between knowledge and practice.</w:t>
      </w:r>
    </w:p>
    <w:p w14:paraId="71882CCB" w14:textId="77777777"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Within this context, the role of the architect becomes central. Architects act as coordinators of design, material selection, and technological application, enabling the integration of these strategies into cohesive housing systems. Contemporary practice increasingly emphasises sustainability-driven design thinking and interdisciplinary collaboration, reinforcing the architect’s capacity to translate global frameworks into locally relevant solutions (Mba et al., 2024). This integrative role is particularly critical in Nigeria, where systemic inefficiencies and capacity gaps often limit effective implementation.</w:t>
      </w:r>
    </w:p>
    <w:p w14:paraId="102B633B" w14:textId="77777777"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Education and capacity building further reinforce this role. Polytechnic institutions and architectural training programmes provide essential platforms for developing competencies in sustainable design and digital technologies (Jogana et al., 2020; Marcel-Okafor &amp; Okafor, 2020, 2021; Mukhtar et al., 2022; Yusuf et al., 2025). By embedding sustainability principles into curricula and promoting interdisciplinary collaboration, these institutions can enhance future professionals' ability to deliver responsive housing solutions. International organisations also reinforce this direction, with UNEP (2022) and IPCC (2022) emphasising the need to decarbonise the built environment and promote resilient housing systems.</w:t>
      </w:r>
    </w:p>
    <w:p w14:paraId="6B8A8F18" w14:textId="6FF91EFD"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lastRenderedPageBreak/>
        <w:t xml:space="preserve">While prior studies examine individual strategies, </w:t>
      </w:r>
      <w:r w:rsidR="005D2EFF">
        <w:rPr>
          <w:rFonts w:ascii="Times New Roman" w:hAnsi="Times New Roman" w:cs="Times New Roman"/>
          <w:lang w:val="en-NG"/>
        </w:rPr>
        <w:t xml:space="preserve">few empirically validated integrative frameworks </w:t>
      </w:r>
      <w:r w:rsidR="005C274F">
        <w:rPr>
          <w:rFonts w:ascii="Times New Roman" w:hAnsi="Times New Roman" w:cs="Times New Roman"/>
          <w:lang w:val="en-NG"/>
        </w:rPr>
        <w:t>position</w:t>
      </w:r>
      <w:r w:rsidRPr="00A21521">
        <w:rPr>
          <w:rFonts w:ascii="Times New Roman" w:hAnsi="Times New Roman" w:cs="Times New Roman"/>
          <w:lang w:val="en-NG"/>
        </w:rPr>
        <w:t xml:space="preserve"> the architect as the coordinating agent linking environmental performance, material systems, and digital processes. Furthermore, limited research explicitly explores how architects can drive the adoption and scaling of such approaches in Nigeria. This study addresses these gaps by synthesising evidence from 57 peer-reviewed journal articles and supporting international reports.</w:t>
      </w:r>
    </w:p>
    <w:p w14:paraId="3DA0828E" w14:textId="77777777"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This study is anchored in ecological modernisation and socio-technical transitions theories, which emphasise the role of technological innovation, institutional reform, and actor coordination in achieving sustainability transitions within the built environment. These perspectives provide a foundation for understanding how architects can integrate design strategies, material systems, and digital technologies to drive low-carbon and resilient housing delivery.</w:t>
      </w:r>
    </w:p>
    <w:p w14:paraId="51BD5EB9" w14:textId="77777777" w:rsidR="00A21521" w:rsidRPr="00A21521"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Accordingly, the study is guided by the following research questions: RQ1: How do passive design strategies influence energy performance? RQ2: What is the impact of low-carbon materials on embodied emissions? RQ3: How do digital technologies improve housing delivery efficiency? RQ4: How can architects integrate these strategies into a unified framework?</w:t>
      </w:r>
    </w:p>
    <w:p w14:paraId="2C8564CA" w14:textId="76619873" w:rsidR="0022350E" w:rsidRPr="00892069" w:rsidRDefault="00A21521" w:rsidP="00915236">
      <w:pPr>
        <w:spacing w:before="240" w:after="240" w:line="240" w:lineRule="auto"/>
        <w:jc w:val="both"/>
        <w:rPr>
          <w:rFonts w:ascii="Times New Roman" w:hAnsi="Times New Roman" w:cs="Times New Roman"/>
          <w:lang w:val="en-NG"/>
        </w:rPr>
      </w:pPr>
      <w:r w:rsidRPr="00A21521">
        <w:rPr>
          <w:rFonts w:ascii="Times New Roman" w:hAnsi="Times New Roman" w:cs="Times New Roman"/>
          <w:lang w:val="en-NG"/>
        </w:rPr>
        <w:t>This study contributes empirically through quantitative synthesis, theoretically by advancing an architect-centred integration model, methodologically through PRISMA-based review with inferential validation, and practically by providing policy and design insights. By positioning the architect as a key agent of integration, this approach advances low-carbon, resilient housing delivery as a viable pathway to addressing Nigeria’s housing deficit while promoting environmental sustainability and urban resilience</w:t>
      </w:r>
      <w:r w:rsidR="0022350E" w:rsidRPr="00892069">
        <w:rPr>
          <w:rFonts w:ascii="Times New Roman" w:hAnsi="Times New Roman" w:cs="Times New Roman"/>
          <w:lang w:val="en-NG"/>
        </w:rPr>
        <w:t>.</w:t>
      </w:r>
    </w:p>
    <w:p w14:paraId="7FD7AD00" w14:textId="723F2577" w:rsidR="00DE36B3" w:rsidRPr="00734C3D" w:rsidRDefault="00734C3D" w:rsidP="00915236">
      <w:pPr>
        <w:spacing w:before="240" w:after="240" w:line="240" w:lineRule="auto"/>
        <w:jc w:val="both"/>
        <w:rPr>
          <w:rFonts w:ascii="Times New Roman" w:hAnsi="Times New Roman" w:cs="Times New Roman"/>
          <w:b/>
          <w:bCs/>
          <w:sz w:val="28"/>
          <w:szCs w:val="28"/>
          <w:lang w:val="en-NG"/>
        </w:rPr>
      </w:pPr>
      <w:r w:rsidRPr="00734C3D">
        <w:rPr>
          <w:rFonts w:ascii="Times New Roman" w:hAnsi="Times New Roman" w:cs="Times New Roman"/>
          <w:b/>
          <w:bCs/>
          <w:sz w:val="28"/>
          <w:szCs w:val="28"/>
          <w:lang w:val="en-NG"/>
        </w:rPr>
        <w:t>2.0 LITERATURE REVIEW</w:t>
      </w:r>
    </w:p>
    <w:p w14:paraId="1195CBB3" w14:textId="77777777" w:rsidR="001E2023" w:rsidRPr="001E2023" w:rsidRDefault="001E2023" w:rsidP="00915236">
      <w:pPr>
        <w:spacing w:before="240" w:after="240" w:line="240" w:lineRule="auto"/>
        <w:jc w:val="both"/>
        <w:rPr>
          <w:rFonts w:ascii="Times New Roman" w:hAnsi="Times New Roman" w:cs="Times New Roman"/>
          <w:b/>
          <w:bCs/>
          <w:lang w:val="en-NG"/>
        </w:rPr>
      </w:pPr>
      <w:r w:rsidRPr="001E2023">
        <w:rPr>
          <w:rFonts w:ascii="Times New Roman" w:hAnsi="Times New Roman" w:cs="Times New Roman"/>
          <w:b/>
          <w:bCs/>
          <w:lang w:val="en-NG"/>
        </w:rPr>
        <w:t>2.1 Conceptualising Climate-Smart Housing and the Architect’s Centrality</w:t>
      </w:r>
    </w:p>
    <w:p w14:paraId="4BE75D39" w14:textId="77777777" w:rsidR="004725E3" w:rsidRPr="004725E3" w:rsidRDefault="004725E3" w:rsidP="00915236">
      <w:pPr>
        <w:spacing w:before="240" w:after="240" w:line="240" w:lineRule="auto"/>
        <w:jc w:val="both"/>
        <w:rPr>
          <w:rFonts w:ascii="Times New Roman" w:hAnsi="Times New Roman" w:cs="Times New Roman"/>
          <w:lang w:val="en-NG"/>
        </w:rPr>
      </w:pPr>
      <w:r w:rsidRPr="004725E3">
        <w:rPr>
          <w:rFonts w:ascii="Times New Roman" w:hAnsi="Times New Roman" w:cs="Times New Roman"/>
          <w:lang w:val="en-NG"/>
        </w:rPr>
        <w:t>Climate-smart housing is increasingly framed as an integrative paradigm that aligns environmental sustainability, economic efficiency, and social inclusivity within the built environment. It draws from sustainable development principles and climate adaptation frameworks that advocate reduced emissions, improved resilience, and resource efficiency (UNEP, 2022; IPCC, 2022; Andersen et al., 2020). Within this paradigm, the architect assumes a pivotal role as the coordinator of design intelligence, material innovation, and environmental performance. While Mba et al. (2024) emphasise architects’ sustainability-driven practice, Makhloufi (2024) and Listerborn (2025) extend the debate towards smart and climate-responsive housing, indicating that architectural responsibility now combines design, technology, and social adaptation.</w:t>
      </w:r>
    </w:p>
    <w:p w14:paraId="2F4309E7" w14:textId="5CB9498F" w:rsidR="001E2023" w:rsidRPr="001E2023" w:rsidRDefault="004725E3" w:rsidP="00915236">
      <w:pPr>
        <w:spacing w:before="240" w:after="240" w:line="240" w:lineRule="auto"/>
        <w:jc w:val="both"/>
        <w:rPr>
          <w:rFonts w:ascii="Times New Roman" w:hAnsi="Times New Roman" w:cs="Times New Roman"/>
          <w:lang w:val="en-NG"/>
        </w:rPr>
      </w:pPr>
      <w:r w:rsidRPr="004725E3">
        <w:rPr>
          <w:rFonts w:ascii="Times New Roman" w:hAnsi="Times New Roman" w:cs="Times New Roman"/>
          <w:lang w:val="en-NG"/>
        </w:rPr>
        <w:t xml:space="preserve">Theoretically, this paradigm is supported by ecological modernisation theory, socio-technical transitions theory, and the sustainable development framework. These perspectives converge where architectural decisions directly influence energy use, emissions, and occupant well-being (Chel &amp; Kaushik, 2018; Baesse, 2025). However, their limitation </w:t>
      </w:r>
      <w:r w:rsidR="005D2EFF">
        <w:rPr>
          <w:rFonts w:ascii="Times New Roman" w:hAnsi="Times New Roman" w:cs="Times New Roman"/>
          <w:lang w:val="en-NG"/>
        </w:rPr>
        <w:t>is that they remain</w:t>
      </w:r>
      <w:r w:rsidRPr="004725E3">
        <w:rPr>
          <w:rFonts w:ascii="Times New Roman" w:hAnsi="Times New Roman" w:cs="Times New Roman"/>
          <w:lang w:val="en-NG"/>
        </w:rPr>
        <w:t xml:space="preserve"> abstract unless translated into context-sensitive design solutions. The International Energy Agency (2021) reinforces this through net-zero building pathways</w:t>
      </w:r>
      <w:r w:rsidR="001E2023" w:rsidRPr="001E2023">
        <w:rPr>
          <w:rFonts w:ascii="Times New Roman" w:hAnsi="Times New Roman" w:cs="Times New Roman"/>
          <w:lang w:val="en-NG"/>
        </w:rPr>
        <w:t>.</w:t>
      </w:r>
    </w:p>
    <w:p w14:paraId="39DF9FAF" w14:textId="77777777" w:rsidR="001E2023" w:rsidRPr="001E2023" w:rsidRDefault="001E2023" w:rsidP="00915236">
      <w:pPr>
        <w:spacing w:before="240" w:after="240" w:line="240" w:lineRule="auto"/>
        <w:jc w:val="both"/>
        <w:rPr>
          <w:rFonts w:ascii="Times New Roman" w:hAnsi="Times New Roman" w:cs="Times New Roman"/>
          <w:b/>
          <w:bCs/>
          <w:lang w:val="en-NG"/>
        </w:rPr>
      </w:pPr>
      <w:r w:rsidRPr="001E2023">
        <w:rPr>
          <w:rFonts w:ascii="Times New Roman" w:hAnsi="Times New Roman" w:cs="Times New Roman"/>
          <w:b/>
          <w:bCs/>
          <w:lang w:val="en-NG"/>
        </w:rPr>
        <w:t>2.2 Urbanisation Dynamics and Housing Challenges in Nigeria</w:t>
      </w:r>
    </w:p>
    <w:p w14:paraId="13085105"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Rapid urbanisation remains a defining driver of housing demand and environmental pressure in Nigeria. Studies agree that urban expansion is associated with land-use change, increased urban heat, and heightened climate risks (Koko et al., 2021; Li et al., 2022). Nigerian cities are further marked by unplanned growth, weak infrastructure, and informal settlements, which deepen sustainability challenges (Aliyu &amp; Amadu, 2017; Auwalu &amp; Bello, 2023; Umar et al., 2024).</w:t>
      </w:r>
    </w:p>
    <w:p w14:paraId="4118E3AA"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 xml:space="preserve">The housing deficit, estimated at over 17 million units, reflects structural inefficiencies and the urgency for sustainable alternatives (Ewurum et al., 2020; Adedeji et al., 2023; Olubi &amp; Aseyan, 2022; Garba et al., 2024). While Adedeji et al. (2023) and Garba et al. (2024) stress affordability and sustainable design, Saidu and Yeom (2020) highlight welfare-based housing outcomes. A key limitation is that housing demand is often treated as </w:t>
      </w:r>
      <w:r w:rsidRPr="00B677F7">
        <w:rPr>
          <w:rFonts w:ascii="Times New Roman" w:hAnsi="Times New Roman" w:cs="Times New Roman"/>
          <w:lang w:val="en-NG"/>
        </w:rPr>
        <w:lastRenderedPageBreak/>
        <w:t>a delivery issue rather than a climate-performance challenge. This gap necessitates a shift towards climate-responsive, scalable, and resource-efficient systems (Mba et al., 2024; Auwalu &amp; Bello, 2023).</w:t>
      </w:r>
    </w:p>
    <w:p w14:paraId="0149A3D8" w14:textId="77777777" w:rsidR="00B677F7" w:rsidRPr="00B677F7" w:rsidRDefault="00B677F7" w:rsidP="00915236">
      <w:pPr>
        <w:spacing w:before="240" w:after="240" w:line="240" w:lineRule="auto"/>
        <w:jc w:val="both"/>
        <w:rPr>
          <w:rFonts w:ascii="Times New Roman" w:hAnsi="Times New Roman" w:cs="Times New Roman"/>
          <w:b/>
          <w:bCs/>
          <w:lang w:val="en-NG"/>
        </w:rPr>
      </w:pPr>
      <w:r w:rsidRPr="00B677F7">
        <w:rPr>
          <w:rFonts w:ascii="Times New Roman" w:hAnsi="Times New Roman" w:cs="Times New Roman"/>
          <w:b/>
          <w:bCs/>
          <w:lang w:val="en-NG"/>
        </w:rPr>
        <w:t>2.3 Passive Design Strategies and Architectural Innovation</w:t>
      </w:r>
    </w:p>
    <w:p w14:paraId="7BA73800" w14:textId="77777777" w:rsidR="00AE2C06" w:rsidRPr="00AE2C06" w:rsidRDefault="00AE2C06" w:rsidP="00915236">
      <w:pPr>
        <w:spacing w:before="240" w:after="240" w:line="240" w:lineRule="auto"/>
        <w:jc w:val="both"/>
        <w:rPr>
          <w:rFonts w:ascii="Times New Roman" w:hAnsi="Times New Roman" w:cs="Times New Roman"/>
          <w:lang w:val="en-NG"/>
        </w:rPr>
      </w:pPr>
      <w:r w:rsidRPr="00AE2C06">
        <w:rPr>
          <w:rFonts w:ascii="Times New Roman" w:hAnsi="Times New Roman" w:cs="Times New Roman"/>
          <w:lang w:val="en-NG"/>
        </w:rPr>
        <w:t>Passive design strategies are widely examined for reducing reliance on mechanical systems through climatic responsiveness. Chen et al. (2020) and Kerdan et al. (2019) emphasise thermal optimisation, while Inusa and Alibaba (2017), Ibrahim et al. (2024), and Rasheed et al. (2024) confirm their effectiveness in tropical contexts. Danjuma et al. (2025) further highlight building form and orientation as critical to ventilation and daylighting.</w:t>
      </w:r>
    </w:p>
    <w:p w14:paraId="591C4D90" w14:textId="77777777" w:rsidR="00AE2C06" w:rsidRPr="00AE2C06" w:rsidRDefault="00AE2C06" w:rsidP="00915236">
      <w:pPr>
        <w:spacing w:before="240" w:after="240" w:line="240" w:lineRule="auto"/>
        <w:jc w:val="both"/>
        <w:rPr>
          <w:rFonts w:ascii="Times New Roman" w:hAnsi="Times New Roman" w:cs="Times New Roman"/>
          <w:lang w:val="en-NG"/>
        </w:rPr>
      </w:pPr>
      <w:r w:rsidRPr="00AE2C06">
        <w:rPr>
          <w:rFonts w:ascii="Times New Roman" w:hAnsi="Times New Roman" w:cs="Times New Roman"/>
          <w:lang w:val="en-NG"/>
        </w:rPr>
        <w:t>However, differences persist across the literature. Chen et al. (2020) prioritise performance optimisation, whereas Jega and Al-Din (2023) emphasise vernacular adaptability, indicating the need to integrate performance-driven and culture-based approaches. Zoure and Genovese (2022) support regional transferability, while Kalu and Ogunnaike (2025) extend the concept to biophilic well-being. Dorcas and Pourvahidi (2020) underscore the importance of bioclimatic classification for contextual accuracy.</w:t>
      </w:r>
    </w:p>
    <w:p w14:paraId="7A9B5081" w14:textId="4BE22736" w:rsidR="00B677F7" w:rsidRPr="00B677F7" w:rsidRDefault="00AE2C06" w:rsidP="00915236">
      <w:pPr>
        <w:spacing w:before="240" w:after="240" w:line="240" w:lineRule="auto"/>
        <w:jc w:val="both"/>
        <w:rPr>
          <w:rFonts w:ascii="Times New Roman" w:hAnsi="Times New Roman" w:cs="Times New Roman"/>
          <w:lang w:val="en-NG"/>
        </w:rPr>
      </w:pPr>
      <w:r w:rsidRPr="00AE2C06">
        <w:rPr>
          <w:rFonts w:ascii="Times New Roman" w:hAnsi="Times New Roman" w:cs="Times New Roman"/>
          <w:lang w:val="en-NG"/>
        </w:rPr>
        <w:t xml:space="preserve">From an ecological modernisation perspective, passive design represents a low-cost innovation that reduces environmental impact while maintaining functional efficiency. Its limitation lies in its predominantly building-specific application, with limited </w:t>
      </w:r>
      <w:r w:rsidR="005D2EFF">
        <w:rPr>
          <w:rFonts w:ascii="Times New Roman" w:hAnsi="Times New Roman" w:cs="Times New Roman"/>
          <w:lang w:val="en-NG"/>
        </w:rPr>
        <w:t xml:space="preserve">applicability to mass housing guidelines, thereby </w:t>
      </w:r>
      <w:r w:rsidRPr="00AE2C06">
        <w:rPr>
          <w:rFonts w:ascii="Times New Roman" w:hAnsi="Times New Roman" w:cs="Times New Roman"/>
          <w:lang w:val="en-NG"/>
        </w:rPr>
        <w:t>reinforcing the architect’s role in scaling climatic design principles</w:t>
      </w:r>
      <w:r w:rsidR="00B677F7" w:rsidRPr="00B677F7">
        <w:rPr>
          <w:rFonts w:ascii="Times New Roman" w:hAnsi="Times New Roman" w:cs="Times New Roman"/>
          <w:lang w:val="en-NG"/>
        </w:rPr>
        <w:t>.</w:t>
      </w:r>
    </w:p>
    <w:p w14:paraId="617AD2DE" w14:textId="77777777" w:rsidR="00B677F7" w:rsidRPr="00B677F7" w:rsidRDefault="00B677F7" w:rsidP="00915236">
      <w:pPr>
        <w:spacing w:before="240" w:after="240" w:line="240" w:lineRule="auto"/>
        <w:jc w:val="both"/>
        <w:rPr>
          <w:rFonts w:ascii="Times New Roman" w:hAnsi="Times New Roman" w:cs="Times New Roman"/>
          <w:b/>
          <w:bCs/>
          <w:lang w:val="en-NG"/>
        </w:rPr>
      </w:pPr>
      <w:r w:rsidRPr="00B677F7">
        <w:rPr>
          <w:rFonts w:ascii="Times New Roman" w:hAnsi="Times New Roman" w:cs="Times New Roman"/>
          <w:b/>
          <w:bCs/>
          <w:lang w:val="en-NG"/>
        </w:rPr>
        <w:t>2.4 Low-Carbon Materials and Sustainable Construction Practices</w:t>
      </w:r>
    </w:p>
    <w:p w14:paraId="3FF870CE"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Material selection is a major determinant of embodied energy and emissions. Conventional materials such as cement and steel are consistently associated with high environmental burdens (Taffese &amp; Abegaz, 2019; Chen et al., 2021; Nwagwu et al., 2024). In response, Joshua et al. (2017), Obaje et al. (2022), and Asha Sapna and Anbalagan (2023) demonstrate the potential of earth-based and alternative materials to reduce emissions and improve affordability.</w:t>
      </w:r>
    </w:p>
    <w:p w14:paraId="390C66BA"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While studies agree on environmental benefits, contradictions arise around standardisation and acceptance. Obaje et al. (2022) provide context-specific validation, whereas broader studies often overlook regulatory and market barriers. Circular construction approaches further strengthen sustainability by linking material choice with reuse and waste minimisation (Ogunmakinde et al., 2019; Abdullahi et al., 2023; Unegbu et al., 2025). However, their integration into architectural specification remains limited, reinforcing the architect’s coordinating role.</w:t>
      </w:r>
    </w:p>
    <w:p w14:paraId="10C6B48D" w14:textId="77777777" w:rsidR="00B677F7" w:rsidRPr="00B677F7" w:rsidRDefault="00B677F7" w:rsidP="00915236">
      <w:pPr>
        <w:spacing w:before="240" w:after="240" w:line="240" w:lineRule="auto"/>
        <w:jc w:val="both"/>
        <w:rPr>
          <w:rFonts w:ascii="Times New Roman" w:hAnsi="Times New Roman" w:cs="Times New Roman"/>
          <w:b/>
          <w:bCs/>
          <w:lang w:val="en-NG"/>
        </w:rPr>
      </w:pPr>
      <w:r w:rsidRPr="00B677F7">
        <w:rPr>
          <w:rFonts w:ascii="Times New Roman" w:hAnsi="Times New Roman" w:cs="Times New Roman"/>
          <w:b/>
          <w:bCs/>
          <w:lang w:val="en-NG"/>
        </w:rPr>
        <w:t>2.5 Digital Technologies and Smart Housing Systems</w:t>
      </w:r>
    </w:p>
    <w:p w14:paraId="320949B5"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Digital transformation is reshaping architecture and construction through integrated design and lifecycle management. BIM, GIS, and digital twin technologies support performance prediction and resource optimisation (Soust-Verdaguer et al., 2023; Namaki et al., 2024; Piras et al., 2024; Şenol &amp; Gökgöz, 2024). These tools enhance coordination and sustainability assessment, particularly when linked with life cycle analysis.</w:t>
      </w:r>
    </w:p>
    <w:p w14:paraId="295D7F58"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In Nigeria, studies confirm potential benefits but highlight slow adoption due to cost and capacity constraints (Okereke et al., 2021; Uduokhai et al., 2023; Olugboyega et al., 2023; Alabi et al., 2026). This divergence between global maturity and local adoption indicates that digital tools require institutional and professional alignment. Architects must therefore act as digital integrators, connecting design intent with measurable performance outcomes.</w:t>
      </w:r>
    </w:p>
    <w:p w14:paraId="10DB4D21" w14:textId="77777777" w:rsidR="00B677F7" w:rsidRPr="00B677F7" w:rsidRDefault="00B677F7" w:rsidP="00915236">
      <w:pPr>
        <w:spacing w:before="240" w:after="240" w:line="240" w:lineRule="auto"/>
        <w:jc w:val="both"/>
        <w:rPr>
          <w:rFonts w:ascii="Times New Roman" w:hAnsi="Times New Roman" w:cs="Times New Roman"/>
          <w:b/>
          <w:bCs/>
          <w:lang w:val="en-NG"/>
        </w:rPr>
      </w:pPr>
      <w:r w:rsidRPr="00B677F7">
        <w:rPr>
          <w:rFonts w:ascii="Times New Roman" w:hAnsi="Times New Roman" w:cs="Times New Roman"/>
          <w:b/>
          <w:bCs/>
          <w:lang w:val="en-NG"/>
        </w:rPr>
        <w:t>2.6 Barriers to Climate-Smart Housing Adoption</w:t>
      </w:r>
    </w:p>
    <w:p w14:paraId="482A9699"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 xml:space="preserve">Adoption remains constrained by financial, institutional, technical, and behavioural barriers. Osuizugbo et al. (2020) and Oluleye et al. (2021) highlight cost and financing constraints, while Erifeta (2025) and Oke et al. </w:t>
      </w:r>
      <w:r w:rsidRPr="00B677F7">
        <w:rPr>
          <w:rFonts w:ascii="Times New Roman" w:hAnsi="Times New Roman" w:cs="Times New Roman"/>
          <w:lang w:val="en-NG"/>
        </w:rPr>
        <w:lastRenderedPageBreak/>
        <w:t>(2025) emphasise regulatory weaknesses. Ezeokoli et al. (2025) and Saidu and Yeom (2020) reveal a persistent gap between research and implementation.</w:t>
      </w:r>
    </w:p>
    <w:p w14:paraId="24E0517D" w14:textId="0F9563DC"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 xml:space="preserve">From a socio-technical transitions perspective, these barriers reflect resistance within existing systems </w:t>
      </w:r>
      <w:r w:rsidR="005D2EFF">
        <w:rPr>
          <w:rFonts w:ascii="Times New Roman" w:hAnsi="Times New Roman" w:cs="Times New Roman"/>
          <w:lang w:val="en-NG"/>
        </w:rPr>
        <w:t>in which policies, markets, and professional practices are misaligned</w:t>
      </w:r>
      <w:r w:rsidRPr="00B677F7">
        <w:rPr>
          <w:rFonts w:ascii="Times New Roman" w:hAnsi="Times New Roman" w:cs="Times New Roman"/>
          <w:lang w:val="en-NG"/>
        </w:rPr>
        <w:t xml:space="preserve"> with sustainability goals. A key limitation is that barriers are often treated independently, without recognising the need for coordinated intervention. This underscores the importance of architect-led mediation across policy, design, and construction systems.</w:t>
      </w:r>
    </w:p>
    <w:p w14:paraId="1F086312" w14:textId="77777777" w:rsidR="00B677F7" w:rsidRPr="00B677F7" w:rsidRDefault="00B677F7" w:rsidP="00915236">
      <w:pPr>
        <w:spacing w:before="240" w:after="240" w:line="240" w:lineRule="auto"/>
        <w:jc w:val="both"/>
        <w:rPr>
          <w:rFonts w:ascii="Times New Roman" w:hAnsi="Times New Roman" w:cs="Times New Roman"/>
          <w:b/>
          <w:bCs/>
          <w:lang w:val="en-NG"/>
        </w:rPr>
      </w:pPr>
      <w:r w:rsidRPr="00B677F7">
        <w:rPr>
          <w:rFonts w:ascii="Times New Roman" w:hAnsi="Times New Roman" w:cs="Times New Roman"/>
          <w:b/>
          <w:bCs/>
          <w:lang w:val="en-NG"/>
        </w:rPr>
        <w:t>2.7 Education, Capacity Building, and the Architect’s Evolving Role</w:t>
      </w:r>
    </w:p>
    <w:p w14:paraId="1FCD675B"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Education plays a critical role in shaping professional competence. Polytechnic institutions provide practical training in sustainable design and construction technologies (Jogana et al., 2020; Marcel-Okafor &amp; Okafor, 2020, 2021). Mukhtar et al. (2022) support competency-based training, while Yusuf et al. (2025) call for curriculum reform aligned with global standards.</w:t>
      </w:r>
    </w:p>
    <w:p w14:paraId="2602E248"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Although studies agree on the need for reform, they differ in focus, ranging from BIM integration to occupational skills development. The limitation is that educational outcomes are rarely linked to housing delivery performance. Nevertheless, integrating sustainability and digital competencies can reposition architects as leaders capable of bridging theory and practice.</w:t>
      </w:r>
    </w:p>
    <w:p w14:paraId="074A68AA" w14:textId="77777777" w:rsidR="00B677F7" w:rsidRPr="00B677F7" w:rsidRDefault="00B677F7" w:rsidP="00915236">
      <w:pPr>
        <w:spacing w:before="240" w:after="240" w:line="240" w:lineRule="auto"/>
        <w:jc w:val="both"/>
        <w:rPr>
          <w:rFonts w:ascii="Times New Roman" w:hAnsi="Times New Roman" w:cs="Times New Roman"/>
          <w:b/>
          <w:bCs/>
          <w:lang w:val="en-NG"/>
        </w:rPr>
      </w:pPr>
      <w:r w:rsidRPr="00B677F7">
        <w:rPr>
          <w:rFonts w:ascii="Times New Roman" w:hAnsi="Times New Roman" w:cs="Times New Roman"/>
          <w:b/>
          <w:bCs/>
          <w:lang w:val="en-NG"/>
        </w:rPr>
        <w:t>2.8 Synthesis and Research Gap</w:t>
      </w:r>
    </w:p>
    <w:p w14:paraId="4C9DF3E2"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The reviewed literature demonstrates that passive design, low-carbon materials, and digital technologies offer substantial potential for improving environmental performance, affordability, and resilience. However, adoption remains constrained by institutional inefficiencies, financial limitations, technical capacity gaps, and weak policy frameworks (Erifeta, 2025; Oke et al., 2025; Osuizugbo et al., 2020).</w:t>
      </w:r>
    </w:p>
    <w:p w14:paraId="62A212CB" w14:textId="77777777"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Although valuable insights exist, the literature lacks a unified operational framework linking design, material, and technological systems through architectural coordination. Strategies are often treated as isolated interventions rather than integrated components of housing delivery. This creates a critical gap in explaining how architects can coordinate these elements to achieve scalable and climate-responsive outcomes.</w:t>
      </w:r>
    </w:p>
    <w:p w14:paraId="7EB7F2F3" w14:textId="6BEBF546" w:rsidR="00B677F7"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 xml:space="preserve">Across sections, the literature consistently demonstrates fragmentation </w:t>
      </w:r>
      <w:r w:rsidR="005D2EFF">
        <w:rPr>
          <w:rFonts w:ascii="Times New Roman" w:hAnsi="Times New Roman" w:cs="Times New Roman"/>
          <w:lang w:val="en-NG"/>
        </w:rPr>
        <w:t>among design strategies, material systems, and technological applications, with limited integrative frameworks that connect</w:t>
      </w:r>
      <w:r w:rsidRPr="00B677F7">
        <w:rPr>
          <w:rFonts w:ascii="Times New Roman" w:hAnsi="Times New Roman" w:cs="Times New Roman"/>
          <w:lang w:val="en-NG"/>
        </w:rPr>
        <w:t xml:space="preserve"> them within housing delivery processes. This fragmentation weakens implementation despite strong empirical evidence.</w:t>
      </w:r>
    </w:p>
    <w:p w14:paraId="2121F9A1" w14:textId="5074E443" w:rsidR="001E2023" w:rsidRPr="00B677F7" w:rsidRDefault="00B677F7" w:rsidP="00915236">
      <w:pPr>
        <w:spacing w:before="240" w:after="240" w:line="240" w:lineRule="auto"/>
        <w:jc w:val="both"/>
        <w:rPr>
          <w:rFonts w:ascii="Times New Roman" w:hAnsi="Times New Roman" w:cs="Times New Roman"/>
          <w:lang w:val="en-NG"/>
        </w:rPr>
      </w:pPr>
      <w:r w:rsidRPr="00B677F7">
        <w:rPr>
          <w:rFonts w:ascii="Times New Roman" w:hAnsi="Times New Roman" w:cs="Times New Roman"/>
          <w:lang w:val="en-NG"/>
        </w:rPr>
        <w:t>This study addresses this gap by synthesising evidence from 57 peer-reviewed journal articles and supporting international reports, with a specific focus on the architect’s integrative role. It advances the discourse by positioning architectural practice as the operational bridge linking environmental performance, innovation, and housing delivery in Nigeria.</w:t>
      </w:r>
      <w:r>
        <w:rPr>
          <w:rFonts w:ascii="Times New Roman" w:hAnsi="Times New Roman" w:cs="Times New Roman"/>
          <w:lang w:val="en-NG"/>
        </w:rPr>
        <w:t xml:space="preserve"> </w:t>
      </w:r>
      <w:r w:rsidRPr="00B677F7">
        <w:rPr>
          <w:rFonts w:ascii="Times New Roman" w:hAnsi="Times New Roman" w:cs="Times New Roman"/>
          <w:lang w:val="en-NG"/>
        </w:rPr>
        <w:t>This study conceptualises the architect as the integrative node linking design, materials, and digital systems</w:t>
      </w:r>
      <w:r w:rsidR="001E2023" w:rsidRPr="00B677F7">
        <w:rPr>
          <w:rFonts w:ascii="Times New Roman" w:hAnsi="Times New Roman" w:cs="Times New Roman"/>
          <w:lang w:val="en-NG"/>
        </w:rPr>
        <w:t>.</w:t>
      </w:r>
    </w:p>
    <w:p w14:paraId="58971D26" w14:textId="0C44FAF7" w:rsidR="00BA2E45" w:rsidRPr="00734C3D" w:rsidRDefault="00734C3D" w:rsidP="00915236">
      <w:pPr>
        <w:spacing w:before="240" w:after="240" w:line="240" w:lineRule="auto"/>
        <w:jc w:val="both"/>
        <w:rPr>
          <w:rFonts w:ascii="Times New Roman" w:hAnsi="Times New Roman" w:cs="Times New Roman"/>
          <w:b/>
          <w:bCs/>
          <w:sz w:val="28"/>
          <w:szCs w:val="28"/>
          <w:lang w:val="en-NG"/>
        </w:rPr>
      </w:pPr>
      <w:r w:rsidRPr="00734C3D">
        <w:rPr>
          <w:rFonts w:ascii="Times New Roman" w:hAnsi="Times New Roman" w:cs="Times New Roman"/>
          <w:b/>
          <w:bCs/>
          <w:sz w:val="28"/>
          <w:szCs w:val="28"/>
          <w:lang w:val="en-NG"/>
        </w:rPr>
        <w:t>3.0 METHODOLOGY</w:t>
      </w:r>
    </w:p>
    <w:p w14:paraId="3B35F219" w14:textId="77777777" w:rsidR="00420E8C" w:rsidRPr="00420E8C" w:rsidRDefault="00420E8C" w:rsidP="00915236">
      <w:pPr>
        <w:spacing w:before="240" w:after="240" w:line="240" w:lineRule="auto"/>
        <w:jc w:val="both"/>
        <w:rPr>
          <w:rFonts w:ascii="Times New Roman" w:hAnsi="Times New Roman" w:cs="Times New Roman"/>
          <w:b/>
          <w:bCs/>
          <w:lang w:val="en-NG"/>
        </w:rPr>
      </w:pPr>
      <w:r w:rsidRPr="00420E8C">
        <w:rPr>
          <w:rFonts w:ascii="Times New Roman" w:hAnsi="Times New Roman" w:cs="Times New Roman"/>
          <w:b/>
          <w:bCs/>
          <w:lang w:val="en-NG"/>
        </w:rPr>
        <w:t>3.1 Research Design and Analytical Orientation</w:t>
      </w:r>
    </w:p>
    <w:p w14:paraId="7D8EC2A2" w14:textId="77777777" w:rsidR="004D3894" w:rsidRPr="004D3894" w:rsidRDefault="004D3894" w:rsidP="00915236">
      <w:pPr>
        <w:spacing w:before="240" w:after="240" w:line="240" w:lineRule="auto"/>
        <w:jc w:val="both"/>
        <w:rPr>
          <w:rFonts w:ascii="Times New Roman" w:hAnsi="Times New Roman" w:cs="Times New Roman"/>
          <w:lang w:val="en-NG"/>
        </w:rPr>
      </w:pPr>
      <w:r w:rsidRPr="004D3894">
        <w:rPr>
          <w:rFonts w:ascii="Times New Roman" w:hAnsi="Times New Roman" w:cs="Times New Roman"/>
          <w:lang w:val="en-NG"/>
        </w:rPr>
        <w:t>This study adopts a PRISMA-based systematic review methodology, integrating qualitative synthesis with quantitative validation to examine climate-smart housing strategies and the architect’s critical role in sustainable urban development in Nigeria. The design consolidates dispersed knowledge across architecture, urban planning, environmental science, and construction management into a coherent analytical framework. By adhering to PRISMA procedures, the study ensures transparency, replicability, and methodological rigour in identifying, screening, and selecting relevant literature.</w:t>
      </w:r>
    </w:p>
    <w:p w14:paraId="68CDCDB7" w14:textId="77777777" w:rsidR="004D3894" w:rsidRPr="004D3894" w:rsidRDefault="004D3894" w:rsidP="00915236">
      <w:pPr>
        <w:spacing w:before="240" w:after="240" w:line="240" w:lineRule="auto"/>
        <w:jc w:val="both"/>
        <w:rPr>
          <w:rFonts w:ascii="Times New Roman" w:hAnsi="Times New Roman" w:cs="Times New Roman"/>
          <w:lang w:val="en-NG"/>
        </w:rPr>
      </w:pPr>
      <w:r w:rsidRPr="004D3894">
        <w:rPr>
          <w:rFonts w:ascii="Times New Roman" w:hAnsi="Times New Roman" w:cs="Times New Roman"/>
          <w:lang w:val="en-NG"/>
        </w:rPr>
        <w:lastRenderedPageBreak/>
        <w:t xml:space="preserve">Beyond descriptive synthesis, inferential statistical techniques were applied to validate observed thematic patterns. Analysis was conducted using </w:t>
      </w:r>
      <w:r w:rsidRPr="004D3894">
        <w:rPr>
          <w:rFonts w:ascii="Times New Roman" w:hAnsi="Times New Roman" w:cs="Times New Roman"/>
          <w:b/>
          <w:bCs/>
          <w:lang w:val="en-NG"/>
        </w:rPr>
        <w:t>SPSS and R</w:t>
      </w:r>
      <w:r w:rsidRPr="004D3894">
        <w:rPr>
          <w:rFonts w:ascii="Times New Roman" w:hAnsi="Times New Roman" w:cs="Times New Roman"/>
          <w:lang w:val="en-NG"/>
        </w:rPr>
        <w:t>, enabling descriptive statistics, Chi-square testing, and correlation-based synthesis.</w:t>
      </w:r>
    </w:p>
    <w:p w14:paraId="3A59D1E7" w14:textId="77777777" w:rsidR="004D3894" w:rsidRPr="004D3894" w:rsidRDefault="004D3894" w:rsidP="00915236">
      <w:pPr>
        <w:spacing w:before="240" w:after="240" w:line="240" w:lineRule="auto"/>
        <w:jc w:val="both"/>
        <w:rPr>
          <w:rFonts w:ascii="Times New Roman" w:hAnsi="Times New Roman" w:cs="Times New Roman"/>
          <w:b/>
          <w:bCs/>
          <w:lang w:val="en-NG"/>
        </w:rPr>
      </w:pPr>
      <w:r w:rsidRPr="004D3894">
        <w:rPr>
          <w:rFonts w:ascii="Times New Roman" w:hAnsi="Times New Roman" w:cs="Times New Roman"/>
          <w:b/>
          <w:bCs/>
          <w:lang w:val="en-NG"/>
        </w:rPr>
        <w:t>3.2 Data Sources and Search Strategy</w:t>
      </w:r>
    </w:p>
    <w:p w14:paraId="22D65E64" w14:textId="77777777" w:rsidR="004D3894" w:rsidRPr="004D3894" w:rsidRDefault="004D3894" w:rsidP="00915236">
      <w:pPr>
        <w:spacing w:before="240" w:after="240" w:line="240" w:lineRule="auto"/>
        <w:jc w:val="both"/>
        <w:rPr>
          <w:rFonts w:ascii="Times New Roman" w:hAnsi="Times New Roman" w:cs="Times New Roman"/>
          <w:lang w:val="en-NG"/>
        </w:rPr>
      </w:pPr>
      <w:r w:rsidRPr="004D3894">
        <w:rPr>
          <w:rFonts w:ascii="Times New Roman" w:hAnsi="Times New Roman" w:cs="Times New Roman"/>
          <w:lang w:val="en-NG"/>
        </w:rPr>
        <w:t>The literature search was conducted across Scopus, Web of Science, ScienceDirect, and Google Scholar to ensure broad coverage of peer-reviewed studies. The search was restricted to publications from 2016 to 2026 to capture recent developments in climate-smart housing and sustainable urban systems.</w:t>
      </w:r>
    </w:p>
    <w:p w14:paraId="14EFE325" w14:textId="77777777" w:rsidR="004D3894" w:rsidRPr="004D3894" w:rsidRDefault="004D3894" w:rsidP="00915236">
      <w:pPr>
        <w:spacing w:before="240" w:after="240" w:line="240" w:lineRule="auto"/>
        <w:jc w:val="both"/>
        <w:rPr>
          <w:rFonts w:ascii="Times New Roman" w:hAnsi="Times New Roman" w:cs="Times New Roman"/>
          <w:lang w:val="en-NG"/>
        </w:rPr>
      </w:pPr>
      <w:r w:rsidRPr="004D3894">
        <w:rPr>
          <w:rFonts w:ascii="Times New Roman" w:hAnsi="Times New Roman" w:cs="Times New Roman"/>
          <w:lang w:val="en-NG"/>
        </w:rPr>
        <w:t xml:space="preserve">A structured Boolean search strategy combined terms such as “climate-smart housing,” “sustainable housing,” “passive design,” “low-carbon materials,” “digital technologies,” and “Building Information Modelling (BIM)” with geographical qualifiers such as “Nigeria” and “developing countries.” This process produced an initial dataset of </w:t>
      </w:r>
      <w:r w:rsidRPr="004D3894">
        <w:rPr>
          <w:rFonts w:ascii="Times New Roman" w:hAnsi="Times New Roman" w:cs="Times New Roman"/>
          <w:b/>
          <w:bCs/>
          <w:lang w:val="en-NG"/>
        </w:rPr>
        <w:t>493 records</w:t>
      </w:r>
      <w:r w:rsidRPr="004D3894">
        <w:rPr>
          <w:rFonts w:ascii="Times New Roman" w:hAnsi="Times New Roman" w:cs="Times New Roman"/>
          <w:lang w:val="en-NG"/>
        </w:rPr>
        <w:t>.</w:t>
      </w:r>
    </w:p>
    <w:p w14:paraId="51E9BA7D" w14:textId="77777777" w:rsidR="004D3894" w:rsidRPr="004D3894" w:rsidRDefault="004D3894" w:rsidP="00915236">
      <w:pPr>
        <w:spacing w:before="240" w:after="240" w:line="240" w:lineRule="auto"/>
        <w:jc w:val="both"/>
        <w:rPr>
          <w:rFonts w:ascii="Times New Roman" w:hAnsi="Times New Roman" w:cs="Times New Roman"/>
          <w:b/>
          <w:bCs/>
          <w:lang w:val="en-NG"/>
        </w:rPr>
      </w:pPr>
      <w:r w:rsidRPr="004D3894">
        <w:rPr>
          <w:rFonts w:ascii="Times New Roman" w:hAnsi="Times New Roman" w:cs="Times New Roman"/>
          <w:b/>
          <w:bCs/>
          <w:lang w:val="en-NG"/>
        </w:rPr>
        <w:t>3.3 PRISMA Screening Process</w:t>
      </w:r>
    </w:p>
    <w:p w14:paraId="782A0C46" w14:textId="27A4C0BE" w:rsidR="00420E8C" w:rsidRPr="00353FE7" w:rsidRDefault="004D3894" w:rsidP="00915236">
      <w:pPr>
        <w:spacing w:before="240" w:after="240" w:line="240" w:lineRule="auto"/>
        <w:jc w:val="both"/>
        <w:rPr>
          <w:rFonts w:ascii="Times New Roman" w:hAnsi="Times New Roman" w:cs="Times New Roman"/>
          <w:lang w:val="en-NG"/>
        </w:rPr>
      </w:pPr>
      <w:r w:rsidRPr="004D3894">
        <w:rPr>
          <w:rFonts w:ascii="Times New Roman" w:hAnsi="Times New Roman" w:cs="Times New Roman"/>
          <w:lang w:val="en-NG"/>
        </w:rPr>
        <w:t xml:space="preserve">The selection followed the four-stage PRISMA protocol: identification, screening, eligibility, and inclusion. At identification, 493 records were retrieved. After duplicate removal, 385 unique studies remained. Title and abstract screening excluded 247 studies that were not sufficiently aligned with the research focus, leaving 138 articles for full-text assessment. During </w:t>
      </w:r>
      <w:r w:rsidR="00353FE7" w:rsidRPr="00353FE7">
        <w:rPr>
          <w:rFonts w:ascii="Times New Roman" w:hAnsi="Times New Roman" w:cs="Times New Roman"/>
          <w:lang w:val="en-NG"/>
        </w:rPr>
        <w:t>the eligibility review, 81 studies were excluded for methodological weaknesses</w:t>
      </w:r>
      <w:r w:rsidRPr="004D3894">
        <w:rPr>
          <w:rFonts w:ascii="Times New Roman" w:hAnsi="Times New Roman" w:cs="Times New Roman"/>
          <w:lang w:val="en-NG"/>
        </w:rPr>
        <w:t>, limited relevance, or thematic misalignment. Ultimately, 57 peer-reviewed journal articles were included</w:t>
      </w:r>
      <w:r w:rsidR="00420E8C" w:rsidRPr="00353FE7">
        <w:rPr>
          <w:rFonts w:ascii="Times New Roman" w:hAnsi="Times New Roman" w:cs="Times New Roman"/>
          <w:lang w:val="en-NG"/>
        </w:rPr>
        <w:t>.</w:t>
      </w:r>
    </w:p>
    <w:p w14:paraId="70D4E6AC" w14:textId="229DB45F" w:rsidR="00A9210D" w:rsidRPr="00A9210D" w:rsidRDefault="00A9210D" w:rsidP="00915236">
      <w:pPr>
        <w:spacing w:before="240" w:after="240" w:line="240" w:lineRule="auto"/>
        <w:jc w:val="center"/>
        <w:rPr>
          <w:rFonts w:ascii="Times New Roman" w:hAnsi="Times New Roman" w:cs="Times New Roman"/>
          <w:b/>
          <w:bCs/>
          <w:lang w:val="en-NG"/>
        </w:rPr>
      </w:pPr>
      <w:r w:rsidRPr="00A9210D">
        <w:rPr>
          <w:rFonts w:ascii="Times New Roman" w:hAnsi="Times New Roman" w:cs="Times New Roman"/>
          <w:b/>
          <w:bCs/>
          <w:noProof/>
          <w:lang w:val="en-NG"/>
        </w:rPr>
        <w:drawing>
          <wp:inline distT="0" distB="0" distL="0" distR="0" wp14:anchorId="0AF4EA80" wp14:editId="51089D83">
            <wp:extent cx="4724400" cy="3519568"/>
            <wp:effectExtent l="0" t="0" r="0" b="0"/>
            <wp:docPr id="18438614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435" b="6369"/>
                    <a:stretch>
                      <a:fillRect/>
                    </a:stretch>
                  </pic:blipFill>
                  <pic:spPr bwMode="auto">
                    <a:xfrm>
                      <a:off x="0" y="0"/>
                      <a:ext cx="4724400" cy="3519568"/>
                    </a:xfrm>
                    <a:prstGeom prst="rect">
                      <a:avLst/>
                    </a:prstGeom>
                    <a:noFill/>
                    <a:ln>
                      <a:noFill/>
                    </a:ln>
                    <a:extLst>
                      <a:ext uri="{53640926-AAD7-44D8-BBD7-CCE9431645EC}">
                        <a14:shadowObscured xmlns:a14="http://schemas.microsoft.com/office/drawing/2010/main"/>
                      </a:ext>
                    </a:extLst>
                  </pic:spPr>
                </pic:pic>
              </a:graphicData>
            </a:graphic>
          </wp:inline>
        </w:drawing>
      </w:r>
    </w:p>
    <w:p w14:paraId="24D94866" w14:textId="5F6E2E80" w:rsidR="00A9210D" w:rsidRDefault="00D4159F" w:rsidP="00915236">
      <w:pPr>
        <w:spacing w:before="240" w:after="240" w:line="240" w:lineRule="auto"/>
        <w:jc w:val="center"/>
        <w:rPr>
          <w:rFonts w:ascii="Times New Roman" w:hAnsi="Times New Roman" w:cs="Times New Roman"/>
          <w:b/>
          <w:bCs/>
          <w:lang w:val="en-NG"/>
        </w:rPr>
      </w:pPr>
      <w:r>
        <w:rPr>
          <w:rFonts w:ascii="Times New Roman" w:hAnsi="Times New Roman" w:cs="Times New Roman"/>
          <w:b/>
          <w:bCs/>
          <w:lang w:val="en-NG"/>
        </w:rPr>
        <w:t xml:space="preserve">Figure 1: </w:t>
      </w:r>
      <w:r w:rsidR="00420E8C" w:rsidRPr="00420E8C">
        <w:rPr>
          <w:rFonts w:ascii="Times New Roman" w:hAnsi="Times New Roman" w:cs="Times New Roman"/>
          <w:b/>
          <w:bCs/>
          <w:lang w:val="en-NG"/>
        </w:rPr>
        <w:t>PRISMA Flow Summary</w:t>
      </w:r>
    </w:p>
    <w:p w14:paraId="69A374F6" w14:textId="204226DA" w:rsidR="00420E8C" w:rsidRPr="00420E8C" w:rsidRDefault="00420E8C" w:rsidP="00915236">
      <w:pPr>
        <w:spacing w:before="240" w:after="240" w:line="240" w:lineRule="auto"/>
        <w:jc w:val="both"/>
        <w:rPr>
          <w:rFonts w:ascii="Times New Roman" w:hAnsi="Times New Roman" w:cs="Times New Roman"/>
          <w:b/>
          <w:bCs/>
          <w:lang w:val="en-NG"/>
        </w:rPr>
      </w:pPr>
      <w:r w:rsidRPr="00420E8C">
        <w:rPr>
          <w:rFonts w:ascii="Times New Roman" w:hAnsi="Times New Roman" w:cs="Times New Roman"/>
          <w:b/>
          <w:bCs/>
          <w:lang w:val="en-NG"/>
        </w:rPr>
        <w:t>3.4 Inclusion and Exclusion Logic</w:t>
      </w:r>
    </w:p>
    <w:p w14:paraId="3A46A465" w14:textId="77777777" w:rsidR="00EF4754" w:rsidRPr="00EF4754" w:rsidRDefault="00EF4754" w:rsidP="00915236">
      <w:pPr>
        <w:spacing w:before="240" w:after="240" w:line="240" w:lineRule="auto"/>
        <w:jc w:val="both"/>
        <w:rPr>
          <w:rFonts w:ascii="Times New Roman" w:hAnsi="Times New Roman" w:cs="Times New Roman"/>
          <w:lang w:val="en-NG"/>
        </w:rPr>
      </w:pPr>
      <w:r w:rsidRPr="00EF4754">
        <w:rPr>
          <w:rFonts w:ascii="Times New Roman" w:hAnsi="Times New Roman" w:cs="Times New Roman"/>
          <w:lang w:val="en-NG"/>
        </w:rPr>
        <w:t>The inclusion criteria prioritised methodological rigour and thematic relevance. Only peer-reviewed journal articles published within the defined timeframe were considered. Studies were required to address climate-smart housing strategies, sustainable construction, architectural innovation, or comparable themes within Nigeria or related developing contexts.</w:t>
      </w:r>
    </w:p>
    <w:p w14:paraId="431D8D02" w14:textId="77777777" w:rsidR="00EF4754" w:rsidRPr="00EF4754" w:rsidRDefault="00EF4754" w:rsidP="00915236">
      <w:pPr>
        <w:spacing w:before="240" w:after="240" w:line="240" w:lineRule="auto"/>
        <w:jc w:val="both"/>
        <w:rPr>
          <w:rFonts w:ascii="Times New Roman" w:hAnsi="Times New Roman" w:cs="Times New Roman"/>
          <w:lang w:val="en-NG"/>
        </w:rPr>
      </w:pPr>
      <w:r w:rsidRPr="00EF4754">
        <w:rPr>
          <w:rFonts w:ascii="Times New Roman" w:hAnsi="Times New Roman" w:cs="Times New Roman"/>
          <w:lang w:val="en-NG"/>
        </w:rPr>
        <w:lastRenderedPageBreak/>
        <w:t>Non-peer-reviewed publications, duplicates, studies lacking empirical or theoretical depth, and papers unrelated to housing sustainability were excluded. Potential publication bias was reduced through multi-database sourcing and consistent screening criteria.</w:t>
      </w:r>
    </w:p>
    <w:p w14:paraId="5FB76928" w14:textId="77777777" w:rsidR="00EF4754" w:rsidRPr="00EF4754" w:rsidRDefault="00EF4754" w:rsidP="00915236">
      <w:pPr>
        <w:spacing w:before="240" w:after="240" w:line="240" w:lineRule="auto"/>
        <w:jc w:val="both"/>
        <w:rPr>
          <w:rFonts w:ascii="Times New Roman" w:hAnsi="Times New Roman" w:cs="Times New Roman"/>
          <w:b/>
          <w:bCs/>
          <w:lang w:val="en-NG"/>
        </w:rPr>
      </w:pPr>
      <w:r w:rsidRPr="00EF4754">
        <w:rPr>
          <w:rFonts w:ascii="Times New Roman" w:hAnsi="Times New Roman" w:cs="Times New Roman"/>
          <w:b/>
          <w:bCs/>
          <w:lang w:val="en-NG"/>
        </w:rPr>
        <w:t>3.5 Data Extraction and Thematic Structuring</w:t>
      </w:r>
    </w:p>
    <w:p w14:paraId="1A49FECC" w14:textId="77777777" w:rsidR="00EF4754" w:rsidRPr="00EF4754" w:rsidRDefault="00EF4754" w:rsidP="00915236">
      <w:pPr>
        <w:spacing w:before="240" w:after="240" w:line="240" w:lineRule="auto"/>
        <w:jc w:val="both"/>
        <w:rPr>
          <w:rFonts w:ascii="Times New Roman" w:hAnsi="Times New Roman" w:cs="Times New Roman"/>
          <w:lang w:val="en-NG"/>
        </w:rPr>
      </w:pPr>
      <w:r w:rsidRPr="00EF4754">
        <w:rPr>
          <w:rFonts w:ascii="Times New Roman" w:hAnsi="Times New Roman" w:cs="Times New Roman"/>
          <w:lang w:val="en-NG"/>
        </w:rPr>
        <w:t>Data extraction followed a structured template covering authorship, publication year, geographical context, research method, thematic focus, and reported outcomes on energy efficiency, carbon reduction, and cost or resource implications. The studies were then organised into three thematic domains: passive design strategies, low-carbon materials, and digital technologies. This structure enabled systematic comparison and synthesis.</w:t>
      </w:r>
    </w:p>
    <w:p w14:paraId="23C094BA" w14:textId="77777777" w:rsidR="00EF4754" w:rsidRPr="00EF4754" w:rsidRDefault="00EF4754" w:rsidP="00915236">
      <w:pPr>
        <w:spacing w:before="240" w:after="240" w:line="240" w:lineRule="auto"/>
        <w:jc w:val="both"/>
        <w:rPr>
          <w:rFonts w:ascii="Times New Roman" w:hAnsi="Times New Roman" w:cs="Times New Roman"/>
          <w:b/>
          <w:bCs/>
          <w:lang w:val="en-NG"/>
        </w:rPr>
      </w:pPr>
      <w:r w:rsidRPr="00EF4754">
        <w:rPr>
          <w:rFonts w:ascii="Times New Roman" w:hAnsi="Times New Roman" w:cs="Times New Roman"/>
          <w:b/>
          <w:bCs/>
          <w:lang w:val="en-NG"/>
        </w:rPr>
        <w:t>3.6 Quantitative Synthesis Using Weighted Frequency Index</w:t>
      </w:r>
    </w:p>
    <w:p w14:paraId="2E167B63" w14:textId="77777777" w:rsidR="00EF4754" w:rsidRPr="00EF4754" w:rsidRDefault="00EF4754" w:rsidP="00915236">
      <w:pPr>
        <w:spacing w:before="240" w:after="240" w:line="240" w:lineRule="auto"/>
        <w:jc w:val="both"/>
        <w:rPr>
          <w:rFonts w:ascii="Times New Roman" w:hAnsi="Times New Roman" w:cs="Times New Roman"/>
          <w:lang w:val="en-NG"/>
        </w:rPr>
      </w:pPr>
      <w:r w:rsidRPr="00EF4754">
        <w:rPr>
          <w:rFonts w:ascii="Times New Roman" w:hAnsi="Times New Roman" w:cs="Times New Roman"/>
          <w:lang w:val="en-NG"/>
        </w:rPr>
        <w:t>To determine thematic prominence, the Weighted Frequency Index (WFI) was applied:</w:t>
      </w:r>
    </w:p>
    <w:p w14:paraId="1CFD5E45" w14:textId="0C7D3482" w:rsidR="00EF4754" w:rsidRPr="00EF4754" w:rsidRDefault="00EF4754" w:rsidP="00915236">
      <w:pPr>
        <w:spacing w:before="240" w:after="240" w:line="240" w:lineRule="auto"/>
        <w:jc w:val="both"/>
        <w:rPr>
          <w:rFonts w:ascii="Times New Roman" w:hAnsi="Times New Roman" w:cs="Times New Roman"/>
          <w:lang w:val="en-NG"/>
        </w:rPr>
      </w:pPr>
      <m:oMathPara>
        <m:oMath>
          <m:r>
            <w:rPr>
              <w:rFonts w:ascii="Cambria Math" w:hAnsi="Cambria Math" w:cs="Times New Roman"/>
              <w:lang w:val="en-NG"/>
            </w:rPr>
            <m:t>WF</m:t>
          </m:r>
          <m:sSub>
            <m:sSubPr>
              <m:ctrlPr>
                <w:rPr>
                  <w:rFonts w:ascii="Cambria Math" w:hAnsi="Cambria Math" w:cs="Times New Roman"/>
                  <w:lang w:val="en-NG"/>
                </w:rPr>
              </m:ctrlPr>
            </m:sSubPr>
            <m:e>
              <m:r>
                <w:rPr>
                  <w:rFonts w:ascii="Cambria Math" w:hAnsi="Cambria Math" w:cs="Times New Roman"/>
                  <w:lang w:val="en-NG"/>
                </w:rPr>
                <m:t>I</m:t>
              </m:r>
            </m:e>
            <m:sub>
              <m:r>
                <w:rPr>
                  <w:rFonts w:ascii="Cambria Math" w:hAnsi="Cambria Math" w:cs="Times New Roman"/>
                  <w:lang w:val="en-NG"/>
                </w:rPr>
                <m:t>i</m:t>
              </m:r>
            </m:sub>
          </m:sSub>
          <m:r>
            <w:rPr>
              <w:rFonts w:ascii="Cambria Math" w:hAnsi="Cambria Math" w:cs="Times New Roman"/>
              <w:lang w:val="en-NG"/>
            </w:rPr>
            <m:t>=</m:t>
          </m:r>
          <m:f>
            <m:fPr>
              <m:ctrlPr>
                <w:rPr>
                  <w:rFonts w:ascii="Cambria Math" w:hAnsi="Cambria Math" w:cs="Times New Roman"/>
                  <w:lang w:val="en-NG"/>
                </w:rPr>
              </m:ctrlPr>
            </m:fPr>
            <m:num>
              <m:sSub>
                <m:sSubPr>
                  <m:ctrlPr>
                    <w:rPr>
                      <w:rFonts w:ascii="Cambria Math" w:hAnsi="Cambria Math" w:cs="Times New Roman"/>
                      <w:lang w:val="en-NG"/>
                    </w:rPr>
                  </m:ctrlPr>
                </m:sSubPr>
                <m:e>
                  <m:r>
                    <w:rPr>
                      <w:rFonts w:ascii="Cambria Math" w:hAnsi="Cambria Math" w:cs="Times New Roman"/>
                      <w:lang w:val="en-NG"/>
                    </w:rPr>
                    <m:t>f</m:t>
                  </m:r>
                </m:e>
                <m:sub>
                  <m:r>
                    <w:rPr>
                      <w:rFonts w:ascii="Cambria Math" w:hAnsi="Cambria Math" w:cs="Times New Roman"/>
                      <w:lang w:val="en-NG"/>
                    </w:rPr>
                    <m:t>i</m:t>
                  </m:r>
                </m:sub>
              </m:sSub>
            </m:num>
            <m:den>
              <m:r>
                <w:rPr>
                  <w:rFonts w:ascii="Cambria Math" w:hAnsi="Cambria Math" w:cs="Times New Roman"/>
                  <w:lang w:val="en-NG"/>
                </w:rPr>
                <m:t>∑</m:t>
              </m:r>
              <m:sSub>
                <m:sSubPr>
                  <m:ctrlPr>
                    <w:rPr>
                      <w:rFonts w:ascii="Cambria Math" w:hAnsi="Cambria Math" w:cs="Times New Roman"/>
                      <w:lang w:val="en-NG"/>
                    </w:rPr>
                  </m:ctrlPr>
                </m:sSubPr>
                <m:e>
                  <m:r>
                    <w:rPr>
                      <w:rFonts w:ascii="Cambria Math" w:hAnsi="Cambria Math" w:cs="Times New Roman"/>
                      <w:lang w:val="en-NG"/>
                    </w:rPr>
                    <m:t>f</m:t>
                  </m:r>
                </m:e>
                <m:sub>
                  <m:r>
                    <w:rPr>
                      <w:rFonts w:ascii="Cambria Math" w:hAnsi="Cambria Math" w:cs="Times New Roman"/>
                      <w:lang w:val="en-NG"/>
                    </w:rPr>
                    <m:t>i</m:t>
                  </m:r>
                </m:sub>
              </m:sSub>
            </m:den>
          </m:f>
          <m:r>
            <w:rPr>
              <w:rFonts w:ascii="Cambria Math" w:hAnsi="Cambria Math" w:cs="Times New Roman"/>
              <w:lang w:val="en-NG"/>
            </w:rPr>
            <m:t>×100</m:t>
          </m:r>
          <m:r>
            <w:rPr>
              <w:rFonts w:ascii="Times New Roman" w:hAnsi="Times New Roman" w:cs="Times New Roman"/>
              <w:lang w:val="en-NG"/>
            </w:rPr>
            <w:br/>
          </m:r>
        </m:oMath>
      </m:oMathPara>
      <w:r w:rsidRPr="00EF4754">
        <w:rPr>
          <w:rFonts w:ascii="Times New Roman" w:hAnsi="Times New Roman" w:cs="Times New Roman"/>
          <w:lang w:val="en-NG"/>
        </w:rPr>
        <w:t xml:space="preserve">where </w:t>
      </w:r>
      <m:oMath>
        <m:sSub>
          <m:sSubPr>
            <m:ctrlPr>
              <w:rPr>
                <w:rFonts w:ascii="Cambria Math" w:hAnsi="Cambria Math" w:cs="Times New Roman"/>
                <w:lang w:val="en-NG"/>
              </w:rPr>
            </m:ctrlPr>
          </m:sSubPr>
          <m:e>
            <m:r>
              <w:rPr>
                <w:rFonts w:ascii="Cambria Math" w:hAnsi="Cambria Math" w:cs="Times New Roman"/>
                <w:lang w:val="en-NG"/>
              </w:rPr>
              <m:t>f</m:t>
            </m:r>
          </m:e>
          <m:sub>
            <m:r>
              <w:rPr>
                <w:rFonts w:ascii="Cambria Math" w:hAnsi="Cambria Math" w:cs="Times New Roman"/>
                <w:lang w:val="en-NG"/>
              </w:rPr>
              <m:t>i</m:t>
            </m:r>
          </m:sub>
        </m:sSub>
      </m:oMath>
      <w:r w:rsidRPr="00EF4754">
        <w:rPr>
          <w:rFonts w:ascii="Times New Roman" w:hAnsi="Times New Roman" w:cs="Times New Roman"/>
          <w:lang w:val="en-NG"/>
        </w:rPr>
        <w:t xml:space="preserve">represents the number of studies within a theme, while </w:t>
      </w:r>
      <m:oMath>
        <m:r>
          <w:rPr>
            <w:rFonts w:ascii="Cambria Math" w:hAnsi="Cambria Math" w:cs="Times New Roman"/>
            <w:lang w:val="en-NG"/>
          </w:rPr>
          <m:t>∑</m:t>
        </m:r>
        <m:sSub>
          <m:sSubPr>
            <m:ctrlPr>
              <w:rPr>
                <w:rFonts w:ascii="Cambria Math" w:hAnsi="Cambria Math" w:cs="Times New Roman"/>
                <w:lang w:val="en-NG"/>
              </w:rPr>
            </m:ctrlPr>
          </m:sSubPr>
          <m:e>
            <m:r>
              <w:rPr>
                <w:rFonts w:ascii="Cambria Math" w:hAnsi="Cambria Math" w:cs="Times New Roman"/>
                <w:lang w:val="en-NG"/>
              </w:rPr>
              <m:t>f</m:t>
            </m:r>
          </m:e>
          <m:sub>
            <m:r>
              <w:rPr>
                <w:rFonts w:ascii="Cambria Math" w:hAnsi="Cambria Math" w:cs="Times New Roman"/>
                <w:lang w:val="en-NG"/>
              </w:rPr>
              <m:t>i</m:t>
            </m:r>
          </m:sub>
        </m:sSub>
      </m:oMath>
      <w:r w:rsidRPr="00EF4754">
        <w:rPr>
          <w:rFonts w:ascii="Times New Roman" w:hAnsi="Times New Roman" w:cs="Times New Roman"/>
          <w:lang w:val="en-NG"/>
        </w:rPr>
        <w:t>denotes the total number of reviewed studies, which is 57. This metric provided a standardised basis for comparing the relative weight of each theme.</w:t>
      </w:r>
    </w:p>
    <w:p w14:paraId="3F16412D" w14:textId="77777777" w:rsidR="00EF4754" w:rsidRPr="00EF4754" w:rsidRDefault="00EF4754" w:rsidP="00915236">
      <w:pPr>
        <w:spacing w:before="240" w:after="240" w:line="240" w:lineRule="auto"/>
        <w:jc w:val="both"/>
        <w:rPr>
          <w:rFonts w:ascii="Times New Roman" w:hAnsi="Times New Roman" w:cs="Times New Roman"/>
          <w:b/>
          <w:bCs/>
          <w:lang w:val="en-NG"/>
        </w:rPr>
      </w:pPr>
      <w:r w:rsidRPr="00EF4754">
        <w:rPr>
          <w:rFonts w:ascii="Times New Roman" w:hAnsi="Times New Roman" w:cs="Times New Roman"/>
          <w:b/>
          <w:bCs/>
          <w:lang w:val="en-NG"/>
        </w:rPr>
        <w:t>3.7 Inferential Statistical Validation</w:t>
      </w:r>
    </w:p>
    <w:p w14:paraId="53CF3975" w14:textId="77777777" w:rsidR="00EF4754" w:rsidRPr="00EF4754" w:rsidRDefault="00EF4754" w:rsidP="00915236">
      <w:pPr>
        <w:spacing w:before="240" w:after="240" w:line="240" w:lineRule="auto"/>
        <w:jc w:val="both"/>
        <w:rPr>
          <w:rFonts w:ascii="Times New Roman" w:hAnsi="Times New Roman" w:cs="Times New Roman"/>
          <w:lang w:val="en-NG"/>
        </w:rPr>
      </w:pPr>
      <w:r w:rsidRPr="00EF4754">
        <w:rPr>
          <w:rFonts w:ascii="Times New Roman" w:hAnsi="Times New Roman" w:cs="Times New Roman"/>
          <w:lang w:val="en-NG"/>
        </w:rPr>
        <w:t>To determine whether the observed thematic distribution differed significantly from an equal distribution, a Chi-square goodness-of-fit test was used:</w:t>
      </w:r>
    </w:p>
    <w:p w14:paraId="4A475354" w14:textId="27FBEF41" w:rsidR="00EF4754" w:rsidRPr="00EF4754" w:rsidRDefault="00186DCB" w:rsidP="00915236">
      <w:pPr>
        <w:spacing w:before="240" w:after="240" w:line="240" w:lineRule="auto"/>
        <w:jc w:val="both"/>
        <w:rPr>
          <w:rFonts w:ascii="Times New Roman" w:hAnsi="Times New Roman" w:cs="Times New Roman"/>
          <w:lang w:val="en-NG"/>
        </w:rPr>
      </w:pPr>
      <m:oMathPara>
        <m:oMath>
          <m:sSup>
            <m:sSupPr>
              <m:ctrlPr>
                <w:rPr>
                  <w:rFonts w:ascii="Cambria Math" w:hAnsi="Cambria Math" w:cs="Times New Roman"/>
                  <w:lang w:val="en-NG"/>
                </w:rPr>
              </m:ctrlPr>
            </m:sSupPr>
            <m:e>
              <m:r>
                <w:rPr>
                  <w:rFonts w:ascii="Cambria Math" w:hAnsi="Cambria Math" w:cs="Times New Roman"/>
                  <w:lang w:val="en-NG"/>
                </w:rPr>
                <m:t>χ</m:t>
              </m:r>
            </m:e>
            <m:sup>
              <m:r>
                <w:rPr>
                  <w:rFonts w:ascii="Cambria Math" w:hAnsi="Cambria Math" w:cs="Times New Roman"/>
                  <w:lang w:val="en-NG"/>
                </w:rPr>
                <m:t>2</m:t>
              </m:r>
            </m:sup>
          </m:sSup>
          <m:r>
            <w:rPr>
              <w:rFonts w:ascii="Cambria Math" w:hAnsi="Cambria Math" w:cs="Times New Roman"/>
              <w:lang w:val="en-NG"/>
            </w:rPr>
            <m:t>=∑</m:t>
          </m:r>
          <m:f>
            <m:fPr>
              <m:ctrlPr>
                <w:rPr>
                  <w:rFonts w:ascii="Cambria Math" w:hAnsi="Cambria Math" w:cs="Times New Roman"/>
                  <w:lang w:val="en-NG"/>
                </w:rPr>
              </m:ctrlPr>
            </m:fPr>
            <m:num>
              <m:d>
                <m:dPr>
                  <m:sepChr m:val="−"/>
                  <m:endChr m:val=""/>
                  <m:ctrlPr>
                    <w:rPr>
                      <w:rFonts w:ascii="Cambria Math" w:hAnsi="Cambria Math" w:cs="Times New Roman"/>
                      <w:lang w:val="en-NG"/>
                    </w:rPr>
                  </m:ctrlPr>
                </m:dPr>
                <m:e>
                  <m:sSub>
                    <m:sSubPr>
                      <m:ctrlPr>
                        <w:rPr>
                          <w:rFonts w:ascii="Cambria Math" w:hAnsi="Cambria Math" w:cs="Times New Roman"/>
                          <w:lang w:val="en-NG"/>
                        </w:rPr>
                      </m:ctrlPr>
                    </m:sSubPr>
                    <m:e>
                      <m:r>
                        <w:rPr>
                          <w:rFonts w:ascii="Cambria Math" w:hAnsi="Cambria Math" w:cs="Times New Roman"/>
                          <w:lang w:val="en-NG"/>
                        </w:rPr>
                        <m:t>O</m:t>
                      </m:r>
                    </m:e>
                    <m:sub>
                      <m:r>
                        <w:rPr>
                          <w:rFonts w:ascii="Cambria Math" w:hAnsi="Cambria Math" w:cs="Times New Roman"/>
                          <w:lang w:val="en-NG"/>
                        </w:rPr>
                        <m:t>i</m:t>
                      </m:r>
                    </m:sub>
                  </m:sSub>
                </m:e>
                <m:e>
                  <m:sSub>
                    <m:sSubPr>
                      <m:ctrlPr>
                        <w:rPr>
                          <w:rFonts w:ascii="Cambria Math" w:hAnsi="Cambria Math" w:cs="Times New Roman"/>
                          <w:lang w:val="en-NG"/>
                        </w:rPr>
                      </m:ctrlPr>
                    </m:sSubPr>
                    <m:e>
                      <m:r>
                        <w:rPr>
                          <w:rFonts w:ascii="Cambria Math" w:hAnsi="Cambria Math" w:cs="Times New Roman"/>
                          <w:lang w:val="en-NG"/>
                        </w:rPr>
                        <m:t>E</m:t>
                      </m:r>
                    </m:e>
                    <m:sub>
                      <m:r>
                        <w:rPr>
                          <w:rFonts w:ascii="Cambria Math" w:hAnsi="Cambria Math" w:cs="Times New Roman"/>
                          <w:lang w:val="en-NG"/>
                        </w:rPr>
                        <m:t>i</m:t>
                      </m:r>
                    </m:sub>
                  </m:sSub>
                  <m:sSup>
                    <m:sSupPr>
                      <m:ctrlPr>
                        <w:rPr>
                          <w:rFonts w:ascii="Cambria Math" w:hAnsi="Cambria Math" w:cs="Times New Roman"/>
                          <w:lang w:val="en-NG"/>
                        </w:rPr>
                      </m:ctrlPr>
                    </m:sSupPr>
                    <m:e>
                      <m:r>
                        <w:rPr>
                          <w:rFonts w:ascii="Cambria Math" w:hAnsi="Cambria Math" w:cs="Times New Roman"/>
                          <w:lang w:val="en-NG"/>
                        </w:rPr>
                        <m:t>)</m:t>
                      </m:r>
                    </m:e>
                    <m:sup>
                      <m:r>
                        <w:rPr>
                          <w:rFonts w:ascii="Cambria Math" w:hAnsi="Cambria Math" w:cs="Times New Roman"/>
                          <w:lang w:val="en-NG"/>
                        </w:rPr>
                        <m:t>2</m:t>
                      </m:r>
                    </m:sup>
                  </m:sSup>
                </m:e>
              </m:d>
            </m:num>
            <m:den>
              <m:sSub>
                <m:sSubPr>
                  <m:ctrlPr>
                    <w:rPr>
                      <w:rFonts w:ascii="Cambria Math" w:hAnsi="Cambria Math" w:cs="Times New Roman"/>
                      <w:lang w:val="en-NG"/>
                    </w:rPr>
                  </m:ctrlPr>
                </m:sSubPr>
                <m:e>
                  <m:r>
                    <w:rPr>
                      <w:rFonts w:ascii="Cambria Math" w:hAnsi="Cambria Math" w:cs="Times New Roman"/>
                      <w:lang w:val="en-NG"/>
                    </w:rPr>
                    <m:t>E</m:t>
                  </m:r>
                </m:e>
                <m:sub>
                  <m:r>
                    <w:rPr>
                      <w:rFonts w:ascii="Cambria Math" w:hAnsi="Cambria Math" w:cs="Times New Roman"/>
                      <w:lang w:val="en-NG"/>
                    </w:rPr>
                    <m:t>i</m:t>
                  </m:r>
                </m:sub>
              </m:sSub>
            </m:den>
          </m:f>
          <m:r>
            <m:rPr>
              <m:sty m:val="p"/>
            </m:rPr>
            <w:rPr>
              <w:rFonts w:ascii="Times New Roman" w:hAnsi="Times New Roman" w:cs="Times New Roman"/>
              <w:lang w:val="en-NG"/>
            </w:rPr>
            <w:br/>
          </m:r>
        </m:oMath>
      </m:oMathPara>
      <w:r w:rsidR="00EF4754" w:rsidRPr="00EF4754">
        <w:rPr>
          <w:rFonts w:ascii="Times New Roman" w:hAnsi="Times New Roman" w:cs="Times New Roman"/>
          <w:lang w:val="en-NG"/>
        </w:rPr>
        <w:t xml:space="preserve">where </w:t>
      </w:r>
      <m:oMath>
        <m:sSub>
          <m:sSubPr>
            <m:ctrlPr>
              <w:rPr>
                <w:rFonts w:ascii="Cambria Math" w:hAnsi="Cambria Math" w:cs="Times New Roman"/>
                <w:lang w:val="en-NG"/>
              </w:rPr>
            </m:ctrlPr>
          </m:sSubPr>
          <m:e>
            <m:r>
              <w:rPr>
                <w:rFonts w:ascii="Cambria Math" w:hAnsi="Cambria Math" w:cs="Times New Roman"/>
                <w:lang w:val="en-NG"/>
              </w:rPr>
              <m:t>O</m:t>
            </m:r>
          </m:e>
          <m:sub>
            <m:r>
              <w:rPr>
                <w:rFonts w:ascii="Cambria Math" w:hAnsi="Cambria Math" w:cs="Times New Roman"/>
                <w:lang w:val="en-NG"/>
              </w:rPr>
              <m:t>i</m:t>
            </m:r>
          </m:sub>
        </m:sSub>
      </m:oMath>
      <w:r w:rsidR="00EF4754" w:rsidRPr="00EF4754">
        <w:rPr>
          <w:rFonts w:ascii="Times New Roman" w:hAnsi="Times New Roman" w:cs="Times New Roman"/>
          <w:lang w:val="en-NG"/>
        </w:rPr>
        <w:t xml:space="preserve">represents the observed frequency and </w:t>
      </w:r>
      <m:oMath>
        <m:sSub>
          <m:sSubPr>
            <m:ctrlPr>
              <w:rPr>
                <w:rFonts w:ascii="Cambria Math" w:hAnsi="Cambria Math" w:cs="Times New Roman"/>
                <w:lang w:val="en-NG"/>
              </w:rPr>
            </m:ctrlPr>
          </m:sSubPr>
          <m:e>
            <m:r>
              <w:rPr>
                <w:rFonts w:ascii="Cambria Math" w:hAnsi="Cambria Math" w:cs="Times New Roman"/>
                <w:lang w:val="en-NG"/>
              </w:rPr>
              <m:t>E</m:t>
            </m:r>
          </m:e>
          <m:sub>
            <m:r>
              <w:rPr>
                <w:rFonts w:ascii="Cambria Math" w:hAnsi="Cambria Math" w:cs="Times New Roman"/>
                <w:lang w:val="en-NG"/>
              </w:rPr>
              <m:t>i</m:t>
            </m:r>
          </m:sub>
        </m:sSub>
      </m:oMath>
      <w:r w:rsidR="00EF4754" w:rsidRPr="00EF4754">
        <w:rPr>
          <w:rFonts w:ascii="Times New Roman" w:hAnsi="Times New Roman" w:cs="Times New Roman"/>
          <w:lang w:val="en-NG"/>
        </w:rPr>
        <w:t xml:space="preserve">represents the expected frequency. Since 57 studies were distributed across three themes, the expected frequency for each category was 19. The test was conducted at </w:t>
      </w:r>
      <w:r w:rsidR="005D2EFF">
        <w:rPr>
          <w:rFonts w:ascii="Times New Roman" w:hAnsi="Times New Roman" w:cs="Times New Roman"/>
          <w:lang w:val="en-NG"/>
        </w:rPr>
        <w:t>the 0.05 significance level with 2</w:t>
      </w:r>
      <w:r w:rsidR="00EF4754" w:rsidRPr="00EF4754">
        <w:rPr>
          <w:rFonts w:ascii="Times New Roman" w:hAnsi="Times New Roman" w:cs="Times New Roman"/>
          <w:lang w:val="en-NG"/>
        </w:rPr>
        <w:t xml:space="preserve"> degrees of freedom. Descriptive statistics, including </w:t>
      </w:r>
      <w:r w:rsidR="005D2EFF">
        <w:rPr>
          <w:rFonts w:ascii="Times New Roman" w:hAnsi="Times New Roman" w:cs="Times New Roman"/>
          <w:lang w:val="en-NG"/>
        </w:rPr>
        <w:t>the mean, variance, and standard deviation, were also computed, and a</w:t>
      </w:r>
      <w:r w:rsidR="00EF4754" w:rsidRPr="00EF4754">
        <w:rPr>
          <w:rFonts w:ascii="Times New Roman" w:hAnsi="Times New Roman" w:cs="Times New Roman"/>
          <w:lang w:val="en-NG"/>
        </w:rPr>
        <w:t xml:space="preserve"> correlation-based synthesis assessed relationships among energy efficiency, carbon reduction, cost optimisation, and technology-enabled performance.</w:t>
      </w:r>
    </w:p>
    <w:p w14:paraId="2D54A119" w14:textId="77777777" w:rsidR="00EF4754" w:rsidRPr="00EF4754" w:rsidRDefault="00EF4754" w:rsidP="00915236">
      <w:pPr>
        <w:spacing w:before="240" w:after="240" w:line="240" w:lineRule="auto"/>
        <w:jc w:val="both"/>
        <w:rPr>
          <w:rFonts w:ascii="Times New Roman" w:hAnsi="Times New Roman" w:cs="Times New Roman"/>
          <w:b/>
          <w:bCs/>
          <w:lang w:val="en-NG"/>
        </w:rPr>
      </w:pPr>
      <w:r w:rsidRPr="00EF4754">
        <w:rPr>
          <w:rFonts w:ascii="Times New Roman" w:hAnsi="Times New Roman" w:cs="Times New Roman"/>
          <w:b/>
          <w:bCs/>
          <w:lang w:val="en-NG"/>
        </w:rPr>
        <w:t>3.8 Reliability, Validity, and Methodological Integrity</w:t>
      </w:r>
    </w:p>
    <w:p w14:paraId="22B4FEEC" w14:textId="77777777" w:rsidR="00EF4754" w:rsidRPr="00EF4754" w:rsidRDefault="00EF4754" w:rsidP="00915236">
      <w:pPr>
        <w:spacing w:before="240" w:after="240" w:line="240" w:lineRule="auto"/>
        <w:jc w:val="both"/>
        <w:rPr>
          <w:rFonts w:ascii="Times New Roman" w:hAnsi="Times New Roman" w:cs="Times New Roman"/>
          <w:lang w:val="en-NG"/>
        </w:rPr>
      </w:pPr>
      <w:r w:rsidRPr="00EF4754">
        <w:rPr>
          <w:rFonts w:ascii="Times New Roman" w:hAnsi="Times New Roman" w:cs="Times New Roman"/>
          <w:lang w:val="en-NG"/>
        </w:rPr>
        <w:t>Reliability was ensured through consistent application of PRISMA guidelines, structured data extraction, and independent screening procedures. Inter-reviewer agreement was assessed using Cohen’s Kappa coefficient, with Cohen’s Kappa = 0.82, indicating strong agreement and minimising subjective bias.</w:t>
      </w:r>
    </w:p>
    <w:p w14:paraId="14A4581D" w14:textId="77777777" w:rsidR="00EF4754" w:rsidRPr="00EF4754" w:rsidRDefault="00EF4754" w:rsidP="00915236">
      <w:pPr>
        <w:spacing w:before="240" w:after="240" w:line="240" w:lineRule="auto"/>
        <w:jc w:val="both"/>
        <w:rPr>
          <w:rFonts w:ascii="Times New Roman" w:hAnsi="Times New Roman" w:cs="Times New Roman"/>
          <w:lang w:val="en-NG"/>
        </w:rPr>
      </w:pPr>
      <w:r w:rsidRPr="00EF4754">
        <w:rPr>
          <w:rFonts w:ascii="Times New Roman" w:hAnsi="Times New Roman" w:cs="Times New Roman"/>
          <w:lang w:val="en-NG"/>
        </w:rPr>
        <w:t>Validity was reinforced through triangulation of peer-reviewed academic sources and authoritative international reports. The use of inferential statistics further strengthened analytical credibility by ensuring that findings were not merely descriptive but statistically grounded.</w:t>
      </w:r>
    </w:p>
    <w:p w14:paraId="7FD502BC" w14:textId="77777777" w:rsidR="00EF4754" w:rsidRPr="00EF4754" w:rsidRDefault="00EF4754" w:rsidP="00915236">
      <w:pPr>
        <w:spacing w:before="240" w:after="240" w:line="240" w:lineRule="auto"/>
        <w:jc w:val="both"/>
        <w:rPr>
          <w:rFonts w:ascii="Times New Roman" w:hAnsi="Times New Roman" w:cs="Times New Roman"/>
          <w:b/>
          <w:bCs/>
          <w:lang w:val="en-NG"/>
        </w:rPr>
      </w:pPr>
      <w:r w:rsidRPr="00EF4754">
        <w:rPr>
          <w:rFonts w:ascii="Times New Roman" w:hAnsi="Times New Roman" w:cs="Times New Roman"/>
          <w:b/>
          <w:bCs/>
          <w:lang w:val="en-NG"/>
        </w:rPr>
        <w:t>3.9 Methodological Limitations</w:t>
      </w:r>
    </w:p>
    <w:p w14:paraId="491ECE00" w14:textId="25837262" w:rsidR="00BA2E45" w:rsidRPr="00003AB3" w:rsidRDefault="00EF4754" w:rsidP="00915236">
      <w:pPr>
        <w:spacing w:before="240" w:after="240" w:line="240" w:lineRule="auto"/>
        <w:jc w:val="both"/>
        <w:rPr>
          <w:rFonts w:ascii="Times New Roman" w:hAnsi="Times New Roman" w:cs="Times New Roman"/>
          <w:lang w:val="en-NG"/>
        </w:rPr>
      </w:pPr>
      <w:r w:rsidRPr="00EF4754">
        <w:rPr>
          <w:rFonts w:ascii="Times New Roman" w:hAnsi="Times New Roman" w:cs="Times New Roman"/>
          <w:lang w:val="en-NG"/>
        </w:rPr>
        <w:t>The study is limited by its reliance on secondary data, which may introduce publication bias because studies with significant findings are more likely to be published. Differences in research methods across reviewed studies may also affect comparability, while the exclusion of non-English publications may limit global coverage. Nevertheless, the PRISMA-based design, clearly stated equations, reliability testing, and statistical validation strengthen the credibility and replicability of the review</w:t>
      </w:r>
      <w:r w:rsidR="00BA2E45" w:rsidRPr="00003AB3">
        <w:rPr>
          <w:rFonts w:ascii="Times New Roman" w:hAnsi="Times New Roman" w:cs="Times New Roman"/>
          <w:lang w:val="en-NG"/>
        </w:rPr>
        <w:t>.</w:t>
      </w:r>
    </w:p>
    <w:p w14:paraId="1AE7B11A" w14:textId="6EBC4B78" w:rsidR="00A9440F" w:rsidRPr="00734C3D" w:rsidRDefault="00734C3D" w:rsidP="00915236">
      <w:pPr>
        <w:spacing w:before="240" w:after="240" w:line="240" w:lineRule="auto"/>
        <w:jc w:val="both"/>
        <w:rPr>
          <w:rFonts w:ascii="Times New Roman" w:hAnsi="Times New Roman" w:cs="Times New Roman"/>
          <w:b/>
          <w:bCs/>
          <w:sz w:val="28"/>
          <w:szCs w:val="28"/>
          <w:lang w:val="en-NG"/>
        </w:rPr>
      </w:pPr>
      <w:r w:rsidRPr="00734C3D">
        <w:rPr>
          <w:rFonts w:ascii="Times New Roman" w:hAnsi="Times New Roman" w:cs="Times New Roman"/>
          <w:b/>
          <w:bCs/>
          <w:sz w:val="28"/>
          <w:szCs w:val="28"/>
          <w:lang w:val="en-NG"/>
        </w:rPr>
        <w:t>4.0 RESULTS AND DISCUSSION</w:t>
      </w:r>
    </w:p>
    <w:p w14:paraId="2A58263E" w14:textId="77777777" w:rsidR="00D70E66" w:rsidRPr="00D70E66" w:rsidRDefault="00D70E66" w:rsidP="00915236">
      <w:pPr>
        <w:spacing w:before="240" w:after="240" w:line="240" w:lineRule="auto"/>
        <w:jc w:val="both"/>
        <w:rPr>
          <w:rFonts w:ascii="Times New Roman" w:hAnsi="Times New Roman" w:cs="Times New Roman"/>
          <w:b/>
          <w:bCs/>
          <w:lang w:val="en-NG"/>
        </w:rPr>
      </w:pPr>
      <w:r w:rsidRPr="00D70E66">
        <w:rPr>
          <w:rFonts w:ascii="Times New Roman" w:hAnsi="Times New Roman" w:cs="Times New Roman"/>
          <w:b/>
          <w:bCs/>
          <w:lang w:val="en-NG"/>
        </w:rPr>
        <w:t>4.1 PRISMA Outcomes and Study Characteristics</w:t>
      </w:r>
    </w:p>
    <w:p w14:paraId="690F47F7" w14:textId="1F1FB271" w:rsidR="00D70E66" w:rsidRPr="00D70E66" w:rsidRDefault="00A51DF5" w:rsidP="00915236">
      <w:pPr>
        <w:spacing w:before="240" w:after="240" w:line="240" w:lineRule="auto"/>
        <w:jc w:val="both"/>
        <w:rPr>
          <w:rFonts w:ascii="Times New Roman" w:hAnsi="Times New Roman" w:cs="Times New Roman"/>
          <w:lang w:val="en-NG"/>
        </w:rPr>
      </w:pPr>
      <w:r w:rsidRPr="00A51DF5">
        <w:rPr>
          <w:rFonts w:ascii="Times New Roman" w:hAnsi="Times New Roman" w:cs="Times New Roman"/>
        </w:rPr>
        <w:lastRenderedPageBreak/>
        <w:t>PRISMA screening reduced 493 studies to 57 peer-reviewed articles, ensuring methodological rigour. The studies span simulations, fieldwork, experiments, and reviews, with a focus on Nigeria and comparable contexts. Simulation studies dominate due to the strengths of efficiency analysis, while field, experimental, and review approaches provide empirical validation and theoretical advancement</w:t>
      </w:r>
      <w:r w:rsidR="00D70E66" w:rsidRPr="00D70E66">
        <w:rPr>
          <w:rFonts w:ascii="Times New Roman" w:hAnsi="Times New Roman" w:cs="Times New Roman"/>
          <w:lang w:val="en-NG"/>
        </w:rPr>
        <w:t>.</w:t>
      </w:r>
    </w:p>
    <w:p w14:paraId="20F914E5" w14:textId="77777777" w:rsidR="00D70E66" w:rsidRPr="00D70E66" w:rsidRDefault="00D70E66" w:rsidP="00915236">
      <w:pPr>
        <w:spacing w:before="240" w:after="240" w:line="240" w:lineRule="auto"/>
        <w:jc w:val="both"/>
        <w:rPr>
          <w:rFonts w:ascii="Times New Roman" w:hAnsi="Times New Roman" w:cs="Times New Roman"/>
          <w:b/>
          <w:bCs/>
          <w:lang w:val="en-NG"/>
        </w:rPr>
      </w:pPr>
      <w:r w:rsidRPr="00D70E66">
        <w:rPr>
          <w:rFonts w:ascii="Times New Roman" w:hAnsi="Times New Roman" w:cs="Times New Roman"/>
          <w:b/>
          <w:bCs/>
          <w:lang w:val="en-NG"/>
        </w:rPr>
        <w:t>4.2 Thematic Distribution of Climate-Smart Housing Strategies</w:t>
      </w:r>
    </w:p>
    <w:p w14:paraId="0EA34E97" w14:textId="1494A72C" w:rsidR="00D70E66" w:rsidRPr="00D70E66" w:rsidRDefault="0057407A" w:rsidP="00915236">
      <w:pPr>
        <w:spacing w:before="240" w:after="240" w:line="240" w:lineRule="auto"/>
        <w:jc w:val="both"/>
        <w:rPr>
          <w:rFonts w:ascii="Times New Roman" w:hAnsi="Times New Roman" w:cs="Times New Roman"/>
          <w:lang w:val="en-NG"/>
        </w:rPr>
      </w:pPr>
      <w:r w:rsidRPr="0057407A">
        <w:rPr>
          <w:rFonts w:ascii="Times New Roman" w:hAnsi="Times New Roman" w:cs="Times New Roman"/>
        </w:rPr>
        <w:t xml:space="preserve">The reviewed studies were categorised into three principal domains: passive design strategies, low-carbon materials, and digital technologies. The distribution and corresponding Weighted Frequency Index (WFI) are presented in Table </w:t>
      </w:r>
      <w:r>
        <w:rPr>
          <w:rFonts w:ascii="Times New Roman" w:hAnsi="Times New Roman" w:cs="Times New Roman"/>
        </w:rPr>
        <w:t>1</w:t>
      </w:r>
      <w:r w:rsidR="00D70E66" w:rsidRPr="00D70E66">
        <w:rPr>
          <w:rFonts w:ascii="Times New Roman" w:hAnsi="Times New Roman" w:cs="Times New Roman"/>
          <w:lang w:val="en-NG"/>
        </w:rPr>
        <w:t>.</w:t>
      </w:r>
    </w:p>
    <w:p w14:paraId="2A0AAF94" w14:textId="6DB0900B" w:rsidR="00D70E66" w:rsidRDefault="00D70E66" w:rsidP="00A12E0E">
      <w:pPr>
        <w:spacing w:after="0" w:line="240" w:lineRule="auto"/>
        <w:jc w:val="center"/>
        <w:rPr>
          <w:rFonts w:ascii="Times New Roman" w:hAnsi="Times New Roman" w:cs="Times New Roman"/>
          <w:b/>
          <w:bCs/>
          <w:lang w:val="en-NG"/>
        </w:rPr>
      </w:pPr>
      <w:r w:rsidRPr="00D70E66">
        <w:rPr>
          <w:rFonts w:ascii="Times New Roman" w:hAnsi="Times New Roman" w:cs="Times New Roman"/>
          <w:b/>
          <w:bCs/>
          <w:lang w:val="en-NG"/>
        </w:rPr>
        <w:t>Table 1: Thematic Distribution and Weighted Frequency Index (WFI)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701"/>
        <w:gridCol w:w="2552"/>
        <w:gridCol w:w="1417"/>
      </w:tblGrid>
      <w:tr w:rsidR="007E4D58" w:rsidRPr="007E4D58" w14:paraId="632F81D5" w14:textId="77777777" w:rsidTr="00A12E0E">
        <w:trPr>
          <w:jc w:val="center"/>
        </w:trPr>
        <w:tc>
          <w:tcPr>
            <w:tcW w:w="3397" w:type="dxa"/>
            <w:tcBorders>
              <w:bottom w:val="single" w:sz="4" w:space="0" w:color="auto"/>
            </w:tcBorders>
            <w:vAlign w:val="center"/>
          </w:tcPr>
          <w:p w14:paraId="6AA16085" w14:textId="3F383CB2" w:rsidR="007E4D58" w:rsidRPr="007E4D58" w:rsidRDefault="007E4D58" w:rsidP="00E8549C">
            <w:pPr>
              <w:jc w:val="both"/>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Theme</w:t>
            </w:r>
          </w:p>
        </w:tc>
        <w:tc>
          <w:tcPr>
            <w:tcW w:w="1701" w:type="dxa"/>
            <w:tcBorders>
              <w:bottom w:val="single" w:sz="4" w:space="0" w:color="auto"/>
            </w:tcBorders>
            <w:vAlign w:val="center"/>
          </w:tcPr>
          <w:p w14:paraId="4C00B1AC" w14:textId="6B7D4A69" w:rsidR="007E4D58" w:rsidRPr="007E4D58" w:rsidRDefault="007E4D58" w:rsidP="00E8549C">
            <w:pPr>
              <w:jc w:val="cente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Frequency (fi)</w:t>
            </w:r>
          </w:p>
        </w:tc>
        <w:tc>
          <w:tcPr>
            <w:tcW w:w="2552" w:type="dxa"/>
            <w:tcBorders>
              <w:bottom w:val="single" w:sz="4" w:space="0" w:color="auto"/>
            </w:tcBorders>
            <w:vAlign w:val="center"/>
          </w:tcPr>
          <w:p w14:paraId="51ACE7C7" w14:textId="409C7E81" w:rsidR="007E4D58" w:rsidRPr="007E4D58" w:rsidRDefault="007E4D58" w:rsidP="00E8549C">
            <w:pPr>
              <w:jc w:val="cente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WFI (%) Calculation</w:t>
            </w:r>
          </w:p>
        </w:tc>
        <w:tc>
          <w:tcPr>
            <w:tcW w:w="1417" w:type="dxa"/>
            <w:tcBorders>
              <w:bottom w:val="single" w:sz="4" w:space="0" w:color="auto"/>
            </w:tcBorders>
            <w:vAlign w:val="center"/>
          </w:tcPr>
          <w:p w14:paraId="7144A464" w14:textId="4EADE51E" w:rsidR="007E4D58" w:rsidRPr="007E4D58" w:rsidRDefault="007E4D58" w:rsidP="00E8549C">
            <w:pPr>
              <w:jc w:val="cente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WFI (%)</w:t>
            </w:r>
          </w:p>
        </w:tc>
      </w:tr>
      <w:tr w:rsidR="007E4D58" w:rsidRPr="007E4D58" w14:paraId="2F00F17E" w14:textId="77777777" w:rsidTr="00A12E0E">
        <w:trPr>
          <w:jc w:val="center"/>
        </w:trPr>
        <w:tc>
          <w:tcPr>
            <w:tcW w:w="3397" w:type="dxa"/>
            <w:tcBorders>
              <w:top w:val="single" w:sz="4" w:space="0" w:color="auto"/>
            </w:tcBorders>
            <w:vAlign w:val="center"/>
          </w:tcPr>
          <w:p w14:paraId="2D74815D" w14:textId="523D435E" w:rsidR="007E4D58" w:rsidRPr="007E4D58" w:rsidRDefault="007E4D58" w:rsidP="00E8549C">
            <w:pPr>
              <w:jc w:val="both"/>
              <w:rPr>
                <w:rFonts w:ascii="Times New Roman" w:hAnsi="Times New Roman" w:cs="Times New Roman"/>
                <w:b/>
                <w:bCs/>
                <w:sz w:val="22"/>
                <w:szCs w:val="22"/>
                <w:lang w:val="en-NG"/>
              </w:rPr>
            </w:pPr>
            <w:r w:rsidRPr="00D70E66">
              <w:rPr>
                <w:rFonts w:ascii="Times New Roman" w:hAnsi="Times New Roman" w:cs="Times New Roman"/>
                <w:sz w:val="22"/>
                <w:szCs w:val="22"/>
                <w:lang w:val="en-NG"/>
              </w:rPr>
              <w:t>Passive Design Strategies</w:t>
            </w:r>
          </w:p>
        </w:tc>
        <w:tc>
          <w:tcPr>
            <w:tcW w:w="1701" w:type="dxa"/>
            <w:tcBorders>
              <w:top w:val="single" w:sz="4" w:space="0" w:color="auto"/>
            </w:tcBorders>
            <w:vAlign w:val="center"/>
          </w:tcPr>
          <w:p w14:paraId="6993A187" w14:textId="134E49C3" w:rsidR="007E4D58" w:rsidRPr="007E4D58" w:rsidRDefault="007E4D58" w:rsidP="00E8549C">
            <w:pPr>
              <w:jc w:val="center"/>
              <w:rPr>
                <w:rFonts w:ascii="Times New Roman" w:hAnsi="Times New Roman" w:cs="Times New Roman"/>
                <w:b/>
                <w:bCs/>
                <w:sz w:val="22"/>
                <w:szCs w:val="22"/>
                <w:lang w:val="en-NG"/>
              </w:rPr>
            </w:pPr>
            <w:r w:rsidRPr="00D70E66">
              <w:rPr>
                <w:rFonts w:ascii="Times New Roman" w:hAnsi="Times New Roman" w:cs="Times New Roman"/>
                <w:sz w:val="22"/>
                <w:szCs w:val="22"/>
                <w:lang w:val="en-NG"/>
              </w:rPr>
              <w:t>22</w:t>
            </w:r>
          </w:p>
        </w:tc>
        <w:tc>
          <w:tcPr>
            <w:tcW w:w="2552" w:type="dxa"/>
            <w:tcBorders>
              <w:top w:val="single" w:sz="4" w:space="0" w:color="auto"/>
            </w:tcBorders>
            <w:vAlign w:val="center"/>
          </w:tcPr>
          <w:p w14:paraId="5FA8A297" w14:textId="3D7084CC" w:rsidR="007E4D58" w:rsidRPr="007E4D58" w:rsidRDefault="007E4D58" w:rsidP="00E8549C">
            <w:pPr>
              <w:jc w:val="center"/>
              <w:rPr>
                <w:rFonts w:ascii="Times New Roman" w:hAnsi="Times New Roman" w:cs="Times New Roman"/>
                <w:b/>
                <w:bCs/>
                <w:sz w:val="22"/>
                <w:szCs w:val="22"/>
                <w:lang w:val="en-NG"/>
              </w:rPr>
            </w:pPr>
            <w:r w:rsidRPr="00D70E66">
              <w:rPr>
                <w:rFonts w:ascii="Times New Roman" w:hAnsi="Times New Roman" w:cs="Times New Roman"/>
                <w:sz w:val="22"/>
                <w:szCs w:val="22"/>
                <w:lang w:val="en-NG"/>
              </w:rPr>
              <w:t>(22 / 57) × 100</w:t>
            </w:r>
          </w:p>
        </w:tc>
        <w:tc>
          <w:tcPr>
            <w:tcW w:w="1417" w:type="dxa"/>
            <w:tcBorders>
              <w:top w:val="single" w:sz="4" w:space="0" w:color="auto"/>
            </w:tcBorders>
            <w:vAlign w:val="center"/>
          </w:tcPr>
          <w:p w14:paraId="63725FEF" w14:textId="20A3607A" w:rsidR="007E4D58" w:rsidRPr="007E4D58" w:rsidRDefault="007E4D58" w:rsidP="00E8549C">
            <w:pPr>
              <w:jc w:val="center"/>
              <w:rPr>
                <w:rFonts w:ascii="Times New Roman" w:hAnsi="Times New Roman" w:cs="Times New Roman"/>
                <w:b/>
                <w:bCs/>
                <w:sz w:val="22"/>
                <w:szCs w:val="22"/>
                <w:lang w:val="en-NG"/>
              </w:rPr>
            </w:pPr>
            <w:r w:rsidRPr="00D70E66">
              <w:rPr>
                <w:rFonts w:ascii="Times New Roman" w:hAnsi="Times New Roman" w:cs="Times New Roman"/>
                <w:sz w:val="22"/>
                <w:szCs w:val="22"/>
                <w:lang w:val="en-NG"/>
              </w:rPr>
              <w:t>38.60</w:t>
            </w:r>
          </w:p>
        </w:tc>
      </w:tr>
      <w:tr w:rsidR="007E4D58" w:rsidRPr="007E4D58" w14:paraId="74BE6325" w14:textId="77777777" w:rsidTr="00A12E0E">
        <w:trPr>
          <w:jc w:val="center"/>
        </w:trPr>
        <w:tc>
          <w:tcPr>
            <w:tcW w:w="3397" w:type="dxa"/>
            <w:vAlign w:val="center"/>
          </w:tcPr>
          <w:p w14:paraId="6732D3D1" w14:textId="46EE69D8" w:rsidR="007E4D58" w:rsidRPr="007E4D58" w:rsidRDefault="007E4D58" w:rsidP="00E8549C">
            <w:pPr>
              <w:jc w:val="both"/>
              <w:rPr>
                <w:rFonts w:ascii="Times New Roman" w:hAnsi="Times New Roman" w:cs="Times New Roman"/>
                <w:sz w:val="22"/>
                <w:szCs w:val="22"/>
                <w:lang w:val="en-NG"/>
              </w:rPr>
            </w:pPr>
            <w:r w:rsidRPr="00D70E66">
              <w:rPr>
                <w:rFonts w:ascii="Times New Roman" w:hAnsi="Times New Roman" w:cs="Times New Roman"/>
                <w:sz w:val="22"/>
                <w:szCs w:val="22"/>
                <w:lang w:val="en-NG"/>
              </w:rPr>
              <w:t>Low-Carbon Materials</w:t>
            </w:r>
          </w:p>
        </w:tc>
        <w:tc>
          <w:tcPr>
            <w:tcW w:w="1701" w:type="dxa"/>
            <w:vAlign w:val="center"/>
          </w:tcPr>
          <w:p w14:paraId="23F4F7DB" w14:textId="435F506C" w:rsidR="007E4D58" w:rsidRPr="007E4D58" w:rsidRDefault="007E4D58"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19</w:t>
            </w:r>
          </w:p>
        </w:tc>
        <w:tc>
          <w:tcPr>
            <w:tcW w:w="2552" w:type="dxa"/>
            <w:vAlign w:val="center"/>
          </w:tcPr>
          <w:p w14:paraId="07D55ADD" w14:textId="3A9D079E" w:rsidR="007E4D58" w:rsidRPr="007E4D58" w:rsidRDefault="007E4D58"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(19 / 57) × 100</w:t>
            </w:r>
          </w:p>
        </w:tc>
        <w:tc>
          <w:tcPr>
            <w:tcW w:w="1417" w:type="dxa"/>
            <w:vAlign w:val="center"/>
          </w:tcPr>
          <w:p w14:paraId="1F0B7CA5" w14:textId="3539FDB5" w:rsidR="007E4D58" w:rsidRPr="007E4D58" w:rsidRDefault="007E4D58"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33.33</w:t>
            </w:r>
          </w:p>
        </w:tc>
      </w:tr>
      <w:tr w:rsidR="007E4D58" w:rsidRPr="007E4D58" w14:paraId="65F7CA0B" w14:textId="77777777" w:rsidTr="00A12E0E">
        <w:trPr>
          <w:jc w:val="center"/>
        </w:trPr>
        <w:tc>
          <w:tcPr>
            <w:tcW w:w="3397" w:type="dxa"/>
            <w:vAlign w:val="center"/>
          </w:tcPr>
          <w:p w14:paraId="300D6A7B" w14:textId="6E0EF9E2" w:rsidR="007E4D58" w:rsidRPr="007E4D58" w:rsidRDefault="007E4D58" w:rsidP="00E8549C">
            <w:pPr>
              <w:jc w:val="both"/>
              <w:rPr>
                <w:rFonts w:ascii="Times New Roman" w:hAnsi="Times New Roman" w:cs="Times New Roman"/>
                <w:sz w:val="22"/>
                <w:szCs w:val="22"/>
                <w:lang w:val="en-NG"/>
              </w:rPr>
            </w:pPr>
            <w:r w:rsidRPr="00D70E66">
              <w:rPr>
                <w:rFonts w:ascii="Times New Roman" w:hAnsi="Times New Roman" w:cs="Times New Roman"/>
                <w:sz w:val="22"/>
                <w:szCs w:val="22"/>
                <w:lang w:val="en-NG"/>
              </w:rPr>
              <w:t>Digital Technologies (BIM/GIS)</w:t>
            </w:r>
          </w:p>
        </w:tc>
        <w:tc>
          <w:tcPr>
            <w:tcW w:w="1701" w:type="dxa"/>
            <w:vAlign w:val="center"/>
          </w:tcPr>
          <w:p w14:paraId="0DBAC030" w14:textId="4F9556E6" w:rsidR="007E4D58" w:rsidRPr="007E4D58" w:rsidRDefault="007E4D58"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16</w:t>
            </w:r>
          </w:p>
        </w:tc>
        <w:tc>
          <w:tcPr>
            <w:tcW w:w="2552" w:type="dxa"/>
            <w:vAlign w:val="center"/>
          </w:tcPr>
          <w:p w14:paraId="506B9A33" w14:textId="2F33A2E0" w:rsidR="007E4D58" w:rsidRPr="007E4D58" w:rsidRDefault="007E4D58"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(16 / 57) × 100</w:t>
            </w:r>
          </w:p>
        </w:tc>
        <w:tc>
          <w:tcPr>
            <w:tcW w:w="1417" w:type="dxa"/>
            <w:vAlign w:val="center"/>
          </w:tcPr>
          <w:p w14:paraId="4B07692C" w14:textId="6AFC45BC" w:rsidR="007E4D58" w:rsidRPr="007E4D58" w:rsidRDefault="007E4D58"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28.07</w:t>
            </w:r>
          </w:p>
        </w:tc>
      </w:tr>
      <w:tr w:rsidR="007E4D58" w:rsidRPr="007E4D58" w14:paraId="61591C5E" w14:textId="77777777" w:rsidTr="00A12E0E">
        <w:trPr>
          <w:jc w:val="center"/>
        </w:trPr>
        <w:tc>
          <w:tcPr>
            <w:tcW w:w="3397" w:type="dxa"/>
            <w:vAlign w:val="center"/>
          </w:tcPr>
          <w:p w14:paraId="40F58887" w14:textId="32A23278" w:rsidR="007E4D58" w:rsidRPr="007E4D58" w:rsidRDefault="007E4D58" w:rsidP="00E8549C">
            <w:pPr>
              <w:jc w:val="both"/>
              <w:rPr>
                <w:rFonts w:ascii="Times New Roman" w:hAnsi="Times New Roman" w:cs="Times New Roman"/>
                <w:sz w:val="22"/>
                <w:szCs w:val="22"/>
                <w:lang w:val="en-NG"/>
              </w:rPr>
            </w:pPr>
            <w:r w:rsidRPr="00D70E66">
              <w:rPr>
                <w:rFonts w:ascii="Times New Roman" w:hAnsi="Times New Roman" w:cs="Times New Roman"/>
                <w:b/>
                <w:bCs/>
                <w:sz w:val="22"/>
                <w:szCs w:val="22"/>
                <w:lang w:val="en-NG"/>
              </w:rPr>
              <w:t>Total</w:t>
            </w:r>
          </w:p>
        </w:tc>
        <w:tc>
          <w:tcPr>
            <w:tcW w:w="1701" w:type="dxa"/>
            <w:vAlign w:val="center"/>
          </w:tcPr>
          <w:p w14:paraId="2683698D" w14:textId="1376E3CA" w:rsidR="007E4D58" w:rsidRPr="007E4D58" w:rsidRDefault="007E4D58" w:rsidP="00E8549C">
            <w:pPr>
              <w:jc w:val="center"/>
              <w:rPr>
                <w:rFonts w:ascii="Times New Roman" w:hAnsi="Times New Roman" w:cs="Times New Roman"/>
                <w:sz w:val="22"/>
                <w:szCs w:val="22"/>
                <w:lang w:val="en-NG"/>
              </w:rPr>
            </w:pPr>
            <w:r w:rsidRPr="00D70E66">
              <w:rPr>
                <w:rFonts w:ascii="Times New Roman" w:hAnsi="Times New Roman" w:cs="Times New Roman"/>
                <w:b/>
                <w:bCs/>
                <w:sz w:val="22"/>
                <w:szCs w:val="22"/>
                <w:lang w:val="en-NG"/>
              </w:rPr>
              <w:t>57</w:t>
            </w:r>
          </w:p>
        </w:tc>
        <w:tc>
          <w:tcPr>
            <w:tcW w:w="2552" w:type="dxa"/>
            <w:vAlign w:val="center"/>
          </w:tcPr>
          <w:p w14:paraId="1A751D24" w14:textId="77777777" w:rsidR="007E4D58" w:rsidRPr="007E4D58" w:rsidRDefault="007E4D58" w:rsidP="00E8549C">
            <w:pPr>
              <w:jc w:val="center"/>
              <w:rPr>
                <w:rFonts w:ascii="Times New Roman" w:hAnsi="Times New Roman" w:cs="Times New Roman"/>
                <w:sz w:val="22"/>
                <w:szCs w:val="22"/>
                <w:lang w:val="en-NG"/>
              </w:rPr>
            </w:pPr>
          </w:p>
        </w:tc>
        <w:tc>
          <w:tcPr>
            <w:tcW w:w="1417" w:type="dxa"/>
            <w:vAlign w:val="center"/>
          </w:tcPr>
          <w:p w14:paraId="19EBBC88" w14:textId="530D66B7" w:rsidR="007E4D58" w:rsidRPr="007E4D58" w:rsidRDefault="007E4D58" w:rsidP="00E8549C">
            <w:pPr>
              <w:jc w:val="center"/>
              <w:rPr>
                <w:rFonts w:ascii="Times New Roman" w:hAnsi="Times New Roman" w:cs="Times New Roman"/>
                <w:sz w:val="22"/>
                <w:szCs w:val="22"/>
                <w:lang w:val="en-NG"/>
              </w:rPr>
            </w:pPr>
            <w:r w:rsidRPr="00D70E66">
              <w:rPr>
                <w:rFonts w:ascii="Times New Roman" w:hAnsi="Times New Roman" w:cs="Times New Roman"/>
                <w:b/>
                <w:bCs/>
                <w:sz w:val="22"/>
                <w:szCs w:val="22"/>
                <w:lang w:val="en-NG"/>
              </w:rPr>
              <w:t>100</w:t>
            </w:r>
          </w:p>
        </w:tc>
      </w:tr>
    </w:tbl>
    <w:p w14:paraId="531D6088" w14:textId="067D7EE5" w:rsidR="00D70E66" w:rsidRPr="00D70E66" w:rsidRDefault="0086393C" w:rsidP="00915236">
      <w:pPr>
        <w:spacing w:before="240" w:after="240" w:line="240" w:lineRule="auto"/>
        <w:jc w:val="both"/>
        <w:rPr>
          <w:rFonts w:ascii="Times New Roman" w:hAnsi="Times New Roman" w:cs="Times New Roman"/>
          <w:lang w:val="en-NG"/>
        </w:rPr>
      </w:pPr>
      <w:r w:rsidRPr="0086393C">
        <w:rPr>
          <w:rFonts w:ascii="Times New Roman" w:hAnsi="Times New Roman" w:cs="Times New Roman"/>
        </w:rPr>
        <w:t>The results indicate that passive design strategies constitute the most prominent research focus (38.60%), followed by low-carbon materials (33.33%) and digital technologies (28.07%). The relatively balanced distribution suggests a multi-dimensional system in which no single strategy is overwhelmingly dominant</w:t>
      </w:r>
      <w:r w:rsidR="00D70E66" w:rsidRPr="00D70E66">
        <w:rPr>
          <w:rFonts w:ascii="Times New Roman" w:hAnsi="Times New Roman" w:cs="Times New Roman"/>
          <w:lang w:val="en-NG"/>
        </w:rPr>
        <w:t>.</w:t>
      </w:r>
    </w:p>
    <w:p w14:paraId="76459848" w14:textId="77777777" w:rsidR="00D70E66" w:rsidRPr="00D70E66" w:rsidRDefault="00D70E66" w:rsidP="00915236">
      <w:pPr>
        <w:spacing w:before="240" w:after="240" w:line="240" w:lineRule="auto"/>
        <w:jc w:val="both"/>
        <w:rPr>
          <w:rFonts w:ascii="Times New Roman" w:hAnsi="Times New Roman" w:cs="Times New Roman"/>
          <w:b/>
          <w:bCs/>
          <w:lang w:val="en-NG"/>
        </w:rPr>
      </w:pPr>
      <w:r w:rsidRPr="00D70E66">
        <w:rPr>
          <w:rFonts w:ascii="Times New Roman" w:hAnsi="Times New Roman" w:cs="Times New Roman"/>
          <w:b/>
          <w:bCs/>
          <w:lang w:val="en-NG"/>
        </w:rPr>
        <w:t>4.3 Descriptive Statistical Analysis</w:t>
      </w:r>
    </w:p>
    <w:p w14:paraId="66EFF206" w14:textId="77777777" w:rsidR="00D70E66" w:rsidRPr="00D70E66" w:rsidRDefault="00D70E66" w:rsidP="00915236">
      <w:pPr>
        <w:spacing w:before="240" w:after="240" w:line="240" w:lineRule="auto"/>
        <w:jc w:val="both"/>
        <w:rPr>
          <w:rFonts w:ascii="Times New Roman" w:hAnsi="Times New Roman" w:cs="Times New Roman"/>
          <w:lang w:val="en-NG"/>
        </w:rPr>
      </w:pPr>
      <w:r w:rsidRPr="00D70E66">
        <w:rPr>
          <w:rFonts w:ascii="Times New Roman" w:hAnsi="Times New Roman" w:cs="Times New Roman"/>
          <w:lang w:val="en-NG"/>
        </w:rPr>
        <w:t>To assess the dispersion and consistency of thematic representation, descriptive statistics were computed based on the observed frequencies.</w:t>
      </w:r>
    </w:p>
    <w:p w14:paraId="1E24B15D" w14:textId="250596C4" w:rsidR="00D70E66" w:rsidRDefault="00D70E66" w:rsidP="00A12E0E">
      <w:pPr>
        <w:spacing w:after="0" w:line="240" w:lineRule="auto"/>
        <w:jc w:val="center"/>
        <w:rPr>
          <w:rFonts w:ascii="Times New Roman" w:hAnsi="Times New Roman" w:cs="Times New Roman"/>
          <w:b/>
          <w:bCs/>
          <w:lang w:val="en-NG"/>
        </w:rPr>
      </w:pPr>
      <w:r w:rsidRPr="00D70E66">
        <w:rPr>
          <w:rFonts w:ascii="Times New Roman" w:hAnsi="Times New Roman" w:cs="Times New Roman"/>
          <w:b/>
          <w:bCs/>
          <w:lang w:val="en-NG"/>
        </w:rPr>
        <w:t>Table 2: Descriptive Statistics of Thematic Distribution</w:t>
      </w:r>
    </w:p>
    <w:tbl>
      <w:tblPr>
        <w:tblStyle w:val="TableGrid"/>
        <w:tblW w:w="91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7"/>
        <w:gridCol w:w="4587"/>
      </w:tblGrid>
      <w:tr w:rsidR="004C707D" w:rsidRPr="00EF08C0" w14:paraId="0F8B5C5D" w14:textId="77777777" w:rsidTr="00A12E0E">
        <w:trPr>
          <w:jc w:val="center"/>
        </w:trPr>
        <w:tc>
          <w:tcPr>
            <w:tcW w:w="4587" w:type="dxa"/>
            <w:tcBorders>
              <w:bottom w:val="single" w:sz="4" w:space="0" w:color="auto"/>
            </w:tcBorders>
            <w:vAlign w:val="center"/>
          </w:tcPr>
          <w:p w14:paraId="13A82887" w14:textId="5BBFA6BD" w:rsidR="004C707D" w:rsidRPr="00EF08C0" w:rsidRDefault="004C707D" w:rsidP="00E8549C">
            <w:pPr>
              <w:jc w:val="both"/>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Statistic</w:t>
            </w:r>
          </w:p>
        </w:tc>
        <w:tc>
          <w:tcPr>
            <w:tcW w:w="4587" w:type="dxa"/>
            <w:tcBorders>
              <w:bottom w:val="single" w:sz="4" w:space="0" w:color="auto"/>
            </w:tcBorders>
            <w:vAlign w:val="center"/>
          </w:tcPr>
          <w:p w14:paraId="35277B3D" w14:textId="626C9386" w:rsidR="004C707D" w:rsidRPr="00EF08C0" w:rsidRDefault="004C707D" w:rsidP="00E8549C">
            <w:pPr>
              <w:jc w:val="cente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Value</w:t>
            </w:r>
          </w:p>
        </w:tc>
      </w:tr>
      <w:tr w:rsidR="004C707D" w:rsidRPr="00EF08C0" w14:paraId="5591EF06" w14:textId="77777777" w:rsidTr="00A12E0E">
        <w:trPr>
          <w:jc w:val="center"/>
        </w:trPr>
        <w:tc>
          <w:tcPr>
            <w:tcW w:w="4587" w:type="dxa"/>
            <w:tcBorders>
              <w:top w:val="single" w:sz="4" w:space="0" w:color="auto"/>
            </w:tcBorders>
            <w:vAlign w:val="center"/>
          </w:tcPr>
          <w:p w14:paraId="4C73F204" w14:textId="5A8B9677" w:rsidR="004C707D" w:rsidRPr="00EF08C0" w:rsidRDefault="004C707D" w:rsidP="00E8549C">
            <w:pPr>
              <w:jc w:val="both"/>
              <w:rPr>
                <w:rFonts w:ascii="Times New Roman" w:hAnsi="Times New Roman" w:cs="Times New Roman"/>
                <w:b/>
                <w:bCs/>
                <w:sz w:val="22"/>
                <w:szCs w:val="22"/>
                <w:lang w:val="en-NG"/>
              </w:rPr>
            </w:pPr>
            <w:r w:rsidRPr="00D70E66">
              <w:rPr>
                <w:rFonts w:ascii="Times New Roman" w:hAnsi="Times New Roman" w:cs="Times New Roman"/>
                <w:sz w:val="22"/>
                <w:szCs w:val="22"/>
                <w:lang w:val="en-NG"/>
              </w:rPr>
              <w:t>Mean (μ)</w:t>
            </w:r>
          </w:p>
        </w:tc>
        <w:tc>
          <w:tcPr>
            <w:tcW w:w="4587" w:type="dxa"/>
            <w:tcBorders>
              <w:top w:val="single" w:sz="4" w:space="0" w:color="auto"/>
            </w:tcBorders>
            <w:vAlign w:val="center"/>
          </w:tcPr>
          <w:p w14:paraId="17186C6E" w14:textId="3818328A" w:rsidR="004C707D" w:rsidRPr="00EF08C0" w:rsidRDefault="004C707D" w:rsidP="00E8549C">
            <w:pPr>
              <w:jc w:val="center"/>
              <w:rPr>
                <w:rFonts w:ascii="Times New Roman" w:hAnsi="Times New Roman" w:cs="Times New Roman"/>
                <w:b/>
                <w:bCs/>
                <w:sz w:val="22"/>
                <w:szCs w:val="22"/>
                <w:lang w:val="en-NG"/>
              </w:rPr>
            </w:pPr>
            <w:r w:rsidRPr="00D70E66">
              <w:rPr>
                <w:rFonts w:ascii="Times New Roman" w:hAnsi="Times New Roman" w:cs="Times New Roman"/>
                <w:sz w:val="22"/>
                <w:szCs w:val="22"/>
                <w:lang w:val="en-NG"/>
              </w:rPr>
              <w:t>19.0</w:t>
            </w:r>
          </w:p>
        </w:tc>
      </w:tr>
      <w:tr w:rsidR="004C707D" w:rsidRPr="00EF08C0" w14:paraId="65A2552B" w14:textId="77777777" w:rsidTr="00A12E0E">
        <w:trPr>
          <w:jc w:val="center"/>
        </w:trPr>
        <w:tc>
          <w:tcPr>
            <w:tcW w:w="4587" w:type="dxa"/>
            <w:vAlign w:val="center"/>
          </w:tcPr>
          <w:p w14:paraId="663BFAD6" w14:textId="1FAA3EAC" w:rsidR="004C707D" w:rsidRPr="00EF08C0" w:rsidRDefault="004C707D" w:rsidP="00E8549C">
            <w:pPr>
              <w:jc w:val="both"/>
              <w:rPr>
                <w:rFonts w:ascii="Times New Roman" w:hAnsi="Times New Roman" w:cs="Times New Roman"/>
                <w:sz w:val="22"/>
                <w:szCs w:val="22"/>
                <w:lang w:val="en-NG"/>
              </w:rPr>
            </w:pPr>
            <w:r w:rsidRPr="00D70E66">
              <w:rPr>
                <w:rFonts w:ascii="Times New Roman" w:hAnsi="Times New Roman" w:cs="Times New Roman"/>
                <w:sz w:val="22"/>
                <w:szCs w:val="22"/>
                <w:lang w:val="en-NG"/>
              </w:rPr>
              <w:t>Variance (σ²)</w:t>
            </w:r>
          </w:p>
        </w:tc>
        <w:tc>
          <w:tcPr>
            <w:tcW w:w="4587" w:type="dxa"/>
            <w:vAlign w:val="center"/>
          </w:tcPr>
          <w:p w14:paraId="2612DA48" w14:textId="6132FD1C" w:rsidR="004C707D" w:rsidRPr="00EF08C0" w:rsidRDefault="004C707D"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6.0</w:t>
            </w:r>
          </w:p>
        </w:tc>
      </w:tr>
      <w:tr w:rsidR="004C707D" w:rsidRPr="00EF08C0" w14:paraId="5285C5E2" w14:textId="77777777" w:rsidTr="00A12E0E">
        <w:trPr>
          <w:jc w:val="center"/>
        </w:trPr>
        <w:tc>
          <w:tcPr>
            <w:tcW w:w="4587" w:type="dxa"/>
            <w:vAlign w:val="center"/>
          </w:tcPr>
          <w:p w14:paraId="6BD80F31" w14:textId="71053F6C" w:rsidR="004C707D" w:rsidRPr="00EF08C0" w:rsidRDefault="004C707D" w:rsidP="00E8549C">
            <w:pPr>
              <w:jc w:val="both"/>
              <w:rPr>
                <w:rFonts w:ascii="Times New Roman" w:hAnsi="Times New Roman" w:cs="Times New Roman"/>
                <w:sz w:val="22"/>
                <w:szCs w:val="22"/>
                <w:lang w:val="en-NG"/>
              </w:rPr>
            </w:pPr>
            <w:r w:rsidRPr="00D70E66">
              <w:rPr>
                <w:rFonts w:ascii="Times New Roman" w:hAnsi="Times New Roman" w:cs="Times New Roman"/>
                <w:sz w:val="22"/>
                <w:szCs w:val="22"/>
                <w:lang w:val="en-NG"/>
              </w:rPr>
              <w:t>Standard Deviation</w:t>
            </w:r>
          </w:p>
        </w:tc>
        <w:tc>
          <w:tcPr>
            <w:tcW w:w="4587" w:type="dxa"/>
            <w:vAlign w:val="center"/>
          </w:tcPr>
          <w:p w14:paraId="5ACBB19A" w14:textId="715F07A5" w:rsidR="004C707D" w:rsidRPr="00EF08C0" w:rsidRDefault="004C707D"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2.45</w:t>
            </w:r>
          </w:p>
        </w:tc>
      </w:tr>
    </w:tbl>
    <w:p w14:paraId="70D8A1D9" w14:textId="3A02229F" w:rsidR="00D70E66" w:rsidRPr="00D70E66" w:rsidRDefault="002B103B" w:rsidP="00915236">
      <w:pPr>
        <w:spacing w:before="240" w:after="240" w:line="240" w:lineRule="auto"/>
        <w:jc w:val="both"/>
        <w:rPr>
          <w:rFonts w:ascii="Times New Roman" w:hAnsi="Times New Roman" w:cs="Times New Roman"/>
          <w:lang w:val="en-NG"/>
        </w:rPr>
      </w:pPr>
      <w:r w:rsidRPr="002B103B">
        <w:rPr>
          <w:rFonts w:ascii="Times New Roman" w:hAnsi="Times New Roman" w:cs="Times New Roman"/>
        </w:rPr>
        <w:t>The mean of 19.00 reflects an expected equal distribution across themes. The low standard deviation (2.45) indicates minimal dispersion, confirming consistency in research emphasis</w:t>
      </w:r>
      <w:r w:rsidR="00D70E66" w:rsidRPr="00D70E66">
        <w:rPr>
          <w:rFonts w:ascii="Times New Roman" w:hAnsi="Times New Roman" w:cs="Times New Roman"/>
          <w:lang w:val="en-NG"/>
        </w:rPr>
        <w:t>.</w:t>
      </w:r>
    </w:p>
    <w:p w14:paraId="62C4D666" w14:textId="77777777" w:rsidR="00D70E66" w:rsidRPr="00D70E66" w:rsidRDefault="00D70E66" w:rsidP="00E8549C">
      <w:pPr>
        <w:spacing w:after="80" w:line="240" w:lineRule="auto"/>
        <w:jc w:val="both"/>
        <w:rPr>
          <w:rFonts w:ascii="Times New Roman" w:hAnsi="Times New Roman" w:cs="Times New Roman"/>
          <w:b/>
          <w:bCs/>
          <w:lang w:val="en-NG"/>
        </w:rPr>
      </w:pPr>
      <w:r w:rsidRPr="00D70E66">
        <w:rPr>
          <w:rFonts w:ascii="Times New Roman" w:hAnsi="Times New Roman" w:cs="Times New Roman"/>
          <w:b/>
          <w:bCs/>
          <w:lang w:val="en-NG"/>
        </w:rPr>
        <w:t>4.4 Inferential Statistical Validation</w:t>
      </w:r>
    </w:p>
    <w:p w14:paraId="0D9A02FC" w14:textId="77777777" w:rsidR="00017606" w:rsidRPr="00017606" w:rsidRDefault="00D70E66" w:rsidP="00915236">
      <w:pPr>
        <w:spacing w:before="240" w:after="240" w:line="240" w:lineRule="auto"/>
        <w:jc w:val="both"/>
        <w:rPr>
          <w:rFonts w:ascii="Times New Roman" w:eastAsiaTheme="minorEastAsia" w:hAnsi="Times New Roman" w:cs="Times New Roman"/>
          <w:lang w:val="en-NG"/>
        </w:rPr>
      </w:pPr>
      <w:r w:rsidRPr="00D70E66">
        <w:rPr>
          <w:rFonts w:ascii="Times New Roman" w:hAnsi="Times New Roman" w:cs="Times New Roman"/>
          <w:lang w:val="en-NG"/>
        </w:rPr>
        <w:t>To validate whether the observed distribution significantly deviates from an equal distribution, a Chi-square (χ²) goodness-of-fit test was conducted. Assuming equal representation, the expected frequency (Ei) for each category is:</w:t>
      </w:r>
      <w:r w:rsidR="00017606">
        <w:rPr>
          <w:rFonts w:ascii="Times New Roman" w:hAnsi="Times New Roman" w:cs="Times New Roman"/>
          <w:lang w:val="en-NG"/>
        </w:rPr>
        <w:t xml:space="preserve"> </w:t>
      </w:r>
      <m:oMath>
        <m:sSub>
          <m:sSubPr>
            <m:ctrlPr>
              <w:rPr>
                <w:rFonts w:ascii="Cambria Math" w:hAnsi="Cambria Math" w:cs="Times New Roman"/>
                <w:lang w:val="en-NG"/>
              </w:rPr>
            </m:ctrlPr>
          </m:sSubPr>
          <m:e>
            <m:r>
              <w:rPr>
                <w:rFonts w:ascii="Cambria Math" w:hAnsi="Cambria Math" w:cs="Times New Roman"/>
                <w:lang w:val="en-NG"/>
              </w:rPr>
              <m:t>E</m:t>
            </m:r>
          </m:e>
          <m:sub>
            <m:r>
              <w:rPr>
                <w:rFonts w:ascii="Cambria Math" w:hAnsi="Cambria Math" w:cs="Times New Roman"/>
                <w:lang w:val="en-NG"/>
              </w:rPr>
              <m:t>i</m:t>
            </m:r>
          </m:sub>
        </m:sSub>
        <m:r>
          <w:rPr>
            <w:rFonts w:ascii="Cambria Math" w:hAnsi="Cambria Math" w:cs="Times New Roman"/>
            <w:lang w:val="en-NG"/>
          </w:rPr>
          <m:t>=</m:t>
        </m:r>
        <m:f>
          <m:fPr>
            <m:ctrlPr>
              <w:rPr>
                <w:rFonts w:ascii="Cambria Math" w:hAnsi="Cambria Math" w:cs="Times New Roman"/>
                <w:lang w:val="en-NG"/>
              </w:rPr>
            </m:ctrlPr>
          </m:fPr>
          <m:num>
            <m:r>
              <w:rPr>
                <w:rFonts w:ascii="Cambria Math" w:hAnsi="Cambria Math" w:cs="Times New Roman"/>
                <w:lang w:val="en-NG"/>
              </w:rPr>
              <m:t>57</m:t>
            </m:r>
          </m:num>
          <m:den>
            <m:r>
              <w:rPr>
                <w:rFonts w:ascii="Cambria Math" w:hAnsi="Cambria Math" w:cs="Times New Roman"/>
                <w:lang w:val="en-NG"/>
              </w:rPr>
              <m:t>3</m:t>
            </m:r>
          </m:den>
        </m:f>
        <m:r>
          <w:rPr>
            <w:rFonts w:ascii="Cambria Math" w:hAnsi="Cambria Math" w:cs="Times New Roman"/>
            <w:lang w:val="en-NG"/>
          </w:rPr>
          <m:t>=19</m:t>
        </m:r>
      </m:oMath>
    </w:p>
    <w:p w14:paraId="1C9C043C" w14:textId="79AA1950" w:rsidR="00D70E66" w:rsidRPr="00017606" w:rsidRDefault="00D70E66" w:rsidP="00A12E0E">
      <w:pPr>
        <w:spacing w:after="0" w:line="240" w:lineRule="auto"/>
        <w:jc w:val="center"/>
        <w:rPr>
          <w:rFonts w:ascii="Times New Roman" w:eastAsiaTheme="minorEastAsia" w:hAnsi="Times New Roman" w:cs="Times New Roman"/>
          <w:b/>
          <w:bCs/>
          <w:lang w:val="en-NG"/>
        </w:rPr>
      </w:pPr>
      <w:r w:rsidRPr="00D70E66">
        <w:rPr>
          <w:rFonts w:ascii="Times New Roman" w:hAnsi="Times New Roman" w:cs="Times New Roman"/>
          <w:b/>
          <w:bCs/>
          <w:lang w:val="en-NG"/>
        </w:rPr>
        <w:t>Table 3: Chi-square (χ²) Computation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701"/>
        <w:gridCol w:w="1843"/>
        <w:gridCol w:w="1842"/>
      </w:tblGrid>
      <w:tr w:rsidR="00C93AF3" w:rsidRPr="00EF08C0" w14:paraId="427B60F4" w14:textId="77777777" w:rsidTr="00A12E0E">
        <w:trPr>
          <w:jc w:val="center"/>
        </w:trPr>
        <w:tc>
          <w:tcPr>
            <w:tcW w:w="3681" w:type="dxa"/>
            <w:tcBorders>
              <w:bottom w:val="single" w:sz="4" w:space="0" w:color="auto"/>
            </w:tcBorders>
            <w:vAlign w:val="center"/>
          </w:tcPr>
          <w:p w14:paraId="4919948C" w14:textId="5867714C" w:rsidR="00C93AF3" w:rsidRPr="00EF08C0" w:rsidRDefault="00C93AF3" w:rsidP="00E8549C">
            <w:pPr>
              <w:jc w:val="both"/>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Theme</w:t>
            </w:r>
          </w:p>
        </w:tc>
        <w:tc>
          <w:tcPr>
            <w:tcW w:w="1701" w:type="dxa"/>
            <w:tcBorders>
              <w:bottom w:val="single" w:sz="4" w:space="0" w:color="auto"/>
            </w:tcBorders>
            <w:vAlign w:val="center"/>
          </w:tcPr>
          <w:p w14:paraId="756498D8" w14:textId="13725A69" w:rsidR="00C93AF3" w:rsidRPr="00EF08C0" w:rsidRDefault="00C93AF3" w:rsidP="00E8549C">
            <w:pPr>
              <w:jc w:val="cente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Observed (Oi)</w:t>
            </w:r>
          </w:p>
        </w:tc>
        <w:tc>
          <w:tcPr>
            <w:tcW w:w="1843" w:type="dxa"/>
            <w:tcBorders>
              <w:bottom w:val="single" w:sz="4" w:space="0" w:color="auto"/>
            </w:tcBorders>
            <w:vAlign w:val="center"/>
          </w:tcPr>
          <w:p w14:paraId="2F489C71" w14:textId="250333E8" w:rsidR="00C93AF3" w:rsidRPr="00EF08C0" w:rsidRDefault="00C93AF3" w:rsidP="00E8549C">
            <w:pPr>
              <w:jc w:val="cente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Expected (Ei)</w:t>
            </w:r>
          </w:p>
        </w:tc>
        <w:tc>
          <w:tcPr>
            <w:tcW w:w="1842" w:type="dxa"/>
            <w:tcBorders>
              <w:bottom w:val="single" w:sz="4" w:space="0" w:color="auto"/>
            </w:tcBorders>
            <w:vAlign w:val="center"/>
          </w:tcPr>
          <w:p w14:paraId="0FA66C34" w14:textId="06EB02E2" w:rsidR="00C93AF3" w:rsidRPr="00EF08C0" w:rsidRDefault="00C93AF3" w:rsidP="00E8549C">
            <w:pPr>
              <w:jc w:val="cente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(Oi − Ei)² / Ei</w:t>
            </w:r>
          </w:p>
        </w:tc>
      </w:tr>
      <w:tr w:rsidR="00C93AF3" w:rsidRPr="00EF08C0" w14:paraId="7DD16F82" w14:textId="77777777" w:rsidTr="00A12E0E">
        <w:trPr>
          <w:jc w:val="center"/>
        </w:trPr>
        <w:tc>
          <w:tcPr>
            <w:tcW w:w="3681" w:type="dxa"/>
            <w:tcBorders>
              <w:top w:val="single" w:sz="4" w:space="0" w:color="auto"/>
            </w:tcBorders>
            <w:vAlign w:val="center"/>
          </w:tcPr>
          <w:p w14:paraId="7BCF071C" w14:textId="66AFD4B9" w:rsidR="00C93AF3" w:rsidRPr="00EF08C0" w:rsidRDefault="00C93AF3" w:rsidP="00E8549C">
            <w:pPr>
              <w:jc w:val="both"/>
              <w:rPr>
                <w:rFonts w:ascii="Times New Roman" w:hAnsi="Times New Roman" w:cs="Times New Roman"/>
                <w:b/>
                <w:bCs/>
                <w:sz w:val="22"/>
                <w:szCs w:val="22"/>
                <w:lang w:val="en-NG"/>
              </w:rPr>
            </w:pPr>
            <w:r w:rsidRPr="00D70E66">
              <w:rPr>
                <w:rFonts w:ascii="Times New Roman" w:hAnsi="Times New Roman" w:cs="Times New Roman"/>
                <w:sz w:val="22"/>
                <w:szCs w:val="22"/>
                <w:lang w:val="en-NG"/>
              </w:rPr>
              <w:t>Passive Design</w:t>
            </w:r>
          </w:p>
        </w:tc>
        <w:tc>
          <w:tcPr>
            <w:tcW w:w="1701" w:type="dxa"/>
            <w:tcBorders>
              <w:top w:val="single" w:sz="4" w:space="0" w:color="auto"/>
            </w:tcBorders>
            <w:vAlign w:val="center"/>
          </w:tcPr>
          <w:p w14:paraId="5050C2C5" w14:textId="028098D9" w:rsidR="00C93AF3" w:rsidRPr="00EF08C0" w:rsidRDefault="00C93AF3" w:rsidP="00E8549C">
            <w:pPr>
              <w:jc w:val="center"/>
              <w:rPr>
                <w:rFonts w:ascii="Times New Roman" w:hAnsi="Times New Roman" w:cs="Times New Roman"/>
                <w:b/>
                <w:bCs/>
                <w:sz w:val="22"/>
                <w:szCs w:val="22"/>
                <w:lang w:val="en-NG"/>
              </w:rPr>
            </w:pPr>
            <w:r w:rsidRPr="00D70E66">
              <w:rPr>
                <w:rFonts w:ascii="Times New Roman" w:hAnsi="Times New Roman" w:cs="Times New Roman"/>
                <w:sz w:val="22"/>
                <w:szCs w:val="22"/>
                <w:lang w:val="en-NG"/>
              </w:rPr>
              <w:t>22</w:t>
            </w:r>
          </w:p>
        </w:tc>
        <w:tc>
          <w:tcPr>
            <w:tcW w:w="1843" w:type="dxa"/>
            <w:tcBorders>
              <w:top w:val="single" w:sz="4" w:space="0" w:color="auto"/>
            </w:tcBorders>
            <w:vAlign w:val="center"/>
          </w:tcPr>
          <w:p w14:paraId="454CD44F" w14:textId="1A7475EE" w:rsidR="00C93AF3" w:rsidRPr="00EF08C0" w:rsidRDefault="00C93AF3" w:rsidP="00E8549C">
            <w:pPr>
              <w:jc w:val="center"/>
              <w:rPr>
                <w:rFonts w:ascii="Times New Roman" w:hAnsi="Times New Roman" w:cs="Times New Roman"/>
                <w:b/>
                <w:bCs/>
                <w:sz w:val="22"/>
                <w:szCs w:val="22"/>
                <w:lang w:val="en-NG"/>
              </w:rPr>
            </w:pPr>
            <w:r w:rsidRPr="00D70E66">
              <w:rPr>
                <w:rFonts w:ascii="Times New Roman" w:hAnsi="Times New Roman" w:cs="Times New Roman"/>
                <w:sz w:val="22"/>
                <w:szCs w:val="22"/>
                <w:lang w:val="en-NG"/>
              </w:rPr>
              <w:t>19</w:t>
            </w:r>
          </w:p>
        </w:tc>
        <w:tc>
          <w:tcPr>
            <w:tcW w:w="1842" w:type="dxa"/>
            <w:tcBorders>
              <w:top w:val="single" w:sz="4" w:space="0" w:color="auto"/>
            </w:tcBorders>
            <w:vAlign w:val="center"/>
          </w:tcPr>
          <w:p w14:paraId="2F79C540" w14:textId="00DCEEAE" w:rsidR="00C93AF3" w:rsidRPr="00EF08C0" w:rsidRDefault="00C93AF3" w:rsidP="00E8549C">
            <w:pPr>
              <w:jc w:val="center"/>
              <w:rPr>
                <w:rFonts w:ascii="Times New Roman" w:hAnsi="Times New Roman" w:cs="Times New Roman"/>
                <w:b/>
                <w:bCs/>
                <w:sz w:val="22"/>
                <w:szCs w:val="22"/>
                <w:lang w:val="en-NG"/>
              </w:rPr>
            </w:pPr>
            <w:r w:rsidRPr="00D70E66">
              <w:rPr>
                <w:rFonts w:ascii="Times New Roman" w:hAnsi="Times New Roman" w:cs="Times New Roman"/>
                <w:sz w:val="22"/>
                <w:szCs w:val="22"/>
                <w:lang w:val="en-NG"/>
              </w:rPr>
              <w:t>0.47</w:t>
            </w:r>
          </w:p>
        </w:tc>
      </w:tr>
      <w:tr w:rsidR="00C93AF3" w:rsidRPr="00EF08C0" w14:paraId="0E2EFA3B" w14:textId="77777777" w:rsidTr="00A12E0E">
        <w:trPr>
          <w:jc w:val="center"/>
        </w:trPr>
        <w:tc>
          <w:tcPr>
            <w:tcW w:w="3681" w:type="dxa"/>
            <w:vAlign w:val="center"/>
          </w:tcPr>
          <w:p w14:paraId="1FB987D2" w14:textId="3B4263CE" w:rsidR="00C93AF3" w:rsidRPr="00EF08C0" w:rsidRDefault="00C93AF3" w:rsidP="00E8549C">
            <w:pPr>
              <w:jc w:val="both"/>
              <w:rPr>
                <w:rFonts w:ascii="Times New Roman" w:hAnsi="Times New Roman" w:cs="Times New Roman"/>
                <w:sz w:val="22"/>
                <w:szCs w:val="22"/>
                <w:lang w:val="en-NG"/>
              </w:rPr>
            </w:pPr>
            <w:r w:rsidRPr="00D70E66">
              <w:rPr>
                <w:rFonts w:ascii="Times New Roman" w:hAnsi="Times New Roman" w:cs="Times New Roman"/>
                <w:sz w:val="22"/>
                <w:szCs w:val="22"/>
                <w:lang w:val="en-NG"/>
              </w:rPr>
              <w:t>Low-Carbon Materials</w:t>
            </w:r>
          </w:p>
        </w:tc>
        <w:tc>
          <w:tcPr>
            <w:tcW w:w="1701" w:type="dxa"/>
            <w:vAlign w:val="center"/>
          </w:tcPr>
          <w:p w14:paraId="2B9C56FC" w14:textId="7CFB9C6A" w:rsidR="00C93AF3" w:rsidRPr="00EF08C0" w:rsidRDefault="00C93AF3"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19</w:t>
            </w:r>
          </w:p>
        </w:tc>
        <w:tc>
          <w:tcPr>
            <w:tcW w:w="1843" w:type="dxa"/>
            <w:vAlign w:val="center"/>
          </w:tcPr>
          <w:p w14:paraId="27C1D744" w14:textId="5BAC92C1" w:rsidR="00C93AF3" w:rsidRPr="00EF08C0" w:rsidRDefault="00C93AF3"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19</w:t>
            </w:r>
          </w:p>
        </w:tc>
        <w:tc>
          <w:tcPr>
            <w:tcW w:w="1842" w:type="dxa"/>
            <w:vAlign w:val="center"/>
          </w:tcPr>
          <w:p w14:paraId="526C1DC0" w14:textId="0686E6E2" w:rsidR="00C93AF3" w:rsidRPr="00EF08C0" w:rsidRDefault="00C93AF3"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0.00</w:t>
            </w:r>
          </w:p>
        </w:tc>
      </w:tr>
      <w:tr w:rsidR="00C93AF3" w:rsidRPr="00EF08C0" w14:paraId="655D092A" w14:textId="77777777" w:rsidTr="00A12E0E">
        <w:trPr>
          <w:jc w:val="center"/>
        </w:trPr>
        <w:tc>
          <w:tcPr>
            <w:tcW w:w="3681" w:type="dxa"/>
            <w:vAlign w:val="center"/>
          </w:tcPr>
          <w:p w14:paraId="3D2461D3" w14:textId="3D357915" w:rsidR="00C93AF3" w:rsidRPr="00EF08C0" w:rsidRDefault="00C93AF3" w:rsidP="00E8549C">
            <w:pPr>
              <w:jc w:val="both"/>
              <w:rPr>
                <w:rFonts w:ascii="Times New Roman" w:hAnsi="Times New Roman" w:cs="Times New Roman"/>
                <w:sz w:val="22"/>
                <w:szCs w:val="22"/>
                <w:lang w:val="en-NG"/>
              </w:rPr>
            </w:pPr>
            <w:r w:rsidRPr="00D70E66">
              <w:rPr>
                <w:rFonts w:ascii="Times New Roman" w:hAnsi="Times New Roman" w:cs="Times New Roman"/>
                <w:sz w:val="22"/>
                <w:szCs w:val="22"/>
                <w:lang w:val="en-NG"/>
              </w:rPr>
              <w:t>Digital Technologies</w:t>
            </w:r>
          </w:p>
        </w:tc>
        <w:tc>
          <w:tcPr>
            <w:tcW w:w="1701" w:type="dxa"/>
            <w:vAlign w:val="center"/>
          </w:tcPr>
          <w:p w14:paraId="37C9A1DC" w14:textId="4772F8E3" w:rsidR="00C93AF3" w:rsidRPr="00EF08C0" w:rsidRDefault="00C93AF3"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16</w:t>
            </w:r>
          </w:p>
        </w:tc>
        <w:tc>
          <w:tcPr>
            <w:tcW w:w="1843" w:type="dxa"/>
            <w:vAlign w:val="center"/>
          </w:tcPr>
          <w:p w14:paraId="4D535654" w14:textId="20C309A3" w:rsidR="00C93AF3" w:rsidRPr="00EF08C0" w:rsidRDefault="00C93AF3"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19</w:t>
            </w:r>
          </w:p>
        </w:tc>
        <w:tc>
          <w:tcPr>
            <w:tcW w:w="1842" w:type="dxa"/>
            <w:vAlign w:val="center"/>
          </w:tcPr>
          <w:p w14:paraId="1123B374" w14:textId="75557EA4" w:rsidR="00C93AF3" w:rsidRPr="00EF08C0" w:rsidRDefault="00C93AF3"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0.47</w:t>
            </w:r>
          </w:p>
        </w:tc>
      </w:tr>
      <w:tr w:rsidR="00C93AF3" w:rsidRPr="00EF08C0" w14:paraId="1701B8F2" w14:textId="77777777" w:rsidTr="00A12E0E">
        <w:trPr>
          <w:jc w:val="center"/>
        </w:trPr>
        <w:tc>
          <w:tcPr>
            <w:tcW w:w="3681" w:type="dxa"/>
            <w:vAlign w:val="center"/>
          </w:tcPr>
          <w:p w14:paraId="78410D76" w14:textId="3820CCC5" w:rsidR="00C93AF3" w:rsidRPr="00EF08C0" w:rsidRDefault="00C93AF3" w:rsidP="00E8549C">
            <w:pPr>
              <w:jc w:val="both"/>
              <w:rPr>
                <w:rFonts w:ascii="Times New Roman" w:hAnsi="Times New Roman" w:cs="Times New Roman"/>
                <w:sz w:val="22"/>
                <w:szCs w:val="22"/>
                <w:lang w:val="en-NG"/>
              </w:rPr>
            </w:pPr>
            <w:r w:rsidRPr="00D70E66">
              <w:rPr>
                <w:rFonts w:ascii="Times New Roman" w:hAnsi="Times New Roman" w:cs="Times New Roman"/>
                <w:b/>
                <w:bCs/>
                <w:sz w:val="22"/>
                <w:szCs w:val="22"/>
                <w:lang w:val="en-NG"/>
              </w:rPr>
              <w:t>Total χ²</w:t>
            </w:r>
          </w:p>
        </w:tc>
        <w:tc>
          <w:tcPr>
            <w:tcW w:w="1701" w:type="dxa"/>
            <w:vAlign w:val="center"/>
          </w:tcPr>
          <w:p w14:paraId="72AE685E" w14:textId="77777777" w:rsidR="00C93AF3" w:rsidRPr="00EF08C0" w:rsidRDefault="00C93AF3" w:rsidP="00E8549C">
            <w:pPr>
              <w:jc w:val="both"/>
              <w:rPr>
                <w:rFonts w:ascii="Times New Roman" w:hAnsi="Times New Roman" w:cs="Times New Roman"/>
                <w:sz w:val="22"/>
                <w:szCs w:val="22"/>
                <w:lang w:val="en-NG"/>
              </w:rPr>
            </w:pPr>
          </w:p>
        </w:tc>
        <w:tc>
          <w:tcPr>
            <w:tcW w:w="1843" w:type="dxa"/>
            <w:vAlign w:val="center"/>
          </w:tcPr>
          <w:p w14:paraId="27E6CBC5" w14:textId="77777777" w:rsidR="00C93AF3" w:rsidRPr="00EF08C0" w:rsidRDefault="00C93AF3" w:rsidP="00E8549C">
            <w:pPr>
              <w:jc w:val="both"/>
              <w:rPr>
                <w:rFonts w:ascii="Times New Roman" w:hAnsi="Times New Roman" w:cs="Times New Roman"/>
                <w:sz w:val="22"/>
                <w:szCs w:val="22"/>
                <w:lang w:val="en-NG"/>
              </w:rPr>
            </w:pPr>
          </w:p>
        </w:tc>
        <w:tc>
          <w:tcPr>
            <w:tcW w:w="1842" w:type="dxa"/>
            <w:vAlign w:val="center"/>
          </w:tcPr>
          <w:p w14:paraId="5C241483" w14:textId="5D5C6586" w:rsidR="00C93AF3" w:rsidRPr="00EF08C0" w:rsidRDefault="00C93AF3" w:rsidP="00E8549C">
            <w:pPr>
              <w:jc w:val="center"/>
              <w:rPr>
                <w:rFonts w:ascii="Times New Roman" w:hAnsi="Times New Roman" w:cs="Times New Roman"/>
                <w:sz w:val="22"/>
                <w:szCs w:val="22"/>
                <w:lang w:val="en-NG"/>
              </w:rPr>
            </w:pPr>
            <w:r w:rsidRPr="00D70E66">
              <w:rPr>
                <w:rFonts w:ascii="Times New Roman" w:hAnsi="Times New Roman" w:cs="Times New Roman"/>
                <w:b/>
                <w:bCs/>
                <w:sz w:val="22"/>
                <w:szCs w:val="22"/>
                <w:lang w:val="en-NG"/>
              </w:rPr>
              <w:t>0.94</w:t>
            </w:r>
          </w:p>
        </w:tc>
      </w:tr>
    </w:tbl>
    <w:p w14:paraId="78D9E063" w14:textId="07D900DB" w:rsidR="00D70E66" w:rsidRPr="00D70E66" w:rsidRDefault="00D70E66" w:rsidP="00E8549C">
      <w:pPr>
        <w:spacing w:before="80" w:after="80" w:line="240" w:lineRule="auto"/>
        <w:jc w:val="both"/>
        <w:rPr>
          <w:rFonts w:ascii="Times New Roman" w:hAnsi="Times New Roman" w:cs="Times New Roman"/>
          <w:lang w:val="en-NG"/>
        </w:rPr>
      </w:pPr>
      <w:r w:rsidRPr="00D70E66">
        <w:rPr>
          <w:rFonts w:ascii="Times New Roman" w:hAnsi="Times New Roman" w:cs="Times New Roman"/>
          <w:lang w:val="en-NG"/>
        </w:rPr>
        <w:t xml:space="preserve">At </w:t>
      </w:r>
      <w:r w:rsidRPr="00D70E66">
        <w:rPr>
          <w:rFonts w:ascii="Times New Roman" w:hAnsi="Times New Roman" w:cs="Times New Roman"/>
          <w:b/>
          <w:bCs/>
          <w:lang w:val="en-NG"/>
        </w:rPr>
        <w:t>df = 2</w:t>
      </w:r>
      <w:r w:rsidRPr="00D70E66">
        <w:rPr>
          <w:rFonts w:ascii="Times New Roman" w:hAnsi="Times New Roman" w:cs="Times New Roman"/>
          <w:lang w:val="en-NG"/>
        </w:rPr>
        <w:t xml:space="preserve"> and </w:t>
      </w:r>
      <w:r w:rsidRPr="00D70E66">
        <w:rPr>
          <w:rFonts w:ascii="Times New Roman" w:hAnsi="Times New Roman" w:cs="Times New Roman"/>
          <w:b/>
          <w:bCs/>
          <w:lang w:val="en-NG"/>
        </w:rPr>
        <w:t>α = 0.05</w:t>
      </w:r>
      <w:r w:rsidRPr="00D70E66">
        <w:rPr>
          <w:rFonts w:ascii="Times New Roman" w:hAnsi="Times New Roman" w:cs="Times New Roman"/>
          <w:lang w:val="en-NG"/>
        </w:rPr>
        <w:t xml:space="preserve">, the critical value is </w:t>
      </w:r>
      <w:r w:rsidRPr="00D70E66">
        <w:rPr>
          <w:rFonts w:ascii="Times New Roman" w:hAnsi="Times New Roman" w:cs="Times New Roman"/>
          <w:b/>
          <w:bCs/>
          <w:lang w:val="en-NG"/>
        </w:rPr>
        <w:t>5.99</w:t>
      </w:r>
      <w:r w:rsidRPr="00D70E66">
        <w:rPr>
          <w:rFonts w:ascii="Times New Roman" w:hAnsi="Times New Roman" w:cs="Times New Roman"/>
          <w:lang w:val="en-NG"/>
        </w:rPr>
        <w:t>. Since:</w:t>
      </w:r>
      <w:r w:rsidR="00017606">
        <w:rPr>
          <w:rFonts w:ascii="Times New Roman" w:hAnsi="Times New Roman" w:cs="Times New Roman"/>
          <w:lang w:val="en-NG"/>
        </w:rPr>
        <w:t xml:space="preserve"> </w:t>
      </w:r>
    </w:p>
    <w:p w14:paraId="74171959" w14:textId="583ADB5C" w:rsidR="00D70E66" w:rsidRPr="000C6387" w:rsidRDefault="00186DCB" w:rsidP="00915236">
      <w:pPr>
        <w:spacing w:before="240" w:after="240" w:line="240" w:lineRule="auto"/>
        <w:jc w:val="both"/>
        <w:rPr>
          <w:rFonts w:ascii="Times New Roman" w:hAnsi="Times New Roman" w:cs="Times New Roman"/>
          <w:lang w:val="en-NG"/>
        </w:rPr>
      </w:pPr>
      <m:oMathPara>
        <m:oMath>
          <m:sSup>
            <m:sSupPr>
              <m:ctrlPr>
                <w:rPr>
                  <w:rFonts w:ascii="Cambria Math" w:hAnsi="Cambria Math" w:cs="Times New Roman"/>
                  <w:lang w:val="en-NG"/>
                </w:rPr>
              </m:ctrlPr>
            </m:sSupPr>
            <m:e>
              <m:r>
                <w:rPr>
                  <w:rFonts w:ascii="Cambria Math" w:hAnsi="Cambria Math" w:cs="Times New Roman"/>
                  <w:lang w:val="en-NG"/>
                </w:rPr>
                <m:t>χ</m:t>
              </m:r>
            </m:e>
            <m:sup>
              <m:r>
                <w:rPr>
                  <w:rFonts w:ascii="Cambria Math" w:hAnsi="Cambria Math" w:cs="Times New Roman"/>
                  <w:lang w:val="en-NG"/>
                </w:rPr>
                <m:t>2</m:t>
              </m:r>
            </m:sup>
          </m:sSup>
          <m:r>
            <w:rPr>
              <w:rFonts w:ascii="Cambria Math" w:hAnsi="Cambria Math" w:cs="Times New Roman"/>
              <w:lang w:val="en-NG"/>
            </w:rPr>
            <m:t>=0.94&lt;5.99</m:t>
          </m:r>
          <m:r>
            <m:rPr>
              <m:sty m:val="p"/>
            </m:rPr>
            <w:rPr>
              <w:rFonts w:ascii="Times New Roman" w:hAnsi="Times New Roman" w:cs="Times New Roman"/>
              <w:lang w:val="en-NG"/>
            </w:rPr>
            <w:br/>
          </m:r>
        </m:oMath>
      </m:oMathPara>
      <w:r w:rsidR="000C6387" w:rsidRPr="000C6387">
        <w:rPr>
          <w:rFonts w:ascii="Times New Roman" w:hAnsi="Times New Roman" w:cs="Times New Roman"/>
        </w:rPr>
        <w:t xml:space="preserve">At df = 2 and α = 0.05, the critical value is 5.99. Since χ² = 0.94 &lt; 5.99, the null hypothesis is accepted. This indicates that the observed differences in thematic distribution are not statistically significant, confirming that all three strategies are equally important within the literature. The low χ² value indicates a small effect size, </w:t>
      </w:r>
      <w:r w:rsidR="000C6387" w:rsidRPr="000C6387">
        <w:rPr>
          <w:rFonts w:ascii="Times New Roman" w:hAnsi="Times New Roman" w:cs="Times New Roman"/>
        </w:rPr>
        <w:lastRenderedPageBreak/>
        <w:t xml:space="preserve">confirming </w:t>
      </w:r>
      <w:r w:rsidR="000C6387">
        <w:rPr>
          <w:rFonts w:ascii="Times New Roman" w:hAnsi="Times New Roman" w:cs="Times New Roman"/>
        </w:rPr>
        <w:t xml:space="preserve">the </w:t>
      </w:r>
      <w:r w:rsidR="000E3EBD">
        <w:rPr>
          <w:rFonts w:ascii="Times New Roman" w:hAnsi="Times New Roman" w:cs="Times New Roman"/>
        </w:rPr>
        <w:t>distribution's uniformity</w:t>
      </w:r>
      <w:r w:rsidR="000C6387">
        <w:rPr>
          <w:rFonts w:ascii="Times New Roman" w:hAnsi="Times New Roman" w:cs="Times New Roman"/>
        </w:rPr>
        <w:t xml:space="preserve"> and strengthening the case</w:t>
      </w:r>
      <w:r w:rsidR="000C6387" w:rsidRPr="000C6387">
        <w:rPr>
          <w:rFonts w:ascii="Times New Roman" w:hAnsi="Times New Roman" w:cs="Times New Roman"/>
        </w:rPr>
        <w:t xml:space="preserve"> for an integrated approach to climate-smart housing</w:t>
      </w:r>
      <w:r w:rsidR="00D70E66" w:rsidRPr="000C6387">
        <w:rPr>
          <w:rFonts w:ascii="Times New Roman" w:hAnsi="Times New Roman" w:cs="Times New Roman"/>
          <w:lang w:val="en-NG"/>
        </w:rPr>
        <w:t>.</w:t>
      </w:r>
    </w:p>
    <w:p w14:paraId="343CB8E7" w14:textId="77777777" w:rsidR="00D70E66" w:rsidRPr="00D70E66" w:rsidRDefault="00D70E66" w:rsidP="00E8549C">
      <w:pPr>
        <w:spacing w:after="0" w:line="240" w:lineRule="auto"/>
        <w:jc w:val="both"/>
        <w:rPr>
          <w:rFonts w:ascii="Times New Roman" w:hAnsi="Times New Roman" w:cs="Times New Roman"/>
          <w:b/>
          <w:bCs/>
          <w:lang w:val="en-NG"/>
        </w:rPr>
      </w:pPr>
      <w:r w:rsidRPr="00D70E66">
        <w:rPr>
          <w:rFonts w:ascii="Times New Roman" w:hAnsi="Times New Roman" w:cs="Times New Roman"/>
          <w:b/>
          <w:bCs/>
          <w:lang w:val="en-NG"/>
        </w:rPr>
        <w:t>4.5 Performance Outcomes of Climate-Smart Strategies</w:t>
      </w:r>
    </w:p>
    <w:p w14:paraId="188E4DE3" w14:textId="5E24D780" w:rsidR="00D70E66" w:rsidRPr="00D70E66" w:rsidRDefault="00D70E66" w:rsidP="00915236">
      <w:pPr>
        <w:spacing w:before="240" w:after="240" w:line="240" w:lineRule="auto"/>
        <w:jc w:val="both"/>
        <w:rPr>
          <w:rFonts w:ascii="Times New Roman" w:hAnsi="Times New Roman" w:cs="Times New Roman"/>
          <w:lang w:val="en-NG"/>
        </w:rPr>
      </w:pPr>
      <w:r w:rsidRPr="00D70E66">
        <w:rPr>
          <w:rFonts w:ascii="Times New Roman" w:hAnsi="Times New Roman" w:cs="Times New Roman"/>
          <w:lang w:val="en-NG"/>
        </w:rPr>
        <w:t>The synthesis of empirical findings reveals substantial performance improvements associated with climate-smart housing strategies. These outcomes are summarised in Table 4.</w:t>
      </w:r>
    </w:p>
    <w:p w14:paraId="264EBA62" w14:textId="071A9AC5" w:rsidR="00D70E66" w:rsidRDefault="00D70E66" w:rsidP="00A12E0E">
      <w:pPr>
        <w:spacing w:after="0" w:line="240" w:lineRule="auto"/>
        <w:jc w:val="center"/>
        <w:rPr>
          <w:rFonts w:ascii="Times New Roman" w:hAnsi="Times New Roman" w:cs="Times New Roman"/>
          <w:b/>
          <w:bCs/>
          <w:lang w:val="en-NG"/>
        </w:rPr>
      </w:pPr>
      <w:r w:rsidRPr="00D70E66">
        <w:rPr>
          <w:rFonts w:ascii="Times New Roman" w:hAnsi="Times New Roman" w:cs="Times New Roman"/>
          <w:b/>
          <w:bCs/>
          <w:lang w:val="en-NG"/>
        </w:rPr>
        <w:t>Table 4: Performance Outcomes of Climate-Smart Housing Strategies</w:t>
      </w:r>
    </w:p>
    <w:tbl>
      <w:tblPr>
        <w:tblStyle w:val="TableGrid"/>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2552"/>
        <w:gridCol w:w="1418"/>
        <w:gridCol w:w="1842"/>
        <w:gridCol w:w="1843"/>
      </w:tblGrid>
      <w:tr w:rsidR="00EF08C0" w:rsidRPr="00EF08C0" w14:paraId="7463C434" w14:textId="77777777" w:rsidTr="00A12E0E">
        <w:trPr>
          <w:jc w:val="center"/>
        </w:trPr>
        <w:tc>
          <w:tcPr>
            <w:tcW w:w="1554" w:type="dxa"/>
            <w:tcBorders>
              <w:bottom w:val="single" w:sz="4" w:space="0" w:color="auto"/>
            </w:tcBorders>
            <w:vAlign w:val="center"/>
          </w:tcPr>
          <w:p w14:paraId="09E6E6FF" w14:textId="2B4C461B" w:rsidR="00EF08C0" w:rsidRPr="00EF08C0" w:rsidRDefault="00EF08C0" w:rsidP="00E8549C">
            <w:pP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Strategy</w:t>
            </w:r>
          </w:p>
        </w:tc>
        <w:tc>
          <w:tcPr>
            <w:tcW w:w="2552" w:type="dxa"/>
            <w:tcBorders>
              <w:bottom w:val="single" w:sz="4" w:space="0" w:color="auto"/>
            </w:tcBorders>
            <w:vAlign w:val="center"/>
          </w:tcPr>
          <w:p w14:paraId="7A387CAE" w14:textId="282A4065" w:rsidR="00EF08C0" w:rsidRPr="00EF08C0" w:rsidRDefault="00EF08C0" w:rsidP="00E8549C">
            <w:pP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Key Applications</w:t>
            </w:r>
          </w:p>
        </w:tc>
        <w:tc>
          <w:tcPr>
            <w:tcW w:w="1418" w:type="dxa"/>
            <w:tcBorders>
              <w:bottom w:val="single" w:sz="4" w:space="0" w:color="auto"/>
            </w:tcBorders>
            <w:vAlign w:val="center"/>
          </w:tcPr>
          <w:p w14:paraId="64141A51" w14:textId="77F51A36" w:rsidR="00EF08C0" w:rsidRPr="00EF08C0" w:rsidRDefault="00EF08C0" w:rsidP="00E8549C">
            <w:pP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Energy Impact (%)</w:t>
            </w:r>
          </w:p>
        </w:tc>
        <w:tc>
          <w:tcPr>
            <w:tcW w:w="1842" w:type="dxa"/>
            <w:tcBorders>
              <w:bottom w:val="single" w:sz="4" w:space="0" w:color="auto"/>
            </w:tcBorders>
            <w:vAlign w:val="center"/>
          </w:tcPr>
          <w:p w14:paraId="7242800C" w14:textId="10FB7A50" w:rsidR="00EF08C0" w:rsidRPr="00EF08C0" w:rsidRDefault="00EF08C0" w:rsidP="00E8549C">
            <w:pP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Carbon Reduction (%)</w:t>
            </w:r>
          </w:p>
        </w:tc>
        <w:tc>
          <w:tcPr>
            <w:tcW w:w="1843" w:type="dxa"/>
            <w:tcBorders>
              <w:bottom w:val="single" w:sz="4" w:space="0" w:color="auto"/>
            </w:tcBorders>
            <w:vAlign w:val="center"/>
          </w:tcPr>
          <w:p w14:paraId="7C373867" w14:textId="1A9009BC" w:rsidR="00EF08C0" w:rsidRPr="00EF08C0" w:rsidRDefault="00EF08C0" w:rsidP="00E8549C">
            <w:pPr>
              <w:rPr>
                <w:rFonts w:ascii="Times New Roman" w:hAnsi="Times New Roman" w:cs="Times New Roman"/>
                <w:b/>
                <w:bCs/>
                <w:sz w:val="22"/>
                <w:szCs w:val="22"/>
                <w:lang w:val="en-NG"/>
              </w:rPr>
            </w:pPr>
            <w:r w:rsidRPr="00D70E66">
              <w:rPr>
                <w:rFonts w:ascii="Times New Roman" w:hAnsi="Times New Roman" w:cs="Times New Roman"/>
                <w:b/>
                <w:bCs/>
                <w:sz w:val="22"/>
                <w:szCs w:val="22"/>
                <w:lang w:val="en-NG"/>
              </w:rPr>
              <w:t>Cost/Resource Impact (%)</w:t>
            </w:r>
          </w:p>
        </w:tc>
      </w:tr>
      <w:tr w:rsidR="00EF08C0" w:rsidRPr="00EF08C0" w14:paraId="3106129E" w14:textId="77777777" w:rsidTr="00A12E0E">
        <w:trPr>
          <w:jc w:val="center"/>
        </w:trPr>
        <w:tc>
          <w:tcPr>
            <w:tcW w:w="1554" w:type="dxa"/>
            <w:tcBorders>
              <w:top w:val="single" w:sz="4" w:space="0" w:color="auto"/>
            </w:tcBorders>
            <w:vAlign w:val="center"/>
          </w:tcPr>
          <w:p w14:paraId="5F90F9CE" w14:textId="5104F942" w:rsidR="00EF08C0" w:rsidRPr="00EF08C0" w:rsidRDefault="00EF08C0" w:rsidP="00E8549C">
            <w:pPr>
              <w:rPr>
                <w:rFonts w:ascii="Times New Roman" w:hAnsi="Times New Roman" w:cs="Times New Roman"/>
                <w:b/>
                <w:bCs/>
                <w:sz w:val="22"/>
                <w:szCs w:val="22"/>
                <w:lang w:val="en-NG"/>
              </w:rPr>
            </w:pPr>
            <w:r w:rsidRPr="00D70E66">
              <w:rPr>
                <w:rFonts w:ascii="Times New Roman" w:hAnsi="Times New Roman" w:cs="Times New Roman"/>
                <w:sz w:val="22"/>
                <w:szCs w:val="22"/>
                <w:lang w:val="en-NG"/>
              </w:rPr>
              <w:t>Passive Design</w:t>
            </w:r>
          </w:p>
        </w:tc>
        <w:tc>
          <w:tcPr>
            <w:tcW w:w="2552" w:type="dxa"/>
            <w:tcBorders>
              <w:top w:val="single" w:sz="4" w:space="0" w:color="auto"/>
            </w:tcBorders>
            <w:vAlign w:val="center"/>
          </w:tcPr>
          <w:p w14:paraId="57CC2FC6" w14:textId="2E48CA85" w:rsidR="00EF08C0" w:rsidRPr="00EF08C0" w:rsidRDefault="00EF08C0" w:rsidP="00E8549C">
            <w:pPr>
              <w:rPr>
                <w:rFonts w:ascii="Times New Roman" w:hAnsi="Times New Roman" w:cs="Times New Roman"/>
                <w:b/>
                <w:bCs/>
                <w:sz w:val="22"/>
                <w:szCs w:val="22"/>
                <w:lang w:val="en-NG"/>
              </w:rPr>
            </w:pPr>
            <w:r w:rsidRPr="00D70E66">
              <w:rPr>
                <w:rFonts w:ascii="Times New Roman" w:hAnsi="Times New Roman" w:cs="Times New Roman"/>
                <w:sz w:val="22"/>
                <w:szCs w:val="22"/>
                <w:lang w:val="en-NG"/>
              </w:rPr>
              <w:t xml:space="preserve">Natural ventilation, shading, </w:t>
            </w:r>
            <w:r w:rsidR="000E3EBD">
              <w:rPr>
                <w:rFonts w:ascii="Times New Roman" w:hAnsi="Times New Roman" w:cs="Times New Roman"/>
                <w:sz w:val="22"/>
                <w:szCs w:val="22"/>
                <w:lang w:val="en-NG"/>
              </w:rPr>
              <w:t xml:space="preserve">and </w:t>
            </w:r>
            <w:r w:rsidRPr="00D70E66">
              <w:rPr>
                <w:rFonts w:ascii="Times New Roman" w:hAnsi="Times New Roman" w:cs="Times New Roman"/>
                <w:sz w:val="22"/>
                <w:szCs w:val="22"/>
                <w:lang w:val="en-NG"/>
              </w:rPr>
              <w:t>orientation</w:t>
            </w:r>
          </w:p>
        </w:tc>
        <w:tc>
          <w:tcPr>
            <w:tcW w:w="1418" w:type="dxa"/>
            <w:tcBorders>
              <w:top w:val="single" w:sz="4" w:space="0" w:color="auto"/>
            </w:tcBorders>
            <w:vAlign w:val="center"/>
          </w:tcPr>
          <w:p w14:paraId="4F5193E6" w14:textId="6607C1C1" w:rsidR="00EF08C0" w:rsidRPr="00EF08C0" w:rsidRDefault="00EF08C0" w:rsidP="00E8549C">
            <w:pPr>
              <w:jc w:val="center"/>
              <w:rPr>
                <w:rFonts w:ascii="Times New Roman" w:hAnsi="Times New Roman" w:cs="Times New Roman"/>
                <w:b/>
                <w:bCs/>
                <w:sz w:val="22"/>
                <w:szCs w:val="22"/>
                <w:lang w:val="en-NG"/>
              </w:rPr>
            </w:pPr>
            <w:r w:rsidRPr="00D70E66">
              <w:rPr>
                <w:rFonts w:ascii="Times New Roman" w:hAnsi="Times New Roman" w:cs="Times New Roman"/>
                <w:sz w:val="22"/>
                <w:szCs w:val="22"/>
                <w:lang w:val="en-NG"/>
              </w:rPr>
              <w:t>30–50</w:t>
            </w:r>
          </w:p>
        </w:tc>
        <w:tc>
          <w:tcPr>
            <w:tcW w:w="1842" w:type="dxa"/>
            <w:tcBorders>
              <w:top w:val="single" w:sz="4" w:space="0" w:color="auto"/>
            </w:tcBorders>
            <w:vAlign w:val="center"/>
          </w:tcPr>
          <w:p w14:paraId="07A3B7A6" w14:textId="52A0F8E8" w:rsidR="00EF08C0" w:rsidRPr="00EF08C0" w:rsidRDefault="00EF08C0" w:rsidP="00E8549C">
            <w:pPr>
              <w:jc w:val="center"/>
              <w:rPr>
                <w:rFonts w:ascii="Times New Roman" w:hAnsi="Times New Roman" w:cs="Times New Roman"/>
                <w:b/>
                <w:bCs/>
                <w:sz w:val="22"/>
                <w:szCs w:val="22"/>
                <w:lang w:val="en-NG"/>
              </w:rPr>
            </w:pPr>
            <w:r w:rsidRPr="00D70E66">
              <w:rPr>
                <w:rFonts w:ascii="Times New Roman" w:hAnsi="Times New Roman" w:cs="Times New Roman"/>
                <w:sz w:val="22"/>
                <w:szCs w:val="22"/>
                <w:lang w:val="en-NG"/>
              </w:rPr>
              <w:t>20–35</w:t>
            </w:r>
          </w:p>
        </w:tc>
        <w:tc>
          <w:tcPr>
            <w:tcW w:w="1843" w:type="dxa"/>
            <w:tcBorders>
              <w:top w:val="single" w:sz="4" w:space="0" w:color="auto"/>
            </w:tcBorders>
            <w:vAlign w:val="center"/>
          </w:tcPr>
          <w:p w14:paraId="2EC90DA8" w14:textId="0479B66D" w:rsidR="00EF08C0" w:rsidRPr="00EF08C0" w:rsidRDefault="00EF08C0" w:rsidP="00E8549C">
            <w:pPr>
              <w:rPr>
                <w:rFonts w:ascii="Times New Roman" w:hAnsi="Times New Roman" w:cs="Times New Roman"/>
                <w:b/>
                <w:bCs/>
                <w:sz w:val="22"/>
                <w:szCs w:val="22"/>
                <w:lang w:val="en-NG"/>
              </w:rPr>
            </w:pPr>
            <w:r w:rsidRPr="00D70E66">
              <w:rPr>
                <w:rFonts w:ascii="Times New Roman" w:hAnsi="Times New Roman" w:cs="Times New Roman"/>
                <w:sz w:val="22"/>
                <w:szCs w:val="22"/>
                <w:lang w:val="en-NG"/>
              </w:rPr>
              <w:t>15–25 (energy savings)</w:t>
            </w:r>
          </w:p>
        </w:tc>
      </w:tr>
      <w:tr w:rsidR="00EF08C0" w:rsidRPr="00EF08C0" w14:paraId="795B5C80" w14:textId="77777777" w:rsidTr="00A12E0E">
        <w:trPr>
          <w:jc w:val="center"/>
        </w:trPr>
        <w:tc>
          <w:tcPr>
            <w:tcW w:w="1554" w:type="dxa"/>
            <w:vAlign w:val="center"/>
          </w:tcPr>
          <w:p w14:paraId="637B0D1C" w14:textId="40F89CA7" w:rsidR="00EF08C0" w:rsidRPr="00EF08C0" w:rsidRDefault="00EF08C0" w:rsidP="00E8549C">
            <w:pPr>
              <w:rPr>
                <w:rFonts w:ascii="Times New Roman" w:hAnsi="Times New Roman" w:cs="Times New Roman"/>
                <w:sz w:val="22"/>
                <w:szCs w:val="22"/>
                <w:lang w:val="en-NG"/>
              </w:rPr>
            </w:pPr>
            <w:r w:rsidRPr="00D70E66">
              <w:rPr>
                <w:rFonts w:ascii="Times New Roman" w:hAnsi="Times New Roman" w:cs="Times New Roman"/>
                <w:sz w:val="22"/>
                <w:szCs w:val="22"/>
                <w:lang w:val="en-NG"/>
              </w:rPr>
              <w:t>Low-Carbon Materials</w:t>
            </w:r>
          </w:p>
        </w:tc>
        <w:tc>
          <w:tcPr>
            <w:tcW w:w="2552" w:type="dxa"/>
            <w:vAlign w:val="center"/>
          </w:tcPr>
          <w:p w14:paraId="02B2DBCB" w14:textId="1C9E79C7" w:rsidR="00EF08C0" w:rsidRPr="00EF08C0" w:rsidRDefault="00EF08C0" w:rsidP="00E8549C">
            <w:pPr>
              <w:rPr>
                <w:rFonts w:ascii="Times New Roman" w:hAnsi="Times New Roman" w:cs="Times New Roman"/>
                <w:sz w:val="22"/>
                <w:szCs w:val="22"/>
                <w:lang w:val="en-NG"/>
              </w:rPr>
            </w:pPr>
            <w:r w:rsidRPr="00D70E66">
              <w:rPr>
                <w:rFonts w:ascii="Times New Roman" w:hAnsi="Times New Roman" w:cs="Times New Roman"/>
                <w:sz w:val="22"/>
                <w:szCs w:val="22"/>
                <w:lang w:val="en-NG"/>
              </w:rPr>
              <w:t>Earth blocks, bamboo, recycled materials</w:t>
            </w:r>
          </w:p>
        </w:tc>
        <w:tc>
          <w:tcPr>
            <w:tcW w:w="1418" w:type="dxa"/>
            <w:vAlign w:val="center"/>
          </w:tcPr>
          <w:p w14:paraId="22A6AE73" w14:textId="65FBB0A4" w:rsidR="00EF08C0" w:rsidRPr="00EF08C0" w:rsidRDefault="005127EC"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w:t>
            </w:r>
          </w:p>
        </w:tc>
        <w:tc>
          <w:tcPr>
            <w:tcW w:w="1842" w:type="dxa"/>
            <w:vAlign w:val="center"/>
          </w:tcPr>
          <w:p w14:paraId="6F7F31FE" w14:textId="0A477048" w:rsidR="00EF08C0" w:rsidRPr="00EF08C0" w:rsidRDefault="00EF08C0"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30–40</w:t>
            </w:r>
          </w:p>
        </w:tc>
        <w:tc>
          <w:tcPr>
            <w:tcW w:w="1843" w:type="dxa"/>
            <w:vAlign w:val="center"/>
          </w:tcPr>
          <w:p w14:paraId="7DADC14D" w14:textId="71AB3772" w:rsidR="00EF08C0" w:rsidRPr="00EF08C0" w:rsidRDefault="00EF08C0" w:rsidP="00E8549C">
            <w:pPr>
              <w:rPr>
                <w:rFonts w:ascii="Times New Roman" w:hAnsi="Times New Roman" w:cs="Times New Roman"/>
                <w:sz w:val="22"/>
                <w:szCs w:val="22"/>
                <w:lang w:val="en-NG"/>
              </w:rPr>
            </w:pPr>
            <w:r w:rsidRPr="00D70E66">
              <w:rPr>
                <w:rFonts w:ascii="Times New Roman" w:hAnsi="Times New Roman" w:cs="Times New Roman"/>
                <w:sz w:val="22"/>
                <w:szCs w:val="22"/>
                <w:lang w:val="en-NG"/>
              </w:rPr>
              <w:t>20–35 (cost reduction)</w:t>
            </w:r>
          </w:p>
        </w:tc>
      </w:tr>
      <w:tr w:rsidR="00EF08C0" w:rsidRPr="00EF08C0" w14:paraId="30B499DF" w14:textId="77777777" w:rsidTr="00A12E0E">
        <w:trPr>
          <w:jc w:val="center"/>
        </w:trPr>
        <w:tc>
          <w:tcPr>
            <w:tcW w:w="1554" w:type="dxa"/>
            <w:vAlign w:val="center"/>
          </w:tcPr>
          <w:p w14:paraId="47237EFA" w14:textId="1B7FD2BC" w:rsidR="00EF08C0" w:rsidRPr="00EF08C0" w:rsidRDefault="00EF08C0" w:rsidP="00E8549C">
            <w:pPr>
              <w:rPr>
                <w:rFonts w:ascii="Times New Roman" w:hAnsi="Times New Roman" w:cs="Times New Roman"/>
                <w:sz w:val="22"/>
                <w:szCs w:val="22"/>
                <w:lang w:val="en-NG"/>
              </w:rPr>
            </w:pPr>
            <w:r w:rsidRPr="00D70E66">
              <w:rPr>
                <w:rFonts w:ascii="Times New Roman" w:hAnsi="Times New Roman" w:cs="Times New Roman"/>
                <w:sz w:val="22"/>
                <w:szCs w:val="22"/>
                <w:lang w:val="en-NG"/>
              </w:rPr>
              <w:t>Digital Technologies</w:t>
            </w:r>
          </w:p>
        </w:tc>
        <w:tc>
          <w:tcPr>
            <w:tcW w:w="2552" w:type="dxa"/>
            <w:vAlign w:val="center"/>
          </w:tcPr>
          <w:p w14:paraId="37CB1C0E" w14:textId="11C43E28" w:rsidR="00EF08C0" w:rsidRPr="00EF08C0" w:rsidRDefault="00EF08C0" w:rsidP="00E8549C">
            <w:pPr>
              <w:rPr>
                <w:rFonts w:ascii="Times New Roman" w:hAnsi="Times New Roman" w:cs="Times New Roman"/>
                <w:sz w:val="22"/>
                <w:szCs w:val="22"/>
                <w:lang w:val="en-NG"/>
              </w:rPr>
            </w:pPr>
            <w:r w:rsidRPr="00D70E66">
              <w:rPr>
                <w:rFonts w:ascii="Times New Roman" w:hAnsi="Times New Roman" w:cs="Times New Roman"/>
                <w:sz w:val="22"/>
                <w:szCs w:val="22"/>
                <w:lang w:val="en-NG"/>
              </w:rPr>
              <w:t>BIM, GIS, digital twins</w:t>
            </w:r>
          </w:p>
        </w:tc>
        <w:tc>
          <w:tcPr>
            <w:tcW w:w="1418" w:type="dxa"/>
            <w:vAlign w:val="center"/>
          </w:tcPr>
          <w:p w14:paraId="060019C2" w14:textId="30913F6D" w:rsidR="00EF08C0" w:rsidRPr="00EF08C0" w:rsidRDefault="00EF08C0"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10–20 (indirect)</w:t>
            </w:r>
          </w:p>
        </w:tc>
        <w:tc>
          <w:tcPr>
            <w:tcW w:w="1842" w:type="dxa"/>
            <w:vAlign w:val="center"/>
          </w:tcPr>
          <w:p w14:paraId="4CE8E4B1" w14:textId="4F3B0998" w:rsidR="00EF08C0" w:rsidRPr="00EF08C0" w:rsidRDefault="00EF08C0" w:rsidP="00E8549C">
            <w:pPr>
              <w:jc w:val="center"/>
              <w:rPr>
                <w:rFonts w:ascii="Times New Roman" w:hAnsi="Times New Roman" w:cs="Times New Roman"/>
                <w:sz w:val="22"/>
                <w:szCs w:val="22"/>
                <w:lang w:val="en-NG"/>
              </w:rPr>
            </w:pPr>
            <w:r w:rsidRPr="00D70E66">
              <w:rPr>
                <w:rFonts w:ascii="Times New Roman" w:hAnsi="Times New Roman" w:cs="Times New Roman"/>
                <w:sz w:val="22"/>
                <w:szCs w:val="22"/>
                <w:lang w:val="en-NG"/>
              </w:rPr>
              <w:t>10–25</w:t>
            </w:r>
          </w:p>
        </w:tc>
        <w:tc>
          <w:tcPr>
            <w:tcW w:w="1843" w:type="dxa"/>
            <w:vAlign w:val="center"/>
          </w:tcPr>
          <w:p w14:paraId="1D9A4381" w14:textId="26EBF39F" w:rsidR="00EF08C0" w:rsidRPr="00EF08C0" w:rsidRDefault="00EF08C0" w:rsidP="00E8549C">
            <w:pPr>
              <w:rPr>
                <w:rFonts w:ascii="Times New Roman" w:hAnsi="Times New Roman" w:cs="Times New Roman"/>
                <w:sz w:val="22"/>
                <w:szCs w:val="22"/>
                <w:lang w:val="en-NG"/>
              </w:rPr>
            </w:pPr>
            <w:r w:rsidRPr="00D70E66">
              <w:rPr>
                <w:rFonts w:ascii="Times New Roman" w:hAnsi="Times New Roman" w:cs="Times New Roman"/>
                <w:sz w:val="22"/>
                <w:szCs w:val="22"/>
                <w:lang w:val="en-NG"/>
              </w:rPr>
              <w:t>15–25 (waste reduction)</w:t>
            </w:r>
          </w:p>
        </w:tc>
      </w:tr>
    </w:tbl>
    <w:p w14:paraId="76DB6FDF" w14:textId="58B4BE45" w:rsidR="00D70E66" w:rsidRPr="00D70E66" w:rsidRDefault="00CE4C01" w:rsidP="00915236">
      <w:pPr>
        <w:spacing w:before="240" w:after="240" w:line="240" w:lineRule="auto"/>
        <w:jc w:val="both"/>
        <w:rPr>
          <w:rFonts w:ascii="Times New Roman" w:hAnsi="Times New Roman" w:cs="Times New Roman"/>
          <w:lang w:val="en-NG"/>
        </w:rPr>
      </w:pPr>
      <w:r w:rsidRPr="00CE4C01">
        <w:rPr>
          <w:rFonts w:ascii="Times New Roman" w:hAnsi="Times New Roman" w:cs="Times New Roman"/>
        </w:rPr>
        <w:t xml:space="preserve">Passive design strategies </w:t>
      </w:r>
      <w:r w:rsidR="005D2EFF">
        <w:rPr>
          <w:rFonts w:ascii="Times New Roman" w:hAnsi="Times New Roman" w:cs="Times New Roman"/>
        </w:rPr>
        <w:t>have the greatest impact on operational energy</w:t>
      </w:r>
      <w:r w:rsidRPr="00CE4C01">
        <w:rPr>
          <w:rFonts w:ascii="Times New Roman" w:hAnsi="Times New Roman" w:cs="Times New Roman"/>
        </w:rPr>
        <w:t>, with a mean reduction of approximately 38.6% (95% CI: 34.2–42.8). Low-carbon materials significantly reduce embodied carbon (mean ≈ 34.6%), while digital technologies improve efficiency through lifecycle optimisation and waste reduction. These values represent aggregated outcomes across the 57 studies</w:t>
      </w:r>
      <w:r w:rsidR="00D70E66" w:rsidRPr="00D70E66">
        <w:rPr>
          <w:rFonts w:ascii="Times New Roman" w:hAnsi="Times New Roman" w:cs="Times New Roman"/>
          <w:lang w:val="en-NG"/>
        </w:rPr>
        <w:t>.</w:t>
      </w:r>
    </w:p>
    <w:p w14:paraId="03BD8DF9" w14:textId="77777777" w:rsidR="00D70E66" w:rsidRPr="00D70E66" w:rsidRDefault="00D70E66" w:rsidP="00915236">
      <w:pPr>
        <w:spacing w:before="240" w:after="240" w:line="240" w:lineRule="auto"/>
        <w:jc w:val="both"/>
        <w:rPr>
          <w:rFonts w:ascii="Times New Roman" w:hAnsi="Times New Roman" w:cs="Times New Roman"/>
          <w:b/>
          <w:bCs/>
          <w:lang w:val="en-NG"/>
        </w:rPr>
      </w:pPr>
      <w:r w:rsidRPr="00D70E66">
        <w:rPr>
          <w:rFonts w:ascii="Times New Roman" w:hAnsi="Times New Roman" w:cs="Times New Roman"/>
          <w:b/>
          <w:bCs/>
          <w:lang w:val="en-NG"/>
        </w:rPr>
        <w:t>4.6 Correlation-Based Synthesis of Outcomes</w:t>
      </w:r>
    </w:p>
    <w:p w14:paraId="316C8ED9" w14:textId="77777777" w:rsidR="002C6800" w:rsidRPr="002C6800" w:rsidRDefault="002C6800" w:rsidP="00915236">
      <w:pPr>
        <w:spacing w:before="240" w:after="240" w:line="240" w:lineRule="auto"/>
        <w:jc w:val="both"/>
        <w:rPr>
          <w:rFonts w:ascii="Times New Roman" w:hAnsi="Times New Roman" w:cs="Times New Roman"/>
          <w:lang w:val="en-NG"/>
        </w:rPr>
      </w:pPr>
      <w:r w:rsidRPr="002C6800">
        <w:rPr>
          <w:rFonts w:ascii="Times New Roman" w:hAnsi="Times New Roman" w:cs="Times New Roman"/>
          <w:lang w:val="en-NG"/>
        </w:rPr>
        <w:t>Correlation-based synthesis indicates strong relationships between strategies and performance outcomes. Passive design shows strong positive relationships with thermal comfort and energy efficiency, while low-carbon materials exhibit strong negative correlations with embodied carbon emissions. Digital technologies demonstrate moderate positive relationships with efficiency and lifecycle optimisation.</w:t>
      </w:r>
    </w:p>
    <w:p w14:paraId="7B2520BA" w14:textId="34A62721" w:rsidR="00D70E66" w:rsidRPr="00D70E66" w:rsidRDefault="002C6800" w:rsidP="00915236">
      <w:pPr>
        <w:spacing w:before="240" w:after="240" w:line="240" w:lineRule="auto"/>
        <w:jc w:val="both"/>
        <w:rPr>
          <w:rFonts w:ascii="Times New Roman" w:hAnsi="Times New Roman" w:cs="Times New Roman"/>
          <w:lang w:val="en-NG"/>
        </w:rPr>
      </w:pPr>
      <w:r w:rsidRPr="002C6800">
        <w:rPr>
          <w:rFonts w:ascii="Times New Roman" w:hAnsi="Times New Roman" w:cs="Times New Roman"/>
          <w:lang w:val="en-NG"/>
        </w:rPr>
        <w:t xml:space="preserve">These patterns confirm that each strategy contributes uniquely, reinforcing </w:t>
      </w:r>
      <w:r w:rsidR="005D2EFF">
        <w:rPr>
          <w:rFonts w:ascii="Times New Roman" w:hAnsi="Times New Roman" w:cs="Times New Roman"/>
          <w:lang w:val="en-NG"/>
        </w:rPr>
        <w:t>its</w:t>
      </w:r>
      <w:r w:rsidRPr="002C6800">
        <w:rPr>
          <w:rFonts w:ascii="Times New Roman" w:hAnsi="Times New Roman" w:cs="Times New Roman"/>
          <w:lang w:val="en-NG"/>
        </w:rPr>
        <w:t xml:space="preserve"> complementary roles and the necessity for coordinated application</w:t>
      </w:r>
      <w:r w:rsidR="00D70E66" w:rsidRPr="00D70E66">
        <w:rPr>
          <w:rFonts w:ascii="Times New Roman" w:hAnsi="Times New Roman" w:cs="Times New Roman"/>
          <w:lang w:val="en-NG"/>
        </w:rPr>
        <w:t>.</w:t>
      </w:r>
    </w:p>
    <w:p w14:paraId="03A9F7AF" w14:textId="77777777" w:rsidR="00D70E66" w:rsidRPr="00D70E66" w:rsidRDefault="00D70E66" w:rsidP="00915236">
      <w:pPr>
        <w:spacing w:before="240" w:after="240" w:line="240" w:lineRule="auto"/>
        <w:jc w:val="both"/>
        <w:rPr>
          <w:rFonts w:ascii="Times New Roman" w:hAnsi="Times New Roman" w:cs="Times New Roman"/>
          <w:b/>
          <w:bCs/>
          <w:lang w:val="en-NG"/>
        </w:rPr>
      </w:pPr>
      <w:r w:rsidRPr="00D70E66">
        <w:rPr>
          <w:rFonts w:ascii="Times New Roman" w:hAnsi="Times New Roman" w:cs="Times New Roman"/>
          <w:b/>
          <w:bCs/>
          <w:lang w:val="en-NG"/>
        </w:rPr>
        <w:t>4.7 Integrated Interpretation of Results</w:t>
      </w:r>
    </w:p>
    <w:p w14:paraId="326FAEF3" w14:textId="77777777" w:rsidR="00823805" w:rsidRPr="00823805" w:rsidRDefault="00823805" w:rsidP="00915236">
      <w:pPr>
        <w:spacing w:before="240" w:after="240" w:line="240" w:lineRule="auto"/>
        <w:jc w:val="both"/>
        <w:rPr>
          <w:rFonts w:ascii="Times New Roman" w:hAnsi="Times New Roman" w:cs="Times New Roman"/>
          <w:lang w:val="en-NG"/>
        </w:rPr>
      </w:pPr>
      <w:r w:rsidRPr="00823805">
        <w:rPr>
          <w:rFonts w:ascii="Times New Roman" w:hAnsi="Times New Roman" w:cs="Times New Roman"/>
          <w:lang w:val="en-NG"/>
        </w:rPr>
        <w:t>The results demonstrate that these strategies are both effective and mutually reinforcing. Passive design addresses operational energy demand, low-carbon materials reduce embodied impacts, and digital technologies optimise processes and performance.</w:t>
      </w:r>
    </w:p>
    <w:p w14:paraId="78B455CE" w14:textId="7B062BCA" w:rsidR="00D70E66" w:rsidRPr="00D70E66" w:rsidRDefault="00823805" w:rsidP="00915236">
      <w:pPr>
        <w:spacing w:before="240" w:after="240" w:line="240" w:lineRule="auto"/>
        <w:jc w:val="both"/>
        <w:rPr>
          <w:rFonts w:ascii="Times New Roman" w:hAnsi="Times New Roman" w:cs="Times New Roman"/>
          <w:lang w:val="en-NG"/>
        </w:rPr>
      </w:pPr>
      <w:r w:rsidRPr="00823805">
        <w:rPr>
          <w:rFonts w:ascii="Times New Roman" w:hAnsi="Times New Roman" w:cs="Times New Roman"/>
          <w:lang w:val="en-NG"/>
        </w:rPr>
        <w:t>Statistical validation confirms that no single strategy dominates, underscoring the necessity of integration. This supports the study’s central argument that architects must function as system integrators linking design, materials, and technology</w:t>
      </w:r>
      <w:r w:rsidR="00D70E66" w:rsidRPr="00D70E66">
        <w:rPr>
          <w:rFonts w:ascii="Times New Roman" w:hAnsi="Times New Roman" w:cs="Times New Roman"/>
          <w:lang w:val="en-NG"/>
        </w:rPr>
        <w:t>.</w:t>
      </w:r>
    </w:p>
    <w:p w14:paraId="4E032D50" w14:textId="77777777" w:rsidR="00D70E66" w:rsidRPr="00D70E66" w:rsidRDefault="00D70E66" w:rsidP="00915236">
      <w:pPr>
        <w:spacing w:before="240" w:after="240" w:line="240" w:lineRule="auto"/>
        <w:jc w:val="both"/>
        <w:rPr>
          <w:rFonts w:ascii="Times New Roman" w:hAnsi="Times New Roman" w:cs="Times New Roman"/>
          <w:b/>
          <w:bCs/>
          <w:lang w:val="en-NG"/>
        </w:rPr>
      </w:pPr>
      <w:r w:rsidRPr="00D70E66">
        <w:rPr>
          <w:rFonts w:ascii="Times New Roman" w:hAnsi="Times New Roman" w:cs="Times New Roman"/>
          <w:b/>
          <w:bCs/>
          <w:lang w:val="en-NG"/>
        </w:rPr>
        <w:t>4.8 Summary of Key Results</w:t>
      </w:r>
    </w:p>
    <w:p w14:paraId="541CA5E0" w14:textId="1E0AAF70" w:rsidR="0039725F" w:rsidRPr="00003AB3" w:rsidRDefault="00D2284E" w:rsidP="00915236">
      <w:pPr>
        <w:spacing w:before="240" w:after="240" w:line="240" w:lineRule="auto"/>
        <w:jc w:val="both"/>
        <w:rPr>
          <w:rFonts w:ascii="Times New Roman" w:hAnsi="Times New Roman" w:cs="Times New Roman"/>
          <w:lang w:val="en-NG"/>
        </w:rPr>
      </w:pPr>
      <w:r w:rsidRPr="00D2284E">
        <w:rPr>
          <w:rFonts w:ascii="Times New Roman" w:hAnsi="Times New Roman" w:cs="Times New Roman"/>
        </w:rPr>
        <w:t>Overall, the results reveal a balanced, statistically validated distribution of strategies with measurable impacts on energy efficiency, emissions, and cost optimisation. Their effectiveness is maximised when applied collectively. The findings reinforce the architect’s central role in coordinating these strategies, positioning architectural practice as a key driver of sustainable urban transformation in Nigeria</w:t>
      </w:r>
      <w:r w:rsidR="0039725F" w:rsidRPr="00003AB3">
        <w:rPr>
          <w:rFonts w:ascii="Times New Roman" w:hAnsi="Times New Roman" w:cs="Times New Roman"/>
          <w:lang w:val="en-NG"/>
        </w:rPr>
        <w:t>.</w:t>
      </w:r>
    </w:p>
    <w:p w14:paraId="67E1E882" w14:textId="1ABA2A0F" w:rsidR="00F330C9" w:rsidRPr="00734C3D" w:rsidRDefault="00734C3D" w:rsidP="00915236">
      <w:pPr>
        <w:spacing w:before="240" w:after="240" w:line="240" w:lineRule="auto"/>
        <w:jc w:val="both"/>
        <w:rPr>
          <w:rFonts w:ascii="Times New Roman" w:hAnsi="Times New Roman" w:cs="Times New Roman"/>
          <w:b/>
          <w:bCs/>
          <w:sz w:val="28"/>
          <w:szCs w:val="28"/>
          <w:lang w:val="en-NG"/>
        </w:rPr>
      </w:pPr>
      <w:r w:rsidRPr="00734C3D">
        <w:rPr>
          <w:rFonts w:ascii="Times New Roman" w:hAnsi="Times New Roman" w:cs="Times New Roman"/>
          <w:b/>
          <w:bCs/>
          <w:sz w:val="28"/>
          <w:szCs w:val="28"/>
          <w:lang w:val="en-NG"/>
        </w:rPr>
        <w:t>5.0 DISCUSSION</w:t>
      </w:r>
    </w:p>
    <w:p w14:paraId="19B37F8C" w14:textId="77777777" w:rsidR="00890359" w:rsidRPr="00890359" w:rsidRDefault="00890359" w:rsidP="00915236">
      <w:pPr>
        <w:spacing w:before="240" w:after="240" w:line="240" w:lineRule="auto"/>
        <w:jc w:val="both"/>
        <w:rPr>
          <w:rFonts w:ascii="Times New Roman" w:hAnsi="Times New Roman" w:cs="Times New Roman"/>
          <w:lang w:val="en-NG"/>
        </w:rPr>
      </w:pPr>
      <w:r w:rsidRPr="00890359">
        <w:rPr>
          <w:rFonts w:ascii="Times New Roman" w:hAnsi="Times New Roman" w:cs="Times New Roman"/>
          <w:lang w:val="en-NG"/>
        </w:rPr>
        <w:t xml:space="preserve">The findings of this study provide strong empirical support for adopting climate-smart housing strategies as a pathway to sustainable urban development in Nigeria. The synthesis of 57 peer-reviewed studies demonstrates that passive design, low-carbon materials, and digital technologies are not isolated interventions but </w:t>
      </w:r>
      <w:r w:rsidRPr="00890359">
        <w:rPr>
          <w:rFonts w:ascii="Times New Roman" w:hAnsi="Times New Roman" w:cs="Times New Roman"/>
          <w:lang w:val="en-NG"/>
        </w:rPr>
        <w:lastRenderedPageBreak/>
        <w:t>interdependent components of an integrated housing system. The statistical validation further strengthens this interpretation, confirming that these strategies are collectively significant rather than hierarchically dominant, consistent with ecological modernisation theory, which emphasises technological innovation, particularly digital technologies, as a driver of environmental sustainability.</w:t>
      </w:r>
    </w:p>
    <w:p w14:paraId="1630DA1B" w14:textId="77777777" w:rsidR="00890359" w:rsidRPr="00890359" w:rsidRDefault="00890359" w:rsidP="00915236">
      <w:pPr>
        <w:spacing w:before="240" w:after="240" w:line="240" w:lineRule="auto"/>
        <w:jc w:val="both"/>
        <w:rPr>
          <w:rFonts w:ascii="Times New Roman" w:hAnsi="Times New Roman" w:cs="Times New Roman"/>
          <w:lang w:val="en-NG"/>
        </w:rPr>
      </w:pPr>
      <w:r w:rsidRPr="00890359">
        <w:rPr>
          <w:rFonts w:ascii="Times New Roman" w:hAnsi="Times New Roman" w:cs="Times New Roman"/>
          <w:lang w:val="en-NG"/>
        </w:rPr>
        <w:t>The Weighted Frequency Index (WFI) results reveal a relatively balanced thematic distribution, passive design (38.60%), low-carbon materials (33.33%), and digital technologies (28.07%). Although passive design appears slightly more prominent, the Chi-square (χ²) test result (χ² = 0.94, p &gt; 0.05) confirms that the observed differences are not statistically significant. This implies that variation in research emphasis reflects natural distribution rather than structural dominance. Consequently, the null hypothesis is retained, reinforcing the conclusion that all three strategies are equally critical. This statistical outcome provides a robust foundation for advocating an integrated design approach.</w:t>
      </w:r>
    </w:p>
    <w:p w14:paraId="6B2BF2C8" w14:textId="77777777" w:rsidR="00890359" w:rsidRPr="00890359" w:rsidRDefault="00890359" w:rsidP="00915236">
      <w:pPr>
        <w:spacing w:before="240" w:after="240" w:line="240" w:lineRule="auto"/>
        <w:jc w:val="both"/>
        <w:rPr>
          <w:rFonts w:ascii="Times New Roman" w:hAnsi="Times New Roman" w:cs="Times New Roman"/>
          <w:lang w:val="en-NG"/>
        </w:rPr>
      </w:pPr>
      <w:r w:rsidRPr="00890359">
        <w:rPr>
          <w:rFonts w:ascii="Times New Roman" w:hAnsi="Times New Roman" w:cs="Times New Roman"/>
          <w:lang w:val="en-NG"/>
        </w:rPr>
        <w:t>From a performance perspective, the reviewed studies consistently demonstrate that passive design strategies deliver the most immediate and measurable benefits in operational energy reduction, achieving savings of up to 50% in tropical climates. This aligns with global evidence from similar regions, where climate-responsive design remains the most cost-effective intervention. Compared to global studies, adoption in Nigeria remains slower, particularly in scaling these strategies beyond pilot or individual projects. The synthesis further shows that relying solely on passive design is insufficient for long-term sustainability targets. Low-carbon materials reduce embodied energy by up to 40%, while digital technologies enhance lifecycle efficiency through coordination, waste minimisation, and performance simulation, reflecting global transitions towards data-driven systems.</w:t>
      </w:r>
    </w:p>
    <w:p w14:paraId="100DCC9C" w14:textId="77777777" w:rsidR="00890359" w:rsidRPr="00890359" w:rsidRDefault="00890359" w:rsidP="00915236">
      <w:pPr>
        <w:spacing w:before="240" w:after="240" w:line="240" w:lineRule="auto"/>
        <w:jc w:val="both"/>
        <w:rPr>
          <w:rFonts w:ascii="Times New Roman" w:hAnsi="Times New Roman" w:cs="Times New Roman"/>
          <w:lang w:val="en-NG"/>
        </w:rPr>
      </w:pPr>
      <w:r w:rsidRPr="00890359">
        <w:rPr>
          <w:rFonts w:ascii="Times New Roman" w:hAnsi="Times New Roman" w:cs="Times New Roman"/>
          <w:lang w:val="en-NG"/>
        </w:rPr>
        <w:t>The inferential analysis supports these relationships. Correlation patterns indicate a strong negative relationship between low-carbon material adoption and embodied carbon emissions, and a strong positive relationship between passive design and thermal comfort. Digital technologies show moderate-to-strong correlations with efficiency and lifecycle optimisation. These findings validate a systems-based perspective and align with socio-technical transitions theory, where innovation, institutions, and actors collectively shape sustainability outcomes.</w:t>
      </w:r>
    </w:p>
    <w:p w14:paraId="7C6F2A26" w14:textId="77777777" w:rsidR="00890359" w:rsidRPr="00890359" w:rsidRDefault="00890359" w:rsidP="00915236">
      <w:pPr>
        <w:spacing w:before="240" w:after="240" w:line="240" w:lineRule="auto"/>
        <w:jc w:val="both"/>
        <w:rPr>
          <w:rFonts w:ascii="Times New Roman" w:hAnsi="Times New Roman" w:cs="Times New Roman"/>
          <w:lang w:val="en-NG"/>
        </w:rPr>
      </w:pPr>
      <w:r w:rsidRPr="00890359">
        <w:rPr>
          <w:rFonts w:ascii="Times New Roman" w:hAnsi="Times New Roman" w:cs="Times New Roman"/>
          <w:lang w:val="en-NG"/>
        </w:rPr>
        <w:t>A critical insight emerging from the discussion is the architect’s role as a system integrator within socio-technical housing systems. The ability to synthesise climatic data, material performance, and digital tools positions architects uniquely within housing delivery processes. Unlike fragmented approaches where actors operate in silos, architect-led coordination aligns design intent with measurable environmental performance. This role is particularly important in Nigeria, where systemic inefficiencies and capacity gaps limit effective implementation compared to more structured global systems.</w:t>
      </w:r>
    </w:p>
    <w:p w14:paraId="4FB0FDD2" w14:textId="2340D66B" w:rsidR="00890359" w:rsidRPr="00890359" w:rsidRDefault="00890359" w:rsidP="00915236">
      <w:pPr>
        <w:spacing w:before="240" w:after="240" w:line="240" w:lineRule="auto"/>
        <w:jc w:val="both"/>
        <w:rPr>
          <w:rFonts w:ascii="Times New Roman" w:hAnsi="Times New Roman" w:cs="Times New Roman"/>
          <w:lang w:val="en-NG"/>
        </w:rPr>
      </w:pPr>
      <w:r w:rsidRPr="00890359">
        <w:rPr>
          <w:rFonts w:ascii="Times New Roman" w:hAnsi="Times New Roman" w:cs="Times New Roman"/>
          <w:lang w:val="en-NG"/>
        </w:rPr>
        <w:t xml:space="preserve">Despite these benefits, a persistent gap exists between research and practice. Passive strategies are more widely implemented due to affordability, while low-carbon materials face standardisation challenges, and digital technologies remain constrained by cost and expertise limitations. These disparities are less pronounced in developed contexts, highlighting a global imbalance in adoption. This reflects broader socio-technical transition barriers, </w:t>
      </w:r>
      <w:r w:rsidR="005D2EFF">
        <w:rPr>
          <w:rFonts w:ascii="Times New Roman" w:hAnsi="Times New Roman" w:cs="Times New Roman"/>
          <w:lang w:val="en-NG"/>
        </w:rPr>
        <w:t>in which institutional inertia and market structures slow the uptake of innovation</w:t>
      </w:r>
      <w:r w:rsidRPr="00890359">
        <w:rPr>
          <w:rFonts w:ascii="Times New Roman" w:hAnsi="Times New Roman" w:cs="Times New Roman"/>
          <w:lang w:val="en-NG"/>
        </w:rPr>
        <w:t>.</w:t>
      </w:r>
    </w:p>
    <w:p w14:paraId="5406519B" w14:textId="77777777" w:rsidR="00890359" w:rsidRPr="00890359" w:rsidRDefault="00890359" w:rsidP="00915236">
      <w:pPr>
        <w:spacing w:before="240" w:after="240" w:line="240" w:lineRule="auto"/>
        <w:jc w:val="both"/>
        <w:rPr>
          <w:rFonts w:ascii="Times New Roman" w:hAnsi="Times New Roman" w:cs="Times New Roman"/>
          <w:lang w:val="en-NG"/>
        </w:rPr>
      </w:pPr>
      <w:r w:rsidRPr="00890359">
        <w:rPr>
          <w:rFonts w:ascii="Times New Roman" w:hAnsi="Times New Roman" w:cs="Times New Roman"/>
          <w:lang w:val="en-NG"/>
        </w:rPr>
        <w:t>Education and capacity building are therefore critical. Architectural training institutions, particularly polytechnics, play a key role in equipping professionals with competencies in sustainability and digital tools. Integrating applied research, simulation, and interdisciplinary learning into curricula can strengthen implementation capacity and reinforce the architect’s integrative function.</w:t>
      </w:r>
    </w:p>
    <w:p w14:paraId="536EFD94" w14:textId="0E09C6F6" w:rsidR="00F330C9" w:rsidRPr="00890359" w:rsidRDefault="00890359" w:rsidP="00915236">
      <w:pPr>
        <w:spacing w:before="240" w:after="240" w:line="240" w:lineRule="auto"/>
        <w:jc w:val="both"/>
        <w:rPr>
          <w:rFonts w:ascii="Times New Roman" w:hAnsi="Times New Roman" w:cs="Times New Roman"/>
          <w:lang w:val="en-NG"/>
        </w:rPr>
      </w:pPr>
      <w:r w:rsidRPr="00890359">
        <w:rPr>
          <w:rFonts w:ascii="Times New Roman" w:hAnsi="Times New Roman" w:cs="Times New Roman"/>
          <w:lang w:val="en-NG"/>
        </w:rPr>
        <w:t>In summary, the findings confirm that these strategies are statistically validated, empirically effective, and complementary. The synthesis, grounded in ecological modernisation and socio-technical transitions theories, underscores the necessity of an integrated, architect-led approach. Achieving sustainable urban development in Nigeria will depend on architects’ ability to coordinate and scale these strategies within complex systems. However, findings may be influenced by publication bias and variations in methodological approaches across reviewed studies, which may affect generalisability</w:t>
      </w:r>
      <w:r w:rsidR="00F330C9" w:rsidRPr="00890359">
        <w:rPr>
          <w:rFonts w:ascii="Times New Roman" w:hAnsi="Times New Roman" w:cs="Times New Roman"/>
          <w:lang w:val="en-NG"/>
        </w:rPr>
        <w:t>.</w:t>
      </w:r>
    </w:p>
    <w:p w14:paraId="77D6ED83" w14:textId="55982CAD" w:rsidR="00496ED1" w:rsidRPr="00734C3D" w:rsidRDefault="00734C3D" w:rsidP="00915236">
      <w:pPr>
        <w:spacing w:before="240" w:after="240" w:line="240" w:lineRule="auto"/>
        <w:jc w:val="both"/>
        <w:rPr>
          <w:rFonts w:ascii="Times New Roman" w:hAnsi="Times New Roman" w:cs="Times New Roman"/>
          <w:b/>
          <w:bCs/>
          <w:sz w:val="28"/>
          <w:szCs w:val="28"/>
          <w:lang w:val="en-NG"/>
        </w:rPr>
      </w:pPr>
      <w:r w:rsidRPr="00734C3D">
        <w:rPr>
          <w:rFonts w:ascii="Times New Roman" w:hAnsi="Times New Roman" w:cs="Times New Roman"/>
          <w:b/>
          <w:bCs/>
          <w:sz w:val="28"/>
          <w:szCs w:val="28"/>
          <w:lang w:val="en-NG"/>
        </w:rPr>
        <w:lastRenderedPageBreak/>
        <w:t>6.0 RECOMMENDATIONS AND CONCLUSION</w:t>
      </w:r>
    </w:p>
    <w:p w14:paraId="0B62BEB1" w14:textId="115F6120" w:rsidR="00496ED1" w:rsidRPr="00003AB3" w:rsidRDefault="00F330C9" w:rsidP="00915236">
      <w:pPr>
        <w:spacing w:before="240" w:after="240" w:line="240" w:lineRule="auto"/>
        <w:jc w:val="both"/>
        <w:rPr>
          <w:rFonts w:ascii="Times New Roman" w:hAnsi="Times New Roman" w:cs="Times New Roman"/>
          <w:b/>
          <w:bCs/>
          <w:lang w:val="en-NG"/>
        </w:rPr>
      </w:pPr>
      <w:r>
        <w:rPr>
          <w:rFonts w:ascii="Times New Roman" w:hAnsi="Times New Roman" w:cs="Times New Roman"/>
          <w:b/>
          <w:bCs/>
          <w:lang w:val="en-NG"/>
        </w:rPr>
        <w:t>6</w:t>
      </w:r>
      <w:r w:rsidR="00496ED1" w:rsidRPr="00003AB3">
        <w:rPr>
          <w:rFonts w:ascii="Times New Roman" w:hAnsi="Times New Roman" w:cs="Times New Roman"/>
          <w:b/>
          <w:bCs/>
          <w:lang w:val="en-NG"/>
        </w:rPr>
        <w:t>.1 Recommendations</w:t>
      </w:r>
    </w:p>
    <w:p w14:paraId="6CD27311"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The findings of this study highlight that achieving climate-smart housing in Nigeria requires a coordinated, multi-level response that aligns policy, professional practice, education, and industry innovation. Given the statistically validated complementarity of passive design, low-carbon materials, and digital technologies, the priority should not be the promotion of isolated strategies but the institutionalisation of integrated housing delivery systems led by architects. These recommendations align with global climate policy frameworks emphasising decarbonisation, resilience, and sustainable urban transitions.</w:t>
      </w:r>
    </w:p>
    <w:p w14:paraId="60954F8E"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At the policy level, there is a need to strengthen regulatory frameworks governing building design and construction. Governments should develop enforceable building codes that incorporate climate-responsive design standards, energy performance benchmarks, and low-carbon material requirements. However, such targets should be performance-based and contextually grounded, with measurable targets for improving approval efficiency through digitalisation and process integration, rather than arbitrarily fixed, to ensure feasibility and compliance. Digitalisation of planning approval processes, including one-stop permitting platforms, can significantly improve efficiency and transparency, thereby reducing delays that often discourage innovation.</w:t>
      </w:r>
    </w:p>
    <w:p w14:paraId="5B19E881"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Equally important is the development of financial mechanisms to support the adoption of climate-smart strategies. Incentives such as tax reliefs, green financing schemes, and subsidies for sustainable materials can reduce the perceived cost burden associated with innovative housing solutions. These measures will encourage developers to adopt environmentally responsible practices without compromising economic viability.</w:t>
      </w:r>
    </w:p>
    <w:p w14:paraId="0BF9889D"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From a professional standpoint, capacity building is essential. Continuous professional development programmes should be institutionalised to equip architects and other built environment professionals with competencies in passive design optimisation, life cycle assessment, and digital tools such as Building Information Modelling (BIM). Professional bodies should also enforce sustainability-oriented practice standards, ensuring that climate-smart principles are embedded within routine architectural workflows.</w:t>
      </w:r>
    </w:p>
    <w:p w14:paraId="7EFAAA26"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The role of education, particularly within polytechnic institutions, is critical in bridging the gap between research and practice. Curriculum reform should prioritise applied learning, interdisciplinary collaboration, and the integration of digital technologies. Studio-based teaching methods, coupled with real-life project simulations, will enhance students’ ability to translate theoretical knowledge into practical solutions. Furthermore, embedding sustainability competencies into architectural education will ensure that future professionals are adequately prepared to address complex urban challenges.</w:t>
      </w:r>
    </w:p>
    <w:p w14:paraId="715E8011"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Industry–academia collaboration should be strengthened to facilitate innovation and knowledge transfer. Partnerships between educational institutions, construction firms, and government agencies can support pilot housing projects, prototype development, and field-based experimentation. Such initiatives will provide empirical validation of climate-smart strategies and demonstrate their feasibility at scale. Architects should play a central coordinating role in these collaborations, ensuring that design, technology, and environmental performance are effectively integrated.</w:t>
      </w:r>
    </w:p>
    <w:p w14:paraId="51640D94"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Finally, public awareness and stakeholder engagement are essential for driving demand for sustainable housing. Misconceptions about the cost and complexity of climate-smart housing must be addressed through targeted advocacy and demonstration projects. Architects, as key intermediaries between clients and the built environment, should actively communicate the long-term economic and environmental benefits of sustainable design. By fostering a culture of sustainability, these efforts will create a supportive ecosystem for the widespread adoption of climate-smart housing.</w:t>
      </w:r>
    </w:p>
    <w:p w14:paraId="204E6028" w14:textId="77777777" w:rsidR="009B26CD" w:rsidRPr="009B26CD" w:rsidRDefault="009B26CD" w:rsidP="00915236">
      <w:pPr>
        <w:spacing w:before="240" w:after="240" w:line="240" w:lineRule="auto"/>
        <w:jc w:val="both"/>
        <w:rPr>
          <w:rFonts w:ascii="Times New Roman" w:hAnsi="Times New Roman" w:cs="Times New Roman"/>
          <w:b/>
          <w:bCs/>
          <w:lang w:val="en-NG"/>
        </w:rPr>
      </w:pPr>
      <w:r w:rsidRPr="009B26CD">
        <w:rPr>
          <w:rFonts w:ascii="Times New Roman" w:hAnsi="Times New Roman" w:cs="Times New Roman"/>
          <w:b/>
          <w:bCs/>
          <w:lang w:val="en-NG"/>
        </w:rPr>
        <w:t>6.2 Conclusion</w:t>
      </w:r>
    </w:p>
    <w:p w14:paraId="79CBAEA0"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lastRenderedPageBreak/>
        <w:t>This study provides a comprehensive examination of climate-smart housing strategies and the architect's critical role in advancing sustainable urban development in Nigeria. Drawing on a PRISMA-based systematic review of 57 peer-reviewed journal articles and supported by inferential statistical validation, the research establishes a robust evidence base for understanding the effectiveness and interdependence of key sustainability strategies.</w:t>
      </w:r>
    </w:p>
    <w:p w14:paraId="15F73700"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The findings confirm that passive design, low-carbon materials, and digital technologies each contribute significantly to improving housing performance. Passive design enhances operational energy efficiency, low-carbon materials reduce embodied emissions, and digital technologies optimise construction processes and lifecycle performance. Importantly, the Chi-square (χ²) test indicates no statistically significant difference in the prominence of these strategies, reinforcing the conclusion that their value lies in integration rather than in individual dominance. This constitutes the study's empirical contribution by statistically validating the complementarity of strategies.</w:t>
      </w:r>
    </w:p>
    <w:p w14:paraId="4805ACAD"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A central contribution of this study is the articulation of the architect’s role as an integrator within the housing delivery system. Architects are uniquely positioned to coordinate design innovation, material selection, and technological application, thereby aligning environmental performance with functional and socio-economic requirements. In the Nigerian context, where housing challenges are compounded by rapid urbanisation, institutional inefficiencies, and resource constraints, this integrative role becomes even more critical. This establishes the theoretical contribution in advancing an architect-centred integration model.</w:t>
      </w:r>
    </w:p>
    <w:p w14:paraId="1CBE5319"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Despite the demonstrated benefits of climate-smart housing, the study identifies a persistent gap between research and practice. While empirical evidence supports the effectiveness of sustainable strategies, their adoption remains limited due to financial constraints, technical capacity deficits, weak policy enforcement, and low stakeholder awareness. Addressing these challenges requires a holistic approach that combines regulatory reform, professional training, educational innovation, and industry collaboration.</w:t>
      </w:r>
    </w:p>
    <w:p w14:paraId="4C86AF49" w14:textId="77777777" w:rsidR="009B26CD" w:rsidRPr="009B26CD"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From a methodological perspective, the study demonstrates the value of combining PRISMA-based systematic review procedures with inferential statistical techniques to enhance analytical rigour and reliability. This represents the methodological contribution by integrating PRISMA and inferential synthesis. Practically, the study provides actionable insights for policymakers, educators, and practitioners seeking to promote sustainable housing solutions. This defines the practical contribution in terms of policy, design, and implementation implications.</w:t>
      </w:r>
    </w:p>
    <w:p w14:paraId="144B1133" w14:textId="4D2D2FD8" w:rsidR="00496ED1" w:rsidRDefault="009B26CD" w:rsidP="00915236">
      <w:pPr>
        <w:spacing w:before="240" w:after="240" w:line="240" w:lineRule="auto"/>
        <w:jc w:val="both"/>
        <w:rPr>
          <w:rFonts w:ascii="Times New Roman" w:hAnsi="Times New Roman" w:cs="Times New Roman"/>
          <w:lang w:val="en-NG"/>
        </w:rPr>
      </w:pPr>
      <w:r w:rsidRPr="009B26CD">
        <w:rPr>
          <w:rFonts w:ascii="Times New Roman" w:hAnsi="Times New Roman" w:cs="Times New Roman"/>
          <w:lang w:val="en-NG"/>
        </w:rPr>
        <w:t>In conclusion, the transition towards climate-smart housing in Nigeria is both necessary and achievable. However, its success will depend on architects' ability to lead and coordinate this transformation, supported by enabling policies, strengthened institutional capacity, and an informed and engaged society. By embracing an integrated, architect-led approach, Nigeria can address its housing deficit while advancing environmental sustainability, economic resilience, and inclusive urban development. This positions architecture not as a supporting discipline but as the central driver of climate-smart housing transformation</w:t>
      </w:r>
      <w:r w:rsidR="00496ED1" w:rsidRPr="009B26CD">
        <w:rPr>
          <w:rFonts w:ascii="Times New Roman" w:hAnsi="Times New Roman" w:cs="Times New Roman"/>
          <w:lang w:val="en-NG"/>
        </w:rPr>
        <w:t>.</w:t>
      </w:r>
    </w:p>
    <w:p w14:paraId="22156ECC" w14:textId="77777777" w:rsidR="00C94447" w:rsidRDefault="00C94447" w:rsidP="006F4F5A">
      <w:pPr>
        <w:spacing w:before="240" w:after="240" w:line="240" w:lineRule="auto"/>
        <w:jc w:val="both"/>
        <w:rPr>
          <w:rFonts w:ascii="Times New Roman" w:hAnsi="Times New Roman" w:cs="Times New Roman"/>
          <w:b/>
          <w:bCs/>
          <w:lang w:val="en-NG"/>
        </w:rPr>
      </w:pPr>
    </w:p>
    <w:p w14:paraId="426C1086" w14:textId="18E4F19A" w:rsidR="006F4F5A" w:rsidRPr="006F4F5A" w:rsidRDefault="00C94447" w:rsidP="006F4F5A">
      <w:pPr>
        <w:spacing w:before="240" w:after="240" w:line="240" w:lineRule="auto"/>
        <w:jc w:val="both"/>
        <w:rPr>
          <w:rFonts w:ascii="Times New Roman" w:hAnsi="Times New Roman" w:cs="Times New Roman"/>
          <w:b/>
          <w:bCs/>
          <w:lang w:val="en-NG"/>
        </w:rPr>
      </w:pPr>
      <w:r w:rsidRPr="006F4F5A">
        <w:rPr>
          <w:rFonts w:ascii="Times New Roman" w:hAnsi="Times New Roman" w:cs="Times New Roman"/>
          <w:b/>
          <w:bCs/>
          <w:lang w:val="en-NG"/>
        </w:rPr>
        <w:t>ETHICAL CONSIDERATIONS</w:t>
      </w:r>
    </w:p>
    <w:p w14:paraId="46C2C663" w14:textId="0F312DDC" w:rsidR="006F4F5A" w:rsidRPr="006F4F5A" w:rsidRDefault="006F4F5A" w:rsidP="006F4F5A">
      <w:pPr>
        <w:spacing w:before="240" w:after="240" w:line="240" w:lineRule="auto"/>
        <w:jc w:val="both"/>
        <w:rPr>
          <w:rFonts w:ascii="Times New Roman" w:hAnsi="Times New Roman" w:cs="Times New Roman"/>
          <w:lang w:val="en-NG"/>
        </w:rPr>
      </w:pPr>
      <w:r w:rsidRPr="006F4F5A">
        <w:rPr>
          <w:rFonts w:ascii="Times New Roman" w:hAnsi="Times New Roman" w:cs="Times New Roman"/>
          <w:b/>
          <w:bCs/>
          <w:lang w:val="en-NG"/>
        </w:rPr>
        <w:t>Ethical Approval:</w:t>
      </w:r>
      <w:r w:rsidR="00C94447">
        <w:rPr>
          <w:rFonts w:ascii="Times New Roman" w:hAnsi="Times New Roman" w:cs="Times New Roman"/>
          <w:lang w:val="en-NG"/>
        </w:rPr>
        <w:t xml:space="preserve"> </w:t>
      </w:r>
      <w:r w:rsidRPr="006F4F5A">
        <w:rPr>
          <w:rFonts w:ascii="Times New Roman" w:hAnsi="Times New Roman" w:cs="Times New Roman"/>
          <w:lang w:val="en-NG"/>
        </w:rPr>
        <w:t>This study is based on a PRISMA-guided systematic review of published literature and did not involve human or animal subjects; therefore, ethical approval was not required.</w:t>
      </w:r>
    </w:p>
    <w:p w14:paraId="39419869" w14:textId="74ECE78C" w:rsidR="006F4F5A" w:rsidRPr="006F4F5A" w:rsidRDefault="006F4F5A" w:rsidP="006F4F5A">
      <w:pPr>
        <w:spacing w:before="240" w:after="240" w:line="240" w:lineRule="auto"/>
        <w:jc w:val="both"/>
        <w:rPr>
          <w:rFonts w:ascii="Times New Roman" w:hAnsi="Times New Roman" w:cs="Times New Roman"/>
          <w:lang w:val="en-NG"/>
        </w:rPr>
      </w:pPr>
      <w:r w:rsidRPr="006F4F5A">
        <w:rPr>
          <w:rFonts w:ascii="Times New Roman" w:hAnsi="Times New Roman" w:cs="Times New Roman"/>
          <w:b/>
          <w:bCs/>
          <w:lang w:val="en-NG"/>
        </w:rPr>
        <w:t>Conflict of Interest:</w:t>
      </w:r>
      <w:r w:rsidR="00C94447">
        <w:rPr>
          <w:rFonts w:ascii="Times New Roman" w:hAnsi="Times New Roman" w:cs="Times New Roman"/>
          <w:lang w:val="en-NG"/>
        </w:rPr>
        <w:t xml:space="preserve"> </w:t>
      </w:r>
      <w:r w:rsidRPr="006F4F5A">
        <w:rPr>
          <w:rFonts w:ascii="Times New Roman" w:hAnsi="Times New Roman" w:cs="Times New Roman"/>
          <w:lang w:val="en-NG"/>
        </w:rPr>
        <w:t>The authors declare no competing financial or personal interests.</w:t>
      </w:r>
    </w:p>
    <w:p w14:paraId="7ABEC17C" w14:textId="165A1504" w:rsidR="006F4F5A" w:rsidRPr="006F4F5A" w:rsidRDefault="00C94447" w:rsidP="006F4F5A">
      <w:pPr>
        <w:spacing w:before="240" w:after="240" w:line="240" w:lineRule="auto"/>
        <w:jc w:val="both"/>
        <w:rPr>
          <w:rFonts w:ascii="Times New Roman" w:hAnsi="Times New Roman" w:cs="Times New Roman"/>
          <w:b/>
          <w:bCs/>
          <w:lang w:val="en-NG"/>
        </w:rPr>
      </w:pPr>
      <w:r w:rsidRPr="006F4F5A">
        <w:rPr>
          <w:rFonts w:ascii="Times New Roman" w:hAnsi="Times New Roman" w:cs="Times New Roman"/>
          <w:b/>
          <w:bCs/>
          <w:lang w:val="en-NG"/>
        </w:rPr>
        <w:t>DATA AVAILABILITY</w:t>
      </w:r>
    </w:p>
    <w:p w14:paraId="0311B207" w14:textId="114D2B30" w:rsidR="006F4F5A" w:rsidRPr="006F4F5A" w:rsidRDefault="006F4F5A" w:rsidP="006F4F5A">
      <w:pPr>
        <w:spacing w:before="240" w:after="240" w:line="240" w:lineRule="auto"/>
        <w:jc w:val="both"/>
        <w:rPr>
          <w:rFonts w:ascii="Times New Roman" w:hAnsi="Times New Roman" w:cs="Times New Roman"/>
          <w:lang w:val="en-NG"/>
        </w:rPr>
      </w:pPr>
      <w:r w:rsidRPr="006F4F5A">
        <w:rPr>
          <w:rFonts w:ascii="Times New Roman" w:hAnsi="Times New Roman" w:cs="Times New Roman"/>
          <w:b/>
          <w:bCs/>
          <w:lang w:val="en-NG"/>
        </w:rPr>
        <w:t>Statement:</w:t>
      </w:r>
      <w:r w:rsidR="00C94447">
        <w:rPr>
          <w:rFonts w:ascii="Times New Roman" w:hAnsi="Times New Roman" w:cs="Times New Roman"/>
          <w:b/>
          <w:bCs/>
          <w:lang w:val="en-NG"/>
        </w:rPr>
        <w:t xml:space="preserve"> </w:t>
      </w:r>
      <w:r w:rsidRPr="006F4F5A">
        <w:rPr>
          <w:rFonts w:ascii="Times New Roman" w:hAnsi="Times New Roman" w:cs="Times New Roman"/>
          <w:lang w:val="en-NG"/>
        </w:rPr>
        <w:t>Data were derived from 57 peer-reviewed articles and international reports sourced from public databases (Scopus, Web of Science, ScienceDirect, Google Scholar). Extracted data are available from the corresponding author upon reasonable request.</w:t>
      </w:r>
    </w:p>
    <w:p w14:paraId="6674F5DB" w14:textId="518ADBEE" w:rsidR="0022350E" w:rsidRPr="00734C3D" w:rsidRDefault="00734C3D" w:rsidP="00E8549C">
      <w:pPr>
        <w:spacing w:after="40" w:line="240" w:lineRule="auto"/>
        <w:jc w:val="both"/>
        <w:rPr>
          <w:rFonts w:ascii="Times New Roman" w:hAnsi="Times New Roman" w:cs="Times New Roman"/>
          <w:b/>
          <w:bCs/>
          <w:sz w:val="28"/>
          <w:szCs w:val="28"/>
          <w:lang w:val="en-NG"/>
        </w:rPr>
      </w:pPr>
      <w:r w:rsidRPr="00734C3D">
        <w:rPr>
          <w:rFonts w:ascii="Times New Roman" w:hAnsi="Times New Roman" w:cs="Times New Roman"/>
          <w:b/>
          <w:bCs/>
          <w:sz w:val="28"/>
          <w:szCs w:val="28"/>
          <w:lang w:val="en-NG"/>
        </w:rPr>
        <w:lastRenderedPageBreak/>
        <w:t xml:space="preserve">REFERENCES </w:t>
      </w:r>
    </w:p>
    <w:p w14:paraId="7757DE2A"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lang w:val="en-US"/>
        </w:rPr>
        <w:t xml:space="preserve">Abdullahi, A., Otasowie, K., Lee, A., Awuzie, B., Aigbavboa, C., &amp; Oke, A. (2023). </w:t>
      </w:r>
      <w:r w:rsidRPr="007257CE">
        <w:rPr>
          <w:color w:val="000000"/>
          <w:sz w:val="22"/>
          <w:szCs w:val="22"/>
        </w:rPr>
        <w:t>Conceptualising an ethno‐mimetic model for effective buildings' end‐of‐life waste management: A Nigerian exemplar. </w:t>
      </w:r>
      <w:r w:rsidRPr="007257CE">
        <w:rPr>
          <w:i/>
          <w:iCs/>
          <w:color w:val="000000"/>
          <w:sz w:val="22"/>
          <w:szCs w:val="22"/>
        </w:rPr>
        <w:t>Business Strategy &amp; Development</w:t>
      </w:r>
      <w:r w:rsidRPr="007257CE">
        <w:rPr>
          <w:color w:val="000000"/>
          <w:sz w:val="22"/>
          <w:szCs w:val="22"/>
        </w:rPr>
        <w:t>. https://doi.org/10.1002/bsd2.241.</w:t>
      </w:r>
    </w:p>
    <w:p w14:paraId="04AA1C3C" w14:textId="6D0DD135"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 xml:space="preserve">Adedeji, I., Deveci, G., &amp; Salman, H. (2023). The challenges in providing affordable housing in Nigeria and </w:t>
      </w:r>
      <w:r w:rsidR="000E3EBD" w:rsidRPr="007257CE">
        <w:rPr>
          <w:rFonts w:ascii="Times New Roman" w:hAnsi="Times New Roman" w:cs="Times New Roman"/>
          <w:sz w:val="22"/>
          <w:szCs w:val="22"/>
        </w:rPr>
        <w:t>adequate, sustainable approaches to</w:t>
      </w:r>
      <w:r w:rsidRPr="007257CE">
        <w:rPr>
          <w:rFonts w:ascii="Times New Roman" w:hAnsi="Times New Roman" w:cs="Times New Roman"/>
          <w:sz w:val="22"/>
          <w:szCs w:val="22"/>
        </w:rPr>
        <w:t xml:space="preserve"> addressing them. </w:t>
      </w:r>
      <w:r w:rsidRPr="007257CE">
        <w:rPr>
          <w:rFonts w:ascii="Times New Roman" w:hAnsi="Times New Roman" w:cs="Times New Roman"/>
          <w:i/>
          <w:iCs/>
          <w:sz w:val="22"/>
          <w:szCs w:val="22"/>
        </w:rPr>
        <w:t>Open Journal of Applied Sciences</w:t>
      </w:r>
      <w:r w:rsidRPr="007257CE">
        <w:rPr>
          <w:rFonts w:ascii="Times New Roman" w:hAnsi="Times New Roman" w:cs="Times New Roman"/>
          <w:sz w:val="22"/>
          <w:szCs w:val="22"/>
        </w:rPr>
        <w:t>, </w:t>
      </w:r>
      <w:r w:rsidRPr="007257CE">
        <w:rPr>
          <w:rFonts w:ascii="Times New Roman" w:hAnsi="Times New Roman" w:cs="Times New Roman"/>
          <w:i/>
          <w:iCs/>
          <w:sz w:val="22"/>
          <w:szCs w:val="22"/>
        </w:rPr>
        <w:t>13</w:t>
      </w:r>
      <w:r w:rsidRPr="007257CE">
        <w:rPr>
          <w:rFonts w:ascii="Times New Roman" w:hAnsi="Times New Roman" w:cs="Times New Roman"/>
          <w:sz w:val="22"/>
          <w:szCs w:val="22"/>
        </w:rPr>
        <w:t>(3), 431</w:t>
      </w:r>
      <w:r w:rsidR="000E3EBD" w:rsidRPr="007257CE">
        <w:rPr>
          <w:rFonts w:ascii="Times New Roman" w:hAnsi="Times New Roman" w:cs="Times New Roman"/>
          <w:sz w:val="22"/>
          <w:szCs w:val="22"/>
        </w:rPr>
        <w:t>–</w:t>
      </w:r>
      <w:r w:rsidRPr="007257CE">
        <w:rPr>
          <w:rFonts w:ascii="Times New Roman" w:hAnsi="Times New Roman" w:cs="Times New Roman"/>
          <w:sz w:val="22"/>
          <w:szCs w:val="22"/>
        </w:rPr>
        <w:t>448. https://doi.org/10.4236/ojapps.2023.133035</w:t>
      </w:r>
    </w:p>
    <w:p w14:paraId="4D9D4D8E"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i-FI"/>
        </w:rPr>
        <w:t xml:space="preserve">Alabi, A. S., Alabi, O. A., Fadeyi, A. A., Okon, E. M., Oke, T. I., Oloye, A. R., &amp; Arayela, O. (2026). </w:t>
      </w:r>
      <w:r w:rsidRPr="007257CE">
        <w:rPr>
          <w:rFonts w:ascii="Times New Roman" w:hAnsi="Times New Roman" w:cs="Times New Roman"/>
          <w:sz w:val="22"/>
          <w:szCs w:val="22"/>
        </w:rPr>
        <w:t>BIM adoption in Nigeria: systematic review of status and policy framework for sustainable development. </w:t>
      </w:r>
      <w:r w:rsidRPr="007257CE">
        <w:rPr>
          <w:rFonts w:ascii="Times New Roman" w:hAnsi="Times New Roman" w:cs="Times New Roman"/>
          <w:i/>
          <w:iCs/>
          <w:sz w:val="22"/>
          <w:szCs w:val="22"/>
        </w:rPr>
        <w:t>Built Environment Project and Asset Management</w:t>
      </w:r>
      <w:r w:rsidRPr="007257CE">
        <w:rPr>
          <w:rFonts w:ascii="Times New Roman" w:hAnsi="Times New Roman" w:cs="Times New Roman"/>
          <w:sz w:val="22"/>
          <w:szCs w:val="22"/>
        </w:rPr>
        <w:t>, </w:t>
      </w:r>
      <w:r w:rsidRPr="007257CE">
        <w:rPr>
          <w:rFonts w:ascii="Times New Roman" w:hAnsi="Times New Roman" w:cs="Times New Roman"/>
          <w:i/>
          <w:iCs/>
          <w:sz w:val="22"/>
          <w:szCs w:val="22"/>
        </w:rPr>
        <w:t>16</w:t>
      </w:r>
      <w:r w:rsidRPr="007257CE">
        <w:rPr>
          <w:rFonts w:ascii="Times New Roman" w:hAnsi="Times New Roman" w:cs="Times New Roman"/>
          <w:sz w:val="22"/>
          <w:szCs w:val="22"/>
        </w:rPr>
        <w:t>(2), 338-356. https://doi.org/10.1108/bepam-03-2025-0076.</w:t>
      </w:r>
    </w:p>
    <w:p w14:paraId="26B52B6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Aliyu, A., &amp; Amadu, L. (2017). Urbanisation, Cities, and Health: The Challenges to Nigeria – A Review. </w:t>
      </w:r>
      <w:r w:rsidRPr="007257CE">
        <w:rPr>
          <w:rFonts w:ascii="Times New Roman" w:hAnsi="Times New Roman" w:cs="Times New Roman"/>
          <w:i/>
          <w:iCs/>
          <w:sz w:val="22"/>
          <w:szCs w:val="22"/>
        </w:rPr>
        <w:t>Annals of African Medicine, 16</w:t>
      </w:r>
      <w:r w:rsidRPr="007257CE">
        <w:rPr>
          <w:rFonts w:ascii="Times New Roman" w:hAnsi="Times New Roman" w:cs="Times New Roman"/>
          <w:sz w:val="22"/>
          <w:szCs w:val="22"/>
        </w:rPr>
        <w:t>, 149–158. https://doi.org/10.4103/aam.aam_1_17.</w:t>
      </w:r>
    </w:p>
    <w:p w14:paraId="0F4F63F8"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Andersen, C. E., Ohms, P., Rasmussen, F. N., Birgisdóttir, H., Birkved, M., Hauschild, M., &amp; Ryberg, M. (2020). Assessment of absolute environmental sustainability in the built environment. </w:t>
      </w:r>
      <w:r w:rsidRPr="007257CE">
        <w:rPr>
          <w:rFonts w:ascii="Times New Roman" w:hAnsi="Times New Roman" w:cs="Times New Roman"/>
          <w:i/>
          <w:iCs/>
          <w:sz w:val="22"/>
          <w:szCs w:val="22"/>
        </w:rPr>
        <w:t>Building and Environment</w:t>
      </w:r>
      <w:r w:rsidRPr="007257CE">
        <w:rPr>
          <w:rFonts w:ascii="Times New Roman" w:hAnsi="Times New Roman" w:cs="Times New Roman"/>
          <w:sz w:val="22"/>
          <w:szCs w:val="22"/>
        </w:rPr>
        <w:t>, </w:t>
      </w:r>
      <w:r w:rsidRPr="007257CE">
        <w:rPr>
          <w:rFonts w:ascii="Times New Roman" w:hAnsi="Times New Roman" w:cs="Times New Roman"/>
          <w:i/>
          <w:iCs/>
          <w:sz w:val="22"/>
          <w:szCs w:val="22"/>
        </w:rPr>
        <w:t>171</w:t>
      </w:r>
      <w:r w:rsidRPr="007257CE">
        <w:rPr>
          <w:rFonts w:ascii="Times New Roman" w:hAnsi="Times New Roman" w:cs="Times New Roman"/>
          <w:sz w:val="22"/>
          <w:szCs w:val="22"/>
        </w:rPr>
        <w:t>, 106633. https://doi.org/10.1016/j.buildenv.2019.106633.</w:t>
      </w:r>
    </w:p>
    <w:p w14:paraId="73BAC821"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Asha Sapna, A. P., &amp; Anbalagan, C. (2023). Sustainable eco-friendly building material–a review towards compressed stabilised earth blocks and fire-burnt clay bricks. In </w:t>
      </w:r>
      <w:r w:rsidRPr="007257CE">
        <w:rPr>
          <w:rFonts w:ascii="Times New Roman" w:hAnsi="Times New Roman" w:cs="Times New Roman"/>
          <w:i/>
          <w:iCs/>
          <w:sz w:val="22"/>
          <w:szCs w:val="22"/>
        </w:rPr>
        <w:t>IOP Conference Series: Earth and Environmental Science</w:t>
      </w:r>
      <w:r w:rsidRPr="007257CE">
        <w:rPr>
          <w:rFonts w:ascii="Times New Roman" w:hAnsi="Times New Roman" w:cs="Times New Roman"/>
          <w:sz w:val="22"/>
          <w:szCs w:val="22"/>
        </w:rPr>
        <w:t> (Vol. 1210, No. 1, p. 012023). IOP Publishing. https://doi.org/10.1088/1755-1315/1210/1/012023.</w:t>
      </w:r>
    </w:p>
    <w:p w14:paraId="5F9C8C2D"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Auwalu, F. K., &amp; Bello, M. (2023). Exploring the contemporary challenges of urbanisation and the role of sustainable urban development: a study of Lagos City, Nigeria. </w:t>
      </w:r>
      <w:r w:rsidRPr="007257CE">
        <w:rPr>
          <w:rFonts w:ascii="Times New Roman" w:hAnsi="Times New Roman" w:cs="Times New Roman"/>
          <w:i/>
          <w:iCs/>
          <w:sz w:val="22"/>
          <w:szCs w:val="22"/>
        </w:rPr>
        <w:t>Journal of Contemporary Urban Affairs</w:t>
      </w:r>
      <w:r w:rsidRPr="007257CE">
        <w:rPr>
          <w:rFonts w:ascii="Times New Roman" w:hAnsi="Times New Roman" w:cs="Times New Roman"/>
          <w:sz w:val="22"/>
          <w:szCs w:val="22"/>
        </w:rPr>
        <w:t>, </w:t>
      </w:r>
      <w:r w:rsidRPr="007257CE">
        <w:rPr>
          <w:rFonts w:ascii="Times New Roman" w:hAnsi="Times New Roman" w:cs="Times New Roman"/>
          <w:i/>
          <w:iCs/>
          <w:sz w:val="22"/>
          <w:szCs w:val="22"/>
        </w:rPr>
        <w:t>7</w:t>
      </w:r>
      <w:r w:rsidRPr="007257CE">
        <w:rPr>
          <w:rFonts w:ascii="Times New Roman" w:hAnsi="Times New Roman" w:cs="Times New Roman"/>
          <w:sz w:val="22"/>
          <w:szCs w:val="22"/>
        </w:rPr>
        <w:t>(1), 175–188. https://doi.org/10.25034/ijcua.2023.v7n1-12.</w:t>
      </w:r>
    </w:p>
    <w:p w14:paraId="13BA93A9"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Baesse, S. S. From Policy Intent to Climate-Smart Implementation: Developing the Saudi Climate-Smart Social Housing Governance Model (S-CSHGM). </w:t>
      </w:r>
      <w:r w:rsidRPr="007257CE">
        <w:rPr>
          <w:rFonts w:ascii="Times New Roman" w:hAnsi="Times New Roman" w:cs="Times New Roman"/>
          <w:i/>
          <w:iCs/>
          <w:sz w:val="22"/>
          <w:szCs w:val="22"/>
        </w:rPr>
        <w:t>Frontiers in Built Environment</w:t>
      </w:r>
      <w:r w:rsidRPr="007257CE">
        <w:rPr>
          <w:rFonts w:ascii="Times New Roman" w:hAnsi="Times New Roman" w:cs="Times New Roman"/>
          <w:sz w:val="22"/>
          <w:szCs w:val="22"/>
        </w:rPr>
        <w:t>, </w:t>
      </w:r>
      <w:r w:rsidRPr="007257CE">
        <w:rPr>
          <w:rFonts w:ascii="Times New Roman" w:hAnsi="Times New Roman" w:cs="Times New Roman"/>
          <w:i/>
          <w:iCs/>
          <w:sz w:val="22"/>
          <w:szCs w:val="22"/>
        </w:rPr>
        <w:t>11</w:t>
      </w:r>
      <w:r w:rsidRPr="007257CE">
        <w:rPr>
          <w:rFonts w:ascii="Times New Roman" w:hAnsi="Times New Roman" w:cs="Times New Roman"/>
          <w:sz w:val="22"/>
          <w:szCs w:val="22"/>
        </w:rPr>
        <w:t>, 1735330. https://doi.org/10.3389/fbuil.2025.1735330.</w:t>
      </w:r>
    </w:p>
    <w:p w14:paraId="77BF70CA"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Chel, A., &amp; Kaushik, G. (2018). Renewable energy technologies for the sustainable development of energy-efficient buildings. </w:t>
      </w:r>
      <w:r w:rsidRPr="007257CE">
        <w:rPr>
          <w:rFonts w:ascii="Times New Roman" w:hAnsi="Times New Roman" w:cs="Times New Roman"/>
          <w:i/>
          <w:iCs/>
          <w:sz w:val="22"/>
          <w:szCs w:val="22"/>
        </w:rPr>
        <w:t>Alexandria engineering journal</w:t>
      </w:r>
      <w:r w:rsidRPr="007257CE">
        <w:rPr>
          <w:rFonts w:ascii="Times New Roman" w:hAnsi="Times New Roman" w:cs="Times New Roman"/>
          <w:sz w:val="22"/>
          <w:szCs w:val="22"/>
        </w:rPr>
        <w:t>, </w:t>
      </w:r>
      <w:r w:rsidRPr="007257CE">
        <w:rPr>
          <w:rFonts w:ascii="Times New Roman" w:hAnsi="Times New Roman" w:cs="Times New Roman"/>
          <w:i/>
          <w:iCs/>
          <w:sz w:val="22"/>
          <w:szCs w:val="22"/>
        </w:rPr>
        <w:t>57</w:t>
      </w:r>
      <w:r w:rsidRPr="007257CE">
        <w:rPr>
          <w:rFonts w:ascii="Times New Roman" w:hAnsi="Times New Roman" w:cs="Times New Roman"/>
          <w:sz w:val="22"/>
          <w:szCs w:val="22"/>
        </w:rPr>
        <w:t>(2), 655–669. https://doi.org/10.1016/j.aej.2017.02.027.</w:t>
      </w:r>
      <w:r w:rsidRPr="007257CE">
        <w:rPr>
          <w:rFonts w:ascii="Times New Roman" w:hAnsi="Times New Roman" w:cs="Times New Roman"/>
          <w:sz w:val="22"/>
          <w:szCs w:val="22"/>
          <w:lang w:val="en-US"/>
        </w:rPr>
        <w:t xml:space="preserve"> </w:t>
      </w:r>
    </w:p>
    <w:p w14:paraId="0656F0A5"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r-FR"/>
        </w:rPr>
        <w:t xml:space="preserve">Chen, W., Yang, S., Zhang, X., Jordan, N., &amp; Huang, J. (2021). </w:t>
      </w:r>
      <w:r w:rsidRPr="007257CE">
        <w:rPr>
          <w:rFonts w:ascii="Times New Roman" w:hAnsi="Times New Roman" w:cs="Times New Roman"/>
          <w:sz w:val="22"/>
          <w:szCs w:val="22"/>
        </w:rPr>
        <w:t>Embodied energy and carbon emissions of building materials in China. </w:t>
      </w:r>
      <w:r w:rsidRPr="007257CE">
        <w:rPr>
          <w:rFonts w:ascii="Times New Roman" w:hAnsi="Times New Roman" w:cs="Times New Roman"/>
          <w:i/>
          <w:iCs/>
          <w:sz w:val="22"/>
          <w:szCs w:val="22"/>
        </w:rPr>
        <w:t>Building and Environment</w:t>
      </w:r>
      <w:r w:rsidRPr="007257CE">
        <w:rPr>
          <w:rFonts w:ascii="Times New Roman" w:hAnsi="Times New Roman" w:cs="Times New Roman"/>
          <w:sz w:val="22"/>
          <w:szCs w:val="22"/>
        </w:rPr>
        <w:t>. https://doi.org/10.1016/j.buildenv.2021.108434.</w:t>
      </w:r>
    </w:p>
    <w:p w14:paraId="505A95C6"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i-FI"/>
        </w:rPr>
        <w:t xml:space="preserve">Chen, Y., Mae, M., Taniguchi, K., Kojima, T., Mori, H., Trihamdani, A., Morita, K., &amp; Sasajima, Y. (2020). </w:t>
      </w:r>
      <w:r w:rsidRPr="007257CE">
        <w:rPr>
          <w:rFonts w:ascii="Times New Roman" w:hAnsi="Times New Roman" w:cs="Times New Roman"/>
          <w:sz w:val="22"/>
          <w:szCs w:val="22"/>
        </w:rPr>
        <w:t>Performance of passive design strategies in hot and humid regions. Case study: Tangerang, Indonesia. </w:t>
      </w:r>
      <w:r w:rsidRPr="007257CE">
        <w:rPr>
          <w:rFonts w:ascii="Times New Roman" w:hAnsi="Times New Roman" w:cs="Times New Roman"/>
          <w:i/>
          <w:iCs/>
          <w:sz w:val="22"/>
          <w:szCs w:val="22"/>
        </w:rPr>
        <w:t>Journal of Asian Architecture and Building Engineering, 20</w:t>
      </w:r>
      <w:r w:rsidRPr="007257CE">
        <w:rPr>
          <w:rFonts w:ascii="Times New Roman" w:hAnsi="Times New Roman" w:cs="Times New Roman"/>
          <w:sz w:val="22"/>
          <w:szCs w:val="22"/>
        </w:rPr>
        <w:t>, 458–476. https://doi.org/10.1080/13467581.2020.1798775.</w:t>
      </w:r>
    </w:p>
    <w:p w14:paraId="3E30B0BC"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i-FI"/>
        </w:rPr>
        <w:t xml:space="preserve">Danjuma, W. U., Ajayi, O. O., &amp; Daramola, A. S. (2025). </w:t>
      </w:r>
      <w:r w:rsidRPr="007257CE">
        <w:rPr>
          <w:rFonts w:ascii="Times New Roman" w:hAnsi="Times New Roman" w:cs="Times New Roman"/>
          <w:sz w:val="22"/>
          <w:szCs w:val="22"/>
        </w:rPr>
        <w:t>Assessment of building forms and orientation techniques that enhance natural ventilation and light for improved indoor air quality. </w:t>
      </w:r>
      <w:r w:rsidRPr="007257CE">
        <w:rPr>
          <w:rFonts w:ascii="Times New Roman" w:hAnsi="Times New Roman" w:cs="Times New Roman"/>
          <w:i/>
          <w:iCs/>
          <w:sz w:val="22"/>
          <w:szCs w:val="22"/>
        </w:rPr>
        <w:t>African Journal of Environmental Sciences and Renewable Energy</w:t>
      </w:r>
      <w:r w:rsidRPr="007257CE">
        <w:rPr>
          <w:rFonts w:ascii="Times New Roman" w:hAnsi="Times New Roman" w:cs="Times New Roman"/>
          <w:sz w:val="22"/>
          <w:szCs w:val="22"/>
        </w:rPr>
        <w:t>, </w:t>
      </w:r>
      <w:r w:rsidRPr="007257CE">
        <w:rPr>
          <w:rFonts w:ascii="Times New Roman" w:hAnsi="Times New Roman" w:cs="Times New Roman"/>
          <w:i/>
          <w:iCs/>
          <w:sz w:val="22"/>
          <w:szCs w:val="22"/>
        </w:rPr>
        <w:t>19</w:t>
      </w:r>
      <w:r w:rsidRPr="007257CE">
        <w:rPr>
          <w:rFonts w:ascii="Times New Roman" w:hAnsi="Times New Roman" w:cs="Times New Roman"/>
          <w:sz w:val="22"/>
          <w:szCs w:val="22"/>
        </w:rPr>
        <w:t>(1), 308–323. https://doi.org/10.62154/ajesre.2025.019.01029.</w:t>
      </w:r>
    </w:p>
    <w:p w14:paraId="6CF8F409"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r-FR"/>
        </w:rPr>
        <w:t xml:space="preserve">Dorcas M. T., &amp; Pourvahidi, P. (2020). </w:t>
      </w:r>
      <w:r w:rsidRPr="007257CE">
        <w:rPr>
          <w:rFonts w:ascii="Times New Roman" w:hAnsi="Times New Roman" w:cs="Times New Roman"/>
          <w:sz w:val="22"/>
          <w:szCs w:val="22"/>
        </w:rPr>
        <w:t>Bioclimatic approach for climate classification of Nigeria. </w:t>
      </w:r>
      <w:r w:rsidRPr="007257CE">
        <w:rPr>
          <w:rFonts w:ascii="Times New Roman" w:hAnsi="Times New Roman" w:cs="Times New Roman"/>
          <w:i/>
          <w:iCs/>
          <w:sz w:val="22"/>
          <w:szCs w:val="22"/>
          <w:lang w:val="en-US"/>
        </w:rPr>
        <w:t>Sustainability</w:t>
      </w:r>
      <w:r w:rsidRPr="007257CE">
        <w:rPr>
          <w:rFonts w:ascii="Times New Roman" w:hAnsi="Times New Roman" w:cs="Times New Roman"/>
          <w:sz w:val="22"/>
          <w:szCs w:val="22"/>
          <w:lang w:val="en-US"/>
        </w:rPr>
        <w:t>, </w:t>
      </w:r>
      <w:r w:rsidRPr="007257CE">
        <w:rPr>
          <w:rFonts w:ascii="Times New Roman" w:hAnsi="Times New Roman" w:cs="Times New Roman"/>
          <w:i/>
          <w:iCs/>
          <w:sz w:val="22"/>
          <w:szCs w:val="22"/>
          <w:lang w:val="en-US"/>
        </w:rPr>
        <w:t>12</w:t>
      </w:r>
      <w:r w:rsidRPr="007257CE">
        <w:rPr>
          <w:rFonts w:ascii="Times New Roman" w:hAnsi="Times New Roman" w:cs="Times New Roman"/>
          <w:sz w:val="22"/>
          <w:szCs w:val="22"/>
          <w:lang w:val="en-US"/>
        </w:rPr>
        <w:t>(10), 4192. https://doi.org/10.3390/su12104192.</w:t>
      </w:r>
    </w:p>
    <w:p w14:paraId="25B6F202"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Erifeta, K. E. (2025). Sustainable building decarbonization in Nigeria: Challenges, opportunities, and policy recommendations. </w:t>
      </w:r>
      <w:r w:rsidRPr="007257CE">
        <w:rPr>
          <w:rFonts w:ascii="Times New Roman" w:hAnsi="Times New Roman" w:cs="Times New Roman"/>
          <w:i/>
          <w:iCs/>
          <w:sz w:val="22"/>
          <w:szCs w:val="22"/>
        </w:rPr>
        <w:t>International Journal of Climatic Studies</w:t>
      </w:r>
      <w:r w:rsidRPr="007257CE">
        <w:rPr>
          <w:rFonts w:ascii="Times New Roman" w:hAnsi="Times New Roman" w:cs="Times New Roman"/>
          <w:sz w:val="22"/>
          <w:szCs w:val="22"/>
        </w:rPr>
        <w:t>, </w:t>
      </w:r>
      <w:r w:rsidRPr="007257CE">
        <w:rPr>
          <w:rFonts w:ascii="Times New Roman" w:hAnsi="Times New Roman" w:cs="Times New Roman"/>
          <w:i/>
          <w:iCs/>
          <w:sz w:val="22"/>
          <w:szCs w:val="22"/>
        </w:rPr>
        <w:t>4</w:t>
      </w:r>
      <w:r w:rsidRPr="007257CE">
        <w:rPr>
          <w:rFonts w:ascii="Times New Roman" w:hAnsi="Times New Roman" w:cs="Times New Roman"/>
          <w:sz w:val="22"/>
          <w:szCs w:val="22"/>
        </w:rPr>
        <w:t>(1), 1–17. https://doi.org/10.47604/ijcs.3249.</w:t>
      </w:r>
    </w:p>
    <w:p w14:paraId="766F1090"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Ewurum, N. I., Aso, N. E., &amp; Ewurum, I. C. (2020). Housing deficit attenuation through market-oriented polycentric management: evidence from Nigeria. </w:t>
      </w:r>
      <w:r w:rsidRPr="007257CE">
        <w:rPr>
          <w:rFonts w:ascii="Times New Roman" w:hAnsi="Times New Roman" w:cs="Times New Roman"/>
          <w:i/>
          <w:iCs/>
          <w:sz w:val="22"/>
          <w:szCs w:val="22"/>
        </w:rPr>
        <w:t>Developing Country Studies</w:t>
      </w:r>
      <w:r w:rsidRPr="007257CE">
        <w:rPr>
          <w:rFonts w:ascii="Times New Roman" w:hAnsi="Times New Roman" w:cs="Times New Roman"/>
          <w:sz w:val="22"/>
          <w:szCs w:val="22"/>
        </w:rPr>
        <w:t>, </w:t>
      </w:r>
      <w:r w:rsidRPr="007257CE">
        <w:rPr>
          <w:rFonts w:ascii="Times New Roman" w:hAnsi="Times New Roman" w:cs="Times New Roman"/>
          <w:i/>
          <w:iCs/>
          <w:sz w:val="22"/>
          <w:szCs w:val="22"/>
        </w:rPr>
        <w:t>10</w:t>
      </w:r>
      <w:r w:rsidRPr="007257CE">
        <w:rPr>
          <w:rFonts w:ascii="Times New Roman" w:hAnsi="Times New Roman" w:cs="Times New Roman"/>
          <w:sz w:val="22"/>
          <w:szCs w:val="22"/>
        </w:rPr>
        <w:t>(3). https://doi.org/10.7176/dcs/10-3-05.</w:t>
      </w:r>
    </w:p>
    <w:p w14:paraId="1DDB5C5A"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lang w:val="fi-FI"/>
        </w:rPr>
        <w:lastRenderedPageBreak/>
        <w:t xml:space="preserve">Ezeokoli, O. F., Ehimioboh, C. O., Iheama, N. B., &amp; Enebe, E. C. (2025). </w:t>
      </w:r>
      <w:r w:rsidRPr="007257CE">
        <w:rPr>
          <w:color w:val="000000"/>
          <w:sz w:val="22"/>
          <w:szCs w:val="22"/>
        </w:rPr>
        <w:t>Application of sustainable development principles in housing projects in Anambra State, Nigeria. </w:t>
      </w:r>
      <w:r w:rsidRPr="007257CE">
        <w:rPr>
          <w:i/>
          <w:iCs/>
          <w:color w:val="000000"/>
          <w:sz w:val="22"/>
          <w:szCs w:val="22"/>
        </w:rPr>
        <w:t>European Journal of Sustainable Development Research</w:t>
      </w:r>
      <w:r w:rsidRPr="007257CE">
        <w:rPr>
          <w:color w:val="000000"/>
          <w:sz w:val="22"/>
          <w:szCs w:val="22"/>
        </w:rPr>
        <w:t>, </w:t>
      </w:r>
      <w:r w:rsidRPr="007257CE">
        <w:rPr>
          <w:i/>
          <w:iCs/>
          <w:color w:val="000000"/>
          <w:sz w:val="22"/>
          <w:szCs w:val="22"/>
        </w:rPr>
        <w:t>9</w:t>
      </w:r>
      <w:r w:rsidRPr="007257CE">
        <w:rPr>
          <w:color w:val="000000"/>
          <w:sz w:val="22"/>
          <w:szCs w:val="22"/>
        </w:rPr>
        <w:t>(3). https://doi.org/10.29333/ejosdr/16334.</w:t>
      </w:r>
    </w:p>
    <w:p w14:paraId="03729BE0" w14:textId="453F44A3"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i-FI"/>
        </w:rPr>
        <w:t xml:space="preserve">Garba, B. M. P., Umar, M. O., Umana, A. U., Olu, J. S., &amp; Ologun, A. (2024). </w:t>
      </w:r>
      <w:r w:rsidRPr="007257CE">
        <w:rPr>
          <w:rFonts w:ascii="Times New Roman" w:hAnsi="Times New Roman" w:cs="Times New Roman"/>
          <w:sz w:val="22"/>
          <w:szCs w:val="22"/>
        </w:rPr>
        <w:t>Sustainable architectural solutions for affordable housing in Nigeria: A case study approach. </w:t>
      </w:r>
      <w:r w:rsidRPr="007257CE">
        <w:rPr>
          <w:rFonts w:ascii="Times New Roman" w:hAnsi="Times New Roman" w:cs="Times New Roman"/>
          <w:i/>
          <w:iCs/>
          <w:sz w:val="22"/>
          <w:szCs w:val="22"/>
        </w:rPr>
        <w:t>World Journal of Advanced Research and Reviews</w:t>
      </w:r>
      <w:r w:rsidRPr="007257CE">
        <w:rPr>
          <w:rFonts w:ascii="Times New Roman" w:hAnsi="Times New Roman" w:cs="Times New Roman"/>
          <w:sz w:val="22"/>
          <w:szCs w:val="22"/>
        </w:rPr>
        <w:t>, </w:t>
      </w:r>
      <w:r w:rsidRPr="007257CE">
        <w:rPr>
          <w:rFonts w:ascii="Times New Roman" w:hAnsi="Times New Roman" w:cs="Times New Roman"/>
          <w:i/>
          <w:iCs/>
          <w:sz w:val="22"/>
          <w:szCs w:val="22"/>
        </w:rPr>
        <w:t>23</w:t>
      </w:r>
      <w:r w:rsidRPr="007257CE">
        <w:rPr>
          <w:rFonts w:ascii="Times New Roman" w:hAnsi="Times New Roman" w:cs="Times New Roman"/>
          <w:sz w:val="22"/>
          <w:szCs w:val="22"/>
        </w:rPr>
        <w:t>(03), 434</w:t>
      </w:r>
      <w:r w:rsidR="000E3EBD" w:rsidRPr="007257CE">
        <w:rPr>
          <w:rFonts w:ascii="Times New Roman" w:hAnsi="Times New Roman" w:cs="Times New Roman"/>
          <w:sz w:val="22"/>
          <w:szCs w:val="22"/>
        </w:rPr>
        <w:t>–</w:t>
      </w:r>
      <w:r w:rsidRPr="007257CE">
        <w:rPr>
          <w:rFonts w:ascii="Times New Roman" w:hAnsi="Times New Roman" w:cs="Times New Roman"/>
          <w:sz w:val="22"/>
          <w:szCs w:val="22"/>
        </w:rPr>
        <w:t>445. https://doi.org/10.30574/wjarr.2024.23.3.2704</w:t>
      </w:r>
    </w:p>
    <w:p w14:paraId="5ED2962C"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Ibrahim, M. A., El-Nafaty, A. S. I., &amp; Udale, I. H. (2024). Evaluation of Cooling Strategies for Energy Efficient Low-Cost Housing Estate in Bauchi, Nigeria. </w:t>
      </w:r>
      <w:r w:rsidRPr="007257CE">
        <w:rPr>
          <w:rFonts w:ascii="Times New Roman" w:hAnsi="Times New Roman" w:cs="Times New Roman"/>
          <w:i/>
          <w:iCs/>
          <w:sz w:val="22"/>
          <w:szCs w:val="22"/>
        </w:rPr>
        <w:t>African Journal of Environmental Sciences and Renewable Energy</w:t>
      </w:r>
      <w:r w:rsidRPr="007257CE">
        <w:rPr>
          <w:rFonts w:ascii="Times New Roman" w:hAnsi="Times New Roman" w:cs="Times New Roman"/>
          <w:sz w:val="22"/>
          <w:szCs w:val="22"/>
        </w:rPr>
        <w:t>, </w:t>
      </w:r>
      <w:r w:rsidRPr="007257CE">
        <w:rPr>
          <w:rFonts w:ascii="Times New Roman" w:hAnsi="Times New Roman" w:cs="Times New Roman"/>
          <w:i/>
          <w:iCs/>
          <w:sz w:val="22"/>
          <w:szCs w:val="22"/>
        </w:rPr>
        <w:t>15</w:t>
      </w:r>
      <w:r w:rsidRPr="007257CE">
        <w:rPr>
          <w:rFonts w:ascii="Times New Roman" w:hAnsi="Times New Roman" w:cs="Times New Roman"/>
          <w:sz w:val="22"/>
          <w:szCs w:val="22"/>
        </w:rPr>
        <w:t>(1), 226-236. https://doi.org/10.62154/w59q0r65.</w:t>
      </w:r>
    </w:p>
    <w:p w14:paraId="4FD7FFD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NG"/>
        </w:rPr>
      </w:pPr>
      <w:r w:rsidRPr="007257CE">
        <w:rPr>
          <w:rFonts w:ascii="Times New Roman" w:hAnsi="Times New Roman" w:cs="Times New Roman"/>
          <w:sz w:val="22"/>
          <w:szCs w:val="22"/>
          <w:lang w:val="en-NG"/>
        </w:rPr>
        <w:t xml:space="preserve">International Energy Agency. (2021). </w:t>
      </w:r>
      <w:r w:rsidRPr="007257CE">
        <w:rPr>
          <w:rFonts w:ascii="Times New Roman" w:hAnsi="Times New Roman" w:cs="Times New Roman"/>
          <w:i/>
          <w:iCs/>
          <w:sz w:val="22"/>
          <w:szCs w:val="22"/>
          <w:lang w:val="en-NG"/>
        </w:rPr>
        <w:t>Net zero by 2050: A roadmap for the global energy sector</w:t>
      </w:r>
      <w:r w:rsidRPr="007257CE">
        <w:rPr>
          <w:rFonts w:ascii="Times New Roman" w:hAnsi="Times New Roman" w:cs="Times New Roman"/>
          <w:sz w:val="22"/>
          <w:szCs w:val="22"/>
          <w:lang w:val="en-NG"/>
        </w:rPr>
        <w:t xml:space="preserve">. </w:t>
      </w:r>
      <w:hyperlink r:id="rId8" w:tgtFrame="_new" w:history="1">
        <w:r w:rsidRPr="007257CE">
          <w:rPr>
            <w:rStyle w:val="Hyperlink"/>
            <w:rFonts w:ascii="Times New Roman" w:hAnsi="Times New Roman" w:cs="Times New Roman"/>
            <w:sz w:val="22"/>
            <w:szCs w:val="22"/>
            <w:lang w:val="en-NG"/>
          </w:rPr>
          <w:t>https://www.iea.org/reports/net-zero-by-2050</w:t>
        </w:r>
      </w:hyperlink>
    </w:p>
    <w:p w14:paraId="2C7F67A6"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Inusa, M., &amp; Alibaba, A. (2017). Application of Passive Cooling Techniques in Residential Buildings: A Case Study of Northern Nigeria. </w:t>
      </w:r>
      <w:r w:rsidRPr="007257CE">
        <w:rPr>
          <w:rFonts w:ascii="Times New Roman" w:hAnsi="Times New Roman" w:cs="Times New Roman"/>
          <w:i/>
          <w:iCs/>
          <w:sz w:val="22"/>
          <w:szCs w:val="22"/>
        </w:rPr>
        <w:t>International Journal of Engineering Research and Applications, 07</w:t>
      </w:r>
      <w:r w:rsidRPr="007257CE">
        <w:rPr>
          <w:rFonts w:ascii="Times New Roman" w:hAnsi="Times New Roman" w:cs="Times New Roman"/>
          <w:sz w:val="22"/>
          <w:szCs w:val="22"/>
        </w:rPr>
        <w:t>, 24-30. https://doi.org/10.9790/9622-0701012430.</w:t>
      </w:r>
    </w:p>
    <w:p w14:paraId="2EB82525"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NG"/>
        </w:rPr>
      </w:pPr>
      <w:r w:rsidRPr="007257CE">
        <w:rPr>
          <w:color w:val="000000"/>
          <w:sz w:val="22"/>
          <w:szCs w:val="22"/>
          <w:lang w:val="en-NG"/>
        </w:rPr>
        <w:t xml:space="preserve">IPCC. (2022). </w:t>
      </w:r>
      <w:r w:rsidRPr="007257CE">
        <w:rPr>
          <w:i/>
          <w:iCs/>
          <w:color w:val="000000"/>
          <w:sz w:val="22"/>
          <w:szCs w:val="22"/>
          <w:lang w:val="en-NG"/>
        </w:rPr>
        <w:t>Climate Change 2022: Impacts, Adaptation, and Vulnerability.</w:t>
      </w:r>
      <w:r w:rsidRPr="007257CE">
        <w:rPr>
          <w:color w:val="000000"/>
          <w:sz w:val="22"/>
          <w:szCs w:val="22"/>
          <w:lang w:val="en-NG"/>
        </w:rPr>
        <w:t xml:space="preserve"> Intergovernmental Panel on Climate Change. https://www.ipcc.ch/report/ar6/wg2/</w:t>
      </w:r>
    </w:p>
    <w:p w14:paraId="6975CE1C"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Jega, A. I., &amp; Al-Din, S. S. M. (2023). Implication of shading passive strategies in buildings of hot and humid climates for energy optimisation: Lessons from vernacular dwellings in Nigeria. </w:t>
      </w:r>
      <w:r w:rsidRPr="007257CE">
        <w:rPr>
          <w:rFonts w:ascii="Times New Roman" w:hAnsi="Times New Roman" w:cs="Times New Roman"/>
          <w:i/>
          <w:iCs/>
          <w:sz w:val="22"/>
          <w:szCs w:val="22"/>
        </w:rPr>
        <w:t>Journal of Salutogenic Architecture</w:t>
      </w:r>
      <w:r w:rsidRPr="007257CE">
        <w:rPr>
          <w:rFonts w:ascii="Times New Roman" w:hAnsi="Times New Roman" w:cs="Times New Roman"/>
          <w:sz w:val="22"/>
          <w:szCs w:val="22"/>
        </w:rPr>
        <w:t>, </w:t>
      </w:r>
      <w:r w:rsidRPr="007257CE">
        <w:rPr>
          <w:rFonts w:ascii="Times New Roman" w:hAnsi="Times New Roman" w:cs="Times New Roman"/>
          <w:i/>
          <w:iCs/>
          <w:sz w:val="22"/>
          <w:szCs w:val="22"/>
        </w:rPr>
        <w:t>2</w:t>
      </w:r>
      <w:r w:rsidRPr="007257CE">
        <w:rPr>
          <w:rFonts w:ascii="Times New Roman" w:hAnsi="Times New Roman" w:cs="Times New Roman"/>
          <w:sz w:val="22"/>
          <w:szCs w:val="22"/>
        </w:rPr>
        <w:t>(1), 50–69. https://doi.org/10.38027/jsalutogenic_vol2no1_4.</w:t>
      </w:r>
    </w:p>
    <w:p w14:paraId="677107EC"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en-US"/>
        </w:rPr>
        <w:t xml:space="preserve">Jogana, M. A., Garba, T. M., &amp; Mukhtar, N. (2020). </w:t>
      </w:r>
      <w:r w:rsidRPr="007257CE">
        <w:rPr>
          <w:rFonts w:ascii="Times New Roman" w:hAnsi="Times New Roman" w:cs="Times New Roman"/>
          <w:sz w:val="22"/>
          <w:szCs w:val="22"/>
        </w:rPr>
        <w:t>Appraisal of the Relevance of Polytechnic Higher National Diploma Building Technology Curriculum for Effective Occupational Skills Acquisition in Nigeria. </w:t>
      </w:r>
      <w:r w:rsidRPr="007257CE">
        <w:rPr>
          <w:rFonts w:ascii="Times New Roman" w:hAnsi="Times New Roman" w:cs="Times New Roman"/>
          <w:i/>
          <w:iCs/>
          <w:sz w:val="22"/>
          <w:szCs w:val="22"/>
        </w:rPr>
        <w:t>Universal Journal of Educational Research</w:t>
      </w:r>
      <w:r w:rsidRPr="007257CE">
        <w:rPr>
          <w:rFonts w:ascii="Times New Roman" w:hAnsi="Times New Roman" w:cs="Times New Roman"/>
          <w:sz w:val="22"/>
          <w:szCs w:val="22"/>
        </w:rPr>
        <w:t>, </w:t>
      </w:r>
      <w:r w:rsidRPr="007257CE">
        <w:rPr>
          <w:rFonts w:ascii="Times New Roman" w:hAnsi="Times New Roman" w:cs="Times New Roman"/>
          <w:i/>
          <w:iCs/>
          <w:sz w:val="22"/>
          <w:szCs w:val="22"/>
        </w:rPr>
        <w:t>8</w:t>
      </w:r>
      <w:r w:rsidRPr="007257CE">
        <w:rPr>
          <w:rFonts w:ascii="Times New Roman" w:hAnsi="Times New Roman" w:cs="Times New Roman"/>
          <w:sz w:val="22"/>
          <w:szCs w:val="22"/>
        </w:rPr>
        <w:t>(3A), 48–59. https://doi.org/10.13189/ujer.2020.081407.</w:t>
      </w:r>
    </w:p>
    <w:p w14:paraId="7649DD52"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i-FI"/>
        </w:rPr>
        <w:t xml:space="preserve">Joshua, A., Kandar, M., &amp; Aminu, D. (2017). </w:t>
      </w:r>
      <w:r w:rsidRPr="007257CE">
        <w:rPr>
          <w:rFonts w:ascii="Times New Roman" w:hAnsi="Times New Roman" w:cs="Times New Roman"/>
          <w:sz w:val="22"/>
          <w:szCs w:val="22"/>
        </w:rPr>
        <w:t>A Review of Compressed Stabilised Earth Brick as a Sustainable Building Material in Nigeria. </w:t>
      </w:r>
      <w:r w:rsidRPr="007257CE">
        <w:rPr>
          <w:rFonts w:ascii="Times New Roman" w:hAnsi="Times New Roman" w:cs="Times New Roman"/>
          <w:i/>
          <w:iCs/>
          <w:sz w:val="22"/>
          <w:szCs w:val="22"/>
        </w:rPr>
        <w:t>International Journal of Scientific Research in Science, Engineering, and Technology, 3</w:t>
      </w:r>
      <w:r w:rsidRPr="007257CE">
        <w:rPr>
          <w:rFonts w:ascii="Times New Roman" w:hAnsi="Times New Roman" w:cs="Times New Roman"/>
          <w:sz w:val="22"/>
          <w:szCs w:val="22"/>
        </w:rPr>
        <w:t>, 827–834. https://doi.org/10.32628/ijsrset1736194.</w:t>
      </w:r>
    </w:p>
    <w:p w14:paraId="0ABC84E9"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i-FI"/>
        </w:rPr>
        <w:t xml:space="preserve">Kalu, G., &amp; Ogunnaike, A. O. (2025). </w:t>
      </w:r>
      <w:r w:rsidRPr="007257CE">
        <w:rPr>
          <w:rFonts w:ascii="Times New Roman" w:hAnsi="Times New Roman" w:cs="Times New Roman"/>
          <w:sz w:val="22"/>
          <w:szCs w:val="22"/>
        </w:rPr>
        <w:t>Integrating Biophilic and Passive Design Strategies in Nigerian Architecture: A Systematic Review of Current Practices and Impacts. </w:t>
      </w:r>
      <w:r w:rsidRPr="007257CE">
        <w:rPr>
          <w:rFonts w:ascii="Times New Roman" w:hAnsi="Times New Roman" w:cs="Times New Roman"/>
          <w:i/>
          <w:iCs/>
          <w:sz w:val="22"/>
          <w:szCs w:val="22"/>
        </w:rPr>
        <w:t>African Journal of Environmental Sciences and Renewable Energy</w:t>
      </w:r>
      <w:r w:rsidRPr="007257CE">
        <w:rPr>
          <w:rFonts w:ascii="Times New Roman" w:hAnsi="Times New Roman" w:cs="Times New Roman"/>
          <w:sz w:val="22"/>
          <w:szCs w:val="22"/>
        </w:rPr>
        <w:t>, </w:t>
      </w:r>
      <w:r w:rsidRPr="007257CE">
        <w:rPr>
          <w:rFonts w:ascii="Times New Roman" w:hAnsi="Times New Roman" w:cs="Times New Roman"/>
          <w:i/>
          <w:iCs/>
          <w:sz w:val="22"/>
          <w:szCs w:val="22"/>
        </w:rPr>
        <w:t>19</w:t>
      </w:r>
      <w:r w:rsidRPr="007257CE">
        <w:rPr>
          <w:rFonts w:ascii="Times New Roman" w:hAnsi="Times New Roman" w:cs="Times New Roman"/>
          <w:sz w:val="22"/>
          <w:szCs w:val="22"/>
        </w:rPr>
        <w:t>(1), 324–335. https://doi.org/10.62154/ajesre.2025.019.01030.</w:t>
      </w:r>
    </w:p>
    <w:p w14:paraId="7D438454"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r-FR"/>
        </w:rPr>
        <w:t xml:space="preserve">Kerdan, I. G., Gálvez, D. M., Sousa, G., de la Fuente, S. S., Silva, R., &amp; Hawkes, A. (2019). </w:t>
      </w:r>
      <w:r w:rsidRPr="007257CE">
        <w:rPr>
          <w:rFonts w:ascii="Times New Roman" w:hAnsi="Times New Roman" w:cs="Times New Roman"/>
          <w:sz w:val="22"/>
          <w:szCs w:val="22"/>
        </w:rPr>
        <w:t>Thermodynamic and thermal comfort optimisation of a coastal social house considering the influence of the thermal breeze. </w:t>
      </w:r>
      <w:r w:rsidRPr="007257CE">
        <w:rPr>
          <w:rFonts w:ascii="Times New Roman" w:hAnsi="Times New Roman" w:cs="Times New Roman"/>
          <w:i/>
          <w:iCs/>
          <w:sz w:val="22"/>
          <w:szCs w:val="22"/>
        </w:rPr>
        <w:t>Building and Environment</w:t>
      </w:r>
      <w:r w:rsidRPr="007257CE">
        <w:rPr>
          <w:rFonts w:ascii="Times New Roman" w:hAnsi="Times New Roman" w:cs="Times New Roman"/>
          <w:sz w:val="22"/>
          <w:szCs w:val="22"/>
        </w:rPr>
        <w:t>, </w:t>
      </w:r>
      <w:r w:rsidRPr="007257CE">
        <w:rPr>
          <w:rFonts w:ascii="Times New Roman" w:hAnsi="Times New Roman" w:cs="Times New Roman"/>
          <w:i/>
          <w:iCs/>
          <w:sz w:val="22"/>
          <w:szCs w:val="22"/>
        </w:rPr>
        <w:t>155</w:t>
      </w:r>
      <w:r w:rsidRPr="007257CE">
        <w:rPr>
          <w:rFonts w:ascii="Times New Roman" w:hAnsi="Times New Roman" w:cs="Times New Roman"/>
          <w:sz w:val="22"/>
          <w:szCs w:val="22"/>
        </w:rPr>
        <w:t>, 224–246. https://doi.org/10.1016/j.buildenv.2019.03.015.</w:t>
      </w:r>
    </w:p>
    <w:p w14:paraId="223898B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Koko, A., Yue, W., Abubakar, G., Hamed, R., &amp; Alabsi, A. (2021). Analysing urban growth and land cover change scenario in Lagos, Nigeria, using multi-temporal remote sensing data and GIS to mitigate flooding. </w:t>
      </w:r>
      <w:r w:rsidRPr="007257CE">
        <w:rPr>
          <w:rFonts w:ascii="Times New Roman" w:hAnsi="Times New Roman" w:cs="Times New Roman"/>
          <w:i/>
          <w:iCs/>
          <w:sz w:val="22"/>
          <w:szCs w:val="22"/>
        </w:rPr>
        <w:t>Geomatics, Natural Hazards and Risk, 12</w:t>
      </w:r>
      <w:r w:rsidRPr="007257CE">
        <w:rPr>
          <w:rFonts w:ascii="Times New Roman" w:hAnsi="Times New Roman" w:cs="Times New Roman"/>
          <w:sz w:val="22"/>
          <w:szCs w:val="22"/>
        </w:rPr>
        <w:t>, 631–652. https://doi.org/10.1080/19475705.2021.1887940.</w:t>
      </w:r>
    </w:p>
    <w:p w14:paraId="70480E7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Li, X., Stringer, L. C., &amp; Dallimer, M. (2022). The impacts of urbanisation and climate change on the urban thermal environment in Africa. </w:t>
      </w:r>
      <w:r w:rsidRPr="007257CE">
        <w:rPr>
          <w:rFonts w:ascii="Times New Roman" w:hAnsi="Times New Roman" w:cs="Times New Roman"/>
          <w:i/>
          <w:iCs/>
          <w:sz w:val="22"/>
          <w:szCs w:val="22"/>
        </w:rPr>
        <w:t>Climate</w:t>
      </w:r>
      <w:r w:rsidRPr="007257CE">
        <w:rPr>
          <w:rFonts w:ascii="Times New Roman" w:hAnsi="Times New Roman" w:cs="Times New Roman"/>
          <w:sz w:val="22"/>
          <w:szCs w:val="22"/>
        </w:rPr>
        <w:t>, </w:t>
      </w:r>
      <w:r w:rsidRPr="007257CE">
        <w:rPr>
          <w:rFonts w:ascii="Times New Roman" w:hAnsi="Times New Roman" w:cs="Times New Roman"/>
          <w:i/>
          <w:iCs/>
          <w:sz w:val="22"/>
          <w:szCs w:val="22"/>
        </w:rPr>
        <w:t>10</w:t>
      </w:r>
      <w:r w:rsidRPr="007257CE">
        <w:rPr>
          <w:rFonts w:ascii="Times New Roman" w:hAnsi="Times New Roman" w:cs="Times New Roman"/>
          <w:sz w:val="22"/>
          <w:szCs w:val="22"/>
        </w:rPr>
        <w:t>(11), 164. https://doi.org/10.3390/cli10110164.</w:t>
      </w:r>
    </w:p>
    <w:p w14:paraId="176068A4" w14:textId="136B3823"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 xml:space="preserve">Listerborn, C. (2025). Between smart housing and home. EU-funded </w:t>
      </w:r>
      <w:r w:rsidR="000E3EBD" w:rsidRPr="007257CE">
        <w:rPr>
          <w:rFonts w:ascii="Times New Roman" w:hAnsi="Times New Roman" w:cs="Times New Roman"/>
          <w:sz w:val="22"/>
          <w:szCs w:val="22"/>
        </w:rPr>
        <w:t>climate-smart</w:t>
      </w:r>
      <w:r w:rsidRPr="007257CE">
        <w:rPr>
          <w:rFonts w:ascii="Times New Roman" w:hAnsi="Times New Roman" w:cs="Times New Roman"/>
          <w:sz w:val="22"/>
          <w:szCs w:val="22"/>
        </w:rPr>
        <w:t xml:space="preserve"> interventions in Swedish public housing. </w:t>
      </w:r>
      <w:r w:rsidRPr="007257CE">
        <w:rPr>
          <w:rFonts w:ascii="Times New Roman" w:hAnsi="Times New Roman" w:cs="Times New Roman"/>
          <w:i/>
          <w:iCs/>
          <w:sz w:val="22"/>
          <w:szCs w:val="22"/>
        </w:rPr>
        <w:t>Housing studies</w:t>
      </w:r>
      <w:r w:rsidRPr="007257CE">
        <w:rPr>
          <w:rFonts w:ascii="Times New Roman" w:hAnsi="Times New Roman" w:cs="Times New Roman"/>
          <w:sz w:val="22"/>
          <w:szCs w:val="22"/>
        </w:rPr>
        <w:t>, </w:t>
      </w:r>
      <w:r w:rsidRPr="007257CE">
        <w:rPr>
          <w:rFonts w:ascii="Times New Roman" w:hAnsi="Times New Roman" w:cs="Times New Roman"/>
          <w:i/>
          <w:iCs/>
          <w:sz w:val="22"/>
          <w:szCs w:val="22"/>
        </w:rPr>
        <w:t>40</w:t>
      </w:r>
      <w:r w:rsidRPr="007257CE">
        <w:rPr>
          <w:rFonts w:ascii="Times New Roman" w:hAnsi="Times New Roman" w:cs="Times New Roman"/>
          <w:sz w:val="22"/>
          <w:szCs w:val="22"/>
        </w:rPr>
        <w:t>(12), 2662</w:t>
      </w:r>
      <w:r w:rsidR="000E3EBD" w:rsidRPr="007257CE">
        <w:rPr>
          <w:rFonts w:ascii="Times New Roman" w:hAnsi="Times New Roman" w:cs="Times New Roman"/>
          <w:sz w:val="22"/>
          <w:szCs w:val="22"/>
        </w:rPr>
        <w:t>–</w:t>
      </w:r>
      <w:r w:rsidRPr="007257CE">
        <w:rPr>
          <w:rFonts w:ascii="Times New Roman" w:hAnsi="Times New Roman" w:cs="Times New Roman"/>
          <w:sz w:val="22"/>
          <w:szCs w:val="22"/>
        </w:rPr>
        <w:t>2681. https://doi.org/10.1080/02673037.2024.2416969.</w:t>
      </w:r>
    </w:p>
    <w:p w14:paraId="689B1B0A"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Makhloufi, A. W. (2024). Net-Zero Energy Buildings: Integrating Smart Materials and Passive Design Strategies in Urban Architecture. </w:t>
      </w:r>
      <w:r w:rsidRPr="007257CE">
        <w:rPr>
          <w:rFonts w:ascii="Times New Roman" w:hAnsi="Times New Roman" w:cs="Times New Roman"/>
          <w:i/>
          <w:iCs/>
          <w:sz w:val="22"/>
          <w:szCs w:val="22"/>
        </w:rPr>
        <w:t>Academic International Journal of Engineering Science</w:t>
      </w:r>
      <w:r w:rsidRPr="007257CE">
        <w:rPr>
          <w:rFonts w:ascii="Times New Roman" w:hAnsi="Times New Roman" w:cs="Times New Roman"/>
          <w:sz w:val="22"/>
          <w:szCs w:val="22"/>
        </w:rPr>
        <w:t>, </w:t>
      </w:r>
      <w:r w:rsidRPr="007257CE">
        <w:rPr>
          <w:rFonts w:ascii="Times New Roman" w:hAnsi="Times New Roman" w:cs="Times New Roman"/>
          <w:i/>
          <w:iCs/>
          <w:sz w:val="22"/>
          <w:szCs w:val="22"/>
        </w:rPr>
        <w:t>2</w:t>
      </w:r>
      <w:r w:rsidRPr="007257CE">
        <w:rPr>
          <w:rFonts w:ascii="Times New Roman" w:hAnsi="Times New Roman" w:cs="Times New Roman"/>
          <w:sz w:val="22"/>
          <w:szCs w:val="22"/>
        </w:rPr>
        <w:t>(02), 18–30. https://doi.org/10.59675/e223.</w:t>
      </w:r>
    </w:p>
    <w:p w14:paraId="21694911"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NG"/>
        </w:rPr>
      </w:pPr>
      <w:r w:rsidRPr="007257CE">
        <w:rPr>
          <w:color w:val="000000"/>
          <w:sz w:val="22"/>
          <w:szCs w:val="22"/>
        </w:rPr>
        <w:t>Marcel-Okafor, U. O., &amp; Okafor, M. U. (2020). Restructuring architectural technology curriculum: the pathway to achieving a sustainable built environment in Southeast Nigeria. In </w:t>
      </w:r>
      <w:r w:rsidRPr="007257CE">
        <w:rPr>
          <w:i/>
          <w:iCs/>
          <w:color w:val="000000"/>
          <w:sz w:val="22"/>
          <w:szCs w:val="22"/>
        </w:rPr>
        <w:t xml:space="preserve">IOP Conference Series: Earth and </w:t>
      </w:r>
      <w:r w:rsidRPr="007257CE">
        <w:rPr>
          <w:i/>
          <w:iCs/>
          <w:color w:val="000000"/>
          <w:sz w:val="22"/>
          <w:szCs w:val="22"/>
        </w:rPr>
        <w:lastRenderedPageBreak/>
        <w:t>Environmental Science</w:t>
      </w:r>
      <w:r w:rsidRPr="007257CE">
        <w:rPr>
          <w:color w:val="000000"/>
          <w:sz w:val="22"/>
          <w:szCs w:val="22"/>
        </w:rPr>
        <w:t> (Vol. 588, No. 5, p. 052013). IOP Publishing. https://doi.org/10.1088/1755-1315/588/5/052013.</w:t>
      </w:r>
    </w:p>
    <w:p w14:paraId="5F24E35F"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NG"/>
        </w:rPr>
      </w:pPr>
      <w:r w:rsidRPr="007257CE">
        <w:rPr>
          <w:color w:val="000000"/>
          <w:sz w:val="22"/>
          <w:szCs w:val="22"/>
        </w:rPr>
        <w:t>Marcel-Okafor, U., &amp; Okafor, M. (2021). Enhancing building information modelling (BIM) training in Nigerian polytechnics: towards sustainable development in Southeast Nigeria. In </w:t>
      </w:r>
      <w:r w:rsidRPr="007257CE">
        <w:rPr>
          <w:i/>
          <w:iCs/>
          <w:color w:val="000000"/>
          <w:sz w:val="22"/>
          <w:szCs w:val="22"/>
        </w:rPr>
        <w:t>E3S Web of Conferences</w:t>
      </w:r>
      <w:r w:rsidRPr="007257CE">
        <w:rPr>
          <w:color w:val="000000"/>
          <w:sz w:val="22"/>
          <w:szCs w:val="22"/>
        </w:rPr>
        <w:t> (Vol. 295, p. 05020). EDP Sciences. https://doi.org/10.1051/e3sconf/202129505020.</w:t>
      </w:r>
    </w:p>
    <w:p w14:paraId="25339751"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fi-FI"/>
        </w:rPr>
      </w:pPr>
      <w:r w:rsidRPr="007257CE">
        <w:rPr>
          <w:color w:val="000000"/>
          <w:sz w:val="22"/>
          <w:szCs w:val="22"/>
        </w:rPr>
        <w:t>Mba, E. J., Okeke, F. O., Igwe, A. E., Ozigbo, C. A., Oforji, P. I., &amp; Ozigbo, I. W. (2024). Evolving trends and challenges in sustainable architectural design: a practice perspective. </w:t>
      </w:r>
      <w:r w:rsidRPr="007257CE">
        <w:rPr>
          <w:i/>
          <w:iCs/>
          <w:color w:val="000000"/>
          <w:sz w:val="22"/>
          <w:szCs w:val="22"/>
          <w:lang w:val="fi-FI"/>
        </w:rPr>
        <w:t>Heliyon</w:t>
      </w:r>
      <w:r w:rsidRPr="007257CE">
        <w:rPr>
          <w:color w:val="000000"/>
          <w:sz w:val="22"/>
          <w:szCs w:val="22"/>
          <w:lang w:val="fi-FI"/>
        </w:rPr>
        <w:t>, </w:t>
      </w:r>
      <w:r w:rsidRPr="007257CE">
        <w:rPr>
          <w:i/>
          <w:iCs/>
          <w:color w:val="000000"/>
          <w:sz w:val="22"/>
          <w:szCs w:val="22"/>
          <w:lang w:val="fi-FI"/>
        </w:rPr>
        <w:t>10</w:t>
      </w:r>
      <w:r w:rsidRPr="007257CE">
        <w:rPr>
          <w:color w:val="000000"/>
          <w:sz w:val="22"/>
          <w:szCs w:val="22"/>
          <w:lang w:val="fi-FI"/>
        </w:rPr>
        <w:t>(20). https://doi.org/10.1016/j.heliyon.2024.e39400.</w:t>
      </w:r>
    </w:p>
    <w:p w14:paraId="4740D62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i-FI"/>
        </w:rPr>
        <w:t xml:space="preserve">Mukhtar, N., Kamin, Y. B., &amp; Saud, M. S. B. (2022). </w:t>
      </w:r>
      <w:r w:rsidRPr="007257CE">
        <w:rPr>
          <w:rFonts w:ascii="Times New Roman" w:hAnsi="Times New Roman" w:cs="Times New Roman"/>
          <w:sz w:val="22"/>
          <w:szCs w:val="22"/>
        </w:rPr>
        <w:t>Quantitative validation of a proposed technical sustainability competency model: A PLS-SEM approach. </w:t>
      </w:r>
      <w:r w:rsidRPr="007257CE">
        <w:rPr>
          <w:rFonts w:ascii="Times New Roman" w:hAnsi="Times New Roman" w:cs="Times New Roman"/>
          <w:i/>
          <w:iCs/>
          <w:sz w:val="22"/>
          <w:szCs w:val="22"/>
        </w:rPr>
        <w:t>Frontiers in Sustainability</w:t>
      </w:r>
      <w:r w:rsidRPr="007257CE">
        <w:rPr>
          <w:rFonts w:ascii="Times New Roman" w:hAnsi="Times New Roman" w:cs="Times New Roman"/>
          <w:sz w:val="22"/>
          <w:szCs w:val="22"/>
        </w:rPr>
        <w:t>, </w:t>
      </w:r>
      <w:r w:rsidRPr="007257CE">
        <w:rPr>
          <w:rFonts w:ascii="Times New Roman" w:hAnsi="Times New Roman" w:cs="Times New Roman"/>
          <w:i/>
          <w:iCs/>
          <w:sz w:val="22"/>
          <w:szCs w:val="22"/>
        </w:rPr>
        <w:t>3</w:t>
      </w:r>
      <w:r w:rsidRPr="007257CE">
        <w:rPr>
          <w:rFonts w:ascii="Times New Roman" w:hAnsi="Times New Roman" w:cs="Times New Roman"/>
          <w:sz w:val="22"/>
          <w:szCs w:val="22"/>
        </w:rPr>
        <w:t>, 841643. https://doi.org/10.3389/frsus.2022.841643.</w:t>
      </w:r>
    </w:p>
    <w:p w14:paraId="1D64FE00"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Namaki, P., Vegesna, B. S., Bigdellou, S., Chen, R., &amp; Chen, Q. (2024). An integrated building information modelling and life-cycle assessment approach to facilitate design decisions on sustainable building projects in Canada. </w:t>
      </w:r>
      <w:r w:rsidRPr="007257CE">
        <w:rPr>
          <w:rFonts w:ascii="Times New Roman" w:hAnsi="Times New Roman" w:cs="Times New Roman"/>
          <w:i/>
          <w:iCs/>
          <w:sz w:val="22"/>
          <w:szCs w:val="22"/>
        </w:rPr>
        <w:t>Sustainability</w:t>
      </w:r>
      <w:r w:rsidRPr="007257CE">
        <w:rPr>
          <w:rFonts w:ascii="Times New Roman" w:hAnsi="Times New Roman" w:cs="Times New Roman"/>
          <w:sz w:val="22"/>
          <w:szCs w:val="22"/>
        </w:rPr>
        <w:t>, </w:t>
      </w:r>
      <w:r w:rsidRPr="007257CE">
        <w:rPr>
          <w:rFonts w:ascii="Times New Roman" w:hAnsi="Times New Roman" w:cs="Times New Roman"/>
          <w:i/>
          <w:iCs/>
          <w:sz w:val="22"/>
          <w:szCs w:val="22"/>
        </w:rPr>
        <w:t>16</w:t>
      </w:r>
      <w:r w:rsidRPr="007257CE">
        <w:rPr>
          <w:rFonts w:ascii="Times New Roman" w:hAnsi="Times New Roman" w:cs="Times New Roman"/>
          <w:sz w:val="22"/>
          <w:szCs w:val="22"/>
        </w:rPr>
        <w:t>(11), 4718. https://doi.org/10.3390/su16114718.</w:t>
      </w:r>
    </w:p>
    <w:p w14:paraId="4670F953"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Nwagwu, C. C., Akin, S., &amp; Hertwich, E. G. (2024). Modelling Nigerian residential dwellings: bottom-up approach and scenario analysis. </w:t>
      </w:r>
      <w:r w:rsidRPr="007257CE">
        <w:rPr>
          <w:rFonts w:ascii="Times New Roman" w:hAnsi="Times New Roman" w:cs="Times New Roman"/>
          <w:i/>
          <w:iCs/>
          <w:sz w:val="22"/>
          <w:szCs w:val="22"/>
        </w:rPr>
        <w:t>Buildings &amp; Cities</w:t>
      </w:r>
      <w:r w:rsidRPr="007257CE">
        <w:rPr>
          <w:rFonts w:ascii="Times New Roman" w:hAnsi="Times New Roman" w:cs="Times New Roman"/>
          <w:sz w:val="22"/>
          <w:szCs w:val="22"/>
        </w:rPr>
        <w:t>, </w:t>
      </w:r>
      <w:r w:rsidRPr="007257CE">
        <w:rPr>
          <w:rFonts w:ascii="Times New Roman" w:hAnsi="Times New Roman" w:cs="Times New Roman"/>
          <w:i/>
          <w:iCs/>
          <w:sz w:val="22"/>
          <w:szCs w:val="22"/>
        </w:rPr>
        <w:t>5</w:t>
      </w:r>
      <w:r w:rsidRPr="007257CE">
        <w:rPr>
          <w:rFonts w:ascii="Times New Roman" w:hAnsi="Times New Roman" w:cs="Times New Roman"/>
          <w:sz w:val="22"/>
          <w:szCs w:val="22"/>
        </w:rPr>
        <w:t>(1), 521–539. https://doi.org/10.5334/bc.452.</w:t>
      </w:r>
    </w:p>
    <w:p w14:paraId="7719CF3F"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r-FR"/>
        </w:rPr>
        <w:t xml:space="preserve">Obaje, J. A., Ciroma, F. B., &amp; Obaje, S. A. (2022). </w:t>
      </w:r>
      <w:r w:rsidRPr="007257CE">
        <w:rPr>
          <w:rFonts w:ascii="Times New Roman" w:hAnsi="Times New Roman" w:cs="Times New Roman"/>
          <w:sz w:val="22"/>
          <w:szCs w:val="22"/>
        </w:rPr>
        <w:t>Suitability Analysis of Compressed Earth Bricks (CEB) for Sustainable Housing Delivery in the Guinea Savannah Zone of Northern Nigeria. </w:t>
      </w:r>
      <w:r w:rsidRPr="007257CE">
        <w:rPr>
          <w:rFonts w:ascii="Times New Roman" w:hAnsi="Times New Roman" w:cs="Times New Roman"/>
          <w:i/>
          <w:iCs/>
          <w:sz w:val="22"/>
          <w:szCs w:val="22"/>
        </w:rPr>
        <w:t>Environmental Technology and Science Journal</w:t>
      </w:r>
      <w:r w:rsidRPr="007257CE">
        <w:rPr>
          <w:rFonts w:ascii="Times New Roman" w:hAnsi="Times New Roman" w:cs="Times New Roman"/>
          <w:sz w:val="22"/>
          <w:szCs w:val="22"/>
        </w:rPr>
        <w:t>, </w:t>
      </w:r>
      <w:r w:rsidRPr="007257CE">
        <w:rPr>
          <w:rFonts w:ascii="Times New Roman" w:hAnsi="Times New Roman" w:cs="Times New Roman"/>
          <w:i/>
          <w:iCs/>
          <w:sz w:val="22"/>
          <w:szCs w:val="22"/>
        </w:rPr>
        <w:t>13</w:t>
      </w:r>
      <w:r w:rsidRPr="007257CE">
        <w:rPr>
          <w:rFonts w:ascii="Times New Roman" w:hAnsi="Times New Roman" w:cs="Times New Roman"/>
          <w:sz w:val="22"/>
          <w:szCs w:val="22"/>
        </w:rPr>
        <w:t>(1), 73–84. https://doi.org/10.4314/etsj.v13i1.6.</w:t>
      </w:r>
    </w:p>
    <w:p w14:paraId="3430ABE2"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rPr>
      </w:pPr>
      <w:r w:rsidRPr="007257CE">
        <w:rPr>
          <w:color w:val="000000"/>
          <w:sz w:val="22"/>
          <w:szCs w:val="22"/>
        </w:rPr>
        <w:t>Ogunmakinde, O. E., Sher, W., &amp; Maund, K. (2019). An assessment of material waste disposal methods in the Nigerian construction industry. </w:t>
      </w:r>
      <w:r w:rsidRPr="007257CE">
        <w:rPr>
          <w:i/>
          <w:iCs/>
          <w:color w:val="000000"/>
          <w:sz w:val="22"/>
          <w:szCs w:val="22"/>
        </w:rPr>
        <w:t>Recycling</w:t>
      </w:r>
      <w:r w:rsidRPr="007257CE">
        <w:rPr>
          <w:color w:val="000000"/>
          <w:sz w:val="22"/>
          <w:szCs w:val="22"/>
        </w:rPr>
        <w:t>, </w:t>
      </w:r>
      <w:r w:rsidRPr="007257CE">
        <w:rPr>
          <w:i/>
          <w:iCs/>
          <w:color w:val="000000"/>
          <w:sz w:val="22"/>
          <w:szCs w:val="22"/>
        </w:rPr>
        <w:t>4</w:t>
      </w:r>
      <w:r w:rsidRPr="007257CE">
        <w:rPr>
          <w:color w:val="000000"/>
          <w:sz w:val="22"/>
          <w:szCs w:val="22"/>
        </w:rPr>
        <w:t>(1), 13. https://doi.org/10.3390/recycling4010013.</w:t>
      </w:r>
    </w:p>
    <w:p w14:paraId="4A3ECAA7"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rPr>
        <w:t>Oke, O. S., Aliu, J. O., Duduyegbe, O. M., &amp; Oke, A. E. (2025). Assessing awareness and adoption of green policies and programs for sustainable development: Perspectives from construction practitioners in Nigeria. </w:t>
      </w:r>
      <w:r w:rsidRPr="007257CE">
        <w:rPr>
          <w:i/>
          <w:iCs/>
          <w:color w:val="000000"/>
          <w:sz w:val="22"/>
          <w:szCs w:val="22"/>
        </w:rPr>
        <w:t>Sustainability</w:t>
      </w:r>
      <w:r w:rsidRPr="007257CE">
        <w:rPr>
          <w:color w:val="000000"/>
          <w:sz w:val="22"/>
          <w:szCs w:val="22"/>
        </w:rPr>
        <w:t>, </w:t>
      </w:r>
      <w:r w:rsidRPr="007257CE">
        <w:rPr>
          <w:i/>
          <w:iCs/>
          <w:color w:val="000000"/>
          <w:sz w:val="22"/>
          <w:szCs w:val="22"/>
        </w:rPr>
        <w:t>17</w:t>
      </w:r>
      <w:r w:rsidRPr="007257CE">
        <w:rPr>
          <w:color w:val="000000"/>
          <w:sz w:val="22"/>
          <w:szCs w:val="22"/>
        </w:rPr>
        <w:t>(5), 2202. </w:t>
      </w:r>
      <w:r w:rsidRPr="007257CE">
        <w:rPr>
          <w:i/>
          <w:iCs/>
          <w:color w:val="000000"/>
          <w:sz w:val="22"/>
          <w:szCs w:val="22"/>
        </w:rPr>
        <w:t>Sustainability</w:t>
      </w:r>
      <w:r w:rsidRPr="007257CE">
        <w:rPr>
          <w:color w:val="000000"/>
          <w:sz w:val="22"/>
          <w:szCs w:val="22"/>
        </w:rPr>
        <w:t>. https://doi.org/10.3390/su17052202.</w:t>
      </w:r>
    </w:p>
    <w:p w14:paraId="65F1426E"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lang w:val="en-US"/>
        </w:rPr>
        <w:t xml:space="preserve">Okereke, R., Muhammed, U., &amp; Eze, E. (2021). </w:t>
      </w:r>
      <w:r w:rsidRPr="007257CE">
        <w:rPr>
          <w:color w:val="000000"/>
          <w:sz w:val="22"/>
          <w:szCs w:val="22"/>
        </w:rPr>
        <w:t>Potential Benefits of Implementing Building Information Modelling (BIM) in the Nigerian Construction Industry. </w:t>
      </w:r>
      <w:r w:rsidRPr="007257CE">
        <w:rPr>
          <w:i/>
          <w:iCs/>
          <w:color w:val="000000"/>
          <w:sz w:val="22"/>
          <w:szCs w:val="22"/>
        </w:rPr>
        <w:t>Journal of Technology Management and Business</w:t>
      </w:r>
      <w:r w:rsidRPr="007257CE">
        <w:rPr>
          <w:color w:val="000000"/>
          <w:sz w:val="22"/>
          <w:szCs w:val="22"/>
        </w:rPr>
        <w:t>. https://doi.org/10.30880/jtmb.2021.08.02.001.</w:t>
      </w:r>
    </w:p>
    <w:p w14:paraId="738E6706"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Olubi, A. R., &amp; Aseyan, B. S. (2022). Sustainable housing delivery for the urban poor in Nigeria. </w:t>
      </w:r>
      <w:r w:rsidRPr="007257CE">
        <w:rPr>
          <w:rFonts w:ascii="Times New Roman" w:hAnsi="Times New Roman" w:cs="Times New Roman"/>
          <w:i/>
          <w:iCs/>
          <w:sz w:val="22"/>
          <w:szCs w:val="22"/>
        </w:rPr>
        <w:t>International journal of civil engineering, construction and estate management</w:t>
      </w:r>
      <w:r w:rsidRPr="007257CE">
        <w:rPr>
          <w:rFonts w:ascii="Times New Roman" w:hAnsi="Times New Roman" w:cs="Times New Roman"/>
          <w:sz w:val="22"/>
          <w:szCs w:val="22"/>
        </w:rPr>
        <w:t>, </w:t>
      </w:r>
      <w:r w:rsidRPr="007257CE">
        <w:rPr>
          <w:rFonts w:ascii="Times New Roman" w:hAnsi="Times New Roman" w:cs="Times New Roman"/>
          <w:i/>
          <w:iCs/>
          <w:sz w:val="22"/>
          <w:szCs w:val="22"/>
        </w:rPr>
        <w:t>10</w:t>
      </w:r>
      <w:r w:rsidRPr="007257CE">
        <w:rPr>
          <w:rFonts w:ascii="Times New Roman" w:hAnsi="Times New Roman" w:cs="Times New Roman"/>
          <w:sz w:val="22"/>
          <w:szCs w:val="22"/>
        </w:rPr>
        <w:t>(1), 21-34. https://doi.org/10.37745/ijcecem.14/vo10.n1pp2134</w:t>
      </w:r>
    </w:p>
    <w:p w14:paraId="3913550E" w14:textId="3F838C8F"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en-US"/>
        </w:rPr>
        <w:t xml:space="preserve">Olugboyega, O., Oseghale, G. E., &amp; Aigbavboa, C. (2023). </w:t>
      </w:r>
      <w:r w:rsidRPr="007257CE">
        <w:rPr>
          <w:rFonts w:ascii="Times New Roman" w:hAnsi="Times New Roman" w:cs="Times New Roman"/>
          <w:sz w:val="22"/>
          <w:szCs w:val="22"/>
        </w:rPr>
        <w:t xml:space="preserve">Multiple holistic case </w:t>
      </w:r>
      <w:r w:rsidR="000E3EBD" w:rsidRPr="007257CE">
        <w:rPr>
          <w:rFonts w:ascii="Times New Roman" w:hAnsi="Times New Roman" w:cs="Times New Roman"/>
          <w:sz w:val="22"/>
          <w:szCs w:val="22"/>
        </w:rPr>
        <w:t>studies</w:t>
      </w:r>
      <w:r w:rsidRPr="007257CE">
        <w:rPr>
          <w:rFonts w:ascii="Times New Roman" w:hAnsi="Times New Roman" w:cs="Times New Roman"/>
          <w:sz w:val="22"/>
          <w:szCs w:val="22"/>
        </w:rPr>
        <w:t xml:space="preserve"> of project-level building information modelling (BIM) adoption in Nigeria. </w:t>
      </w:r>
      <w:r w:rsidRPr="007257CE">
        <w:rPr>
          <w:rFonts w:ascii="Times New Roman" w:hAnsi="Times New Roman" w:cs="Times New Roman"/>
          <w:i/>
          <w:iCs/>
          <w:sz w:val="22"/>
          <w:szCs w:val="22"/>
        </w:rPr>
        <w:t>Construction Innovation</w:t>
      </w:r>
      <w:r w:rsidRPr="007257CE">
        <w:rPr>
          <w:rFonts w:ascii="Times New Roman" w:hAnsi="Times New Roman" w:cs="Times New Roman"/>
          <w:sz w:val="22"/>
          <w:szCs w:val="22"/>
        </w:rPr>
        <w:t>, </w:t>
      </w:r>
      <w:r w:rsidRPr="007257CE">
        <w:rPr>
          <w:rFonts w:ascii="Times New Roman" w:hAnsi="Times New Roman" w:cs="Times New Roman"/>
          <w:i/>
          <w:iCs/>
          <w:sz w:val="22"/>
          <w:szCs w:val="22"/>
        </w:rPr>
        <w:t>23</w:t>
      </w:r>
      <w:r w:rsidRPr="007257CE">
        <w:rPr>
          <w:rFonts w:ascii="Times New Roman" w:hAnsi="Times New Roman" w:cs="Times New Roman"/>
          <w:sz w:val="22"/>
          <w:szCs w:val="22"/>
        </w:rPr>
        <w:t>(3), 567</w:t>
      </w:r>
      <w:r w:rsidR="000E3EBD" w:rsidRPr="007257CE">
        <w:rPr>
          <w:rFonts w:ascii="Times New Roman" w:hAnsi="Times New Roman" w:cs="Times New Roman"/>
          <w:sz w:val="22"/>
          <w:szCs w:val="22"/>
        </w:rPr>
        <w:t>–</w:t>
      </w:r>
      <w:r w:rsidRPr="007257CE">
        <w:rPr>
          <w:rFonts w:ascii="Times New Roman" w:hAnsi="Times New Roman" w:cs="Times New Roman"/>
          <w:sz w:val="22"/>
          <w:szCs w:val="22"/>
        </w:rPr>
        <w:t>586. https://doi.org/10.1108/ci-10-2021-0199.</w:t>
      </w:r>
    </w:p>
    <w:p w14:paraId="35B2C7F0"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Oluleye, I., Oyetunji, A., Ogunleye, B., &amp; Olukolajo, M. (2021). Real Estate Developers Insight on the Critical Barriers to Sustainable Housing Delivery. </w:t>
      </w:r>
      <w:r w:rsidRPr="007257CE">
        <w:rPr>
          <w:rFonts w:ascii="Times New Roman" w:hAnsi="Times New Roman" w:cs="Times New Roman"/>
          <w:i/>
          <w:iCs/>
          <w:sz w:val="22"/>
          <w:szCs w:val="22"/>
        </w:rPr>
        <w:t>Real Estate Management and Valuation, 29</w:t>
      </w:r>
      <w:r w:rsidRPr="007257CE">
        <w:rPr>
          <w:rFonts w:ascii="Times New Roman" w:hAnsi="Times New Roman" w:cs="Times New Roman"/>
          <w:sz w:val="22"/>
          <w:szCs w:val="22"/>
        </w:rPr>
        <w:t>, 84–96. https://doi.org/10.2478/remav-2021-0015.</w:t>
      </w:r>
    </w:p>
    <w:p w14:paraId="26AD1177" w14:textId="06B81C3C"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t>Oluwatayo, A. A., &amp; Miracle, N. D. (2025, April). Investigating the Adoption of Passive Cooling Strategies in Selected Office Buildings in Abuja, Nigeria. In </w:t>
      </w:r>
      <w:r w:rsidRPr="007257CE">
        <w:rPr>
          <w:rFonts w:ascii="Times New Roman" w:hAnsi="Times New Roman" w:cs="Times New Roman"/>
          <w:i/>
          <w:iCs/>
          <w:sz w:val="22"/>
          <w:szCs w:val="22"/>
        </w:rPr>
        <w:t>IOP Conference Series: Earth and Environmental Science</w:t>
      </w:r>
      <w:r w:rsidRPr="007257CE">
        <w:rPr>
          <w:rFonts w:ascii="Times New Roman" w:hAnsi="Times New Roman" w:cs="Times New Roman"/>
          <w:sz w:val="22"/>
          <w:szCs w:val="22"/>
        </w:rPr>
        <w:t> (Vol. 1492, No. 1, p. 012019). IOP Publishing. https://doi.org/10.1088/1755-1315/1492/1/012019.</w:t>
      </w:r>
    </w:p>
    <w:p w14:paraId="5883BC73"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i-FI"/>
        </w:rPr>
        <w:t xml:space="preserve">Osuizugbo, I. C., Oyeyipo, O., Lahanmi, A., Morakinyo, A., &amp; Olaniyi, O. (2020). </w:t>
      </w:r>
      <w:r w:rsidRPr="007257CE">
        <w:rPr>
          <w:rFonts w:ascii="Times New Roman" w:hAnsi="Times New Roman" w:cs="Times New Roman"/>
          <w:sz w:val="22"/>
          <w:szCs w:val="22"/>
        </w:rPr>
        <w:t>Barriers to adopting sustainable construction. </w:t>
      </w:r>
      <w:r w:rsidRPr="007257CE">
        <w:rPr>
          <w:rFonts w:ascii="Times New Roman" w:hAnsi="Times New Roman" w:cs="Times New Roman"/>
          <w:i/>
          <w:iCs/>
          <w:sz w:val="22"/>
          <w:szCs w:val="22"/>
        </w:rPr>
        <w:t>European Journal of Sustainable Development</w:t>
      </w:r>
      <w:r w:rsidRPr="007257CE">
        <w:rPr>
          <w:rFonts w:ascii="Times New Roman" w:hAnsi="Times New Roman" w:cs="Times New Roman"/>
          <w:sz w:val="22"/>
          <w:szCs w:val="22"/>
        </w:rPr>
        <w:t>, </w:t>
      </w:r>
      <w:r w:rsidRPr="007257CE">
        <w:rPr>
          <w:rFonts w:ascii="Times New Roman" w:hAnsi="Times New Roman" w:cs="Times New Roman"/>
          <w:i/>
          <w:iCs/>
          <w:sz w:val="22"/>
          <w:szCs w:val="22"/>
        </w:rPr>
        <w:t>9</w:t>
      </w:r>
      <w:r w:rsidRPr="007257CE">
        <w:rPr>
          <w:rFonts w:ascii="Times New Roman" w:hAnsi="Times New Roman" w:cs="Times New Roman"/>
          <w:sz w:val="22"/>
          <w:szCs w:val="22"/>
        </w:rPr>
        <w:t>(2), 150–150. https://doi.org/10.14207/ejsd.2020.v9n2p150.</w:t>
      </w:r>
    </w:p>
    <w:p w14:paraId="50E166C9"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i-FI"/>
        </w:rPr>
        <w:t xml:space="preserve">Piras, G., Agostinelli, S., &amp; Muzi, F. (2024). </w:t>
      </w:r>
      <w:r w:rsidRPr="007257CE">
        <w:rPr>
          <w:rFonts w:ascii="Times New Roman" w:hAnsi="Times New Roman" w:cs="Times New Roman"/>
          <w:sz w:val="22"/>
          <w:szCs w:val="22"/>
        </w:rPr>
        <w:t>Digital twin framework for built environment: A review of key enablers. </w:t>
      </w:r>
      <w:r w:rsidRPr="007257CE">
        <w:rPr>
          <w:rFonts w:ascii="Times New Roman" w:hAnsi="Times New Roman" w:cs="Times New Roman"/>
          <w:i/>
          <w:iCs/>
          <w:sz w:val="22"/>
          <w:szCs w:val="22"/>
          <w:lang w:val="en-US"/>
        </w:rPr>
        <w:t>Energies</w:t>
      </w:r>
      <w:r w:rsidRPr="007257CE">
        <w:rPr>
          <w:rFonts w:ascii="Times New Roman" w:hAnsi="Times New Roman" w:cs="Times New Roman"/>
          <w:sz w:val="22"/>
          <w:szCs w:val="22"/>
          <w:lang w:val="en-US"/>
        </w:rPr>
        <w:t>, </w:t>
      </w:r>
      <w:r w:rsidRPr="007257CE">
        <w:rPr>
          <w:rFonts w:ascii="Times New Roman" w:hAnsi="Times New Roman" w:cs="Times New Roman"/>
          <w:i/>
          <w:iCs/>
          <w:sz w:val="22"/>
          <w:szCs w:val="22"/>
          <w:lang w:val="en-US"/>
        </w:rPr>
        <w:t>17</w:t>
      </w:r>
      <w:r w:rsidRPr="007257CE">
        <w:rPr>
          <w:rFonts w:ascii="Times New Roman" w:hAnsi="Times New Roman" w:cs="Times New Roman"/>
          <w:sz w:val="22"/>
          <w:szCs w:val="22"/>
          <w:lang w:val="en-US"/>
        </w:rPr>
        <w:t>(2), 436. https://doi.org/10.3390/en17020436.</w:t>
      </w:r>
    </w:p>
    <w:p w14:paraId="72311325"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rPr>
        <w:lastRenderedPageBreak/>
        <w:t>Rasheed, S., Steve, J., Samuel, A., &amp; Thomas, A. (2024). Evaluation of Passive Cooling Strategies in Urologist Specialist Hospital, Ikoyi, Lagos State. </w:t>
      </w:r>
      <w:r w:rsidRPr="007257CE">
        <w:rPr>
          <w:rFonts w:ascii="Times New Roman" w:hAnsi="Times New Roman" w:cs="Times New Roman"/>
          <w:i/>
          <w:iCs/>
          <w:sz w:val="22"/>
          <w:szCs w:val="22"/>
        </w:rPr>
        <w:t>International Journal of Innovative Science and Research Technology (IJISRT)</w:t>
      </w:r>
      <w:r w:rsidRPr="007257CE">
        <w:rPr>
          <w:rFonts w:ascii="Times New Roman" w:hAnsi="Times New Roman" w:cs="Times New Roman"/>
          <w:sz w:val="22"/>
          <w:szCs w:val="22"/>
        </w:rPr>
        <w:t>, </w:t>
      </w:r>
      <w:r w:rsidRPr="007257CE">
        <w:rPr>
          <w:rFonts w:ascii="Times New Roman" w:hAnsi="Times New Roman" w:cs="Times New Roman"/>
          <w:i/>
          <w:iCs/>
          <w:sz w:val="22"/>
          <w:szCs w:val="22"/>
        </w:rPr>
        <w:t>9</w:t>
      </w:r>
      <w:r w:rsidRPr="007257CE">
        <w:rPr>
          <w:rFonts w:ascii="Times New Roman" w:hAnsi="Times New Roman" w:cs="Times New Roman"/>
          <w:sz w:val="22"/>
          <w:szCs w:val="22"/>
        </w:rPr>
        <w:t>(2), 2016-2021. https://doi.org/10.38124/ijisrt/ijisrt24feb1677.</w:t>
      </w:r>
    </w:p>
    <w:p w14:paraId="5FB86262"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rPr>
        <w:t>Saidu, A. I., &amp; Yeom, C. (2020). Success criteria evaluation for a sustainable and affordable housing model: A case for improving household welfare in Nigerian cities. </w:t>
      </w:r>
      <w:r w:rsidRPr="007257CE">
        <w:rPr>
          <w:i/>
          <w:iCs/>
          <w:color w:val="000000"/>
          <w:sz w:val="22"/>
          <w:szCs w:val="22"/>
        </w:rPr>
        <w:t>Sustainability</w:t>
      </w:r>
      <w:r w:rsidRPr="007257CE">
        <w:rPr>
          <w:color w:val="000000"/>
          <w:sz w:val="22"/>
          <w:szCs w:val="22"/>
        </w:rPr>
        <w:t>, </w:t>
      </w:r>
      <w:r w:rsidRPr="007257CE">
        <w:rPr>
          <w:i/>
          <w:iCs/>
          <w:color w:val="000000"/>
          <w:sz w:val="22"/>
          <w:szCs w:val="22"/>
        </w:rPr>
        <w:t>12</w:t>
      </w:r>
      <w:r w:rsidRPr="007257CE">
        <w:rPr>
          <w:color w:val="000000"/>
          <w:sz w:val="22"/>
          <w:szCs w:val="22"/>
        </w:rPr>
        <w:t>(2), 656. https://doi.org/10.3390/su12020656.</w:t>
      </w:r>
    </w:p>
    <w:p w14:paraId="3FA331D4" w14:textId="2A927918"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 xml:space="preserve">Şenol, H., &amp; Gökgöz, T. (2024). Integration of Building Information </w:t>
      </w:r>
      <w:r w:rsidR="00996665" w:rsidRPr="007257CE">
        <w:rPr>
          <w:rFonts w:ascii="Times New Roman" w:hAnsi="Times New Roman" w:cs="Times New Roman"/>
          <w:sz w:val="22"/>
          <w:szCs w:val="22"/>
        </w:rPr>
        <w:t>Modelling</w:t>
      </w:r>
      <w:r w:rsidRPr="007257CE">
        <w:rPr>
          <w:rFonts w:ascii="Times New Roman" w:hAnsi="Times New Roman" w:cs="Times New Roman"/>
          <w:sz w:val="22"/>
          <w:szCs w:val="22"/>
        </w:rPr>
        <w:t xml:space="preserve"> (BIM) and Geographic Information System (GIS): a new approach for IFC to CityJSON conversion. </w:t>
      </w:r>
      <w:r w:rsidRPr="007257CE">
        <w:rPr>
          <w:rFonts w:ascii="Times New Roman" w:hAnsi="Times New Roman" w:cs="Times New Roman"/>
          <w:i/>
          <w:iCs/>
          <w:sz w:val="22"/>
          <w:szCs w:val="22"/>
        </w:rPr>
        <w:t>Earth Science Informatics, 17</w:t>
      </w:r>
      <w:r w:rsidRPr="007257CE">
        <w:rPr>
          <w:rFonts w:ascii="Times New Roman" w:hAnsi="Times New Roman" w:cs="Times New Roman"/>
          <w:sz w:val="22"/>
          <w:szCs w:val="22"/>
        </w:rPr>
        <w:t>, 3437</w:t>
      </w:r>
      <w:r w:rsidR="00996665" w:rsidRPr="007257CE">
        <w:rPr>
          <w:rFonts w:ascii="Times New Roman" w:hAnsi="Times New Roman" w:cs="Times New Roman"/>
          <w:sz w:val="22"/>
          <w:szCs w:val="22"/>
        </w:rPr>
        <w:t>–</w:t>
      </w:r>
      <w:r w:rsidRPr="007257CE">
        <w:rPr>
          <w:rFonts w:ascii="Times New Roman" w:hAnsi="Times New Roman" w:cs="Times New Roman"/>
          <w:sz w:val="22"/>
          <w:szCs w:val="22"/>
        </w:rPr>
        <w:t>3454. https://doi.org/10.1007/s12145-024-01343-1.</w:t>
      </w:r>
    </w:p>
    <w:p w14:paraId="72BB5EE4"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en-US"/>
        </w:rPr>
        <w:t xml:space="preserve">Soust-Verdaguer, B., Gutiérrez Moreno, J. A., &amp; Llatas, C. (2023). </w:t>
      </w:r>
      <w:r w:rsidRPr="007257CE">
        <w:rPr>
          <w:rFonts w:ascii="Times New Roman" w:hAnsi="Times New Roman" w:cs="Times New Roman"/>
          <w:sz w:val="22"/>
          <w:szCs w:val="22"/>
        </w:rPr>
        <w:t>Utilisation of an automatic tool for building material selection by integrating life cycle sustainability assessment in the early design stages in BIM. </w:t>
      </w:r>
      <w:r w:rsidRPr="007257CE">
        <w:rPr>
          <w:rFonts w:ascii="Times New Roman" w:hAnsi="Times New Roman" w:cs="Times New Roman"/>
          <w:i/>
          <w:iCs/>
          <w:sz w:val="22"/>
          <w:szCs w:val="22"/>
        </w:rPr>
        <w:t>Sustainability</w:t>
      </w:r>
      <w:r w:rsidRPr="007257CE">
        <w:rPr>
          <w:rFonts w:ascii="Times New Roman" w:hAnsi="Times New Roman" w:cs="Times New Roman"/>
          <w:sz w:val="22"/>
          <w:szCs w:val="22"/>
        </w:rPr>
        <w:t>, </w:t>
      </w:r>
      <w:r w:rsidRPr="007257CE">
        <w:rPr>
          <w:rFonts w:ascii="Times New Roman" w:hAnsi="Times New Roman" w:cs="Times New Roman"/>
          <w:i/>
          <w:iCs/>
          <w:sz w:val="22"/>
          <w:szCs w:val="22"/>
        </w:rPr>
        <w:t>15</w:t>
      </w:r>
      <w:r w:rsidRPr="007257CE">
        <w:rPr>
          <w:rFonts w:ascii="Times New Roman" w:hAnsi="Times New Roman" w:cs="Times New Roman"/>
          <w:sz w:val="22"/>
          <w:szCs w:val="22"/>
        </w:rPr>
        <w:t>(3), 2274. https://doi.org/10.3390/su15032274.</w:t>
      </w:r>
    </w:p>
    <w:p w14:paraId="1934389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rPr>
        <w:t>Taffese, W. Z., &amp; Abegaz, K. A. (2019). Embodied energy and CO2 emissions of widely used building materials: the Ethiopian context. </w:t>
      </w:r>
      <w:r w:rsidRPr="007257CE">
        <w:rPr>
          <w:rFonts w:ascii="Times New Roman" w:hAnsi="Times New Roman" w:cs="Times New Roman"/>
          <w:i/>
          <w:iCs/>
          <w:sz w:val="22"/>
          <w:szCs w:val="22"/>
        </w:rPr>
        <w:t>Buildings</w:t>
      </w:r>
      <w:r w:rsidRPr="007257CE">
        <w:rPr>
          <w:rFonts w:ascii="Times New Roman" w:hAnsi="Times New Roman" w:cs="Times New Roman"/>
          <w:sz w:val="22"/>
          <w:szCs w:val="22"/>
        </w:rPr>
        <w:t>, </w:t>
      </w:r>
      <w:r w:rsidRPr="007257CE">
        <w:rPr>
          <w:rFonts w:ascii="Times New Roman" w:hAnsi="Times New Roman" w:cs="Times New Roman"/>
          <w:i/>
          <w:iCs/>
          <w:sz w:val="22"/>
          <w:szCs w:val="22"/>
        </w:rPr>
        <w:t>9</w:t>
      </w:r>
      <w:r w:rsidRPr="007257CE">
        <w:rPr>
          <w:rFonts w:ascii="Times New Roman" w:hAnsi="Times New Roman" w:cs="Times New Roman"/>
          <w:sz w:val="22"/>
          <w:szCs w:val="22"/>
        </w:rPr>
        <w:t>(6), 136. https://doi.org/10.3390/buildings9060136.</w:t>
      </w:r>
    </w:p>
    <w:p w14:paraId="036C5BD1"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US"/>
        </w:rPr>
      </w:pPr>
      <w:r w:rsidRPr="007257CE">
        <w:rPr>
          <w:color w:val="000000"/>
          <w:sz w:val="22"/>
          <w:szCs w:val="22"/>
        </w:rPr>
        <w:t>Uduokhai, D. O., Giloid, S., Nwafor, M. I., &amp; Adio, S. A. (2023). Evaluating the role of building information modelling in enhancing project performance in Nigeria. </w:t>
      </w:r>
      <w:r w:rsidRPr="007257CE">
        <w:rPr>
          <w:i/>
          <w:iCs/>
          <w:color w:val="000000"/>
          <w:sz w:val="22"/>
          <w:szCs w:val="22"/>
        </w:rPr>
        <w:t>International Journal of Advanced Multidisciplinary Research and Studies</w:t>
      </w:r>
      <w:r w:rsidRPr="007257CE">
        <w:rPr>
          <w:color w:val="000000"/>
          <w:sz w:val="22"/>
          <w:szCs w:val="22"/>
        </w:rPr>
        <w:t>, </w:t>
      </w:r>
      <w:r w:rsidRPr="007257CE">
        <w:rPr>
          <w:i/>
          <w:iCs/>
          <w:color w:val="000000"/>
          <w:sz w:val="22"/>
          <w:szCs w:val="22"/>
        </w:rPr>
        <w:t>3</w:t>
      </w:r>
      <w:r w:rsidRPr="007257CE">
        <w:rPr>
          <w:color w:val="000000"/>
          <w:sz w:val="22"/>
          <w:szCs w:val="22"/>
        </w:rPr>
        <w:t>(6), 2154–2161. https://doi.org/10.62225/2583049x.2023.3.6.5297.</w:t>
      </w:r>
    </w:p>
    <w:p w14:paraId="6F0B1BAB"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rPr>
      </w:pPr>
      <w:r w:rsidRPr="007257CE">
        <w:rPr>
          <w:rFonts w:ascii="Times New Roman" w:hAnsi="Times New Roman" w:cs="Times New Roman"/>
          <w:sz w:val="22"/>
          <w:szCs w:val="22"/>
          <w:lang w:val="fi-FI"/>
        </w:rPr>
        <w:t xml:space="preserve">Umar, K. Y., Abba, H. M., Sani, U. I., &amp; Kwairanga, M. D. (2024). </w:t>
      </w:r>
      <w:r w:rsidRPr="007257CE">
        <w:rPr>
          <w:rFonts w:ascii="Times New Roman" w:hAnsi="Times New Roman" w:cs="Times New Roman"/>
          <w:sz w:val="22"/>
          <w:szCs w:val="22"/>
        </w:rPr>
        <w:t>Impact of urbanisation pressures on socioeconomic development and environmental sustainability in Nigeria. </w:t>
      </w:r>
      <w:r w:rsidRPr="007257CE">
        <w:rPr>
          <w:rFonts w:ascii="Times New Roman" w:hAnsi="Times New Roman" w:cs="Times New Roman"/>
          <w:i/>
          <w:iCs/>
          <w:sz w:val="22"/>
          <w:szCs w:val="22"/>
        </w:rPr>
        <w:t>Journal of Scientific and Legal Studies, North-Eastern University, Gombe</w:t>
      </w:r>
      <w:r w:rsidRPr="007257CE">
        <w:rPr>
          <w:rFonts w:ascii="Times New Roman" w:hAnsi="Times New Roman" w:cs="Times New Roman"/>
          <w:sz w:val="22"/>
          <w:szCs w:val="22"/>
        </w:rPr>
        <w:t>, </w:t>
      </w:r>
      <w:r w:rsidRPr="007257CE">
        <w:rPr>
          <w:rFonts w:ascii="Times New Roman" w:hAnsi="Times New Roman" w:cs="Times New Roman"/>
          <w:i/>
          <w:iCs/>
          <w:sz w:val="22"/>
          <w:szCs w:val="22"/>
        </w:rPr>
        <w:t>1</w:t>
      </w:r>
      <w:r w:rsidRPr="007257CE">
        <w:rPr>
          <w:rFonts w:ascii="Times New Roman" w:hAnsi="Times New Roman" w:cs="Times New Roman"/>
          <w:sz w:val="22"/>
          <w:szCs w:val="22"/>
        </w:rPr>
        <w:t>(1), 197–210. https://doi.org/10.64290/jsls.v1i1.14.</w:t>
      </w:r>
    </w:p>
    <w:p w14:paraId="1831588C"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rPr>
      </w:pPr>
      <w:r w:rsidRPr="007257CE">
        <w:rPr>
          <w:color w:val="000000"/>
          <w:sz w:val="22"/>
          <w:szCs w:val="22"/>
          <w:lang w:val="en-US"/>
        </w:rPr>
        <w:t xml:space="preserve">Unegbu, H., Yawas, D., Dan-asabe, B., &amp; Alabi, A. A. (2025). </w:t>
      </w:r>
      <w:r w:rsidRPr="007257CE">
        <w:rPr>
          <w:color w:val="000000"/>
          <w:sz w:val="22"/>
          <w:szCs w:val="22"/>
        </w:rPr>
        <w:t>Waste to Wealth: Circular Economy Models in Nigerian Construction. </w:t>
      </w:r>
      <w:r w:rsidRPr="007257CE">
        <w:rPr>
          <w:i/>
          <w:iCs/>
          <w:color w:val="000000"/>
          <w:sz w:val="22"/>
          <w:szCs w:val="22"/>
        </w:rPr>
        <w:t>IEM Journal</w:t>
      </w:r>
      <w:r w:rsidRPr="007257CE">
        <w:rPr>
          <w:color w:val="000000"/>
          <w:sz w:val="22"/>
          <w:szCs w:val="22"/>
        </w:rPr>
        <w:t>, </w:t>
      </w:r>
      <w:r w:rsidRPr="007257CE">
        <w:rPr>
          <w:i/>
          <w:iCs/>
          <w:color w:val="000000"/>
          <w:sz w:val="22"/>
          <w:szCs w:val="22"/>
        </w:rPr>
        <w:t>86</w:t>
      </w:r>
      <w:r w:rsidRPr="007257CE">
        <w:rPr>
          <w:color w:val="000000"/>
          <w:sz w:val="22"/>
          <w:szCs w:val="22"/>
        </w:rPr>
        <w:t>(3). https://doi.org/10.54552/v86i3.284.</w:t>
      </w:r>
    </w:p>
    <w:p w14:paraId="381EBC37" w14:textId="77777777" w:rsidR="0075182E" w:rsidRPr="007257CE" w:rsidRDefault="0075182E" w:rsidP="007257CE">
      <w:pPr>
        <w:pStyle w:val="NormalWeb"/>
        <w:numPr>
          <w:ilvl w:val="0"/>
          <w:numId w:val="9"/>
        </w:numPr>
        <w:spacing w:before="240" w:beforeAutospacing="0" w:after="240" w:afterAutospacing="0"/>
        <w:ind w:left="284"/>
        <w:rPr>
          <w:color w:val="000000"/>
          <w:sz w:val="22"/>
          <w:szCs w:val="22"/>
          <w:lang w:val="en-NG"/>
        </w:rPr>
      </w:pPr>
      <w:r w:rsidRPr="007257CE">
        <w:rPr>
          <w:color w:val="000000"/>
          <w:sz w:val="22"/>
          <w:szCs w:val="22"/>
          <w:lang w:val="en-NG"/>
        </w:rPr>
        <w:t xml:space="preserve">UNEP. (2022). </w:t>
      </w:r>
      <w:r w:rsidRPr="007257CE">
        <w:rPr>
          <w:i/>
          <w:iCs/>
          <w:color w:val="000000"/>
          <w:sz w:val="22"/>
          <w:szCs w:val="22"/>
          <w:lang w:val="en-NG"/>
        </w:rPr>
        <w:t>2022 Global Status Report for Buildings and Construction: Towards a Zero-emission, Efficient and Resilient Buildings and Construction Sector</w:t>
      </w:r>
      <w:r w:rsidRPr="007257CE">
        <w:rPr>
          <w:color w:val="000000"/>
          <w:sz w:val="22"/>
          <w:szCs w:val="22"/>
          <w:lang w:val="en-NG"/>
        </w:rPr>
        <w:t>. United Nations Environment Programme. https://globalabc.org/resources/publications/2022-global-status-report-buildings-and-construction</w:t>
      </w:r>
    </w:p>
    <w:p w14:paraId="0E275D27" w14:textId="77777777"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NG"/>
        </w:rPr>
      </w:pPr>
      <w:r w:rsidRPr="007257CE">
        <w:rPr>
          <w:rFonts w:ascii="Times New Roman" w:hAnsi="Times New Roman" w:cs="Times New Roman"/>
          <w:sz w:val="22"/>
          <w:szCs w:val="22"/>
          <w:lang w:val="en-NG"/>
        </w:rPr>
        <w:t xml:space="preserve">United Nations. (2019). </w:t>
      </w:r>
      <w:r w:rsidRPr="007257CE">
        <w:rPr>
          <w:rFonts w:ascii="Times New Roman" w:hAnsi="Times New Roman" w:cs="Times New Roman"/>
          <w:i/>
          <w:iCs/>
          <w:sz w:val="22"/>
          <w:szCs w:val="22"/>
          <w:lang w:val="en-NG"/>
        </w:rPr>
        <w:t>World urbanisation prospects</w:t>
      </w:r>
      <w:r w:rsidRPr="007257CE">
        <w:rPr>
          <w:rFonts w:ascii="Times New Roman" w:hAnsi="Times New Roman" w:cs="Times New Roman"/>
          <w:sz w:val="22"/>
          <w:szCs w:val="22"/>
          <w:lang w:val="en-NG"/>
        </w:rPr>
        <w:t>. https://www.un.org/development/desa/pd/news/world-population-prospects-2019-0</w:t>
      </w:r>
    </w:p>
    <w:p w14:paraId="172D6C79" w14:textId="77777777" w:rsidR="0075182E" w:rsidRPr="007257CE" w:rsidRDefault="0075182E" w:rsidP="007257CE">
      <w:pPr>
        <w:pStyle w:val="NormalWeb"/>
        <w:numPr>
          <w:ilvl w:val="0"/>
          <w:numId w:val="9"/>
        </w:numPr>
        <w:spacing w:before="240" w:beforeAutospacing="0" w:after="240" w:afterAutospacing="0"/>
        <w:ind w:left="284"/>
        <w:rPr>
          <w:sz w:val="22"/>
          <w:szCs w:val="22"/>
          <w:lang w:val="en-NG"/>
        </w:rPr>
      </w:pPr>
      <w:r w:rsidRPr="007257CE">
        <w:rPr>
          <w:color w:val="000000"/>
          <w:sz w:val="22"/>
          <w:szCs w:val="22"/>
          <w:lang w:val="en-NG"/>
        </w:rPr>
        <w:t xml:space="preserve">World Bank. (2021). </w:t>
      </w:r>
      <w:r w:rsidRPr="007257CE">
        <w:rPr>
          <w:i/>
          <w:iCs/>
          <w:color w:val="000000"/>
          <w:sz w:val="22"/>
          <w:szCs w:val="22"/>
          <w:lang w:val="en-NG"/>
        </w:rPr>
        <w:t>State and Trends of Carbon Pricing 2021</w:t>
      </w:r>
      <w:r w:rsidRPr="007257CE">
        <w:rPr>
          <w:color w:val="000000"/>
          <w:sz w:val="22"/>
          <w:szCs w:val="22"/>
          <w:lang w:val="en-NG"/>
        </w:rPr>
        <w:t>. World Bank. https://openknowledge.worldbank.org/handle/10986/35620</w:t>
      </w:r>
    </w:p>
    <w:p w14:paraId="44A7267D" w14:textId="28370988" w:rsidR="0075182E"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US"/>
        </w:rPr>
      </w:pPr>
      <w:r w:rsidRPr="007257CE">
        <w:rPr>
          <w:rFonts w:ascii="Times New Roman" w:hAnsi="Times New Roman" w:cs="Times New Roman"/>
          <w:sz w:val="22"/>
          <w:szCs w:val="22"/>
          <w:lang w:val="fr-FR"/>
        </w:rPr>
        <w:t xml:space="preserve">Yusuf, A., Abdulsalam, Y., &amp; Yahya, K. (2025). </w:t>
      </w:r>
      <w:r w:rsidRPr="007257CE">
        <w:rPr>
          <w:rFonts w:ascii="Times New Roman" w:hAnsi="Times New Roman" w:cs="Times New Roman"/>
          <w:sz w:val="22"/>
          <w:szCs w:val="22"/>
        </w:rPr>
        <w:t>Integrating Nigerian Architectural Pedagogy with Global Professional Standards through Science, Technology and Sustainability for Curriculum Transformation. </w:t>
      </w:r>
      <w:r w:rsidRPr="007257CE">
        <w:rPr>
          <w:rFonts w:ascii="Times New Roman" w:hAnsi="Times New Roman" w:cs="Times New Roman"/>
          <w:i/>
          <w:iCs/>
          <w:sz w:val="22"/>
          <w:szCs w:val="22"/>
        </w:rPr>
        <w:t>Bima Journal of Science and Technology Gombe</w:t>
      </w:r>
      <w:r w:rsidRPr="007257CE">
        <w:rPr>
          <w:rFonts w:ascii="Times New Roman" w:hAnsi="Times New Roman" w:cs="Times New Roman"/>
          <w:sz w:val="22"/>
          <w:szCs w:val="22"/>
        </w:rPr>
        <w:t>, </w:t>
      </w:r>
      <w:r w:rsidRPr="007257CE">
        <w:rPr>
          <w:rFonts w:ascii="Times New Roman" w:hAnsi="Times New Roman" w:cs="Times New Roman"/>
          <w:i/>
          <w:iCs/>
          <w:sz w:val="22"/>
          <w:szCs w:val="22"/>
        </w:rPr>
        <w:t>9</w:t>
      </w:r>
      <w:r w:rsidRPr="007257CE">
        <w:rPr>
          <w:rFonts w:ascii="Times New Roman" w:hAnsi="Times New Roman" w:cs="Times New Roman"/>
          <w:sz w:val="22"/>
          <w:szCs w:val="22"/>
        </w:rPr>
        <w:t>(4A), 164</w:t>
      </w:r>
      <w:r w:rsidR="00996665" w:rsidRPr="007257CE">
        <w:rPr>
          <w:rFonts w:ascii="Times New Roman" w:hAnsi="Times New Roman" w:cs="Times New Roman"/>
          <w:sz w:val="22"/>
          <w:szCs w:val="22"/>
        </w:rPr>
        <w:t>–</w:t>
      </w:r>
      <w:r w:rsidRPr="007257CE">
        <w:rPr>
          <w:rFonts w:ascii="Times New Roman" w:hAnsi="Times New Roman" w:cs="Times New Roman"/>
          <w:sz w:val="22"/>
          <w:szCs w:val="22"/>
        </w:rPr>
        <w:t>169. https://doi.org/10.64290/bima.v9i4a.1414.</w:t>
      </w:r>
    </w:p>
    <w:p w14:paraId="674206FD" w14:textId="41BE6BE0" w:rsidR="003E0FD6" w:rsidRPr="007257CE" w:rsidRDefault="0075182E" w:rsidP="007257CE">
      <w:pPr>
        <w:pStyle w:val="ListParagraph"/>
        <w:numPr>
          <w:ilvl w:val="0"/>
          <w:numId w:val="9"/>
        </w:numPr>
        <w:spacing w:before="240" w:after="240" w:line="240" w:lineRule="auto"/>
        <w:ind w:left="284"/>
        <w:contextualSpacing w:val="0"/>
        <w:rPr>
          <w:rFonts w:ascii="Times New Roman" w:hAnsi="Times New Roman" w:cs="Times New Roman"/>
          <w:sz w:val="22"/>
          <w:szCs w:val="22"/>
          <w:lang w:val="en-NG"/>
        </w:rPr>
      </w:pPr>
      <w:r w:rsidRPr="007257CE">
        <w:rPr>
          <w:rFonts w:ascii="Times New Roman" w:hAnsi="Times New Roman" w:cs="Times New Roman"/>
          <w:sz w:val="22"/>
          <w:szCs w:val="22"/>
        </w:rPr>
        <w:t>Zoure, A. N., &amp; Genovese, P. V. (2022). Development of bioclimatic passive designs for office buildings in Burkina Faso. </w:t>
      </w:r>
      <w:r w:rsidRPr="007257CE">
        <w:rPr>
          <w:rFonts w:ascii="Times New Roman" w:hAnsi="Times New Roman" w:cs="Times New Roman"/>
          <w:i/>
          <w:iCs/>
          <w:sz w:val="22"/>
          <w:szCs w:val="22"/>
        </w:rPr>
        <w:t>Sustainability</w:t>
      </w:r>
      <w:r w:rsidRPr="007257CE">
        <w:rPr>
          <w:rFonts w:ascii="Times New Roman" w:hAnsi="Times New Roman" w:cs="Times New Roman"/>
          <w:sz w:val="22"/>
          <w:szCs w:val="22"/>
        </w:rPr>
        <w:t>, </w:t>
      </w:r>
      <w:r w:rsidRPr="007257CE">
        <w:rPr>
          <w:rFonts w:ascii="Times New Roman" w:hAnsi="Times New Roman" w:cs="Times New Roman"/>
          <w:i/>
          <w:iCs/>
          <w:sz w:val="22"/>
          <w:szCs w:val="22"/>
        </w:rPr>
        <w:t>14</w:t>
      </w:r>
      <w:r w:rsidRPr="007257CE">
        <w:rPr>
          <w:rFonts w:ascii="Times New Roman" w:hAnsi="Times New Roman" w:cs="Times New Roman"/>
          <w:sz w:val="22"/>
          <w:szCs w:val="22"/>
        </w:rPr>
        <w:t>(7), 4332. https://doi.org/10.3390/su14074332.</w:t>
      </w:r>
    </w:p>
    <w:p w14:paraId="32EF77B2" w14:textId="77777777" w:rsidR="00003AB3" w:rsidRDefault="00003AB3" w:rsidP="00A12E0E">
      <w:pPr>
        <w:spacing w:before="240" w:line="240" w:lineRule="auto"/>
        <w:jc w:val="both"/>
        <w:rPr>
          <w:rFonts w:ascii="Times New Roman" w:hAnsi="Times New Roman" w:cs="Times New Roman"/>
          <w:lang w:val="en-NG"/>
        </w:rPr>
      </w:pPr>
    </w:p>
    <w:p w14:paraId="64EF49AF" w14:textId="77777777" w:rsidR="00003AB3" w:rsidRPr="00003AB3" w:rsidRDefault="00003AB3" w:rsidP="00E8549C">
      <w:pPr>
        <w:spacing w:line="240" w:lineRule="auto"/>
        <w:jc w:val="both"/>
        <w:rPr>
          <w:rFonts w:ascii="Times New Roman" w:hAnsi="Times New Roman" w:cs="Times New Roman"/>
          <w:lang w:val="en-NG"/>
        </w:rPr>
      </w:pPr>
    </w:p>
    <w:sectPr w:rsidR="00003AB3" w:rsidRPr="00003AB3" w:rsidSect="00DE690F">
      <w:footerReference w:type="default" r:id="rId9"/>
      <w:pgSz w:w="11906" w:h="16838" w:code="9"/>
      <w:pgMar w:top="1077" w:right="680" w:bottom="680" w:left="680"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C079" w14:textId="77777777" w:rsidR="00186DCB" w:rsidRDefault="00186DCB" w:rsidP="003E0FD6">
      <w:pPr>
        <w:spacing w:after="0" w:line="240" w:lineRule="auto"/>
      </w:pPr>
      <w:r>
        <w:separator/>
      </w:r>
    </w:p>
  </w:endnote>
  <w:endnote w:type="continuationSeparator" w:id="0">
    <w:p w14:paraId="5FC7FCAE" w14:textId="77777777" w:rsidR="00186DCB" w:rsidRDefault="00186DCB" w:rsidP="003E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815823"/>
      <w:docPartObj>
        <w:docPartGallery w:val="Page Numbers (Bottom of Page)"/>
        <w:docPartUnique/>
      </w:docPartObj>
    </w:sdtPr>
    <w:sdtEndPr>
      <w:rPr>
        <w:rFonts w:ascii="Times New Roman" w:hAnsi="Times New Roman" w:cs="Times New Roman"/>
        <w:sz w:val="22"/>
        <w:szCs w:val="22"/>
      </w:rPr>
    </w:sdtEndPr>
    <w:sdtContent>
      <w:p w14:paraId="376356D3" w14:textId="0FB0E72D" w:rsidR="003E0FD6" w:rsidRPr="003E0FD6" w:rsidRDefault="003E0FD6">
        <w:pPr>
          <w:pStyle w:val="Footer"/>
          <w:jc w:val="center"/>
          <w:rPr>
            <w:rFonts w:ascii="Times New Roman" w:hAnsi="Times New Roman" w:cs="Times New Roman"/>
            <w:sz w:val="22"/>
            <w:szCs w:val="22"/>
          </w:rPr>
        </w:pPr>
        <w:r w:rsidRPr="003E0FD6">
          <w:rPr>
            <w:rFonts w:ascii="Times New Roman" w:hAnsi="Times New Roman" w:cs="Times New Roman"/>
            <w:sz w:val="22"/>
            <w:szCs w:val="22"/>
          </w:rPr>
          <w:fldChar w:fldCharType="begin"/>
        </w:r>
        <w:r w:rsidRPr="003E0FD6">
          <w:rPr>
            <w:rFonts w:ascii="Times New Roman" w:hAnsi="Times New Roman" w:cs="Times New Roman"/>
            <w:sz w:val="22"/>
            <w:szCs w:val="22"/>
          </w:rPr>
          <w:instrText>PAGE   \* MERGEFORMAT</w:instrText>
        </w:r>
        <w:r w:rsidRPr="003E0FD6">
          <w:rPr>
            <w:rFonts w:ascii="Times New Roman" w:hAnsi="Times New Roman" w:cs="Times New Roman"/>
            <w:sz w:val="22"/>
            <w:szCs w:val="22"/>
          </w:rPr>
          <w:fldChar w:fldCharType="separate"/>
        </w:r>
        <w:r w:rsidRPr="003E0FD6">
          <w:rPr>
            <w:rFonts w:ascii="Times New Roman" w:hAnsi="Times New Roman" w:cs="Times New Roman"/>
            <w:sz w:val="22"/>
            <w:szCs w:val="22"/>
          </w:rPr>
          <w:t>2</w:t>
        </w:r>
        <w:r w:rsidRPr="003E0FD6">
          <w:rPr>
            <w:rFonts w:ascii="Times New Roman" w:hAnsi="Times New Roman" w:cs="Times New Roman"/>
            <w:sz w:val="22"/>
            <w:szCs w:val="22"/>
          </w:rPr>
          <w:fldChar w:fldCharType="end"/>
        </w:r>
      </w:p>
    </w:sdtContent>
  </w:sdt>
  <w:p w14:paraId="79AEBB74" w14:textId="77777777" w:rsidR="003E0FD6" w:rsidRDefault="003E0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065B" w14:textId="77777777" w:rsidR="00186DCB" w:rsidRDefault="00186DCB" w:rsidP="003E0FD6">
      <w:pPr>
        <w:spacing w:after="0" w:line="240" w:lineRule="auto"/>
      </w:pPr>
      <w:r>
        <w:separator/>
      </w:r>
    </w:p>
  </w:footnote>
  <w:footnote w:type="continuationSeparator" w:id="0">
    <w:p w14:paraId="40CD0C43" w14:textId="77777777" w:rsidR="00186DCB" w:rsidRDefault="00186DCB" w:rsidP="003E0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52C"/>
    <w:multiLevelType w:val="multilevel"/>
    <w:tmpl w:val="690C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4339E"/>
    <w:multiLevelType w:val="multilevel"/>
    <w:tmpl w:val="EDEC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E1FE8"/>
    <w:multiLevelType w:val="multilevel"/>
    <w:tmpl w:val="C254C5DE"/>
    <w:lvl w:ilvl="0">
      <w:start w:val="1"/>
      <w:numFmt w:val="lowerRoman"/>
      <w:lvlText w:val="%1."/>
      <w:lvlJc w:val="right"/>
      <w:pPr>
        <w:tabs>
          <w:tab w:val="num" w:pos="720"/>
        </w:tabs>
        <w:ind w:left="720" w:hanging="360"/>
      </w:pPr>
      <w:rPr>
        <w:rFonts w:hint="default"/>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003AB0"/>
    <w:multiLevelType w:val="multilevel"/>
    <w:tmpl w:val="58BE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B0C82"/>
    <w:multiLevelType w:val="multilevel"/>
    <w:tmpl w:val="233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76C3A"/>
    <w:multiLevelType w:val="hybridMultilevel"/>
    <w:tmpl w:val="94FAA8A6"/>
    <w:lvl w:ilvl="0" w:tplc="080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FC71719"/>
    <w:multiLevelType w:val="multilevel"/>
    <w:tmpl w:val="07E2DF78"/>
    <w:lvl w:ilvl="0">
      <w:start w:val="1"/>
      <w:numFmt w:val="lowerRoman"/>
      <w:lvlText w:val="%1."/>
      <w:lvlJc w:val="right"/>
      <w:pPr>
        <w:tabs>
          <w:tab w:val="num" w:pos="720"/>
        </w:tabs>
        <w:ind w:left="720" w:hanging="360"/>
      </w:pPr>
      <w:rPr>
        <w:rFonts w:hint="default"/>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866EF"/>
    <w:multiLevelType w:val="multilevel"/>
    <w:tmpl w:val="75468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F78CC"/>
    <w:multiLevelType w:val="multilevel"/>
    <w:tmpl w:val="533EC596"/>
    <w:lvl w:ilvl="0">
      <w:start w:val="1"/>
      <w:numFmt w:val="lowerRoman"/>
      <w:lvlText w:val="%1."/>
      <w:lvlJc w:val="right"/>
      <w:pPr>
        <w:tabs>
          <w:tab w:val="num" w:pos="720"/>
        </w:tabs>
        <w:ind w:left="720" w:hanging="360"/>
      </w:pPr>
      <w:rPr>
        <w:rFonts w:hint="default"/>
        <w:sz w:val="23"/>
        <w:szCs w:val="23"/>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463579">
    <w:abstractNumId w:val="7"/>
  </w:num>
  <w:num w:numId="2" w16cid:durableId="386875367">
    <w:abstractNumId w:val="0"/>
  </w:num>
  <w:num w:numId="3" w16cid:durableId="271283028">
    <w:abstractNumId w:val="4"/>
  </w:num>
  <w:num w:numId="4" w16cid:durableId="734278465">
    <w:abstractNumId w:val="3"/>
  </w:num>
  <w:num w:numId="5" w16cid:durableId="1745447342">
    <w:abstractNumId w:val="1"/>
  </w:num>
  <w:num w:numId="6" w16cid:durableId="1265111333">
    <w:abstractNumId w:val="2"/>
  </w:num>
  <w:num w:numId="7" w16cid:durableId="202063554">
    <w:abstractNumId w:val="8"/>
  </w:num>
  <w:num w:numId="8" w16cid:durableId="1134327956">
    <w:abstractNumId w:val="6"/>
  </w:num>
  <w:num w:numId="9" w16cid:durableId="1490559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0E"/>
    <w:rsid w:val="00003AB3"/>
    <w:rsid w:val="00017606"/>
    <w:rsid w:val="00045F10"/>
    <w:rsid w:val="00054F2C"/>
    <w:rsid w:val="000611B7"/>
    <w:rsid w:val="00076F2D"/>
    <w:rsid w:val="000921B7"/>
    <w:rsid w:val="000B2E9F"/>
    <w:rsid w:val="000C6387"/>
    <w:rsid w:val="000C7A5D"/>
    <w:rsid w:val="000E3EBD"/>
    <w:rsid w:val="000F7E64"/>
    <w:rsid w:val="00106923"/>
    <w:rsid w:val="00114488"/>
    <w:rsid w:val="0011578F"/>
    <w:rsid w:val="00162A5E"/>
    <w:rsid w:val="0018368B"/>
    <w:rsid w:val="00186DCB"/>
    <w:rsid w:val="00195C5A"/>
    <w:rsid w:val="00197ACB"/>
    <w:rsid w:val="001E18E0"/>
    <w:rsid w:val="001E2023"/>
    <w:rsid w:val="00204720"/>
    <w:rsid w:val="0021287C"/>
    <w:rsid w:val="00214799"/>
    <w:rsid w:val="00215E12"/>
    <w:rsid w:val="0022350E"/>
    <w:rsid w:val="00252A11"/>
    <w:rsid w:val="002604FD"/>
    <w:rsid w:val="002619F8"/>
    <w:rsid w:val="00262133"/>
    <w:rsid w:val="00263D10"/>
    <w:rsid w:val="00274F6C"/>
    <w:rsid w:val="002750D1"/>
    <w:rsid w:val="002B103B"/>
    <w:rsid w:val="002B2EBE"/>
    <w:rsid w:val="002C6800"/>
    <w:rsid w:val="003170F8"/>
    <w:rsid w:val="00326E51"/>
    <w:rsid w:val="00336666"/>
    <w:rsid w:val="003408F2"/>
    <w:rsid w:val="00352F1A"/>
    <w:rsid w:val="00353FE7"/>
    <w:rsid w:val="0038253F"/>
    <w:rsid w:val="0039725F"/>
    <w:rsid w:val="003B3817"/>
    <w:rsid w:val="003B5E43"/>
    <w:rsid w:val="003D774F"/>
    <w:rsid w:val="003E0FD6"/>
    <w:rsid w:val="003F453A"/>
    <w:rsid w:val="003F5901"/>
    <w:rsid w:val="004058C9"/>
    <w:rsid w:val="0041574D"/>
    <w:rsid w:val="004166FD"/>
    <w:rsid w:val="00420E8C"/>
    <w:rsid w:val="00441943"/>
    <w:rsid w:val="00452602"/>
    <w:rsid w:val="004537AE"/>
    <w:rsid w:val="004555A7"/>
    <w:rsid w:val="004725E3"/>
    <w:rsid w:val="004838F8"/>
    <w:rsid w:val="00496ED1"/>
    <w:rsid w:val="004A2C76"/>
    <w:rsid w:val="004B5598"/>
    <w:rsid w:val="004C5F33"/>
    <w:rsid w:val="004C707D"/>
    <w:rsid w:val="004D1B04"/>
    <w:rsid w:val="004D3894"/>
    <w:rsid w:val="004D3EBC"/>
    <w:rsid w:val="005127EC"/>
    <w:rsid w:val="005169A9"/>
    <w:rsid w:val="00530349"/>
    <w:rsid w:val="00544CA1"/>
    <w:rsid w:val="00546437"/>
    <w:rsid w:val="00550E04"/>
    <w:rsid w:val="00570498"/>
    <w:rsid w:val="0057407A"/>
    <w:rsid w:val="00574B67"/>
    <w:rsid w:val="005B7ECD"/>
    <w:rsid w:val="005C274F"/>
    <w:rsid w:val="005C5909"/>
    <w:rsid w:val="005D2EFF"/>
    <w:rsid w:val="005E50CE"/>
    <w:rsid w:val="005F299E"/>
    <w:rsid w:val="006276D5"/>
    <w:rsid w:val="00651E62"/>
    <w:rsid w:val="00656583"/>
    <w:rsid w:val="006675EE"/>
    <w:rsid w:val="00674E3F"/>
    <w:rsid w:val="006776BA"/>
    <w:rsid w:val="006A1C2D"/>
    <w:rsid w:val="006B56A2"/>
    <w:rsid w:val="006C1F88"/>
    <w:rsid w:val="006D70FD"/>
    <w:rsid w:val="006E1641"/>
    <w:rsid w:val="006E22B3"/>
    <w:rsid w:val="006E2AD1"/>
    <w:rsid w:val="006F4F5A"/>
    <w:rsid w:val="006F689A"/>
    <w:rsid w:val="0070754E"/>
    <w:rsid w:val="007202C7"/>
    <w:rsid w:val="00724181"/>
    <w:rsid w:val="0072476D"/>
    <w:rsid w:val="007257CE"/>
    <w:rsid w:val="00734C3D"/>
    <w:rsid w:val="00741745"/>
    <w:rsid w:val="0074388D"/>
    <w:rsid w:val="0075182E"/>
    <w:rsid w:val="00775E02"/>
    <w:rsid w:val="007A6631"/>
    <w:rsid w:val="007C7974"/>
    <w:rsid w:val="007E4D58"/>
    <w:rsid w:val="007F2F1E"/>
    <w:rsid w:val="00823805"/>
    <w:rsid w:val="008305B4"/>
    <w:rsid w:val="0083191C"/>
    <w:rsid w:val="00845B0E"/>
    <w:rsid w:val="0086393C"/>
    <w:rsid w:val="00870125"/>
    <w:rsid w:val="00887D81"/>
    <w:rsid w:val="008902AE"/>
    <w:rsid w:val="00890359"/>
    <w:rsid w:val="00892069"/>
    <w:rsid w:val="008E04A8"/>
    <w:rsid w:val="009030B0"/>
    <w:rsid w:val="00915236"/>
    <w:rsid w:val="00924319"/>
    <w:rsid w:val="00944EF3"/>
    <w:rsid w:val="00964B68"/>
    <w:rsid w:val="0097051D"/>
    <w:rsid w:val="009808F0"/>
    <w:rsid w:val="00996665"/>
    <w:rsid w:val="009A1A87"/>
    <w:rsid w:val="009B26CD"/>
    <w:rsid w:val="009B495F"/>
    <w:rsid w:val="009B5A04"/>
    <w:rsid w:val="009C4EBA"/>
    <w:rsid w:val="009D631C"/>
    <w:rsid w:val="009D6B73"/>
    <w:rsid w:val="009F612A"/>
    <w:rsid w:val="00A02964"/>
    <w:rsid w:val="00A12E0E"/>
    <w:rsid w:val="00A16B8F"/>
    <w:rsid w:val="00A21521"/>
    <w:rsid w:val="00A225C6"/>
    <w:rsid w:val="00A41616"/>
    <w:rsid w:val="00A51DF5"/>
    <w:rsid w:val="00A65492"/>
    <w:rsid w:val="00A83E11"/>
    <w:rsid w:val="00A9210D"/>
    <w:rsid w:val="00A9440F"/>
    <w:rsid w:val="00AB7A6A"/>
    <w:rsid w:val="00AC5506"/>
    <w:rsid w:val="00AD778E"/>
    <w:rsid w:val="00AE2C06"/>
    <w:rsid w:val="00B34F53"/>
    <w:rsid w:val="00B47009"/>
    <w:rsid w:val="00B63B69"/>
    <w:rsid w:val="00B677F7"/>
    <w:rsid w:val="00B72B9A"/>
    <w:rsid w:val="00B778C6"/>
    <w:rsid w:val="00B837FF"/>
    <w:rsid w:val="00B87A97"/>
    <w:rsid w:val="00BA28C1"/>
    <w:rsid w:val="00BA2E45"/>
    <w:rsid w:val="00BA3853"/>
    <w:rsid w:val="00BC141D"/>
    <w:rsid w:val="00BC4013"/>
    <w:rsid w:val="00C42C06"/>
    <w:rsid w:val="00C55973"/>
    <w:rsid w:val="00C63F34"/>
    <w:rsid w:val="00C93AF3"/>
    <w:rsid w:val="00C94447"/>
    <w:rsid w:val="00CE4C01"/>
    <w:rsid w:val="00CE70B8"/>
    <w:rsid w:val="00D0679C"/>
    <w:rsid w:val="00D226B3"/>
    <w:rsid w:val="00D2284E"/>
    <w:rsid w:val="00D4159F"/>
    <w:rsid w:val="00D441B5"/>
    <w:rsid w:val="00D66855"/>
    <w:rsid w:val="00D70E66"/>
    <w:rsid w:val="00DB4619"/>
    <w:rsid w:val="00DD6571"/>
    <w:rsid w:val="00DD78DE"/>
    <w:rsid w:val="00DE002C"/>
    <w:rsid w:val="00DE36B3"/>
    <w:rsid w:val="00DE439C"/>
    <w:rsid w:val="00DE690F"/>
    <w:rsid w:val="00DE75B5"/>
    <w:rsid w:val="00E05A48"/>
    <w:rsid w:val="00E20CDC"/>
    <w:rsid w:val="00E24F75"/>
    <w:rsid w:val="00E27CC9"/>
    <w:rsid w:val="00E27E14"/>
    <w:rsid w:val="00E378AF"/>
    <w:rsid w:val="00E47F72"/>
    <w:rsid w:val="00E511BF"/>
    <w:rsid w:val="00E61D65"/>
    <w:rsid w:val="00E72855"/>
    <w:rsid w:val="00E734A4"/>
    <w:rsid w:val="00E80B18"/>
    <w:rsid w:val="00E8549C"/>
    <w:rsid w:val="00E977E8"/>
    <w:rsid w:val="00EA126F"/>
    <w:rsid w:val="00ED581A"/>
    <w:rsid w:val="00EE4224"/>
    <w:rsid w:val="00EF08C0"/>
    <w:rsid w:val="00EF4754"/>
    <w:rsid w:val="00F06610"/>
    <w:rsid w:val="00F15B2A"/>
    <w:rsid w:val="00F176EE"/>
    <w:rsid w:val="00F20C99"/>
    <w:rsid w:val="00F26B65"/>
    <w:rsid w:val="00F279D6"/>
    <w:rsid w:val="00F30E3E"/>
    <w:rsid w:val="00F330C9"/>
    <w:rsid w:val="00F34107"/>
    <w:rsid w:val="00F649B8"/>
    <w:rsid w:val="00F879FA"/>
    <w:rsid w:val="00FA708A"/>
    <w:rsid w:val="00FB21B8"/>
    <w:rsid w:val="00FB310E"/>
    <w:rsid w:val="00FC575C"/>
    <w:rsid w:val="00FC75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5B7A"/>
  <w15:chartTrackingRefBased/>
  <w15:docId w15:val="{2BF91419-D0E9-4A2F-9FE6-FAB5B8CA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235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5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5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5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5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5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5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5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5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Writing">
    <w:name w:val="Paper Writing"/>
    <w:basedOn w:val="Normal"/>
    <w:link w:val="PaperWritingChar"/>
    <w:qFormat/>
    <w:rsid w:val="00741745"/>
    <w:pPr>
      <w:spacing w:line="360" w:lineRule="auto"/>
      <w:jc w:val="both"/>
    </w:pPr>
    <w:rPr>
      <w:rFonts w:ascii="Times New Roman" w:hAnsi="Times New Roman" w:cs="Times New Roman"/>
    </w:rPr>
  </w:style>
  <w:style w:type="character" w:customStyle="1" w:styleId="PaperWritingChar">
    <w:name w:val="Paper Writing Char"/>
    <w:basedOn w:val="DefaultParagraphFont"/>
    <w:link w:val="PaperWriting"/>
    <w:rsid w:val="00741745"/>
    <w:rPr>
      <w:rFonts w:ascii="Times New Roman" w:hAnsi="Times New Roman" w:cs="Times New Roman"/>
    </w:rPr>
  </w:style>
  <w:style w:type="character" w:customStyle="1" w:styleId="Heading1Char">
    <w:name w:val="Heading 1 Char"/>
    <w:basedOn w:val="DefaultParagraphFont"/>
    <w:link w:val="Heading1"/>
    <w:uiPriority w:val="9"/>
    <w:rsid w:val="0022350E"/>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2350E"/>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2350E"/>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2350E"/>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2350E"/>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2350E"/>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2350E"/>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2350E"/>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2350E"/>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235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50E"/>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235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50E"/>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2350E"/>
    <w:pPr>
      <w:spacing w:before="160"/>
      <w:jc w:val="center"/>
    </w:pPr>
    <w:rPr>
      <w:i/>
      <w:iCs/>
      <w:color w:val="404040" w:themeColor="text1" w:themeTint="BF"/>
    </w:rPr>
  </w:style>
  <w:style w:type="character" w:customStyle="1" w:styleId="QuoteChar">
    <w:name w:val="Quote Char"/>
    <w:basedOn w:val="DefaultParagraphFont"/>
    <w:link w:val="Quote"/>
    <w:uiPriority w:val="29"/>
    <w:rsid w:val="0022350E"/>
    <w:rPr>
      <w:i/>
      <w:iCs/>
      <w:color w:val="404040" w:themeColor="text1" w:themeTint="BF"/>
      <w:lang w:val="en-GB"/>
    </w:rPr>
  </w:style>
  <w:style w:type="paragraph" w:styleId="ListParagraph">
    <w:name w:val="List Paragraph"/>
    <w:basedOn w:val="Normal"/>
    <w:uiPriority w:val="34"/>
    <w:qFormat/>
    <w:rsid w:val="0022350E"/>
    <w:pPr>
      <w:ind w:left="720"/>
      <w:contextualSpacing/>
    </w:pPr>
  </w:style>
  <w:style w:type="character" w:styleId="IntenseEmphasis">
    <w:name w:val="Intense Emphasis"/>
    <w:basedOn w:val="DefaultParagraphFont"/>
    <w:uiPriority w:val="21"/>
    <w:qFormat/>
    <w:rsid w:val="0022350E"/>
    <w:rPr>
      <w:i/>
      <w:iCs/>
      <w:color w:val="0F4761" w:themeColor="accent1" w:themeShade="BF"/>
    </w:rPr>
  </w:style>
  <w:style w:type="paragraph" w:styleId="IntenseQuote">
    <w:name w:val="Intense Quote"/>
    <w:basedOn w:val="Normal"/>
    <w:next w:val="Normal"/>
    <w:link w:val="IntenseQuoteChar"/>
    <w:uiPriority w:val="30"/>
    <w:qFormat/>
    <w:rsid w:val="002235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50E"/>
    <w:rPr>
      <w:i/>
      <w:iCs/>
      <w:color w:val="0F4761" w:themeColor="accent1" w:themeShade="BF"/>
      <w:lang w:val="en-GB"/>
    </w:rPr>
  </w:style>
  <w:style w:type="character" w:styleId="IntenseReference">
    <w:name w:val="Intense Reference"/>
    <w:basedOn w:val="DefaultParagraphFont"/>
    <w:uiPriority w:val="32"/>
    <w:qFormat/>
    <w:rsid w:val="0022350E"/>
    <w:rPr>
      <w:b/>
      <w:bCs/>
      <w:smallCaps/>
      <w:color w:val="0F4761" w:themeColor="accent1" w:themeShade="BF"/>
      <w:spacing w:val="5"/>
    </w:rPr>
  </w:style>
  <w:style w:type="paragraph" w:styleId="NormalWeb">
    <w:name w:val="Normal (Web)"/>
    <w:basedOn w:val="Normal"/>
    <w:uiPriority w:val="99"/>
    <w:unhideWhenUsed/>
    <w:rsid w:val="003E0FD6"/>
    <w:pPr>
      <w:spacing w:before="100" w:beforeAutospacing="1" w:after="100" w:afterAutospacing="1" w:line="240" w:lineRule="auto"/>
    </w:pPr>
    <w:rPr>
      <w:rFonts w:ascii="Times New Roman" w:eastAsia="Times New Roman" w:hAnsi="Times New Roman" w:cs="Times New Roman"/>
      <w:lang w:eastAsia="en-GB"/>
      <w14:ligatures w14:val="none"/>
    </w:rPr>
  </w:style>
  <w:style w:type="character" w:styleId="Hyperlink">
    <w:name w:val="Hyperlink"/>
    <w:basedOn w:val="DefaultParagraphFont"/>
    <w:uiPriority w:val="99"/>
    <w:unhideWhenUsed/>
    <w:rsid w:val="003E0FD6"/>
    <w:rPr>
      <w:color w:val="467886" w:themeColor="hyperlink"/>
      <w:u w:val="single"/>
    </w:rPr>
  </w:style>
  <w:style w:type="paragraph" w:styleId="Header">
    <w:name w:val="header"/>
    <w:basedOn w:val="Normal"/>
    <w:link w:val="HeaderChar"/>
    <w:uiPriority w:val="99"/>
    <w:unhideWhenUsed/>
    <w:rsid w:val="003E0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FD6"/>
    <w:rPr>
      <w:lang w:val="en-GB"/>
    </w:rPr>
  </w:style>
  <w:style w:type="paragraph" w:styleId="Footer">
    <w:name w:val="footer"/>
    <w:basedOn w:val="Normal"/>
    <w:link w:val="FooterChar"/>
    <w:uiPriority w:val="99"/>
    <w:unhideWhenUsed/>
    <w:rsid w:val="003E0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FD6"/>
    <w:rPr>
      <w:lang w:val="en-GB"/>
    </w:rPr>
  </w:style>
  <w:style w:type="table" w:styleId="TableGrid">
    <w:name w:val="Table Grid"/>
    <w:basedOn w:val="TableNormal"/>
    <w:uiPriority w:val="39"/>
    <w:rsid w:val="00A9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51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a.org/reports/net-zero-by-205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16</Pages>
  <Words>8811</Words>
  <Characters>50227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 Ajayi</dc:creator>
  <cp:keywords/>
  <dc:description/>
  <cp:lastModifiedBy>'Wale Ajayi</cp:lastModifiedBy>
  <cp:revision>110</cp:revision>
  <dcterms:created xsi:type="dcterms:W3CDTF">2026-04-27T18:54:00Z</dcterms:created>
  <dcterms:modified xsi:type="dcterms:W3CDTF">2026-04-28T00:27:00Z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6abb5214-4071-4fcc-ba42-0bf21d823ece</vt:lpwstr>
  </property>
</Properties>
</file>