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Artificial Intelligence Applications in Clinical Laboratory Diagnostics: A Systematic Review of Diagnostic Accuracy, Workflow Efficiency, and Clinical Utility</w:t>
      </w:r>
    </w:p>
    <w:p w:rsidR="00000000" w:rsidDel="00000000" w:rsidP="00000000" w:rsidRDefault="00000000" w:rsidRPr="00000000" w14:paraId="0000000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Chinwebudu M. Melford</w:t>
      </w:r>
      <w:r w:rsidDel="00000000" w:rsidR="00000000" w:rsidRPr="00000000">
        <w:rPr>
          <w:rFonts w:ascii="Times New Roman" w:cs="Times New Roman" w:eastAsia="Times New Roman" w:hAnsi="Times New Roman"/>
          <w:sz w:val="24"/>
          <w:szCs w:val="24"/>
          <w:rtl w:val="0"/>
        </w:rPr>
        <w:t xml:space="preserve">*1 </w:t>
        <w:br w:type="textWrapping"/>
      </w:r>
      <w:hyperlink r:id="rId6">
        <w:r w:rsidDel="00000000" w:rsidR="00000000" w:rsidRPr="00000000">
          <w:rPr>
            <w:rFonts w:ascii="Times New Roman" w:cs="Times New Roman" w:eastAsia="Times New Roman" w:hAnsi="Times New Roman"/>
            <w:color w:val="1155cc"/>
            <w:sz w:val="24"/>
            <w:szCs w:val="24"/>
            <w:u w:val="single"/>
            <w:rtl w:val="0"/>
          </w:rPr>
          <w:t xml:space="preserve">melfordcmiller@gmail.com</w:t>
        </w:r>
      </w:hyperlink>
      <w:r w:rsidDel="00000000" w:rsidR="00000000" w:rsidRPr="00000000">
        <w:rPr>
          <w:rFonts w:ascii="Times New Roman" w:cs="Times New Roman" w:eastAsia="Times New Roman" w:hAnsi="Times New Roman"/>
          <w:sz w:val="24"/>
          <w:szCs w:val="24"/>
          <w:rtl w:val="0"/>
        </w:rPr>
        <w:t xml:space="preserve"> </w:t>
        <w:br w:type="textWrapping"/>
        <w:t xml:space="preserve">+63 985 948 9418</w:t>
        <w:br w:type="textWrapping"/>
        <w:t xml:space="preserve">https://orcid.org/0009-0005-0654-5479</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Marguerite Alofa P. O’Brien-Melford</w:t>
      </w:r>
      <w:r w:rsidDel="00000000" w:rsidR="00000000" w:rsidRPr="00000000">
        <w:rPr>
          <w:rFonts w:ascii="Times New Roman" w:cs="Times New Roman" w:eastAsia="Times New Roman" w:hAnsi="Times New Roman"/>
          <w:sz w:val="24"/>
          <w:szCs w:val="24"/>
          <w:rtl w:val="0"/>
        </w:rPr>
        <w:t xml:space="preserve"> 2 </w:t>
        <w:br w:type="textWrapping"/>
      </w:r>
      <w:hyperlink r:id="rId7">
        <w:r w:rsidDel="00000000" w:rsidR="00000000" w:rsidRPr="00000000">
          <w:rPr>
            <w:rFonts w:ascii="Times New Roman" w:cs="Times New Roman" w:eastAsia="Times New Roman" w:hAnsi="Times New Roman"/>
            <w:color w:val="1155cc"/>
            <w:sz w:val="24"/>
            <w:szCs w:val="24"/>
            <w:u w:val="single"/>
            <w:rtl w:val="0"/>
          </w:rPr>
          <w:t xml:space="preserve">margueritealofalpt@gmail.com</w:t>
        </w:r>
      </w:hyperlink>
      <w:r w:rsidDel="00000000" w:rsidR="00000000" w:rsidRPr="00000000">
        <w:rPr>
          <w:rFonts w:ascii="Times New Roman" w:cs="Times New Roman" w:eastAsia="Times New Roman" w:hAnsi="Times New Roman"/>
          <w:color w:val="1f1f1f"/>
          <w:sz w:val="24"/>
          <w:szCs w:val="24"/>
          <w:rtl w:val="0"/>
        </w:rPr>
        <w:br w:type="textWrapping"/>
        <w:t xml:space="preserve">https://orcid.org/0009-0008-8371-8734</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br w:type="textWrapping"/>
        <w:br w:type="textWrapping"/>
        <w:t xml:space="preserve">1. </w:t>
      </w:r>
      <w:r w:rsidDel="00000000" w:rsidR="00000000" w:rsidRPr="00000000">
        <w:rPr>
          <w:rFonts w:ascii="Times New Roman" w:cs="Times New Roman" w:eastAsia="Times New Roman" w:hAnsi="Times New Roman"/>
          <w:sz w:val="24"/>
          <w:szCs w:val="24"/>
          <w:highlight w:val="white"/>
          <w:rtl w:val="0"/>
        </w:rPr>
        <w:t xml:space="preserve">Department of Medical Technology, College of Allied Medical Sciences, Cebu Doctors’ University, Mandaue City, Cebu, Philippines.</w:t>
      </w:r>
      <w:r w:rsidDel="00000000" w:rsidR="00000000" w:rsidRPr="00000000">
        <w:rPr>
          <w:rFonts w:ascii="Times New Roman" w:cs="Times New Roman" w:eastAsia="Times New Roman" w:hAnsi="Times New Roman"/>
          <w:sz w:val="24"/>
          <w:szCs w:val="24"/>
          <w:rtl w:val="0"/>
        </w:rPr>
        <w:t xml:space="preserve"> </w:t>
        <w:br w:type="textWrapping"/>
        <w:br w:type="textWrapping"/>
        <w:t xml:space="preserve">2. Department of Languages, </w:t>
      </w:r>
      <w:r w:rsidDel="00000000" w:rsidR="00000000" w:rsidRPr="00000000">
        <w:rPr>
          <w:rFonts w:ascii="Times New Roman" w:cs="Times New Roman" w:eastAsia="Times New Roman" w:hAnsi="Times New Roman"/>
          <w:sz w:val="24"/>
          <w:szCs w:val="24"/>
          <w:highlight w:val="white"/>
          <w:rtl w:val="0"/>
        </w:rPr>
        <w:t xml:space="preserve">Cebu Doctors’ University, Mandaue City, Cebu, Philippines.</w:t>
      </w:r>
      <w:r w:rsidDel="00000000" w:rsidR="00000000" w:rsidRPr="00000000">
        <w:rPr>
          <w:rFonts w:ascii="Times New Roman" w:cs="Times New Roman" w:eastAsia="Times New Roman" w:hAnsi="Times New Roman"/>
          <w:sz w:val="24"/>
          <w:szCs w:val="24"/>
          <w:rtl w:val="0"/>
        </w:rPr>
        <w:t xml:space="preserve"> </w:t>
        <w:br w:type="textWrapping"/>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Background:</w:t>
      </w:r>
      <w:r w:rsidDel="00000000" w:rsidR="00000000" w:rsidRPr="00000000">
        <w:rPr>
          <w:rFonts w:ascii="Times New Roman" w:cs="Times New Roman" w:eastAsia="Times New Roman" w:hAnsi="Times New Roman"/>
          <w:sz w:val="24"/>
          <w:szCs w:val="24"/>
          <w:rtl w:val="0"/>
        </w:rPr>
        <w:t xml:space="preserve"> Artificial intelligence (AI) is increasingly integrated into clinical laboratory diagnostics, enhancing data interpretation, diagnostic precision, and healthcare delivery. Despite rapid advancements, evidence remains fragmented across diagnostic performance, workflow efficiency, and real-world clinical impact.</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 To systematically evaluate the applications of AI in clinical laboratory diagnostics, focusing on diagnostic accuracy, workflow efficiency, and clinical utility.</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This systematic review was conducted in accordance with PRISMA guidelines and registered in PROSPERO (Registration No.:</w:t>
      </w:r>
      <w:r w:rsidDel="00000000" w:rsidR="00000000" w:rsidRPr="00000000">
        <w:rPr>
          <w:rFonts w:ascii="Times New Roman" w:cs="Times New Roman" w:eastAsia="Times New Roman" w:hAnsi="Times New Roman"/>
          <w:color w:val="212529"/>
          <w:sz w:val="24"/>
          <w:szCs w:val="24"/>
          <w:shd w:fill="fafafa" w:val="clear"/>
          <w:rtl w:val="0"/>
        </w:rPr>
        <w:t xml:space="preserve">CRD420261379141</w:t>
      </w:r>
      <w:r w:rsidDel="00000000" w:rsidR="00000000" w:rsidRPr="00000000">
        <w:rPr>
          <w:rFonts w:ascii="Times New Roman" w:cs="Times New Roman" w:eastAsia="Times New Roman" w:hAnsi="Times New Roman"/>
          <w:sz w:val="24"/>
          <w:szCs w:val="24"/>
          <w:rtl w:val="0"/>
        </w:rPr>
        <w:t xml:space="preserve">). A comprehensive search of PubMed, Scopus, Web of Science, and Cochrane Library was performed for studies published within the last 13 years. Eligible studies included diagnostic accuracy studies, observational studies, and clinical trials involving AI applications in laboratory diagnostics. Data extraction and quality assessment were conducted using standardized tools, and findings were synthesized narratively.</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 A total of 65 studies were included from 450 identified records. AI models demonstrated high diagnostic performance across multiple clinical domains, with area under the curve (AUC) values frequently exceeding 0.85–0.95 and performance often comparable to or surpassing human experts. AI integration significantly improved workflow efficiency by reducing turnaround times, automating data interpretation, and optimizing resource utilization. Additionally, AI showed strong clinical utility in early disease detection, risk stratification, and personalized medicine. However, limitations such as lack of external validation, dataset heterogeneity, and implementation challenges were commonly reported.</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 AI has substantial potential to transform clinical laboratory diagnostics by improving accuracy, efficiency, and clinical decision-making. Future research should emphasize standardized validation, multicenter studies, and real-world implementation to support safe and equitable integration into healthcare systems.</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Artificial intelligence, Clinical laboratory diagnostics, Machine learning, Diagnostic accuracy, Workflow efficiency, Clinical utility, Systematic review, Precision medicine, Philippines</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Fonts w:ascii="Times New Roman" w:cs="Times New Roman" w:eastAsia="Times New Roman" w:hAnsi="Times New Roman"/>
          <w:sz w:val="24"/>
          <w:szCs w:val="24"/>
          <w:rtl w:val="0"/>
        </w:rPr>
        <w:br w:type="textWrapping"/>
        <w:br w:type="textWrapping"/>
        <w:t xml:space="preserve">Artificial intelligence (AI) in healthcare is broadly defined as the application of computational systems capable of performing tasks that typically require human intelligence, such as learning, reasoning, pattern recognition, and decision-making, to analyze complex medical data and support clinical care (Erasmus &amp; Ondoa, 2023). The World Health Organization, Regional Office for Europe further emphasizes that AI is increasingly embedded in diagnostic processes, clinical decision-making, and health system management, reflecting its growing role in modern medicine (World Health Organization Regional Office for Europe, 2025). Within clinical laboratory diagnostics, AI integrates diverse datasets, including biochemical assays, genomic data, and electronic health records, to enhance diagnostic precision, accelerate interpretation, and support evidence-based clinical decisions (Fahim et al., 2025).</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applications in laboratory medicine can be classified according to methodological approaches and functional domains. Methodologically, AI encompasses machine learning (ML), deep learning (DL), and computer vision techniques, which enable automated pattern recognition, classification, and predictive modeling from large-scale laboratory datasets (Ivanova et al., 2024). Functionally, AI systems are applied across the total testing process, pre-analytical (e.g., sample management), analytical (e.g., image and signal interpretation), and post-analytical phases (e.g., result validation and clinical decision support) (Hou et al., 2024). Assessment of AI performance in diagnostics commonly relies on standardized metrics such as sensitivity, specificity, accuracy, and area under the receiver operating characteristic curve (AUC-ROC), as well as comparative evaluation against human experts (Erickson &amp; Kitamura, 2021). In response to the need for harmonized evaluation, the ITU-WHO Focus Group on Artificial Intelligence for Health has developed benchmarking frameworks to standardize the validation of AI-based diagnostic tools globally (International Telecommunication Union, ITU, WHO, &amp; WIPO, 2025).</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population level, the integration of AI into clinical laboratory systems holds significant implications for public health (Undru et al., 2022) . Laboratory diagnostics serve as the basis for disease surveillance, screening, and management, and improvements in diagnostic accuracy and efficiency can directly influence morbidity, mortality, and healthcare resource allocation (White et al., 2025) . AI-driven laboratory systems enable high-throughput data processing, early disease detection, and predictive analytics (Veseli, Mehrabanian, &amp; Ammar, 2025),  thereby enhancing population-level disease control and supporting precision medicine initiatives (Zhou et al., 2025; World Health Organization, 2024). Moreover, AI has demonstrated potential to reduce diagnostic errors, optimize workflow efficiency, and address workforce shortages, which are critical challenges in both high-resource and resource-limited settings (Gilligan, 2025).</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 adoption of AI in laboratory diagnostics is expanding rapidly, driven by increasing digitization of healthcare systems and the growing volume of diagnostic data (Saul, 2025) . International efforts, particularly by the World Health Organization, highlight the importance of ensuring equitable access, ethical governance, and standardized implementation of AI technologies to prevent widening health disparities (World Health Organization, 2024) . Despite promising advancements, global implementation remains uneven, with low- and middle-income countries facing barriers such as limited infrastructure, lack of validated datasets, and regulatory challenges.</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rapid growth of AI applications, several critical gaps persist in the current body of literature. Many studies are limited by small, non-representative datasets, lack of external validation, and potential biases in algorithm development, which restrict generalizability across diverse populations (Suleman et al., 2025). There is heterogeneity in reported performance metrics and insufficient evaluation of real-world clinical utility, workflow integration, and cost-effectiveness (Yu et al., 2022). Ethical concerns, including data privacy, transparency of “black-box” models, and algorithmic bias, remain inadequately addressed, further limiting clinical adoption (Lippi &amp; Plebani, 2025) . Importantly, few systematic syntheses comprehensively evaluate AI performance across the full spectrum of laboratory workflows while simultaneously considering diagnostic accuracy, operational efficiency, and clinical impact (Szumilas et al., 2024). Artificial intelligence has also been increasingly applied in biomarker analysis, improving the interpretation of complex laboratory data and supporting diagnostic decision-making (Seliverstov et al., 2024) </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light of these gaps, this study aims to systematically review the applications of artificial intelligence in clinical laboratory diagnostics, with a focus on three key domains: diagnostic accuracy, workflow efficiency, and clinical utility. Specifically, the objectives are to (1) evaluate the diagnostic performance of AI-based laboratory tools compared to conventional methods and human experts; (2) assess the impact of AI on laboratory workflow processes, including turnaround time and operational efficiency; and (3) synthesize evidence on the clinical utility and real-world applicability of AI in improving patient outcomes and healthcare delivery.</w:t>
      </w:r>
    </w:p>
    <w:p w:rsidR="00000000" w:rsidDel="00000000" w:rsidP="00000000" w:rsidRDefault="00000000" w:rsidRPr="00000000" w14:paraId="0000000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METHODOLOGY</w:t>
      </w:r>
    </w:p>
    <w:p w:rsidR="00000000" w:rsidDel="00000000" w:rsidP="00000000" w:rsidRDefault="00000000" w:rsidRPr="00000000" w14:paraId="00000010">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w8pctbxcvd1z" w:id="0"/>
      <w:bookmarkEnd w:id="0"/>
      <w:r w:rsidDel="00000000" w:rsidR="00000000" w:rsidRPr="00000000">
        <w:rPr>
          <w:rFonts w:ascii="Times New Roman" w:cs="Times New Roman" w:eastAsia="Times New Roman" w:hAnsi="Times New Roman"/>
          <w:b w:val="1"/>
          <w:bCs w:val="1"/>
          <w:sz w:val="24"/>
          <w:szCs w:val="24"/>
          <w:rtl w:val="0"/>
        </w:rPr>
        <w:t xml:space="preserve">Study Design</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systematic review was conducted in accordance with the Preferred Reporting Items for Systematic Reviews and Meta-Analyses (PRISMA) guidelines to ensure methodological rigor, transparency, and reproducibility. The review protocol was registered in the International Prospective Register of Systematic Reviews (PROSPERO) (Registration No.: </w:t>
      </w:r>
      <w:r w:rsidDel="00000000" w:rsidR="00000000" w:rsidRPr="00000000">
        <w:rPr>
          <w:rFonts w:ascii="Times New Roman" w:cs="Times New Roman" w:eastAsia="Times New Roman" w:hAnsi="Times New Roman"/>
          <w:color w:val="212529"/>
          <w:sz w:val="24"/>
          <w:szCs w:val="24"/>
          <w:shd w:fill="fafafa" w:val="clear"/>
          <w:rtl w:val="0"/>
        </w:rPr>
        <w:t xml:space="preserve">CRD420261379141</w:t>
      </w:r>
      <w:r w:rsidDel="00000000" w:rsidR="00000000" w:rsidRPr="00000000">
        <w:rPr>
          <w:rFonts w:ascii="Times New Roman" w:cs="Times New Roman" w:eastAsia="Times New Roman" w:hAnsi="Times New Roman"/>
          <w:sz w:val="24"/>
          <w:szCs w:val="24"/>
          <w:rtl w:val="0"/>
        </w:rPr>
        <w:t xml:space="preserve">), providing a publicly accessible record of the study methods and minimizing the risk of duplication and reporting bias. The study synthesized evidence on artificial intelligence (AI) applications in clinical laboratory diagnostics, focusing on diagnostic accuracy, workflow efficiency, and clinical utility, consistent with the predefined study objectives.</w:t>
      </w:r>
    </w:p>
    <w:p w:rsidR="00000000" w:rsidDel="00000000" w:rsidP="00000000" w:rsidRDefault="00000000" w:rsidRPr="00000000" w14:paraId="00000012">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uxabsw2qe7kx" w:id="1"/>
      <w:bookmarkEnd w:id="1"/>
      <w:r w:rsidDel="00000000" w:rsidR="00000000" w:rsidRPr="00000000">
        <w:rPr>
          <w:rFonts w:ascii="Times New Roman" w:cs="Times New Roman" w:eastAsia="Times New Roman" w:hAnsi="Times New Roman"/>
          <w:b w:val="1"/>
          <w:bCs w:val="1"/>
          <w:sz w:val="24"/>
          <w:szCs w:val="24"/>
          <w:rtl w:val="0"/>
        </w:rPr>
        <w:t xml:space="preserve">Eligibility Criteria</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were selected based on predefined eligibility criteria guided by the PICOS framework. </w:t>
      </w:r>
      <w:r w:rsidDel="00000000" w:rsidR="00000000" w:rsidRPr="00000000">
        <w:rPr>
          <w:rFonts w:ascii="Times New Roman" w:cs="Times New Roman" w:eastAsia="Times New Roman" w:hAnsi="Times New Roman"/>
          <w:sz w:val="24"/>
          <w:szCs w:val="24"/>
          <w:rtl w:val="0"/>
        </w:rPr>
        <w:t xml:space="preserve">The population of the studies selected included human subjects undergoing clinical laboratory diagnostic testing in any healthcare setting</w:t>
      </w:r>
      <w:r w:rsidDel="00000000" w:rsidR="00000000" w:rsidRPr="00000000">
        <w:rPr>
          <w:rFonts w:ascii="Times New Roman" w:cs="Times New Roman" w:eastAsia="Times New Roman" w:hAnsi="Times New Roman"/>
          <w:sz w:val="24"/>
          <w:szCs w:val="24"/>
          <w:rtl w:val="0"/>
        </w:rPr>
        <w:t xml:space="preserve">. The intervention involved AI techniques such as machine learning, deep learning, and related computational models applied within laboratory diagnostics. Comparators included conventional laboratory methods or expert human interpretation where applicable. Outcomes of interest comprised diagnostic accuracy measures (e.g., sensitivity, specificity, area under the curve), workflow efficiency indicators (e.g., turnaround time, automation), and clinical utility outcomes (e.g., impact on clinical decision-making or patient outcomes). Eligible study designs included diagnostic accuracy studies, observational studies, and clinical trials published within the last 13 years. Review articles, editorials, conference abstracts without full texts, animal studies, and studies lacking relevant outcomes were excluded.</w:t>
      </w:r>
    </w:p>
    <w:p w:rsidR="00000000" w:rsidDel="00000000" w:rsidP="00000000" w:rsidRDefault="00000000" w:rsidRPr="00000000" w14:paraId="00000014">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g3ubke21aa5g" w:id="2"/>
      <w:bookmarkEnd w:id="2"/>
      <w:r w:rsidDel="00000000" w:rsidR="00000000" w:rsidRPr="00000000">
        <w:rPr>
          <w:rFonts w:ascii="Times New Roman" w:cs="Times New Roman" w:eastAsia="Times New Roman" w:hAnsi="Times New Roman"/>
          <w:b w:val="1"/>
          <w:bCs w:val="1"/>
          <w:sz w:val="24"/>
          <w:szCs w:val="24"/>
          <w:rtl w:val="0"/>
        </w:rPr>
        <w:t xml:space="preserve">Information Sources and Search Strategy</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comprehensive literature search was conducted across multiple electronic databases, including PubMed/MEDLINE, Scopus, Web of Science, and the Cochrane Library. Additional sources, including grey literature and reference lists of included studies, were also screened to ensure comprehensive coverage. The search strategy incorporated a combination of controlled vocabulary (e.g., MeSH terms) and free-text keywords such as “artificial intelligence,” “machine learning,” “clinical laboratory,” “diagnostics,” “accuracy,” and “workflow efficiency.” Boolean operators (AND, OR) were used to refine the search strategy. The complete search strategy is provided in Appendix A.</w:t>
      </w:r>
    </w:p>
    <w:p w:rsidR="00000000" w:rsidDel="00000000" w:rsidP="00000000" w:rsidRDefault="00000000" w:rsidRPr="00000000" w14:paraId="00000016">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xcjrpkhh6qjs" w:id="3"/>
      <w:bookmarkEnd w:id="3"/>
      <w:r w:rsidDel="00000000" w:rsidR="00000000" w:rsidRPr="00000000">
        <w:rPr>
          <w:rtl w:val="0"/>
        </w:rPr>
      </w:r>
    </w:p>
    <w:p w:rsidR="00000000" w:rsidDel="00000000" w:rsidP="00000000" w:rsidRDefault="00000000" w:rsidRPr="00000000" w14:paraId="00000017">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x1hlstkngxtp" w:id="4"/>
      <w:bookmarkEnd w:id="4"/>
      <w:r w:rsidDel="00000000" w:rsidR="00000000" w:rsidRPr="00000000">
        <w:rPr>
          <w:rtl w:val="0"/>
        </w:rPr>
      </w:r>
    </w:p>
    <w:p w:rsidR="00000000" w:rsidDel="00000000" w:rsidP="00000000" w:rsidRDefault="00000000" w:rsidRPr="00000000" w14:paraId="00000018">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ukz8rrey9ncg" w:id="5"/>
      <w:bookmarkEnd w:id="5"/>
      <w:r w:rsidDel="00000000" w:rsidR="00000000" w:rsidRPr="00000000">
        <w:rPr>
          <w:rFonts w:ascii="Times New Roman" w:cs="Times New Roman" w:eastAsia="Times New Roman" w:hAnsi="Times New Roman"/>
          <w:b w:val="1"/>
          <w:bCs w:val="1"/>
          <w:sz w:val="24"/>
          <w:szCs w:val="24"/>
          <w:rtl w:val="0"/>
        </w:rPr>
        <w:t xml:space="preserve">Study Selection</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4895850" cy="3589289"/>
                <wp:effectExtent b="0" l="0" r="0" t="0"/>
                <wp:docPr id="1" name=""/>
                <a:graphic>
                  <a:graphicData uri="http://schemas.microsoft.com/office/word/2010/wordprocessingGroup">
                    <wpg:wgp>
                      <wpg:cNvGrpSpPr/>
                      <wpg:grpSpPr>
                        <a:xfrm>
                          <a:off x="560600" y="230950"/>
                          <a:ext cx="4895850" cy="3589289"/>
                          <a:chOff x="560600" y="230950"/>
                          <a:chExt cx="6205350" cy="4546675"/>
                        </a:xfrm>
                      </wpg:grpSpPr>
                      <wps:wsp>
                        <wps:cNvSpPr/>
                        <wps:cNvPr id="2" name="Shape 2"/>
                        <wps:spPr>
                          <a:xfrm rot="-5400000">
                            <a:off x="186050" y="615075"/>
                            <a:ext cx="1055400" cy="296700"/>
                          </a:xfrm>
                          <a:prstGeom prst="rect">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Identification</w:t>
                              </w:r>
                            </w:p>
                          </w:txbxContent>
                        </wps:txbx>
                        <wps:bodyPr anchorCtr="0" anchor="ctr" bIns="91425" lIns="91425" spcFirstLastPara="1" rIns="91425" wrap="square" tIns="91425">
                          <a:noAutofit/>
                        </wps:bodyPr>
                      </wps:wsp>
                      <wps:wsp>
                        <wps:cNvSpPr/>
                        <wps:cNvPr id="3" name="Shape 3"/>
                        <wps:spPr>
                          <a:xfrm rot="-5400000">
                            <a:off x="186050" y="1775650"/>
                            <a:ext cx="1055400" cy="296700"/>
                          </a:xfrm>
                          <a:prstGeom prst="rect">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Screening</w:t>
                              </w:r>
                            </w:p>
                          </w:txbxContent>
                        </wps:txbx>
                        <wps:bodyPr anchorCtr="0" anchor="ctr" bIns="91425" lIns="91425" spcFirstLastPara="1" rIns="91425" wrap="square" tIns="91425">
                          <a:noAutofit/>
                        </wps:bodyPr>
                      </wps:wsp>
                      <wps:wsp>
                        <wps:cNvSpPr/>
                        <wps:cNvPr id="4" name="Shape 4"/>
                        <wps:spPr>
                          <a:xfrm rot="-5400000">
                            <a:off x="186025" y="4096800"/>
                            <a:ext cx="1055400" cy="296700"/>
                          </a:xfrm>
                          <a:prstGeom prst="rect">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Included</w:t>
                              </w:r>
                            </w:p>
                          </w:txbxContent>
                        </wps:txbx>
                        <wps:bodyPr anchorCtr="0" anchor="ctr" bIns="91425" lIns="91425" spcFirstLastPara="1" rIns="91425" wrap="square" tIns="91425">
                          <a:noAutofit/>
                        </wps:bodyPr>
                      </wps:wsp>
                      <wps:wsp>
                        <wps:cNvSpPr/>
                        <wps:cNvPr id="5" name="Shape 5"/>
                        <wps:spPr>
                          <a:xfrm rot="-5400000">
                            <a:off x="186025" y="2936225"/>
                            <a:ext cx="1055400" cy="296700"/>
                          </a:xfrm>
                          <a:prstGeom prst="rect">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Eligibility</w:t>
                              </w:r>
                            </w:p>
                          </w:txbxContent>
                        </wps:txbx>
                        <wps:bodyPr anchorCtr="0" anchor="ctr" bIns="91425" lIns="91425" spcFirstLastPara="1" rIns="91425" wrap="square" tIns="91425">
                          <a:noAutofit/>
                        </wps:bodyPr>
                      </wps:wsp>
                      <wps:wsp>
                        <wps:cNvSpPr/>
                        <wps:cNvPr id="6" name="Shape 6"/>
                        <wps:spPr>
                          <a:xfrm>
                            <a:off x="1068125" y="235725"/>
                            <a:ext cx="1909800" cy="542100"/>
                          </a:xfrm>
                          <a:prstGeom prst="rect">
                            <a:avLst/>
                          </a:prstGeom>
                          <a:solidFill>
                            <a:srgbClr val="FFF2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Records identified through database searching (n = 420)</w:t>
                              </w:r>
                              <w:r w:rsidDel="00000000" w:rsidR="00000000" w:rsidRPr="00000000">
                                <w:rPr>
                                  <w:rFonts w:ascii="Arial" w:cs="Arial" w:eastAsia="Arial" w:hAnsi="Arial"/>
                                  <w:b w:val="0"/>
                                  <w:i w:val="0"/>
                                  <w:smallCaps w:val="0"/>
                                  <w:strike w:val="0"/>
                                  <w:color w:val="000000"/>
                                  <w:sz w:val="18"/>
                                  <w:vertAlign w:val="baseline"/>
                                </w:rPr>
                                <w:t xml:space="preserve"> </w:t>
                              </w:r>
                            </w:p>
                          </w:txbxContent>
                        </wps:txbx>
                        <wps:bodyPr anchorCtr="0" anchor="ctr" bIns="91425" lIns="91425" spcFirstLastPara="1" rIns="91425" wrap="square" tIns="91425">
                          <a:noAutofit/>
                        </wps:bodyPr>
                      </wps:wsp>
                      <wps:wsp>
                        <wps:cNvSpPr/>
                        <wps:cNvPr id="7" name="Shape 7"/>
                        <wps:spPr>
                          <a:xfrm>
                            <a:off x="3488525" y="235725"/>
                            <a:ext cx="2498400" cy="542100"/>
                          </a:xfrm>
                          <a:prstGeom prst="rect">
                            <a:avLst/>
                          </a:prstGeom>
                          <a:solidFill>
                            <a:srgbClr val="FFF2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Additional records identified through other sources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(reference lists, grey literature) (n = 30) </w:t>
                              </w:r>
                            </w:p>
                          </w:txbxContent>
                        </wps:txbx>
                        <wps:bodyPr anchorCtr="0" anchor="ctr" bIns="91425" lIns="91425" spcFirstLastPara="1" rIns="91425" wrap="square" tIns="91425">
                          <a:noAutofit/>
                        </wps:bodyPr>
                      </wps:wsp>
                      <wps:wsp>
                        <wps:cNvSpPr/>
                        <wps:cNvPr id="8" name="Shape 8"/>
                        <wps:spPr>
                          <a:xfrm>
                            <a:off x="2048075" y="1103925"/>
                            <a:ext cx="2428200" cy="458700"/>
                          </a:xfrm>
                          <a:prstGeom prst="rect">
                            <a:avLst/>
                          </a:prstGeom>
                          <a:solidFill>
                            <a:srgbClr val="FFF2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Records after duplicates removed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(Total = 450 – duplicates) (n = 360) </w:t>
                              </w:r>
                            </w:p>
                          </w:txbxContent>
                        </wps:txbx>
                        <wps:bodyPr anchorCtr="0" anchor="ctr" bIns="91425" lIns="91425" spcFirstLastPara="1" rIns="91425" wrap="square" tIns="91425">
                          <a:noAutofit/>
                        </wps:bodyPr>
                      </wps:wsp>
                      <wps:wsp>
                        <wps:cNvSpPr/>
                        <wps:cNvPr id="9" name="Shape 9"/>
                        <wps:spPr>
                          <a:xfrm>
                            <a:off x="1068125" y="1905925"/>
                            <a:ext cx="2547600" cy="458700"/>
                          </a:xfrm>
                          <a:prstGeom prst="rect">
                            <a:avLst/>
                          </a:prstGeom>
                          <a:solidFill>
                            <a:srgbClr val="FFF2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Records screened (title/abstract) (n = 360)</w:t>
                              </w:r>
                              <w:r w:rsidDel="00000000" w:rsidR="00000000" w:rsidRPr="00000000">
                                <w:rPr>
                                  <w:rFonts w:ascii="Arial" w:cs="Arial" w:eastAsia="Arial" w:hAnsi="Arial"/>
                                  <w:b w:val="0"/>
                                  <w:i w:val="0"/>
                                  <w:smallCaps w:val="0"/>
                                  <w:strike w:val="0"/>
                                  <w:color w:val="000000"/>
                                  <w:sz w:val="18"/>
                                  <w:vertAlign w:val="baseline"/>
                                </w:rPr>
                                <w:t xml:space="preserve"> </w:t>
                              </w:r>
                            </w:p>
                          </w:txbxContent>
                        </wps:txbx>
                        <wps:bodyPr anchorCtr="0" anchor="ctr" bIns="91425" lIns="91425" spcFirstLastPara="1" rIns="91425" wrap="square" tIns="91425">
                          <a:noAutofit/>
                        </wps:bodyPr>
                      </wps:wsp>
                      <wps:wsp>
                        <wps:cNvSpPr/>
                        <wps:cNvPr id="10" name="Shape 10"/>
                        <wps:spPr>
                          <a:xfrm>
                            <a:off x="4065125" y="1888725"/>
                            <a:ext cx="2498400" cy="542100"/>
                          </a:xfrm>
                          <a:prstGeom prst="rect">
                            <a:avLst/>
                          </a:prstGeom>
                          <a:solidFill>
                            <a:srgbClr val="FFF2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Records excluded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(irrelevant topic, not AI, not laboratory-based, reviews, etc.) (n = 280) </w:t>
                              </w:r>
                            </w:p>
                          </w:txbxContent>
                        </wps:txbx>
                        <wps:bodyPr anchorCtr="0" anchor="ctr" bIns="91425" lIns="91425" spcFirstLastPara="1" rIns="91425" wrap="square" tIns="91425">
                          <a:noAutofit/>
                        </wps:bodyPr>
                      </wps:wsp>
                      <wps:wsp>
                        <wps:cNvSpPr/>
                        <wps:cNvPr id="11" name="Shape 11"/>
                        <wps:spPr>
                          <a:xfrm>
                            <a:off x="1061525" y="2654725"/>
                            <a:ext cx="2819100" cy="611100"/>
                          </a:xfrm>
                          <a:prstGeom prst="rect">
                            <a:avLst/>
                          </a:prstGeom>
                          <a:solidFill>
                            <a:srgbClr val="FFF2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Full-text reports assessed for eligibility (n = 80)</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0"/>
                                  <w:smallCaps w:val="0"/>
                                  <w:strike w:val="0"/>
                                  <w:color w:val="000000"/>
                                  <w:sz w:val="18"/>
                                  <w:vertAlign w:val="baseline"/>
                                </w:rPr>
                                <w:br w:type="textWrapping"/>
                              </w:r>
                              <w:r w:rsidDel="00000000" w:rsidR="00000000" w:rsidRPr="00000000">
                                <w:rPr>
                                  <w:rFonts w:ascii="Arial" w:cs="Arial" w:eastAsia="Arial" w:hAnsi="Arial"/>
                                  <w:b w:val="1"/>
                                  <w:i w:val="0"/>
                                  <w:smallCaps w:val="0"/>
                                  <w:strike w:val="0"/>
                                  <w:color w:val="000000"/>
                                  <w:sz w:val="18"/>
                                  <w:vertAlign w:val="baseline"/>
                                </w:rPr>
                                <w:t xml:space="preserve">Full-text reports excluded, with reasons (n = 15)</w:t>
                              </w:r>
                              <w:r w:rsidDel="00000000" w:rsidR="00000000" w:rsidRPr="00000000">
                                <w:rPr>
                                  <w:rFonts w:ascii="Arial" w:cs="Arial" w:eastAsia="Arial" w:hAnsi="Arial"/>
                                  <w:b w:val="0"/>
                                  <w:i w:val="0"/>
                                  <w:smallCaps w:val="0"/>
                                  <w:strike w:val="0"/>
                                  <w:color w:val="000000"/>
                                  <w:sz w:val="18"/>
                                  <w:vertAlign w:val="baseline"/>
                                </w:rPr>
                                <w:t xml:space="preserve"> </w:t>
                              </w:r>
                            </w:p>
                          </w:txbxContent>
                        </wps:txbx>
                        <wps:bodyPr anchorCtr="0" anchor="ctr" bIns="91425" lIns="91425" spcFirstLastPara="1" rIns="91425" wrap="square" tIns="91425">
                          <a:noAutofit/>
                        </wps:bodyPr>
                      </wps:wsp>
                      <wps:wsp>
                        <wps:cNvSpPr/>
                        <wps:cNvPr id="12" name="Shape 12"/>
                        <wps:spPr>
                          <a:xfrm>
                            <a:off x="1033025" y="3688525"/>
                            <a:ext cx="2498400" cy="542100"/>
                          </a:xfrm>
                          <a:prstGeom prst="rect">
                            <a:avLst/>
                          </a:prstGeom>
                          <a:solidFill>
                            <a:srgbClr val="FFF2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Studies included in the synthesis (n = 65)</w:t>
                              </w:r>
                              <w:r w:rsidDel="00000000" w:rsidR="00000000" w:rsidRPr="00000000">
                                <w:rPr>
                                  <w:rFonts w:ascii="Arial" w:cs="Arial" w:eastAsia="Arial" w:hAnsi="Arial"/>
                                  <w:b w:val="0"/>
                                  <w:i w:val="0"/>
                                  <w:smallCaps w:val="0"/>
                                  <w:strike w:val="0"/>
                                  <w:color w:val="000000"/>
                                  <w:sz w:val="18"/>
                                  <w:vertAlign w:val="baseline"/>
                                </w:rPr>
                                <w:t xml:space="preserve"> </w:t>
                              </w:r>
                            </w:p>
                          </w:txbxContent>
                        </wps:txbx>
                        <wps:bodyPr anchorCtr="0" anchor="ctr" bIns="91425" lIns="91425" spcFirstLastPara="1" rIns="91425" wrap="square" tIns="91425">
                          <a:noAutofit/>
                        </wps:bodyPr>
                      </wps:wsp>
                      <wps:wsp>
                        <wps:cNvSpPr/>
                        <wps:cNvPr id="13" name="Shape 13"/>
                        <wps:spPr>
                          <a:xfrm>
                            <a:off x="2588600" y="777825"/>
                            <a:ext cx="102300" cy="326100"/>
                          </a:xfrm>
                          <a:prstGeom prst="downArrow">
                            <a:avLst>
                              <a:gd fmla="val 50000" name="adj1"/>
                              <a:gd fmla="val 50000" name="adj2"/>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4" name="Shape 14"/>
                        <wps:spPr>
                          <a:xfrm>
                            <a:off x="3826125" y="777813"/>
                            <a:ext cx="102300" cy="326100"/>
                          </a:xfrm>
                          <a:prstGeom prst="downArrow">
                            <a:avLst>
                              <a:gd fmla="val 50000" name="adj1"/>
                              <a:gd fmla="val 50000" name="adj2"/>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5" name="Shape 15"/>
                        <wps:spPr>
                          <a:xfrm>
                            <a:off x="2588600" y="1571213"/>
                            <a:ext cx="102300" cy="326100"/>
                          </a:xfrm>
                          <a:prstGeom prst="downArrow">
                            <a:avLst>
                              <a:gd fmla="val 50000" name="adj1"/>
                              <a:gd fmla="val 50000" name="adj2"/>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6" name="Shape 16"/>
                        <wps:spPr>
                          <a:xfrm>
                            <a:off x="2588600" y="2364625"/>
                            <a:ext cx="102300" cy="273000"/>
                          </a:xfrm>
                          <a:prstGeom prst="downArrow">
                            <a:avLst>
                              <a:gd fmla="val 50000" name="adj1"/>
                              <a:gd fmla="val 50000" name="adj2"/>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7" name="Shape 17"/>
                        <wps:spPr>
                          <a:xfrm>
                            <a:off x="2588600" y="3282925"/>
                            <a:ext cx="102300" cy="388500"/>
                          </a:xfrm>
                          <a:prstGeom prst="downArrow">
                            <a:avLst>
                              <a:gd fmla="val 50000" name="adj1"/>
                              <a:gd fmla="val 50000" name="adj2"/>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8" name="Shape 18"/>
                        <wps:spPr>
                          <a:xfrm>
                            <a:off x="4080075" y="2556875"/>
                            <a:ext cx="2681100" cy="1282500"/>
                          </a:xfrm>
                          <a:prstGeom prst="rect">
                            <a:avLst/>
                          </a:prstGeom>
                          <a:solidFill>
                            <a:srgbClr val="FFF2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br w:type="textWrapping"/>
                              </w:r>
                              <w:r w:rsidDel="00000000" w:rsidR="00000000" w:rsidRPr="00000000">
                                <w:rPr>
                                  <w:rFonts w:ascii="Arial" w:cs="Arial" w:eastAsia="Arial" w:hAnsi="Arial"/>
                                  <w:b w:val="1"/>
                                  <w:i w:val="0"/>
                                  <w:smallCaps w:val="0"/>
                                  <w:strike w:val="0"/>
                                  <w:color w:val="000000"/>
                                  <w:sz w:val="18"/>
                                  <w:vertAlign w:val="baseline"/>
                                </w:rPr>
                                <w:t xml:space="preserve">Reasons for exclusion:</w:t>
                              </w:r>
                              <w:r w:rsidDel="00000000" w:rsidR="00000000" w:rsidRPr="00000000">
                                <w:rPr>
                                  <w:rFonts w:ascii="Arial" w:cs="Arial" w:eastAsia="Arial" w:hAnsi="Arial"/>
                                  <w:b w:val="1"/>
                                  <w:i w:val="0"/>
                                  <w:smallCaps w:val="0"/>
                                  <w:strike w:val="0"/>
                                  <w:color w:val="000000"/>
                                  <w:sz w:val="18"/>
                                  <w:vertAlign w:val="baseline"/>
                                </w:rPr>
                                <w:br w:type="textWrapping"/>
                              </w:r>
                              <w:r w:rsidDel="00000000" w:rsidR="00000000" w:rsidRPr="00000000">
                                <w:rPr>
                                  <w:rFonts w:ascii="Arial" w:cs="Arial" w:eastAsia="Arial" w:hAnsi="Arial"/>
                                  <w:b w:val="1"/>
                                  <w:i w:val="0"/>
                                  <w:smallCaps w:val="0"/>
                                  <w:strike w:val="0"/>
                                  <w:color w:val="000000"/>
                                  <w:sz w:val="18"/>
                                  <w:vertAlign w:val="baseline"/>
                                </w:rPr>
                                <w:t xml:space="preserve">Not focused on laboratory diagnostics (n = 5)</w:t>
                              </w:r>
                              <w:r w:rsidDel="00000000" w:rsidR="00000000" w:rsidRPr="00000000">
                                <w:rPr>
                                  <w:rFonts w:ascii="Arial" w:cs="Arial" w:eastAsia="Arial" w:hAnsi="Arial"/>
                                  <w:b w:val="1"/>
                                  <w:i w:val="0"/>
                                  <w:smallCaps w:val="0"/>
                                  <w:strike w:val="0"/>
                                  <w:color w:val="000000"/>
                                  <w:sz w:val="18"/>
                                  <w:vertAlign w:val="baseline"/>
                                </w:rPr>
                                <w:br w:type="textWrapping"/>
                              </w:r>
                              <w:r w:rsidDel="00000000" w:rsidR="00000000" w:rsidRPr="00000000">
                                <w:rPr>
                                  <w:rFonts w:ascii="Arial" w:cs="Arial" w:eastAsia="Arial" w:hAnsi="Arial"/>
                                  <w:b w:val="1"/>
                                  <w:i w:val="0"/>
                                  <w:smallCaps w:val="0"/>
                                  <w:strike w:val="0"/>
                                  <w:color w:val="000000"/>
                                  <w:sz w:val="18"/>
                                  <w:vertAlign w:val="baseline"/>
                                </w:rPr>
                                <w:t xml:space="preserve">Insufficient outcome data (n = 4)</w:t>
                              </w:r>
                              <w:r w:rsidDel="00000000" w:rsidR="00000000" w:rsidRPr="00000000">
                                <w:rPr>
                                  <w:rFonts w:ascii="Arial" w:cs="Arial" w:eastAsia="Arial" w:hAnsi="Arial"/>
                                  <w:b w:val="1"/>
                                  <w:i w:val="0"/>
                                  <w:smallCaps w:val="0"/>
                                  <w:strike w:val="0"/>
                                  <w:color w:val="000000"/>
                                  <w:sz w:val="18"/>
                                  <w:vertAlign w:val="baseline"/>
                                </w:rPr>
                                <w:br w:type="textWrapping"/>
                              </w:r>
                              <w:r w:rsidDel="00000000" w:rsidR="00000000" w:rsidRPr="00000000">
                                <w:rPr>
                                  <w:rFonts w:ascii="Arial" w:cs="Arial" w:eastAsia="Arial" w:hAnsi="Arial"/>
                                  <w:b w:val="1"/>
                                  <w:i w:val="0"/>
                                  <w:smallCaps w:val="0"/>
                                  <w:strike w:val="0"/>
                                  <w:color w:val="000000"/>
                                  <w:sz w:val="18"/>
                                  <w:vertAlign w:val="baseline"/>
                                </w:rPr>
                                <w:t xml:space="preserve">Non-AI or unclear methodology (n = 3)</w:t>
                              </w:r>
                              <w:r w:rsidDel="00000000" w:rsidR="00000000" w:rsidRPr="00000000">
                                <w:rPr>
                                  <w:rFonts w:ascii="Arial" w:cs="Arial" w:eastAsia="Arial" w:hAnsi="Arial"/>
                                  <w:b w:val="1"/>
                                  <w:i w:val="0"/>
                                  <w:smallCaps w:val="0"/>
                                  <w:strike w:val="0"/>
                                  <w:color w:val="000000"/>
                                  <w:sz w:val="18"/>
                                  <w:vertAlign w:val="baseline"/>
                                </w:rPr>
                                <w:br w:type="textWrapping"/>
                              </w:r>
                              <w:r w:rsidDel="00000000" w:rsidR="00000000" w:rsidRPr="00000000">
                                <w:rPr>
                                  <w:rFonts w:ascii="Arial" w:cs="Arial" w:eastAsia="Arial" w:hAnsi="Arial"/>
                                  <w:b w:val="1"/>
                                  <w:i w:val="0"/>
                                  <w:smallCaps w:val="0"/>
                                  <w:strike w:val="0"/>
                                  <w:color w:val="000000"/>
                                  <w:sz w:val="18"/>
                                  <w:vertAlign w:val="baseline"/>
                                </w:rPr>
                                <w:t xml:space="preserve">Duplicate/overlapping datasets (n = 2)</w:t>
                              </w:r>
                              <w:r w:rsidDel="00000000" w:rsidR="00000000" w:rsidRPr="00000000">
                                <w:rPr>
                                  <w:rFonts w:ascii="Arial" w:cs="Arial" w:eastAsia="Arial" w:hAnsi="Arial"/>
                                  <w:b w:val="1"/>
                                  <w:i w:val="0"/>
                                  <w:smallCaps w:val="0"/>
                                  <w:strike w:val="0"/>
                                  <w:color w:val="000000"/>
                                  <w:sz w:val="18"/>
                                  <w:vertAlign w:val="baseline"/>
                                </w:rPr>
                                <w:br w:type="textWrapping"/>
                              </w:r>
                              <w:r w:rsidDel="00000000" w:rsidR="00000000" w:rsidRPr="00000000">
                                <w:rPr>
                                  <w:rFonts w:ascii="Arial" w:cs="Arial" w:eastAsia="Arial" w:hAnsi="Arial"/>
                                  <w:b w:val="1"/>
                                  <w:i w:val="0"/>
                                  <w:smallCaps w:val="0"/>
                                  <w:strike w:val="0"/>
                                  <w:color w:val="000000"/>
                                  <w:sz w:val="18"/>
                                  <w:vertAlign w:val="baseline"/>
                                </w:rPr>
                                <w:t xml:space="preserve">Conference abstract only / no full text (n = 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txbxContent>
                        </wps:txbx>
                        <wps:bodyPr anchorCtr="0" anchor="ctr" bIns="91425" lIns="91425" spcFirstLastPara="1" rIns="91425" wrap="square" tIns="91425">
                          <a:noAutofit/>
                        </wps:bodyPr>
                      </wps:wsp>
                      <wps:wsp>
                        <wps:cNvSpPr/>
                        <wps:cNvPr id="19" name="Shape 19"/>
                        <wps:spPr>
                          <a:xfrm rot="-5400000">
                            <a:off x="3919925" y="3011078"/>
                            <a:ext cx="105900" cy="184500"/>
                          </a:xfrm>
                          <a:prstGeom prst="downArrow">
                            <a:avLst>
                              <a:gd fmla="val 50000" name="adj1"/>
                              <a:gd fmla="val 50000" name="adj2"/>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0" name="Shape 20"/>
                        <wps:spPr>
                          <a:xfrm rot="-5400000">
                            <a:off x="3794675" y="1908425"/>
                            <a:ext cx="93000" cy="450900"/>
                          </a:xfrm>
                          <a:prstGeom prst="downArrow">
                            <a:avLst>
                              <a:gd fmla="val 50000" name="adj1"/>
                              <a:gd fmla="val 50000" name="adj2"/>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895850" cy="3589289"/>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895850" cy="358928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1. PRISMA Flow Diagram of Study Selection Process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retrieved records were imported into reference management software, and duplicate entries were removed. A total of 420 records were identified through database searching, with an additional 30 records obtained from other sources, yielding 450 records overall. After duplicate removal, 360 unique records remained and were screened based on titles and abstracts by two independent reviewers. Of these, 280 records were excluded for not meeting the inclusion criteria. The full texts of 80 potentially eligible studies were then assessed. Following full-text review, 15 studies were excluded for specific reasons, including lack of focus on laboratory diagnostics (n = 5), insufficient outcome data (n = 4), non-AI or unclear methodology (n = 3), duplicate or overlapping datasets (n = 2), and absence of full-text availability (n = 1). Ultimately, 65 studies met the inclusion criteria and were included in the final synthesis. Any disagreements between reviewers were resolved through discussion or consultation with a third reviewer. The study selection process was documented using a PRISMA flow diagram.</w:t>
      </w:r>
    </w:p>
    <w:p w:rsidR="00000000" w:rsidDel="00000000" w:rsidP="00000000" w:rsidRDefault="00000000" w:rsidRPr="00000000" w14:paraId="0000001C">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boi97o5hpa0a" w:id="6"/>
      <w:bookmarkEnd w:id="6"/>
      <w:r w:rsidDel="00000000" w:rsidR="00000000" w:rsidRPr="00000000">
        <w:rPr>
          <w:rFonts w:ascii="Times New Roman" w:cs="Times New Roman" w:eastAsia="Times New Roman" w:hAnsi="Times New Roman"/>
          <w:b w:val="1"/>
          <w:bCs w:val="1"/>
          <w:sz w:val="24"/>
          <w:szCs w:val="24"/>
          <w:rtl w:val="0"/>
        </w:rPr>
        <w:t xml:space="preserve">Data Extraction</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extracted using a standardized and pilot-tested data extraction form to ensure consistency and completeness. Extracted information included study characteristics (author, year, country, study design), population details, type of AI model used, and application domain within laboratory diagnostics. Additionally, key outcomes such as diagnostic performance metrics (e.g., sensitivity, specificity, AUC), workflow efficiency indicators (e.g., turnaround time), and measures of clinical utility were recorded. Data extraction was conducted independently by two reviewers, and discrepancies were resolved through consensus.</w:t>
      </w:r>
    </w:p>
    <w:p w:rsidR="00000000" w:rsidDel="00000000" w:rsidP="00000000" w:rsidRDefault="00000000" w:rsidRPr="00000000" w14:paraId="0000001E">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wnrcp4kbw98v" w:id="7"/>
      <w:bookmarkEnd w:id="7"/>
      <w:r w:rsidDel="00000000" w:rsidR="00000000" w:rsidRPr="00000000">
        <w:rPr>
          <w:rtl w:val="0"/>
        </w:rPr>
      </w:r>
    </w:p>
    <w:p w:rsidR="00000000" w:rsidDel="00000000" w:rsidP="00000000" w:rsidRDefault="00000000" w:rsidRPr="00000000" w14:paraId="0000001F">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ldzx36o8sae" w:id="8"/>
      <w:bookmarkEnd w:id="8"/>
      <w:r w:rsidDel="00000000" w:rsidR="00000000" w:rsidRPr="00000000">
        <w:rPr>
          <w:rFonts w:ascii="Times New Roman" w:cs="Times New Roman" w:eastAsia="Times New Roman" w:hAnsi="Times New Roman"/>
          <w:b w:val="1"/>
          <w:bCs w:val="1"/>
          <w:sz w:val="24"/>
          <w:szCs w:val="24"/>
          <w:rtl w:val="0"/>
        </w:rPr>
        <w:t xml:space="preserve">Quality Assessment</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methodological quality and risk of bias of included studies were assessed using validated appraisal tools appropriate to the study design. Diagnostic accuracy studies were evaluated using the QUADAS-2 tool, while observational studies were assessed using the Newcastle-Ottawa Scale. This process ensured the reliability and validity of the synthesized evidence. Disagreements during quality assessment were resolved through discussion among reviewers.</w:t>
      </w:r>
    </w:p>
    <w:p w:rsidR="00000000" w:rsidDel="00000000" w:rsidP="00000000" w:rsidRDefault="00000000" w:rsidRPr="00000000" w14:paraId="00000021">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jeuwjsoediva" w:id="9"/>
      <w:bookmarkEnd w:id="9"/>
      <w:r w:rsidDel="00000000" w:rsidR="00000000" w:rsidRPr="00000000">
        <w:rPr>
          <w:rFonts w:ascii="Times New Roman" w:cs="Times New Roman" w:eastAsia="Times New Roman" w:hAnsi="Times New Roman"/>
          <w:b w:val="1"/>
          <w:bCs w:val="1"/>
          <w:sz w:val="24"/>
          <w:szCs w:val="24"/>
          <w:rtl w:val="0"/>
        </w:rPr>
        <w:t xml:space="preserve">Data Synthesis</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narrative synthesis was conducted to summarize and integrate findings across studies, structured around the three main domains of interest: diagnostic accuracy, workflow efficiency, and clinical utility. Where sufficient clinical and methodological homogeneity existed, quantitative synthesis (meta-analysis) was considered. Statistical heterogeneity was assessed using the I² statistic, and subgroup analyses were explored based on AI methodology, laboratory domain, and population characteristics. This approach allowed for both qualitative and quantitative interpretation of findings.</w:t>
      </w:r>
    </w:p>
    <w:p w:rsidR="00000000" w:rsidDel="00000000" w:rsidP="00000000" w:rsidRDefault="00000000" w:rsidRPr="00000000" w14:paraId="00000023">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u2hs4335sne9" w:id="10"/>
      <w:bookmarkEnd w:id="10"/>
      <w:r w:rsidDel="00000000" w:rsidR="00000000" w:rsidRPr="00000000">
        <w:rPr>
          <w:rFonts w:ascii="Times New Roman" w:cs="Times New Roman" w:eastAsia="Times New Roman" w:hAnsi="Times New Roman"/>
          <w:b w:val="1"/>
          <w:bCs w:val="1"/>
          <w:sz w:val="24"/>
          <w:szCs w:val="24"/>
          <w:rtl w:val="0"/>
        </w:rPr>
        <w:t xml:space="preserve">Ethical Considerations</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study involved the analysis of previously published data, ethical approval was not required. However, the review adhered to principles of research integrity, transparency, and proper attribution of all sources. The conduct and reporting of this study followed established international standards for systematic reviews.</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bqh18lpi03z9" w:id="11"/>
      <w:bookmarkEnd w:id="11"/>
      <w:r w:rsidDel="00000000" w:rsidR="00000000" w:rsidRPr="00000000">
        <w:rPr>
          <w:rFonts w:ascii="Times New Roman" w:cs="Times New Roman" w:eastAsia="Times New Roman" w:hAnsi="Times New Roman"/>
          <w:b w:val="1"/>
          <w:bCs w:val="1"/>
          <w:sz w:val="24"/>
          <w:szCs w:val="24"/>
          <w:rtl w:val="0"/>
        </w:rPr>
        <w:t xml:space="preserve">RESULTS</w:t>
      </w:r>
    </w:p>
    <w:p w:rsidR="00000000" w:rsidDel="00000000" w:rsidP="00000000" w:rsidRDefault="00000000" w:rsidRPr="00000000" w14:paraId="00000027">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2qtrewfqhk4w" w:id="12"/>
      <w:bookmarkEnd w:id="12"/>
      <w:r w:rsidDel="00000000" w:rsidR="00000000" w:rsidRPr="00000000">
        <w:rPr>
          <w:rFonts w:ascii="Times New Roman" w:cs="Times New Roman" w:eastAsia="Times New Roman" w:hAnsi="Times New Roman"/>
          <w:b w:val="1"/>
          <w:bCs w:val="1"/>
          <w:color w:val="000000"/>
          <w:sz w:val="24"/>
          <w:szCs w:val="24"/>
          <w:rtl w:val="0"/>
        </w:rPr>
        <w:t xml:space="preserve">1. Diagnostic Accuracy of AI in Clinical Laboratory Diagnostics</w:t>
      </w:r>
    </w:p>
    <w:p w:rsidR="00000000" w:rsidDel="00000000" w:rsidP="00000000" w:rsidRDefault="00000000" w:rsidRPr="00000000" w14:paraId="00000028">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Across the included studies, artificial intelligence (AI) consistently demonstrated strong diagnostic performance across diverse clinical laboratory applications, often outperforming conventional methods or matching expert-level interpretation.</w:t>
      </w:r>
    </w:p>
    <w:p w:rsidR="00000000" w:rsidDel="00000000" w:rsidP="00000000" w:rsidRDefault="00000000" w:rsidRPr="00000000" w14:paraId="00000029">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Several studies reported high diagnostic accuracy using machine learning models applied to laboratory biomarkers. For instance, Szumilas et al. (2024) reported a diagnostic accuracy of 74.3% with 100% sensitivity for emergency cases using an AI-based clinical decision support system. Similarly, Gözgöz et al. (2025) achieved an AUC of 0.902 and accuracy of 0.830 for predicting oligoclonal band positivity, outperforming conventional IgG index methods. Ni et al. (2025) demonstrated improved diagnostic performance (AUC up to 0.86) when integrating laboratory biomarkers such as BRAFV600E mutation abundance with clinical data.</w:t>
      </w:r>
    </w:p>
    <w:p w:rsidR="00000000" w:rsidDel="00000000" w:rsidP="00000000" w:rsidRDefault="00000000" w:rsidRPr="00000000" w14:paraId="0000002A">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High-performing AI systems were also observed in genomics and molecular diagnostics, where Gröschel et al., (2021)  reported AUC values of 0.89–0.96 for predicting tuberculosis drug resistance using whole genome sequencing. Likewise, Liu et al. (2025) achieved accuracy of 97.49% in detecting tuberculosis using routine laboratory indicators.</w:t>
      </w:r>
    </w:p>
    <w:p w:rsidR="00000000" w:rsidDel="00000000" w:rsidP="00000000" w:rsidRDefault="00000000" w:rsidRPr="00000000" w14:paraId="0000002B">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In hematology and routine laboratory testing, Uçucu and Azik (2024) showed that artificial neural networks outperformed traditional indices in differentiating iron deficiency anemia from β-thalassemia, while Gunčar et al. (2018) demonstrated that machine learning achieved up to 88% accuracy when considering top differential diagnoses.</w:t>
      </w:r>
    </w:p>
    <w:p w:rsidR="00000000" w:rsidDel="00000000" w:rsidP="00000000" w:rsidRDefault="00000000" w:rsidRPr="00000000" w14:paraId="0000002C">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Gungsuh" w:cs="Gungsuh" w:eastAsia="Gungsuh" w:hAnsi="Gungsuh"/>
          <w:sz w:val="24"/>
          <w:szCs w:val="24"/>
          <w:rtl w:val="0"/>
        </w:rPr>
        <w:t xml:space="preserve">AI also showed strong performance in cancer diagnostics and biomarker discovery. Goebel et al. (2020) reported 95.6% accuracy for early-stage lung cancer detection using blood biomarkers, while Xie et al. (2021) achieved an AUC of 0.989 for early lung cancer detection using metabolomics. Chen et al. (2024) and Yangzi Chen et al. (2024) similarly reported excellent diagnostic performance (AUC ≈ 0.96) using metabolomic biomarkers for gastric cancer.</w:t>
      </w:r>
    </w:p>
    <w:p w:rsidR="00000000" w:rsidDel="00000000" w:rsidP="00000000" w:rsidRDefault="00000000" w:rsidRPr="00000000" w14:paraId="0000002D">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In infectious diseases, multiple studies confirmed high diagnostic accuracy using routine laboratory data. Similarly, machine learning models utilizing routine blood and biochemical markers have demonstrated high diagnostic accuracy in neurological disease classification (Ning et al., 2025).  Kukar et al. (2021) achieved AUC of 0.97 for COVID-19 detection, while Brinati et al. (2020) demonstrated 82% accuracy using blood biomarkers. Yang et al. (2020) further showed that ML models could identify false-negative COVID-19 cases, enhancing diagnostic sensitivity.</w:t>
      </w:r>
    </w:p>
    <w:p w:rsidR="00000000" w:rsidDel="00000000" w:rsidP="00000000" w:rsidRDefault="00000000" w:rsidRPr="00000000" w14:paraId="0000002E">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Advanced AI models integrating multi-modal data (laboratory, imaging, and clinical data) demonstrated superior performance. Zhen et al. (2020) achieved AUC values up to 0.998 for liver tumor classification, while Ardila et al. (2019) reported AUC of 0.944 for lung cancer detection using imaging data.</w:t>
      </w:r>
    </w:p>
    <w:p w:rsidR="00000000" w:rsidDel="00000000" w:rsidP="00000000" w:rsidRDefault="00000000" w:rsidRPr="00000000" w14:paraId="0000002F">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Overall, these findings demonstrate that AI models consistently achieve high diagnostic accuracy (AUC often &gt;0.85–0.95) across a wide range of diseases, particularly when integrating multi-analyte laboratory data.</w:t>
      </w:r>
    </w:p>
    <w:p w:rsidR="00000000" w:rsidDel="00000000" w:rsidP="00000000" w:rsidRDefault="00000000" w:rsidRPr="00000000" w14:paraId="00000030">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hwi0yuk3vdox" w:id="14"/>
      <w:bookmarkEnd w:id="14"/>
      <w:r w:rsidDel="00000000" w:rsidR="00000000" w:rsidRPr="00000000">
        <w:rPr>
          <w:rFonts w:ascii="Times New Roman" w:cs="Times New Roman" w:eastAsia="Times New Roman" w:hAnsi="Times New Roman"/>
          <w:b w:val="1"/>
          <w:bCs w:val="1"/>
          <w:color w:val="000000"/>
          <w:sz w:val="24"/>
          <w:szCs w:val="24"/>
          <w:rtl w:val="0"/>
        </w:rPr>
        <w:t xml:space="preserve">2. Workflow Efficiency in Laboratory Diagnostics</w:t>
      </w:r>
    </w:p>
    <w:p w:rsidR="00000000" w:rsidDel="00000000" w:rsidP="00000000" w:rsidRDefault="00000000" w:rsidRPr="00000000" w14:paraId="00000031">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AI integration significantly improved laboratory workflow efficiency by reducing turnaround time, automating interpretation, and optimizing resource utilization.</w:t>
      </w:r>
    </w:p>
    <w:p w:rsidR="00000000" w:rsidDel="00000000" w:rsidP="00000000" w:rsidRDefault="00000000" w:rsidRPr="00000000" w14:paraId="00000032">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Several studies demonstrated substantial reductions in diagnostic time and workload. Szumilas et al. (2024) reported a 41.6% reduction in unnecessary medical visits, while Seungmin Lee et al. (2024) reduced turnaround time from 10–15 minutes to 1–2 minutes using AI-assisted point-of-care testing.</w:t>
      </w:r>
    </w:p>
    <w:p w:rsidR="00000000" w:rsidDel="00000000" w:rsidP="00000000" w:rsidRDefault="00000000" w:rsidRPr="00000000" w14:paraId="00000033">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AI also enabled rapid and high-throughput diagnostics. Zhang et al. (2025) demonstrated leukemia detection within 5 minutes using minimal sample volume, and Villota et al. (2025) reduced COVID-19 diagnostic turnaround to under 2 hours without RNA extraction.</w:t>
      </w:r>
    </w:p>
    <w:p w:rsidR="00000000" w:rsidDel="00000000" w:rsidP="00000000" w:rsidRDefault="00000000" w:rsidRPr="00000000" w14:paraId="00000034">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Automation of laboratory data interpretation was a major efficiency gain. Luo et al. (2016) showed that machine learning can predict laboratory results (e.g., ferritin) using existing test data, reducing redundant testing. Similarly, Park et al. (2021) and Kraszewski et al. (2021) demonstrated that AI can integrate multi-analyte laboratory data to automate disease classification.</w:t>
      </w:r>
    </w:p>
    <w:p w:rsidR="00000000" w:rsidDel="00000000" w:rsidP="00000000" w:rsidRDefault="00000000" w:rsidRPr="00000000" w14:paraId="00000035">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AI also improved resource allocation and prioritization. Gözgöz et al. (2025) highlighted prioritization of high-probability samples, while Rawson et al. (2019) and Yang et al. (2020) demonstrated efficient triage using minimal laboratory variables.</w:t>
      </w:r>
    </w:p>
    <w:p w:rsidR="00000000" w:rsidDel="00000000" w:rsidP="00000000" w:rsidRDefault="00000000" w:rsidRPr="00000000" w14:paraId="00000036">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In large-scale systems, AI facilitated real-time clinical decision support. Chang et al. (2025) showed reduced time to critical interventions in emergency departments, while Meyer et al. (2018) demonstrated real-time prediction of ICU complications. Overall, artificial intelligence contributes to improved efficiency in laboratory practice by reducing turnaround time, enabling automated data interpretation, minimizing unnecessary testing, and enhancing overall laboratory throughput.</w:t>
      </w:r>
    </w:p>
    <w:p w:rsidR="00000000" w:rsidDel="00000000" w:rsidP="00000000" w:rsidRDefault="00000000" w:rsidRPr="00000000" w14:paraId="00000037">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upol0m1wld8g" w:id="15"/>
      <w:bookmarkEnd w:id="15"/>
      <w:r w:rsidDel="00000000" w:rsidR="00000000" w:rsidRPr="00000000">
        <w:rPr>
          <w:rFonts w:ascii="Times New Roman" w:cs="Times New Roman" w:eastAsia="Times New Roman" w:hAnsi="Times New Roman"/>
          <w:b w:val="1"/>
          <w:bCs w:val="1"/>
          <w:color w:val="000000"/>
          <w:sz w:val="24"/>
          <w:szCs w:val="24"/>
          <w:rtl w:val="0"/>
        </w:rPr>
        <w:t xml:space="preserve">3. Clinical Utility and Impact on Patient Care</w:t>
      </w:r>
    </w:p>
    <w:p w:rsidR="00000000" w:rsidDel="00000000" w:rsidP="00000000" w:rsidRDefault="00000000" w:rsidRPr="00000000" w14:paraId="00000038">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AI applications demonstrated significant clinical utility by improving decision-making, enabling early diagnosis, and supporting personalized medicine.</w:t>
      </w:r>
    </w:p>
    <w:p w:rsidR="00000000" w:rsidDel="00000000" w:rsidP="00000000" w:rsidRDefault="00000000" w:rsidRPr="00000000" w14:paraId="00000039">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Several studies highlighted early disease detection and risk stratification. Tomašev et al. (2019) predicted acute kidney injury up to 72 hours in advance, while Lev-Tzion et al. (2025) identified biomarker changes years before Crohn’s disease diagnosis. Yan et al. (2020) and Karthikeyan et al. (2021) showed early mortality prediction in COVID-19 patients using laboratory biomarkers.</w:t>
      </w:r>
    </w:p>
    <w:p w:rsidR="00000000" w:rsidDel="00000000" w:rsidP="00000000" w:rsidRDefault="00000000" w:rsidRPr="00000000" w14:paraId="0000003A">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AI also supported personalized and precision medicine. Ma et al. (2026) enabled individualized prognostic prediction in breast cancer, while Lewis and Kemp (2021) used multi-omics data to predict radiation resistance. Januzzi et al. (2025) demonstrated effective cardio-kidney risk stratification using biomarker-driven ML models.</w:t>
      </w:r>
    </w:p>
    <w:p w:rsidR="00000000" w:rsidDel="00000000" w:rsidP="00000000" w:rsidRDefault="00000000" w:rsidRPr="00000000" w14:paraId="0000003B">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In oncology, AI improved screening and treatment planning. Hornbrook et al. (2017) enabled early colorectal cancer detection up to 360 days before diagnosis, while Wang et al. (2019) predicted ovarian cancer recurrence using imaging biomarkers.</w:t>
      </w:r>
    </w:p>
    <w:p w:rsidR="00000000" w:rsidDel="00000000" w:rsidP="00000000" w:rsidRDefault="00000000" w:rsidRPr="00000000" w14:paraId="0000003C">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AI-based clinical decision support systems (CDSS) demonstrated strong real-world applicability. Rosen et al. (2025) showed reduced complications and improved outcomes following AI-guided colorectal cancer management, while Zmudzki et al. (2025) reported high clinician agreement (82.4%) with AI-generated treatment recommendations.</w:t>
      </w:r>
    </w:p>
    <w:p w:rsidR="00000000" w:rsidDel="00000000" w:rsidP="00000000" w:rsidRDefault="00000000" w:rsidRPr="00000000" w14:paraId="0000003D">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Additionally, AI enhanced non-invasive diagnostics, reducing reliance on invasive procedures. Cao et al. (2013) predicted liver cirrhosis without biopsy, and Kawakami et al. (2019) enabled ovarian cancer diagnosis using blood biomarkers.</w:t>
      </w:r>
    </w:p>
    <w:p w:rsidR="00000000" w:rsidDel="00000000" w:rsidP="00000000" w:rsidRDefault="00000000" w:rsidRPr="00000000" w14:paraId="0000003E">
      <w:pPr>
        <w:pStyle w:val="Heading2"/>
        <w:keepNext w:val="0"/>
        <w:keepLines w:val="0"/>
        <w:spacing w:after="240" w:before="240" w:lineRule="auto"/>
        <w:ind w:left="0" w:firstLine="0"/>
        <w:jc w:val="both"/>
        <w:rPr>
          <w:rFonts w:ascii="Times New Roman" w:cs="Times New Roman" w:eastAsia="Times New Roman" w:hAnsi="Times New Roman"/>
          <w:sz w:val="24"/>
          <w:szCs w:val="24"/>
        </w:rPr>
      </w:pPr>
      <w:bookmarkStart w:colFirst="0" w:colLast="0" w:name="_xdaqduopnvbo" w:id="16"/>
      <w:bookmarkEnd w:id="16"/>
      <w:r w:rsidDel="00000000" w:rsidR="00000000" w:rsidRPr="00000000">
        <w:rPr>
          <w:rFonts w:ascii="Times New Roman" w:cs="Times New Roman" w:eastAsia="Times New Roman" w:hAnsi="Times New Roman"/>
          <w:sz w:val="24"/>
          <w:szCs w:val="24"/>
          <w:rtl w:val="0"/>
        </w:rPr>
        <w:t xml:space="preserve">Despite these benefits, several studies have highlighted important limitations that affect clinical utility, including the lack of external validation, data heterogeneity and bias (Luu, 2025), limited generalizability across diverse populations, and ongoing regulatory and implementation challenges (Pinsky et al., 2024).</w:t>
      </w:r>
    </w:p>
    <w:p w:rsidR="00000000" w:rsidDel="00000000" w:rsidP="00000000" w:rsidRDefault="00000000" w:rsidRPr="00000000" w14:paraId="0000003F">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3i1rel4gl7sm" w:id="17"/>
      <w:bookmarkEnd w:id="17"/>
      <w:r w:rsidDel="00000000" w:rsidR="00000000" w:rsidRPr="00000000">
        <w:rPr>
          <w:rFonts w:ascii="Times New Roman" w:cs="Times New Roman" w:eastAsia="Times New Roman" w:hAnsi="Times New Roman"/>
          <w:b w:val="1"/>
          <w:bCs w:val="1"/>
          <w:color w:val="000000"/>
          <w:sz w:val="24"/>
          <w:szCs w:val="24"/>
          <w:rtl w:val="0"/>
        </w:rPr>
        <w:t xml:space="preserve">4. Evidence from Systematic Reviews and Meta-Analyses</w:t>
      </w:r>
    </w:p>
    <w:p w:rsidR="00000000" w:rsidDel="00000000" w:rsidP="00000000" w:rsidRDefault="00000000" w:rsidRPr="00000000" w14:paraId="00000040">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Systematic reviews consistently support the effectiveness of AI in laboratory diagnostics. Chang et al. (2021) reported AUC values up to 0.996 for Alzheimer’s disease diagnosis using AI-integrated biomarkers. Valentidenta and Pribadi (2025) demonstrated pooled sensitivity of 92% and specificity of 89% in cardiovascular diagnostics.</w:t>
      </w:r>
    </w:p>
    <w:p w:rsidR="00000000" w:rsidDel="00000000" w:rsidP="00000000" w:rsidRDefault="00000000" w:rsidRPr="00000000" w14:paraId="00000041">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musnwrnlfio5" w:id="13"/>
      <w:bookmarkEnd w:id="13"/>
      <w:r w:rsidDel="00000000" w:rsidR="00000000" w:rsidRPr="00000000">
        <w:rPr>
          <w:rFonts w:ascii="Times New Roman" w:cs="Times New Roman" w:eastAsia="Times New Roman" w:hAnsi="Times New Roman"/>
          <w:sz w:val="24"/>
          <w:szCs w:val="24"/>
          <w:rtl w:val="0"/>
        </w:rPr>
        <w:t xml:space="preserve">Other reviews (Ashraf et al., 2025; Xie et al., 2024; De Bruyne et al., 2021) emphasize that AI improves diagnostic accuracy, workflow efficiency, and clinical decision-making across laboratory workflows.</w:t>
      </w:r>
    </w:p>
    <w:p w:rsidR="00000000" w:rsidDel="00000000" w:rsidP="00000000" w:rsidRDefault="00000000" w:rsidRPr="00000000" w14:paraId="00000042">
      <w:pPr>
        <w:pStyle w:val="Heading2"/>
        <w:keepNext w:val="0"/>
        <w:keepLines w:val="0"/>
        <w:spacing w:after="240" w:before="240" w:lineRule="auto"/>
        <w:jc w:val="both"/>
        <w:rPr>
          <w:rFonts w:ascii="Times New Roman" w:cs="Times New Roman" w:eastAsia="Times New Roman" w:hAnsi="Times New Roman"/>
          <w:sz w:val="24"/>
          <w:szCs w:val="24"/>
        </w:rPr>
      </w:pPr>
      <w:bookmarkStart w:colFirst="0" w:colLast="0" w:name="_jt7xnpund6vo" w:id="18"/>
      <w:bookmarkEnd w:id="18"/>
      <w:r w:rsidDel="00000000" w:rsidR="00000000" w:rsidRPr="00000000">
        <w:rPr>
          <w:rFonts w:ascii="Times New Roman" w:cs="Times New Roman" w:eastAsia="Times New Roman" w:hAnsi="Times New Roman"/>
          <w:sz w:val="24"/>
          <w:szCs w:val="24"/>
          <w:rtl w:val="0"/>
        </w:rPr>
        <w:t xml:space="preserve">However, methodological concerns remain. Miller and Valdes (2025) and Moons et al. (2025) highlight the need for standardized validation frameworks, while Alballa and Al-Turaiki (2021) note issues with small datasets and lack of real-world implementation.</w:t>
      </w:r>
    </w:p>
    <w:p w:rsidR="00000000" w:rsidDel="00000000" w:rsidP="00000000" w:rsidRDefault="00000000" w:rsidRPr="00000000" w14:paraId="00000043">
      <w:pPr>
        <w:pStyle w:val="Heading1"/>
        <w:keepNext w:val="0"/>
        <w:keepLines w:val="0"/>
        <w:spacing w:before="480" w:lineRule="auto"/>
        <w:jc w:val="both"/>
        <w:rPr>
          <w:rFonts w:ascii="Times New Roman" w:cs="Times New Roman" w:eastAsia="Times New Roman" w:hAnsi="Times New Roman"/>
          <w:b w:val="1"/>
          <w:bCs w:val="1"/>
          <w:sz w:val="24"/>
          <w:szCs w:val="24"/>
        </w:rPr>
      </w:pPr>
      <w:bookmarkStart w:colFirst="0" w:colLast="0" w:name="_xxcmkb8y2q4o" w:id="19"/>
      <w:bookmarkEnd w:id="19"/>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jc w:val="both"/>
        <w:rPr>
          <w:rFonts w:ascii="Times New Roman" w:cs="Times New Roman" w:eastAsia="Times New Roman" w:hAnsi="Times New Roman"/>
          <w:b w:val="1"/>
          <w:bCs w:val="1"/>
          <w:sz w:val="24"/>
          <w:szCs w:val="24"/>
        </w:rPr>
      </w:pPr>
      <w:bookmarkStart w:colFirst="0" w:colLast="0" w:name="_bxyfdhmg3n6z" w:id="20"/>
      <w:bookmarkEnd w:id="20"/>
      <w:r w:rsidDel="00000000" w:rsidR="00000000" w:rsidRPr="00000000">
        <w:rPr>
          <w:rFonts w:ascii="Times New Roman" w:cs="Times New Roman" w:eastAsia="Times New Roman" w:hAnsi="Times New Roman"/>
          <w:b w:val="1"/>
          <w:bCs w:val="1"/>
          <w:sz w:val="24"/>
          <w:szCs w:val="24"/>
          <w:rtl w:val="0"/>
        </w:rPr>
        <w:t xml:space="preserve">DISCUSSION</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systematic review synthesized evidence on the application of artificial intelligence (AI) in clinical laboratory diagnostics, focusing on diagnostic accuracy, workflow efficiency, and clinical utility. Overall, the findings demonstrate that AI has significant potential to enhance laboratory medicine; however, variability in methodological quality, validation practices, and real-world implementation remains a major limitation.</w:t>
      </w:r>
    </w:p>
    <w:p w:rsidR="00000000" w:rsidDel="00000000" w:rsidP="00000000" w:rsidRDefault="00000000" w:rsidRPr="00000000" w14:paraId="00000048">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lum3rufqh65o" w:id="21"/>
      <w:bookmarkEnd w:id="21"/>
      <w:r w:rsidDel="00000000" w:rsidR="00000000" w:rsidRPr="00000000">
        <w:rPr>
          <w:rFonts w:ascii="Times New Roman" w:cs="Times New Roman" w:eastAsia="Times New Roman" w:hAnsi="Times New Roman"/>
          <w:b w:val="1"/>
          <w:bCs w:val="1"/>
          <w:sz w:val="24"/>
          <w:szCs w:val="24"/>
          <w:rtl w:val="0"/>
        </w:rPr>
        <w:t xml:space="preserve">1. Diagnostic Accuracy: High Performance with Context-Dependent Variability</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review show that AI models consistently achieve high diagnostic performance across diverse clinical applications. Several studies reported strong accuracy metrics, with many models achieving AUC values above 0.85 and, in some cases, exceeding 0.95. For instance, machine learning models demonstrated excellent diagnostic performance in tuberculosis detection (accuracy 97.49%) and lung cancer detection (AUC 0.989) (Liu et al., 2025; Xie et al., 2021) . Similarly, AI-assisted biomarker models for gastric cancer achieved AUC values of approximately 0.96, outperforming conventional tumor markers (Chen et al., 2024; Yangzi Chen et al., 2024) .</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observation is that integration of multi-analyte laboratory data enhances diagnostic performance. Studies combining laboratory biomarkers with clinical, genomic, or imaging data consistently outperformed single-modality approaches (Ni et al., 2025; Zhen et al., 2020) . This supports the concept that AI is particularly effective in identifying complex, multidimensional disease signatures.</w:t>
      </w:r>
    </w:p>
    <w:p w:rsidR="00000000" w:rsidDel="00000000" w:rsidP="00000000" w:rsidRDefault="00000000" w:rsidRPr="00000000" w14:paraId="0000004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diagnostic performance varied depending on study design and dataset characteristics. Studies using smaller datasets or single-center cohorts often reported lower or less reliable performance (Uçucu and Azik, 2024; Gunčar et al., 2018) . Furthermore, heterogeneity in reporting diagnostic metrics limited comparability across studies. Many studies also lacked external validation, raising concerns about overfitting and limited generalizability.</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when external validation was performed, model performance sometimes declined, suggesting sensitivity to differences in population characteristics and laboratory practices. This highlights a critical gap in current research: the need for robust, multicenter validation to ensure reproducibility and generalizability.</w:t>
      </w:r>
    </w:p>
    <w:p w:rsidR="00000000" w:rsidDel="00000000" w:rsidP="00000000" w:rsidRDefault="00000000" w:rsidRPr="00000000" w14:paraId="0000004D">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cazhnffq5ehr" w:id="22"/>
      <w:bookmarkEnd w:id="22"/>
      <w:r w:rsidDel="00000000" w:rsidR="00000000" w:rsidRPr="00000000">
        <w:rPr>
          <w:rFonts w:ascii="Times New Roman" w:cs="Times New Roman" w:eastAsia="Times New Roman" w:hAnsi="Times New Roman"/>
          <w:b w:val="1"/>
          <w:bCs w:val="1"/>
          <w:sz w:val="24"/>
          <w:szCs w:val="24"/>
          <w:rtl w:val="0"/>
        </w:rPr>
        <w:t xml:space="preserve">2. Workflow Efficiency: Automation and Optimization Across the Testing Process</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applications demonstrated substantial improvements in laboratory workflow efficiency, particularly in reducing turnaround time and automating data interpretation. Several studies reported significant reductions in diagnostic delays. For example, AI-assisted point-of-care testing reduced turnaround time from 10–15 minutes to 1–2 minutes (Seungmin Lee et al., 2024) , while other platforms enabled rapid disease detection within minutes using minimal sample volumes (Zhang et al., 2025) .</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also improved resource utilization and triage efficiency. The implementation of AI-based clinical decision systems reduced unnecessary medical visits by over 40% (Szumilas et al., 2024) and enabled prioritization of high-risk samples for confirmatory testing (Gözgöz et al., 2025) . Similarly, models using routine laboratory data were able to rapidly screen and triage patients in infectious disease settings, improving early detection and reducing diagnostic burden (Yang et al., 2020; Rawson et al., 2019) .</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AI facilitated automation of complex laboratory data interpretation, reducing reliance on manual analysis and minimizing human error (Luo et al., 2016; Park et al., 2021) . These capabilities are particularly valuable in high-throughput laboratories and resource-limited settings.</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benefits, integration into routine clinical workflows remains limited. Many AI systems are not yet fully embedded within laboratory information systems, and challenges such as interoperability, data standardization, and workflow disruption persist. Furthermore, the lack of model interpretability in some AI systems may reduce clinician trust and hinder adoption.</w:t>
      </w:r>
    </w:p>
    <w:p w:rsidR="00000000" w:rsidDel="00000000" w:rsidP="00000000" w:rsidRDefault="00000000" w:rsidRPr="00000000" w14:paraId="00000052">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szp7mndsyi3c" w:id="23"/>
      <w:bookmarkEnd w:id="23"/>
      <w:r w:rsidDel="00000000" w:rsidR="00000000" w:rsidRPr="00000000">
        <w:rPr>
          <w:rFonts w:ascii="Times New Roman" w:cs="Times New Roman" w:eastAsia="Times New Roman" w:hAnsi="Times New Roman"/>
          <w:b w:val="1"/>
          <w:bCs w:val="1"/>
          <w:sz w:val="24"/>
          <w:szCs w:val="24"/>
          <w:rtl w:val="0"/>
        </w:rPr>
        <w:t xml:space="preserve">3. Clinical Utility: Advancing Early Detection and Personalized Medicine</w:t>
      </w:r>
    </w:p>
    <w:p w:rsidR="00000000" w:rsidDel="00000000" w:rsidP="00000000" w:rsidRDefault="00000000" w:rsidRPr="00000000" w14:paraId="0000005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applications demonstrated significant clinical utility, particularly in early disease detection, prognostic prediction, and personalized treatment strategies. Several studies showed that AI models can detect disease earlier than conventional methods. For example, machine learning models predicted acute kidney injury up to 72 hours before onset (Tomašev et al., 2019) and identified biomarker changes years before Crohn’s disease diagnosis (Lev-Tzion et al., 2025) .</w:t>
      </w:r>
    </w:p>
    <w:p w:rsidR="00000000" w:rsidDel="00000000" w:rsidP="00000000" w:rsidRDefault="00000000" w:rsidRPr="00000000" w14:paraId="0000005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also enabled risk stratification and prognostic assessment, supporting clinical decision-making. Models integrating laboratory biomarkers successfully predicted mortality in COVID-19 patients with high accuracy (Yan et al., 2020; Karthikeyan et al., 2021) , while other studies demonstrated accurate prediction of adverse outcomes in cancer and chronic diseases (Ma et al., 2026; Januzzi et al., 2025) .</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oncology, AI improved screening and early detection. Blood-based models detected colorectal cancer months before clinical diagnosis (Hornbrook et al., 2017) , and imaging-integrated models enhanced cancer classification and recurrence prediction (Wang et al., 2019; Ardila et al., 2019) .</w:t>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AI also supports non-invasive diagnostic approaches, reducing the need for invasive procedures such as biopsies (Cao et al., 2013; Kawakami et al., 2019) . This has significant implications for patient safety and healthcare costs.</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despite promising clinical applications, relatively few studies evaluated real-world clinical outcomes following AI implementation. Only a limited number of studies demonstrated improved patient outcomes or reduced complications after integrating AI into clinical workflows (Rosen et al., 2025; Chang et al., 2025) . This indicates a gap between model development and actual clinical impact.</w:t>
      </w:r>
    </w:p>
    <w:p w:rsidR="00000000" w:rsidDel="00000000" w:rsidP="00000000" w:rsidRDefault="00000000" w:rsidRPr="00000000" w14:paraId="00000058">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x4rdsxgj4h7e" w:id="24"/>
      <w:bookmarkEnd w:id="24"/>
      <w:r w:rsidDel="00000000" w:rsidR="00000000" w:rsidRPr="00000000">
        <w:rPr>
          <w:rFonts w:ascii="Times New Roman" w:cs="Times New Roman" w:eastAsia="Times New Roman" w:hAnsi="Times New Roman"/>
          <w:b w:val="1"/>
          <w:bCs w:val="1"/>
          <w:sz w:val="24"/>
          <w:szCs w:val="24"/>
          <w:rtl w:val="0"/>
        </w:rPr>
        <w:t xml:space="preserve">4. Methodological Limitations and Risk of Bias</w:t>
      </w:r>
    </w:p>
    <w:p w:rsidR="00000000" w:rsidDel="00000000" w:rsidP="00000000" w:rsidRDefault="00000000" w:rsidRPr="00000000" w14:paraId="0000005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review identified several methodological limitations across the included studies. A majority of studies employed retrospective designs, which are prone to selection bias and may not reflect real-world clinical conditions (Brinati et al., 2020; Gadalla et al., 2019) . Additionally, small sample sizes and class imbalance were common, potentially leading to overestimation of model performance.</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also substantial heterogeneity in datasets, study populations, and evaluation metrics, limiting comparability across studies. Many studies lacked standardized validation procedures, and external validation was often absent or limited.</w:t>
      </w:r>
    </w:p>
    <w:p w:rsidR="00000000" w:rsidDel="00000000" w:rsidP="00000000" w:rsidRDefault="00000000" w:rsidRPr="00000000" w14:paraId="0000005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quality and bias represent additional concerns. Variability in laboratory measurements, population differences, and incomplete datasets may introduce bias into AI models, affecting generalizability and fairness (Luu, 2025) . These issues highlight the need for standardized data collection and validation frameworks.</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mho9kuwtgk7w" w:id="25"/>
      <w:bookmarkEnd w:id="25"/>
      <w:r w:rsidDel="00000000" w:rsidR="00000000" w:rsidRPr="00000000">
        <w:rPr>
          <w:rFonts w:ascii="Times New Roman" w:cs="Times New Roman" w:eastAsia="Times New Roman" w:hAnsi="Times New Roman"/>
          <w:b w:val="1"/>
          <w:bCs w:val="1"/>
          <w:sz w:val="24"/>
          <w:szCs w:val="24"/>
          <w:rtl w:val="0"/>
        </w:rPr>
        <w:t xml:space="preserve">5. Implications for Clinical Practice and Future Research</w:t>
      </w:r>
    </w:p>
    <w:p w:rsidR="00000000" w:rsidDel="00000000" w:rsidP="00000000" w:rsidRDefault="00000000" w:rsidRPr="00000000" w14:paraId="0000005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review suggest that AI has strong potential to transform clinical laboratory diagnostics. However, several key steps are necessary to translate this potential into routine practice.</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future studies should focus on prospective, multicenter validation to ensure generalizability across diverse populations. Second, standardized frameworks for evaluation and reporting, such as PROBAST+AI, should be adopted to improve methodological rigor (Moons et al., 2025) .</w:t>
      </w:r>
    </w:p>
    <w:p w:rsidR="00000000" w:rsidDel="00000000" w:rsidP="00000000" w:rsidRDefault="00000000" w:rsidRPr="00000000" w14:paraId="0000006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integration into clinical workflows must be prioritized, including interoperability with laboratory systems and improved model interpretability. Finally, future research should emphasize real-world clinical outcomes, cost-effectiveness, and health system impact, rather than focusing solely on diagnostic accuracy.</w:t>
      </w:r>
    </w:p>
    <w:p w:rsidR="00000000" w:rsidDel="00000000" w:rsidP="00000000" w:rsidRDefault="00000000" w:rsidRPr="00000000" w14:paraId="00000061">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zd77dn7tw0vk" w:id="26"/>
      <w:bookmarkEnd w:id="26"/>
      <w:r w:rsidDel="00000000" w:rsidR="00000000" w:rsidRPr="00000000">
        <w:rPr>
          <w:rFonts w:ascii="Times New Roman" w:cs="Times New Roman" w:eastAsia="Times New Roman" w:hAnsi="Times New Roman"/>
          <w:b w:val="1"/>
          <w:bCs w:val="1"/>
          <w:sz w:val="24"/>
          <w:szCs w:val="24"/>
          <w:rtl w:val="0"/>
        </w:rPr>
        <w:t xml:space="preserve">6. Strengths and Limitations of This Review</w:t>
      </w:r>
    </w:p>
    <w:p w:rsidR="00000000" w:rsidDel="00000000" w:rsidP="00000000" w:rsidRDefault="00000000" w:rsidRPr="00000000" w14:paraId="0000006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review provides a comprehensive synthesis of AI applications in clinical laboratory diagnostics, integrating evidence across diagnostic accuracy, workflow efficiency, and clinical utility. By including a wide range of study designs and clinical domains, it offers a broad perspective on current advancements.</w:t>
      </w:r>
    </w:p>
    <w:p w:rsidR="00000000" w:rsidDel="00000000" w:rsidP="00000000" w:rsidRDefault="00000000" w:rsidRPr="00000000" w14:paraId="0000006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limitations include heterogeneity among included studies, which limited quantitative synthesis, and potential publication bias favoring positive findings. Additionally, the rapidly evolving nature of AI means that newer developments may not be fully captured.</w:t>
      </w:r>
    </w:p>
    <w:p w:rsidR="00000000" w:rsidDel="00000000" w:rsidP="00000000" w:rsidRDefault="00000000" w:rsidRPr="00000000" w14:paraId="00000064">
      <w:pPr>
        <w:pStyle w:val="Heading1"/>
        <w:keepNext w:val="0"/>
        <w:keepLines w:val="0"/>
        <w:spacing w:before="480" w:lineRule="auto"/>
        <w:jc w:val="both"/>
        <w:rPr>
          <w:rFonts w:ascii="Times New Roman" w:cs="Times New Roman" w:eastAsia="Times New Roman" w:hAnsi="Times New Roman"/>
          <w:b w:val="1"/>
          <w:bCs w:val="1"/>
          <w:sz w:val="24"/>
          <w:szCs w:val="24"/>
        </w:rPr>
      </w:pPr>
      <w:bookmarkStart w:colFirst="0" w:colLast="0" w:name="_grnr6xjejfw0" w:id="27"/>
      <w:bookmarkEnd w:id="27"/>
      <w:r w:rsidDel="00000000" w:rsidR="00000000" w:rsidRPr="00000000">
        <w:rPr>
          <w:rtl w:val="0"/>
        </w:rPr>
      </w:r>
    </w:p>
    <w:p w:rsidR="00000000" w:rsidDel="00000000" w:rsidP="00000000" w:rsidRDefault="00000000" w:rsidRPr="00000000" w14:paraId="00000065">
      <w:pPr>
        <w:pStyle w:val="Heading1"/>
        <w:keepNext w:val="0"/>
        <w:keepLines w:val="0"/>
        <w:spacing w:before="480" w:lineRule="auto"/>
        <w:jc w:val="both"/>
        <w:rPr>
          <w:rFonts w:ascii="Times New Roman" w:cs="Times New Roman" w:eastAsia="Times New Roman" w:hAnsi="Times New Roman"/>
          <w:b w:val="1"/>
          <w:bCs w:val="1"/>
          <w:sz w:val="24"/>
          <w:szCs w:val="24"/>
        </w:rPr>
      </w:pPr>
      <w:bookmarkStart w:colFirst="0" w:colLast="0" w:name="_wiixyqsfoc2p" w:id="28"/>
      <w:bookmarkEnd w:id="28"/>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6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systematic review demonstrates that artificial intelligence (AI) has significant potential to transform clinical laboratory diagnostics by enhancing diagnostic accuracy, improving workflow efficiency, and strengthening clinical decision-making. Across a wide range of clinical applications, AI models consistently achieved high diagnostic performance, particularly when integrating multi-analyte laboratory data with clinical, genomic, or imaging information. These findings highlight the ability of AI to uncover complex disease patterns and improve diagnostic precision beyond conventional methods.</w:t>
      </w:r>
    </w:p>
    <w:p w:rsidR="00000000" w:rsidDel="00000000" w:rsidP="00000000" w:rsidRDefault="00000000" w:rsidRPr="00000000" w14:paraId="0000006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diagnostic accuracy, AI applications were shown to substantially improve laboratory workflow efficiency. Automated data interpretation, rapid processing of laboratory results, and optimized resource utilization contribute to reduced turnaround times and increased laboratory productivity. These advantages are especially relevant in high-throughput and resource-limited settings, where AI can support scalable and cost-effective diagnostic services.</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clinical perspective, AI demonstrates strong utility in early disease detection, risk stratification, and personalized medicine. The ability to predict disease onset, progression, and patient outcomes using routinely collected laboratory data underscores the potential of AI to improve patient care and clinical outcomes. Furthermore, AI-enabled non-invasive diagnostic approaches may reduce reliance on invasive procedures, enhancing patient safety and accessibility of care.</w:t>
      </w:r>
    </w:p>
    <w:p w:rsidR="00000000" w:rsidDel="00000000" w:rsidP="00000000" w:rsidRDefault="00000000" w:rsidRPr="00000000" w14:paraId="0000006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promising findings, several challenges limit the widespread implementation of AI in clinical laboratory practice. Many studies are constrained by retrospective designs, small or non-representative datasets, and limited external validation, raising concerns regarding generalizability and reproducibility. Additionally, issues related to data quality, algorithmic bias, lack of interpretability, and integration into existing laboratory workflows remain significant barriers. Addressing these challenges is essential to ensure the safe, equitable, and effective use of AI in healthcare.</w:t>
      </w:r>
    </w:p>
    <w:p w:rsidR="00000000" w:rsidDel="00000000" w:rsidP="00000000" w:rsidRDefault="00000000" w:rsidRPr="00000000" w14:paraId="0000006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research should prioritize prospective, multicenter studies and standardized validation frameworks to strengthen the evidence base. Greater emphasis is also needed on real-world clinical outcomes, cost-effectiveness, and integration into routine practice. With continued advancements and appropriate regulatory and methodological rigor, AI has the potential to become an integral component of clinical laboratory systems, ultimately improving diagnostic performance, healthcare efficiency, and patient outcomes.</w:t>
      </w:r>
    </w:p>
    <w:p w:rsidR="00000000" w:rsidDel="00000000" w:rsidP="00000000" w:rsidRDefault="00000000" w:rsidRPr="00000000" w14:paraId="0000006B">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lgh6pdemoivi" w:id="29"/>
      <w:bookmarkEnd w:id="29"/>
      <w:r w:rsidDel="00000000" w:rsidR="00000000" w:rsidRPr="00000000">
        <w:rPr>
          <w:rtl w:val="0"/>
        </w:rPr>
      </w:r>
    </w:p>
    <w:p w:rsidR="00000000" w:rsidDel="00000000" w:rsidP="00000000" w:rsidRDefault="00000000" w:rsidRPr="00000000" w14:paraId="0000006C">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j7d7je7kqoqf" w:id="30"/>
      <w:bookmarkEnd w:id="30"/>
      <w:r w:rsidDel="00000000" w:rsidR="00000000" w:rsidRPr="00000000">
        <w:rPr>
          <w:rFonts w:ascii="Times New Roman" w:cs="Times New Roman" w:eastAsia="Times New Roman" w:hAnsi="Times New Roman"/>
          <w:b w:val="1"/>
          <w:bCs w:val="1"/>
          <w:sz w:val="24"/>
          <w:szCs w:val="24"/>
          <w:rtl w:val="0"/>
        </w:rPr>
        <w:t xml:space="preserve">RECOMMENDATIONS</w:t>
      </w:r>
    </w:p>
    <w:p w:rsidR="00000000" w:rsidDel="00000000" w:rsidP="00000000" w:rsidRDefault="00000000" w:rsidRPr="00000000" w14:paraId="0000006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systematic review, several recommendations are proposed to advance the development, validation, and implementation of artificial intelligence (AI) in clinical laboratory diagnostics.</w:t>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future research should prioritize prospective, multicenter studies to enhance the generalizability and robustness of AI models. Many current studies rely on retrospective and single-center datasets, which limit external validity. Collaborative, multi-institutional research is essential to ensure that AI systems perform reliably across diverse populations and healthcare settings.</w:t>
      </w:r>
    </w:p>
    <w:p w:rsidR="00000000" w:rsidDel="00000000" w:rsidP="00000000" w:rsidRDefault="00000000" w:rsidRPr="00000000" w14:paraId="0000006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there is a need for standardized evaluation and reporting frameworks for AI-based diagnostic tools. Adoption of established guidelines such as PRISMA, STARD-AI, and PROBAST+AI will improve methodological rigor, transparency, and comparability across studies. Consistent reporting of performance metrics (e.g., sensitivity, specificity, AUC) is critical for accurate interpretation and benchmarking.</w:t>
      </w:r>
    </w:p>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future studies should emphasize external validation and real-world implementation. AI models must be tested in routine clinical environments to assess their practical utility, reliability, and impact on patient outcomes. Integration into laboratory information systems and clinical workflows should be a key focus to facilitate adoption.</w:t>
      </w:r>
    </w:p>
    <w:p w:rsidR="00000000" w:rsidDel="00000000" w:rsidP="00000000" w:rsidRDefault="00000000" w:rsidRPr="00000000" w14:paraId="0000007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Fourth, greater attention should be given to data quality, representativeness, and bias mitigation. Efforts should be made to include diverse and well-annotated datasets to reduce algorithmic bias and improve fairness, particularly for underrepresented populations and low- and middle-income countries.</w:t>
      </w:r>
    </w:p>
    <w:p w:rsidR="00000000" w:rsidDel="00000000" w:rsidP="00000000" w:rsidRDefault="00000000" w:rsidRPr="00000000" w14:paraId="0000007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Fifth, research should expand beyond diagnostic accuracy to include clinical outcomes, cost-effectiveness, and health system impact. Evaluating how AI influences decision-making, patient outcomes, and resource utilization will provide stronger evidence for its value in healthcare systems.</w:t>
      </w:r>
    </w:p>
    <w:p w:rsidR="00000000" w:rsidDel="00000000" w:rsidP="00000000" w:rsidRDefault="00000000" w:rsidRPr="00000000" w14:paraId="0000007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policymakers and healthcare institutions should promote ethical governance, regulatory frameworks, and capacity building for AI integration. This includes ensuring data privacy, transparency, and accountability, as well as investing in infrastructure and workforce training to support sustainable implementation.</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REFERENCE</w:t>
      </w: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Alballa, N., &amp; Al-Turaiki, I. (2021). Machine learning approaches in COVID-19 diagnosis, mortality, and severity risk prediction: A review. </w:t>
      </w:r>
      <w:r w:rsidDel="00000000" w:rsidR="00000000" w:rsidRPr="00000000">
        <w:rPr>
          <w:rFonts w:ascii="Times New Roman" w:cs="Times New Roman" w:eastAsia="Times New Roman" w:hAnsi="Times New Roman"/>
          <w:i w:val="1"/>
          <w:iCs w:val="1"/>
          <w:sz w:val="24"/>
          <w:szCs w:val="24"/>
          <w:rtl w:val="0"/>
        </w:rPr>
        <w:t xml:space="preserve">Informatics in Medicine Unlocked, 24</w:t>
      </w:r>
      <w:r w:rsidDel="00000000" w:rsidR="00000000" w:rsidRPr="00000000">
        <w:rPr>
          <w:rFonts w:ascii="Times New Roman" w:cs="Times New Roman" w:eastAsia="Times New Roman" w:hAnsi="Times New Roman"/>
          <w:sz w:val="24"/>
          <w:szCs w:val="24"/>
          <w:rtl w:val="0"/>
        </w:rPr>
        <w:t xml:space="preserve">, 100564.</w:t>
      </w:r>
      <w:hyperlink r:id="rId9">
        <w:r w:rsidDel="00000000" w:rsidR="00000000" w:rsidRPr="00000000">
          <w:rPr>
            <w:rFonts w:ascii="Times New Roman" w:cs="Times New Roman" w:eastAsia="Times New Roman" w:hAnsi="Times New Roman"/>
            <w:sz w:val="24"/>
            <w:szCs w:val="24"/>
            <w:rtl w:val="0"/>
          </w:rPr>
          <w:t xml:space="preserve"> https://doi.org/10.1016/j.imu.2021.100564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Apostolopoulos, I. D., Aznaouridis, S. I., &amp; Tzani, M. A. (2020). Extracting possibly representative COVID-19 biomarkers from X-ray images with deep learning approach and image data related to pulmonary diseases. </w:t>
      </w:r>
      <w:r w:rsidDel="00000000" w:rsidR="00000000" w:rsidRPr="00000000">
        <w:rPr>
          <w:rFonts w:ascii="Times New Roman" w:cs="Times New Roman" w:eastAsia="Times New Roman" w:hAnsi="Times New Roman"/>
          <w:i w:val="1"/>
          <w:iCs w:val="1"/>
          <w:sz w:val="24"/>
          <w:szCs w:val="24"/>
          <w:rtl w:val="0"/>
        </w:rPr>
        <w:t xml:space="preserve">Journal of Medical and Biological Engineering, 40</w:t>
      </w:r>
      <w:r w:rsidDel="00000000" w:rsidR="00000000" w:rsidRPr="00000000">
        <w:rPr>
          <w:rFonts w:ascii="Times New Roman" w:cs="Times New Roman" w:eastAsia="Times New Roman" w:hAnsi="Times New Roman"/>
          <w:sz w:val="24"/>
          <w:szCs w:val="24"/>
          <w:rtl w:val="0"/>
        </w:rPr>
        <w:t xml:space="preserve">, 462–469 .</w:t>
      </w:r>
    </w:p>
    <w:p w:rsidR="00000000" w:rsidDel="00000000" w:rsidP="00000000" w:rsidRDefault="00000000" w:rsidRPr="00000000" w14:paraId="0000007B">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Ardila, D., Kiraly, A. P., Bharadwaj, S., et al. (2019). End-to-end lung cancer screening with three-dimensional deep learning on low-dose chest computed tomography. </w:t>
      </w:r>
      <w:r w:rsidDel="00000000" w:rsidR="00000000" w:rsidRPr="00000000">
        <w:rPr>
          <w:rFonts w:ascii="Times New Roman" w:cs="Times New Roman" w:eastAsia="Times New Roman" w:hAnsi="Times New Roman"/>
          <w:i w:val="1"/>
          <w:iCs w:val="1"/>
          <w:sz w:val="24"/>
          <w:szCs w:val="24"/>
          <w:rtl w:val="0"/>
        </w:rPr>
        <w:t xml:space="preserve">Nature Medicine, 25</w:t>
      </w:r>
      <w:r w:rsidDel="00000000" w:rsidR="00000000" w:rsidRPr="00000000">
        <w:rPr>
          <w:rFonts w:ascii="Times New Roman" w:cs="Times New Roman" w:eastAsia="Times New Roman" w:hAnsi="Times New Roman"/>
          <w:sz w:val="24"/>
          <w:szCs w:val="24"/>
          <w:rtl w:val="0"/>
        </w:rPr>
        <w:t xml:space="preserve">(6), 954–961.</w:t>
      </w:r>
    </w:p>
    <w:p w:rsidR="00000000" w:rsidDel="00000000" w:rsidP="00000000" w:rsidRDefault="00000000" w:rsidRPr="00000000" w14:paraId="0000007C">
      <w:pP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Ashraf, A. A., Rai, S., Alva, S., Alva, P. D., &amp; Naresh, S. (2025). Revolutionizing clinical laboratories: The impact of artificial intelligence in diagnostics and patient care. </w:t>
      </w:r>
      <w:r w:rsidDel="00000000" w:rsidR="00000000" w:rsidRPr="00000000">
        <w:rPr>
          <w:rFonts w:ascii="Times New Roman" w:cs="Times New Roman" w:eastAsia="Times New Roman" w:hAnsi="Times New Roman"/>
          <w:i w:val="1"/>
          <w:iCs w:val="1"/>
          <w:sz w:val="24"/>
          <w:szCs w:val="24"/>
          <w:rtl w:val="0"/>
        </w:rPr>
        <w:t xml:space="preserve">Diagnostic Microbiology and Infectious Disease, 111</w:t>
      </w:r>
      <w:r w:rsidDel="00000000" w:rsidR="00000000" w:rsidRPr="00000000">
        <w:rPr>
          <w:rFonts w:ascii="Times New Roman" w:cs="Times New Roman" w:eastAsia="Times New Roman" w:hAnsi="Times New Roman"/>
          <w:sz w:val="24"/>
          <w:szCs w:val="24"/>
          <w:rtl w:val="0"/>
        </w:rPr>
        <w:t xml:space="preserve">(4), 116728.</w:t>
      </w:r>
      <w:hyperlink r:id="rId10">
        <w:r w:rsidDel="00000000" w:rsidR="00000000" w:rsidRPr="00000000">
          <w:rPr>
            <w:rFonts w:ascii="Times New Roman" w:cs="Times New Roman" w:eastAsia="Times New Roman" w:hAnsi="Times New Roman"/>
            <w:sz w:val="24"/>
            <w:szCs w:val="24"/>
            <w:rtl w:val="0"/>
          </w:rPr>
          <w:t xml:space="preserve"> https://doi.org/10.1016/j.diagmicrobio.2025.116728</w:t>
        </w:r>
      </w:hyperlink>
      <w:r w:rsidDel="00000000" w:rsidR="00000000" w:rsidRPr="00000000">
        <w:rPr>
          <w:rtl w:val="0"/>
        </w:rPr>
      </w:r>
    </w:p>
    <w:p w:rsidR="00000000" w:rsidDel="00000000" w:rsidP="00000000" w:rsidRDefault="00000000" w:rsidRPr="00000000" w14:paraId="0000007D">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Botlagunta M, Botlagunta MD, Myneni MB, et al. (2023). </w:t>
      </w:r>
      <w:r w:rsidDel="00000000" w:rsidR="00000000" w:rsidRPr="00000000">
        <w:rPr>
          <w:rFonts w:ascii="Times New Roman" w:cs="Times New Roman" w:eastAsia="Times New Roman" w:hAnsi="Times New Roman"/>
          <w:i w:val="1"/>
          <w:iCs w:val="1"/>
          <w:sz w:val="24"/>
          <w:szCs w:val="24"/>
          <w:rtl w:val="0"/>
        </w:rPr>
        <w:t xml:space="preserve">Classification and diagnostic prediction of breast cancer metastasis on clinical data using machine learning algorithms</w:t>
      </w:r>
      <w:r w:rsidDel="00000000" w:rsidR="00000000" w:rsidRPr="00000000">
        <w:rPr>
          <w:rFonts w:ascii="Times New Roman" w:cs="Times New Roman" w:eastAsia="Times New Roman" w:hAnsi="Times New Roman"/>
          <w:sz w:val="24"/>
          <w:szCs w:val="24"/>
          <w:rtl w:val="0"/>
        </w:rPr>
        <w:t xml:space="preserve">. Scientific Reports.</w:t>
      </w:r>
    </w:p>
    <w:p w:rsidR="00000000" w:rsidDel="00000000" w:rsidP="00000000" w:rsidRDefault="00000000" w:rsidRPr="00000000" w14:paraId="0000007E">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Brinati, D., Campagner, A., Ferrari, D., et al. (2020). </w:t>
      </w:r>
      <w:r w:rsidDel="00000000" w:rsidR="00000000" w:rsidRPr="00000000">
        <w:rPr>
          <w:rFonts w:ascii="Times New Roman" w:cs="Times New Roman" w:eastAsia="Times New Roman" w:hAnsi="Times New Roman"/>
          <w:i w:val="1"/>
          <w:iCs w:val="1"/>
          <w:sz w:val="24"/>
          <w:szCs w:val="24"/>
          <w:rtl w:val="0"/>
        </w:rPr>
        <w:t xml:space="preserve">Detection of COVID-19 infection from routine blood exams with machine learning: A feasibility study</w:t>
      </w:r>
      <w:r w:rsidDel="00000000" w:rsidR="00000000" w:rsidRPr="00000000">
        <w:rPr>
          <w:rFonts w:ascii="Times New Roman" w:cs="Times New Roman" w:eastAsia="Times New Roman" w:hAnsi="Times New Roman"/>
          <w:sz w:val="24"/>
          <w:szCs w:val="24"/>
          <w:rtl w:val="0"/>
        </w:rPr>
        <w:t xml:space="preserve">. Journal of Medical Systems, 44, 135.</w:t>
      </w:r>
    </w:p>
    <w:p w:rsidR="00000000" w:rsidDel="00000000" w:rsidP="00000000" w:rsidRDefault="00000000" w:rsidRPr="00000000" w14:paraId="0000007F">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Calvert JS, Price DA, Chettipally UK, et al. (2016). </w:t>
      </w:r>
      <w:r w:rsidDel="00000000" w:rsidR="00000000" w:rsidRPr="00000000">
        <w:rPr>
          <w:rFonts w:ascii="Times New Roman" w:cs="Times New Roman" w:eastAsia="Times New Roman" w:hAnsi="Times New Roman"/>
          <w:i w:val="1"/>
          <w:iCs w:val="1"/>
          <w:sz w:val="24"/>
          <w:szCs w:val="24"/>
          <w:rtl w:val="0"/>
        </w:rPr>
        <w:t xml:space="preserve">A computational approach to early sepsis detection</w:t>
      </w:r>
      <w:r w:rsidDel="00000000" w:rsidR="00000000" w:rsidRPr="00000000">
        <w:rPr>
          <w:rFonts w:ascii="Times New Roman" w:cs="Times New Roman" w:eastAsia="Times New Roman" w:hAnsi="Times New Roman"/>
          <w:sz w:val="24"/>
          <w:szCs w:val="24"/>
          <w:rtl w:val="0"/>
        </w:rPr>
        <w:t xml:space="preserve">. Computers in Biology and Medicine, 74, 69–73.</w:t>
      </w:r>
    </w:p>
    <w:p w:rsidR="00000000" w:rsidDel="00000000" w:rsidP="00000000" w:rsidRDefault="00000000" w:rsidRPr="00000000" w14:paraId="00000080">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Cao, Y., Hu, Z.-D., Liu, X.-F., Deng, A.-M., &amp; Hu, C.-J. (2013). </w:t>
      </w:r>
      <w:r w:rsidDel="00000000" w:rsidR="00000000" w:rsidRPr="00000000">
        <w:rPr>
          <w:rFonts w:ascii="Times New Roman" w:cs="Times New Roman" w:eastAsia="Times New Roman" w:hAnsi="Times New Roman"/>
          <w:i w:val="1"/>
          <w:iCs w:val="1"/>
          <w:sz w:val="24"/>
          <w:szCs w:val="24"/>
          <w:rtl w:val="0"/>
        </w:rPr>
        <w:t xml:space="preserve">An MLP Classifier for Prediction of HBV-Induced Liver Cirrhosis Using Routinely Available Clinical Parameters</w:t>
      </w:r>
      <w:r w:rsidDel="00000000" w:rsidR="00000000" w:rsidRPr="00000000">
        <w:rPr>
          <w:rFonts w:ascii="Times New Roman" w:cs="Times New Roman" w:eastAsia="Times New Roman" w:hAnsi="Times New Roman"/>
          <w:sz w:val="24"/>
          <w:szCs w:val="24"/>
          <w:rtl w:val="0"/>
        </w:rPr>
        <w:t xml:space="preserve">. Disease Markers, 35(6), 653–660.</w:t>
      </w:r>
    </w:p>
    <w:p w:rsidR="00000000" w:rsidDel="00000000" w:rsidP="00000000" w:rsidRDefault="00000000" w:rsidRPr="00000000" w14:paraId="00000081">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 C.-H., Lin, C.-H., &amp; Lane, H.-Y. (2021). </w:t>
      </w:r>
      <w:r w:rsidDel="00000000" w:rsidR="00000000" w:rsidRPr="00000000">
        <w:rPr>
          <w:rFonts w:ascii="Times New Roman" w:cs="Times New Roman" w:eastAsia="Times New Roman" w:hAnsi="Times New Roman"/>
          <w:i w:val="1"/>
          <w:iCs w:val="1"/>
          <w:sz w:val="24"/>
          <w:szCs w:val="24"/>
          <w:rtl w:val="0"/>
        </w:rPr>
        <w:t xml:space="preserve">Machine Learning and Novel Biomarkers for the Diagnosis of Alzheimer’s Disease</w:t>
      </w:r>
      <w:r w:rsidDel="00000000" w:rsidR="00000000" w:rsidRPr="00000000">
        <w:rPr>
          <w:rFonts w:ascii="Times New Roman" w:cs="Times New Roman" w:eastAsia="Times New Roman" w:hAnsi="Times New Roman"/>
          <w:sz w:val="24"/>
          <w:szCs w:val="24"/>
          <w:rtl w:val="0"/>
        </w:rPr>
        <w:t xml:space="preserve">. International Journal of Molecular Sciences, 22(5), 2761.</w:t>
      </w:r>
    </w:p>
    <w:p w:rsidR="00000000" w:rsidDel="00000000" w:rsidP="00000000" w:rsidRDefault="00000000" w:rsidRPr="00000000" w14:paraId="00000082">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dtui4puffowi" w:id="31"/>
      <w:bookmarkEnd w:id="31"/>
      <w:r w:rsidDel="00000000" w:rsidR="00000000" w:rsidRPr="00000000">
        <w:rPr>
          <w:rFonts w:ascii="Times New Roman" w:cs="Times New Roman" w:eastAsia="Times New Roman" w:hAnsi="Times New Roman"/>
          <w:sz w:val="24"/>
          <w:szCs w:val="24"/>
          <w:rtl w:val="0"/>
        </w:rPr>
        <w:t xml:space="preserve">Chang, H., Yu, J. Y., Park, H., Song, Y. J., Heo, S., Park, J. E., Lee, G. T., Lee, S. U., Kim, T., Yoon, H., Hwang, S. Y., &amp; Cha, W. C. (2025). From prediction to action: A retrospective observational study on the real-world implementation of critical interventions (CrIs), an AI-based clinical decision support system changing clinical behavior in the emergency department. </w:t>
      </w:r>
      <w:r w:rsidDel="00000000" w:rsidR="00000000" w:rsidRPr="00000000">
        <w:rPr>
          <w:rFonts w:ascii="Times New Roman" w:cs="Times New Roman" w:eastAsia="Times New Roman" w:hAnsi="Times New Roman"/>
          <w:i w:val="1"/>
          <w:iCs w:val="1"/>
          <w:sz w:val="24"/>
          <w:szCs w:val="24"/>
          <w:rtl w:val="0"/>
        </w:rPr>
        <w:t xml:space="preserve">BMC Medical Informatics and Decision Making, 25</w:t>
      </w:r>
      <w:r w:rsidDel="00000000" w:rsidR="00000000" w:rsidRPr="00000000">
        <w:rPr>
          <w:rFonts w:ascii="Times New Roman" w:cs="Times New Roman" w:eastAsia="Times New Roman" w:hAnsi="Times New Roman"/>
          <w:sz w:val="24"/>
          <w:szCs w:val="24"/>
          <w:rtl w:val="0"/>
        </w:rPr>
        <w:t xml:space="preserve">(1), 405. https://doi.org/10.1186/s12911-025-03234-x</w:t>
      </w:r>
    </w:p>
    <w:p w:rsidR="00000000" w:rsidDel="00000000" w:rsidP="00000000" w:rsidRDefault="00000000" w:rsidRPr="00000000" w14:paraId="00000083">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Wang B, Zhao Y, et al. (2024). </w:t>
      </w:r>
      <w:r w:rsidDel="00000000" w:rsidR="00000000" w:rsidRPr="00000000">
        <w:rPr>
          <w:rFonts w:ascii="Times New Roman" w:cs="Times New Roman" w:eastAsia="Times New Roman" w:hAnsi="Times New Roman"/>
          <w:i w:val="1"/>
          <w:iCs w:val="1"/>
          <w:sz w:val="24"/>
          <w:szCs w:val="24"/>
          <w:rtl w:val="0"/>
        </w:rPr>
        <w:t xml:space="preserve">Metabolomic machine learning predictor for diagnosis and prognosis of gastric cancer</w:t>
      </w:r>
      <w:r w:rsidDel="00000000" w:rsidR="00000000" w:rsidRPr="00000000">
        <w:rPr>
          <w:rFonts w:ascii="Times New Roman" w:cs="Times New Roman" w:eastAsia="Times New Roman" w:hAnsi="Times New Roman"/>
          <w:sz w:val="24"/>
          <w:szCs w:val="24"/>
          <w:rtl w:val="0"/>
        </w:rPr>
        <w:t xml:space="preserve">. Nature Communications.</w:t>
      </w:r>
    </w:p>
    <w:p w:rsidR="00000000" w:rsidDel="00000000" w:rsidP="00000000" w:rsidRDefault="00000000" w:rsidRPr="00000000" w14:paraId="00000084">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yl0lrpe4com5" w:id="32"/>
      <w:bookmarkEnd w:id="32"/>
      <w:r w:rsidDel="00000000" w:rsidR="00000000" w:rsidRPr="00000000">
        <w:rPr>
          <w:rFonts w:ascii="Times New Roman" w:cs="Times New Roman" w:eastAsia="Times New Roman" w:hAnsi="Times New Roman"/>
          <w:sz w:val="24"/>
          <w:szCs w:val="24"/>
          <w:rtl w:val="0"/>
        </w:rPr>
        <w:t xml:space="preserve">Chen, S., Li, J., Zhang, X., Xu, W., Qiu, Z., Yan, S., Zhao, W., Zhao, Z., Tian, P., Zhao, Q., Zhang, Q., Chen, W., Li, H., Ruan, X., Xiao, G., Zhang, S., Hu, L., Qin, J., Huang, W., … Wei, F. (2025). Predicting preeclampsia in early pregnancy using clinical and laboratory data via machine learning model. </w:t>
      </w:r>
      <w:r w:rsidDel="00000000" w:rsidR="00000000" w:rsidRPr="00000000">
        <w:rPr>
          <w:rFonts w:ascii="Times New Roman" w:cs="Times New Roman" w:eastAsia="Times New Roman" w:hAnsi="Times New Roman"/>
          <w:i w:val="1"/>
          <w:iCs w:val="1"/>
          <w:sz w:val="24"/>
          <w:szCs w:val="24"/>
          <w:rtl w:val="0"/>
        </w:rPr>
        <w:t xml:space="preserve">BMC Medical Informatics and Decision Making, 25</w:t>
      </w:r>
      <w:r w:rsidDel="00000000" w:rsidR="00000000" w:rsidRPr="00000000">
        <w:rPr>
          <w:rFonts w:ascii="Times New Roman" w:cs="Times New Roman" w:eastAsia="Times New Roman" w:hAnsi="Times New Roman"/>
          <w:sz w:val="24"/>
          <w:szCs w:val="24"/>
          <w:rtl w:val="0"/>
        </w:rPr>
        <w:t xml:space="preserve">(1), 178. https://doi.org/10.1186/s12911-025-02999-5</w:t>
      </w:r>
    </w:p>
    <w:p w:rsidR="00000000" w:rsidDel="00000000" w:rsidP="00000000" w:rsidRDefault="00000000" w:rsidRPr="00000000" w14:paraId="00000085">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Bruyne S, Speeckaert MM, Van Biesen W, Delanghe JR. Recent evolutions of machine learning applications in clinical laboratory medicine. </w:t>
      </w:r>
      <w:r w:rsidDel="00000000" w:rsidR="00000000" w:rsidRPr="00000000">
        <w:rPr>
          <w:rFonts w:ascii="Times New Roman" w:cs="Times New Roman" w:eastAsia="Times New Roman" w:hAnsi="Times New Roman"/>
          <w:i w:val="1"/>
          <w:iCs w:val="1"/>
          <w:sz w:val="24"/>
          <w:szCs w:val="24"/>
          <w:rtl w:val="0"/>
        </w:rPr>
        <w:t xml:space="preserve">Critical Reviews in Clinical Laboratory Sciences.</w:t>
      </w:r>
      <w:r w:rsidDel="00000000" w:rsidR="00000000" w:rsidRPr="00000000">
        <w:rPr>
          <w:rFonts w:ascii="Times New Roman" w:cs="Times New Roman" w:eastAsia="Times New Roman" w:hAnsi="Times New Roman"/>
          <w:sz w:val="24"/>
          <w:szCs w:val="24"/>
          <w:rtl w:val="0"/>
        </w:rPr>
        <w:t xml:space="preserve"> 2021;58(2):131–152.</w:t>
        <w:br w:type="textWrapping"/>
      </w:r>
      <w:hyperlink r:id="rId11">
        <w:r w:rsidDel="00000000" w:rsidR="00000000" w:rsidRPr="00000000">
          <w:rPr>
            <w:rFonts w:ascii="Times New Roman" w:cs="Times New Roman" w:eastAsia="Times New Roman" w:hAnsi="Times New Roman"/>
            <w:color w:val="1155cc"/>
            <w:sz w:val="24"/>
            <w:szCs w:val="24"/>
            <w:u w:val="single"/>
            <w:rtl w:val="0"/>
          </w:rPr>
          <w:t xml:space="preserve">https://doi.org/10.1080/10408363.2020.1828811</w:t>
        </w:r>
      </w:hyperlink>
      <w:r w:rsidDel="00000000" w:rsidR="00000000" w:rsidRPr="00000000">
        <w:rPr>
          <w:rtl w:val="0"/>
        </w:rPr>
      </w:r>
    </w:p>
    <w:p w:rsidR="00000000" w:rsidDel="00000000" w:rsidP="00000000" w:rsidRDefault="00000000" w:rsidRPr="00000000" w14:paraId="00000086">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DeGroat, W., Abdelhalim, H., Patel, K., et al. (2024). Discovering biomarkers associated and predicting cardiovascular disease with high accuracy using a novel nexus of machine learning techniques for precision medicine. </w:t>
      </w:r>
      <w:r w:rsidDel="00000000" w:rsidR="00000000" w:rsidRPr="00000000">
        <w:rPr>
          <w:rFonts w:ascii="Times New Roman" w:cs="Times New Roman" w:eastAsia="Times New Roman" w:hAnsi="Times New Roman"/>
          <w:i w:val="1"/>
          <w:iCs w:val="1"/>
          <w:sz w:val="24"/>
          <w:szCs w:val="24"/>
          <w:rtl w:val="0"/>
        </w:rPr>
        <w:t xml:space="preserve">Scientific Reports, 14</w:t>
      </w:r>
      <w:r w:rsidDel="00000000" w:rsidR="00000000" w:rsidRPr="00000000">
        <w:rPr>
          <w:rFonts w:ascii="Times New Roman" w:cs="Times New Roman" w:eastAsia="Times New Roman" w:hAnsi="Times New Roman"/>
          <w:sz w:val="24"/>
          <w:szCs w:val="24"/>
          <w:rtl w:val="0"/>
        </w:rPr>
        <w:t xml:space="preserve">, 1.</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https://doi.org/10.1038/s41598-023-50600-8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b72jl7ntgj5r" w:id="33"/>
      <w:bookmarkEnd w:id="33"/>
      <w:r w:rsidDel="00000000" w:rsidR="00000000" w:rsidRPr="00000000">
        <w:rPr>
          <w:rFonts w:ascii="Times New Roman" w:cs="Times New Roman" w:eastAsia="Times New Roman" w:hAnsi="Times New Roman"/>
          <w:sz w:val="24"/>
          <w:szCs w:val="24"/>
          <w:rtl w:val="0"/>
        </w:rPr>
        <w:t xml:space="preserve">Dong, B., Chen, Y., Yang, X., Chen, Z., Zhang, H., Gao, Y., Zhao, E., &amp; Zhang, C. (2025). Estimated glucose disposal rate outperforms other insulin resistance surrogates in predicting incident cardiovascular diseases in cardiovascular-kidney-metabolic syndrome stages 0–3 and the development of a machine learning prediction model: A nationwide prospective cohort study. </w:t>
      </w:r>
      <w:r w:rsidDel="00000000" w:rsidR="00000000" w:rsidRPr="00000000">
        <w:rPr>
          <w:rFonts w:ascii="Times New Roman" w:cs="Times New Roman" w:eastAsia="Times New Roman" w:hAnsi="Times New Roman"/>
          <w:i w:val="1"/>
          <w:iCs w:val="1"/>
          <w:sz w:val="24"/>
          <w:szCs w:val="24"/>
          <w:rtl w:val="0"/>
        </w:rPr>
        <w:t xml:space="preserve">Cardiovascular Diabetology, 24</w:t>
      </w:r>
      <w:r w:rsidDel="00000000" w:rsidR="00000000" w:rsidRPr="00000000">
        <w:rPr>
          <w:rFonts w:ascii="Times New Roman" w:cs="Times New Roman" w:eastAsia="Times New Roman" w:hAnsi="Times New Roman"/>
          <w:sz w:val="24"/>
          <w:szCs w:val="24"/>
          <w:rtl w:val="0"/>
        </w:rPr>
        <w:t xml:space="preserve">(1), 163. https://doi.org/10.1186/s12933-025-02729-1</w:t>
      </w:r>
    </w:p>
    <w:p w:rsidR="00000000" w:rsidDel="00000000" w:rsidP="00000000" w:rsidRDefault="00000000" w:rsidRPr="00000000" w14:paraId="00000088">
      <w:pPr>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Erasmus, R., &amp; Ondoa, P. (2023). Taking the train of digital health and artificial intelligence to improve medical laboratory service in Africa: Key considerations. </w:t>
      </w:r>
      <w:r w:rsidDel="00000000" w:rsidR="00000000" w:rsidRPr="00000000">
        <w:rPr>
          <w:rFonts w:ascii="Times New Roman" w:cs="Times New Roman" w:eastAsia="Times New Roman" w:hAnsi="Times New Roman"/>
          <w:i w:val="1"/>
          <w:iCs w:val="1"/>
          <w:sz w:val="24"/>
          <w:szCs w:val="24"/>
          <w:rtl w:val="0"/>
        </w:rPr>
        <w:t xml:space="preserve">African Journal of Laboratory Medicine, 12</w:t>
      </w:r>
      <w:r w:rsidDel="00000000" w:rsidR="00000000" w:rsidRPr="00000000">
        <w:rPr>
          <w:rFonts w:ascii="Times New Roman" w:cs="Times New Roman" w:eastAsia="Times New Roman" w:hAnsi="Times New Roman"/>
          <w:sz w:val="24"/>
          <w:szCs w:val="24"/>
          <w:rtl w:val="0"/>
        </w:rPr>
        <w:t xml:space="preserve">(1), a2329.</w:t>
      </w:r>
      <w:hyperlink r:id="rId14">
        <w:r w:rsidDel="00000000" w:rsidR="00000000" w:rsidRPr="00000000">
          <w:rPr>
            <w:rFonts w:ascii="Times New Roman" w:cs="Times New Roman" w:eastAsia="Times New Roman" w:hAnsi="Times New Roman"/>
            <w:sz w:val="24"/>
            <w:szCs w:val="24"/>
            <w:u w:val="single"/>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https://doi.org/10.4102/ajlm.v12i1.2329</w:t>
        </w:r>
      </w:hyperlink>
      <w:r w:rsidDel="00000000" w:rsidR="00000000" w:rsidRPr="00000000">
        <w:rPr>
          <w:rtl w:val="0"/>
        </w:rPr>
      </w:r>
    </w:p>
    <w:p w:rsidR="00000000" w:rsidDel="00000000" w:rsidP="00000000" w:rsidRDefault="00000000" w:rsidRPr="00000000" w14:paraId="00000089">
      <w:pPr>
        <w:ind w:left="720" w:hanging="720"/>
        <w:jc w:val="both"/>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8A">
      <w:pPr>
        <w:ind w:left="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Fahim, Y. A., Hasani, I. W., Kabba, S., &amp; Ragab, W. M. (2025). Artificial intelligence in healthcare and medicine: Clinical applications, therapeutic advances, and future perspectives. </w:t>
      </w:r>
      <w:r w:rsidDel="00000000" w:rsidR="00000000" w:rsidRPr="00000000">
        <w:rPr>
          <w:rFonts w:ascii="Times New Roman" w:cs="Times New Roman" w:eastAsia="Times New Roman" w:hAnsi="Times New Roman"/>
          <w:i w:val="1"/>
          <w:iCs w:val="1"/>
          <w:sz w:val="24"/>
          <w:szCs w:val="24"/>
          <w:rtl w:val="0"/>
        </w:rPr>
        <w:t xml:space="preserve">European Journal of Medical Research, 30</w:t>
      </w:r>
      <w:r w:rsidDel="00000000" w:rsidR="00000000" w:rsidRPr="00000000">
        <w:rPr>
          <w:rFonts w:ascii="Times New Roman" w:cs="Times New Roman" w:eastAsia="Times New Roman" w:hAnsi="Times New Roman"/>
          <w:sz w:val="24"/>
          <w:szCs w:val="24"/>
          <w:rtl w:val="0"/>
        </w:rPr>
        <w:t xml:space="preserve">(1), 848.</w:t>
      </w:r>
      <w:hyperlink r:id="rId16">
        <w:r w:rsidDel="00000000" w:rsidR="00000000" w:rsidRPr="00000000">
          <w:rPr>
            <w:rFonts w:ascii="Times New Roman" w:cs="Times New Roman" w:eastAsia="Times New Roman" w:hAnsi="Times New Roman"/>
            <w:sz w:val="24"/>
            <w:szCs w:val="24"/>
            <w:u w:val="single"/>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https://doi.org/10.1186/s40001-025-03196-w</w:t>
        </w:r>
      </w:hyperlink>
      <w:r w:rsidDel="00000000" w:rsidR="00000000" w:rsidRPr="00000000">
        <w:rPr>
          <w:rtl w:val="0"/>
        </w:rPr>
      </w:r>
    </w:p>
    <w:p w:rsidR="00000000" w:rsidDel="00000000" w:rsidP="00000000" w:rsidRDefault="00000000" w:rsidRPr="00000000" w14:paraId="0000008B">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gi1ox8plhi5v" w:id="34"/>
      <w:bookmarkEnd w:id="34"/>
      <w:r w:rsidDel="00000000" w:rsidR="00000000" w:rsidRPr="00000000">
        <w:rPr>
          <w:rFonts w:ascii="Times New Roman" w:cs="Times New Roman" w:eastAsia="Times New Roman" w:hAnsi="Times New Roman"/>
          <w:sz w:val="24"/>
          <w:szCs w:val="24"/>
          <w:rtl w:val="0"/>
        </w:rPr>
        <w:t xml:space="preserve">Gadalla AAH, Friberg IM, Kift-Morgan A, et al. (2019). </w:t>
      </w:r>
      <w:r w:rsidDel="00000000" w:rsidR="00000000" w:rsidRPr="00000000">
        <w:rPr>
          <w:rFonts w:ascii="Times New Roman" w:cs="Times New Roman" w:eastAsia="Times New Roman" w:hAnsi="Times New Roman"/>
          <w:i w:val="1"/>
          <w:iCs w:val="1"/>
          <w:sz w:val="24"/>
          <w:szCs w:val="24"/>
          <w:rtl w:val="0"/>
        </w:rPr>
        <w:t xml:space="preserve">Identification of clinical and urine biomarkers for uncomplicated urinary tract infection using machine learning algorithms</w:t>
      </w:r>
      <w:r w:rsidDel="00000000" w:rsidR="00000000" w:rsidRPr="00000000">
        <w:rPr>
          <w:rFonts w:ascii="Times New Roman" w:cs="Times New Roman" w:eastAsia="Times New Roman" w:hAnsi="Times New Roman"/>
          <w:sz w:val="24"/>
          <w:szCs w:val="24"/>
          <w:rtl w:val="0"/>
        </w:rPr>
        <w:t xml:space="preserve">. Scientific Reports.</w:t>
      </w:r>
    </w:p>
    <w:p w:rsidR="00000000" w:rsidDel="00000000" w:rsidP="00000000" w:rsidRDefault="00000000" w:rsidRPr="00000000" w14:paraId="0000008C">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i360q1km5bzf" w:id="35"/>
      <w:bookmarkEnd w:id="35"/>
      <w:r w:rsidDel="00000000" w:rsidR="00000000" w:rsidRPr="00000000">
        <w:rPr>
          <w:rFonts w:ascii="Times New Roman" w:cs="Times New Roman" w:eastAsia="Times New Roman" w:hAnsi="Times New Roman"/>
          <w:sz w:val="24"/>
          <w:szCs w:val="24"/>
          <w:rtl w:val="0"/>
        </w:rPr>
        <w:t xml:space="preserve">Ghayad, J. P., Barakett-Hamadé, V., &amp; Sleilaty, G. (2022). Prospective validation of a machine learning model for low-density lipoprotein cholesterol estimation. </w:t>
      </w:r>
      <w:r w:rsidDel="00000000" w:rsidR="00000000" w:rsidRPr="00000000">
        <w:rPr>
          <w:rFonts w:ascii="Times New Roman" w:cs="Times New Roman" w:eastAsia="Times New Roman" w:hAnsi="Times New Roman"/>
          <w:i w:val="1"/>
          <w:iCs w:val="1"/>
          <w:sz w:val="24"/>
          <w:szCs w:val="24"/>
          <w:rtl w:val="0"/>
        </w:rPr>
        <w:t xml:space="preserve">Laboratory Medicine, 53</w:t>
      </w:r>
      <w:r w:rsidDel="00000000" w:rsidR="00000000" w:rsidRPr="00000000">
        <w:rPr>
          <w:rFonts w:ascii="Times New Roman" w:cs="Times New Roman" w:eastAsia="Times New Roman" w:hAnsi="Times New Roman"/>
          <w:sz w:val="24"/>
          <w:szCs w:val="24"/>
          <w:rtl w:val="0"/>
        </w:rPr>
        <w:t xml:space="preserve">(6), 629–635. https://doi.org/10.1093/labmed/lmac049</w:t>
      </w:r>
    </w:p>
    <w:p w:rsidR="00000000" w:rsidDel="00000000" w:rsidP="00000000" w:rsidRDefault="00000000" w:rsidRPr="00000000" w14:paraId="0000008D">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Gilligan, J. (2025, October 6). </w:t>
      </w:r>
      <w:r w:rsidDel="00000000" w:rsidR="00000000" w:rsidRPr="00000000">
        <w:rPr>
          <w:rFonts w:ascii="Times New Roman" w:cs="Times New Roman" w:eastAsia="Times New Roman" w:hAnsi="Times New Roman"/>
          <w:i w:val="1"/>
          <w:iCs w:val="1"/>
          <w:sz w:val="24"/>
          <w:szCs w:val="24"/>
          <w:rtl w:val="0"/>
        </w:rPr>
        <w:t xml:space="preserve">Transforming laboratory medicine through AI: From promise to practice</w:t>
      </w:r>
      <w:r w:rsidDel="00000000" w:rsidR="00000000" w:rsidRPr="00000000">
        <w:rPr>
          <w:rFonts w:ascii="Times New Roman" w:cs="Times New Roman" w:eastAsia="Times New Roman" w:hAnsi="Times New Roman"/>
          <w:sz w:val="24"/>
          <w:szCs w:val="24"/>
          <w:rtl w:val="0"/>
        </w:rPr>
        <w:t xml:space="preserve">. Mayo Clinic Laboratories.</w:t>
      </w:r>
      <w:hyperlink r:id="rId18">
        <w:r w:rsidDel="00000000" w:rsidR="00000000" w:rsidRPr="00000000">
          <w:rPr>
            <w:rFonts w:ascii="Times New Roman" w:cs="Times New Roman" w:eastAsia="Times New Roman" w:hAnsi="Times New Roman"/>
            <w:sz w:val="24"/>
            <w:szCs w:val="24"/>
            <w:u w:val="single"/>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https://news.mayocliniclabs.com/2025/10/06/transforming-laboratory-medicine-through-ai-from-promise-to-practice/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Goebel, C., Louden, C. L., McKenna, R., Onugha, O., Wachtel, A., &amp; Long, T. (2020). </w:t>
      </w:r>
      <w:r w:rsidDel="00000000" w:rsidR="00000000" w:rsidRPr="00000000">
        <w:rPr>
          <w:rFonts w:ascii="Times New Roman" w:cs="Times New Roman" w:eastAsia="Times New Roman" w:hAnsi="Times New Roman"/>
          <w:i w:val="1"/>
          <w:iCs w:val="1"/>
          <w:sz w:val="24"/>
          <w:szCs w:val="24"/>
          <w:rtl w:val="0"/>
        </w:rPr>
        <w:t xml:space="preserve">Blood test shows high accuracy in detecting stage I non-small cell lung cancer</w:t>
      </w:r>
      <w:r w:rsidDel="00000000" w:rsidR="00000000" w:rsidRPr="00000000">
        <w:rPr>
          <w:rFonts w:ascii="Times New Roman" w:cs="Times New Roman" w:eastAsia="Times New Roman" w:hAnsi="Times New Roman"/>
          <w:sz w:val="24"/>
          <w:szCs w:val="24"/>
          <w:rtl w:val="0"/>
        </w:rPr>
        <w:t xml:space="preserve">. BMC Cancer, 20, 137.</w:t>
      </w:r>
    </w:p>
    <w:p w:rsidR="00000000" w:rsidDel="00000000" w:rsidP="00000000" w:rsidRDefault="00000000" w:rsidRPr="00000000" w14:paraId="0000008F">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Gözgöz, H., Orhan, O., Konuk, B. A., Akan, P., et al. (2025). </w:t>
      </w:r>
      <w:r w:rsidDel="00000000" w:rsidR="00000000" w:rsidRPr="00000000">
        <w:rPr>
          <w:rFonts w:ascii="Times New Roman" w:cs="Times New Roman" w:eastAsia="Times New Roman" w:hAnsi="Times New Roman"/>
          <w:i w:val="1"/>
          <w:iCs w:val="1"/>
          <w:sz w:val="24"/>
          <w:szCs w:val="24"/>
          <w:rtl w:val="0"/>
        </w:rPr>
        <w:t xml:space="preserve">A machine learning model for predicting oligoclonal band positivity using routine cerebrospinal fluid and serum biochemical markers</w:t>
      </w:r>
      <w:r w:rsidDel="00000000" w:rsidR="00000000" w:rsidRPr="00000000">
        <w:rPr>
          <w:rFonts w:ascii="Times New Roman" w:cs="Times New Roman" w:eastAsia="Times New Roman" w:hAnsi="Times New Roman"/>
          <w:sz w:val="24"/>
          <w:szCs w:val="24"/>
          <w:rtl w:val="0"/>
        </w:rPr>
        <w:t xml:space="preserve">. American Journal of Clinical Pathology, 164(6), 933–945.</w:t>
      </w:r>
    </w:p>
    <w:p w:rsidR="00000000" w:rsidDel="00000000" w:rsidP="00000000" w:rsidRDefault="00000000" w:rsidRPr="00000000" w14:paraId="00000090">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Gröschel, M. I., Owens, M., Freschi, L., Vargas, R., Marin, M. G., Phelan, J., Iqbal, Z., Dixit, A., &amp; Farhat, M. R. (2021). GenTB: A user-friendly genome-based predictor for tuberculosis resistance powered by machine learning. </w:t>
      </w:r>
      <w:r w:rsidDel="00000000" w:rsidR="00000000" w:rsidRPr="00000000">
        <w:rPr>
          <w:rFonts w:ascii="Times New Roman" w:cs="Times New Roman" w:eastAsia="Times New Roman" w:hAnsi="Times New Roman"/>
          <w:i w:val="1"/>
          <w:iCs w:val="1"/>
          <w:sz w:val="24"/>
          <w:szCs w:val="24"/>
          <w:rtl w:val="0"/>
        </w:rPr>
        <w:t xml:space="preserve">Genome Medicine, 13</w:t>
      </w:r>
      <w:r w:rsidDel="00000000" w:rsidR="00000000" w:rsidRPr="00000000">
        <w:rPr>
          <w:rFonts w:ascii="Times New Roman" w:cs="Times New Roman" w:eastAsia="Times New Roman" w:hAnsi="Times New Roman"/>
          <w:sz w:val="24"/>
          <w:szCs w:val="24"/>
          <w:rtl w:val="0"/>
        </w:rPr>
        <w:t xml:space="preserve">(1), 138.</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https://doi.org/10.1186/s13073-021-00953-4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Guan X, Zhang B, Fu M, et al. (2021). Clinical and inflammatory features based machine learning model for fatal risk prediction of hospitalized COVID-19 patients: Results from a retrospective cohort study. </w:t>
      </w:r>
      <w:r w:rsidDel="00000000" w:rsidR="00000000" w:rsidRPr="00000000">
        <w:rPr>
          <w:rFonts w:ascii="Times New Roman" w:cs="Times New Roman" w:eastAsia="Times New Roman" w:hAnsi="Times New Roman"/>
          <w:i w:val="1"/>
          <w:iCs w:val="1"/>
          <w:sz w:val="24"/>
          <w:szCs w:val="24"/>
          <w:rtl w:val="0"/>
        </w:rPr>
        <w:t xml:space="preserve">Annals of Medicine</w:t>
      </w:r>
      <w:r w:rsidDel="00000000" w:rsidR="00000000" w:rsidRPr="00000000">
        <w:rPr>
          <w:rFonts w:ascii="Times New Roman" w:cs="Times New Roman" w:eastAsia="Times New Roman" w:hAnsi="Times New Roman"/>
          <w:sz w:val="24"/>
          <w:szCs w:val="24"/>
          <w:rtl w:val="0"/>
        </w:rPr>
        <w:t xml:space="preserve">, 53(1), 257–266.</w:t>
      </w:r>
      <w:hyperlink r:id="rId22">
        <w:r w:rsidDel="00000000" w:rsidR="00000000" w:rsidRPr="00000000">
          <w:rPr>
            <w:rFonts w:ascii="Times New Roman" w:cs="Times New Roman" w:eastAsia="Times New Roman" w:hAnsi="Times New Roman"/>
            <w:sz w:val="24"/>
            <w:szCs w:val="24"/>
            <w:u w:val="single"/>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https://doi.org/10.1080/07853890.2020.1868564</w:t>
        </w:r>
      </w:hyperlink>
      <w:r w:rsidDel="00000000" w:rsidR="00000000" w:rsidRPr="00000000">
        <w:rPr>
          <w:rtl w:val="0"/>
        </w:rPr>
      </w:r>
    </w:p>
    <w:p w:rsidR="00000000" w:rsidDel="00000000" w:rsidP="00000000" w:rsidRDefault="00000000" w:rsidRPr="00000000" w14:paraId="00000092">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Gunčar, G., Kukar, M., Notar, M., Brvar, M., Černelč, P., Notar, M., &amp; Notar, M. (2018). </w:t>
      </w:r>
      <w:r w:rsidDel="00000000" w:rsidR="00000000" w:rsidRPr="00000000">
        <w:rPr>
          <w:rFonts w:ascii="Times New Roman" w:cs="Times New Roman" w:eastAsia="Times New Roman" w:hAnsi="Times New Roman"/>
          <w:i w:val="1"/>
          <w:iCs w:val="1"/>
          <w:sz w:val="24"/>
          <w:szCs w:val="24"/>
          <w:rtl w:val="0"/>
        </w:rPr>
        <w:t xml:space="preserve">An application of machine learning to haematological diagnosis</w:t>
      </w:r>
      <w:r w:rsidDel="00000000" w:rsidR="00000000" w:rsidRPr="00000000">
        <w:rPr>
          <w:rFonts w:ascii="Times New Roman" w:cs="Times New Roman" w:eastAsia="Times New Roman" w:hAnsi="Times New Roman"/>
          <w:sz w:val="24"/>
          <w:szCs w:val="24"/>
          <w:rtl w:val="0"/>
        </w:rPr>
        <w:t xml:space="preserve">. Scientific Reports, 8, 411.</w:t>
      </w:r>
    </w:p>
    <w:p w:rsidR="00000000" w:rsidDel="00000000" w:rsidP="00000000" w:rsidRDefault="00000000" w:rsidRPr="00000000" w14:paraId="00000093">
      <w:pPr>
        <w:pStyle w:val="Heading2"/>
        <w:keepNext w:val="0"/>
        <w:keepLines w:val="0"/>
        <w:spacing w:after="240" w:before="240" w:lineRule="auto"/>
        <w:ind w:left="720" w:hanging="720"/>
        <w:jc w:val="both"/>
        <w:rPr>
          <w:rFonts w:ascii="Times New Roman" w:cs="Times New Roman" w:eastAsia="Times New Roman" w:hAnsi="Times New Roman"/>
          <w:color w:val="1155cc"/>
          <w:sz w:val="24"/>
          <w:szCs w:val="24"/>
          <w:u w:val="single"/>
        </w:rPr>
      </w:pPr>
      <w:bookmarkStart w:colFirst="0" w:colLast="0" w:name="_di7shagjc9ch" w:id="36"/>
      <w:bookmarkEnd w:id="36"/>
      <w:r w:rsidDel="00000000" w:rsidR="00000000" w:rsidRPr="00000000">
        <w:rPr>
          <w:rFonts w:ascii="Times New Roman" w:cs="Times New Roman" w:eastAsia="Times New Roman" w:hAnsi="Times New Roman"/>
          <w:sz w:val="24"/>
          <w:szCs w:val="24"/>
          <w:rtl w:val="0"/>
        </w:rPr>
        <w:t xml:space="preserve">Hornbrook MC, Goshen R, Choman E, et al. (2017). Early colorectal cancer detected by machine learning model using gender, age, and complete blood count data. </w:t>
      </w:r>
      <w:r w:rsidDel="00000000" w:rsidR="00000000" w:rsidRPr="00000000">
        <w:rPr>
          <w:rFonts w:ascii="Times New Roman" w:cs="Times New Roman" w:eastAsia="Times New Roman" w:hAnsi="Times New Roman"/>
          <w:i w:val="1"/>
          <w:iCs w:val="1"/>
          <w:sz w:val="24"/>
          <w:szCs w:val="24"/>
          <w:rtl w:val="0"/>
        </w:rPr>
        <w:t xml:space="preserve">Digestive Diseases and Sciences</w:t>
      </w:r>
      <w:r w:rsidDel="00000000" w:rsidR="00000000" w:rsidRPr="00000000">
        <w:rPr>
          <w:rFonts w:ascii="Times New Roman" w:cs="Times New Roman" w:eastAsia="Times New Roman" w:hAnsi="Times New Roman"/>
          <w:sz w:val="24"/>
          <w:szCs w:val="24"/>
          <w:rtl w:val="0"/>
        </w:rPr>
        <w:t xml:space="preserve">, 62, 2719–2727.</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https://doi.org/10.1007/s10620-017-4701-6</w:t>
        </w:r>
      </w:hyperlink>
      <w:r w:rsidDel="00000000" w:rsidR="00000000" w:rsidRPr="00000000">
        <w:rPr>
          <w:rtl w:val="0"/>
        </w:rPr>
      </w:r>
    </w:p>
    <w:p w:rsidR="00000000" w:rsidDel="00000000" w:rsidP="00000000" w:rsidRDefault="00000000" w:rsidRPr="00000000" w14:paraId="00000094">
      <w:pPr>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Hou, H., Zhang, R., &amp; Li, J. (2024). Artificial intelligence in the clinical laboratory. </w:t>
      </w:r>
      <w:r w:rsidDel="00000000" w:rsidR="00000000" w:rsidRPr="00000000">
        <w:rPr>
          <w:rFonts w:ascii="Times New Roman" w:cs="Times New Roman" w:eastAsia="Times New Roman" w:hAnsi="Times New Roman"/>
          <w:i w:val="1"/>
          <w:iCs w:val="1"/>
          <w:sz w:val="24"/>
          <w:szCs w:val="24"/>
          <w:rtl w:val="0"/>
        </w:rPr>
        <w:t xml:space="preserve">Clinica Chimica Acta, 559</w:t>
      </w:r>
      <w:r w:rsidDel="00000000" w:rsidR="00000000" w:rsidRPr="00000000">
        <w:rPr>
          <w:rFonts w:ascii="Times New Roman" w:cs="Times New Roman" w:eastAsia="Times New Roman" w:hAnsi="Times New Roman"/>
          <w:sz w:val="24"/>
          <w:szCs w:val="24"/>
          <w:rtl w:val="0"/>
        </w:rPr>
        <w:t xml:space="preserve">, 119724.</w:t>
      </w:r>
      <w:hyperlink r:id="rId26">
        <w:r w:rsidDel="00000000" w:rsidR="00000000" w:rsidRPr="00000000">
          <w:rPr>
            <w:rFonts w:ascii="Times New Roman" w:cs="Times New Roman" w:eastAsia="Times New Roman" w:hAnsi="Times New Roman"/>
            <w:sz w:val="24"/>
            <w:szCs w:val="24"/>
            <w:u w:val="single"/>
            <w:rtl w:val="0"/>
          </w:rPr>
          <w:t xml:space="preserve"> </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https://doi.org/10.1016/j.cca.2024.119724</w:t>
        </w:r>
      </w:hyperlink>
      <w:r w:rsidDel="00000000" w:rsidR="00000000" w:rsidRPr="00000000">
        <w:rPr>
          <w:rtl w:val="0"/>
        </w:rPr>
      </w:r>
    </w:p>
    <w:p w:rsidR="00000000" w:rsidDel="00000000" w:rsidP="00000000" w:rsidRDefault="00000000" w:rsidRPr="00000000" w14:paraId="00000095">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sh47g8cynjs1" w:id="37"/>
      <w:bookmarkEnd w:id="37"/>
      <w:r w:rsidDel="00000000" w:rsidR="00000000" w:rsidRPr="00000000">
        <w:rPr>
          <w:rFonts w:ascii="Times New Roman" w:cs="Times New Roman" w:eastAsia="Times New Roman" w:hAnsi="Times New Roman"/>
          <w:sz w:val="24"/>
          <w:szCs w:val="24"/>
          <w:rtl w:val="0"/>
        </w:rPr>
        <w:t xml:space="preserve">Huang, G., Jin, Q., &amp; Mao, Y. (2023). Predicting the 5-year risk of nonalcoholic fatty liver disease using machine learning models: Prospective cohort study. </w:t>
      </w:r>
      <w:r w:rsidDel="00000000" w:rsidR="00000000" w:rsidRPr="00000000">
        <w:rPr>
          <w:rFonts w:ascii="Times New Roman" w:cs="Times New Roman" w:eastAsia="Times New Roman" w:hAnsi="Times New Roman"/>
          <w:i w:val="1"/>
          <w:iCs w:val="1"/>
          <w:sz w:val="24"/>
          <w:szCs w:val="24"/>
          <w:rtl w:val="0"/>
        </w:rPr>
        <w:t xml:space="preserve">Journal of Medical Internet Research, 25</w:t>
      </w:r>
      <w:r w:rsidDel="00000000" w:rsidR="00000000" w:rsidRPr="00000000">
        <w:rPr>
          <w:rFonts w:ascii="Times New Roman" w:cs="Times New Roman" w:eastAsia="Times New Roman" w:hAnsi="Times New Roman"/>
          <w:sz w:val="24"/>
          <w:szCs w:val="24"/>
          <w:rtl w:val="0"/>
        </w:rPr>
        <w:t xml:space="preserve">, e46891. https://doi.org/10.2196/46891</w:t>
      </w:r>
    </w:p>
    <w:p w:rsidR="00000000" w:rsidDel="00000000" w:rsidP="00000000" w:rsidRDefault="00000000" w:rsidRPr="00000000" w14:paraId="00000096">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Telecommunication Union, World Health Organization, &amp; World Intellectual Property Organization. (2025, March 17–19). </w:t>
      </w:r>
      <w:r w:rsidDel="00000000" w:rsidR="00000000" w:rsidRPr="00000000">
        <w:rPr>
          <w:rFonts w:ascii="Times New Roman" w:cs="Times New Roman" w:eastAsia="Times New Roman" w:hAnsi="Times New Roman"/>
          <w:i w:val="1"/>
          <w:iCs w:val="1"/>
          <w:sz w:val="24"/>
          <w:szCs w:val="24"/>
          <w:rtl w:val="0"/>
        </w:rPr>
        <w:t xml:space="preserve">ITU/WHO/WIPO global initiative on artificial intelligence for health (GI-AI4H) meeting</w:t>
      </w:r>
      <w:r w:rsidDel="00000000" w:rsidR="00000000" w:rsidRPr="00000000">
        <w:rPr>
          <w:rFonts w:ascii="Times New Roman" w:cs="Times New Roman" w:eastAsia="Times New Roman" w:hAnsi="Times New Roman"/>
          <w:sz w:val="24"/>
          <w:szCs w:val="24"/>
          <w:rtl w:val="0"/>
        </w:rPr>
        <w:t xml:space="preserve">. National University of Singapore, Centre for Life Sciences, Singapore.</w:t>
      </w:r>
      <w:hyperlink r:id="rId28">
        <w:r w:rsidDel="00000000" w:rsidR="00000000" w:rsidRPr="00000000">
          <w:rPr>
            <w:rFonts w:ascii="Times New Roman" w:cs="Times New Roman" w:eastAsia="Times New Roman" w:hAnsi="Times New Roman"/>
            <w:sz w:val="24"/>
            <w:szCs w:val="24"/>
            <w:u w:val="single"/>
            <w:rtl w:val="0"/>
          </w:rPr>
          <w:t xml:space="preserve"> </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https://www.itu.int/en/ITU-T/focusgroups/ai4h/Pages/default.aspx</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Ivanova, I., Ivanova, N., &amp; Atanasova, B. (2024). Artificial intelligence in laboratory medicine – Let’s talk about it. </w:t>
      </w:r>
      <w:r w:rsidDel="00000000" w:rsidR="00000000" w:rsidRPr="00000000">
        <w:rPr>
          <w:rFonts w:ascii="Times New Roman" w:cs="Times New Roman" w:eastAsia="Times New Roman" w:hAnsi="Times New Roman"/>
          <w:i w:val="1"/>
          <w:iCs w:val="1"/>
          <w:sz w:val="24"/>
          <w:szCs w:val="24"/>
          <w:rtl w:val="0"/>
        </w:rPr>
        <w:t xml:space="preserve">Bulgarian Society of Medical Sciences Journal, 3</w:t>
      </w:r>
      <w:r w:rsidDel="00000000" w:rsidR="00000000" w:rsidRPr="00000000">
        <w:rPr>
          <w:rFonts w:ascii="Times New Roman" w:cs="Times New Roman" w:eastAsia="Times New Roman" w:hAnsi="Times New Roman"/>
          <w:sz w:val="24"/>
          <w:szCs w:val="24"/>
          <w:rtl w:val="0"/>
        </w:rPr>
        <w:t xml:space="preserve">, 1–4. https://doi.org/10.3897/bsms.3.120969 </w:t>
      </w:r>
    </w:p>
    <w:p w:rsidR="00000000" w:rsidDel="00000000" w:rsidP="00000000" w:rsidRDefault="00000000" w:rsidRPr="00000000" w14:paraId="00000099">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Januzzi, J. L., Jr., Sattar, N., Vaduganathan, M., Magaret, C. A., Rhyne, R. F., Liu, Y., Masson, S., Butler, J., &amp; Hansen, M. K. (2025). A validated multivariable machine learning model to predict cardio-kidney risk in diabetic kidney disease. </w:t>
      </w:r>
      <w:r w:rsidDel="00000000" w:rsidR="00000000" w:rsidRPr="00000000">
        <w:rPr>
          <w:rFonts w:ascii="Times New Roman" w:cs="Times New Roman" w:eastAsia="Times New Roman" w:hAnsi="Times New Roman"/>
          <w:i w:val="1"/>
          <w:iCs w:val="1"/>
          <w:sz w:val="24"/>
          <w:szCs w:val="24"/>
          <w:rtl w:val="0"/>
        </w:rPr>
        <w:t xml:space="preserve">Cardiovascular Diabetology, 24</w:t>
      </w:r>
      <w:r w:rsidDel="00000000" w:rsidR="00000000" w:rsidRPr="00000000">
        <w:rPr>
          <w:rFonts w:ascii="Times New Roman" w:cs="Times New Roman" w:eastAsia="Times New Roman" w:hAnsi="Times New Roman"/>
          <w:sz w:val="24"/>
          <w:szCs w:val="24"/>
          <w:rtl w:val="0"/>
        </w:rPr>
        <w:t xml:space="preserve">(1), 213. https://doi.org/10.1186/s12933-025-02779-5</w:t>
      </w:r>
    </w:p>
    <w:p w:rsidR="00000000" w:rsidDel="00000000" w:rsidP="00000000" w:rsidRDefault="00000000" w:rsidRPr="00000000" w14:paraId="0000009B">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fvyg8q3u1jyz" w:id="38"/>
      <w:bookmarkEnd w:id="38"/>
      <w:r w:rsidDel="00000000" w:rsidR="00000000" w:rsidRPr="00000000">
        <w:rPr>
          <w:rFonts w:ascii="Times New Roman" w:cs="Times New Roman" w:eastAsia="Times New Roman" w:hAnsi="Times New Roman"/>
          <w:sz w:val="24"/>
          <w:szCs w:val="24"/>
          <w:rtl w:val="0"/>
        </w:rPr>
        <w:t xml:space="preserve">Jawad BN, Shaker SM, Altintas I, et al. (2024). </w:t>
      </w:r>
      <w:r w:rsidDel="00000000" w:rsidR="00000000" w:rsidRPr="00000000">
        <w:rPr>
          <w:rFonts w:ascii="Times New Roman" w:cs="Times New Roman" w:eastAsia="Times New Roman" w:hAnsi="Times New Roman"/>
          <w:i w:val="1"/>
          <w:iCs w:val="1"/>
          <w:sz w:val="24"/>
          <w:szCs w:val="24"/>
          <w:rtl w:val="0"/>
        </w:rPr>
        <w:t xml:space="preserve">Development and validation of prognostic machine learning models for short- and long-term mortality among acutely admitted patients based on blood tests</w:t>
      </w:r>
      <w:r w:rsidDel="00000000" w:rsidR="00000000" w:rsidRPr="00000000">
        <w:rPr>
          <w:rFonts w:ascii="Times New Roman" w:cs="Times New Roman" w:eastAsia="Times New Roman" w:hAnsi="Times New Roman"/>
          <w:sz w:val="24"/>
          <w:szCs w:val="24"/>
          <w:rtl w:val="0"/>
        </w:rPr>
        <w:t xml:space="preserve">. Scientific Reports</w:t>
      </w:r>
    </w:p>
    <w:p w:rsidR="00000000" w:rsidDel="00000000" w:rsidP="00000000" w:rsidRDefault="00000000" w:rsidRPr="00000000" w14:paraId="0000009C">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esmxj54rl8tt" w:id="39"/>
      <w:bookmarkEnd w:id="39"/>
      <w:r w:rsidDel="00000000" w:rsidR="00000000" w:rsidRPr="00000000">
        <w:rPr>
          <w:rFonts w:ascii="Times New Roman" w:cs="Times New Roman" w:eastAsia="Times New Roman" w:hAnsi="Times New Roman"/>
          <w:color w:val="222222"/>
          <w:sz w:val="24"/>
          <w:szCs w:val="24"/>
          <w:rtl w:val="0"/>
        </w:rPr>
        <w:t xml:space="preserve">Kaneko, H., Umakoshi, H., Ogata, M. </w:t>
      </w:r>
      <w:r w:rsidDel="00000000" w:rsidR="00000000" w:rsidRPr="00000000">
        <w:rPr>
          <w:rFonts w:ascii="Times New Roman" w:cs="Times New Roman" w:eastAsia="Times New Roman" w:hAnsi="Times New Roman"/>
          <w:i w:val="1"/>
          <w:iCs w:val="1"/>
          <w:color w:val="222222"/>
          <w:sz w:val="24"/>
          <w:szCs w:val="24"/>
          <w:rtl w:val="0"/>
        </w:rPr>
        <w:t xml:space="preserve">et al., (2021)</w:t>
      </w:r>
      <w:r w:rsidDel="00000000" w:rsidR="00000000" w:rsidRPr="00000000">
        <w:rPr>
          <w:rFonts w:ascii="Times New Roman" w:cs="Times New Roman" w:eastAsia="Times New Roman" w:hAnsi="Times New Roman"/>
          <w:color w:val="222222"/>
          <w:sz w:val="24"/>
          <w:szCs w:val="24"/>
          <w:rtl w:val="0"/>
        </w:rPr>
        <w:t xml:space="preserve"> Machine learning based models for prediction of subtype diagnosis of primary aldosteronism using blood test. </w:t>
      </w:r>
      <w:r w:rsidDel="00000000" w:rsidR="00000000" w:rsidRPr="00000000">
        <w:rPr>
          <w:rFonts w:ascii="Times New Roman" w:cs="Times New Roman" w:eastAsia="Times New Roman" w:hAnsi="Times New Roman"/>
          <w:i w:val="1"/>
          <w:iCs w:val="1"/>
          <w:color w:val="222222"/>
          <w:sz w:val="24"/>
          <w:szCs w:val="24"/>
          <w:rtl w:val="0"/>
        </w:rPr>
        <w:t xml:space="preserve">Sci Rep</w:t>
      </w:r>
      <w:r w:rsidDel="00000000" w:rsidR="00000000" w:rsidRPr="00000000">
        <w:rPr>
          <w:rFonts w:ascii="Times New Roman" w:cs="Times New Roman" w:eastAsia="Times New Roman" w:hAnsi="Times New Roman"/>
          <w:color w:val="222222"/>
          <w:sz w:val="24"/>
          <w:szCs w:val="24"/>
          <w:rtl w:val="0"/>
        </w:rPr>
        <w:t xml:space="preserve"> 11, 9140 (2021). https://doi.org/10.1038/s41598-021-88712-8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D">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w3qsog67cwhl" w:id="40"/>
      <w:bookmarkEnd w:id="40"/>
      <w:r w:rsidDel="00000000" w:rsidR="00000000" w:rsidRPr="00000000">
        <w:rPr>
          <w:rFonts w:ascii="Times New Roman" w:cs="Times New Roman" w:eastAsia="Times New Roman" w:hAnsi="Times New Roman"/>
          <w:sz w:val="24"/>
          <w:szCs w:val="24"/>
          <w:rtl w:val="0"/>
        </w:rPr>
        <w:t xml:space="preserve">Karthikeyan, A., Garg, A., Vinod, P. K., &amp; Priyakumar, U. D. (2021). Machine learning based clinical decision support system for early COVID-19 mortality prediction. </w:t>
      </w:r>
      <w:r w:rsidDel="00000000" w:rsidR="00000000" w:rsidRPr="00000000">
        <w:rPr>
          <w:rFonts w:ascii="Times New Roman" w:cs="Times New Roman" w:eastAsia="Times New Roman" w:hAnsi="Times New Roman"/>
          <w:i w:val="1"/>
          <w:iCs w:val="1"/>
          <w:sz w:val="24"/>
          <w:szCs w:val="24"/>
          <w:rtl w:val="0"/>
        </w:rPr>
        <w:t xml:space="preserve">Frontiers in Public Health, 9</w:t>
      </w:r>
      <w:r w:rsidDel="00000000" w:rsidR="00000000" w:rsidRPr="00000000">
        <w:rPr>
          <w:rFonts w:ascii="Times New Roman" w:cs="Times New Roman" w:eastAsia="Times New Roman" w:hAnsi="Times New Roman"/>
          <w:sz w:val="24"/>
          <w:szCs w:val="24"/>
          <w:rtl w:val="0"/>
        </w:rPr>
        <w:t xml:space="preserve">, 626697. https://doi.org/10.3389/fpubh.2021.626697</w:t>
      </w:r>
    </w:p>
    <w:p w:rsidR="00000000" w:rsidDel="00000000" w:rsidP="00000000" w:rsidRDefault="00000000" w:rsidRPr="00000000" w14:paraId="0000009E">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Kawakami, E., Tabata, J., Yanaihara, N., et al. (2019). </w:t>
      </w:r>
      <w:r w:rsidDel="00000000" w:rsidR="00000000" w:rsidRPr="00000000">
        <w:rPr>
          <w:rFonts w:ascii="Times New Roman" w:cs="Times New Roman" w:eastAsia="Times New Roman" w:hAnsi="Times New Roman"/>
          <w:i w:val="1"/>
          <w:iCs w:val="1"/>
          <w:sz w:val="24"/>
          <w:szCs w:val="24"/>
          <w:rtl w:val="0"/>
        </w:rPr>
        <w:t xml:space="preserve">Application of artificial intelligence for preoperative diagnostic and prognostic prediction in epithelial ovarian cancer based on blood biomarkers</w:t>
      </w:r>
      <w:r w:rsidDel="00000000" w:rsidR="00000000" w:rsidRPr="00000000">
        <w:rPr>
          <w:rFonts w:ascii="Times New Roman" w:cs="Times New Roman" w:eastAsia="Times New Roman" w:hAnsi="Times New Roman"/>
          <w:sz w:val="24"/>
          <w:szCs w:val="24"/>
          <w:rtl w:val="0"/>
        </w:rPr>
        <w:t xml:space="preserve">. Clinical Cancer Research, 25(10), 3006–3015.</w:t>
      </w:r>
    </w:p>
    <w:p w:rsidR="00000000" w:rsidDel="00000000" w:rsidP="00000000" w:rsidRDefault="00000000" w:rsidRPr="00000000" w14:paraId="0000009F">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k1ak7gs33dl8" w:id="41"/>
      <w:bookmarkEnd w:id="41"/>
      <w:r w:rsidDel="00000000" w:rsidR="00000000" w:rsidRPr="00000000">
        <w:rPr>
          <w:rFonts w:ascii="Times New Roman" w:cs="Times New Roman" w:eastAsia="Times New Roman" w:hAnsi="Times New Roman"/>
          <w:sz w:val="24"/>
          <w:szCs w:val="24"/>
          <w:rtl w:val="0"/>
        </w:rPr>
        <w:t xml:space="preserve">Koloi, A., Loukas, V. S., Hourican, C., Sakellarios, A. I., Quax, R., Mishra, P. P., Lehtimäki, T., Raitakari, O. T., Papaloukas, C., Bosch, J. A., März, W., &amp; Fotiadis, D. I. (2024). Predicting early-stage coronary artery disease using machine learning and routine clinical biomarkers improved by augmented virtual data. </w:t>
      </w:r>
      <w:r w:rsidDel="00000000" w:rsidR="00000000" w:rsidRPr="00000000">
        <w:rPr>
          <w:rFonts w:ascii="Times New Roman" w:cs="Times New Roman" w:eastAsia="Times New Roman" w:hAnsi="Times New Roman"/>
          <w:i w:val="1"/>
          <w:iCs w:val="1"/>
          <w:sz w:val="24"/>
          <w:szCs w:val="24"/>
          <w:rtl w:val="0"/>
        </w:rPr>
        <w:t xml:space="preserve">European Heart Journal – Digital Health</w:t>
      </w:r>
      <w:r w:rsidDel="00000000" w:rsidR="00000000" w:rsidRPr="00000000">
        <w:rPr>
          <w:rFonts w:ascii="Times New Roman" w:cs="Times New Roman" w:eastAsia="Times New Roman" w:hAnsi="Times New Roman"/>
          <w:sz w:val="24"/>
          <w:szCs w:val="24"/>
          <w:rtl w:val="0"/>
        </w:rPr>
        <w:t xml:space="preserve">. https://doi.org/10.1093/ehjdh/ztae102</w:t>
      </w:r>
    </w:p>
    <w:p w:rsidR="00000000" w:rsidDel="00000000" w:rsidP="00000000" w:rsidRDefault="00000000" w:rsidRPr="00000000" w14:paraId="000000A0">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Kraszewski S, Szczurek W, Szymczak J, et al. (2021). </w:t>
      </w:r>
      <w:r w:rsidDel="00000000" w:rsidR="00000000" w:rsidRPr="00000000">
        <w:rPr>
          <w:rFonts w:ascii="Times New Roman" w:cs="Times New Roman" w:eastAsia="Times New Roman" w:hAnsi="Times New Roman"/>
          <w:i w:val="1"/>
          <w:iCs w:val="1"/>
          <w:sz w:val="24"/>
          <w:szCs w:val="24"/>
          <w:rtl w:val="0"/>
        </w:rPr>
        <w:t xml:space="preserve">Machine Learning Prediction Model for Inflammatory Bowel Disease Based on Laboratory Markers: Working Model in a Discovery Cohort Study</w:t>
      </w:r>
      <w:r w:rsidDel="00000000" w:rsidR="00000000" w:rsidRPr="00000000">
        <w:rPr>
          <w:rFonts w:ascii="Times New Roman" w:cs="Times New Roman" w:eastAsia="Times New Roman" w:hAnsi="Times New Roman"/>
          <w:sz w:val="24"/>
          <w:szCs w:val="24"/>
          <w:rtl w:val="0"/>
        </w:rPr>
        <w:t xml:space="preserve">. Journal of Clinical Medicine</w:t>
      </w:r>
    </w:p>
    <w:p w:rsidR="00000000" w:rsidDel="00000000" w:rsidP="00000000" w:rsidRDefault="00000000" w:rsidRPr="00000000" w14:paraId="000000A1">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1fe6nkipxjnr" w:id="42"/>
      <w:bookmarkEnd w:id="42"/>
      <w:r w:rsidDel="00000000" w:rsidR="00000000" w:rsidRPr="00000000">
        <w:rPr>
          <w:rFonts w:ascii="Times New Roman" w:cs="Times New Roman" w:eastAsia="Times New Roman" w:hAnsi="Times New Roman"/>
          <w:sz w:val="24"/>
          <w:szCs w:val="24"/>
          <w:rtl w:val="0"/>
        </w:rPr>
        <w:t xml:space="preserve">Kukar M, Gunčar G, Vovko T, et al. (2021). </w:t>
      </w:r>
      <w:r w:rsidDel="00000000" w:rsidR="00000000" w:rsidRPr="00000000">
        <w:rPr>
          <w:rFonts w:ascii="Times New Roman" w:cs="Times New Roman" w:eastAsia="Times New Roman" w:hAnsi="Times New Roman"/>
          <w:i w:val="1"/>
          <w:iCs w:val="1"/>
          <w:sz w:val="24"/>
          <w:szCs w:val="24"/>
          <w:rtl w:val="0"/>
        </w:rPr>
        <w:t xml:space="preserve">COVID-19 diagnosis by routine blood tests using machine learning</w:t>
      </w:r>
      <w:r w:rsidDel="00000000" w:rsidR="00000000" w:rsidRPr="00000000">
        <w:rPr>
          <w:rFonts w:ascii="Times New Roman" w:cs="Times New Roman" w:eastAsia="Times New Roman" w:hAnsi="Times New Roman"/>
          <w:sz w:val="24"/>
          <w:szCs w:val="24"/>
          <w:rtl w:val="0"/>
        </w:rPr>
        <w:t xml:space="preserve">. Scientific Reports.</w:t>
      </w:r>
    </w:p>
    <w:p w:rsidR="00000000" w:rsidDel="00000000" w:rsidP="00000000" w:rsidRDefault="00000000" w:rsidRPr="00000000" w14:paraId="000000A2">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Laguarta, J., Hueto, F., &amp; Subirana, B. (2020). </w:t>
      </w:r>
      <w:r w:rsidDel="00000000" w:rsidR="00000000" w:rsidRPr="00000000">
        <w:rPr>
          <w:rFonts w:ascii="Times New Roman" w:cs="Times New Roman" w:eastAsia="Times New Roman" w:hAnsi="Times New Roman"/>
          <w:i w:val="1"/>
          <w:iCs w:val="1"/>
          <w:sz w:val="24"/>
          <w:szCs w:val="24"/>
          <w:rtl w:val="0"/>
        </w:rPr>
        <w:t xml:space="preserve">COVID-19 Artificial Intelligence Diagnosis Using Only Cough Recordings</w:t>
      </w:r>
      <w:r w:rsidDel="00000000" w:rsidR="00000000" w:rsidRPr="00000000">
        <w:rPr>
          <w:rFonts w:ascii="Times New Roman" w:cs="Times New Roman" w:eastAsia="Times New Roman" w:hAnsi="Times New Roman"/>
          <w:sz w:val="24"/>
          <w:szCs w:val="24"/>
          <w:rtl w:val="0"/>
        </w:rPr>
        <w:t xml:space="preserve">. IEEE Open Journal of Engineering in Medicine and Biology, 1, 275–281.</w:t>
      </w:r>
    </w:p>
    <w:p w:rsidR="00000000" w:rsidDel="00000000" w:rsidP="00000000" w:rsidRDefault="00000000" w:rsidRPr="00000000" w14:paraId="000000A3">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S., Park, J. S., Woo, H., Yoo, Y. K., Lee, D., Chung, S., Yoon, D. S., Lee, K. B., &amp; Lee, J. H. (2024). </w:t>
      </w:r>
      <w:r w:rsidDel="00000000" w:rsidR="00000000" w:rsidRPr="00000000">
        <w:rPr>
          <w:rFonts w:ascii="Times New Roman" w:cs="Times New Roman" w:eastAsia="Times New Roman" w:hAnsi="Times New Roman"/>
          <w:i w:val="1"/>
          <w:iCs w:val="1"/>
          <w:sz w:val="24"/>
          <w:szCs w:val="24"/>
          <w:rtl w:val="0"/>
        </w:rPr>
        <w:t xml:space="preserve">Rapid deep learning-assisted predictive diagnostics for point-of-care testing</w:t>
      </w:r>
      <w:r w:rsidDel="00000000" w:rsidR="00000000" w:rsidRPr="00000000">
        <w:rPr>
          <w:rFonts w:ascii="Times New Roman" w:cs="Times New Roman" w:eastAsia="Times New Roman" w:hAnsi="Times New Roman"/>
          <w:sz w:val="24"/>
          <w:szCs w:val="24"/>
          <w:rtl w:val="0"/>
        </w:rPr>
        <w:t xml:space="preserve">. Nature Communications, 15, 1695.</w:t>
      </w:r>
    </w:p>
    <w:p w:rsidR="00000000" w:rsidDel="00000000" w:rsidP="00000000" w:rsidRDefault="00000000" w:rsidRPr="00000000" w14:paraId="000000A4">
      <w:pPr>
        <w:pStyle w:val="Heading2"/>
        <w:keepNext w:val="0"/>
        <w:keepLines w:val="0"/>
        <w:spacing w:after="240" w:before="240" w:lineRule="auto"/>
        <w:ind w:left="720" w:hanging="720"/>
        <w:jc w:val="both"/>
        <w:rPr>
          <w:rFonts w:ascii="Times New Roman" w:cs="Times New Roman" w:eastAsia="Times New Roman" w:hAnsi="Times New Roman"/>
          <w:color w:val="1155cc"/>
          <w:sz w:val="24"/>
          <w:szCs w:val="24"/>
          <w:u w:val="single"/>
        </w:rPr>
      </w:pPr>
      <w:bookmarkStart w:colFirst="0" w:colLast="0" w:name="_jup65pqjko15" w:id="43"/>
      <w:bookmarkEnd w:id="43"/>
      <w:r w:rsidDel="00000000" w:rsidR="00000000" w:rsidRPr="00000000">
        <w:rPr>
          <w:rFonts w:ascii="Times New Roman" w:cs="Times New Roman" w:eastAsia="Times New Roman" w:hAnsi="Times New Roman"/>
          <w:sz w:val="24"/>
          <w:szCs w:val="24"/>
          <w:rtl w:val="0"/>
        </w:rPr>
        <w:t xml:space="preserve">Lev-Tzion R, Dolev AS, Bar-Asher SY, et al. (2025). Machine learning for predicting Crohn’s disease from routine blood tests years before diagnosis: results from the epi-IIRN cohort. </w:t>
      </w:r>
      <w:r w:rsidDel="00000000" w:rsidR="00000000" w:rsidRPr="00000000">
        <w:rPr>
          <w:rFonts w:ascii="Times New Roman" w:cs="Times New Roman" w:eastAsia="Times New Roman" w:hAnsi="Times New Roman"/>
          <w:i w:val="1"/>
          <w:iCs w:val="1"/>
          <w:sz w:val="24"/>
          <w:szCs w:val="24"/>
          <w:rtl w:val="0"/>
        </w:rPr>
        <w:t xml:space="preserve">Journal of Crohn’s and Colitis</w:t>
      </w:r>
      <w:r w:rsidDel="00000000" w:rsidR="00000000" w:rsidRPr="00000000">
        <w:rPr>
          <w:rFonts w:ascii="Times New Roman" w:cs="Times New Roman" w:eastAsia="Times New Roman" w:hAnsi="Times New Roman"/>
          <w:sz w:val="24"/>
          <w:szCs w:val="24"/>
          <w:rtl w:val="0"/>
        </w:rPr>
        <w:t xml:space="preserve">, 19(8), jjaf143.</w:t>
      </w:r>
      <w:hyperlink r:id="rId30">
        <w:r w:rsidDel="00000000" w:rsidR="00000000" w:rsidRPr="00000000">
          <w:rPr>
            <w:rFonts w:ascii="Times New Roman" w:cs="Times New Roman" w:eastAsia="Times New Roman" w:hAnsi="Times New Roman"/>
            <w:sz w:val="24"/>
            <w:szCs w:val="24"/>
            <w:u w:val="single"/>
            <w:rtl w:val="0"/>
          </w:rPr>
          <w:t xml:space="preserve"> </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https://doi.org/10.1093/ecco-jcc/jjaf143</w:t>
        </w:r>
      </w:hyperlink>
      <w:r w:rsidDel="00000000" w:rsidR="00000000" w:rsidRPr="00000000">
        <w:rPr>
          <w:rtl w:val="0"/>
        </w:rPr>
      </w:r>
    </w:p>
    <w:p w:rsidR="00000000" w:rsidDel="00000000" w:rsidP="00000000" w:rsidRDefault="00000000" w:rsidRPr="00000000" w14:paraId="000000A5">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J. E., &amp; Kemp, M. L. (2021). </w:t>
      </w:r>
      <w:r w:rsidDel="00000000" w:rsidR="00000000" w:rsidRPr="00000000">
        <w:rPr>
          <w:rFonts w:ascii="Times New Roman" w:cs="Times New Roman" w:eastAsia="Times New Roman" w:hAnsi="Times New Roman"/>
          <w:i w:val="1"/>
          <w:iCs w:val="1"/>
          <w:sz w:val="24"/>
          <w:szCs w:val="24"/>
          <w:rtl w:val="0"/>
        </w:rPr>
        <w:t xml:space="preserve">Integration of machine learning and genome-scale metabolic modeling identifies multi-omics biomarkers for radiation resistance</w:t>
      </w:r>
      <w:r w:rsidDel="00000000" w:rsidR="00000000" w:rsidRPr="00000000">
        <w:rPr>
          <w:rFonts w:ascii="Times New Roman" w:cs="Times New Roman" w:eastAsia="Times New Roman" w:hAnsi="Times New Roman"/>
          <w:sz w:val="24"/>
          <w:szCs w:val="24"/>
          <w:rtl w:val="0"/>
        </w:rPr>
        <w:t xml:space="preserve">. Nature Communications, 12, 2700.</w:t>
      </w:r>
    </w:p>
    <w:p w:rsidR="00000000" w:rsidDel="00000000" w:rsidP="00000000" w:rsidRDefault="00000000" w:rsidRPr="00000000" w14:paraId="000000A6">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Lippi, G., &amp; Plebani, M. (2025). Lights and shadows of artificial intelligence in laboratory medicine. </w:t>
      </w:r>
      <w:r w:rsidDel="00000000" w:rsidR="00000000" w:rsidRPr="00000000">
        <w:rPr>
          <w:rFonts w:ascii="Times New Roman" w:cs="Times New Roman" w:eastAsia="Times New Roman" w:hAnsi="Times New Roman"/>
          <w:i w:val="1"/>
          <w:iCs w:val="1"/>
          <w:sz w:val="24"/>
          <w:szCs w:val="24"/>
          <w:rtl w:val="0"/>
        </w:rPr>
        <w:t xml:space="preserve">Advances in Laboratory Medicine, 6</w:t>
      </w:r>
      <w:r w:rsidDel="00000000" w:rsidR="00000000" w:rsidRPr="00000000">
        <w:rPr>
          <w:rFonts w:ascii="Times New Roman" w:cs="Times New Roman" w:eastAsia="Times New Roman" w:hAnsi="Times New Roman"/>
          <w:sz w:val="24"/>
          <w:szCs w:val="24"/>
          <w:rtl w:val="0"/>
        </w:rPr>
        <w:t xml:space="preserve">(1), 1–3. https://doi.org/10.1515/almed-2025-0024 </w:t>
      </w:r>
    </w:p>
    <w:p w:rsidR="00000000" w:rsidDel="00000000" w:rsidP="00000000" w:rsidRDefault="00000000" w:rsidRPr="00000000" w14:paraId="000000A7">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6iknemq2ryhs" w:id="44"/>
      <w:bookmarkEnd w:id="44"/>
      <w:r w:rsidDel="00000000" w:rsidR="00000000" w:rsidRPr="00000000">
        <w:rPr>
          <w:rFonts w:ascii="Times New Roman" w:cs="Times New Roman" w:eastAsia="Times New Roman" w:hAnsi="Times New Roman"/>
          <w:sz w:val="24"/>
          <w:szCs w:val="24"/>
          <w:rtl w:val="0"/>
        </w:rPr>
        <w:t xml:space="preserve">Liu, Y., Fan, L., Wang, W., Song, H., Zhang, Z., Liu, Q., Meng, Z., Li, S., Wang, H., Zhou, S., Liu, W., Xia, G., Duan, J., Guo, C., Wang, L., Xu, L., Wang, T., Li, H., Zhang, X., Xiang, T., Liu, D., Yu, Z., Liu, Y., Wang, J., &amp; Zheng, X. (2025). A machine learning model for mortality prediction in patients with severe fever with thrombocytopenia syndrome: A prospective, multicenter cohort study. </w:t>
      </w:r>
      <w:r w:rsidDel="00000000" w:rsidR="00000000" w:rsidRPr="00000000">
        <w:rPr>
          <w:rFonts w:ascii="Times New Roman" w:cs="Times New Roman" w:eastAsia="Times New Roman" w:hAnsi="Times New Roman"/>
          <w:i w:val="1"/>
          <w:iCs w:val="1"/>
          <w:sz w:val="24"/>
          <w:szCs w:val="24"/>
          <w:rtl w:val="0"/>
        </w:rPr>
        <w:t xml:space="preserve">Emerging Microbes &amp; Infections, 14</w:t>
      </w:r>
      <w:r w:rsidDel="00000000" w:rsidR="00000000" w:rsidRPr="00000000">
        <w:rPr>
          <w:rFonts w:ascii="Times New Roman" w:cs="Times New Roman" w:eastAsia="Times New Roman" w:hAnsi="Times New Roman"/>
          <w:sz w:val="24"/>
          <w:szCs w:val="24"/>
          <w:rtl w:val="0"/>
        </w:rPr>
        <w:t xml:space="preserve">(1), 2498572. https://doi.org/10.1080/22221751.2025.2498572</w:t>
      </w:r>
    </w:p>
    <w:p w:rsidR="00000000" w:rsidDel="00000000" w:rsidP="00000000" w:rsidRDefault="00000000" w:rsidRPr="00000000" w14:paraId="000000A8">
      <w:pPr>
        <w:pStyle w:val="Heading2"/>
        <w:keepNext w:val="0"/>
        <w:keepLines w:val="0"/>
        <w:spacing w:after="240" w:before="240" w:lineRule="auto"/>
        <w:ind w:left="720" w:hanging="720"/>
        <w:jc w:val="both"/>
        <w:rPr>
          <w:rFonts w:ascii="Times New Roman" w:cs="Times New Roman" w:eastAsia="Times New Roman" w:hAnsi="Times New Roman"/>
          <w:color w:val="1155cc"/>
          <w:sz w:val="24"/>
          <w:szCs w:val="24"/>
          <w:u w:val="single"/>
        </w:rPr>
      </w:pPr>
      <w:bookmarkStart w:colFirst="0" w:colLast="0" w:name="_4otfcb11mzsa" w:id="45"/>
      <w:bookmarkEnd w:id="45"/>
      <w:r w:rsidDel="00000000" w:rsidR="00000000" w:rsidRPr="00000000">
        <w:rPr>
          <w:rFonts w:ascii="Times New Roman" w:cs="Times New Roman" w:eastAsia="Times New Roman" w:hAnsi="Times New Roman"/>
          <w:sz w:val="24"/>
          <w:szCs w:val="24"/>
          <w:rtl w:val="0"/>
        </w:rPr>
        <w:t xml:space="preserve">Liu, Z.-Z., Yuan, Q., Zhang, Y.-D., Zhang, X.-D., Liu, J., Yan, J.-W., Du, K.-P., Chen, H.-J., &amp; Wang, L. (2025). Validation and interpretation of machine-learning models for rapid identification of active tuberculosis infection using routine laboratory indicators. </w:t>
      </w:r>
      <w:r w:rsidDel="00000000" w:rsidR="00000000" w:rsidRPr="00000000">
        <w:rPr>
          <w:rFonts w:ascii="Times New Roman" w:cs="Times New Roman" w:eastAsia="Times New Roman" w:hAnsi="Times New Roman"/>
          <w:i w:val="1"/>
          <w:iCs w:val="1"/>
          <w:sz w:val="24"/>
          <w:szCs w:val="24"/>
          <w:rtl w:val="0"/>
        </w:rPr>
        <w:t xml:space="preserve">Frontiers in Cellular and Infection Microbiology, 15</w:t>
      </w:r>
      <w:r w:rsidDel="00000000" w:rsidR="00000000" w:rsidRPr="00000000">
        <w:rPr>
          <w:rFonts w:ascii="Times New Roman" w:cs="Times New Roman" w:eastAsia="Times New Roman" w:hAnsi="Times New Roman"/>
          <w:sz w:val="24"/>
          <w:szCs w:val="24"/>
          <w:rtl w:val="0"/>
        </w:rPr>
        <w:t xml:space="preserve">, 1718614.</w:t>
      </w:r>
      <w:hyperlink r:id="rId32">
        <w:r w:rsidDel="00000000" w:rsidR="00000000" w:rsidRPr="00000000">
          <w:rPr>
            <w:rFonts w:ascii="Times New Roman" w:cs="Times New Roman" w:eastAsia="Times New Roman" w:hAnsi="Times New Roman"/>
            <w:sz w:val="24"/>
            <w:szCs w:val="24"/>
            <w:u w:val="single"/>
            <w:rtl w:val="0"/>
          </w:rPr>
          <w:t xml:space="preserve"> </w:t>
        </w:r>
      </w:hyperlink>
      <w:hyperlink r:id="rId33">
        <w:r w:rsidDel="00000000" w:rsidR="00000000" w:rsidRPr="00000000">
          <w:rPr>
            <w:rFonts w:ascii="Times New Roman" w:cs="Times New Roman" w:eastAsia="Times New Roman" w:hAnsi="Times New Roman"/>
            <w:color w:val="1155cc"/>
            <w:sz w:val="24"/>
            <w:szCs w:val="24"/>
            <w:u w:val="single"/>
            <w:rtl w:val="0"/>
          </w:rPr>
          <w:t xml:space="preserve">https://doi.org/10.3389/fcimb.2025.1718614</w:t>
        </w:r>
      </w:hyperlink>
      <w:r w:rsidDel="00000000" w:rsidR="00000000" w:rsidRPr="00000000">
        <w:rPr>
          <w:rtl w:val="0"/>
        </w:rPr>
      </w:r>
    </w:p>
    <w:p w:rsidR="00000000" w:rsidDel="00000000" w:rsidP="00000000" w:rsidRDefault="00000000" w:rsidRPr="00000000" w14:paraId="000000A9">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7d281dbckcb7" w:id="46"/>
      <w:bookmarkEnd w:id="46"/>
      <w:r w:rsidDel="00000000" w:rsidR="00000000" w:rsidRPr="00000000">
        <w:rPr>
          <w:rFonts w:ascii="Times New Roman" w:cs="Times New Roman" w:eastAsia="Times New Roman" w:hAnsi="Times New Roman"/>
          <w:sz w:val="24"/>
          <w:szCs w:val="24"/>
          <w:rtl w:val="0"/>
        </w:rPr>
        <w:t xml:space="preserve">Luo Y, Szolovits P, Dighe AS, Baron JM. (2016). </w:t>
      </w:r>
      <w:r w:rsidDel="00000000" w:rsidR="00000000" w:rsidRPr="00000000">
        <w:rPr>
          <w:rFonts w:ascii="Times New Roman" w:cs="Times New Roman" w:eastAsia="Times New Roman" w:hAnsi="Times New Roman"/>
          <w:i w:val="1"/>
          <w:iCs w:val="1"/>
          <w:sz w:val="24"/>
          <w:szCs w:val="24"/>
          <w:rtl w:val="0"/>
        </w:rPr>
        <w:t xml:space="preserve">Using machine learning to predict laboratory test results</w:t>
      </w:r>
      <w:r w:rsidDel="00000000" w:rsidR="00000000" w:rsidRPr="00000000">
        <w:rPr>
          <w:rFonts w:ascii="Times New Roman" w:cs="Times New Roman" w:eastAsia="Times New Roman" w:hAnsi="Times New Roman"/>
          <w:sz w:val="24"/>
          <w:szCs w:val="24"/>
          <w:rtl w:val="0"/>
        </w:rPr>
        <w:t xml:space="preserve">. American Journal of Clinical Pathology.</w:t>
      </w:r>
    </w:p>
    <w:p w:rsidR="00000000" w:rsidDel="00000000" w:rsidP="00000000" w:rsidRDefault="00000000" w:rsidRPr="00000000" w14:paraId="000000AA">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amqzw0gv47zq" w:id="47"/>
      <w:bookmarkEnd w:id="47"/>
      <w:r w:rsidDel="00000000" w:rsidR="00000000" w:rsidRPr="00000000">
        <w:rPr>
          <w:rFonts w:ascii="Times New Roman" w:cs="Times New Roman" w:eastAsia="Times New Roman" w:hAnsi="Times New Roman"/>
          <w:sz w:val="24"/>
          <w:szCs w:val="24"/>
          <w:rtl w:val="0"/>
        </w:rPr>
        <w:t xml:space="preserve">Luu, H. S. (2025). Laboratory data as a potential source of bias in healthcare artificial intelligence and machine learning models. </w:t>
      </w:r>
      <w:r w:rsidDel="00000000" w:rsidR="00000000" w:rsidRPr="00000000">
        <w:rPr>
          <w:rFonts w:ascii="Times New Roman" w:cs="Times New Roman" w:eastAsia="Times New Roman" w:hAnsi="Times New Roman"/>
          <w:i w:val="1"/>
          <w:iCs w:val="1"/>
          <w:sz w:val="24"/>
          <w:szCs w:val="24"/>
          <w:rtl w:val="0"/>
        </w:rPr>
        <w:t xml:space="preserve">Annals of Laboratory Medicine, 45</w:t>
      </w:r>
      <w:r w:rsidDel="00000000" w:rsidR="00000000" w:rsidRPr="00000000">
        <w:rPr>
          <w:rFonts w:ascii="Times New Roman" w:cs="Times New Roman" w:eastAsia="Times New Roman" w:hAnsi="Times New Roman"/>
          <w:sz w:val="24"/>
          <w:szCs w:val="24"/>
          <w:rtl w:val="0"/>
        </w:rPr>
        <w:t xml:space="preserve">(1), 12–21. https://doi.org/10.3343/alm.2024.0323</w:t>
      </w:r>
    </w:p>
    <w:p w:rsidR="00000000" w:rsidDel="00000000" w:rsidP="00000000" w:rsidRDefault="00000000" w:rsidRPr="00000000" w14:paraId="000000AB">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L., Cai, E., Zhou, Z., Gong, M., &amp; Li, C. (2026). </w:t>
      </w:r>
      <w:r w:rsidDel="00000000" w:rsidR="00000000" w:rsidRPr="00000000">
        <w:rPr>
          <w:rFonts w:ascii="Times New Roman" w:cs="Times New Roman" w:eastAsia="Times New Roman" w:hAnsi="Times New Roman"/>
          <w:i w:val="1"/>
          <w:iCs w:val="1"/>
          <w:sz w:val="24"/>
          <w:szCs w:val="24"/>
          <w:rtl w:val="0"/>
        </w:rPr>
        <w:t xml:space="preserve">Predicting adverse prognostic outcomes in hospitalized breast cancer patients: development and validation of a risk model</w:t>
      </w:r>
      <w:r w:rsidDel="00000000" w:rsidR="00000000" w:rsidRPr="00000000">
        <w:rPr>
          <w:rFonts w:ascii="Times New Roman" w:cs="Times New Roman" w:eastAsia="Times New Roman" w:hAnsi="Times New Roman"/>
          <w:sz w:val="24"/>
          <w:szCs w:val="24"/>
          <w:rtl w:val="0"/>
        </w:rPr>
        <w:t xml:space="preserve">. BMC Medical Informatics and Decision Making, 26, 85.</w:t>
      </w:r>
    </w:p>
    <w:p w:rsidR="00000000" w:rsidDel="00000000" w:rsidP="00000000" w:rsidRDefault="00000000" w:rsidRPr="00000000" w14:paraId="000000AC">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ioarsa9vll1o" w:id="48"/>
      <w:bookmarkEnd w:id="48"/>
      <w:r w:rsidDel="00000000" w:rsidR="00000000" w:rsidRPr="00000000">
        <w:rPr>
          <w:rFonts w:ascii="Times New Roman" w:cs="Times New Roman" w:eastAsia="Times New Roman" w:hAnsi="Times New Roman"/>
          <w:sz w:val="24"/>
          <w:szCs w:val="24"/>
          <w:rtl w:val="0"/>
        </w:rPr>
        <w:t xml:space="preserve">Meyer A, Zverinski D, Pfahringer B, et al. (2018). </w:t>
      </w:r>
      <w:r w:rsidDel="00000000" w:rsidR="00000000" w:rsidRPr="00000000">
        <w:rPr>
          <w:rFonts w:ascii="Times New Roman" w:cs="Times New Roman" w:eastAsia="Times New Roman" w:hAnsi="Times New Roman"/>
          <w:i w:val="1"/>
          <w:iCs w:val="1"/>
          <w:sz w:val="24"/>
          <w:szCs w:val="24"/>
          <w:rtl w:val="0"/>
        </w:rPr>
        <w:t xml:space="preserve">Machine learning for real-time prediction of complications in critical care: a retrospective study</w:t>
      </w:r>
      <w:r w:rsidDel="00000000" w:rsidR="00000000" w:rsidRPr="00000000">
        <w:rPr>
          <w:rFonts w:ascii="Times New Roman" w:cs="Times New Roman" w:eastAsia="Times New Roman" w:hAnsi="Times New Roman"/>
          <w:sz w:val="24"/>
          <w:szCs w:val="24"/>
          <w:rtl w:val="0"/>
        </w:rPr>
        <w:t xml:space="preserve">. The Lancet Respiratory Medicine</w:t>
      </w:r>
    </w:p>
    <w:p w:rsidR="00000000" w:rsidDel="00000000" w:rsidP="00000000" w:rsidRDefault="00000000" w:rsidRPr="00000000" w14:paraId="000000AD">
      <w:pPr>
        <w:pStyle w:val="Heading2"/>
        <w:keepNext w:val="0"/>
        <w:keepLines w:val="0"/>
        <w:spacing w:after="240" w:before="240" w:lineRule="auto"/>
        <w:ind w:left="720" w:hanging="720"/>
        <w:jc w:val="both"/>
        <w:rPr>
          <w:rFonts w:ascii="Times New Roman" w:cs="Times New Roman" w:eastAsia="Times New Roman" w:hAnsi="Times New Roman"/>
          <w:color w:val="1155cc"/>
          <w:sz w:val="24"/>
          <w:szCs w:val="24"/>
          <w:u w:val="single"/>
        </w:rPr>
      </w:pPr>
      <w:bookmarkStart w:colFirst="0" w:colLast="0" w:name="_cygyqtwua4tg" w:id="49"/>
      <w:bookmarkEnd w:id="49"/>
      <w:r w:rsidDel="00000000" w:rsidR="00000000" w:rsidRPr="00000000">
        <w:rPr>
          <w:rFonts w:ascii="Times New Roman" w:cs="Times New Roman" w:eastAsia="Times New Roman" w:hAnsi="Times New Roman"/>
          <w:sz w:val="24"/>
          <w:szCs w:val="24"/>
          <w:rtl w:val="0"/>
        </w:rPr>
        <w:t xml:space="preserve">Miller, H. A., &amp; Valdes, R. (2025). Rigorous validation of machine learning in laboratory medicine: Guidance toward quality improvement. </w:t>
      </w:r>
      <w:r w:rsidDel="00000000" w:rsidR="00000000" w:rsidRPr="00000000">
        <w:rPr>
          <w:rFonts w:ascii="Times New Roman" w:cs="Times New Roman" w:eastAsia="Times New Roman" w:hAnsi="Times New Roman"/>
          <w:i w:val="1"/>
          <w:iCs w:val="1"/>
          <w:sz w:val="24"/>
          <w:szCs w:val="24"/>
          <w:rtl w:val="0"/>
        </w:rPr>
        <w:t xml:space="preserve">Critical Reviews in Clinical Laboratory Sciences</w:t>
      </w:r>
      <w:r w:rsidDel="00000000" w:rsidR="00000000" w:rsidRPr="00000000">
        <w:rPr>
          <w:rFonts w:ascii="Times New Roman" w:cs="Times New Roman" w:eastAsia="Times New Roman" w:hAnsi="Times New Roman"/>
          <w:sz w:val="24"/>
          <w:szCs w:val="24"/>
          <w:rtl w:val="0"/>
        </w:rPr>
        <w:t xml:space="preserve">.</w:t>
      </w:r>
      <w:hyperlink r:id="rId34">
        <w:r w:rsidDel="00000000" w:rsidR="00000000" w:rsidRPr="00000000">
          <w:rPr>
            <w:rFonts w:ascii="Times New Roman" w:cs="Times New Roman" w:eastAsia="Times New Roman" w:hAnsi="Times New Roman"/>
            <w:sz w:val="24"/>
            <w:szCs w:val="24"/>
            <w:u w:val="single"/>
            <w:rtl w:val="0"/>
          </w:rPr>
          <w:t xml:space="preserve"> </w:t>
        </w:r>
      </w:hyperlink>
      <w:hyperlink r:id="rId35">
        <w:r w:rsidDel="00000000" w:rsidR="00000000" w:rsidRPr="00000000">
          <w:rPr>
            <w:rFonts w:ascii="Times New Roman" w:cs="Times New Roman" w:eastAsia="Times New Roman" w:hAnsi="Times New Roman"/>
            <w:color w:val="1155cc"/>
            <w:sz w:val="24"/>
            <w:szCs w:val="24"/>
            <w:u w:val="single"/>
            <w:rtl w:val="0"/>
          </w:rPr>
          <w:t xml:space="preserve">https://doi.org/10.1080/10408363.2025.2488842</w:t>
        </w:r>
      </w:hyperlink>
      <w:r w:rsidDel="00000000" w:rsidR="00000000" w:rsidRPr="00000000">
        <w:rPr>
          <w:rtl w:val="0"/>
        </w:rPr>
      </w:r>
    </w:p>
    <w:p w:rsidR="00000000" w:rsidDel="00000000" w:rsidP="00000000" w:rsidRDefault="00000000" w:rsidRPr="00000000" w14:paraId="000000AE">
      <w:pPr>
        <w:pStyle w:val="Heading2"/>
        <w:keepNext w:val="0"/>
        <w:keepLines w:val="0"/>
        <w:spacing w:after="240" w:before="240" w:lineRule="auto"/>
        <w:ind w:left="720" w:hanging="720"/>
        <w:jc w:val="both"/>
        <w:rPr>
          <w:rFonts w:ascii="Times New Roman" w:cs="Times New Roman" w:eastAsia="Times New Roman" w:hAnsi="Times New Roman"/>
          <w:color w:val="1155cc"/>
          <w:sz w:val="24"/>
          <w:szCs w:val="24"/>
          <w:u w:val="single"/>
        </w:rPr>
      </w:pPr>
      <w:bookmarkStart w:colFirst="0" w:colLast="0" w:name="_1c1se6q9m65l" w:id="50"/>
      <w:bookmarkEnd w:id="50"/>
      <w:r w:rsidDel="00000000" w:rsidR="00000000" w:rsidRPr="00000000">
        <w:rPr>
          <w:rFonts w:ascii="Times New Roman" w:cs="Times New Roman" w:eastAsia="Times New Roman" w:hAnsi="Times New Roman"/>
          <w:sz w:val="24"/>
          <w:szCs w:val="24"/>
          <w:rtl w:val="0"/>
        </w:rPr>
        <w:t xml:space="preserve">Moons, K. G. M., Damen, J. A. A., Kaul, T., Hooft, L., Andaur Navarro, C., Dhiman, P., Beam, A. L., Van Calster, B., Celi, L. A., Denaxas, S., Denniston, A. K., Ghassemi, M., Heinze, G., Kengne, A. P., Maier-Hein, L., Liu, X., Logullo, P., McCradden, M. D., Liu, N., … van Smeden, M. (2025). PROBAST+AI: An updated quality, risk of bias, and applicability assessment tool for prediction models using regression or artificial intelligence methods. </w:t>
      </w:r>
      <w:r w:rsidDel="00000000" w:rsidR="00000000" w:rsidRPr="00000000">
        <w:rPr>
          <w:rFonts w:ascii="Times New Roman" w:cs="Times New Roman" w:eastAsia="Times New Roman" w:hAnsi="Times New Roman"/>
          <w:i w:val="1"/>
          <w:iCs w:val="1"/>
          <w:sz w:val="24"/>
          <w:szCs w:val="24"/>
          <w:rtl w:val="0"/>
        </w:rPr>
        <w:t xml:space="preserve">BMJ, 388</w:t>
      </w:r>
      <w:r w:rsidDel="00000000" w:rsidR="00000000" w:rsidRPr="00000000">
        <w:rPr>
          <w:rFonts w:ascii="Times New Roman" w:cs="Times New Roman" w:eastAsia="Times New Roman" w:hAnsi="Times New Roman"/>
          <w:sz w:val="24"/>
          <w:szCs w:val="24"/>
          <w:rtl w:val="0"/>
        </w:rPr>
        <w:t xml:space="preserve">, e082505.</w:t>
      </w:r>
      <w:hyperlink r:id="rId36">
        <w:r w:rsidDel="00000000" w:rsidR="00000000" w:rsidRPr="00000000">
          <w:rPr>
            <w:rFonts w:ascii="Times New Roman" w:cs="Times New Roman" w:eastAsia="Times New Roman" w:hAnsi="Times New Roman"/>
            <w:sz w:val="24"/>
            <w:szCs w:val="24"/>
            <w:u w:val="single"/>
            <w:rtl w:val="0"/>
          </w:rPr>
          <w:t xml:space="preserve"> </w:t>
        </w:r>
      </w:hyperlink>
      <w:hyperlink r:id="rId37">
        <w:r w:rsidDel="00000000" w:rsidR="00000000" w:rsidRPr="00000000">
          <w:rPr>
            <w:rFonts w:ascii="Times New Roman" w:cs="Times New Roman" w:eastAsia="Times New Roman" w:hAnsi="Times New Roman"/>
            <w:color w:val="1155cc"/>
            <w:sz w:val="24"/>
            <w:szCs w:val="24"/>
            <w:u w:val="single"/>
            <w:rtl w:val="0"/>
          </w:rPr>
          <w:t xml:space="preserve">https://doi.org/10.1136/bmj-2024-082505</w:t>
        </w:r>
      </w:hyperlink>
      <w:r w:rsidDel="00000000" w:rsidR="00000000" w:rsidRPr="00000000">
        <w:rPr>
          <w:rtl w:val="0"/>
        </w:rPr>
      </w:r>
    </w:p>
    <w:p w:rsidR="00000000" w:rsidDel="00000000" w:rsidP="00000000" w:rsidRDefault="00000000" w:rsidRPr="00000000" w14:paraId="000000AF">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2jwzdqtubxp3" w:id="51"/>
      <w:bookmarkEnd w:id="51"/>
      <w:r w:rsidDel="00000000" w:rsidR="00000000" w:rsidRPr="00000000">
        <w:rPr>
          <w:rFonts w:ascii="Times New Roman" w:cs="Times New Roman" w:eastAsia="Times New Roman" w:hAnsi="Times New Roman"/>
          <w:sz w:val="24"/>
          <w:szCs w:val="24"/>
          <w:rtl w:val="0"/>
        </w:rPr>
        <w:t xml:space="preserve">Muro S, Ishida M, Horie Y, et al. (2021). </w:t>
      </w:r>
      <w:r w:rsidDel="00000000" w:rsidR="00000000" w:rsidRPr="00000000">
        <w:rPr>
          <w:rFonts w:ascii="Times New Roman" w:cs="Times New Roman" w:eastAsia="Times New Roman" w:hAnsi="Times New Roman"/>
          <w:i w:val="1"/>
          <w:iCs w:val="1"/>
          <w:sz w:val="24"/>
          <w:szCs w:val="24"/>
          <w:rtl w:val="0"/>
        </w:rPr>
        <w:t xml:space="preserve">Machine Learning Methods for the Diagnosis of Chronic Obstructive Pulmonary Disease in Healthy Subjects: Retrospective Observational Cohort Study</w:t>
      </w:r>
      <w:r w:rsidDel="00000000" w:rsidR="00000000" w:rsidRPr="00000000">
        <w:rPr>
          <w:rFonts w:ascii="Times New Roman" w:cs="Times New Roman" w:eastAsia="Times New Roman" w:hAnsi="Times New Roman"/>
          <w:sz w:val="24"/>
          <w:szCs w:val="24"/>
          <w:rtl w:val="0"/>
        </w:rPr>
        <w:t xml:space="preserve">. JMIR Medical Informatics</w:t>
      </w:r>
    </w:p>
    <w:p w:rsidR="00000000" w:rsidDel="00000000" w:rsidP="00000000" w:rsidRDefault="00000000" w:rsidRPr="00000000" w14:paraId="000000B0">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 Y., Song, P., Lin, X., Shi, J., Shi, Q., Li, Y., Zhu, S., Zhou, T., Xun, Y., Zhang, S., Ren, X., Lu, K., Wu, F., Wang, W., Zhao, P., Zhou, R., Zhang, W., Li, D., Zhang, J., Chen, C., Mao, L., Zhou, L., Pan, G., Peng, Y., Yu, Y., Chen, Y., Ni, R., Luo, G., Zhang, Y., Fang, J., Zheng, H., &amp; Luo, D. (2025). </w:t>
      </w:r>
      <w:r w:rsidDel="00000000" w:rsidR="00000000" w:rsidRPr="00000000">
        <w:rPr>
          <w:rFonts w:ascii="Times New Roman" w:cs="Times New Roman" w:eastAsia="Times New Roman" w:hAnsi="Times New Roman"/>
          <w:i w:val="1"/>
          <w:iCs w:val="1"/>
          <w:sz w:val="24"/>
          <w:szCs w:val="24"/>
          <w:rtl w:val="0"/>
        </w:rPr>
        <w:t xml:space="preserve">Can mutation abundance assess the biological behavior of BRAFV600E-positive papillary thyroid carcinoma?</w:t>
      </w:r>
      <w:r w:rsidDel="00000000" w:rsidR="00000000" w:rsidRPr="00000000">
        <w:rPr>
          <w:rFonts w:ascii="Times New Roman" w:cs="Times New Roman" w:eastAsia="Times New Roman" w:hAnsi="Times New Roman"/>
          <w:sz w:val="24"/>
          <w:szCs w:val="24"/>
          <w:rtl w:val="0"/>
        </w:rPr>
        <w:t xml:space="preserve"> Journal of Translational Medicine, 23, 704.</w:t>
      </w:r>
    </w:p>
    <w:p w:rsidR="00000000" w:rsidDel="00000000" w:rsidP="00000000" w:rsidRDefault="00000000" w:rsidRPr="00000000" w14:paraId="000000B1">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4aejoxougjf9" w:id="52"/>
      <w:bookmarkEnd w:id="52"/>
      <w:r w:rsidDel="00000000" w:rsidR="00000000" w:rsidRPr="00000000">
        <w:rPr>
          <w:rFonts w:ascii="Times New Roman" w:cs="Times New Roman" w:eastAsia="Times New Roman" w:hAnsi="Times New Roman"/>
          <w:sz w:val="24"/>
          <w:szCs w:val="24"/>
          <w:rtl w:val="0"/>
        </w:rPr>
        <w:t xml:space="preserve">Ning, W., Wang, Z., Gu, Y., Huang, L., Liu, S., Chen, Q., Yang, Y., &amp; Hong, G. (2025). Machine learning models based on routine blood and biochemical test data for diagnosis of neurological diseases. </w:t>
      </w:r>
      <w:r w:rsidDel="00000000" w:rsidR="00000000" w:rsidRPr="00000000">
        <w:rPr>
          <w:rFonts w:ascii="Times New Roman" w:cs="Times New Roman" w:eastAsia="Times New Roman" w:hAnsi="Times New Roman"/>
          <w:i w:val="1"/>
          <w:iCs w:val="1"/>
          <w:sz w:val="24"/>
          <w:szCs w:val="24"/>
          <w:rtl w:val="0"/>
        </w:rPr>
        <w:t xml:space="preserve">Scientific Reports, 15</w:t>
      </w:r>
      <w:r w:rsidDel="00000000" w:rsidR="00000000" w:rsidRPr="00000000">
        <w:rPr>
          <w:rFonts w:ascii="Times New Roman" w:cs="Times New Roman" w:eastAsia="Times New Roman" w:hAnsi="Times New Roman"/>
          <w:sz w:val="24"/>
          <w:szCs w:val="24"/>
          <w:rtl w:val="0"/>
        </w:rPr>
        <w:t xml:space="preserve">, 27857. https://doi.org/10.1038/s41598-025-27857</w:t>
      </w:r>
    </w:p>
    <w:p w:rsidR="00000000" w:rsidDel="00000000" w:rsidP="00000000" w:rsidRDefault="00000000" w:rsidRPr="00000000" w14:paraId="000000B2">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b115izrj8508" w:id="53"/>
      <w:bookmarkEnd w:id="53"/>
      <w:r w:rsidDel="00000000" w:rsidR="00000000" w:rsidRPr="00000000">
        <w:rPr>
          <w:rFonts w:ascii="Times New Roman" w:cs="Times New Roman" w:eastAsia="Times New Roman" w:hAnsi="Times New Roman"/>
          <w:color w:val="222222"/>
          <w:sz w:val="24"/>
          <w:szCs w:val="24"/>
          <w:rtl w:val="0"/>
        </w:rPr>
        <w:t xml:space="preserve">Pan, Y., Fan, Q., Liang, Y. </w:t>
      </w:r>
      <w:r w:rsidDel="00000000" w:rsidR="00000000" w:rsidRPr="00000000">
        <w:rPr>
          <w:rFonts w:ascii="Times New Roman" w:cs="Times New Roman" w:eastAsia="Times New Roman" w:hAnsi="Times New Roman"/>
          <w:i w:val="1"/>
          <w:iCs w:val="1"/>
          <w:color w:val="222222"/>
          <w:sz w:val="24"/>
          <w:szCs w:val="24"/>
          <w:rtl w:val="0"/>
        </w:rPr>
        <w:t xml:space="preserve">et al., (2024)</w:t>
      </w:r>
      <w:r w:rsidDel="00000000" w:rsidR="00000000" w:rsidRPr="00000000">
        <w:rPr>
          <w:rFonts w:ascii="Times New Roman" w:cs="Times New Roman" w:eastAsia="Times New Roman" w:hAnsi="Times New Roman"/>
          <w:color w:val="222222"/>
          <w:sz w:val="24"/>
          <w:szCs w:val="24"/>
          <w:rtl w:val="0"/>
        </w:rPr>
        <w:t xml:space="preserve"> A machine learning prediction model for Cardiac Amyloidosis using routine blood tests in patients with left ventricular hypertrophy. </w:t>
      </w:r>
      <w:r w:rsidDel="00000000" w:rsidR="00000000" w:rsidRPr="00000000">
        <w:rPr>
          <w:rFonts w:ascii="Times New Roman" w:cs="Times New Roman" w:eastAsia="Times New Roman" w:hAnsi="Times New Roman"/>
          <w:i w:val="1"/>
          <w:iCs w:val="1"/>
          <w:color w:val="222222"/>
          <w:sz w:val="24"/>
          <w:szCs w:val="24"/>
          <w:rtl w:val="0"/>
        </w:rPr>
        <w:t xml:space="preserve">Sci Rep</w:t>
      </w:r>
      <w:r w:rsidDel="00000000" w:rsidR="00000000" w:rsidRPr="00000000">
        <w:rPr>
          <w:rFonts w:ascii="Times New Roman" w:cs="Times New Roman" w:eastAsia="Times New Roman" w:hAnsi="Times New Roman"/>
          <w:color w:val="222222"/>
          <w:sz w:val="24"/>
          <w:szCs w:val="24"/>
          <w:rtl w:val="0"/>
        </w:rPr>
        <w:t xml:space="preserve"> 14, 28644 (2024). https://doi.org/10.1038/s41598-024-77466-8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hpjbs76xphfo" w:id="54"/>
      <w:bookmarkEnd w:id="54"/>
      <w:r w:rsidDel="00000000" w:rsidR="00000000" w:rsidRPr="00000000">
        <w:rPr>
          <w:rFonts w:ascii="Times New Roman" w:cs="Times New Roman" w:eastAsia="Times New Roman" w:hAnsi="Times New Roman"/>
          <w:sz w:val="24"/>
          <w:szCs w:val="24"/>
          <w:rtl w:val="0"/>
        </w:rPr>
        <w:t xml:space="preserve">Park DJ, Park MW, Lee H, et al. (2021). </w:t>
      </w:r>
      <w:r w:rsidDel="00000000" w:rsidR="00000000" w:rsidRPr="00000000">
        <w:rPr>
          <w:rFonts w:ascii="Times New Roman" w:cs="Times New Roman" w:eastAsia="Times New Roman" w:hAnsi="Times New Roman"/>
          <w:i w:val="1"/>
          <w:iCs w:val="1"/>
          <w:sz w:val="24"/>
          <w:szCs w:val="24"/>
          <w:rtl w:val="0"/>
        </w:rPr>
        <w:t xml:space="preserve">Development of machine learning model for diagnostic disease prediction based on laboratory tests</w:t>
      </w:r>
      <w:r w:rsidDel="00000000" w:rsidR="00000000" w:rsidRPr="00000000">
        <w:rPr>
          <w:rFonts w:ascii="Times New Roman" w:cs="Times New Roman" w:eastAsia="Times New Roman" w:hAnsi="Times New Roman"/>
          <w:sz w:val="24"/>
          <w:szCs w:val="24"/>
          <w:rtl w:val="0"/>
        </w:rPr>
        <w:t xml:space="preserve">. Scientific Reports.</w:t>
      </w:r>
    </w:p>
    <w:p w:rsidR="00000000" w:rsidDel="00000000" w:rsidP="00000000" w:rsidRDefault="00000000" w:rsidRPr="00000000" w14:paraId="000000B4">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Parmar, C., Grossmann, P., Rietveld, D., Rietbergen, M. M., Lambin, P., &amp; Aerts, H. J. W. L. (2015). </w:t>
      </w:r>
      <w:r w:rsidDel="00000000" w:rsidR="00000000" w:rsidRPr="00000000">
        <w:rPr>
          <w:rFonts w:ascii="Times New Roman" w:cs="Times New Roman" w:eastAsia="Times New Roman" w:hAnsi="Times New Roman"/>
          <w:i w:val="1"/>
          <w:iCs w:val="1"/>
          <w:sz w:val="24"/>
          <w:szCs w:val="24"/>
          <w:rtl w:val="0"/>
        </w:rPr>
        <w:t xml:space="preserve">Radiomic machine-learning classifiers for prognostic biomarkers of head and neck cancer</w:t>
      </w:r>
      <w:r w:rsidDel="00000000" w:rsidR="00000000" w:rsidRPr="00000000">
        <w:rPr>
          <w:rFonts w:ascii="Times New Roman" w:cs="Times New Roman" w:eastAsia="Times New Roman" w:hAnsi="Times New Roman"/>
          <w:sz w:val="24"/>
          <w:szCs w:val="24"/>
          <w:rtl w:val="0"/>
        </w:rPr>
        <w:t xml:space="preserve">. Frontiers in Oncology, 5, 272.</w:t>
      </w:r>
    </w:p>
    <w:p w:rsidR="00000000" w:rsidDel="00000000" w:rsidP="00000000" w:rsidRDefault="00000000" w:rsidRPr="00000000" w14:paraId="000000B5">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njwxnsze7iat" w:id="55"/>
      <w:bookmarkEnd w:id="55"/>
      <w:r w:rsidDel="00000000" w:rsidR="00000000" w:rsidRPr="00000000">
        <w:rPr>
          <w:rFonts w:ascii="Times New Roman" w:cs="Times New Roman" w:eastAsia="Times New Roman" w:hAnsi="Times New Roman"/>
          <w:sz w:val="24"/>
          <w:szCs w:val="24"/>
          <w:rtl w:val="0"/>
        </w:rPr>
        <w:t xml:space="preserve">Pinsky, M. R., Bedoya, A., Bihorac, A., Celi, L., Churpek, M., Economou-Zavlanos, N. J., Elbers, P., Saria, S., Liu, V., Lyons, P. G., Shickel, B., Toral, P., Tscholl, D., &amp; Clermont, G. (2024). Use of artificial intelligence in critical care: Opportunities and obstacles. </w:t>
      </w:r>
      <w:r w:rsidDel="00000000" w:rsidR="00000000" w:rsidRPr="00000000">
        <w:rPr>
          <w:rFonts w:ascii="Times New Roman" w:cs="Times New Roman" w:eastAsia="Times New Roman" w:hAnsi="Times New Roman"/>
          <w:i w:val="1"/>
          <w:iCs w:val="1"/>
          <w:sz w:val="24"/>
          <w:szCs w:val="24"/>
          <w:rtl w:val="0"/>
        </w:rPr>
        <w:t xml:space="preserve">Critical Care, 28</w:t>
      </w:r>
      <w:r w:rsidDel="00000000" w:rsidR="00000000" w:rsidRPr="00000000">
        <w:rPr>
          <w:rFonts w:ascii="Times New Roman" w:cs="Times New Roman" w:eastAsia="Times New Roman" w:hAnsi="Times New Roman"/>
          <w:sz w:val="24"/>
          <w:szCs w:val="24"/>
          <w:rtl w:val="0"/>
        </w:rPr>
        <w:t xml:space="preserve">(1), 113. https://doi.org/10.1186/s13054-024-04860-z</w:t>
      </w:r>
    </w:p>
    <w:p w:rsidR="00000000" w:rsidDel="00000000" w:rsidP="00000000" w:rsidRDefault="00000000" w:rsidRPr="00000000" w14:paraId="000000B6">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Poplin R, Varadarajan AV, Blumer K, et al., (2018) </w:t>
      </w:r>
      <w:r w:rsidDel="00000000" w:rsidR="00000000" w:rsidRPr="00000000">
        <w:rPr>
          <w:rFonts w:ascii="Times New Roman" w:cs="Times New Roman" w:eastAsia="Times New Roman" w:hAnsi="Times New Roman"/>
          <w:i w:val="1"/>
          <w:iCs w:val="1"/>
          <w:sz w:val="24"/>
          <w:szCs w:val="24"/>
          <w:rtl w:val="0"/>
        </w:rPr>
        <w:t xml:space="preserve">Prediction of cardiovascular risk factors from retinal fundus photographs</w:t>
      </w:r>
      <w:r w:rsidDel="00000000" w:rsidR="00000000" w:rsidRPr="00000000">
        <w:rPr>
          <w:rFonts w:ascii="Times New Roman" w:cs="Times New Roman" w:eastAsia="Times New Roman" w:hAnsi="Times New Roman"/>
          <w:sz w:val="24"/>
          <w:szCs w:val="24"/>
          <w:rtl w:val="0"/>
        </w:rPr>
        <w:t xml:space="preserve">. Nature Biomedical Engineering. 2018;2:158–164.</w:t>
      </w:r>
    </w:p>
    <w:p w:rsidR="00000000" w:rsidDel="00000000" w:rsidP="00000000" w:rsidRDefault="00000000" w:rsidRPr="00000000" w14:paraId="000000B7">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 A. M., Maschek, J. A., Cox, J. E., et al. (2020). </w:t>
      </w:r>
      <w:r w:rsidDel="00000000" w:rsidR="00000000" w:rsidRPr="00000000">
        <w:rPr>
          <w:rFonts w:ascii="Times New Roman" w:cs="Times New Roman" w:eastAsia="Times New Roman" w:hAnsi="Times New Roman"/>
          <w:i w:val="1"/>
          <w:iCs w:val="1"/>
          <w:sz w:val="24"/>
          <w:szCs w:val="24"/>
          <w:rtl w:val="0"/>
        </w:rPr>
        <w:t xml:space="preserve">Machine learning reveals serum sphingolipids as cholesterol-independent biomarkers of coronary artery disease</w:t>
      </w:r>
      <w:r w:rsidDel="00000000" w:rsidR="00000000" w:rsidRPr="00000000">
        <w:rPr>
          <w:rFonts w:ascii="Times New Roman" w:cs="Times New Roman" w:eastAsia="Times New Roman" w:hAnsi="Times New Roman"/>
          <w:sz w:val="24"/>
          <w:szCs w:val="24"/>
          <w:rtl w:val="0"/>
        </w:rPr>
        <w:t xml:space="preserve">. Journal of Clinical Investigation, 130(3), 1363–1376.</w:t>
      </w:r>
    </w:p>
    <w:p w:rsidR="00000000" w:rsidDel="00000000" w:rsidP="00000000" w:rsidRDefault="00000000" w:rsidRPr="00000000" w14:paraId="000000B8">
      <w:pPr>
        <w:spacing w:after="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Rajkomar A, Oren E, Chen K, et al. (2018). </w:t>
      </w:r>
      <w:r w:rsidDel="00000000" w:rsidR="00000000" w:rsidRPr="00000000">
        <w:rPr>
          <w:rFonts w:ascii="Times New Roman" w:cs="Times New Roman" w:eastAsia="Times New Roman" w:hAnsi="Times New Roman"/>
          <w:i w:val="1"/>
          <w:iCs w:val="1"/>
          <w:sz w:val="24"/>
          <w:szCs w:val="24"/>
          <w:rtl w:val="0"/>
        </w:rPr>
        <w:t xml:space="preserve">Scalable and accurate deep learning with electronic health records</w:t>
      </w:r>
      <w:r w:rsidDel="00000000" w:rsidR="00000000" w:rsidRPr="00000000">
        <w:rPr>
          <w:rFonts w:ascii="Times New Roman" w:cs="Times New Roman" w:eastAsia="Times New Roman" w:hAnsi="Times New Roman"/>
          <w:sz w:val="24"/>
          <w:szCs w:val="24"/>
          <w:rtl w:val="0"/>
        </w:rPr>
        <w:t xml:space="preserve">. npj Digital Medicine.</w:t>
      </w:r>
    </w:p>
    <w:p w:rsidR="00000000" w:rsidDel="00000000" w:rsidP="00000000" w:rsidRDefault="00000000" w:rsidRPr="00000000" w14:paraId="000000B9">
      <w:pP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Rawson TM, Hernandez B, Moore LSP, et al. (2019). Supervised machine learning for the prediction of infection on admission to hospital: a prospective observational cohort study. </w:t>
      </w:r>
      <w:r w:rsidDel="00000000" w:rsidR="00000000" w:rsidRPr="00000000">
        <w:rPr>
          <w:rFonts w:ascii="Times New Roman" w:cs="Times New Roman" w:eastAsia="Times New Roman" w:hAnsi="Times New Roman"/>
          <w:i w:val="1"/>
          <w:iCs w:val="1"/>
          <w:sz w:val="24"/>
          <w:szCs w:val="24"/>
          <w:rtl w:val="0"/>
        </w:rPr>
        <w:t xml:space="preserve">Journal of Antimicrobial Chemotherapy</w:t>
      </w:r>
      <w:r w:rsidDel="00000000" w:rsidR="00000000" w:rsidRPr="00000000">
        <w:rPr>
          <w:rFonts w:ascii="Times New Roman" w:cs="Times New Roman" w:eastAsia="Times New Roman" w:hAnsi="Times New Roman"/>
          <w:sz w:val="24"/>
          <w:szCs w:val="24"/>
          <w:rtl w:val="0"/>
        </w:rPr>
        <w:t xml:space="preserve">, 74(4), 1108–1115.</w:t>
      </w:r>
      <w:hyperlink r:id="rId38">
        <w:r w:rsidDel="00000000" w:rsidR="00000000" w:rsidRPr="00000000">
          <w:rPr>
            <w:rFonts w:ascii="Times New Roman" w:cs="Times New Roman" w:eastAsia="Times New Roman" w:hAnsi="Times New Roman"/>
            <w:sz w:val="24"/>
            <w:szCs w:val="24"/>
            <w:u w:val="single"/>
            <w:rtl w:val="0"/>
          </w:rPr>
          <w:t xml:space="preserve"> </w:t>
        </w:r>
      </w:hyperlink>
      <w:hyperlink r:id="rId39">
        <w:r w:rsidDel="00000000" w:rsidR="00000000" w:rsidRPr="00000000">
          <w:rPr>
            <w:rFonts w:ascii="Times New Roman" w:cs="Times New Roman" w:eastAsia="Times New Roman" w:hAnsi="Times New Roman"/>
            <w:color w:val="1155cc"/>
            <w:sz w:val="24"/>
            <w:szCs w:val="24"/>
            <w:u w:val="single"/>
            <w:rtl w:val="0"/>
          </w:rPr>
          <w:t xml:space="preserve">https://doi.org/10.1093/jac/dky514</w:t>
        </w:r>
      </w:hyperlink>
      <w:r w:rsidDel="00000000" w:rsidR="00000000" w:rsidRPr="00000000">
        <w:rPr>
          <w:rtl w:val="0"/>
        </w:rPr>
      </w:r>
    </w:p>
    <w:p w:rsidR="00000000" w:rsidDel="00000000" w:rsidP="00000000" w:rsidRDefault="00000000" w:rsidRPr="00000000" w14:paraId="000000BA">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Rim, T. H., Lee, G., Kim, Y., Tham, Y.-C., Lee, C. J., Baik, S. J., et al. (2020). </w:t>
      </w:r>
      <w:r w:rsidDel="00000000" w:rsidR="00000000" w:rsidRPr="00000000">
        <w:rPr>
          <w:rFonts w:ascii="Times New Roman" w:cs="Times New Roman" w:eastAsia="Times New Roman" w:hAnsi="Times New Roman"/>
          <w:i w:val="1"/>
          <w:iCs w:val="1"/>
          <w:sz w:val="24"/>
          <w:szCs w:val="24"/>
          <w:rtl w:val="0"/>
        </w:rPr>
        <w:t xml:space="preserve">Prediction of systemic biomarkers from retinal photographs: development and validation of deep-learning algorithms</w:t>
      </w:r>
      <w:r w:rsidDel="00000000" w:rsidR="00000000" w:rsidRPr="00000000">
        <w:rPr>
          <w:rFonts w:ascii="Times New Roman" w:cs="Times New Roman" w:eastAsia="Times New Roman" w:hAnsi="Times New Roman"/>
          <w:sz w:val="24"/>
          <w:szCs w:val="24"/>
          <w:rtl w:val="0"/>
        </w:rPr>
        <w:t xml:space="preserve">. The Lancet Digital Health, 2(10), e526–e536.</w:t>
      </w:r>
    </w:p>
    <w:p w:rsidR="00000000" w:rsidDel="00000000" w:rsidP="00000000" w:rsidRDefault="00000000" w:rsidRPr="00000000" w14:paraId="000000BB">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xn64sw00eu8" w:id="56"/>
      <w:bookmarkEnd w:id="56"/>
      <w:r w:rsidDel="00000000" w:rsidR="00000000" w:rsidRPr="00000000">
        <w:rPr>
          <w:rFonts w:ascii="Times New Roman" w:cs="Times New Roman" w:eastAsia="Times New Roman" w:hAnsi="Times New Roman"/>
          <w:sz w:val="24"/>
          <w:szCs w:val="24"/>
          <w:rtl w:val="0"/>
        </w:rPr>
        <w:t xml:space="preserve">Rosen, A. W., Ose, I., Gögenur, M., Andersen, L. P. K., Bojesen, R. D., Vogelsang, R. P., Rose, M. H., Steenfos, P. W., Hansen, L. B., Spuur, H. S., Raben, I., Skou, S. T., Holm, E. A., Mortensen, K., Kjær, T., &amp; Eriksen, J. R. (2025). Clinical implementation of an AI-based prediction model for decision support for patients undergoing colorectal cancer surgery. </w:t>
      </w:r>
      <w:r w:rsidDel="00000000" w:rsidR="00000000" w:rsidRPr="00000000">
        <w:rPr>
          <w:rFonts w:ascii="Times New Roman" w:cs="Times New Roman" w:eastAsia="Times New Roman" w:hAnsi="Times New Roman"/>
          <w:i w:val="1"/>
          <w:iCs w:val="1"/>
          <w:sz w:val="24"/>
          <w:szCs w:val="24"/>
          <w:rtl w:val="0"/>
        </w:rPr>
        <w:t xml:space="preserve">Nature Medicine, 31</w:t>
      </w:r>
      <w:r w:rsidDel="00000000" w:rsidR="00000000" w:rsidRPr="00000000">
        <w:rPr>
          <w:rFonts w:ascii="Times New Roman" w:cs="Times New Roman" w:eastAsia="Times New Roman" w:hAnsi="Times New Roman"/>
          <w:sz w:val="24"/>
          <w:szCs w:val="24"/>
          <w:rtl w:val="0"/>
        </w:rPr>
        <w:t xml:space="preserve">(11), 3737–3748. https://doi.org/10.1038/s41591-025-03942-x</w:t>
      </w:r>
    </w:p>
    <w:p w:rsidR="00000000" w:rsidDel="00000000" w:rsidP="00000000" w:rsidRDefault="00000000" w:rsidRPr="00000000" w14:paraId="000000BC">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Saul, H. (2025, October 1). </w:t>
      </w:r>
      <w:r w:rsidDel="00000000" w:rsidR="00000000" w:rsidRPr="00000000">
        <w:rPr>
          <w:rFonts w:ascii="Times New Roman" w:cs="Times New Roman" w:eastAsia="Times New Roman" w:hAnsi="Times New Roman"/>
          <w:i w:val="1"/>
          <w:iCs w:val="1"/>
          <w:sz w:val="24"/>
          <w:szCs w:val="24"/>
          <w:rtl w:val="0"/>
        </w:rPr>
        <w:t xml:space="preserve">How AI and machine learning are revolutionizing the laboratory</w:t>
      </w:r>
      <w:r w:rsidDel="00000000" w:rsidR="00000000" w:rsidRPr="00000000">
        <w:rPr>
          <w:rFonts w:ascii="Times New Roman" w:cs="Times New Roman" w:eastAsia="Times New Roman" w:hAnsi="Times New Roman"/>
          <w:sz w:val="24"/>
          <w:szCs w:val="24"/>
          <w:rtl w:val="0"/>
        </w:rPr>
        <w:t xml:space="preserve">. Roche Diagnostics.</w:t>
      </w:r>
      <w:hyperlink r:id="rId40">
        <w:r w:rsidDel="00000000" w:rsidR="00000000" w:rsidRPr="00000000">
          <w:rPr>
            <w:rFonts w:ascii="Times New Roman" w:cs="Times New Roman" w:eastAsia="Times New Roman" w:hAnsi="Times New Roman"/>
            <w:sz w:val="24"/>
            <w:szCs w:val="24"/>
            <w:u w:val="single"/>
            <w:rtl w:val="0"/>
          </w:rPr>
          <w:t xml:space="preserve"> </w:t>
        </w:r>
      </w:hyperlink>
      <w:hyperlink r:id="rId41">
        <w:r w:rsidDel="00000000" w:rsidR="00000000" w:rsidRPr="00000000">
          <w:rPr>
            <w:rFonts w:ascii="Times New Roman" w:cs="Times New Roman" w:eastAsia="Times New Roman" w:hAnsi="Times New Roman"/>
            <w:color w:val="1155cc"/>
            <w:sz w:val="24"/>
            <w:szCs w:val="24"/>
            <w:u w:val="single"/>
            <w:rtl w:val="0"/>
          </w:rPr>
          <w:t xml:space="preserve">https://diagnostics.roche.com/global/en/lab-leaders/article/machine-learning-ai-in-laboratory.html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6mslaogk9adp" w:id="57"/>
      <w:bookmarkEnd w:id="57"/>
      <w:r w:rsidDel="00000000" w:rsidR="00000000" w:rsidRPr="00000000">
        <w:rPr>
          <w:rFonts w:ascii="Times New Roman" w:cs="Times New Roman" w:eastAsia="Times New Roman" w:hAnsi="Times New Roman"/>
          <w:sz w:val="24"/>
          <w:szCs w:val="24"/>
          <w:rtl w:val="0"/>
        </w:rPr>
        <w:t xml:space="preserve">Schwartz, L., Matania, N., Levi, M., Lazebnik, T., Kushnir, S., Yosef, N., Hoogi, A., &amp; Shlomi, D. (2025). A blood test-based machine learning model for predicting lung cancer risk. </w:t>
      </w:r>
      <w:r w:rsidDel="00000000" w:rsidR="00000000" w:rsidRPr="00000000">
        <w:rPr>
          <w:rFonts w:ascii="Times New Roman" w:cs="Times New Roman" w:eastAsia="Times New Roman" w:hAnsi="Times New Roman"/>
          <w:i w:val="1"/>
          <w:iCs w:val="1"/>
          <w:sz w:val="24"/>
          <w:szCs w:val="24"/>
          <w:rtl w:val="0"/>
        </w:rPr>
        <w:t xml:space="preserve">Frontiers in Medicine, 12</w:t>
      </w:r>
      <w:r w:rsidDel="00000000" w:rsidR="00000000" w:rsidRPr="00000000">
        <w:rPr>
          <w:rFonts w:ascii="Times New Roman" w:cs="Times New Roman" w:eastAsia="Times New Roman" w:hAnsi="Times New Roman"/>
          <w:sz w:val="24"/>
          <w:szCs w:val="24"/>
          <w:rtl w:val="0"/>
        </w:rPr>
        <w:t xml:space="preserve">, 1577451. https://doi.org/10.3389/fmed.2025.1577451</w:t>
      </w:r>
    </w:p>
    <w:p w:rsidR="00000000" w:rsidDel="00000000" w:rsidP="00000000" w:rsidRDefault="00000000" w:rsidRPr="00000000" w14:paraId="000000BE">
      <w:pP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Seliverstov PV, Kutsenko VP, Gorelova VG, Magomedova SA, Akhmedov SR, Nurmyradov YN. Using artificial intelligence for biomarker analysis in clinical diagnostics. </w:t>
      </w:r>
      <w:r w:rsidDel="00000000" w:rsidR="00000000" w:rsidRPr="00000000">
        <w:rPr>
          <w:rFonts w:ascii="Times New Roman" w:cs="Times New Roman" w:eastAsia="Times New Roman" w:hAnsi="Times New Roman"/>
          <w:i w:val="1"/>
          <w:iCs w:val="1"/>
          <w:sz w:val="24"/>
          <w:szCs w:val="24"/>
          <w:rtl w:val="0"/>
        </w:rPr>
        <w:t xml:space="preserve">Vol 22, No 5 (2024): 31–39.</w:t>
      </w:r>
      <w:hyperlink r:id="rId42">
        <w:r w:rsidDel="00000000" w:rsidR="00000000" w:rsidRPr="00000000">
          <w:rPr>
            <w:rFonts w:ascii="Times New Roman" w:cs="Times New Roman" w:eastAsia="Times New Roman" w:hAnsi="Times New Roman"/>
            <w:color w:val="1155cc"/>
            <w:sz w:val="24"/>
            <w:szCs w:val="24"/>
            <w:u w:val="single"/>
            <w:rtl w:val="0"/>
          </w:rPr>
          <w:t xml:space="preserve">https://doi.org/10.29296/24999490-2024-05-04</w:t>
        </w:r>
      </w:hyperlink>
      <w:r w:rsidDel="00000000" w:rsidR="00000000" w:rsidRPr="00000000">
        <w:rPr>
          <w:rtl w:val="0"/>
        </w:rPr>
      </w:r>
    </w:p>
    <w:p w:rsidR="00000000" w:rsidDel="00000000" w:rsidP="00000000" w:rsidRDefault="00000000" w:rsidRPr="00000000" w14:paraId="000000BF">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Suleman, M. U., Mursaleen, M., Khalil, U., Saboor, A., Bilal, M., Khan, S. A., Subhani, M. A., Hussnain, M. A., Tabassum, S. N., &amp; Tahir, M. (2025). Assessing the generalizability of artificial intelligence in radiology: A systematic review of performance across different clinical settings. </w:t>
      </w:r>
      <w:r w:rsidDel="00000000" w:rsidR="00000000" w:rsidRPr="00000000">
        <w:rPr>
          <w:rFonts w:ascii="Times New Roman" w:cs="Times New Roman" w:eastAsia="Times New Roman" w:hAnsi="Times New Roman"/>
          <w:i w:val="1"/>
          <w:iCs w:val="1"/>
          <w:sz w:val="24"/>
          <w:szCs w:val="24"/>
          <w:rtl w:val="0"/>
        </w:rPr>
        <w:t xml:space="preserve">Annals of Medicine and Surgery, 87</w:t>
      </w:r>
      <w:r w:rsidDel="00000000" w:rsidR="00000000" w:rsidRPr="00000000">
        <w:rPr>
          <w:rFonts w:ascii="Times New Roman" w:cs="Times New Roman" w:eastAsia="Times New Roman" w:hAnsi="Times New Roman"/>
          <w:sz w:val="24"/>
          <w:szCs w:val="24"/>
          <w:rtl w:val="0"/>
        </w:rPr>
        <w:t xml:space="preserve">(12), 8803–8811. https://doi.org/10.1097/MS9.0000000000004166 </w:t>
      </w:r>
    </w:p>
    <w:p w:rsidR="00000000" w:rsidDel="00000000" w:rsidP="00000000" w:rsidRDefault="00000000" w:rsidRPr="00000000" w14:paraId="000000C0">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Szumilas, D., Ochmann, A., Zięba, K., Bartoszewicz, B., Kubrak, A., Makuch, S., Agrawal, S., Mazur, G., &amp; Chudek, J. (2024). Evaluation of AI-driven LabTest Checker for diagnostic accuracy and safety: Prospective cohort study. </w:t>
      </w:r>
      <w:r w:rsidDel="00000000" w:rsidR="00000000" w:rsidRPr="00000000">
        <w:rPr>
          <w:rFonts w:ascii="Times New Roman" w:cs="Times New Roman" w:eastAsia="Times New Roman" w:hAnsi="Times New Roman"/>
          <w:i w:val="1"/>
          <w:iCs w:val="1"/>
          <w:sz w:val="24"/>
          <w:szCs w:val="24"/>
          <w:rtl w:val="0"/>
        </w:rPr>
        <w:t xml:space="preserve">JMIR Medical Informatics, 12</w:t>
      </w:r>
      <w:r w:rsidDel="00000000" w:rsidR="00000000" w:rsidRPr="00000000">
        <w:rPr>
          <w:rFonts w:ascii="Times New Roman" w:cs="Times New Roman" w:eastAsia="Times New Roman" w:hAnsi="Times New Roman"/>
          <w:sz w:val="24"/>
          <w:szCs w:val="24"/>
          <w:rtl w:val="0"/>
        </w:rPr>
        <w:t xml:space="preserve">, e57162. https://doi.org/10.2196/57162 </w:t>
      </w:r>
    </w:p>
    <w:p w:rsidR="00000000" w:rsidDel="00000000" w:rsidP="00000000" w:rsidRDefault="00000000" w:rsidRPr="00000000" w14:paraId="000000C2">
      <w:pPr>
        <w:pStyle w:val="Heading2"/>
        <w:keepNext w:val="0"/>
        <w:keepLines w:val="0"/>
        <w:spacing w:after="240" w:before="240" w:lineRule="auto"/>
        <w:ind w:left="720" w:hanging="720"/>
        <w:jc w:val="both"/>
        <w:rPr>
          <w:rFonts w:ascii="Times New Roman" w:cs="Times New Roman" w:eastAsia="Times New Roman" w:hAnsi="Times New Roman"/>
          <w:color w:val="1155cc"/>
          <w:sz w:val="24"/>
          <w:szCs w:val="24"/>
          <w:u w:val="single"/>
        </w:rPr>
      </w:pPr>
      <w:bookmarkStart w:colFirst="0" w:colLast="0" w:name="_ctntskdgia2w" w:id="58"/>
      <w:bookmarkEnd w:id="58"/>
      <w:r w:rsidDel="00000000" w:rsidR="00000000" w:rsidRPr="00000000">
        <w:rPr>
          <w:rFonts w:ascii="Times New Roman" w:cs="Times New Roman" w:eastAsia="Times New Roman" w:hAnsi="Times New Roman"/>
          <w:sz w:val="24"/>
          <w:szCs w:val="24"/>
          <w:rtl w:val="0"/>
        </w:rPr>
        <w:t xml:space="preserve">Tang, X., Ye, W., Ou, Y., Ye, H., Zhu, X., Huang, D., Liu, J., Zhao, F., Deng, W., Li, C., Cai, W., Zheng, Y., Zeng, J., &amp; Cai, Y. (2025). Development and validation of a machine learning model for detection and classification of vertigo. </w:t>
      </w:r>
      <w:r w:rsidDel="00000000" w:rsidR="00000000" w:rsidRPr="00000000">
        <w:rPr>
          <w:rFonts w:ascii="Times New Roman" w:cs="Times New Roman" w:eastAsia="Times New Roman" w:hAnsi="Times New Roman"/>
          <w:i w:val="1"/>
          <w:iCs w:val="1"/>
          <w:sz w:val="24"/>
          <w:szCs w:val="24"/>
          <w:rtl w:val="0"/>
        </w:rPr>
        <w:t xml:space="preserve">Laryngoscope, 135</w:t>
      </w:r>
      <w:r w:rsidDel="00000000" w:rsidR="00000000" w:rsidRPr="00000000">
        <w:rPr>
          <w:rFonts w:ascii="Times New Roman" w:cs="Times New Roman" w:eastAsia="Times New Roman" w:hAnsi="Times New Roman"/>
          <w:sz w:val="24"/>
          <w:szCs w:val="24"/>
          <w:rtl w:val="0"/>
        </w:rPr>
        <w:t xml:space="preserve">(5), 1652–1660.</w:t>
      </w:r>
      <w:hyperlink r:id="rId43">
        <w:r w:rsidDel="00000000" w:rsidR="00000000" w:rsidRPr="00000000">
          <w:rPr>
            <w:rFonts w:ascii="Times New Roman" w:cs="Times New Roman" w:eastAsia="Times New Roman" w:hAnsi="Times New Roman"/>
            <w:sz w:val="24"/>
            <w:szCs w:val="24"/>
            <w:rtl w:val="0"/>
          </w:rPr>
          <w:t xml:space="preserve"> </w:t>
        </w:r>
      </w:hyperlink>
      <w:hyperlink r:id="rId44">
        <w:r w:rsidDel="00000000" w:rsidR="00000000" w:rsidRPr="00000000">
          <w:rPr>
            <w:rFonts w:ascii="Times New Roman" w:cs="Times New Roman" w:eastAsia="Times New Roman" w:hAnsi="Times New Roman"/>
            <w:color w:val="1155cc"/>
            <w:sz w:val="24"/>
            <w:szCs w:val="24"/>
            <w:u w:val="single"/>
            <w:rtl w:val="0"/>
          </w:rPr>
          <w:t xml:space="preserve">https://doi.org/10.1002/lary.31959</w:t>
        </w:r>
      </w:hyperlink>
      <w:r w:rsidDel="00000000" w:rsidR="00000000" w:rsidRPr="00000000">
        <w:rPr>
          <w:rtl w:val="0"/>
        </w:rPr>
      </w:r>
    </w:p>
    <w:p w:rsidR="00000000" w:rsidDel="00000000" w:rsidP="00000000" w:rsidRDefault="00000000" w:rsidRPr="00000000" w14:paraId="000000C3">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pf73zlpgaw6w" w:id="59"/>
      <w:bookmarkEnd w:id="59"/>
      <w:r w:rsidDel="00000000" w:rsidR="00000000" w:rsidRPr="00000000">
        <w:rPr>
          <w:rFonts w:ascii="Times New Roman" w:cs="Times New Roman" w:eastAsia="Times New Roman" w:hAnsi="Times New Roman"/>
          <w:sz w:val="24"/>
          <w:szCs w:val="24"/>
          <w:rtl w:val="0"/>
        </w:rPr>
        <w:t xml:space="preserve">Tomašev N, Glorot X, Rae JW, et al. (2019). </w:t>
      </w:r>
      <w:r w:rsidDel="00000000" w:rsidR="00000000" w:rsidRPr="00000000">
        <w:rPr>
          <w:rFonts w:ascii="Times New Roman" w:cs="Times New Roman" w:eastAsia="Times New Roman" w:hAnsi="Times New Roman"/>
          <w:i w:val="1"/>
          <w:iCs w:val="1"/>
          <w:sz w:val="24"/>
          <w:szCs w:val="24"/>
          <w:rtl w:val="0"/>
        </w:rPr>
        <w:t xml:space="preserve">A clinically applicable approach to continuous prediction of future acute kidney injury</w:t>
      </w:r>
      <w:r w:rsidDel="00000000" w:rsidR="00000000" w:rsidRPr="00000000">
        <w:rPr>
          <w:rFonts w:ascii="Times New Roman" w:cs="Times New Roman" w:eastAsia="Times New Roman" w:hAnsi="Times New Roman"/>
          <w:sz w:val="24"/>
          <w:szCs w:val="24"/>
          <w:rtl w:val="0"/>
        </w:rPr>
        <w:t xml:space="preserve">. Nature, 572(7767), 116–119.</w:t>
      </w:r>
    </w:p>
    <w:p w:rsidR="00000000" w:rsidDel="00000000" w:rsidP="00000000" w:rsidRDefault="00000000" w:rsidRPr="00000000" w14:paraId="000000C4">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Uçucu, S., &amp; Azik, F. (2024). </w:t>
      </w:r>
      <w:r w:rsidDel="00000000" w:rsidR="00000000" w:rsidRPr="00000000">
        <w:rPr>
          <w:rFonts w:ascii="Times New Roman" w:cs="Times New Roman" w:eastAsia="Times New Roman" w:hAnsi="Times New Roman"/>
          <w:i w:val="1"/>
          <w:iCs w:val="1"/>
          <w:sz w:val="24"/>
          <w:szCs w:val="24"/>
          <w:rtl w:val="0"/>
        </w:rPr>
        <w:t xml:space="preserve">Veštačka neuralna mreža za prepoznavanje β-talasemije minor i anemije uzrokovane nedostatkom gvožđa - modeli veštačke inteligencije</w:t>
      </w:r>
      <w:r w:rsidDel="00000000" w:rsidR="00000000" w:rsidRPr="00000000">
        <w:rPr>
          <w:rFonts w:ascii="Times New Roman" w:cs="Times New Roman" w:eastAsia="Times New Roman" w:hAnsi="Times New Roman"/>
          <w:sz w:val="24"/>
          <w:szCs w:val="24"/>
          <w:rtl w:val="0"/>
        </w:rPr>
        <w:t xml:space="preserve">. Journal of Medical Biochemistry, 43(1), 11–18.</w:t>
      </w:r>
    </w:p>
    <w:p w:rsidR="00000000" w:rsidDel="00000000" w:rsidP="00000000" w:rsidRDefault="00000000" w:rsidRPr="00000000" w14:paraId="000000C5">
      <w:pPr>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Undru, T. R., Uday, U., Lakshmi, J. T., Kaliappan, A., Mallamgunta, S., Nikhat, S. S., Sakthivadivel, V., &amp; Gaur, A. (2022). Integrating artificial intelligence for clinical and laboratory diagnosis: A review. </w:t>
      </w:r>
      <w:r w:rsidDel="00000000" w:rsidR="00000000" w:rsidRPr="00000000">
        <w:rPr>
          <w:rFonts w:ascii="Times New Roman" w:cs="Times New Roman" w:eastAsia="Times New Roman" w:hAnsi="Times New Roman"/>
          <w:i w:val="1"/>
          <w:iCs w:val="1"/>
          <w:sz w:val="24"/>
          <w:szCs w:val="24"/>
          <w:rtl w:val="0"/>
        </w:rPr>
        <w:t xml:space="preserve">Maedica (Bucur), 17</w:t>
      </w:r>
      <w:r w:rsidDel="00000000" w:rsidR="00000000" w:rsidRPr="00000000">
        <w:rPr>
          <w:rFonts w:ascii="Times New Roman" w:cs="Times New Roman" w:eastAsia="Times New Roman" w:hAnsi="Times New Roman"/>
          <w:sz w:val="24"/>
          <w:szCs w:val="24"/>
          <w:rtl w:val="0"/>
        </w:rPr>
        <w:t xml:space="preserve">(2), 420–426.</w:t>
      </w:r>
      <w:hyperlink r:id="rId45">
        <w:r w:rsidDel="00000000" w:rsidR="00000000" w:rsidRPr="00000000">
          <w:rPr>
            <w:rFonts w:ascii="Times New Roman" w:cs="Times New Roman" w:eastAsia="Times New Roman" w:hAnsi="Times New Roman"/>
            <w:sz w:val="24"/>
            <w:szCs w:val="24"/>
            <w:rtl w:val="0"/>
          </w:rPr>
          <w:t xml:space="preserve"> </w:t>
        </w:r>
      </w:hyperlink>
      <w:hyperlink r:id="rId46">
        <w:r w:rsidDel="00000000" w:rsidR="00000000" w:rsidRPr="00000000">
          <w:rPr>
            <w:rFonts w:ascii="Times New Roman" w:cs="Times New Roman" w:eastAsia="Times New Roman" w:hAnsi="Times New Roman"/>
            <w:color w:val="1155cc"/>
            <w:sz w:val="24"/>
            <w:szCs w:val="24"/>
            <w:u w:val="single"/>
            <w:rtl w:val="0"/>
          </w:rPr>
          <w:t xml:space="preserve">https://doi.org/10.26574/maedica.2022.17.2.420</w:t>
        </w:r>
      </w:hyperlink>
      <w:r w:rsidDel="00000000" w:rsidR="00000000" w:rsidRPr="00000000">
        <w:rPr>
          <w:rtl w:val="0"/>
        </w:rPr>
      </w:r>
    </w:p>
    <w:p w:rsidR="00000000" w:rsidDel="00000000" w:rsidP="00000000" w:rsidRDefault="00000000" w:rsidRPr="00000000" w14:paraId="000000C6">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Valentidenta, W. M., &amp; Pribadi, F. (2025). Artificial intelligence in echocardiography: Enhancing diagnostic accuracy, workflow efficiency, and cost-effectiveness in hypertension and cardiovascular risk assessment. </w:t>
      </w:r>
      <w:r w:rsidDel="00000000" w:rsidR="00000000" w:rsidRPr="00000000">
        <w:rPr>
          <w:rFonts w:ascii="Times New Roman" w:cs="Times New Roman" w:eastAsia="Times New Roman" w:hAnsi="Times New Roman"/>
          <w:i w:val="1"/>
          <w:iCs w:val="1"/>
          <w:sz w:val="24"/>
          <w:szCs w:val="24"/>
          <w:rtl w:val="0"/>
        </w:rPr>
        <w:t xml:space="preserve">Revista Latinoamericana de Hipertensión, 20</w:t>
      </w:r>
      <w:r w:rsidDel="00000000" w:rsidR="00000000" w:rsidRPr="00000000">
        <w:rPr>
          <w:rFonts w:ascii="Times New Roman" w:cs="Times New Roman" w:eastAsia="Times New Roman" w:hAnsi="Times New Roman"/>
          <w:sz w:val="24"/>
          <w:szCs w:val="24"/>
          <w:rtl w:val="0"/>
        </w:rPr>
        <w:t xml:space="preserve">(8).</w:t>
      </w:r>
      <w:hyperlink r:id="rId47">
        <w:r w:rsidDel="00000000" w:rsidR="00000000" w:rsidRPr="00000000">
          <w:rPr>
            <w:rFonts w:ascii="Times New Roman" w:cs="Times New Roman" w:eastAsia="Times New Roman" w:hAnsi="Times New Roman"/>
            <w:sz w:val="24"/>
            <w:szCs w:val="24"/>
            <w:u w:val="single"/>
            <w:rtl w:val="0"/>
          </w:rPr>
          <w:t xml:space="preserve"> </w:t>
        </w:r>
      </w:hyperlink>
      <w:hyperlink r:id="rId48">
        <w:r w:rsidDel="00000000" w:rsidR="00000000" w:rsidRPr="00000000">
          <w:rPr>
            <w:rFonts w:ascii="Times New Roman" w:cs="Times New Roman" w:eastAsia="Times New Roman" w:hAnsi="Times New Roman"/>
            <w:color w:val="1155cc"/>
            <w:sz w:val="24"/>
            <w:szCs w:val="24"/>
            <w:u w:val="single"/>
            <w:rtl w:val="0"/>
          </w:rPr>
          <w:t xml:space="preserve">https://doi.org/10.5281/zenodo.17113815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7">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Veseli, E., Mehrabanian, M., &amp; Ammar, N. (2025). The potential of artificial intelligence in the early detection of systemic diseases during routine dental care. </w:t>
      </w:r>
      <w:r w:rsidDel="00000000" w:rsidR="00000000" w:rsidRPr="00000000">
        <w:rPr>
          <w:rFonts w:ascii="Times New Roman" w:cs="Times New Roman" w:eastAsia="Times New Roman" w:hAnsi="Times New Roman"/>
          <w:i w:val="1"/>
          <w:iCs w:val="1"/>
          <w:sz w:val="24"/>
          <w:szCs w:val="24"/>
          <w:rtl w:val="0"/>
        </w:rPr>
        <w:t xml:space="preserve">British Dental Journal, 239</w:t>
      </w:r>
      <w:r w:rsidDel="00000000" w:rsidR="00000000" w:rsidRPr="00000000">
        <w:rPr>
          <w:rFonts w:ascii="Times New Roman" w:cs="Times New Roman" w:eastAsia="Times New Roman" w:hAnsi="Times New Roman"/>
          <w:sz w:val="24"/>
          <w:szCs w:val="24"/>
          <w:rtl w:val="0"/>
        </w:rPr>
        <w:t xml:space="preserve">(3), 168–174.</w:t>
      </w:r>
      <w:hyperlink r:id="rId49">
        <w:r w:rsidDel="00000000" w:rsidR="00000000" w:rsidRPr="00000000">
          <w:rPr>
            <w:rFonts w:ascii="Times New Roman" w:cs="Times New Roman" w:eastAsia="Times New Roman" w:hAnsi="Times New Roman"/>
            <w:sz w:val="24"/>
            <w:szCs w:val="24"/>
            <w:u w:val="single"/>
            <w:rtl w:val="0"/>
          </w:rPr>
          <w:t xml:space="preserve"> </w:t>
        </w:r>
      </w:hyperlink>
      <w:hyperlink r:id="rId50">
        <w:r w:rsidDel="00000000" w:rsidR="00000000" w:rsidRPr="00000000">
          <w:rPr>
            <w:rFonts w:ascii="Times New Roman" w:cs="Times New Roman" w:eastAsia="Times New Roman" w:hAnsi="Times New Roman"/>
            <w:color w:val="1155cc"/>
            <w:sz w:val="24"/>
            <w:szCs w:val="24"/>
            <w:u w:val="single"/>
            <w:rtl w:val="0"/>
          </w:rPr>
          <w:t xml:space="preserve">https://doi.org/10.1038/s41415-025-8666-7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Villota, S. D., et al. (2025). </w:t>
      </w:r>
      <w:r w:rsidDel="00000000" w:rsidR="00000000" w:rsidRPr="00000000">
        <w:rPr>
          <w:rFonts w:ascii="Times New Roman" w:cs="Times New Roman" w:eastAsia="Times New Roman" w:hAnsi="Times New Roman"/>
          <w:i w:val="1"/>
          <w:iCs w:val="1"/>
          <w:sz w:val="24"/>
          <w:szCs w:val="24"/>
          <w:rtl w:val="0"/>
        </w:rPr>
        <w:t xml:space="preserve">Validation of new equipment for SARS-CoV-2 diagnosis in Ecuador: Detection of the virus and antibodies generated by disease and vaccines with one POC device</w:t>
      </w:r>
      <w:r w:rsidDel="00000000" w:rsidR="00000000" w:rsidRPr="00000000">
        <w:rPr>
          <w:rFonts w:ascii="Times New Roman" w:cs="Times New Roman" w:eastAsia="Times New Roman" w:hAnsi="Times New Roman"/>
          <w:sz w:val="24"/>
          <w:szCs w:val="24"/>
          <w:rtl w:val="0"/>
        </w:rPr>
        <w:t xml:space="preserve">. PLOS ONE, 20(4), e0321794.</w:t>
      </w:r>
    </w:p>
    <w:p w:rsidR="00000000" w:rsidDel="00000000" w:rsidP="00000000" w:rsidRDefault="00000000" w:rsidRPr="00000000" w14:paraId="000000C9">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9sjgo6p5xdcz" w:id="60"/>
      <w:bookmarkEnd w:id="60"/>
      <w:r w:rsidDel="00000000" w:rsidR="00000000" w:rsidRPr="00000000">
        <w:rPr>
          <w:rFonts w:ascii="Times New Roman" w:cs="Times New Roman" w:eastAsia="Times New Roman" w:hAnsi="Times New Roman"/>
          <w:sz w:val="24"/>
          <w:szCs w:val="24"/>
          <w:rtl w:val="0"/>
        </w:rPr>
        <w:t xml:space="preserve">Wang S, Liu Z, Rong Y, et al. (2019). </w:t>
      </w:r>
      <w:r w:rsidDel="00000000" w:rsidR="00000000" w:rsidRPr="00000000">
        <w:rPr>
          <w:rFonts w:ascii="Times New Roman" w:cs="Times New Roman" w:eastAsia="Times New Roman" w:hAnsi="Times New Roman"/>
          <w:i w:val="1"/>
          <w:iCs w:val="1"/>
          <w:sz w:val="24"/>
          <w:szCs w:val="24"/>
          <w:rtl w:val="0"/>
        </w:rPr>
        <w:t xml:space="preserve">Deep learning provides a new computed tomography-based prognostic biomarker for recurrence prediction in high-grade serous ovarian cancer</w:t>
      </w:r>
      <w:r w:rsidDel="00000000" w:rsidR="00000000" w:rsidRPr="00000000">
        <w:rPr>
          <w:rFonts w:ascii="Times New Roman" w:cs="Times New Roman" w:eastAsia="Times New Roman" w:hAnsi="Times New Roman"/>
          <w:sz w:val="24"/>
          <w:szCs w:val="24"/>
          <w:rtl w:val="0"/>
        </w:rPr>
        <w:t xml:space="preserve">. Radiotherapy and Oncology</w:t>
      </w:r>
    </w:p>
    <w:p w:rsidR="00000000" w:rsidDel="00000000" w:rsidP="00000000" w:rsidRDefault="00000000" w:rsidRPr="00000000" w14:paraId="000000CA">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K., Lu, X., Zhou, H., Gao, Y., Zheng, J., Tong, M., et al. (2020). </w:t>
      </w:r>
      <w:r w:rsidDel="00000000" w:rsidR="00000000" w:rsidRPr="00000000">
        <w:rPr>
          <w:rFonts w:ascii="Times New Roman" w:cs="Times New Roman" w:eastAsia="Times New Roman" w:hAnsi="Times New Roman"/>
          <w:i w:val="1"/>
          <w:iCs w:val="1"/>
          <w:sz w:val="24"/>
          <w:szCs w:val="24"/>
          <w:rtl w:val="0"/>
        </w:rPr>
        <w:t xml:space="preserve">Deep learning radiomics of shear wave elastography significantly improved diagnostic performance for assessing liver fibrosis in chronic hepatitis B: a prospective multicentre study</w:t>
      </w:r>
      <w:r w:rsidDel="00000000" w:rsidR="00000000" w:rsidRPr="00000000">
        <w:rPr>
          <w:rFonts w:ascii="Times New Roman" w:cs="Times New Roman" w:eastAsia="Times New Roman" w:hAnsi="Times New Roman"/>
          <w:sz w:val="24"/>
          <w:szCs w:val="24"/>
          <w:rtl w:val="0"/>
        </w:rPr>
        <w:t xml:space="preserve">. Gut, 68(4).</w:t>
      </w:r>
    </w:p>
    <w:p w:rsidR="00000000" w:rsidDel="00000000" w:rsidP="00000000" w:rsidRDefault="00000000" w:rsidRPr="00000000" w14:paraId="000000CB">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gyob7xrlhkl5" w:id="61"/>
      <w:bookmarkEnd w:id="61"/>
      <w:r w:rsidDel="00000000" w:rsidR="00000000" w:rsidRPr="00000000">
        <w:rPr>
          <w:rFonts w:ascii="Times New Roman" w:cs="Times New Roman" w:eastAsia="Times New Roman" w:hAnsi="Times New Roman"/>
          <w:sz w:val="24"/>
          <w:szCs w:val="24"/>
          <w:rtl w:val="0"/>
        </w:rPr>
        <w:t xml:space="preserve">Weng SF, Reps J, Kai J, Garibaldi JM, Qureshi N. (2017). </w:t>
      </w:r>
      <w:r w:rsidDel="00000000" w:rsidR="00000000" w:rsidRPr="00000000">
        <w:rPr>
          <w:rFonts w:ascii="Times New Roman" w:cs="Times New Roman" w:eastAsia="Times New Roman" w:hAnsi="Times New Roman"/>
          <w:i w:val="1"/>
          <w:iCs w:val="1"/>
          <w:sz w:val="24"/>
          <w:szCs w:val="24"/>
          <w:rtl w:val="0"/>
        </w:rPr>
        <w:t xml:space="preserve">Can machine-learning improve cardiovascular risk prediction using routine clinical data?</w:t>
      </w:r>
      <w:r w:rsidDel="00000000" w:rsidR="00000000" w:rsidRPr="00000000">
        <w:rPr>
          <w:rFonts w:ascii="Times New Roman" w:cs="Times New Roman" w:eastAsia="Times New Roman" w:hAnsi="Times New Roman"/>
          <w:sz w:val="24"/>
          <w:szCs w:val="24"/>
          <w:rtl w:val="0"/>
        </w:rPr>
        <w:t xml:space="preserve"> PLOS ONE.</w:t>
      </w:r>
    </w:p>
    <w:p w:rsidR="00000000" w:rsidDel="00000000" w:rsidP="00000000" w:rsidRDefault="00000000" w:rsidRPr="00000000" w14:paraId="000000CC">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S. J., Chau, M., Arruzza, E., Ong, M., John, H., Theiss, R., Yaxley, K. L., &amp; To, M.-S. (2025). Assessment of Standards for Reporting of Diagnostic Accuracy (STARD) 2015 guideline adherence in medical imaging diagnostic accuracy studies published in 2023. </w:t>
      </w:r>
      <w:r w:rsidDel="00000000" w:rsidR="00000000" w:rsidRPr="00000000">
        <w:rPr>
          <w:rFonts w:ascii="Times New Roman" w:cs="Times New Roman" w:eastAsia="Times New Roman" w:hAnsi="Times New Roman"/>
          <w:i w:val="1"/>
          <w:iCs w:val="1"/>
          <w:sz w:val="24"/>
          <w:szCs w:val="24"/>
          <w:rtl w:val="0"/>
        </w:rPr>
        <w:t xml:space="preserve">Journal of Clinical Epidemiology, 179</w:t>
      </w:r>
      <w:r w:rsidDel="00000000" w:rsidR="00000000" w:rsidRPr="00000000">
        <w:rPr>
          <w:rFonts w:ascii="Times New Roman" w:cs="Times New Roman" w:eastAsia="Times New Roman" w:hAnsi="Times New Roman"/>
          <w:sz w:val="24"/>
          <w:szCs w:val="24"/>
          <w:rtl w:val="0"/>
        </w:rPr>
        <w:t xml:space="preserve">, 111654.</w:t>
      </w:r>
      <w:hyperlink r:id="rId51">
        <w:r w:rsidDel="00000000" w:rsidR="00000000" w:rsidRPr="00000000">
          <w:rPr>
            <w:rFonts w:ascii="Times New Roman" w:cs="Times New Roman" w:eastAsia="Times New Roman" w:hAnsi="Times New Roman"/>
            <w:sz w:val="24"/>
            <w:szCs w:val="24"/>
            <w:u w:val="single"/>
            <w:rtl w:val="0"/>
          </w:rPr>
          <w:t xml:space="preserve"> </w:t>
        </w:r>
      </w:hyperlink>
      <w:hyperlink r:id="rId52">
        <w:r w:rsidDel="00000000" w:rsidR="00000000" w:rsidRPr="00000000">
          <w:rPr>
            <w:rFonts w:ascii="Times New Roman" w:cs="Times New Roman" w:eastAsia="Times New Roman" w:hAnsi="Times New Roman"/>
            <w:color w:val="1155cc"/>
            <w:sz w:val="24"/>
            <w:szCs w:val="24"/>
            <w:u w:val="single"/>
            <w:rtl w:val="0"/>
          </w:rPr>
          <w:t xml:space="preserve">https://doi.org/10.1016/j.jclinepi.2024.111654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Regional Office for Europe. (2025). </w:t>
      </w:r>
      <w:r w:rsidDel="00000000" w:rsidR="00000000" w:rsidRPr="00000000">
        <w:rPr>
          <w:rFonts w:ascii="Times New Roman" w:cs="Times New Roman" w:eastAsia="Times New Roman" w:hAnsi="Times New Roman"/>
          <w:i w:val="1"/>
          <w:iCs w:val="1"/>
          <w:sz w:val="24"/>
          <w:szCs w:val="24"/>
          <w:rtl w:val="0"/>
        </w:rPr>
        <w:t xml:space="preserve">Artificial intelligence is reshaping health systems: State of readiness across the WHO European Region</w:t>
      </w:r>
      <w:r w:rsidDel="00000000" w:rsidR="00000000" w:rsidRPr="00000000">
        <w:rPr>
          <w:rFonts w:ascii="Times New Roman" w:cs="Times New Roman" w:eastAsia="Times New Roman" w:hAnsi="Times New Roman"/>
          <w:sz w:val="24"/>
          <w:szCs w:val="24"/>
          <w:rtl w:val="0"/>
        </w:rPr>
        <w:t xml:space="preserve">. WHO Regional Office for Europe.</w:t>
      </w:r>
      <w:hyperlink r:id="rId53">
        <w:r w:rsidDel="00000000" w:rsidR="00000000" w:rsidRPr="00000000">
          <w:rPr>
            <w:rFonts w:ascii="Times New Roman" w:cs="Times New Roman" w:eastAsia="Times New Roman" w:hAnsi="Times New Roman"/>
            <w:sz w:val="24"/>
            <w:szCs w:val="24"/>
            <w:u w:val="single"/>
            <w:rtl w:val="0"/>
          </w:rPr>
          <w:t xml:space="preserve"> </w:t>
        </w:r>
      </w:hyperlink>
      <w:hyperlink r:id="rId54">
        <w:r w:rsidDel="00000000" w:rsidR="00000000" w:rsidRPr="00000000">
          <w:rPr>
            <w:rFonts w:ascii="Times New Roman" w:cs="Times New Roman" w:eastAsia="Times New Roman" w:hAnsi="Times New Roman"/>
            <w:color w:val="1155cc"/>
            <w:sz w:val="24"/>
            <w:szCs w:val="24"/>
            <w:u w:val="single"/>
            <w:rtl w:val="0"/>
          </w:rPr>
          <w:t xml:space="preserve">https://www.who.int/europe/publications/i/item/WHO-EURO-2025-12707-52481-81028</w:t>
        </w:r>
      </w:hyperlink>
      <w:r w:rsidDel="00000000" w:rsidR="00000000" w:rsidRPr="00000000">
        <w:rPr>
          <w:rtl w:val="0"/>
        </w:rPr>
      </w:r>
    </w:p>
    <w:p w:rsidR="00000000" w:rsidDel="00000000" w:rsidP="00000000" w:rsidRDefault="00000000" w:rsidRPr="00000000" w14:paraId="000000CF">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(2024). </w:t>
      </w:r>
      <w:r w:rsidDel="00000000" w:rsidR="00000000" w:rsidRPr="00000000">
        <w:rPr>
          <w:rFonts w:ascii="Times New Roman" w:cs="Times New Roman" w:eastAsia="Times New Roman" w:hAnsi="Times New Roman"/>
          <w:i w:val="1"/>
          <w:iCs w:val="1"/>
          <w:sz w:val="24"/>
          <w:szCs w:val="24"/>
          <w:rtl w:val="0"/>
        </w:rPr>
        <w:t xml:space="preserve">Harnessing artificial intelligence for health</w:t>
      </w:r>
      <w:r w:rsidDel="00000000" w:rsidR="00000000" w:rsidRPr="00000000">
        <w:rPr>
          <w:rFonts w:ascii="Times New Roman" w:cs="Times New Roman" w:eastAsia="Times New Roman" w:hAnsi="Times New Roman"/>
          <w:sz w:val="24"/>
          <w:szCs w:val="24"/>
          <w:rtl w:val="0"/>
        </w:rPr>
        <w:t xml:space="preserve">.</w:t>
      </w:r>
      <w:hyperlink r:id="rId55">
        <w:r w:rsidDel="00000000" w:rsidR="00000000" w:rsidRPr="00000000">
          <w:rPr>
            <w:rFonts w:ascii="Times New Roman" w:cs="Times New Roman" w:eastAsia="Times New Roman" w:hAnsi="Times New Roman"/>
            <w:sz w:val="24"/>
            <w:szCs w:val="24"/>
            <w:u w:val="single"/>
            <w:rtl w:val="0"/>
          </w:rPr>
          <w:t xml:space="preserve"> </w:t>
        </w:r>
      </w:hyperlink>
      <w:hyperlink r:id="rId56">
        <w:r w:rsidDel="00000000" w:rsidR="00000000" w:rsidRPr="00000000">
          <w:rPr>
            <w:rFonts w:ascii="Times New Roman" w:cs="Times New Roman" w:eastAsia="Times New Roman" w:hAnsi="Times New Roman"/>
            <w:color w:val="1155cc"/>
            <w:sz w:val="24"/>
            <w:szCs w:val="24"/>
            <w:u w:val="single"/>
            <w:rtl w:val="0"/>
          </w:rPr>
          <w:t xml:space="preserve">https://www.who.int/teams/digital-health-and-innovation/harnessing-artificial-intelligence-for-health</w:t>
        </w:r>
      </w:hyperlink>
      <w:r w:rsidDel="00000000" w:rsidR="00000000" w:rsidRPr="00000000">
        <w:rPr>
          <w:rFonts w:ascii="Times New Roman" w:cs="Times New Roman" w:eastAsia="Times New Roman" w:hAnsi="Times New Roman"/>
          <w:sz w:val="24"/>
          <w:szCs w:val="24"/>
          <w:rtl w:val="0"/>
        </w:rPr>
        <w:t xml:space="preserve">  </w:t>
        <w:br w:type="textWrapping"/>
      </w:r>
    </w:p>
    <w:p w:rsidR="00000000" w:rsidDel="00000000" w:rsidP="00000000" w:rsidRDefault="00000000" w:rsidRPr="00000000" w14:paraId="000000D1">
      <w:pPr>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World Health Organization. (2024, May 27). </w:t>
      </w:r>
      <w:r w:rsidDel="00000000" w:rsidR="00000000" w:rsidRPr="00000000">
        <w:rPr>
          <w:rFonts w:ascii="Times New Roman" w:cs="Times New Roman" w:eastAsia="Times New Roman" w:hAnsi="Times New Roman"/>
          <w:i w:val="1"/>
          <w:iCs w:val="1"/>
          <w:sz w:val="24"/>
          <w:szCs w:val="24"/>
          <w:rtl w:val="0"/>
        </w:rPr>
        <w:t xml:space="preserve">Leading the future of global health with responsible artificial intelligence</w:t>
      </w:r>
      <w:r w:rsidDel="00000000" w:rsidR="00000000" w:rsidRPr="00000000">
        <w:rPr>
          <w:rFonts w:ascii="Times New Roman" w:cs="Times New Roman" w:eastAsia="Times New Roman" w:hAnsi="Times New Roman"/>
          <w:sz w:val="24"/>
          <w:szCs w:val="24"/>
          <w:rtl w:val="0"/>
        </w:rPr>
        <w:t xml:space="preserve">.</w:t>
      </w:r>
      <w:hyperlink r:id="rId57">
        <w:r w:rsidDel="00000000" w:rsidR="00000000" w:rsidRPr="00000000">
          <w:rPr>
            <w:rFonts w:ascii="Times New Roman" w:cs="Times New Roman" w:eastAsia="Times New Roman" w:hAnsi="Times New Roman"/>
            <w:sz w:val="24"/>
            <w:szCs w:val="24"/>
            <w:u w:val="single"/>
            <w:rtl w:val="0"/>
          </w:rPr>
          <w:t xml:space="preserve"> </w:t>
        </w:r>
      </w:hyperlink>
      <w:hyperlink r:id="rId58">
        <w:r w:rsidDel="00000000" w:rsidR="00000000" w:rsidRPr="00000000">
          <w:rPr>
            <w:rFonts w:ascii="Times New Roman" w:cs="Times New Roman" w:eastAsia="Times New Roman" w:hAnsi="Times New Roman"/>
            <w:color w:val="1155cc"/>
            <w:sz w:val="24"/>
            <w:szCs w:val="24"/>
            <w:u w:val="single"/>
            <w:rtl w:val="0"/>
          </w:rPr>
          <w:t xml:space="preserve">https://www.who.int/publications/m/item/leading-the-future-of-global-health-with-responsible-artificial-intelligence</w:t>
        </w:r>
      </w:hyperlink>
      <w:r w:rsidDel="00000000" w:rsidR="00000000" w:rsidRPr="00000000">
        <w:rPr>
          <w:rFonts w:ascii="Times New Roman" w:cs="Times New Roman" w:eastAsia="Times New Roman" w:hAnsi="Times New Roman"/>
          <w:color w:val="1155cc"/>
          <w:sz w:val="24"/>
          <w:szCs w:val="24"/>
          <w:u w:val="single"/>
          <w:rtl w:val="0"/>
        </w:rPr>
        <w:br w:type="textWrapping"/>
      </w:r>
    </w:p>
    <w:p w:rsidR="00000000" w:rsidDel="00000000" w:rsidP="00000000" w:rsidRDefault="00000000" w:rsidRPr="00000000" w14:paraId="000000D2">
      <w:pPr>
        <w:ind w:left="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World Health Organization. (2024, May 27). </w:t>
      </w:r>
      <w:r w:rsidDel="00000000" w:rsidR="00000000" w:rsidRPr="00000000">
        <w:rPr>
          <w:rFonts w:ascii="Times New Roman" w:cs="Times New Roman" w:eastAsia="Times New Roman" w:hAnsi="Times New Roman"/>
          <w:i w:val="1"/>
          <w:iCs w:val="1"/>
          <w:sz w:val="24"/>
          <w:szCs w:val="24"/>
          <w:rtl w:val="0"/>
        </w:rPr>
        <w:t xml:space="preserve">Artificial intelligence for health: Supporting countries to deploy responsible AI technologies to accelerate equitable health for all</w:t>
      </w:r>
      <w:r w:rsidDel="00000000" w:rsidR="00000000" w:rsidRPr="00000000">
        <w:rPr>
          <w:rFonts w:ascii="Times New Roman" w:cs="Times New Roman" w:eastAsia="Times New Roman" w:hAnsi="Times New Roman"/>
          <w:sz w:val="24"/>
          <w:szCs w:val="24"/>
          <w:rtl w:val="0"/>
        </w:rPr>
        <w:t xml:space="preserve">.</w:t>
      </w:r>
      <w:hyperlink r:id="rId59">
        <w:r w:rsidDel="00000000" w:rsidR="00000000" w:rsidRPr="00000000">
          <w:rPr>
            <w:rFonts w:ascii="Times New Roman" w:cs="Times New Roman" w:eastAsia="Times New Roman" w:hAnsi="Times New Roman"/>
            <w:sz w:val="24"/>
            <w:szCs w:val="24"/>
            <w:u w:val="single"/>
            <w:rtl w:val="0"/>
          </w:rPr>
          <w:t xml:space="preserve"> </w:t>
        </w:r>
      </w:hyperlink>
      <w:hyperlink r:id="rId60">
        <w:r w:rsidDel="00000000" w:rsidR="00000000" w:rsidRPr="00000000">
          <w:rPr>
            <w:rFonts w:ascii="Times New Roman" w:cs="Times New Roman" w:eastAsia="Times New Roman" w:hAnsi="Times New Roman"/>
            <w:color w:val="1155cc"/>
            <w:sz w:val="24"/>
            <w:szCs w:val="24"/>
            <w:u w:val="single"/>
            <w:rtl w:val="0"/>
          </w:rPr>
          <w:t xml:space="preserve">https://www.who.int/publications/m/item/artificial-intelligence-for-health</w:t>
        </w:r>
      </w:hyperlink>
      <w:r w:rsidDel="00000000" w:rsidR="00000000" w:rsidRPr="00000000">
        <w:rPr>
          <w:rtl w:val="0"/>
        </w:rPr>
      </w:r>
    </w:p>
    <w:p w:rsidR="00000000" w:rsidDel="00000000" w:rsidP="00000000" w:rsidRDefault="00000000" w:rsidRPr="00000000" w14:paraId="000000D3">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mz5s45epxof2" w:id="62"/>
      <w:bookmarkEnd w:id="62"/>
      <w:r w:rsidDel="00000000" w:rsidR="00000000" w:rsidRPr="00000000">
        <w:rPr>
          <w:rFonts w:ascii="Times New Roman" w:cs="Times New Roman" w:eastAsia="Times New Roman" w:hAnsi="Times New Roman"/>
          <w:sz w:val="24"/>
          <w:szCs w:val="24"/>
          <w:rtl w:val="0"/>
        </w:rPr>
        <w:t xml:space="preserve">Xie, H., Jia, Y., &amp; Liu, S. (2024). Integration of artificial intelligence in clinical laboratory medicine: Advancements and challenges. </w:t>
      </w:r>
      <w:r w:rsidDel="00000000" w:rsidR="00000000" w:rsidRPr="00000000">
        <w:rPr>
          <w:rFonts w:ascii="Times New Roman" w:cs="Times New Roman" w:eastAsia="Times New Roman" w:hAnsi="Times New Roman"/>
          <w:i w:val="1"/>
          <w:iCs w:val="1"/>
          <w:sz w:val="24"/>
          <w:szCs w:val="24"/>
          <w:rtl w:val="0"/>
        </w:rPr>
        <w:t xml:space="preserve">Interdisciplinary Medicine</w:t>
      </w:r>
      <w:r w:rsidDel="00000000" w:rsidR="00000000" w:rsidRPr="00000000">
        <w:rPr>
          <w:rFonts w:ascii="Times New Roman" w:cs="Times New Roman" w:eastAsia="Times New Roman" w:hAnsi="Times New Roman"/>
          <w:sz w:val="24"/>
          <w:szCs w:val="24"/>
          <w:rtl w:val="0"/>
        </w:rPr>
        <w:t xml:space="preserve">.</w:t>
      </w:r>
      <w:hyperlink r:id="rId61">
        <w:r w:rsidDel="00000000" w:rsidR="00000000" w:rsidRPr="00000000">
          <w:rPr>
            <w:rFonts w:ascii="Times New Roman" w:cs="Times New Roman" w:eastAsia="Times New Roman" w:hAnsi="Times New Roman"/>
            <w:sz w:val="24"/>
            <w:szCs w:val="24"/>
            <w:rtl w:val="0"/>
          </w:rPr>
          <w:t xml:space="preserve"> https://doi.org/10.1002/INMD.20230056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Xie, Y., Meng, W.-Y., Li, R.-Z., et al. (2021). </w:t>
      </w:r>
      <w:r w:rsidDel="00000000" w:rsidR="00000000" w:rsidRPr="00000000">
        <w:rPr>
          <w:rFonts w:ascii="Times New Roman" w:cs="Times New Roman" w:eastAsia="Times New Roman" w:hAnsi="Times New Roman"/>
          <w:i w:val="1"/>
          <w:iCs w:val="1"/>
          <w:sz w:val="24"/>
          <w:szCs w:val="24"/>
          <w:rtl w:val="0"/>
        </w:rPr>
        <w:t xml:space="preserve">Early lung cancer diagnostic biomarker discovery by machine learning methods</w:t>
      </w:r>
      <w:r w:rsidDel="00000000" w:rsidR="00000000" w:rsidRPr="00000000">
        <w:rPr>
          <w:rFonts w:ascii="Times New Roman" w:cs="Times New Roman" w:eastAsia="Times New Roman" w:hAnsi="Times New Roman"/>
          <w:sz w:val="24"/>
          <w:szCs w:val="24"/>
          <w:rtl w:val="0"/>
        </w:rPr>
        <w:t xml:space="preserve">. Translational Oncology, 14(1), 100907.</w:t>
      </w:r>
    </w:p>
    <w:p w:rsidR="00000000" w:rsidDel="00000000" w:rsidP="00000000" w:rsidRDefault="00000000" w:rsidRPr="00000000" w14:paraId="000000D5">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311c9dp79tru" w:id="63"/>
      <w:bookmarkEnd w:id="63"/>
      <w:r w:rsidDel="00000000" w:rsidR="00000000" w:rsidRPr="00000000">
        <w:rPr>
          <w:rFonts w:ascii="Times New Roman" w:cs="Times New Roman" w:eastAsia="Times New Roman" w:hAnsi="Times New Roman"/>
          <w:sz w:val="24"/>
          <w:szCs w:val="24"/>
          <w:rtl w:val="0"/>
        </w:rPr>
        <w:t xml:space="preserve">Yan L, Zhang HT, Goncalves J, et al. (2020). </w:t>
      </w:r>
      <w:r w:rsidDel="00000000" w:rsidR="00000000" w:rsidRPr="00000000">
        <w:rPr>
          <w:rFonts w:ascii="Times New Roman" w:cs="Times New Roman" w:eastAsia="Times New Roman" w:hAnsi="Times New Roman"/>
          <w:i w:val="1"/>
          <w:iCs w:val="1"/>
          <w:sz w:val="24"/>
          <w:szCs w:val="24"/>
          <w:rtl w:val="0"/>
        </w:rPr>
        <w:t xml:space="preserve">An interpretable mortality prediction model for COVID-19 patients</w:t>
      </w:r>
      <w:r w:rsidDel="00000000" w:rsidR="00000000" w:rsidRPr="00000000">
        <w:rPr>
          <w:rFonts w:ascii="Times New Roman" w:cs="Times New Roman" w:eastAsia="Times New Roman" w:hAnsi="Times New Roman"/>
          <w:sz w:val="24"/>
          <w:szCs w:val="24"/>
          <w:rtl w:val="0"/>
        </w:rPr>
        <w:t xml:space="preserve">. Nature Machine Intelligence.</w:t>
      </w:r>
    </w:p>
    <w:p w:rsidR="00000000" w:rsidDel="00000000" w:rsidP="00000000" w:rsidRDefault="00000000" w:rsidRPr="00000000" w14:paraId="000000D6">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v8j5cleksze4" w:id="64"/>
      <w:bookmarkEnd w:id="64"/>
      <w:r w:rsidDel="00000000" w:rsidR="00000000" w:rsidRPr="00000000">
        <w:rPr>
          <w:rFonts w:ascii="Times New Roman" w:cs="Times New Roman" w:eastAsia="Times New Roman" w:hAnsi="Times New Roman"/>
          <w:sz w:val="24"/>
          <w:szCs w:val="24"/>
          <w:rtl w:val="0"/>
        </w:rPr>
        <w:t xml:space="preserve">Yan, W., Zhu, L., Wei, H., Feng, J., &amp; Gao, Y. (2024). A machine learning model based on blood indices for the differential diagnosis of colorectal cancer and colorectal polyps. </w:t>
      </w:r>
      <w:r w:rsidDel="00000000" w:rsidR="00000000" w:rsidRPr="00000000">
        <w:rPr>
          <w:rFonts w:ascii="Times New Roman" w:cs="Times New Roman" w:eastAsia="Times New Roman" w:hAnsi="Times New Roman"/>
          <w:i w:val="1"/>
          <w:iCs w:val="1"/>
          <w:sz w:val="24"/>
          <w:szCs w:val="24"/>
          <w:rtl w:val="0"/>
        </w:rPr>
        <w:t xml:space="preserve">iLABMED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7">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HS, Hou Y, Vasovic LV, et al. (2020). Routine laboratory blood tests predict SARS-CoV-2 infection using machine learning. </w:t>
      </w:r>
      <w:r w:rsidDel="00000000" w:rsidR="00000000" w:rsidRPr="00000000">
        <w:rPr>
          <w:rFonts w:ascii="Times New Roman" w:cs="Times New Roman" w:eastAsia="Times New Roman" w:hAnsi="Times New Roman"/>
          <w:i w:val="1"/>
          <w:iCs w:val="1"/>
          <w:sz w:val="24"/>
          <w:szCs w:val="24"/>
          <w:rtl w:val="0"/>
        </w:rPr>
        <w:t xml:space="preserve">Clinical Chemistry</w:t>
      </w:r>
      <w:r w:rsidDel="00000000" w:rsidR="00000000" w:rsidRPr="00000000">
        <w:rPr>
          <w:rFonts w:ascii="Times New Roman" w:cs="Times New Roman" w:eastAsia="Times New Roman" w:hAnsi="Times New Roman"/>
          <w:sz w:val="24"/>
          <w:szCs w:val="24"/>
          <w:rtl w:val="0"/>
        </w:rPr>
        <w:t xml:space="preserve">, 66(11), 1396–1404.</w:t>
      </w:r>
      <w:hyperlink r:id="rId62">
        <w:r w:rsidDel="00000000" w:rsidR="00000000" w:rsidRPr="00000000">
          <w:rPr>
            <w:rFonts w:ascii="Times New Roman" w:cs="Times New Roman" w:eastAsia="Times New Roman" w:hAnsi="Times New Roman"/>
            <w:sz w:val="24"/>
            <w:szCs w:val="24"/>
            <w:u w:val="single"/>
            <w:rtl w:val="0"/>
          </w:rPr>
          <w:t xml:space="preserve"> </w:t>
        </w:r>
      </w:hyperlink>
      <w:hyperlink r:id="rId63">
        <w:r w:rsidDel="00000000" w:rsidR="00000000" w:rsidRPr="00000000">
          <w:rPr>
            <w:rFonts w:ascii="Times New Roman" w:cs="Times New Roman" w:eastAsia="Times New Roman" w:hAnsi="Times New Roman"/>
            <w:color w:val="1155cc"/>
            <w:sz w:val="24"/>
            <w:szCs w:val="24"/>
            <w:u w:val="single"/>
            <w:rtl w:val="0"/>
          </w:rPr>
          <w:t xml:space="preserve">https://doi.org/10.1093/clinchem/hvaa200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g6zo2r5xhssw" w:id="65"/>
      <w:bookmarkEnd w:id="65"/>
      <w:r w:rsidDel="00000000" w:rsidR="00000000" w:rsidRPr="00000000">
        <w:rPr>
          <w:rFonts w:ascii="Times New Roman" w:cs="Times New Roman" w:eastAsia="Times New Roman" w:hAnsi="Times New Roman"/>
          <w:sz w:val="24"/>
          <w:szCs w:val="24"/>
          <w:rtl w:val="0"/>
        </w:rPr>
        <w:t xml:space="preserve">Yao H, Zhang N, Zhang R, et al. (2020). </w:t>
      </w:r>
      <w:r w:rsidDel="00000000" w:rsidR="00000000" w:rsidRPr="00000000">
        <w:rPr>
          <w:rFonts w:ascii="Times New Roman" w:cs="Times New Roman" w:eastAsia="Times New Roman" w:hAnsi="Times New Roman"/>
          <w:i w:val="1"/>
          <w:iCs w:val="1"/>
          <w:sz w:val="24"/>
          <w:szCs w:val="24"/>
          <w:rtl w:val="0"/>
        </w:rPr>
        <w:t xml:space="preserve">Severity detection for COVID-19 patients using a machine learning model based on blood and urine tests</w:t>
      </w:r>
      <w:r w:rsidDel="00000000" w:rsidR="00000000" w:rsidRPr="00000000">
        <w:rPr>
          <w:rFonts w:ascii="Times New Roman" w:cs="Times New Roman" w:eastAsia="Times New Roman" w:hAnsi="Times New Roman"/>
          <w:sz w:val="24"/>
          <w:szCs w:val="24"/>
          <w:rtl w:val="0"/>
        </w:rPr>
        <w:t xml:space="preserve">. Frontiers in Cell and Developmental Biology.</w:t>
      </w:r>
    </w:p>
    <w:p w:rsidR="00000000" w:rsidDel="00000000" w:rsidP="00000000" w:rsidRDefault="00000000" w:rsidRPr="00000000" w14:paraId="000000D9">
      <w:pP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Yu, A. C., Mohajer, B., &amp; Eng, J. (2022). External validation of deep learning algorithms for radiologic diagnosis: A systematic review. </w:t>
      </w:r>
      <w:r w:rsidDel="00000000" w:rsidR="00000000" w:rsidRPr="00000000">
        <w:rPr>
          <w:rFonts w:ascii="Times New Roman" w:cs="Times New Roman" w:eastAsia="Times New Roman" w:hAnsi="Times New Roman"/>
          <w:i w:val="1"/>
          <w:iCs w:val="1"/>
          <w:sz w:val="24"/>
          <w:szCs w:val="24"/>
          <w:rtl w:val="0"/>
        </w:rPr>
        <w:t xml:space="preserve">Radiology: Artificial Intelligence, 4</w:t>
      </w:r>
      <w:r w:rsidDel="00000000" w:rsidR="00000000" w:rsidRPr="00000000">
        <w:rPr>
          <w:rFonts w:ascii="Times New Roman" w:cs="Times New Roman" w:eastAsia="Times New Roman" w:hAnsi="Times New Roman"/>
          <w:sz w:val="24"/>
          <w:szCs w:val="24"/>
          <w:rtl w:val="0"/>
        </w:rPr>
        <w:t xml:space="preserve">(3), e210064.</w:t>
      </w:r>
      <w:hyperlink r:id="rId64">
        <w:r w:rsidDel="00000000" w:rsidR="00000000" w:rsidRPr="00000000">
          <w:rPr>
            <w:rFonts w:ascii="Times New Roman" w:cs="Times New Roman" w:eastAsia="Times New Roman" w:hAnsi="Times New Roman"/>
            <w:sz w:val="24"/>
            <w:szCs w:val="24"/>
            <w:u w:val="single"/>
            <w:rtl w:val="0"/>
          </w:rPr>
          <w:t xml:space="preserve"> </w:t>
        </w:r>
      </w:hyperlink>
      <w:hyperlink r:id="rId65">
        <w:r w:rsidDel="00000000" w:rsidR="00000000" w:rsidRPr="00000000">
          <w:rPr>
            <w:rFonts w:ascii="Times New Roman" w:cs="Times New Roman" w:eastAsia="Times New Roman" w:hAnsi="Times New Roman"/>
            <w:color w:val="1155cc"/>
            <w:sz w:val="24"/>
            <w:szCs w:val="24"/>
            <w:u w:val="single"/>
            <w:rtl w:val="0"/>
          </w:rPr>
          <w:t xml:space="preserve">https://doi.org/10.1148/ryai.210064</w:t>
        </w:r>
      </w:hyperlink>
      <w:r w:rsidDel="00000000" w:rsidR="00000000" w:rsidRPr="00000000">
        <w:rPr>
          <w:rtl w:val="0"/>
        </w:rPr>
      </w:r>
    </w:p>
    <w:p w:rsidR="00000000" w:rsidDel="00000000" w:rsidP="00000000" w:rsidRDefault="00000000" w:rsidRPr="00000000" w14:paraId="000000DA">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7awuf2i75l0" w:id="66"/>
      <w:bookmarkEnd w:id="66"/>
      <w:r w:rsidDel="00000000" w:rsidR="00000000" w:rsidRPr="00000000">
        <w:rPr>
          <w:rFonts w:ascii="Times New Roman" w:cs="Times New Roman" w:eastAsia="Times New Roman" w:hAnsi="Times New Roman"/>
          <w:sz w:val="24"/>
          <w:szCs w:val="24"/>
          <w:rtl w:val="0"/>
        </w:rPr>
        <w:t xml:space="preserve">Zhang J, Liu W, Xiao W, et al. (2024). </w:t>
      </w:r>
      <w:r w:rsidDel="00000000" w:rsidR="00000000" w:rsidRPr="00000000">
        <w:rPr>
          <w:rFonts w:ascii="Times New Roman" w:cs="Times New Roman" w:eastAsia="Times New Roman" w:hAnsi="Times New Roman"/>
          <w:i w:val="1"/>
          <w:iCs w:val="1"/>
          <w:sz w:val="24"/>
          <w:szCs w:val="24"/>
          <w:rtl w:val="0"/>
        </w:rPr>
        <w:t xml:space="preserve">Machine learning-derived blood culture classification with both predictive and prognostic values in the intensive care unit: A retrospective cohort study</w:t>
      </w:r>
      <w:r w:rsidDel="00000000" w:rsidR="00000000" w:rsidRPr="00000000">
        <w:rPr>
          <w:rFonts w:ascii="Times New Roman" w:cs="Times New Roman" w:eastAsia="Times New Roman" w:hAnsi="Times New Roman"/>
          <w:sz w:val="24"/>
          <w:szCs w:val="24"/>
          <w:rtl w:val="0"/>
        </w:rPr>
        <w:t xml:space="preserve">. Intensive and Critical Care Nursing</w:t>
      </w:r>
    </w:p>
    <w:p w:rsidR="00000000" w:rsidDel="00000000" w:rsidP="00000000" w:rsidRDefault="00000000" w:rsidRPr="00000000" w14:paraId="000000DB">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5ztir0de5w0v" w:id="67"/>
      <w:bookmarkEnd w:id="67"/>
      <w:r w:rsidDel="00000000" w:rsidR="00000000" w:rsidRPr="00000000">
        <w:rPr>
          <w:rFonts w:ascii="Times New Roman" w:cs="Times New Roman" w:eastAsia="Times New Roman" w:hAnsi="Times New Roman"/>
          <w:sz w:val="24"/>
          <w:szCs w:val="24"/>
          <w:rtl w:val="0"/>
        </w:rPr>
        <w:t xml:space="preserve">Zhang Z, Bast RC Jr, Yu Y, et al. (2004). </w:t>
      </w:r>
      <w:r w:rsidDel="00000000" w:rsidR="00000000" w:rsidRPr="00000000">
        <w:rPr>
          <w:rFonts w:ascii="Times New Roman" w:cs="Times New Roman" w:eastAsia="Times New Roman" w:hAnsi="Times New Roman"/>
          <w:i w:val="1"/>
          <w:iCs w:val="1"/>
          <w:sz w:val="24"/>
          <w:szCs w:val="24"/>
          <w:rtl w:val="0"/>
        </w:rPr>
        <w:t xml:space="preserve">Three biomarkers identified from serum proteomic analysis for the detection of early stage ovarian cancer</w:t>
      </w:r>
      <w:r w:rsidDel="00000000" w:rsidR="00000000" w:rsidRPr="00000000">
        <w:rPr>
          <w:rFonts w:ascii="Times New Roman" w:cs="Times New Roman" w:eastAsia="Times New Roman" w:hAnsi="Times New Roman"/>
          <w:sz w:val="24"/>
          <w:szCs w:val="24"/>
          <w:rtl w:val="0"/>
        </w:rPr>
        <w:t xml:space="preserve">. Cancer Research.</w:t>
      </w:r>
    </w:p>
    <w:p w:rsidR="00000000" w:rsidDel="00000000" w:rsidP="00000000" w:rsidRDefault="00000000" w:rsidRPr="00000000" w14:paraId="000000DC">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D., Cheng, Z., Song, Y., Li, H., Shi, L., Wang, N., Peng, Y., Chen, R., Sun, N., Han, M., Hu, F., Zong, C., Zhang, R., Chen, S., Zhu, C., Zhang, X., Li, X., Ma, X., Shi, C., Zhang, X., Liu, R., Ren, Z., Wang, L., Zeng, Q., Zeng, T., &amp; Chen, X. (2025). </w:t>
      </w:r>
      <w:r w:rsidDel="00000000" w:rsidR="00000000" w:rsidRPr="00000000">
        <w:rPr>
          <w:rFonts w:ascii="Times New Roman" w:cs="Times New Roman" w:eastAsia="Times New Roman" w:hAnsi="Times New Roman"/>
          <w:i w:val="1"/>
          <w:iCs w:val="1"/>
          <w:sz w:val="24"/>
          <w:szCs w:val="24"/>
          <w:rtl w:val="0"/>
        </w:rPr>
        <w:t xml:space="preserve">Rapid and sensitive acute leukemia classification and diagnosis platform using deep learning-assisted SERS detection</w:t>
      </w:r>
      <w:r w:rsidDel="00000000" w:rsidR="00000000" w:rsidRPr="00000000">
        <w:rPr>
          <w:rFonts w:ascii="Times New Roman" w:cs="Times New Roman" w:eastAsia="Times New Roman" w:hAnsi="Times New Roman"/>
          <w:sz w:val="24"/>
          <w:szCs w:val="24"/>
          <w:rtl w:val="0"/>
        </w:rPr>
        <w:t xml:space="preserve">. Cell Reports Medicine, 6(9), 102320.</w:t>
      </w:r>
    </w:p>
    <w:p w:rsidR="00000000" w:rsidDel="00000000" w:rsidP="00000000" w:rsidRDefault="00000000" w:rsidRPr="00000000" w14:paraId="000000DD">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3px8phtfg64t" w:id="68"/>
      <w:bookmarkEnd w:id="68"/>
      <w:r w:rsidDel="00000000" w:rsidR="00000000" w:rsidRPr="00000000">
        <w:rPr>
          <w:rFonts w:ascii="Times New Roman" w:cs="Times New Roman" w:eastAsia="Times New Roman" w:hAnsi="Times New Roman"/>
          <w:sz w:val="24"/>
          <w:szCs w:val="24"/>
          <w:rtl w:val="0"/>
        </w:rPr>
        <w:t xml:space="preserve">Zhen S, Cheng M, Tao YB, et al. (2020). </w:t>
      </w:r>
      <w:r w:rsidDel="00000000" w:rsidR="00000000" w:rsidRPr="00000000">
        <w:rPr>
          <w:rFonts w:ascii="Times New Roman" w:cs="Times New Roman" w:eastAsia="Times New Roman" w:hAnsi="Times New Roman"/>
          <w:i w:val="1"/>
          <w:iCs w:val="1"/>
          <w:sz w:val="24"/>
          <w:szCs w:val="24"/>
          <w:rtl w:val="0"/>
        </w:rPr>
        <w:t xml:space="preserve">Deep learning for accurate diagnosis of liver tumor based on magnetic resonance imaging and clinical data</w:t>
      </w:r>
      <w:r w:rsidDel="00000000" w:rsidR="00000000" w:rsidRPr="00000000">
        <w:rPr>
          <w:rFonts w:ascii="Times New Roman" w:cs="Times New Roman" w:eastAsia="Times New Roman" w:hAnsi="Times New Roman"/>
          <w:sz w:val="24"/>
          <w:szCs w:val="24"/>
          <w:rtl w:val="0"/>
        </w:rPr>
        <w:t xml:space="preserve">. Frontiers in Oncology</w:t>
      </w:r>
    </w:p>
    <w:p w:rsidR="00000000" w:rsidDel="00000000" w:rsidP="00000000" w:rsidRDefault="00000000" w:rsidRPr="00000000" w14:paraId="000000DE">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Zhou, J., Park, S., Dong, S., Tang, X., &amp; Wei, X. (2025). Artificial intelligence-driven transformative applications in disease diagnosis technology. </w:t>
      </w:r>
      <w:r w:rsidDel="00000000" w:rsidR="00000000" w:rsidRPr="00000000">
        <w:rPr>
          <w:rFonts w:ascii="Times New Roman" w:cs="Times New Roman" w:eastAsia="Times New Roman" w:hAnsi="Times New Roman"/>
          <w:i w:val="1"/>
          <w:iCs w:val="1"/>
          <w:sz w:val="24"/>
          <w:szCs w:val="24"/>
          <w:rtl w:val="0"/>
        </w:rPr>
        <w:t xml:space="preserve">Medical Review, 5</w:t>
      </w:r>
      <w:r w:rsidDel="00000000" w:rsidR="00000000" w:rsidRPr="00000000">
        <w:rPr>
          <w:rFonts w:ascii="Times New Roman" w:cs="Times New Roman" w:eastAsia="Times New Roman" w:hAnsi="Times New Roman"/>
          <w:sz w:val="24"/>
          <w:szCs w:val="24"/>
          <w:rtl w:val="0"/>
        </w:rPr>
        <w:t xml:space="preserve">(5), 353–377. https://doi.org/10.1515/mr-2024-0097 </w:t>
      </w:r>
    </w:p>
    <w:p w:rsidR="00000000" w:rsidDel="00000000" w:rsidP="00000000" w:rsidRDefault="00000000" w:rsidRPr="00000000" w14:paraId="000000DF">
      <w:pPr>
        <w:pStyle w:val="Heading2"/>
        <w:keepNext w:val="0"/>
        <w:keepLines w:val="0"/>
        <w:spacing w:after="240" w:before="240" w:lineRule="auto"/>
        <w:ind w:left="720" w:hanging="720"/>
        <w:jc w:val="both"/>
        <w:rPr>
          <w:rFonts w:ascii="Times New Roman" w:cs="Times New Roman" w:eastAsia="Times New Roman" w:hAnsi="Times New Roman"/>
          <w:sz w:val="24"/>
          <w:szCs w:val="24"/>
        </w:rPr>
      </w:pPr>
      <w:bookmarkStart w:colFirst="0" w:colLast="0" w:name="_2alw2groqoho" w:id="69"/>
      <w:bookmarkEnd w:id="69"/>
      <w:r w:rsidDel="00000000" w:rsidR="00000000" w:rsidRPr="00000000">
        <w:rPr>
          <w:rFonts w:ascii="Times New Roman" w:cs="Times New Roman" w:eastAsia="Times New Roman" w:hAnsi="Times New Roman"/>
          <w:sz w:val="24"/>
          <w:szCs w:val="24"/>
          <w:rtl w:val="0"/>
        </w:rPr>
        <w:t xml:space="preserve">Zmudzki, F., Smeets, R. J. E. M., Groenewegen, J. S., &amp; van der Graaff, E. (2025). Machine learning clinical decision support for interdisciplinary multimodal chronic musculoskeletal pain treatment: Prospective pilot study of patient assessment and prognostic profile validation. </w:t>
      </w:r>
      <w:r w:rsidDel="00000000" w:rsidR="00000000" w:rsidRPr="00000000">
        <w:rPr>
          <w:rFonts w:ascii="Times New Roman" w:cs="Times New Roman" w:eastAsia="Times New Roman" w:hAnsi="Times New Roman"/>
          <w:i w:val="1"/>
          <w:iCs w:val="1"/>
          <w:sz w:val="24"/>
          <w:szCs w:val="24"/>
          <w:rtl w:val="0"/>
        </w:rPr>
        <w:t xml:space="preserve">JMIR Rehabilitation and Assistive Technologies, 12</w:t>
      </w:r>
      <w:r w:rsidDel="00000000" w:rsidR="00000000" w:rsidRPr="00000000">
        <w:rPr>
          <w:rFonts w:ascii="Times New Roman" w:cs="Times New Roman" w:eastAsia="Times New Roman" w:hAnsi="Times New Roman"/>
          <w:sz w:val="24"/>
          <w:szCs w:val="24"/>
          <w:rtl w:val="0"/>
        </w:rPr>
        <w:t xml:space="preserve">, e65890. https://doi.org/10.2196/65890</w:t>
      </w:r>
    </w:p>
    <w:p w:rsidR="00000000" w:rsidDel="00000000" w:rsidP="00000000" w:rsidRDefault="00000000" w:rsidRPr="00000000" w14:paraId="000000E0">
      <w:pPr>
        <w:pStyle w:val="Heading1"/>
        <w:keepNext w:val="0"/>
        <w:keepLines w:val="0"/>
        <w:spacing w:before="480" w:lineRule="auto"/>
        <w:jc w:val="both"/>
        <w:rPr>
          <w:rFonts w:ascii="Times New Roman" w:cs="Times New Roman" w:eastAsia="Times New Roman" w:hAnsi="Times New Roman"/>
          <w:b w:val="1"/>
          <w:bCs w:val="1"/>
          <w:sz w:val="24"/>
          <w:szCs w:val="24"/>
        </w:rPr>
        <w:sectPr>
          <w:pgSz w:h="15840" w:w="12240" w:orient="portrait"/>
          <w:pgMar w:bottom="1440" w:top="1440" w:left="1440" w:right="1440" w:header="720" w:footer="720"/>
          <w:pgNumType w:start="1"/>
        </w:sectPr>
      </w:pPr>
      <w:bookmarkStart w:colFirst="0" w:colLast="0" w:name="_ps9vuacrins5" w:id="70"/>
      <w:bookmarkEnd w:id="70"/>
      <w:r w:rsidDel="00000000" w:rsidR="00000000" w:rsidRPr="00000000">
        <w:rPr>
          <w:rtl w:val="0"/>
        </w:rPr>
      </w:r>
    </w:p>
    <w:p w:rsidR="00000000" w:rsidDel="00000000" w:rsidP="00000000" w:rsidRDefault="00000000" w:rsidRPr="00000000" w14:paraId="000000E1">
      <w:pPr>
        <w:pStyle w:val="Heading1"/>
        <w:keepNext w:val="0"/>
        <w:keepLines w:val="0"/>
        <w:spacing w:before="480" w:line="240" w:lineRule="auto"/>
        <w:rPr>
          <w:rFonts w:ascii="Times New Roman" w:cs="Times New Roman" w:eastAsia="Times New Roman" w:hAnsi="Times New Roman"/>
          <w:b w:val="1"/>
          <w:bCs w:val="1"/>
          <w:sz w:val="24"/>
          <w:szCs w:val="24"/>
        </w:rPr>
      </w:pPr>
      <w:bookmarkStart w:colFirst="0" w:colLast="0" w:name="_wfr2hosy41y3" w:id="71"/>
      <w:bookmarkEnd w:id="71"/>
      <w:r w:rsidDel="00000000" w:rsidR="00000000" w:rsidRPr="00000000">
        <w:rPr>
          <w:rFonts w:ascii="Times New Roman" w:cs="Times New Roman" w:eastAsia="Times New Roman" w:hAnsi="Times New Roman"/>
          <w:b w:val="1"/>
          <w:bCs w:val="1"/>
          <w:sz w:val="24"/>
          <w:szCs w:val="24"/>
          <w:rtl w:val="0"/>
        </w:rPr>
        <w:t xml:space="preserve">TABLE 1. COMPREHENSIVE CHARACTERISTICS OF INCLUDED STUDIES</w:t>
      </w:r>
    </w:p>
    <w:tbl>
      <w:tblPr>
        <w:tblStyle w:val="Table1"/>
        <w:tblW w:w="13680.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1185"/>
        <w:gridCol w:w="1695"/>
        <w:gridCol w:w="1230"/>
        <w:gridCol w:w="1500"/>
        <w:gridCol w:w="1440"/>
        <w:gridCol w:w="1710"/>
        <w:gridCol w:w="1590"/>
        <w:gridCol w:w="1710"/>
        <w:tblGridChange w:id="0">
          <w:tblGrid>
            <w:gridCol w:w="1620"/>
            <w:gridCol w:w="1185"/>
            <w:gridCol w:w="1695"/>
            <w:gridCol w:w="1230"/>
            <w:gridCol w:w="1500"/>
            <w:gridCol w:w="1440"/>
            <w:gridCol w:w="1710"/>
            <w:gridCol w:w="1590"/>
            <w:gridCol w:w="1710"/>
          </w:tblGrid>
        </w:tblGridChange>
      </w:tblGrid>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 (Year)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Country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Study Design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Sample Size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Population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AI Model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Data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Comparator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 Outcome</w:t>
            </w:r>
            <w:r w:rsidDel="00000000" w:rsidR="00000000" w:rsidRPr="00000000">
              <w:rPr>
                <w:rtl w:val="0"/>
              </w:rPr>
            </w:r>
          </w:p>
        </w:tc>
      </w:tr>
      <w:tr>
        <w:trPr>
          <w:cantSplit w:val="0"/>
          <w:trHeight w:val="572.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Szumilas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Prospective cohort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ML (white-box)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Physician judgment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Accuracy 74.3%, Sens 100%</w:t>
            </w:r>
          </w:p>
        </w:tc>
      </w:tr>
      <w:tr>
        <w:trPr>
          <w:cantSplit w:val="0"/>
          <w:trHeight w:val="446.953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Gözgöz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Turkey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Neurology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Ensemble ML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CSF + serum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Immunoblotting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0.902</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Thyroid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Molecular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Histopathology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0.82–0.86</w:t>
            </w:r>
          </w:p>
        </w:tc>
      </w:tr>
      <w:tr>
        <w:trPr>
          <w:cantSplit w:val="0"/>
          <w:trHeight w:val="371.953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7251e"/>
                <w:sz w:val="24"/>
                <w:szCs w:val="24"/>
                <w:rtl w:val="0"/>
              </w:rPr>
              <w:t xml:space="preserve">Gröschel </w:t>
            </w:r>
            <w:r w:rsidDel="00000000" w:rsidR="00000000" w:rsidRPr="00000000">
              <w:rPr>
                <w:rFonts w:ascii="Times New Roman" w:cs="Times New Roman" w:eastAsia="Times New Roman" w:hAnsi="Times New Roman"/>
                <w:sz w:val="24"/>
                <w:szCs w:val="24"/>
                <w:rtl w:val="0"/>
              </w:rPr>
              <w:t xml:space="preserve">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TB isolates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WDNN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Genomic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0.89–0.96</w:t>
            </w:r>
          </w:p>
        </w:tc>
      </w:tr>
      <w:tr>
        <w:trPr>
          <w:cantSplit w:val="0"/>
          <w:trHeight w:val="572.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Leukemia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DL (CNN+Transformer)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CSF spectroscopy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accuracy</w:t>
            </w:r>
          </w:p>
        </w:tc>
      </w:tr>
      <w:tr>
        <w:trPr>
          <w:cantSplit w:val="0"/>
          <w:trHeight w:val="221.953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Uçucu &amp; Azik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Turkey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Anemia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Improved accuracy</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et al. (2026)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Retrospective cohort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Breast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EMR + lab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outcome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~0.89</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Villota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Ecuador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COVID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RT-LAMP + 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Swab + serum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PCR/ELISA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 91%, Spec 92%</w:t>
            </w:r>
          </w:p>
        </w:tc>
      </w:tr>
      <w:tr>
        <w:trPr>
          <w:cantSplit w:val="0"/>
          <w:trHeight w:val="6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Cao et al. (2013)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Liver disease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MLP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0.942</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Goebel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Lung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RF-based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Imaging/pathology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0.966</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Gunčar et al. (2018)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Slovenia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Hematology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panels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Specialist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Accuracy 88%</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Kawakami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Japan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Ovarian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GBM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Histopathology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0.978</w:t>
            </w:r>
          </w:p>
        </w:tc>
      </w:tr>
      <w:tr>
        <w:trPr>
          <w:cantSplit w:val="0"/>
          <w:trHeight w:val="219.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Xie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Lung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Naïve Bayes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Metabolomics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0.989</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Kukar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Slovenia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COVID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 tests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PCR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0.97</w:t>
            </w:r>
          </w:p>
        </w:tc>
      </w:tr>
      <w:tr>
        <w:trPr>
          <w:cantSplit w:val="0"/>
          <w:trHeight w:val="491.953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Multi-center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COVID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GBDT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 demographic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PCR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0.854</w:t>
            </w:r>
          </w:p>
        </w:tc>
      </w:tr>
      <w:tr>
        <w:trPr>
          <w:cantSplit w:val="0"/>
          <w:trHeight w:val="752.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Cardiac amyloidosis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0.95</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Hornbrook et al. (2017)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CRC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ML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~0.80</w:t>
            </w:r>
          </w:p>
        </w:tc>
      </w:tr>
      <w:tr>
        <w:trPr>
          <w:cantSplit w:val="0"/>
          <w:trHeight w:val="10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Tomašev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EHR + lab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 ~0.92</w:t>
            </w:r>
          </w:p>
        </w:tc>
      </w:tr>
    </w:tbl>
    <w:p w:rsidR="00000000" w:rsidDel="00000000" w:rsidP="00000000" w:rsidRDefault="00000000" w:rsidRPr="00000000" w14:paraId="0000018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after="240" w:before="240" w:lineRule="auto"/>
        <w:rPr>
          <w:rFonts w:ascii="Times New Roman" w:cs="Times New Roman" w:eastAsia="Times New Roman" w:hAnsi="Times New Roman"/>
          <w:sz w:val="24"/>
          <w:szCs w:val="24"/>
        </w:rPr>
      </w:pPr>
      <w:r w:rsidDel="00000000" w:rsidR="00000000" w:rsidRPr="00000000">
        <w:rPr>
          <w:rtl w:val="0"/>
        </w:rPr>
      </w:r>
    </w:p>
    <w:tbl>
      <w:tblPr>
        <w:tblStyle w:val="Table2"/>
        <w:tblW w:w="13680.0" w:type="dxa"/>
        <w:jc w:val="left"/>
        <w:tblInd w:w="-3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1770"/>
        <w:gridCol w:w="1230"/>
        <w:gridCol w:w="1635"/>
        <w:gridCol w:w="1935"/>
        <w:gridCol w:w="1710"/>
        <w:gridCol w:w="1920"/>
        <w:gridCol w:w="1830"/>
        <w:tblGridChange w:id="0">
          <w:tblGrid>
            <w:gridCol w:w="1650"/>
            <w:gridCol w:w="1770"/>
            <w:gridCol w:w="1230"/>
            <w:gridCol w:w="1635"/>
            <w:gridCol w:w="1935"/>
            <w:gridCol w:w="1710"/>
            <w:gridCol w:w="1920"/>
            <w:gridCol w:w="1830"/>
          </w:tblGrid>
        </w:tblGridChange>
      </w:tblGrid>
      <w:tr>
        <w:trPr>
          <w:cantSplit w:val="0"/>
          <w:trHeight w:val="800" w:hRule="atLeast"/>
          <w:tblHeader w:val="0"/>
        </w:trPr>
        <w:tc>
          <w:tcPr>
            <w:gridSpan w:val="8"/>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DETAILED CHARACTERISTICS OF ALL INCLUDED STUDIES ARE PRESENTED IN SUPPLEMENTARY TABLE S1  </w:t>
              <w:br w:type="textWrapping"/>
              <w:t xml:space="preserve">SUPPLEMENTARY TABLE S1. CHARACTERISTICS OF INCLUDED STUDIES </w:t>
            </w:r>
            <w:r w:rsidDel="00000000" w:rsidR="00000000" w:rsidRPr="00000000">
              <w:rPr>
                <w:rtl w:val="0"/>
              </w:rPr>
            </w:r>
          </w:p>
        </w:tc>
      </w:tr>
      <w:tr>
        <w:trPr>
          <w:cantSplit w:val="0"/>
          <w:trHeight w:val="504.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pStyle w:val="Heading1"/>
              <w:keepNext w:val="0"/>
              <w:keepLines w:val="0"/>
              <w:spacing w:after="0" w:before="0" w:line="240" w:lineRule="auto"/>
              <w:rPr>
                <w:rFonts w:ascii="Times New Roman" w:cs="Times New Roman" w:eastAsia="Times New Roman" w:hAnsi="Times New Roman"/>
                <w:b w:val="1"/>
                <w:bCs w:val="1"/>
                <w:sz w:val="24"/>
                <w:szCs w:val="24"/>
              </w:rPr>
            </w:pPr>
            <w:bookmarkStart w:colFirst="0" w:colLast="0" w:name="_nb6czagbbxmu" w:id="72"/>
            <w:bookmarkEnd w:id="72"/>
            <w:r w:rsidDel="00000000" w:rsidR="00000000" w:rsidRPr="00000000">
              <w:rPr>
                <w:rFonts w:ascii="Times New Roman" w:cs="Times New Roman" w:eastAsia="Times New Roman" w:hAnsi="Times New Roman"/>
                <w:b w:val="1"/>
                <w:bCs w:val="1"/>
                <w:sz w:val="24"/>
                <w:szCs w:val="24"/>
                <w:rtl w:val="0"/>
              </w:rPr>
              <w:t xml:space="preserve">Author (Year)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C">
            <w:pPr>
              <w:pStyle w:val="Heading1"/>
              <w:keepNext w:val="0"/>
              <w:keepLines w:val="0"/>
              <w:spacing w:after="0" w:before="0" w:line="240" w:lineRule="auto"/>
              <w:rPr>
                <w:rFonts w:ascii="Times New Roman" w:cs="Times New Roman" w:eastAsia="Times New Roman" w:hAnsi="Times New Roman"/>
                <w:b w:val="1"/>
                <w:bCs w:val="1"/>
                <w:sz w:val="24"/>
                <w:szCs w:val="24"/>
              </w:rPr>
            </w:pPr>
            <w:bookmarkStart w:colFirst="0" w:colLast="0" w:name="_nb6czagbbxmu" w:id="72"/>
            <w:bookmarkEnd w:id="72"/>
            <w:r w:rsidDel="00000000" w:rsidR="00000000" w:rsidRPr="00000000">
              <w:rPr>
                <w:rFonts w:ascii="Times New Roman" w:cs="Times New Roman" w:eastAsia="Times New Roman" w:hAnsi="Times New Roman"/>
                <w:b w:val="1"/>
                <w:bCs w:val="1"/>
                <w:sz w:val="24"/>
                <w:szCs w:val="24"/>
                <w:rtl w:val="0"/>
              </w:rPr>
              <w:t xml:space="preserve">Study Design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pStyle w:val="Heading1"/>
              <w:keepNext w:val="0"/>
              <w:keepLines w:val="0"/>
              <w:spacing w:after="0" w:before="0" w:line="240" w:lineRule="auto"/>
              <w:rPr>
                <w:rFonts w:ascii="Times New Roman" w:cs="Times New Roman" w:eastAsia="Times New Roman" w:hAnsi="Times New Roman"/>
                <w:b w:val="1"/>
                <w:bCs w:val="1"/>
                <w:sz w:val="24"/>
                <w:szCs w:val="24"/>
              </w:rPr>
            </w:pPr>
            <w:bookmarkStart w:colFirst="0" w:colLast="0" w:name="_nb6czagbbxmu" w:id="72"/>
            <w:bookmarkEnd w:id="72"/>
            <w:r w:rsidDel="00000000" w:rsidR="00000000" w:rsidRPr="00000000">
              <w:rPr>
                <w:rFonts w:ascii="Times New Roman" w:cs="Times New Roman" w:eastAsia="Times New Roman" w:hAnsi="Times New Roman"/>
                <w:b w:val="1"/>
                <w:bCs w:val="1"/>
                <w:sz w:val="24"/>
                <w:szCs w:val="24"/>
                <w:rtl w:val="0"/>
              </w:rPr>
              <w:t xml:space="preserve">Sample Size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pStyle w:val="Heading1"/>
              <w:keepNext w:val="0"/>
              <w:keepLines w:val="0"/>
              <w:spacing w:after="0" w:before="0" w:line="240" w:lineRule="auto"/>
              <w:rPr>
                <w:rFonts w:ascii="Times New Roman" w:cs="Times New Roman" w:eastAsia="Times New Roman" w:hAnsi="Times New Roman"/>
                <w:b w:val="1"/>
                <w:bCs w:val="1"/>
                <w:sz w:val="24"/>
                <w:szCs w:val="24"/>
              </w:rPr>
            </w:pPr>
            <w:bookmarkStart w:colFirst="0" w:colLast="0" w:name="_nb6czagbbxmu" w:id="72"/>
            <w:bookmarkEnd w:id="72"/>
            <w:r w:rsidDel="00000000" w:rsidR="00000000" w:rsidRPr="00000000">
              <w:rPr>
                <w:rFonts w:ascii="Times New Roman" w:cs="Times New Roman" w:eastAsia="Times New Roman" w:hAnsi="Times New Roman"/>
                <w:b w:val="1"/>
                <w:bCs w:val="1"/>
                <w:sz w:val="24"/>
                <w:szCs w:val="24"/>
                <w:rtl w:val="0"/>
              </w:rPr>
              <w:t xml:space="preserve">Population / Condition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pStyle w:val="Heading1"/>
              <w:keepNext w:val="0"/>
              <w:keepLines w:val="0"/>
              <w:spacing w:after="0" w:before="0" w:line="240" w:lineRule="auto"/>
              <w:rPr>
                <w:rFonts w:ascii="Times New Roman" w:cs="Times New Roman" w:eastAsia="Times New Roman" w:hAnsi="Times New Roman"/>
                <w:b w:val="1"/>
                <w:bCs w:val="1"/>
                <w:sz w:val="24"/>
                <w:szCs w:val="24"/>
              </w:rPr>
            </w:pPr>
            <w:bookmarkStart w:colFirst="0" w:colLast="0" w:name="_nb6czagbbxmu" w:id="72"/>
            <w:bookmarkEnd w:id="72"/>
            <w:r w:rsidDel="00000000" w:rsidR="00000000" w:rsidRPr="00000000">
              <w:rPr>
                <w:rFonts w:ascii="Times New Roman" w:cs="Times New Roman" w:eastAsia="Times New Roman" w:hAnsi="Times New Roman"/>
                <w:b w:val="1"/>
                <w:bCs w:val="1"/>
                <w:sz w:val="24"/>
                <w:szCs w:val="24"/>
                <w:rtl w:val="0"/>
              </w:rPr>
              <w:t xml:space="preserve">AI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pStyle w:val="Heading1"/>
              <w:keepNext w:val="0"/>
              <w:keepLines w:val="0"/>
              <w:spacing w:after="0" w:before="0" w:line="240" w:lineRule="auto"/>
              <w:rPr>
                <w:rFonts w:ascii="Times New Roman" w:cs="Times New Roman" w:eastAsia="Times New Roman" w:hAnsi="Times New Roman"/>
                <w:b w:val="1"/>
                <w:bCs w:val="1"/>
                <w:sz w:val="24"/>
                <w:szCs w:val="24"/>
              </w:rPr>
            </w:pPr>
            <w:bookmarkStart w:colFirst="0" w:colLast="0" w:name="_nb6czagbbxmu" w:id="72"/>
            <w:bookmarkEnd w:id="72"/>
            <w:r w:rsidDel="00000000" w:rsidR="00000000" w:rsidRPr="00000000">
              <w:rPr>
                <w:rFonts w:ascii="Times New Roman" w:cs="Times New Roman" w:eastAsia="Times New Roman" w:hAnsi="Times New Roman"/>
                <w:b w:val="1"/>
                <w:bCs w:val="1"/>
                <w:sz w:val="24"/>
                <w:szCs w:val="24"/>
                <w:rtl w:val="0"/>
              </w:rPr>
              <w:t xml:space="preserve">Data Type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pStyle w:val="Heading1"/>
              <w:keepNext w:val="0"/>
              <w:keepLines w:val="0"/>
              <w:spacing w:after="0" w:before="0" w:line="240" w:lineRule="auto"/>
              <w:rPr>
                <w:rFonts w:ascii="Times New Roman" w:cs="Times New Roman" w:eastAsia="Times New Roman" w:hAnsi="Times New Roman"/>
                <w:b w:val="1"/>
                <w:bCs w:val="1"/>
                <w:sz w:val="24"/>
                <w:szCs w:val="24"/>
              </w:rPr>
            </w:pPr>
            <w:bookmarkStart w:colFirst="0" w:colLast="0" w:name="_nb6czagbbxmu" w:id="72"/>
            <w:bookmarkEnd w:id="72"/>
            <w:r w:rsidDel="00000000" w:rsidR="00000000" w:rsidRPr="00000000">
              <w:rPr>
                <w:rFonts w:ascii="Times New Roman" w:cs="Times New Roman" w:eastAsia="Times New Roman" w:hAnsi="Times New Roman"/>
                <w:b w:val="1"/>
                <w:bCs w:val="1"/>
                <w:sz w:val="24"/>
                <w:szCs w:val="24"/>
                <w:rtl w:val="0"/>
              </w:rPr>
              <w:t xml:space="preserve">Comparator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pStyle w:val="Heading1"/>
              <w:keepNext w:val="0"/>
              <w:keepLines w:val="0"/>
              <w:spacing w:after="0" w:before="0" w:line="240" w:lineRule="auto"/>
              <w:rPr>
                <w:rFonts w:ascii="Times New Roman" w:cs="Times New Roman" w:eastAsia="Times New Roman" w:hAnsi="Times New Roman"/>
                <w:b w:val="1"/>
                <w:bCs w:val="1"/>
                <w:sz w:val="24"/>
                <w:szCs w:val="24"/>
              </w:rPr>
            </w:pPr>
            <w:bookmarkStart w:colFirst="0" w:colLast="0" w:name="_nb6czagbbxmu" w:id="72"/>
            <w:bookmarkEnd w:id="72"/>
            <w:r w:rsidDel="00000000" w:rsidR="00000000" w:rsidRPr="00000000">
              <w:rPr>
                <w:rFonts w:ascii="Times New Roman" w:cs="Times New Roman" w:eastAsia="Times New Roman" w:hAnsi="Times New Roman"/>
                <w:b w:val="1"/>
                <w:bCs w:val="1"/>
                <w:sz w:val="24"/>
                <w:szCs w:val="24"/>
                <w:rtl w:val="0"/>
              </w:rPr>
              <w:t xml:space="preserve">Key Outcomes</w:t>
            </w:r>
          </w:p>
        </w:tc>
      </w:tr>
      <w:tr>
        <w:trPr>
          <w:cantSplit w:val="0"/>
          <w:trHeight w:val="647.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Szumilas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Prospective cohort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ED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 (white-box)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Physician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Accuracy 74.3%, Sens 100%</w:t>
            </w:r>
          </w:p>
        </w:tc>
      </w:tr>
      <w:tr>
        <w:trPr>
          <w:cantSplit w:val="0"/>
          <w:trHeight w:val="146.953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Gözgöz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1,709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Neurological (OCB)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Ensemble ML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CSF + serum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Immunoblotting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0.902</w:t>
            </w:r>
          </w:p>
        </w:tc>
      </w:tr>
      <w:tr>
        <w:trPr>
          <w:cantSplit w:val="0"/>
          <w:trHeight w:val="249.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Ni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769+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Thyroid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Molecular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Histopathology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0.82–0.86</w:t>
            </w:r>
          </w:p>
        </w:tc>
      </w:tr>
      <w:tr>
        <w:trPr>
          <w:cantSplit w:val="0"/>
          <w:trHeight w:val="204.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Gröschel et al., 2021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20,408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TB isolates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 WDNN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Genomic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0.89–0.96</w:t>
            </w:r>
          </w:p>
        </w:tc>
      </w:tr>
      <w:tr>
        <w:trPr>
          <w:cantSplit w:val="0"/>
          <w:trHeight w:val="542.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Zhang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Validation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390+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Leukemia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DL (CNN+Transformer)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CSF spectroscopy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High accuracy</w:t>
            </w:r>
          </w:p>
        </w:tc>
      </w:tr>
      <w:tr>
        <w:trPr>
          <w:cantSplit w:val="0"/>
          <w:trHeight w:val="71.953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Uçucu &amp; Azik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396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IDA vs BTM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CBC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Improved accuracy</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Ma et al. (2026)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 cohort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4,242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Breast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 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EMR + lab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~0.89</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Villota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Validation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COVID-19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RT-LAMP + 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Swab + serum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PCR/ELISA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Sens 91%, Spec 92%</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Cao et al. (2013)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239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Liver cirrhosis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0.942</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Goebel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486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Lung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RF-based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Blood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Imaging/pathology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0.966</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Gunčar et al. (2018)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8,233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Hematologic diseases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panels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Specialist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Accuracy up to 88%</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Chang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Systematic review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Alzheimer’s disease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Multiple ML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0.73–0.996</w:t>
            </w:r>
          </w:p>
        </w:tc>
      </w:tr>
      <w:tr>
        <w:trPr>
          <w:cantSplit w:val="0"/>
          <w:trHeight w:val="512.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Seungmin Lee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~600+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POCT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DL (CNN+LSTM)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LFA images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Standard assay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Accuracy ~97%</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Parmar et al. (2015)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Head &amp; neck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 SVM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Radiomics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~0.67</w:t>
            </w:r>
          </w:p>
        </w:tc>
      </w:tr>
      <w:tr>
        <w:trPr>
          <w:cantSplit w:val="0"/>
          <w:trHeight w:val="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Kawakami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435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Ovarian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 GBM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Blood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Histopathology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0.978</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Lewis &amp; Kemp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915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Cancer (radiation response)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GBM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Multi-omics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0.906</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Xie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Case-control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Lung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Naïve Bayes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Metabolomics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0.989</w:t>
            </w:r>
          </w:p>
        </w:tc>
      </w:tr>
      <w:tr>
        <w:trPr>
          <w:cantSplit w:val="0"/>
          <w:trHeight w:val="354.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Poss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Case-control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674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Lipidomics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Improved prediction</w:t>
            </w:r>
          </w:p>
        </w:tc>
      </w:tr>
      <w:tr>
        <w:trPr>
          <w:cantSplit w:val="0"/>
          <w:trHeight w:val="294.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Brinati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COVID-19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Blood tests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PCR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Accuracy 82%</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DeGroat et al., 2024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CVD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Ensemble ML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Transcriptomics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Accuracy ~96%</w:t>
            </w:r>
          </w:p>
        </w:tc>
      </w:tr>
      <w:tr>
        <w:trPr>
          <w:cantSplit w:val="0"/>
          <w:trHeight w:val="392.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Apostolopoulos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3,905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COVID-19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Imaging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Accuracy 99%</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Laguarta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5,320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COVID-19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Audio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0.97</w:t>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Rim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Cross-sectional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236,257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Systemic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DL (VGG16)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Retinal imaging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R² up to 0.83</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Wang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654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Liver fibrosis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DL radiomics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Imaging + lab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Biopsy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0.97–0.98</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Chen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Multicenter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702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Gastric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Metabolomics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0.967</w:t>
            </w:r>
          </w:p>
        </w:tc>
      </w:tr>
      <w:tr>
        <w:trPr>
          <w:cantSplit w:val="0"/>
          <w:trHeight w:val="1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Calvert et al. (2016)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Sepsis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 lab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0.83</w:t>
            </w:r>
          </w:p>
        </w:tc>
      </w:tr>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Tomašev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700,000+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AKI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EHR + lab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0.92–0.93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Ardila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6,716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Lung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DL (CNN)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Imaging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Radiologists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0.944</w:t>
            </w:r>
          </w:p>
        </w:tc>
      </w:tr>
      <w:tr>
        <w:trPr>
          <w:cantSplit w:val="0"/>
          <w:trHeight w:val="1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Poplin et al. (2018)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284,000+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CVD risk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Retinal images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0.97</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Zhang et al. (2004)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Case-control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645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Ovarian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SVM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Proteomics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CA125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Sens 74%, Spec 97%</w:t>
            </w:r>
          </w:p>
        </w:tc>
      </w:tr>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Yan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485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COVID mortality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&gt;90% accuracy</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Karthikeyan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370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COVID mortality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0.989</w:t>
            </w:r>
          </w:p>
        </w:tc>
      </w:tr>
      <w:tr>
        <w:trPr>
          <w:cantSplit w:val="0"/>
          <w:trHeight w:val="1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Rajkomar et al. (2018)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216,221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Hospital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EHR + lab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0.93–0.94</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Luo et al. (2016)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5,128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Ferritin prediction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tests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measurement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0.96–0.97</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Park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5,145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Multi-disease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Ensemble ML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Accuracy ~93%</w:t>
            </w:r>
          </w:p>
        </w:tc>
      </w:tr>
      <w:tr>
        <w:trPr>
          <w:cantSplit w:val="0"/>
          <w:trHeight w:val="1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Weng et al. (2017)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Cohort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378,256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CVD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 models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Risk scores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~0.76</w:t>
            </w:r>
          </w:p>
        </w:tc>
      </w:tr>
      <w:tr>
        <w:trPr>
          <w:cantSplit w:val="0"/>
          <w:trHeight w:val="1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Yao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137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COVID severity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SVM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Blood + urine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severity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Accuracy 81%</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Botlagunta et al. (2023)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1,449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Breast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Decision tree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Blood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0.87</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Gadalla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Case-control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183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UTI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 SVM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Urinary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Culture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~0.82</w:t>
            </w:r>
          </w:p>
        </w:tc>
      </w:tr>
      <w:tr>
        <w:trPr>
          <w:cantSplit w:val="0"/>
          <w:trHeight w:val="54.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Kukar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5,333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COVID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Blood tests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PCR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0.97</w:t>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Zhen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1,210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Liver tumors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Imaging + lab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Pathology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up to 0.998</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Wang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Ovarian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Imaging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0.825</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Meyer et al. (2018)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47,000+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ICU complications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 lab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High accuracy</w:t>
            </w:r>
          </w:p>
        </w:tc>
      </w:tr>
      <w:tr>
        <w:trPr>
          <w:cantSplit w:val="0"/>
          <w:trHeight w:val="4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Muro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Cohort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24,815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COPD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0.956</w:t>
            </w:r>
          </w:p>
        </w:tc>
      </w:tr>
      <w:tr>
        <w:trPr>
          <w:cantSplit w:val="0"/>
          <w:trHeight w:val="1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Kraszewski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702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IBD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Precision up to 97%</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Jawad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48,841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Mortality prediction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 models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0.85–0.93</w:t>
            </w:r>
          </w:p>
        </w:tc>
      </w:tr>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Zhang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2,451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ICU infections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Clustering ML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Risk stratification</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Kaneko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229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Aldosteronism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Blood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0.99</w:t>
            </w:r>
          </w:p>
        </w:tc>
      </w:tr>
      <w:tr>
        <w:trPr>
          <w:cantSplit w:val="0"/>
          <w:trHeight w:val="1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Rawson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Infection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SVM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0.84</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Hornbrook et al. (2017)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Case-control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17,000+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CRC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CBC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~0.80</w:t>
            </w:r>
          </w:p>
        </w:tc>
      </w:tr>
      <w:tr>
        <w:trPr>
          <w:cantSplit w:val="0"/>
          <w:trHeight w:val="251.953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Yang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Multi-center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3,356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COVID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GBDT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PCR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0.854</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Pan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6,563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Cardiac amyloidosis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0.95</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Guan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1,270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COVID mortality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&gt;0.90</w:t>
            </w:r>
          </w:p>
        </w:tc>
      </w:tr>
      <w:tr>
        <w:trPr>
          <w:cantSplit w:val="0"/>
          <w:trHeight w:val="204.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Lev-Tzion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Cohort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8,630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Crohn’s disease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0.70</w:t>
            </w:r>
          </w:p>
        </w:tc>
      </w:tr>
      <w:tr>
        <w:trPr>
          <w:cantSplit w:val="0"/>
          <w:trHeight w:val="294.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Ning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33,000+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Neurological diseases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0.978</w:t>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Liu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3,829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TB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Accuracy 97%</w:t>
            </w:r>
          </w:p>
        </w:tc>
      </w:tr>
      <w:tr>
        <w:trPr>
          <w:cantSplit w:val="0"/>
          <w:trHeight w:val="144.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Schwartz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4,076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Lung cancer risk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CatBoost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Blood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0.787</w:t>
            </w:r>
          </w:p>
        </w:tc>
      </w:tr>
      <w:tr>
        <w:trPr>
          <w:cantSplit w:val="0"/>
          <w:trHeight w:val="279.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Koloi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Cohort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3,316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RF, GB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up to 0.87</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Yan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Retrospective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363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CRC vs polyps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0.869</w:t>
            </w:r>
          </w:p>
        </w:tc>
      </w:tr>
      <w:tr>
        <w:trPr>
          <w:cantSplit w:val="0"/>
          <w:trHeight w:val="249.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Huang et al. (2023)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Cohort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6,196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NAFLD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 models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~0.81</w:t>
            </w:r>
          </w:p>
        </w:tc>
      </w:tr>
      <w:tr>
        <w:trPr>
          <w:cantSplit w:val="0"/>
          <w:trHeight w:val="429.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Rosen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Cohort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18,403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CRC surgery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ML-CDSS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 lab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Standard care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Improved outcomes</w:t>
            </w:r>
          </w:p>
        </w:tc>
      </w:tr>
      <w:tr>
        <w:trPr>
          <w:cantSplit w:val="0"/>
          <w:trHeight w:val="219.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Chang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Observational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37,632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ED patients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ML-CDSS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 lab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Standard care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up to 0.95</w:t>
            </w:r>
          </w:p>
        </w:tc>
      </w:tr>
      <w:tr>
        <w:trPr>
          <w:cantSplit w:val="0"/>
          <w:trHeight w:val="369.96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Dong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Cohort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4,950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CVD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 models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Gungsuh" w:cs="Gungsuh" w:eastAsia="Gungsuh" w:hAnsi="Gungsuh"/>
                <w:sz w:val="24"/>
                <w:szCs w:val="24"/>
                <w:rtl w:val="0"/>
              </w:rPr>
              <w:t xml:space="preserve">AUC ≥0.90</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Liu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1,606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SFTS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0.917</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Tang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2,937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Vertigo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AUC 0.947</w:t>
            </w:r>
          </w:p>
        </w:tc>
      </w:tr>
      <w:tr>
        <w:trPr>
          <w:cantSplit w:val="0"/>
          <w:trHeight w:val="4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Ghayad et al. (2022)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Prospective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6,599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LDL prediction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KNN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 demographic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assay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ICC &gt;0.9</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3">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Januzzi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4">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Validation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5">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6">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DKD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7">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8">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9">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A">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C-statistic 0.80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B">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Chen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C">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Multicenter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D">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2,196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E">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Preeclampsia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F">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ML ensemble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0">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Lab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1">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Clinical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2">
            <w:pPr>
              <w:pStyle w:val="Heading1"/>
              <w:keepNext w:val="0"/>
              <w:keepLines w:val="0"/>
              <w:spacing w:after="0" w:before="0" w:line="240" w:lineRule="auto"/>
              <w:rPr>
                <w:rFonts w:ascii="Times New Roman" w:cs="Times New Roman" w:eastAsia="Times New Roman" w:hAnsi="Times New Roman"/>
                <w:sz w:val="24"/>
                <w:szCs w:val="24"/>
              </w:rPr>
            </w:pPr>
            <w:bookmarkStart w:colFirst="0" w:colLast="0" w:name="_nb6czagbbxmu" w:id="72"/>
            <w:bookmarkEnd w:id="72"/>
            <w:r w:rsidDel="00000000" w:rsidR="00000000" w:rsidRPr="00000000">
              <w:rPr>
                <w:rFonts w:ascii="Times New Roman" w:cs="Times New Roman" w:eastAsia="Times New Roman" w:hAnsi="Times New Roman"/>
                <w:sz w:val="24"/>
                <w:szCs w:val="24"/>
                <w:rtl w:val="0"/>
              </w:rPr>
              <w:t xml:space="preserve">Sens 72%</w:t>
            </w:r>
          </w:p>
        </w:tc>
      </w:tr>
    </w:tbl>
    <w:p w:rsidR="00000000" w:rsidDel="00000000" w:rsidP="00000000" w:rsidRDefault="00000000" w:rsidRPr="00000000" w14:paraId="000003C3">
      <w:pPr>
        <w:pStyle w:val="Heading1"/>
        <w:keepNext w:val="0"/>
        <w:keepLines w:val="0"/>
        <w:spacing w:before="480" w:lineRule="auto"/>
        <w:rPr>
          <w:rFonts w:ascii="Times New Roman" w:cs="Times New Roman" w:eastAsia="Times New Roman" w:hAnsi="Times New Roman"/>
          <w:b w:val="1"/>
          <w:bCs w:val="1"/>
          <w:sz w:val="24"/>
          <w:szCs w:val="24"/>
        </w:rPr>
      </w:pPr>
      <w:bookmarkStart w:colFirst="0" w:colLast="0" w:name="_i0nz2asm0n6y" w:id="73"/>
      <w:bookmarkEnd w:id="73"/>
      <w:r w:rsidDel="00000000" w:rsidR="00000000" w:rsidRPr="00000000">
        <w:rPr>
          <w:rtl w:val="0"/>
        </w:rPr>
      </w:r>
    </w:p>
    <w:tbl>
      <w:tblPr>
        <w:tblStyle w:val="Table3"/>
        <w:tblW w:w="13200.0" w:type="dxa"/>
        <w:jc w:val="left"/>
        <w:tblInd w:w="-2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80"/>
        <w:gridCol w:w="2925"/>
        <w:gridCol w:w="1695"/>
        <w:gridCol w:w="1800"/>
        <w:gridCol w:w="2040"/>
        <w:gridCol w:w="1560"/>
        <w:tblGridChange w:id="0">
          <w:tblGrid>
            <w:gridCol w:w="3180"/>
            <w:gridCol w:w="2925"/>
            <w:gridCol w:w="1695"/>
            <w:gridCol w:w="1800"/>
            <w:gridCol w:w="2040"/>
            <w:gridCol w:w="1560"/>
          </w:tblGrid>
        </w:tblGridChange>
      </w:tblGrid>
      <w:tr>
        <w:trPr>
          <w:cantSplit w:val="0"/>
          <w:trHeight w:val="515" w:hRule="atLeast"/>
          <w:tblHeader w:val="0"/>
        </w:trPr>
        <w:tc>
          <w:tcPr>
            <w:gridSpan w:val="6"/>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4">
            <w:pPr>
              <w:pStyle w:val="Heading1"/>
              <w:keepNext w:val="0"/>
              <w:keepLines w:val="0"/>
              <w:spacing w:after="0" w:before="0" w:line="240" w:lineRule="auto"/>
              <w:rPr>
                <w:rFonts w:ascii="Times New Roman" w:cs="Times New Roman" w:eastAsia="Times New Roman" w:hAnsi="Times New Roman"/>
                <w:b w:val="1"/>
                <w:bCs w:val="1"/>
                <w:sz w:val="24"/>
                <w:szCs w:val="24"/>
              </w:rPr>
            </w:pPr>
            <w:bookmarkStart w:colFirst="0" w:colLast="0" w:name="_m5pxs9bqat2u" w:id="74"/>
            <w:bookmarkEnd w:id="74"/>
            <w:r w:rsidDel="00000000" w:rsidR="00000000" w:rsidRPr="00000000">
              <w:rPr>
                <w:rFonts w:ascii="Times New Roman" w:cs="Times New Roman" w:eastAsia="Times New Roman" w:hAnsi="Times New Roman"/>
                <w:b w:val="1"/>
                <w:bCs w:val="1"/>
                <w:sz w:val="24"/>
                <w:szCs w:val="24"/>
                <w:rtl w:val="0"/>
              </w:rPr>
              <w:t xml:space="preserve"> TABLE 2. DIAGNOSTIC PERFORMANCE OF AI MODELS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B">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Disease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Accuracy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Sensitivity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Specificity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AUC</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Gözgöz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2">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0.902</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6">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Gröschel et al., 2021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7">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0.91–0.93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&gt;0.96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B">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0.89–0.96</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Xie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Lung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0.989</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2">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Kukar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COVID-19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6">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7">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Cao et al. (2013)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Cirrhosis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B">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0.942</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Cardiac amyloidosis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2">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6">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7">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0.869</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Goebel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B">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Lung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0.966</w:t>
            </w:r>
          </w:p>
        </w:tc>
      </w:tr>
    </w:tbl>
    <w:p w:rsidR="00000000" w:rsidDel="00000000" w:rsidP="00000000" w:rsidRDefault="00000000" w:rsidRPr="00000000" w14:paraId="000004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1">
      <w:pPr>
        <w:pStyle w:val="Heading1"/>
        <w:keepNext w:val="0"/>
        <w:keepLines w:val="0"/>
        <w:spacing w:before="480" w:lineRule="auto"/>
        <w:rPr>
          <w:rFonts w:ascii="Times New Roman" w:cs="Times New Roman" w:eastAsia="Times New Roman" w:hAnsi="Times New Roman"/>
          <w:b w:val="1"/>
          <w:bCs w:val="1"/>
          <w:sz w:val="24"/>
          <w:szCs w:val="24"/>
        </w:rPr>
      </w:pPr>
      <w:bookmarkStart w:colFirst="0" w:colLast="0" w:name="_o8m0rgwm87e5" w:id="75"/>
      <w:bookmarkEnd w:id="75"/>
      <w:r w:rsidDel="00000000" w:rsidR="00000000" w:rsidRPr="00000000">
        <w:rPr>
          <w:rtl w:val="0"/>
        </w:rPr>
      </w:r>
    </w:p>
    <w:p w:rsidR="00000000" w:rsidDel="00000000" w:rsidP="00000000" w:rsidRDefault="00000000" w:rsidRPr="00000000" w14:paraId="000004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3">
      <w:pPr>
        <w:pStyle w:val="Heading1"/>
        <w:keepNext w:val="0"/>
        <w:keepLines w:val="0"/>
        <w:spacing w:before="480" w:lineRule="auto"/>
        <w:rPr>
          <w:rFonts w:ascii="Times New Roman" w:cs="Times New Roman" w:eastAsia="Times New Roman" w:hAnsi="Times New Roman"/>
          <w:b w:val="1"/>
          <w:bCs w:val="1"/>
          <w:sz w:val="24"/>
          <w:szCs w:val="24"/>
        </w:rPr>
      </w:pPr>
      <w:bookmarkStart w:colFirst="0" w:colLast="0" w:name="_hia7ghesri3" w:id="76"/>
      <w:bookmarkEnd w:id="76"/>
      <w:r w:rsidDel="00000000" w:rsidR="00000000" w:rsidRPr="00000000">
        <w:rPr>
          <w:rtl w:val="0"/>
        </w:rPr>
      </w:r>
    </w:p>
    <w:tbl>
      <w:tblPr>
        <w:tblStyle w:val="Table4"/>
        <w:tblW w:w="12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3255"/>
        <w:gridCol w:w="4620"/>
        <w:tblGridChange w:id="0">
          <w:tblGrid>
            <w:gridCol w:w="4275"/>
            <w:gridCol w:w="3255"/>
            <w:gridCol w:w="4620"/>
          </w:tblGrid>
        </w:tblGridChange>
      </w:tblGrid>
      <w:tr>
        <w:trPr>
          <w:cantSplit w:val="0"/>
          <w:trHeight w:val="260.9765625" w:hRule="atLeast"/>
          <w:tblHeader w:val="0"/>
        </w:trPr>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4">
            <w:pPr>
              <w:pStyle w:val="Heading1"/>
              <w:keepNext w:val="0"/>
              <w:keepLines w:val="0"/>
              <w:spacing w:after="0" w:before="0" w:line="240" w:lineRule="auto"/>
              <w:rPr>
                <w:rFonts w:ascii="Times New Roman" w:cs="Times New Roman" w:eastAsia="Times New Roman" w:hAnsi="Times New Roman"/>
                <w:b w:val="1"/>
                <w:bCs w:val="1"/>
                <w:sz w:val="24"/>
                <w:szCs w:val="24"/>
              </w:rPr>
            </w:pPr>
            <w:bookmarkStart w:colFirst="0" w:colLast="0" w:name="_5m2vfllhnvtf" w:id="77"/>
            <w:bookmarkEnd w:id="77"/>
            <w:r w:rsidDel="00000000" w:rsidR="00000000" w:rsidRPr="00000000">
              <w:rPr>
                <w:rFonts w:ascii="Times New Roman" w:cs="Times New Roman" w:eastAsia="Times New Roman" w:hAnsi="Times New Roman"/>
                <w:b w:val="1"/>
                <w:bCs w:val="1"/>
                <w:sz w:val="24"/>
                <w:szCs w:val="24"/>
                <w:rtl w:val="0"/>
              </w:rPr>
              <w:t xml:space="preserve">TABLE 3. WORKFLOW EFFICIENCY OUTCOMES</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7">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AI Application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Outcome</w:t>
            </w:r>
            <w:r w:rsidDel="00000000" w:rsidR="00000000" w:rsidRPr="00000000">
              <w:rPr>
                <w:rtl w:val="0"/>
              </w:rPr>
            </w:r>
          </w:p>
        </w:tc>
      </w:tr>
      <w:tr>
        <w:trPr>
          <w:cantSplit w:val="0"/>
          <w:trHeight w:val="95.9765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Szumilas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B">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CDSS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C">
            <w:pPr>
              <w:spacing w:after="0" w:before="0" w:line="24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41.6% unnecessary visits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Seungmin Lee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POCT 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 reduced to 1–2 min</w:t>
            </w:r>
          </w:p>
        </w:tc>
      </w:tr>
      <w:tr>
        <w:trPr>
          <w:cantSplit w:val="0"/>
          <w:trHeight w:val="1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DL-SERS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2">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Diagnosis in 5 min</w:t>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Villota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COVID POC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&lt;2 hours turnaround</w:t>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6">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 et al. (2016)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7">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prediction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Reduced redundant tests</w:t>
            </w:r>
          </w:p>
        </w:tc>
      </w:tr>
      <w:tr>
        <w:trPr>
          <w:cantSplit w:val="0"/>
          <w:trHeight w:val="290.9765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CDSS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B">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Faster interventions</w:t>
            </w:r>
          </w:p>
        </w:tc>
      </w:tr>
    </w:tbl>
    <w:p w:rsidR="00000000" w:rsidDel="00000000" w:rsidP="00000000" w:rsidRDefault="00000000" w:rsidRPr="00000000" w14:paraId="0000041C">
      <w:pPr>
        <w:pStyle w:val="Heading1"/>
        <w:keepNext w:val="0"/>
        <w:keepLines w:val="0"/>
        <w:spacing w:before="480" w:line="240" w:lineRule="auto"/>
        <w:rPr>
          <w:rFonts w:ascii="Times New Roman" w:cs="Times New Roman" w:eastAsia="Times New Roman" w:hAnsi="Times New Roman"/>
          <w:b w:val="1"/>
          <w:bCs w:val="1"/>
          <w:sz w:val="24"/>
          <w:szCs w:val="24"/>
        </w:rPr>
      </w:pPr>
      <w:bookmarkStart w:colFirst="0" w:colLast="0" w:name="_d7q5b6vgn4vg" w:id="78"/>
      <w:bookmarkEnd w:id="78"/>
      <w:r w:rsidDel="00000000" w:rsidR="00000000" w:rsidRPr="00000000">
        <w:rPr>
          <w:rtl w:val="0"/>
        </w:rPr>
      </w:r>
    </w:p>
    <w:tbl>
      <w:tblPr>
        <w:tblStyle w:val="Table5"/>
        <w:tblW w:w="114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3495"/>
        <w:gridCol w:w="3795"/>
        <w:tblGridChange w:id="0">
          <w:tblGrid>
            <w:gridCol w:w="4185"/>
            <w:gridCol w:w="3495"/>
            <w:gridCol w:w="3795"/>
          </w:tblGrid>
        </w:tblGridChange>
      </w:tblGrid>
      <w:tr>
        <w:trPr>
          <w:cantSplit w:val="0"/>
          <w:trHeight w:val="480" w:hRule="atLeast"/>
          <w:tblHeader w:val="0"/>
        </w:trPr>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D">
            <w:pPr>
              <w:pStyle w:val="Heading1"/>
              <w:keepNext w:val="0"/>
              <w:keepLines w:val="0"/>
              <w:spacing w:after="0" w:before="0" w:line="240" w:lineRule="auto"/>
              <w:rPr>
                <w:rFonts w:ascii="Times New Roman" w:cs="Times New Roman" w:eastAsia="Times New Roman" w:hAnsi="Times New Roman"/>
                <w:b w:val="1"/>
                <w:bCs w:val="1"/>
                <w:sz w:val="24"/>
                <w:szCs w:val="24"/>
              </w:rPr>
            </w:pPr>
            <w:bookmarkStart w:colFirst="0" w:colLast="0" w:name="_bdkbbgur8nyg" w:id="79"/>
            <w:bookmarkEnd w:id="79"/>
            <w:r w:rsidDel="00000000" w:rsidR="00000000" w:rsidRPr="00000000">
              <w:rPr>
                <w:rFonts w:ascii="Times New Roman" w:cs="Times New Roman" w:eastAsia="Times New Roman" w:hAnsi="Times New Roman"/>
                <w:b w:val="1"/>
                <w:bCs w:val="1"/>
                <w:sz w:val="24"/>
                <w:szCs w:val="24"/>
                <w:rtl w:val="0"/>
              </w:rPr>
              <w:t xml:space="preserve">TABLE 4. CLINICAL UTILITY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Application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2">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Clinical Impact</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Tomašev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detection (48–72 hrs)</w:t>
            </w:r>
          </w:p>
        </w:tc>
      </w:tr>
      <w:tr>
        <w:trPr>
          <w:cantSplit w:val="0"/>
          <w:trHeight w:val="1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Lev-Tzion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Crohn’s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Preclinical detection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COVID mortality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risk stratification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Hornbrook et al. (2017)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detection (6–12 months)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Cancer CDSS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Reduced complications</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Kawakami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Ovarian cancer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Non-invasive diagnosis</w:t>
            </w:r>
          </w:p>
        </w:tc>
      </w:tr>
    </w:tbl>
    <w:p w:rsidR="00000000" w:rsidDel="00000000" w:rsidP="00000000" w:rsidRDefault="00000000" w:rsidRPr="00000000" w14:paraId="00000435">
      <w:pPr>
        <w:pStyle w:val="Heading1"/>
        <w:keepNext w:val="0"/>
        <w:keepLines w:val="0"/>
        <w:spacing w:before="480" w:line="240" w:lineRule="auto"/>
        <w:rPr>
          <w:rFonts w:ascii="Times New Roman" w:cs="Times New Roman" w:eastAsia="Times New Roman" w:hAnsi="Times New Roman"/>
          <w:b w:val="1"/>
          <w:bCs w:val="1"/>
          <w:sz w:val="24"/>
          <w:szCs w:val="24"/>
        </w:rPr>
      </w:pPr>
      <w:bookmarkStart w:colFirst="0" w:colLast="0" w:name="_27fr1vkquwhb" w:id="80"/>
      <w:bookmarkEnd w:id="80"/>
      <w:r w:rsidDel="00000000" w:rsidR="00000000" w:rsidRPr="00000000">
        <w:rPr>
          <w:rtl w:val="0"/>
        </w:rPr>
      </w:r>
    </w:p>
    <w:tbl>
      <w:tblPr>
        <w:tblStyle w:val="Table6"/>
        <w:tblW w:w="12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2580"/>
        <w:gridCol w:w="2580"/>
        <w:gridCol w:w="1935"/>
        <w:gridCol w:w="2295"/>
        <w:tblGridChange w:id="0">
          <w:tblGrid>
            <w:gridCol w:w="2940"/>
            <w:gridCol w:w="2580"/>
            <w:gridCol w:w="2580"/>
            <w:gridCol w:w="1935"/>
            <w:gridCol w:w="2295"/>
          </w:tblGrid>
        </w:tblGridChange>
      </w:tblGrid>
      <w:tr>
        <w:trPr>
          <w:cantSplit w:val="0"/>
          <w:trHeight w:val="515" w:hRule="atLeast"/>
          <w:tblHeader w:val="0"/>
        </w:trPr>
        <w:tc>
          <w:tcPr>
            <w:gridSpan w:val="5"/>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6">
            <w:pPr>
              <w:pStyle w:val="Heading1"/>
              <w:keepNext w:val="0"/>
              <w:keepLines w:val="0"/>
              <w:spacing w:before="480" w:line="240" w:lineRule="auto"/>
              <w:rPr>
                <w:rFonts w:ascii="Times New Roman" w:cs="Times New Roman" w:eastAsia="Times New Roman" w:hAnsi="Times New Roman"/>
                <w:b w:val="1"/>
                <w:bCs w:val="1"/>
                <w:sz w:val="24"/>
                <w:szCs w:val="24"/>
              </w:rPr>
            </w:pPr>
            <w:bookmarkStart w:colFirst="0" w:colLast="0" w:name="_1gm4fbi1n6d2" w:id="81"/>
            <w:bookmarkEnd w:id="81"/>
            <w:r w:rsidDel="00000000" w:rsidR="00000000" w:rsidRPr="00000000">
              <w:rPr>
                <w:rFonts w:ascii="Times New Roman" w:cs="Times New Roman" w:eastAsia="Times New Roman" w:hAnsi="Times New Roman"/>
                <w:b w:val="1"/>
                <w:bCs w:val="1"/>
                <w:sz w:val="24"/>
                <w:szCs w:val="24"/>
                <w:rtl w:val="0"/>
              </w:rPr>
              <w:t xml:space="preserve"> TABLE 5. RISK OF BIAS ASSESSMENT (QUADAS-2 / NOS BASED)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Selection Bias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Measurement Bias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Validation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Overall Risk</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Szumilas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Gözgöz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Gröschel et al., 2021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Uçucu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et al., (2026)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Villota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Cao et al., (2013)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Goebel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r>
    </w:tbl>
    <w:p w:rsidR="00000000" w:rsidDel="00000000" w:rsidP="00000000" w:rsidRDefault="00000000" w:rsidRPr="00000000" w14:paraId="0000046D">
      <w:pPr>
        <w:pStyle w:val="Heading1"/>
        <w:keepNext w:val="0"/>
        <w:keepLines w:val="0"/>
        <w:spacing w:before="480" w:lineRule="auto"/>
        <w:rPr>
          <w:rFonts w:ascii="Times New Roman" w:cs="Times New Roman" w:eastAsia="Times New Roman" w:hAnsi="Times New Roman"/>
          <w:b w:val="1"/>
          <w:bCs w:val="1"/>
          <w:sz w:val="24"/>
          <w:szCs w:val="24"/>
        </w:rPr>
      </w:pPr>
      <w:bookmarkStart w:colFirst="0" w:colLast="0" w:name="_m7amisgdhzz7" w:id="82"/>
      <w:bookmarkEnd w:id="82"/>
      <w:r w:rsidDel="00000000" w:rsidR="00000000" w:rsidRPr="00000000">
        <w:rPr>
          <w:rtl w:val="0"/>
        </w:rPr>
      </w:r>
    </w:p>
    <w:tbl>
      <w:tblPr>
        <w:tblStyle w:val="Table7"/>
        <w:tblW w:w="12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5"/>
        <w:gridCol w:w="2100"/>
        <w:gridCol w:w="2805"/>
        <w:gridCol w:w="2955"/>
        <w:gridCol w:w="1890"/>
        <w:tblGridChange w:id="0">
          <w:tblGrid>
            <w:gridCol w:w="3075"/>
            <w:gridCol w:w="2100"/>
            <w:gridCol w:w="2805"/>
            <w:gridCol w:w="2955"/>
            <w:gridCol w:w="1890"/>
          </w:tblGrid>
        </w:tblGridChange>
      </w:tblGrid>
      <w:tr>
        <w:trPr>
          <w:cantSplit w:val="0"/>
          <w:trHeight w:val="515" w:hRule="atLeast"/>
          <w:tblHeader w:val="1"/>
        </w:trPr>
        <w:tc>
          <w:tcPr>
            <w:gridSpan w:val="5"/>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E">
            <w:pPr>
              <w:pStyle w:val="Heading1"/>
              <w:keepNext w:val="0"/>
              <w:keepLines w:val="0"/>
              <w:spacing w:before="480" w:lineRule="auto"/>
              <w:rPr>
                <w:rFonts w:ascii="Times New Roman" w:cs="Times New Roman" w:eastAsia="Times New Roman" w:hAnsi="Times New Roman"/>
                <w:b w:val="1"/>
                <w:bCs w:val="1"/>
                <w:sz w:val="24"/>
                <w:szCs w:val="24"/>
              </w:rPr>
            </w:pPr>
            <w:bookmarkStart w:colFirst="0" w:colLast="0" w:name="_deez68idor7b" w:id="83"/>
            <w:bookmarkEnd w:id="83"/>
            <w:r w:rsidDel="00000000" w:rsidR="00000000" w:rsidRPr="00000000">
              <w:rPr>
                <w:rFonts w:ascii="Times New Roman" w:cs="Times New Roman" w:eastAsia="Times New Roman" w:hAnsi="Times New Roman"/>
                <w:b w:val="1"/>
                <w:bCs w:val="1"/>
                <w:sz w:val="24"/>
                <w:szCs w:val="24"/>
                <w:rtl w:val="0"/>
              </w:rPr>
              <w:t xml:space="preserve">TABLE 7. AI MODEL CHARACTERISTICS</w:t>
            </w:r>
          </w:p>
        </w:tc>
      </w:tr>
      <w:tr>
        <w:trPr>
          <w:cantSplit w:val="0"/>
          <w:trHeight w:val="515"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Algorithm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Input Data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Output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Validation</w:t>
            </w:r>
            <w:r w:rsidDel="00000000" w:rsidR="00000000" w:rsidRPr="00000000">
              <w:rPr>
                <w:rtl w:val="0"/>
              </w:rPr>
            </w:r>
          </w:p>
        </w:tc>
      </w:tr>
      <w:tr>
        <w:trPr>
          <w:cantSplit w:val="0"/>
          <w:trHeight w:val="515"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Gröschel et al., (2021)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WDNN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Genomic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Drug resistance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w:t>
            </w:r>
          </w:p>
        </w:tc>
      </w:tr>
      <w:tr>
        <w:trPr>
          <w:cantSplit w:val="0"/>
          <w:trHeight w:val="515"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Mutation + clinical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prediction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w:t>
            </w:r>
          </w:p>
        </w:tc>
      </w:tr>
      <w:tr>
        <w:trPr>
          <w:cantSplit w:val="0"/>
          <w:trHeight w:val="515"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Kukar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 tests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COVID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XGBoost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Disease classification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Kawakami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GBM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 biomarkers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Cancer diagnosis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w:t>
            </w:r>
          </w:p>
        </w:tc>
      </w:tr>
    </w:tbl>
    <w:p w:rsidR="00000000" w:rsidDel="00000000" w:rsidP="00000000" w:rsidRDefault="00000000" w:rsidRPr="00000000" w14:paraId="00000491">
      <w:pPr>
        <w:rPr>
          <w:rFonts w:ascii="Times New Roman" w:cs="Times New Roman" w:eastAsia="Times New Roman" w:hAnsi="Times New Roman"/>
          <w:sz w:val="24"/>
          <w:szCs w:val="24"/>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iagnostics.roche.com/global/en/lab-leaders/article/machine-learning-ai-in-laboratory.html" TargetMode="External"/><Relationship Id="rId42" Type="http://schemas.openxmlformats.org/officeDocument/2006/relationships/hyperlink" Target="https://doi.org/10.29296/24999490-2024-05-04" TargetMode="External"/><Relationship Id="rId41" Type="http://schemas.openxmlformats.org/officeDocument/2006/relationships/hyperlink" Target="https://diagnostics.roche.com/global/en/lab-leaders/article/machine-learning-ai-in-laboratory.html" TargetMode="External"/><Relationship Id="rId44" Type="http://schemas.openxmlformats.org/officeDocument/2006/relationships/hyperlink" Target="https://doi.org/10.1002/lary.31959" TargetMode="External"/><Relationship Id="rId43" Type="http://schemas.openxmlformats.org/officeDocument/2006/relationships/hyperlink" Target="https://doi.org/10.1002/lary.31959" TargetMode="External"/><Relationship Id="rId46" Type="http://schemas.openxmlformats.org/officeDocument/2006/relationships/hyperlink" Target="https://doi.org/10.26574/maedica.2022.17.2.420" TargetMode="External"/><Relationship Id="rId45" Type="http://schemas.openxmlformats.org/officeDocument/2006/relationships/hyperlink" Target="https://doi.org/10.26574/maedica.2022.17.2.4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imu.2021.100564" TargetMode="External"/><Relationship Id="rId48" Type="http://schemas.openxmlformats.org/officeDocument/2006/relationships/hyperlink" Target="https://doi.org/10.5281/zenodo.17113815" TargetMode="External"/><Relationship Id="rId47" Type="http://schemas.openxmlformats.org/officeDocument/2006/relationships/hyperlink" Target="https://doi.org/10.5281/zenodo.17113815" TargetMode="External"/><Relationship Id="rId49" Type="http://schemas.openxmlformats.org/officeDocument/2006/relationships/hyperlink" Target="https://doi.org/10.1038/s41415-025-8666-7" TargetMode="External"/><Relationship Id="rId5" Type="http://schemas.openxmlformats.org/officeDocument/2006/relationships/styles" Target="styles.xml"/><Relationship Id="rId6" Type="http://schemas.openxmlformats.org/officeDocument/2006/relationships/hyperlink" Target="mailto:melfordcmiller@gmail.com" TargetMode="External"/><Relationship Id="rId7" Type="http://schemas.openxmlformats.org/officeDocument/2006/relationships/hyperlink" Target="mailto:margueritealofalpt@gmail.com" TargetMode="External"/><Relationship Id="rId8" Type="http://schemas.openxmlformats.org/officeDocument/2006/relationships/image" Target="media/image1.png"/><Relationship Id="rId31" Type="http://schemas.openxmlformats.org/officeDocument/2006/relationships/hyperlink" Target="https://doi.org/10.1093/ecco-jcc/jjaf143" TargetMode="External"/><Relationship Id="rId30" Type="http://schemas.openxmlformats.org/officeDocument/2006/relationships/hyperlink" Target="https://doi.org/10.1093/ecco-jcc/jjaf143" TargetMode="External"/><Relationship Id="rId33" Type="http://schemas.openxmlformats.org/officeDocument/2006/relationships/hyperlink" Target="https://doi.org/10.3389/fcimb.2025.1718614" TargetMode="External"/><Relationship Id="rId32" Type="http://schemas.openxmlformats.org/officeDocument/2006/relationships/hyperlink" Target="https://doi.org/10.3389/fcimb.2025.1718614" TargetMode="External"/><Relationship Id="rId35" Type="http://schemas.openxmlformats.org/officeDocument/2006/relationships/hyperlink" Target="https://doi.org/10.1080/10408363.2025.2488842" TargetMode="External"/><Relationship Id="rId34" Type="http://schemas.openxmlformats.org/officeDocument/2006/relationships/hyperlink" Target="https://doi.org/10.1080/10408363.2025.2488842" TargetMode="External"/><Relationship Id="rId37" Type="http://schemas.openxmlformats.org/officeDocument/2006/relationships/hyperlink" Target="https://doi.org/10.1136/bmj-2024-082505" TargetMode="External"/><Relationship Id="rId36" Type="http://schemas.openxmlformats.org/officeDocument/2006/relationships/hyperlink" Target="https://doi.org/10.1136/bmj-2024-082505" TargetMode="External"/><Relationship Id="rId39" Type="http://schemas.openxmlformats.org/officeDocument/2006/relationships/hyperlink" Target="https://doi.org/10.1093/jac/dky514" TargetMode="External"/><Relationship Id="rId38" Type="http://schemas.openxmlformats.org/officeDocument/2006/relationships/hyperlink" Target="https://doi.org/10.1093/jac/dky514" TargetMode="External"/><Relationship Id="rId62" Type="http://schemas.openxmlformats.org/officeDocument/2006/relationships/hyperlink" Target="https://doi.org/10.1093/clinchem/hvaa200" TargetMode="External"/><Relationship Id="rId61" Type="http://schemas.openxmlformats.org/officeDocument/2006/relationships/hyperlink" Target="https://doi.org/10.1002/INMD.20230056" TargetMode="External"/><Relationship Id="rId20" Type="http://schemas.openxmlformats.org/officeDocument/2006/relationships/hyperlink" Target="https://doi.org/10.1186/s13073-021-00953-4" TargetMode="External"/><Relationship Id="rId64" Type="http://schemas.openxmlformats.org/officeDocument/2006/relationships/hyperlink" Target="https://doi.org/10.1148/ryai.210064" TargetMode="External"/><Relationship Id="rId63" Type="http://schemas.openxmlformats.org/officeDocument/2006/relationships/hyperlink" Target="https://doi.org/10.1093/clinchem/hvaa200" TargetMode="External"/><Relationship Id="rId22" Type="http://schemas.openxmlformats.org/officeDocument/2006/relationships/hyperlink" Target="https://doi.org/10.1080/07853890.2020.1868564" TargetMode="External"/><Relationship Id="rId21" Type="http://schemas.openxmlformats.org/officeDocument/2006/relationships/hyperlink" Target="https://doi.org/10.1186/s13073-021-00953-4" TargetMode="External"/><Relationship Id="rId65" Type="http://schemas.openxmlformats.org/officeDocument/2006/relationships/hyperlink" Target="https://doi.org/10.1148/ryai.210064" TargetMode="External"/><Relationship Id="rId24" Type="http://schemas.openxmlformats.org/officeDocument/2006/relationships/hyperlink" Target="https://doi.org/10.1007/s10620-017-4701-6" TargetMode="External"/><Relationship Id="rId23" Type="http://schemas.openxmlformats.org/officeDocument/2006/relationships/hyperlink" Target="https://doi.org/10.1080/07853890.2020.1868564" TargetMode="External"/><Relationship Id="rId60" Type="http://schemas.openxmlformats.org/officeDocument/2006/relationships/hyperlink" Target="https://www.who.int/publications/m/item/artificial-intelligence-for-health" TargetMode="External"/><Relationship Id="rId26" Type="http://schemas.openxmlformats.org/officeDocument/2006/relationships/hyperlink" Target="https://doi.org/10.1016/j.cca.2024.119724" TargetMode="External"/><Relationship Id="rId25" Type="http://schemas.openxmlformats.org/officeDocument/2006/relationships/hyperlink" Target="https://doi.org/10.1007/s10620-017-4701-6" TargetMode="External"/><Relationship Id="rId28" Type="http://schemas.openxmlformats.org/officeDocument/2006/relationships/hyperlink" Target="https://www.itu.int/en/ITU-T/focusgroups/ai4h/Pages/default.aspx?utm_source=chatgpt.com" TargetMode="External"/><Relationship Id="rId27" Type="http://schemas.openxmlformats.org/officeDocument/2006/relationships/hyperlink" Target="https://doi.org/10.1016/j.cca.2024.119724" TargetMode="External"/><Relationship Id="rId29" Type="http://schemas.openxmlformats.org/officeDocument/2006/relationships/hyperlink" Target="https://www.itu.int/en/ITU-T/focusgroups/ai4h/Pages/default.aspx?utm_source=chatgpt.com" TargetMode="External"/><Relationship Id="rId51" Type="http://schemas.openxmlformats.org/officeDocument/2006/relationships/hyperlink" Target="https://doi.org/10.1016/j.jclinepi.2024.111654" TargetMode="External"/><Relationship Id="rId50" Type="http://schemas.openxmlformats.org/officeDocument/2006/relationships/hyperlink" Target="https://doi.org/10.1038/s41415-025-8666-7" TargetMode="External"/><Relationship Id="rId53" Type="http://schemas.openxmlformats.org/officeDocument/2006/relationships/hyperlink" Target="https://www.who.int/europe/publications/i/item/WHO-EURO-2025-12707-52481-81028" TargetMode="External"/><Relationship Id="rId52" Type="http://schemas.openxmlformats.org/officeDocument/2006/relationships/hyperlink" Target="https://doi.org/10.1016/j.jclinepi.2024.111654" TargetMode="External"/><Relationship Id="rId11" Type="http://schemas.openxmlformats.org/officeDocument/2006/relationships/hyperlink" Target="https://doi.org/10.1080/10408363.2020.1828811" TargetMode="External"/><Relationship Id="rId55" Type="http://schemas.openxmlformats.org/officeDocument/2006/relationships/hyperlink" Target="https://www.who.int/teams/digital-health-and-innovation/harnessing-artificial-intelligence-for-health?utm_source=chatgpt.com" TargetMode="External"/><Relationship Id="rId10" Type="http://schemas.openxmlformats.org/officeDocument/2006/relationships/hyperlink" Target="https://doi.org/10.1016/j.diagmicrobio.2025.116728" TargetMode="External"/><Relationship Id="rId54" Type="http://schemas.openxmlformats.org/officeDocument/2006/relationships/hyperlink" Target="https://www.who.int/europe/publications/i/item/WHO-EURO-2025-12707-52481-81028" TargetMode="External"/><Relationship Id="rId13" Type="http://schemas.openxmlformats.org/officeDocument/2006/relationships/hyperlink" Target="https://doi.org/10.1038/s41598-023-50600-8" TargetMode="External"/><Relationship Id="rId57" Type="http://schemas.openxmlformats.org/officeDocument/2006/relationships/hyperlink" Target="https://www.who.int/publications/m/item/leading-the-future-of-global-health-with-responsible-artificial-intelligence?utm_source=chatgpt.com" TargetMode="External"/><Relationship Id="rId12" Type="http://schemas.openxmlformats.org/officeDocument/2006/relationships/hyperlink" Target="https://doi.org/10.1038/s41598-023-50600-8" TargetMode="External"/><Relationship Id="rId56" Type="http://schemas.openxmlformats.org/officeDocument/2006/relationships/hyperlink" Target="https://www.who.int/teams/digital-health-and-innovation/harnessing-artificial-intelligence-for-health?utm_source=chatgpt.com" TargetMode="External"/><Relationship Id="rId15" Type="http://schemas.openxmlformats.org/officeDocument/2006/relationships/hyperlink" Target="https://doi.org/10.4102/ajlm.v12i1.2329" TargetMode="External"/><Relationship Id="rId59" Type="http://schemas.openxmlformats.org/officeDocument/2006/relationships/hyperlink" Target="https://www.who.int/publications/m/item/artificial-intelligence-for-health?utm_source=chatgpt.com" TargetMode="External"/><Relationship Id="rId14" Type="http://schemas.openxmlformats.org/officeDocument/2006/relationships/hyperlink" Target="https://doi.org/10.4102/ajlm.v12i1.2329" TargetMode="External"/><Relationship Id="rId58" Type="http://schemas.openxmlformats.org/officeDocument/2006/relationships/hyperlink" Target="https://www.who.int/publications/m/item/leading-the-future-of-global-health-with-responsible-artificial-intelligence" TargetMode="External"/><Relationship Id="rId17" Type="http://schemas.openxmlformats.org/officeDocument/2006/relationships/hyperlink" Target="https://doi.org/10.1186/s40001-025-03196-w" TargetMode="External"/><Relationship Id="rId16" Type="http://schemas.openxmlformats.org/officeDocument/2006/relationships/hyperlink" Target="https://doi.org/10.1186/s40001-025-03196-w" TargetMode="External"/><Relationship Id="rId19" Type="http://schemas.openxmlformats.org/officeDocument/2006/relationships/hyperlink" Target="https://news.mayocliniclabs.com/2025/10/06/transforming-laboratory-medicine-through-ai-from-promise-to-practice/?utm_source=chatgpt.com" TargetMode="External"/><Relationship Id="rId18" Type="http://schemas.openxmlformats.org/officeDocument/2006/relationships/hyperlink" Target="https://news.mayocliniclabs.com/2025/10/06/transforming-laboratory-medicine-through-ai-from-promise-to-practice/?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