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D6DDA" w14:textId="77777777" w:rsidR="001A6650" w:rsidRDefault="001A6650">
      <w:pPr>
        <w:rPr>
          <w:rFonts w:ascii="Times New Roman" w:eastAsia="Times New Roman" w:hAnsi="Times New Roman" w:cs="Times New Roman"/>
          <w:b/>
          <w:bCs/>
          <w:sz w:val="24"/>
          <w:szCs w:val="24"/>
        </w:rPr>
      </w:pPr>
    </w:p>
    <w:p w14:paraId="0FAC0D67" w14:textId="77777777" w:rsidR="001A665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Analysis of the Interactions Between Intellectual Property and Artificial Intelligence in Smart Cities: A Qualitative-Quantitative Approach with Cluster Analysis</w:t>
      </w:r>
    </w:p>
    <w:p w14:paraId="568AEDA7" w14:textId="77777777" w:rsidR="001A6650" w:rsidRDefault="001A6650">
      <w:pPr>
        <w:spacing w:after="0" w:line="360" w:lineRule="auto"/>
        <w:ind w:firstLine="284"/>
        <w:jc w:val="both"/>
        <w:rPr>
          <w:rFonts w:ascii="Times New Roman" w:eastAsia="Times New Roman" w:hAnsi="Times New Roman" w:cs="Times New Roman"/>
          <w:sz w:val="24"/>
          <w:szCs w:val="24"/>
          <w:highlight w:val="white"/>
        </w:rPr>
      </w:pPr>
    </w:p>
    <w:p w14:paraId="2ACBF337" w14:textId="77777777" w:rsidR="001A66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w:t>
      </w:r>
    </w:p>
    <w:p w14:paraId="6D3E4CC2" w14:textId="77777777" w:rsidR="001A6650" w:rsidRDefault="00000000">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advancement of Artificial Intelligence (AI) has redefined technological innovation processes, urban management, and knowledge appropriation regimes, especially in the context of smart cities. In this scenario, the interaction between AI and intellectual property (IP) emerges as a strategic element for innovation governance, the protection of intangible assets, and the promotion of sustainable urban development. As highlighted by recent studies on law, technology, and innovation, AI poses significant challenges to traditional legal models, requiring normative adaptations capable of balancing incentives for innovation, legal certainty, and the protection of fundamental rights (SOUZA; SILVA; ALMEIDA, 2023).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This article analyzes the interactions between intellectual property and artificial intelligence in smart cities, adopting a qualitative-quantitative approach using cluster analysis to identify patterns, convergences, and asymmetries between normative frameworks, institutional practices, and urban innovation ecosystems. The research is based on a specialized literature review and empirical analysis of data collected through a structured questionnaire, allowing for the integration of multivariate statistical methods and qualitative interpretation of the results, as recommended by the literature on the analysis of complex sociotechnical phenomena (SOUZA; SILVA; ALMEIDA, 2023).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theoretical framework engages with academic production that discusses the governance of Artificial Intelligence, regulatory innovation, and the impacts of AI on intellectual property and technological entrepreneurship. According to the authors, the increasing use of algorithms, data, and automated systems expands the strategic value of intangible assets, while simultaneously challenging classic concepts of authorship, inventiveness, and ownership of intellectual property rights (SOUZA; SILVA; ALMEIDA, 2023).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results of the cluster analysis reveal the existence of distinct groups of actors and practices, differentiated by the degree of institutional maturity, capacity for intellectual property protection, strategic adoption of AI, and alignment with public innovation policies. It is observed that urban contexts with more consistent regulatory structures and data governance mechanisms show greater integration between AI-based innovation and legal protection of intangible assets, corroborating the analyses developed in the field of innovation law (SOUZA; SILVA; ALMEIDA, 2023).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It is concluded that the articulation between artificial intelligence, intellectual property, and smart cities demands integrated governance models capable of reconciling technological innovation, sustainable urban development, and legal security. The study contributes to the academic and institutional debate by offering subsidies for the formulation of public policies and regulatory strategies oriented towards data-driven urban innovation, reinforcing the centrality of intellectual property as an instrument of innovation governance in the AI era (SOUZA; SILVA; ALMEIDA, 2023).</w:t>
      </w:r>
    </w:p>
    <w:p w14:paraId="0A13AF22" w14:textId="77777777" w:rsidR="001A6650" w:rsidRDefault="00000000">
      <w:pPr>
        <w:spacing w:before="280" w:after="280" w:line="240" w:lineRule="auto"/>
        <w:ind w:firstLine="2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Keywords: </w:t>
      </w:r>
      <w:r>
        <w:rPr>
          <w:rFonts w:ascii="Times New Roman" w:eastAsia="Times New Roman" w:hAnsi="Times New Roman" w:cs="Times New Roman"/>
          <w:color w:val="000000"/>
          <w:sz w:val="24"/>
          <w:szCs w:val="24"/>
        </w:rPr>
        <w:t>Artificial Intelligence; Intellectual Property; Smart Cities; Urban Innovation; Cluster Analysis.</w:t>
      </w:r>
    </w:p>
    <w:p w14:paraId="2EE84A1C" w14:textId="77777777" w:rsidR="00C41C38" w:rsidRDefault="00C41C38">
      <w:pPr>
        <w:spacing w:before="280" w:after="280" w:line="240" w:lineRule="auto"/>
        <w:ind w:firstLine="284"/>
        <w:rPr>
          <w:rFonts w:ascii="Times New Roman" w:eastAsia="Times New Roman" w:hAnsi="Times New Roman" w:cs="Times New Roman"/>
          <w:color w:val="000000"/>
          <w:sz w:val="24"/>
          <w:szCs w:val="24"/>
        </w:rPr>
      </w:pPr>
    </w:p>
    <w:p w14:paraId="7F7E181B" w14:textId="77777777" w:rsidR="00C41C38" w:rsidRDefault="00C41C38">
      <w:pPr>
        <w:spacing w:before="280" w:after="280" w:line="240" w:lineRule="auto"/>
        <w:ind w:firstLine="284"/>
        <w:rPr>
          <w:rFonts w:ascii="Times New Roman" w:eastAsia="Times New Roman" w:hAnsi="Times New Roman" w:cs="Times New Roman"/>
          <w:color w:val="000000"/>
          <w:sz w:val="24"/>
          <w:szCs w:val="24"/>
        </w:rPr>
      </w:pPr>
    </w:p>
    <w:p w14:paraId="30325A2F"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11.1 INTRODUCTION</w:t>
      </w:r>
    </w:p>
    <w:p w14:paraId="16BA84B5" w14:textId="77777777" w:rsidR="001A6650" w:rsidRDefault="00000000">
      <w:pPr>
        <w:spacing w:line="36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Artificial Intelligence (AI) occupies a central position in contemporary debates on urban innovation and the transformation of the socio-technical systems that structure cities. In the context of so-called smart cities, AI is understood not only as a set of computational techniques, but as a strategic vector capable of reorganizing processes of public management, provision of urban services, territorial planning, and formulation of data-driven policies.</w:t>
      </w:r>
    </w:p>
    <w:p w14:paraId="0C81E01C" w14:textId="77777777" w:rsidR="001A6650" w:rsidRDefault="00000000">
      <w:pPr>
        <w:spacing w:line="36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concept of smart cities has been consolidated from the convergence of digital technologies, human capital, and institutional governance, with the central objective of increasing urban efficiency, sustainability, and the quality of life of the population (CARAGLIU; DEL BO; NIJKAMP, 2011). From this perspective, AI significantly expands the analytical capabilities of cities by allowing the processing of large volumes of heterogeneous data, originating from sensors, digital platforms, administrative systems, and technology-mediated social interactions.</w:t>
      </w:r>
    </w:p>
    <w:p w14:paraId="6D7F492B"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 xml:space="preserve">Authors such as Kitchin (2014) argue that the smart city should be understood as a data-driven ecosystem in which algorithms and predictive models influence decisions related to urban mobility, public safety, environmental management, and resource allocation. In this context, AI acts as a structuring element of so-called algorithmic governance, enabling the partial or total automation of complex decisions </w:t>
      </w:r>
      <w:r>
        <w:rPr>
          <w:rFonts w:ascii="Times New Roman" w:eastAsia="Times New Roman" w:hAnsi="Times New Roman" w:cs="Times New Roman"/>
          <w:sz w:val="24"/>
          <w:szCs w:val="24"/>
        </w:rPr>
        <w:t>and the anticipation of future scenarios.</w:t>
      </w:r>
    </w:p>
    <w:p w14:paraId="4726DCE6"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Literature on urban innovation highlights that the incorporation of AI into urban systems redefines the very concept of innovation, shifting it from an incremental logic to a systemic one. According to Brynjolfsson and McAfee (2017), advanced digital technologies, such as AI, are configured as general-purpose technologies </w:t>
      </w:r>
      <w:r>
        <w:rPr>
          <w:rFonts w:ascii="Times New Roman" w:eastAsia="Times New Roman" w:hAnsi="Times New Roman" w:cs="Times New Roman"/>
          <w:i/>
          <w:iCs/>
          <w:sz w:val="24"/>
          <w:szCs w:val="24"/>
        </w:rPr>
        <w:t xml:space="preserve">, capable of </w:t>
      </w:r>
      <w:r>
        <w:rPr>
          <w:rFonts w:ascii="Times New Roman" w:eastAsia="Times New Roman" w:hAnsi="Times New Roman" w:cs="Times New Roman"/>
          <w:sz w:val="24"/>
          <w:szCs w:val="24"/>
        </w:rPr>
        <w:t>generating transversal effects in different economic and institutional sectors. In the urban environment, these effects manifest themselves in the creation of new business models, the reorganization of value chains, and the emergence of intelligent public services.</w:t>
      </w:r>
    </w:p>
    <w:p w14:paraId="38F53B26"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Townsend (2013) emphasizes that smart cities are not limited to the adoption of technological solutions, but involve collaborative innovation processes in which governments, companies, universities, and citizens actively participate in building urban solutions. AI enhances this process by enabling open innovation platforms, participatory analysis of urban data, and decision support systems that incorporate multiple social, economic, and environmental variables.</w:t>
      </w:r>
    </w:p>
    <w:p w14:paraId="32EAE13F"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However, the intensive adoption of AI in cities also poses significant challenges. Studies indicate that reliance on algorithms can intensify power imbalances, increase surveillance risks, and compromise democratic principles if adequate mechanisms for transparency, accountability, and </w:t>
      </w:r>
      <w:r>
        <w:rPr>
          <w:rFonts w:ascii="Times New Roman" w:eastAsia="Times New Roman" w:hAnsi="Times New Roman" w:cs="Times New Roman"/>
          <w:sz w:val="24"/>
          <w:szCs w:val="24"/>
        </w:rPr>
        <w:lastRenderedPageBreak/>
        <w:t>social control are not established (FLORIDI et al., 2018). Thus, AI-mediated urban innovation requires a balance between technological efficiency and normative values such as equity, privacy, and public accountability.</w:t>
      </w:r>
    </w:p>
    <w:p w14:paraId="77CFE974"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the realm of innovation, AI also directly influences the production and appropriation of knowledge, impacting intellectual property regimes associated with smart urban solutions. Algorithms, predictive models, data analysis systems, and software applied to urban management become strategic assets, frequently protected by patents, copyrights, or trade secrets. In this way, AI-based urban innovation reinforces the centrality of intangible assets and expands the relevance of intellectual property as an instrument for stimulating and regulating innovation.</w:t>
      </w:r>
    </w:p>
    <w:p w14:paraId="7E3BF07D"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Given this scenario, the relationship between Artificial Intelligence, smart cities, and urban innovation must be understood as a dynamic and interdependent process, in which technological advances, institutional arrangements, and regulatory frameworks co-evolve. This systemic approach is fundamental for analyzing, in an integrated way, the impacts of AI on urban governance, the production of economic value, and the structuring of intellectual property regimes in contemporary cities.</w:t>
      </w:r>
    </w:p>
    <w:p w14:paraId="5C85D43C" w14:textId="77777777" w:rsidR="001A665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11.2 Artificial Intelligence as a structuring technology</w:t>
      </w:r>
    </w:p>
    <w:p w14:paraId="152BE022"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Literature characterizes AI as a </w:t>
      </w:r>
      <w:r>
        <w:rPr>
          <w:rFonts w:ascii="Times New Roman" w:eastAsia="Times New Roman" w:hAnsi="Times New Roman" w:cs="Times New Roman"/>
          <w:i/>
          <w:iCs/>
          <w:sz w:val="24"/>
          <w:szCs w:val="24"/>
        </w:rPr>
        <w:t xml:space="preserve">General Purpose Technology </w:t>
      </w:r>
      <w:r>
        <w:rPr>
          <w:rFonts w:ascii="Times New Roman" w:eastAsia="Times New Roman" w:hAnsi="Times New Roman" w:cs="Times New Roman"/>
          <w:sz w:val="24"/>
          <w:szCs w:val="24"/>
        </w:rPr>
        <w:t xml:space="preserve">, capable of promoting systemic changes in multiple sectors (BRYNJOLFSSON; MCAFEE, 2017). Its capacity for learning, adaptation, and processing large volumes of data redefines standards of efficiency, innovation, and competitiveness. In recent decades, Artificial Intelligence has consolidated itself as one of the main structuring technologies of the contemporary economy and society, exerting transversal influence on productive, organizational, institutional, and decision-making processes. Unlike incremental technologies, AI presents typical characteristics of so-called General Purpose Technologies </w:t>
      </w:r>
      <w:r>
        <w:rPr>
          <w:rFonts w:ascii="Times New Roman" w:eastAsia="Times New Roman" w:hAnsi="Times New Roman" w:cs="Times New Roman"/>
          <w:i/>
          <w:iCs/>
          <w:sz w:val="24"/>
          <w:szCs w:val="24"/>
        </w:rPr>
        <w:t xml:space="preserve">( GPTs ) </w:t>
      </w:r>
      <w:r>
        <w:rPr>
          <w:rFonts w:ascii="Times New Roman" w:eastAsia="Times New Roman" w:hAnsi="Times New Roman" w:cs="Times New Roman"/>
          <w:sz w:val="24"/>
          <w:szCs w:val="24"/>
        </w:rPr>
        <w:t>, since it can be applied in multiple sectors, generate complementary innovations, and promote long-term systemic transformations (BRYNJOLFSSON; MCAFEE, 2017).</w:t>
      </w:r>
    </w:p>
    <w:p w14:paraId="4F424620"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structuring technology, AI is not limited to automating specific tasks, but reconfigures the logic of knowledge production and use. Systems based on machine learning, neural networks, and predictive models expand human analytical capacity, allowing the identification of complex patterns in large volumes of data and the anticipation of future scenarios. This potential transforms decision-making at different levels—from operational to strategic—and redefines relationships between public and private actors.</w:t>
      </w:r>
    </w:p>
    <w:p w14:paraId="3C89284B"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Agrawal , Gans, and Goldfarb (2019) argue that the main economic impact of AI lies in reducing the cost of forecasting, which shifts strategic value to complementary activities such as human judgment, goal setting, and institutional design. In the urban and governmental context, this logic implies the increasing incorporation of intelligent systems to support the formulation of public policies, territorial planning, and the management of essential services.</w:t>
      </w:r>
    </w:p>
    <w:p w14:paraId="74DBA9F2"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structuring nature of AI is also evident in its ability to generate technological chain reactions, stimulating the development of digital infrastructures, innovation ecosystems, and new data-driven business models. These effects are particularly relevant in smart cities, where AI operates in an integrated way with technologies such as the Internet of Things, cloud computing, and digital platforms, configuring highly interconnected and dynamic urban environments.</w:t>
      </w:r>
    </w:p>
    <w:p w14:paraId="2A13ADEA"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structural centrality of AI brings with it significant institutional and normative challenges. The growing reliance on algorithms for high-impact social decisions raises questions related to transparency, explainability, accountability, and democratic control. </w:t>
      </w:r>
      <w:proofErr w:type="spellStart"/>
      <w:r>
        <w:rPr>
          <w:rFonts w:ascii="Times New Roman" w:eastAsia="Times New Roman" w:hAnsi="Times New Roman" w:cs="Times New Roman"/>
          <w:sz w:val="24"/>
          <w:szCs w:val="24"/>
        </w:rPr>
        <w:t>Floridi</w:t>
      </w:r>
      <w:proofErr w:type="spellEnd"/>
      <w:r>
        <w:rPr>
          <w:rFonts w:ascii="Times New Roman" w:eastAsia="Times New Roman" w:hAnsi="Times New Roman" w:cs="Times New Roman"/>
          <w:sz w:val="24"/>
          <w:szCs w:val="24"/>
        </w:rPr>
        <w:t xml:space="preserve"> et al. (2018) highlight that the consolidation of AI as a structuring technology requires the development of governance models capable of aligning technical efficiency with fundamental ethical and legal values.</w:t>
      </w:r>
    </w:p>
    <w:p w14:paraId="5003AD5E"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field of innovation and intellectual property, AI as a structuring technology intensifies the relevance of intangible assets, such as algorithms, databases, software, and computational models. These assets become central elements of economic competitiveness and technological sovereignty, while simultaneously challenging traditional intellectual property protection regimes, designed for essentially human creations. Thus, understanding AI as a structuring technology implies recognizing its role not only technically, but also economically, legally, and institutionally.</w:t>
      </w:r>
    </w:p>
    <w:p w14:paraId="381ED44D"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Artificial Intelligence, by assuming the role of a structuring technology, redefines the foundations of innovation, governance, and value creation in contemporary societies. This characteristic reinforces the need for integrated analyses, such as the one proposed in this thesis, capable of articulating technological, urban, and legal dimensions to fully understand the impacts and challenges of AI in smart cities.</w:t>
      </w:r>
    </w:p>
    <w:p w14:paraId="11C3700F" w14:textId="77777777" w:rsidR="001A665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11.3 Smart cities and data-driven governance</w:t>
      </w:r>
    </w:p>
    <w:p w14:paraId="11AE9A03"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Smart cities are understood as socio-technical ecosystems that articulate technology, people, and institutions (KITCHIN, 2014). AI enhances evidence-based governance models, but also demands transparency, accountability , and social participation. The consolidation of smart cities is intrinsically linked to the emergence of data-driven governance models, in which the systematic collection, processing, and analysis of urban information become central elements of the decision-making </w:t>
      </w:r>
      <w:r>
        <w:rPr>
          <w:rFonts w:ascii="Times New Roman" w:eastAsia="Times New Roman" w:hAnsi="Times New Roman" w:cs="Times New Roman"/>
          <w:sz w:val="24"/>
          <w:szCs w:val="24"/>
        </w:rPr>
        <w:lastRenderedPageBreak/>
        <w:t>process. In this paradigm, data produced by sensors, digital platforms, administrative systems, and social interactions become the empirical basis for urban planning, public policy formulation, and government performance evaluation.</w:t>
      </w:r>
    </w:p>
    <w:p w14:paraId="72571F28"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Kitchin (2014) defines data-driven governance as an arrangement in which algorithms, analytical models, and information systems directly influence city management, configuring what the author calls </w:t>
      </w:r>
      <w:r>
        <w:rPr>
          <w:rFonts w:ascii="Times New Roman" w:eastAsia="Times New Roman" w:hAnsi="Times New Roman" w:cs="Times New Roman"/>
          <w:i/>
          <w:iCs/>
          <w:sz w:val="24"/>
          <w:szCs w:val="24"/>
        </w:rPr>
        <w:t xml:space="preserve">data- driven. In this context </w:t>
      </w:r>
      <w:r>
        <w:rPr>
          <w:rFonts w:ascii="Times New Roman" w:eastAsia="Times New Roman" w:hAnsi="Times New Roman" w:cs="Times New Roman"/>
          <w:sz w:val="24"/>
          <w:szCs w:val="24"/>
        </w:rPr>
        <w:t>, Artificial Intelligence plays a fundamental role by enabling the analysis of large volumes of heterogeneous data, allowing the identification of patterns, correlations, and trends that would be difficult to perceive using traditional public management methods.</w:t>
      </w:r>
    </w:p>
    <w:p w14:paraId="135338F8"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adoption of data-driven governance models redefines the relationship between the state, the market, and civil society. Decisions previously based on normative or political criteria are now complemented—and, in some cases, replaced—by algorithmic decision support systems. According to Janssen and Kuk (2016), this transformation expands the public sector's capacity to respond to complex problems, but also introduces new risks related to the opacity of algorithms and the concentration of informational power.</w:t>
      </w:r>
    </w:p>
    <w:p w14:paraId="7ABD4A3F"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the context of smart cities, data-driven governance manifests itself in applications such as intelligent traffic management, real-time environmental monitoring, predictive public safety systems, and optimization of energy resource use. These applications enhance operational efficiency and cost rationalization, while requiring institutional structures capable of ensuring the quality, interoperability, and security of urban data.</w:t>
      </w:r>
    </w:p>
    <w:p w14:paraId="4AD65004"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However, critical literature warns that data-driven governance can generate undesirable effects if it is not accompanied by adequate mechanisms for accountability and social participation. Authors such as </w:t>
      </w:r>
      <w:proofErr w:type="spellStart"/>
      <w:r>
        <w:rPr>
          <w:rFonts w:ascii="Times New Roman" w:eastAsia="Times New Roman" w:hAnsi="Times New Roman" w:cs="Times New Roman"/>
          <w:sz w:val="24"/>
          <w:szCs w:val="24"/>
        </w:rPr>
        <w:t>Floridi</w:t>
      </w:r>
      <w:proofErr w:type="spellEnd"/>
      <w:r>
        <w:rPr>
          <w:rFonts w:ascii="Times New Roman" w:eastAsia="Times New Roman" w:hAnsi="Times New Roman" w:cs="Times New Roman"/>
          <w:sz w:val="24"/>
          <w:szCs w:val="24"/>
        </w:rPr>
        <w:t xml:space="preserve"> et al. (2018) and Kitchin (2019) argue that the extensive use of data and algorithms in urban government can intensify surveillance practices, reinforce discriminatory biases, and compromise fundamental rights such as privacy and the protection of personal data.</w:t>
      </w:r>
    </w:p>
    <w:p w14:paraId="1AC8907B"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Therefore, data-driven governance in smart cities should be understood as a socio-technical process, in which technological choices reflect political, legal, and ethical values. Artificial Intelligence, by expanding the analytical and decision-making power of urban systems, demands governance models that reconcile efficiency, transparency, and democratic control. This perspective is essential to understanding the impacts of AI on urban management and its interactions with the intellectual property and innovation regimes analyzed in this thesis.</w:t>
      </w:r>
    </w:p>
    <w:p w14:paraId="12DD7C02" w14:textId="77777777" w:rsidR="00C41C38" w:rsidRDefault="00C41C38">
      <w:pPr>
        <w:spacing w:line="360" w:lineRule="auto"/>
        <w:jc w:val="both"/>
        <w:rPr>
          <w:rFonts w:ascii="Times New Roman" w:eastAsia="Times New Roman" w:hAnsi="Times New Roman" w:cs="Times New Roman"/>
          <w:b/>
          <w:bCs/>
          <w:sz w:val="24"/>
          <w:szCs w:val="24"/>
        </w:rPr>
      </w:pPr>
    </w:p>
    <w:p w14:paraId="1B5B8F29" w14:textId="55EB2228" w:rsidR="001A665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11.4 Safety, ethics and socio-technical trust</w:t>
      </w:r>
    </w:p>
    <w:p w14:paraId="228FCE85"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impacts of AI on individual security involve issues of privacy, surveillance, and the use of personal data. Authors such as Zuboff (2019) warn of risks associated with surveillance capitalism, reinforcing the need for regulation. The intensification of the use of Artificial Intelligence and data-driven systems in smart cities makes security, ethics, and socio-technical trust central elements for the legitimacy and sustainability of these technological arrangements. Unlike traditional urban infrastructures, intelligent systems operate based on the continuous collection of personal and sensitive data, the automation of decisions, and the interconnection of multiple public and private actors, which significantly increases technical, social, and institutional risks.</w:t>
      </w:r>
    </w:p>
    <w:p w14:paraId="01F287C2"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context, security goes beyond the strictly cybernetic dimension and takes on a systemic character. Beyond protection against cyberattacks, technical failures, and data leaks, it involves the resilience of smart urban systems, the integrity of algorithms, and the reliability of the digital infrastructures that support data-driven governance. As highlighted by Schneier (2018), complex AI-based systems should be analyzed not only from the perspective of efficiency, but also of their vulnerabilities and potential social impacts.</w:t>
      </w:r>
    </w:p>
    <w:p w14:paraId="504EBCDF"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an ethical standpoint, the use of AI in urban environments raises fundamental questions about autonomy, justice, non-discrimination, and respect for fundamental rights. Algorithms trained on biased databases can reproduce or amplify existing social inequalities, disproportionately affecting certain population groups. Studies such as those by O'Neil (2016) and Eubanks (2018) demonstrate that algorithmic systems applied to public safety, social assistance, and urban policies can generate exclusionary effects when not subjected to rigorous ethical evaluation criteria.</w:t>
      </w:r>
    </w:p>
    <w:p w14:paraId="77B094F9"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Sociotechnical trust thus emerges as a key element in the relationship between citizens, smart technologies, and public institutions. According to Luhmann (1979), trust is an essential mechanism for reducing social complexity, allowing individuals to accept decisions made by systems they do not fully understand. In the context of smart cities, this trust depends on the transparency of algorithms, the explainability of automated decisions, and the existence of clear accountability mechanisms.</w:t>
      </w:r>
    </w:p>
    <w:p w14:paraId="4C4FFCC2" w14:textId="77777777" w:rsidR="001A6650" w:rsidRDefault="00000000">
      <w:pPr>
        <w:spacing w:line="360" w:lineRule="auto"/>
        <w:ind w:firstLine="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Floridi</w:t>
      </w:r>
      <w:proofErr w:type="spellEnd"/>
      <w:r>
        <w:rPr>
          <w:rFonts w:ascii="Times New Roman" w:eastAsia="Times New Roman" w:hAnsi="Times New Roman" w:cs="Times New Roman"/>
          <w:sz w:val="24"/>
          <w:szCs w:val="24"/>
        </w:rPr>
        <w:t xml:space="preserve"> et </w:t>
      </w:r>
      <w:r>
        <w:rPr>
          <w:rFonts w:ascii="Times New Roman" w:eastAsia="Times New Roman" w:hAnsi="Times New Roman" w:cs="Times New Roman"/>
          <w:i/>
          <w:iCs/>
          <w:sz w:val="24"/>
          <w:szCs w:val="24"/>
        </w:rPr>
        <w:t xml:space="preserve">al </w:t>
      </w:r>
      <w:r>
        <w:rPr>
          <w:rFonts w:ascii="Times New Roman" w:eastAsia="Times New Roman" w:hAnsi="Times New Roman" w:cs="Times New Roman"/>
          <w:sz w:val="24"/>
          <w:szCs w:val="24"/>
        </w:rPr>
        <w:t xml:space="preserve">. (2018) propose the concept of trustworthy </w:t>
      </w:r>
      <w:r>
        <w:rPr>
          <w:rFonts w:ascii="Times New Roman" w:eastAsia="Times New Roman" w:hAnsi="Times New Roman" w:cs="Times New Roman"/>
          <w:i/>
          <w:iCs/>
          <w:sz w:val="24"/>
          <w:szCs w:val="24"/>
        </w:rPr>
        <w:t xml:space="preserve">AI , based on principles such as explainability, technical robustness, accountability , </w:t>
      </w:r>
      <w:r>
        <w:rPr>
          <w:rFonts w:ascii="Times New Roman" w:eastAsia="Times New Roman" w:hAnsi="Times New Roman" w:cs="Times New Roman"/>
          <w:sz w:val="24"/>
          <w:szCs w:val="24"/>
        </w:rPr>
        <w:t>and respect for human rights. These principles are particularly relevant to urban governance, as algorithmic decisions can directly affect the daily lives of citizens. The absence of such guarantees can compromise the legitimacy of public policies and generate social resistance to the adoption of smart technologies.</w:t>
      </w:r>
    </w:p>
    <w:p w14:paraId="33A07253"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Building sociotechnical trust is also directly related to regulatory frameworks for data protection and intellectual property. Clear rules on data collection, use, and sharing, as well as on the ownership and control of algorithms and intelligent systems, contribute to reducing information asymmetry between developers, public managers, and citizens. In this sense, legal certainty becomes an indispensable component of sociotechnical trust.</w:t>
      </w:r>
    </w:p>
    <w:p w14:paraId="2D4E9772"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security, ethics, and socio-technical trust are inseparable dimensions of the implementation of Artificial Intelligence in smart cities. The consolidation of these systems requires integrated approaches that articulate technical solutions, ethical principles, and institutional arrangements capable of guaranteeing both the efficiency and the democratic legitimacy of urban innovation. This perspective reinforces the need for governance models that incorporate the normative dimension of technology, a central element for the analyses developed in this thesis.</w:t>
      </w:r>
    </w:p>
    <w:p w14:paraId="3B14BA38"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increased use of Artificial Intelligence and data-driven systems in smart cities makes security, ethics, and socio-technical trust central elements for the legitimacy and sustainability of these technological arrangements. Unlike traditional urban infrastructures, intelligent systems operate based on the continuous collection of personal and sensitive data, the automation of decisions, and the interconnection of multiple public and private actors, which significantly increases technical, social, and institutional risks.</w:t>
      </w:r>
    </w:p>
    <w:p w14:paraId="2538CCF6"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context, security goes beyond the strictly cybernetic dimension and takes on a systemic character. Beyond protection against cyberattacks, technical failures, and data leaks, it involves the resilience of smart urban systems, the integrity of algorithms, and the reliability of the digital infrastructures that support data-driven governance. As highlighted by Schneier (2018), complex AI-based systems should be analyzed not only from the perspective of efficiency, but also of their vulnerabilities and potential social impacts.</w:t>
      </w:r>
    </w:p>
    <w:p w14:paraId="0F1BD24F"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an ethical standpoint, the use of AI in urban environments raises fundamental questions about autonomy, justice, non-discrimination, and respect for fundamental rights. Algorithms trained on biased databases can reproduce or amplify existing social inequalities, disproportionately affecting certain population groups. Studies such as those by O'Neil (2016) and Eubanks (2018) demonstrate that algorithmic systems applied to public safety, social assistance, and urban policies can generate exclusionary effects when not subjected to rigorous ethical evaluation criteria.</w:t>
      </w:r>
    </w:p>
    <w:p w14:paraId="395FEB7A"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Sociotechnical trust thus emerges as a key element in the relationship between citizens, smart technologies, and public institutions. According to Luhmann (1979), trust is an essential mechanism for reducing social complexity, allowing individuals to accept decisions made by systems they do not </w:t>
      </w:r>
      <w:r>
        <w:rPr>
          <w:rFonts w:ascii="Times New Roman" w:eastAsia="Times New Roman" w:hAnsi="Times New Roman" w:cs="Times New Roman"/>
          <w:sz w:val="24"/>
          <w:szCs w:val="24"/>
        </w:rPr>
        <w:lastRenderedPageBreak/>
        <w:t>fully understand. In the context of smart cities, this trust depends on the transparency of algorithms, the explainability of automated decisions, and the existence of clear accountability mechanisms.</w:t>
      </w:r>
    </w:p>
    <w:p w14:paraId="2FD98BCD" w14:textId="77777777" w:rsidR="001A6650" w:rsidRDefault="00000000">
      <w:pPr>
        <w:spacing w:line="360" w:lineRule="auto"/>
        <w:ind w:firstLine="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Floridi</w:t>
      </w:r>
      <w:proofErr w:type="spellEnd"/>
      <w:r>
        <w:rPr>
          <w:rFonts w:ascii="Times New Roman" w:eastAsia="Times New Roman" w:hAnsi="Times New Roman" w:cs="Times New Roman"/>
          <w:sz w:val="24"/>
          <w:szCs w:val="24"/>
        </w:rPr>
        <w:t xml:space="preserve"> et </w:t>
      </w:r>
      <w:r>
        <w:rPr>
          <w:rFonts w:ascii="Times New Roman" w:eastAsia="Times New Roman" w:hAnsi="Times New Roman" w:cs="Times New Roman"/>
          <w:i/>
          <w:iCs/>
          <w:sz w:val="24"/>
          <w:szCs w:val="24"/>
        </w:rPr>
        <w:t xml:space="preserve">al </w:t>
      </w:r>
      <w:r>
        <w:rPr>
          <w:rFonts w:ascii="Times New Roman" w:eastAsia="Times New Roman" w:hAnsi="Times New Roman" w:cs="Times New Roman"/>
          <w:sz w:val="24"/>
          <w:szCs w:val="24"/>
        </w:rPr>
        <w:t xml:space="preserve">. (2018) propose the concept of trustworthy </w:t>
      </w:r>
      <w:r>
        <w:rPr>
          <w:rFonts w:ascii="Times New Roman" w:eastAsia="Times New Roman" w:hAnsi="Times New Roman" w:cs="Times New Roman"/>
          <w:i/>
          <w:iCs/>
          <w:sz w:val="24"/>
          <w:szCs w:val="24"/>
        </w:rPr>
        <w:t xml:space="preserve">AI , based on principles such as explainability, technical robustness, accountability , </w:t>
      </w:r>
      <w:r>
        <w:rPr>
          <w:rFonts w:ascii="Times New Roman" w:eastAsia="Times New Roman" w:hAnsi="Times New Roman" w:cs="Times New Roman"/>
          <w:sz w:val="24"/>
          <w:szCs w:val="24"/>
        </w:rPr>
        <w:t>and respect for human rights. These principles are particularly relevant to urban governance, as algorithmic decisions can directly affect the daily lives of citizens. The absence of such guarantees can compromise the legitimacy of public policies and generate social resistance to the adoption of smart technologies.</w:t>
      </w:r>
    </w:p>
    <w:p w14:paraId="47D50134"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sociotechnical trust is also directly related to regulatory frameworks for data protection and intellectual property. Clear rules on data collection, use, and sharing, as well as on the ownership and control of algorithms and intelligent systems, contribute to reducing information asymmetry between developers, public managers, and citizens. In this sense, legal certainty becomes an indispensable component of sociotechnical trust.</w:t>
      </w:r>
    </w:p>
    <w:p w14:paraId="519BF78A"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security, ethics, and socio-technical trust are inseparable dimensions of the implementation of Artificial Intelligence in smart cities. The consolidation of these systems requires integrated approaches that articulate technical solutions, ethical principles, and institutional arrangements capable of guaranteeing both the efficiency and the democratic legitimacy of urban innovation. This perspective reinforces the need for governance models that incorporate the normative dimension of technology, a central element for the analyses developed in this thesis.</w:t>
      </w:r>
    </w:p>
    <w:p w14:paraId="67744631" w14:textId="77777777" w:rsidR="001A6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11.5 Intellectual Property and Intangible Assets Based on AI: Intellectual Property in the Age of AI</w:t>
      </w:r>
    </w:p>
    <w:p w14:paraId="72B5B691"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challenges traditional intellectual property models, especially regarding the ownership of algorithmic creations, software protection, and the valuation of data as strategic assets. The rise of Artificial Intelligence as a structuring technology has intensified the centrality of intangible assets in contemporary innovation processes, particularly in smart urban environments. Algorithms, machine learning models, databases, software, and cognitive systems have become fundamental strategic resources for economic competitiveness, governmental efficiency, and technological sovereignty. In this context, intellectual property assumes a decisive role in the protection, appropriation, and circulation of these assets.</w:t>
      </w:r>
    </w:p>
    <w:p w14:paraId="4029C0AD"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Traditionally, intellectual property regimes have been designed to protect clearly identifiable human creations, such as technical inventions, artistic works, and distinctive signs. However, the application of AI in generating innovative solutions challenges these assumptions, since automated processes can produce original results with reduced human intervention. This transformation raises </w:t>
      </w:r>
      <w:r>
        <w:rPr>
          <w:rFonts w:ascii="Times New Roman" w:eastAsia="Times New Roman" w:hAnsi="Times New Roman" w:cs="Times New Roman"/>
          <w:sz w:val="24"/>
          <w:szCs w:val="24"/>
        </w:rPr>
        <w:lastRenderedPageBreak/>
        <w:t>central debates about authorship, ownership, and criteria for the legal protection of AI-based creations (ABBOTT, 2020).</w:t>
      </w:r>
    </w:p>
    <w:p w14:paraId="1CD18B2F"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field of patents, AI has been used both as a tool to support innovation and as a central element of the inventions themselves. Systems capable of identifying novel technical combinations, optimizing production processes, or developing smart urban solutions expand inventive potential but challenge the traditional requirement of human inventiveness. Patent offices in different jurisdictions have faced difficulties in fitting such creations within existing regulatory frameworks, highlighting the need to adapt industrial property systems to the new technological reality.</w:t>
      </w:r>
    </w:p>
    <w:p w14:paraId="2DD557DA"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realm of copyright, similar challenges emerge regarding the protection of software, databases, and content generated by AI. While many legal systems recognize copyright protection for computer programs, the attribution of rights to works produced autonomously by intelligent systems remains controversial. This debate is particularly relevant in smart cities, where algorithms continuously produce analyses, models, and informational content used in urban management.</w:t>
      </w:r>
    </w:p>
    <w:p w14:paraId="6C980E80"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Intangible assets based on AI also exhibit strong interdependence with data, considered essential inputs for the training and performance of algorithmic models. The increasing economic valuation of data reinforces the need for regulatory frameworks that articulate intellectual property, personal data protection, and competition. In this scenario, data governance becomes a strategic element in defining who can access, exploit, and benefit from AI-based innovations.</w:t>
      </w:r>
    </w:p>
    <w:p w14:paraId="20712935"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such as Bessen (2019) and Gervais (2020) highlight that the inadequacy of traditional intellectual property regimes can generate both legal uncertainty and barriers to innovation, especially in data- and algorithm-intensive sectors. Thus, excessive protection can limit technological diffusion, while the absence of adequate protection can discourage investment in research and development.</w:t>
      </w:r>
    </w:p>
    <w:p w14:paraId="30468E87"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age of Artificial Intelligence, intellectual property must be understood not only as an instrument of exclusivity, but also as a mechanism for innovation governance. This implies rethinking protection criteria, licensing models, and public policies associated with intangible assets, in order to balance economic incentives, public interest, and sustainable urban development.</w:t>
      </w:r>
    </w:p>
    <w:p w14:paraId="1DD69455" w14:textId="77777777" w:rsidR="001A6650" w:rsidRDefault="00000000">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the interaction between Artificial Intelligence, intangible assets, and intellectual property redefines the foundations of innovation in smart cities. Understanding these dynamics is essential to analyzing how legal frameworks influence the production, appropriation, and diffusion of smart technologies, the central theme of this thesis.</w:t>
      </w:r>
    </w:p>
    <w:p w14:paraId="6A80E406" w14:textId="77777777" w:rsidR="00C41C38" w:rsidRDefault="00C41C38">
      <w:pPr>
        <w:spacing w:line="360" w:lineRule="auto"/>
        <w:jc w:val="both"/>
        <w:rPr>
          <w:rFonts w:ascii="Times New Roman" w:eastAsia="Times New Roman" w:hAnsi="Times New Roman" w:cs="Times New Roman"/>
          <w:b/>
          <w:bCs/>
          <w:sz w:val="24"/>
          <w:szCs w:val="24"/>
        </w:rPr>
      </w:pPr>
    </w:p>
    <w:p w14:paraId="614F04BB" w14:textId="77777777" w:rsidR="00C41C38" w:rsidRDefault="00C41C38">
      <w:pPr>
        <w:spacing w:line="360" w:lineRule="auto"/>
        <w:jc w:val="both"/>
        <w:rPr>
          <w:rFonts w:ascii="Times New Roman" w:eastAsia="Times New Roman" w:hAnsi="Times New Roman" w:cs="Times New Roman"/>
          <w:b/>
          <w:bCs/>
          <w:sz w:val="24"/>
          <w:szCs w:val="24"/>
        </w:rPr>
      </w:pPr>
    </w:p>
    <w:p w14:paraId="4C0538B3" w14:textId="6DB8B044"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Qualitative and </w:t>
      </w:r>
      <w:r>
        <w:rPr>
          <w:rFonts w:ascii="Times New Roman" w:eastAsia="Times New Roman" w:hAnsi="Times New Roman" w:cs="Times New Roman"/>
          <w:b/>
          <w:bCs/>
          <w:color w:val="000000"/>
          <w:sz w:val="24"/>
          <w:szCs w:val="24"/>
        </w:rPr>
        <w:t xml:space="preserve">Quantitative </w:t>
      </w:r>
      <w:r>
        <w:rPr>
          <w:rFonts w:ascii="Times New Roman" w:eastAsia="Times New Roman" w:hAnsi="Times New Roman" w:cs="Times New Roman"/>
          <w:b/>
          <w:bCs/>
          <w:sz w:val="24"/>
          <w:szCs w:val="24"/>
        </w:rPr>
        <w:t xml:space="preserve">Approaches </w:t>
      </w:r>
      <w:r>
        <w:rPr>
          <w:rFonts w:ascii="Times New Roman" w:eastAsia="Times New Roman" w:hAnsi="Times New Roman" w:cs="Times New Roman"/>
          <w:b/>
          <w:bCs/>
          <w:color w:val="000000"/>
          <w:sz w:val="24"/>
          <w:szCs w:val="24"/>
        </w:rPr>
        <w:t>in Cluster Analysis for AI and IP</w:t>
      </w:r>
    </w:p>
    <w:p w14:paraId="7F5D113A" w14:textId="77777777" w:rsidR="001A6650" w:rsidRDefault="00000000">
      <w:pPr>
        <w:spacing w:line="36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complexity of the interactions between Artificial Intelligence, intellectual property, and smart cities demands methodological approaches capable of integrating different types of data, analytical perspectives, and levels of interpretation. In this context, qualitative-quantitative approaches , associated with cluster analysis, are particularly suitable methodological strategies for investigating patterns, latent relationships, and underlying structures in complex sociotechnical phenomena.</w:t>
      </w:r>
    </w:p>
    <w:p w14:paraId="306AD4FC" w14:textId="77777777" w:rsidR="001A6650" w:rsidRDefault="00000000">
      <w:pPr>
        <w:spacing w:line="36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Qualitative-quantitative research combines quantitative techniques—focused on measurement, statistical modeling, and pattern identification—with qualitative methods, oriented towards contextual interpretation, discourse analysis, and understanding the meanings attributed by the actors involved. According to Creswell and Plano Clark (2018), this methodological integration allows for greater validity of the results by articulating empirical generalization and interpretive depth.</w:t>
      </w:r>
    </w:p>
    <w:p w14:paraId="0D798537" w14:textId="77777777" w:rsidR="001A6650" w:rsidRDefault="00000000">
      <w:pPr>
        <w:spacing w:line="36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 the field of Artificial Intelligence and intellectual property, cluster analysis has been widely used to map technological fields, identify innovation trajectories, and classify sets of documents, such as patents, scientific publications, and responses to structured questionnaires. Clustering techniques enable the identification of relatively homogeneous sets of observations, maximizing internal similarity and distinction between groups, without the need for rigid a priori hypotheses (HAIR et al., 2019).</w:t>
      </w:r>
    </w:p>
    <w:p w14:paraId="09F85544" w14:textId="77777777" w:rsidR="001A6650" w:rsidRDefault="00000000">
      <w:pPr>
        <w:spacing w:line="36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Applied to the analysis of data related to AI and IP, cluster analysis reveals patterns of perception, strategies for technological appropriation, and emerging institutional arrangements. For example, grouping questionnaire responses can highlight different profiles of actors—such as public managers, researchers, and companies—regarding AI adoption, the valuation of intangible assets, and associated ethical and regulatory concerns.</w:t>
      </w:r>
    </w:p>
    <w:p w14:paraId="16EBD3B8" w14:textId="77777777" w:rsidR="001A6650" w:rsidRDefault="00000000">
      <w:pPr>
        <w:spacing w:line="36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From a quantitative perspective, methods such as </w:t>
      </w:r>
      <w:r>
        <w:rPr>
          <w:rFonts w:ascii="Times New Roman" w:eastAsia="Times New Roman" w:hAnsi="Times New Roman" w:cs="Times New Roman"/>
          <w:i/>
          <w:iCs/>
          <w:color w:val="000000"/>
          <w:sz w:val="24"/>
          <w:szCs w:val="24"/>
        </w:rPr>
        <w:t xml:space="preserve">k- means </w:t>
      </w:r>
      <w:r>
        <w:rPr>
          <w:rFonts w:ascii="Times New Roman" w:eastAsia="Times New Roman" w:hAnsi="Times New Roman" w:cs="Times New Roman"/>
          <w:color w:val="000000"/>
          <w:sz w:val="24"/>
          <w:szCs w:val="24"/>
        </w:rPr>
        <w:t>, hierarchical analysis, and density-based algorithms make it possible to explore large volumes of data, identifying latent structures and non-linear relationships. The choice of clustering method should consider the nature of the variables, the scale of the data, and the analytical objectives of the research, and is often complemented by descriptive and inferential statistical analyses to validate the clusters.</w:t>
      </w:r>
    </w:p>
    <w:p w14:paraId="7025EE4A" w14:textId="77777777" w:rsidR="001A6650" w:rsidRDefault="00000000">
      <w:pPr>
        <w:spacing w:line="36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The qualitative dimension, in turn, is fundamental for interpreting the identified clusters, attributing meaning to the observed patterns and relating them to the theoretical framework of the research. The triangulation between quantitative results and qualitative analysis helps to avoid </w:t>
      </w:r>
      <w:r>
        <w:rPr>
          <w:rFonts w:ascii="Times New Roman" w:eastAsia="Times New Roman" w:hAnsi="Times New Roman" w:cs="Times New Roman"/>
          <w:color w:val="000000"/>
          <w:sz w:val="24"/>
          <w:szCs w:val="24"/>
        </w:rPr>
        <w:lastRenderedPageBreak/>
        <w:t>reductionist interpretations and strengthens the analytical robustness of the study, especially in topics marked by normative and institutional disputes, such as intellectual property in the age of AI.</w:t>
      </w:r>
    </w:p>
    <w:p w14:paraId="7A3392C7" w14:textId="77777777" w:rsidR="001A6650" w:rsidRDefault="00000000">
      <w:pPr>
        <w:spacing w:line="36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Furthermore, cluster analysis presents strategic relevance for the formulation of public policies and innovation strategies. By identifying groupings of practices, perceptions, and challenges, this approach provides empirical support for the design of differentiated regulatory frameworks, policies to encourage innovation, and governance models adapted to the specificities of different urban contexts.</w:t>
      </w:r>
    </w:p>
    <w:p w14:paraId="2792CCE9"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qualitative-quantitative approaches associated with cluster analysis offer a robust methodological tool for investigating the interactions between Artificial Intelligence and intellectual property in smart cities. By integrating statistical rigor and interpretative depth, this methodological strategy allows us to understand not only </w:t>
      </w:r>
      <w:r>
        <w:rPr>
          <w:rFonts w:ascii="Times New Roman" w:eastAsia="Times New Roman" w:hAnsi="Times New Roman" w:cs="Times New Roman"/>
          <w:i/>
          <w:iCs/>
          <w:color w:val="000000"/>
          <w:sz w:val="24"/>
          <w:szCs w:val="24"/>
        </w:rPr>
        <w:t xml:space="preserve">what </w:t>
      </w:r>
      <w:r>
        <w:rPr>
          <w:rFonts w:ascii="Times New Roman" w:eastAsia="Times New Roman" w:hAnsi="Times New Roman" w:cs="Times New Roman"/>
          <w:color w:val="000000"/>
          <w:sz w:val="24"/>
          <w:szCs w:val="24"/>
        </w:rPr>
        <w:t xml:space="preserve">happens, but also </w:t>
      </w:r>
      <w:r>
        <w:rPr>
          <w:rFonts w:ascii="Times New Roman" w:eastAsia="Times New Roman" w:hAnsi="Times New Roman" w:cs="Times New Roman"/>
          <w:i/>
          <w:iCs/>
          <w:color w:val="000000"/>
          <w:sz w:val="24"/>
          <w:szCs w:val="24"/>
        </w:rPr>
        <w:t xml:space="preserve">how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iCs/>
          <w:color w:val="000000"/>
          <w:sz w:val="24"/>
          <w:szCs w:val="24"/>
        </w:rPr>
        <w:t xml:space="preserve">why </w:t>
      </w:r>
      <w:r>
        <w:rPr>
          <w:rFonts w:ascii="Times New Roman" w:eastAsia="Times New Roman" w:hAnsi="Times New Roman" w:cs="Times New Roman"/>
          <w:color w:val="000000"/>
          <w:sz w:val="24"/>
          <w:szCs w:val="24"/>
        </w:rPr>
        <w:t>certain patterns emerge, aligning with the analytical and explanatory objectives of this thesis.</w:t>
      </w:r>
    </w:p>
    <w:p w14:paraId="45CBE0C9" w14:textId="77777777" w:rsidR="001A6650" w:rsidRDefault="001A6650">
      <w:pPr>
        <w:spacing w:line="360" w:lineRule="auto"/>
        <w:ind w:firstLine="284"/>
        <w:jc w:val="both"/>
        <w:rPr>
          <w:rFonts w:ascii="Times New Roman" w:eastAsia="Times New Roman" w:hAnsi="Times New Roman" w:cs="Times New Roman"/>
          <w:b/>
          <w:bCs/>
          <w:color w:val="000000"/>
          <w:sz w:val="24"/>
          <w:szCs w:val="24"/>
        </w:rPr>
      </w:pPr>
    </w:p>
    <w:p w14:paraId="397B4634"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11.7 Intersection between Intellectual Property, AI and Urban Innovation</w:t>
      </w:r>
    </w:p>
    <w:p w14:paraId="494101CC"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 xml:space="preserve">The intersection between intellectual property, Artificial Intelligence, and urban innovation constitutes one of the central axes for understanding contemporary transformations in smart cities. The increasing incorporation of AI-based systems in urban management redefines the processes of creation, dissemination, and appropriation of knowledge, expanding </w:t>
      </w:r>
      <w:r>
        <w:rPr>
          <w:rFonts w:ascii="Times New Roman" w:eastAsia="Times New Roman" w:hAnsi="Times New Roman" w:cs="Times New Roman"/>
          <w:sz w:val="24"/>
          <w:szCs w:val="24"/>
        </w:rPr>
        <w:t>the relevance of intellectual property regimes as instruments of innovation governance and coordination between public and private actors.</w:t>
      </w:r>
    </w:p>
    <w:p w14:paraId="5DEEBED5"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the context of urban innovation, AI acts as a catalyst for technological solutions applied to complex problems such as mobility, security, environmental sustainability, and territorial planning. These solutions often result from the combination of urban data, proprietary algorithms, and digital infrastructures, configuring intangible assets of high economic and strategic value. The protection of these assets through intellectual property instruments directly influences the dynamics of innovation by defining incentives, barriers to entry, and possibilities for technological cooperation.</w:t>
      </w:r>
    </w:p>
    <w:p w14:paraId="2B1BD569"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Studies on urban innovation ecosystems indicate that intellectual property plays an ambiguous role in this context. On the one hand, mechanisms such as patents and copyrights can stimulate investment in research and development, ensuring economic returns for innovative agents. On the other hand, excessively restrictive regimes can limit the circulation of knowledge and hinder the implementation </w:t>
      </w:r>
      <w:r>
        <w:rPr>
          <w:rFonts w:ascii="Times New Roman" w:eastAsia="Times New Roman" w:hAnsi="Times New Roman" w:cs="Times New Roman"/>
          <w:sz w:val="24"/>
          <w:szCs w:val="24"/>
        </w:rPr>
        <w:lastRenderedPageBreak/>
        <w:t>of collaborative solutions essential to smart cities, especially when they involve public data and collective interests.</w:t>
      </w:r>
    </w:p>
    <w:p w14:paraId="65D6E36D"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Artificial intelligence intensifies this ambivalence by challenging traditional assumptions of intellectual property. Algorithms capable of learning, adapting, and autonomously generating innovative solutions strain classic concepts such as authorship, inventiveness, and originality. In the urban environment, these tensions are amplified by the participation of public authorities as users, developers, or regulators of smart technologies, requiring hybrid institutional arrangements that reconcile innovation, public interest, and legal security.</w:t>
      </w:r>
    </w:p>
    <w:p w14:paraId="7FDFB4F8"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Literature on urban innovation highlights that successful smart cities tend to adopt governance models that balance intellectual property protection and technological openness. Initiatives based on open data, flexible licensing, and public-private partnerships demonstrate that intellectual property can be used not only as an instrument of exclusivity, but also as a strategic tool to foster collaborative innovation ecosystems (CHESBROUGH, 2006).</w:t>
      </w:r>
    </w:p>
    <w:p w14:paraId="442E8F45"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this scenario, the intersection between AI, intellectual property, and urban innovation also takes on a geopolitical and strategic dimension. Control over algorithms, data, and intelligent systems becomes a factor of competitiveness among cities, regions, and countries, influencing urban development policies and strategies for technological sovereignty. Thus, intellectual property regimes become part of the set of instruments used to position smart cities in global knowledge-based value chains.</w:t>
      </w:r>
    </w:p>
    <w:p w14:paraId="493B299A"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summary, the intersection between intellectual property, Artificial Intelligence, and urban innovation reveals itself as a dynamic and multifaceted field, in which technological, legal, and institutional decisions intertwine. Understanding these interactions is fundamental to analyzing how smart cities can promote sustainable, inclusive innovation aligned with the public interest, an objective that guides the analyses developed in this thesis.</w:t>
      </w:r>
    </w:p>
    <w:p w14:paraId="7DB7C31F" w14:textId="77777777" w:rsidR="001A665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MATERIALS AND METHODS</w:t>
      </w:r>
    </w:p>
    <w:p w14:paraId="0DC575B9"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chapter presents the methodological procedures adopted in the research, which were structured to ensure scientific rigor, analytical coherence, and alignment with the proposed objectives. Considering the complexity of the interactions between Artificial Intelligence, intellectual property, and smart cities, a methodological design capable of integrating different data sources, analytical approaches, and levels of interpretation was chosen.</w:t>
      </w:r>
    </w:p>
    <w:p w14:paraId="6B41FE9D"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Initially, the research was based on a systematic analysis of national and international scientific production, conceived as a structuring stage of the study. This bibliographic analysis, conducted from a qualitative-quantitative perspective , allowed for mapping the state of the art, identifying theoretical and methodological trends, and recognizing existing gaps in the literature. In addition to supporting the conceptual framework of the research, this survey guided the definition of empirical variables, the development of the data collection instrument, and the choice of statistical procedures employed.</w:t>
      </w:r>
    </w:p>
    <w:p w14:paraId="5DD1C704"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Additionally, the chapter describes the treatment and analysis of empirical data, obtained through a structured questionnaire, with the aim of identifying patterns, associations, and trends in respondents' perceptions regarding the application of Artificial Intelligence, its impacts on innovation, individual security, and urban governance. The adoption of descriptive and inferential statistical techniques, combined with verification of the internal consistency of the constructs, ensured the analytical robustness and reliability of the results.</w:t>
      </w:r>
    </w:p>
    <w:p w14:paraId="53CCD991"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qualitative and quantitative bibliographic analysis and statistical treatment of primary data, the methodological design adopted allows for the articulation of theoretical foundations and empirical evidence in a consistent manner. This approach contributes to a comprehensive understanding of the phenomenon investigated, while ensuring transparency, replicability, and validity of the </w:t>
      </w:r>
      <w:r>
        <w:rPr>
          <w:rFonts w:ascii="Times New Roman" w:eastAsia="Times New Roman" w:hAnsi="Times New Roman" w:cs="Times New Roman"/>
          <w:color w:val="000000"/>
          <w:sz w:val="24"/>
          <w:szCs w:val="24"/>
        </w:rPr>
        <w:t>research findings.</w:t>
      </w:r>
    </w:p>
    <w:p w14:paraId="74C365D7"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12.1 Analysis of National and International Scientific Production</w:t>
      </w:r>
    </w:p>
    <w:p w14:paraId="0726E4F7"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a fundamental step in the theoretical and methodological foundation of the research, an analysis of national and international scientific production on Artificial Intelligence, intellectual property, and smart cities was carried out, adopting a bibliographic and qualitative-quantitative approach ( Giffinger et al., 2007; Batty , 2016; </w:t>
      </w:r>
      <w:proofErr w:type="spellStart"/>
      <w:r>
        <w:rPr>
          <w:rFonts w:ascii="Times New Roman" w:eastAsia="Times New Roman" w:hAnsi="Times New Roman" w:cs="Times New Roman"/>
          <w:color w:val="000000"/>
          <w:sz w:val="24"/>
          <w:szCs w:val="24"/>
        </w:rPr>
        <w:t>Alpaydin</w:t>
      </w:r>
      <w:proofErr w:type="spellEnd"/>
      <w:r>
        <w:rPr>
          <w:rFonts w:ascii="Times New Roman" w:eastAsia="Times New Roman" w:hAnsi="Times New Roman" w:cs="Times New Roman"/>
          <w:color w:val="000000"/>
          <w:sz w:val="24"/>
          <w:szCs w:val="24"/>
        </w:rPr>
        <w:t xml:space="preserve"> , 2016; WIPO, 2019). This step aimed to map the state of the art, identify theoretical trends, research gaps, and conceptual convergences, as well as to support the construction of the empirical instrument and the interpretation of statistical results ( Ansell ; Gash , 2008; OECD, 2019).</w:t>
      </w:r>
    </w:p>
    <w:p w14:paraId="7A2A94F2"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bibliographic research was conducted in recognized national and international scientific databases, encompassing scientific articles, books, institutional reports, and normative documents relevant to the topic. Priority was given to recent and widely cited publications, as well as studies considered classics in the literature on smart cities, Artificial Intelligence, innovation, and intellectual property (Schumpeter, 1942; Turing, 1950; Castells, 2019; Brynjolfsson ; McAfee, 2017). The selection of material followed criteria of thematic relevance, academic rigor, and adherence to the research objectives ( Hair et al., 2014).</w:t>
      </w:r>
    </w:p>
    <w:p w14:paraId="4EA0F11D"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From a methodological point of view, the literature review combined qualitative and quantitative procedures ( Hair et al., 2014). The quantitative dimension consisted of collecting and systematizing information regarding the frequency of themes, predominant analytical approaches, areas of knowledge involved, and recurrence of key concepts, allowing the identification of patterns and trends in scientific production ( Batty , 2016; Kitchin , 2014). The qualitative dimension focused on the interpretative analysis of the content, seeking to understand how authors address the interactions between AI, intellectual property, and urban innovation, as well as the ethical, legal, and institutional challenges associated with these technologies ( </w:t>
      </w:r>
      <w:proofErr w:type="spellStart"/>
      <w:r>
        <w:rPr>
          <w:rFonts w:ascii="Times New Roman" w:eastAsia="Times New Roman" w:hAnsi="Times New Roman" w:cs="Times New Roman"/>
          <w:color w:val="000000"/>
          <w:sz w:val="24"/>
          <w:szCs w:val="24"/>
        </w:rPr>
        <w:t>Floridi</w:t>
      </w:r>
      <w:proofErr w:type="spellEnd"/>
      <w:r>
        <w:rPr>
          <w:rFonts w:ascii="Times New Roman" w:eastAsia="Times New Roman" w:hAnsi="Times New Roman" w:cs="Times New Roman"/>
          <w:color w:val="000000"/>
          <w:sz w:val="24"/>
          <w:szCs w:val="24"/>
        </w:rPr>
        <w:t xml:space="preserve"> , 2018; Pasquale, 2015; Zuboff , 2019; O'Neil, 2016).</w:t>
      </w:r>
    </w:p>
    <w:p w14:paraId="0F4EC047"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qualitative-quantitative approach to scientific production allowed for the structuring of the research's theoretical framework in an integrated way, articulating different fields of knowledge, such as law, information science, public policy, and urban studies ( </w:t>
      </w:r>
      <w:proofErr w:type="spellStart"/>
      <w:r>
        <w:rPr>
          <w:rFonts w:ascii="Times New Roman" w:eastAsia="Times New Roman" w:hAnsi="Times New Roman" w:cs="Times New Roman"/>
          <w:color w:val="000000"/>
          <w:sz w:val="24"/>
          <w:szCs w:val="24"/>
        </w:rPr>
        <w:t>Mahlup</w:t>
      </w:r>
      <w:proofErr w:type="spellEnd"/>
      <w:r>
        <w:rPr>
          <w:rFonts w:ascii="Times New Roman" w:eastAsia="Times New Roman" w:hAnsi="Times New Roman" w:cs="Times New Roman"/>
          <w:color w:val="000000"/>
          <w:sz w:val="24"/>
          <w:szCs w:val="24"/>
        </w:rPr>
        <w:t xml:space="preserve"> , 1962; Porter &amp; </w:t>
      </w:r>
      <w:proofErr w:type="spellStart"/>
      <w:r>
        <w:rPr>
          <w:rFonts w:ascii="Times New Roman" w:eastAsia="Times New Roman" w:hAnsi="Times New Roman" w:cs="Times New Roman"/>
          <w:color w:val="000000"/>
          <w:sz w:val="24"/>
          <w:szCs w:val="24"/>
        </w:rPr>
        <w:t>Heppelmann</w:t>
      </w:r>
      <w:proofErr w:type="spellEnd"/>
      <w:r>
        <w:rPr>
          <w:rFonts w:ascii="Times New Roman" w:eastAsia="Times New Roman" w:hAnsi="Times New Roman" w:cs="Times New Roman"/>
          <w:color w:val="000000"/>
          <w:sz w:val="24"/>
          <w:szCs w:val="24"/>
        </w:rPr>
        <w:t xml:space="preserve"> , 2014; Lee &amp; Bagheri &amp; Kao , 2015). Furthermore, the results of the bibliographic analysis supported the definition of the variables investigated in the questionnaire, the choice of statistical methods employed , and the construction of the analytical categories used in the interpretation of the empirical data ( Hair et al., 2014; OECD, 2020).</w:t>
      </w:r>
    </w:p>
    <w:p w14:paraId="5B3315FE"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Thus, the analysis of national and international scientific production played a structuring role in the research, ensuring theoretical coherence, methodological consistency, and alignment between conceptual foundation and empirical analysis ( Hollands , 2008; Townsend, 2013). By integrating systematic literature review and statistical analysis of primary data, the methodology adopted enables a comprehensive and in-depth understanding of the interactions between Artificial Intelligence, intellectual property, and smart cities (WIPO, 2020; OECD, 2019).</w:t>
      </w:r>
    </w:p>
    <w:p w14:paraId="51DFA5F0" w14:textId="77777777" w:rsidR="001A665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12.2 Nature and Approach of the Research</w:t>
      </w:r>
    </w:p>
    <w:p w14:paraId="0BEDBAE9"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research is characterized as exploratory and descriptive, with a quantitative approach, oriented towards the empirical analysis of social and institutional perceptions about Artificial Intelligence (AI), its application in smart cities, implications for individual security, and impacts on innovation and intellectual property.</w:t>
      </w:r>
    </w:p>
    <w:p w14:paraId="3A284480" w14:textId="77777777" w:rsidR="001A6650" w:rsidRDefault="00000000">
      <w:pPr>
        <w:spacing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choice of a quantitative approach is justified by the need to measure perceptual patterns, identify statistically significant associations, and validate analytical constructs related to AI, as recommended in interdisciplinary studies that articulate technology, governance, and innovation.</w:t>
      </w:r>
    </w:p>
    <w:p w14:paraId="35D8C3C2" w14:textId="77777777" w:rsidR="001A6650" w:rsidRDefault="00000000">
      <w:pPr>
        <w:spacing w:line="36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 xml:space="preserve">Although the research engages theoretically with qualitative contributions from law and innovation, the methodological design adopted in this study focuses on the statistical analysis of the </w:t>
      </w:r>
      <w:r>
        <w:rPr>
          <w:rFonts w:ascii="Times New Roman" w:eastAsia="Times New Roman" w:hAnsi="Times New Roman" w:cs="Times New Roman"/>
          <w:sz w:val="24"/>
          <w:szCs w:val="24"/>
        </w:rPr>
        <w:lastRenderedPageBreak/>
        <w:t xml:space="preserve">collected data, without characterizing a </w:t>
      </w:r>
      <w:r>
        <w:rPr>
          <w:rFonts w:ascii="Times New Roman" w:eastAsia="Times New Roman" w:hAnsi="Times New Roman" w:cs="Times New Roman"/>
          <w:color w:val="000000"/>
          <w:sz w:val="24"/>
          <w:szCs w:val="24"/>
        </w:rPr>
        <w:t>formal mixed method.</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Structured questionnaire, composed of closed-ended questions on a five-point Likert scale , administered via Google Forms .</w:t>
      </w:r>
    </w:p>
    <w:p w14:paraId="57DABA79"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12.3 Type and design of the research</w:t>
      </w:r>
    </w:p>
    <w:p w14:paraId="7D309B5B" w14:textId="77777777" w:rsidR="001A6650" w:rsidRDefault="00000000">
      <w:pP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is an exploratory and descriptive study with a quantitative approach, featuring a cross-sectional and non-experimental design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since the data were collected at a single point in time without manipulation of independent variables.</w:t>
      </w:r>
    </w:p>
    <w:p w14:paraId="4CC4E55F"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design is suitable for investigations aimed at identifying perceptions, attitudes, and evaluations in contexts of rapid technological transformation, such as Artificial Intelligence, where normative, social, and technical changes occur at an accelerated pace.</w:t>
      </w:r>
    </w:p>
    <w:p w14:paraId="3B83D5ED"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12.4 Data Collection Instrument</w:t>
      </w:r>
    </w:p>
    <w:p w14:paraId="4BB2A935" w14:textId="77777777" w:rsidR="001A6650" w:rsidRDefault="00000000">
      <w:pP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data collection instrument consisted of a structured questionnaire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developed and administered, organized into thematic blocks, covering:</w:t>
      </w:r>
    </w:p>
    <w:p w14:paraId="2012345E" w14:textId="77777777" w:rsidR="001A6650"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Questions regarding the general characteristics of the respondents;</w:t>
      </w:r>
    </w:p>
    <w:p w14:paraId="756FB304" w14:textId="77777777" w:rsidR="001A6650"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Perception items regarding the application of Artificial Intelligence in smart cities;</w:t>
      </w:r>
    </w:p>
    <w:p w14:paraId="59339B7C" w14:textId="77777777" w:rsidR="001A6650"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Assessing the future importance of AI for professional sectors;</w:t>
      </w:r>
    </w:p>
    <w:p w14:paraId="2BE0C7C7" w14:textId="77777777" w:rsidR="001A6650"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Perception of the impacts of AI on individual security;</w:t>
      </w:r>
    </w:p>
    <w:p w14:paraId="695CEE10" w14:textId="77777777" w:rsidR="001A6650"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Issues related to innovation, decision-making, and data-driven governance.</w:t>
      </w:r>
    </w:p>
    <w:p w14:paraId="2D25D4AC"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central items were measured using a five-point Likert scale , ranging from 1 (not important at all) to 5 (extremely important). This scale was chosen because of its widespread use in social and technological research, as well as its suitability for descriptive, correlational, and reliability statistical analyses.</w:t>
      </w:r>
    </w:p>
    <w:p w14:paraId="1F5CA3CD"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12.5 Population and Sample</w:t>
      </w:r>
    </w:p>
    <w:p w14:paraId="4004B6BB"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population comprises individuals with some degree of contact, interest, or involvement in topics related to Artificial Intelligence, innovation, technology, or public and private management.</w:t>
      </w:r>
    </w:p>
    <w:p w14:paraId="0FE2F3CF"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sample is non-probabilistic, for convenience, consisting of 111 respondents, a number considered adequate for the proposed statistical analyses, especially non-parametric correlations and internal consistency tests.</w:t>
      </w:r>
    </w:p>
    <w:p w14:paraId="10B017CE"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sampling strategy is common in exploratory and perceptual studies, especially in emerging fields such as AI, where the central objective is to identify patterns, relationships, and trends, rather than performing strict statistical inferences for the entire population.</w:t>
      </w:r>
    </w:p>
    <w:p w14:paraId="4E8DF7E0"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12.6 Statistical Treatment and Analysis of Data</w:t>
      </w:r>
    </w:p>
    <w:p w14:paraId="376B3580"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data collected through the structured questionnaire were organized, coded, and subjected to systematic statistical treatment, aiming to ensure consistency, reliability, and analytical adequacy to the research objectives. Initially, descriptive statistical analysis was performed, with calculation of frequencies, measures of central tendency and dispersion, allowing for a general characterization of respondents' perceptions regarding Artificial Intelligence, its application in smart cities, and its impacts on innovation and individual security.</w:t>
      </w:r>
    </w:p>
    <w:p w14:paraId="26F04346"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the ordinal nature of the variables, measured using a Likert scale , an association analysis between the constructs was performed using Spearman 's correlation coefficient , a non-parametric method appropriate for identifying the intensity and direction of monotonic relationships between perceptual variables. Additionally, when applicable, Pearson's chi -squared association tests were used to verify the existence of statistical dependence between the analyzed categories.</w:t>
      </w:r>
    </w:p>
    <w:p w14:paraId="6A518AC0"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internal consistency of the variable sets was evaluated using Cronbach 's Alpha coefficient , with the aim of verifying the reliability of the items and their suitability for constructing synthetic indicators. Based on this validation, an aggregate index of Artificial Intelligence perception was developed, constructed based on the average of the items that presented satisfactory levels of reliability.</w:t>
      </w:r>
    </w:p>
    <w:p w14:paraId="5544DC0A"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observed the ethical principles applicable to scientific research. Respondent participation was voluntary, with guaranteed anonymity, confidentiality of information, and exclusive use of data for academic purposes, in accordance with good research practices in Applied Social Sciences and interdisciplinary areas. (Include the ethics committee section).</w:t>
      </w:r>
    </w:p>
    <w:p w14:paraId="4DBA41E0"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set of procedures adopted allowed for the identification of relevant patterns, associations, and trends in respondents' perceptions, ensuring statistical rigor, analytical coherence, and alignment with best methodological practices applicable to interdisciplinary quantitative research. This methodological strategy ensures scientific rigor, analytical transparency, and the possibility of future replication of the study.</w:t>
      </w:r>
    </w:p>
    <w:p w14:paraId="7D7E0AD5" w14:textId="77777777" w:rsidR="001A6650" w:rsidRDefault="001A6650">
      <w:pPr>
        <w:spacing w:line="360" w:lineRule="auto"/>
        <w:jc w:val="both"/>
        <w:rPr>
          <w:rFonts w:ascii="Times New Roman" w:eastAsia="Times New Roman" w:hAnsi="Times New Roman" w:cs="Times New Roman"/>
          <w:color w:val="000000"/>
          <w:sz w:val="24"/>
          <w:szCs w:val="24"/>
        </w:rPr>
      </w:pPr>
    </w:p>
    <w:p w14:paraId="67729320"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7098EE4" wp14:editId="44BBA66E">
            <wp:extent cx="6108700" cy="3467100"/>
            <wp:effectExtent l="0" t="0" r="0" b="0"/>
            <wp:docPr id="19275654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108700" cy="3467100"/>
                    </a:xfrm>
                    <a:prstGeom prst="rect">
                      <a:avLst/>
                    </a:prstGeom>
                    <a:ln/>
                  </pic:spPr>
                </pic:pic>
              </a:graphicData>
            </a:graphic>
          </wp:inline>
        </w:drawing>
      </w:r>
    </w:p>
    <w:p w14:paraId="3183154F" w14:textId="77777777" w:rsidR="001A6650" w:rsidRDefault="001A6650">
      <w:pPr>
        <w:spacing w:line="360" w:lineRule="auto"/>
        <w:jc w:val="both"/>
        <w:rPr>
          <w:rFonts w:ascii="Times New Roman" w:eastAsia="Times New Roman" w:hAnsi="Times New Roman" w:cs="Times New Roman"/>
          <w:b/>
          <w:bCs/>
          <w:color w:val="000000"/>
          <w:sz w:val="24"/>
          <w:szCs w:val="24"/>
        </w:rPr>
      </w:pPr>
    </w:p>
    <w:p w14:paraId="0CD533A5"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 RESULTS AND DISCUSSION</w:t>
      </w:r>
    </w:p>
    <w:p w14:paraId="6A2B0067" w14:textId="77777777" w:rsidR="001A6650" w:rsidRDefault="00000000">
      <w:pPr>
        <w:pBdr>
          <w:top w:val="nil"/>
          <w:left w:val="nil"/>
          <w:bottom w:val="nil"/>
          <w:right w:val="nil"/>
          <w:between w:val="nil"/>
        </w:pBdr>
        <w:spacing w:before="280" w:after="280"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presents the empirical results obtained, organized according to the analytical variables defined in the methodological design, articulating qualitative and quantitative evidence in an integrated manner ( Hair et al., 2014; Ansell ; Gash , 2008). The presentation is carried out in a technical and structured way, including a descriptive, relational, and preliminary interpretative analysis of the findings ( Batty , 2016; Kitchin , 2014).</w:t>
      </w:r>
    </w:p>
    <w:p w14:paraId="0EBB69DB" w14:textId="77777777" w:rsidR="001A6650" w:rsidRDefault="00000000">
      <w:pPr>
        <w:pBdr>
          <w:top w:val="nil"/>
          <w:left w:val="nil"/>
          <w:bottom w:val="nil"/>
          <w:right w:val="nil"/>
          <w:between w:val="nil"/>
        </w:pBdr>
        <w:spacing w:before="280" w:after="280"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part, the results indicate: (i) asymmetry in the level of institutional maturity regarding the strategic management of intellectual property in digitized urban contexts (WIPO, 2017; WIPO, 2019); ( ii ) accelerated expansion of Artificial Intelligence applications in public management, especially in mobility, security, and predictive data analysis (OECD, 2019; McKinsey Global Institute , 2018); ( iii ) regulatory gaps and challenges in harmonizing norms between technological innovation and the protection of fundamental rights ( </w:t>
      </w:r>
      <w:proofErr w:type="spellStart"/>
      <w:r>
        <w:rPr>
          <w:rFonts w:ascii="Times New Roman" w:eastAsia="Times New Roman" w:hAnsi="Times New Roman" w:cs="Times New Roman"/>
          <w:color w:val="000000"/>
          <w:sz w:val="24"/>
          <w:szCs w:val="24"/>
        </w:rPr>
        <w:t>Floridi</w:t>
      </w:r>
      <w:proofErr w:type="spellEnd"/>
      <w:r>
        <w:rPr>
          <w:rFonts w:ascii="Times New Roman" w:eastAsia="Times New Roman" w:hAnsi="Times New Roman" w:cs="Times New Roman"/>
          <w:color w:val="000000"/>
          <w:sz w:val="24"/>
          <w:szCs w:val="24"/>
        </w:rPr>
        <w:t xml:space="preserve"> et al., 2018; Pasquale, 2015; Brazil, 2018); and ( iv ) a significant correlation between the existence of formal technological governance structures and greater capacity for integration between innovation policies and urban planning (OECD, 2020; Chamber of Deputies, 2021).</w:t>
      </w:r>
    </w:p>
    <w:p w14:paraId="46D8A264" w14:textId="77777777" w:rsidR="001A6650" w:rsidRDefault="00000000">
      <w:pPr>
        <w:pBdr>
          <w:top w:val="nil"/>
          <w:left w:val="nil"/>
          <w:bottom w:val="nil"/>
          <w:right w:val="nil"/>
          <w:between w:val="nil"/>
        </w:pBdr>
        <w:spacing w:before="280" w:after="280"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qualitative axis, the thematic analysis revealed recurring patterns related to the need for adaptive regulatory frameworks, strengthening data governance, and institutionalizing practices for </w:t>
      </w:r>
      <w:r>
        <w:rPr>
          <w:rFonts w:ascii="Times New Roman" w:eastAsia="Times New Roman" w:hAnsi="Times New Roman" w:cs="Times New Roman"/>
          <w:color w:val="000000"/>
          <w:sz w:val="24"/>
          <w:szCs w:val="24"/>
        </w:rPr>
        <w:lastRenderedPageBreak/>
        <w:t>protecting intangible assets generated by AI-based systems (WIPO, 2020; Cavoukian , 2011). Furthermore, discursive convergence was observed regarding the importance of system interoperability and inter-institutional coordination as critical success factors ( European Commission, 2019; ISO, 2018).</w:t>
      </w:r>
    </w:p>
    <w:p w14:paraId="7FDABA21" w14:textId="77777777" w:rsidR="001A6650" w:rsidRDefault="00000000">
      <w:pPr>
        <w:pBdr>
          <w:top w:val="nil"/>
          <w:left w:val="nil"/>
          <w:bottom w:val="nil"/>
          <w:right w:val="nil"/>
          <w:between w:val="nil"/>
        </w:pBdr>
        <w:spacing w:before="280" w:after="280"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quantitative terms, descriptive analyses revealed significant variations among the institutional contexts examined, particularly regarding the degree of formalization of innovation policies and the adoption of intellectual property protection instruments (Schumpeter, 1942; Porter; </w:t>
      </w:r>
      <w:proofErr w:type="spellStart"/>
      <w:r>
        <w:rPr>
          <w:rFonts w:ascii="Times New Roman" w:eastAsia="Times New Roman" w:hAnsi="Times New Roman" w:cs="Times New Roman"/>
          <w:color w:val="000000"/>
          <w:sz w:val="24"/>
          <w:szCs w:val="24"/>
        </w:rPr>
        <w:t>Heppelmann</w:t>
      </w:r>
      <w:proofErr w:type="spellEnd"/>
      <w:r>
        <w:rPr>
          <w:rFonts w:ascii="Times New Roman" w:eastAsia="Times New Roman" w:hAnsi="Times New Roman" w:cs="Times New Roman"/>
          <w:color w:val="000000"/>
          <w:sz w:val="24"/>
          <w:szCs w:val="24"/>
        </w:rPr>
        <w:t xml:space="preserve"> , 2014). Preliminary comparative analyses suggest a positive association between digital strategic planning and perceived performance in administrative efficiency and urban innovation ( Brynjolfsson ; McAfee, 2017; Lee; Bagheri ; Kao , 2015).</w:t>
      </w:r>
    </w:p>
    <w:p w14:paraId="05238219" w14:textId="77777777" w:rsidR="001A6650" w:rsidRDefault="00000000">
      <w:pPr>
        <w:pBdr>
          <w:top w:val="nil"/>
          <w:left w:val="nil"/>
          <w:bottom w:val="nil"/>
          <w:right w:val="nil"/>
          <w:between w:val="nil"/>
        </w:pBdr>
        <w:spacing w:before="280" w:after="280"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discussion that follows delves deeper into the interpretation of these results in light of the theoretical framework and normative framework analyzed, seeking to identify structural implications, convergences with the literature, and possible contributions to the development of applied guidelines aimed at the governance of Artificial Intelligence and Intellectual Property in smart cities ( Giffinger et al., 2007; Townsend, 2013; Hollands , 2008).</w:t>
      </w:r>
    </w:p>
    <w:p w14:paraId="3E42A12B" w14:textId="77777777" w:rsidR="001A6650" w:rsidRDefault="00000000">
      <w:pPr>
        <w:pBdr>
          <w:top w:val="nil"/>
          <w:left w:val="nil"/>
          <w:bottom w:val="nil"/>
          <w:right w:val="nil"/>
          <w:between w:val="nil"/>
        </w:pBdr>
        <w:spacing w:before="280" w:after="280"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13.1 Analysis of National and International Scientific Production</w:t>
      </w:r>
    </w:p>
    <w:p w14:paraId="1D2DCF48"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Analysis of national and international scientific output has revealed significant and continuous growth in research related to Artificial Intelligence, smart cities, and intellectual property over the past two decades, with a more pronounced acceleration since the 2010s ( </w:t>
      </w:r>
      <w:proofErr w:type="spellStart"/>
      <w:r>
        <w:rPr>
          <w:rFonts w:ascii="Times New Roman" w:eastAsia="Times New Roman" w:hAnsi="Times New Roman" w:cs="Times New Roman"/>
          <w:color w:val="000000"/>
          <w:sz w:val="24"/>
          <w:szCs w:val="24"/>
        </w:rPr>
        <w:t>Alpaydin</w:t>
      </w:r>
      <w:proofErr w:type="spellEnd"/>
      <w:r>
        <w:rPr>
          <w:rFonts w:ascii="Times New Roman" w:eastAsia="Times New Roman" w:hAnsi="Times New Roman" w:cs="Times New Roman"/>
          <w:color w:val="000000"/>
          <w:sz w:val="24"/>
          <w:szCs w:val="24"/>
        </w:rPr>
        <w:t xml:space="preserve"> , 2016; OECD, 2019; WIPO, 2019). This growth accompanies the consolidation of AI as a structuring technology and the expansion of the use of data and algorithmic systems in urban, productive, and institutional contexts ( Batty , 2016; Kitchin , 2014; Brynjolfsson ; McAfee, 2017).</w:t>
      </w:r>
    </w:p>
    <w:p w14:paraId="0175BCC6"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synthesis of Brazilian scientific production shows that the national debate on Artificial Intelligence, intellectual property, and smart cities is in a process of consolidation, marked by a strong normative and institutional orientation, as we can observe in Table 1 (Brazil, 1996; Brazil, 2018; Chamber of Deputies, 2021). The predominance of legal and public policy studies reflects the need to adapt regulatory frameworks to technological transformations, especially in a country characterized by socioeconomic asymmetries and structural limitations in state capacity (Santos, 2010; OECD, 2020).</w:t>
      </w:r>
    </w:p>
    <w:p w14:paraId="1CD7B393"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national literature makes a significant contribution to the ethical, legal, and institutional discussion of AI, there is a significant gap in the production of quantitative empirical studies and in </w:t>
      </w:r>
      <w:r>
        <w:rPr>
          <w:rFonts w:ascii="Times New Roman" w:eastAsia="Times New Roman" w:hAnsi="Times New Roman" w:cs="Times New Roman"/>
          <w:color w:val="000000"/>
          <w:sz w:val="24"/>
          <w:szCs w:val="24"/>
        </w:rPr>
        <w:lastRenderedPageBreak/>
        <w:t>the effective integration between the fields of Artificial Intelligence, intellectual property, and urban innovation (WIPO, 2020; Hollands , 2008). This fragmentation limits the systemic understanding of the impacts of AI on Brazilian cities and reduces the capacity to formulate public policies based on empirical evidence (McKinsey Global Institute , 2018; OECD, 2019).</w:t>
      </w:r>
    </w:p>
    <w:p w14:paraId="1A10D85C"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sense, the results of the bibliographic analysis indicate the need for research that goes beyond normative discussion, incorporating quantitative methods, data analysis, and integrated approaches ( Hair et al., 2014; Lee; Bagheri ; Kao , 2015). The present study directly addresses this gap by combining analysis of national scientific production with empirical research based on surveys and cluster analysis, contributing to the strengthening of the field and to the formulation of data-driven urban innovation strategies in the Brazilian context (Porter; </w:t>
      </w:r>
      <w:proofErr w:type="spellStart"/>
      <w:r>
        <w:rPr>
          <w:rFonts w:ascii="Times New Roman" w:eastAsia="Times New Roman" w:hAnsi="Times New Roman" w:cs="Times New Roman"/>
          <w:color w:val="000000"/>
          <w:sz w:val="24"/>
          <w:szCs w:val="24"/>
        </w:rPr>
        <w:t>Heppelmann</w:t>
      </w:r>
      <w:proofErr w:type="spellEnd"/>
      <w:r>
        <w:rPr>
          <w:rFonts w:ascii="Times New Roman" w:eastAsia="Times New Roman" w:hAnsi="Times New Roman" w:cs="Times New Roman"/>
          <w:color w:val="000000"/>
          <w:sz w:val="24"/>
          <w:szCs w:val="24"/>
        </w:rPr>
        <w:t xml:space="preserve"> , 2014; Schumpeter, 1942).</w:t>
      </w:r>
    </w:p>
    <w:p w14:paraId="13490B1E" w14:textId="77777777" w:rsidR="001A6650" w:rsidRDefault="00000000">
      <w:pPr>
        <w:spacing w:line="360" w:lineRule="auto"/>
        <w:ind w:firstLine="14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Table 3. </w:t>
      </w:r>
      <w:r>
        <w:rPr>
          <w:rFonts w:ascii="Times New Roman" w:eastAsia="Times New Roman" w:hAnsi="Times New Roman" w:cs="Times New Roman"/>
          <w:color w:val="000000"/>
          <w:sz w:val="24"/>
          <w:szCs w:val="24"/>
        </w:rPr>
        <w:t>Summary of Brazilian Scientific Production on Artificial Intelligence, Intellectual Property, and Smart Cities.</w:t>
      </w:r>
    </w:p>
    <w:tbl>
      <w:tblPr>
        <w:tblStyle w:val="a"/>
        <w:tblW w:w="9638" w:type="dxa"/>
        <w:tblInd w:w="0" w:type="dxa"/>
        <w:tblLayout w:type="fixed"/>
        <w:tblLook w:val="0400" w:firstRow="0" w:lastRow="0" w:firstColumn="0" w:lastColumn="0" w:noHBand="0" w:noVBand="1"/>
      </w:tblPr>
      <w:tblGrid>
        <w:gridCol w:w="2220"/>
        <w:gridCol w:w="7418"/>
      </w:tblGrid>
      <w:tr w:rsidR="001A6650" w14:paraId="6962983F" w14:textId="77777777">
        <w:trPr>
          <w:tblHeader/>
        </w:trPr>
        <w:tc>
          <w:tcPr>
            <w:tcW w:w="2220" w:type="dxa"/>
            <w:vAlign w:val="center"/>
          </w:tcPr>
          <w:p w14:paraId="743C36E1" w14:textId="77777777" w:rsidR="001A6650" w:rsidRDefault="00000000">
            <w:pPr>
              <w:spacing w:line="360" w:lineRule="auto"/>
              <w:ind w:firstLine="14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Analytical Dimension</w:t>
            </w:r>
          </w:p>
        </w:tc>
        <w:tc>
          <w:tcPr>
            <w:tcW w:w="7418" w:type="dxa"/>
            <w:vAlign w:val="center"/>
          </w:tcPr>
          <w:p w14:paraId="4512480B" w14:textId="77777777" w:rsidR="001A6650" w:rsidRDefault="00000000">
            <w:pPr>
              <w:spacing w:line="360" w:lineRule="auto"/>
              <w:ind w:firstLine="14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Main Characteristics of Brazilian Scientific Production</w:t>
            </w:r>
          </w:p>
        </w:tc>
      </w:tr>
      <w:tr w:rsidR="001A6650" w14:paraId="279A889B" w14:textId="77777777">
        <w:tc>
          <w:tcPr>
            <w:tcW w:w="2220" w:type="dxa"/>
            <w:vAlign w:val="center"/>
          </w:tcPr>
          <w:p w14:paraId="0677A951"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Volume and evolution of publications</w:t>
            </w:r>
          </w:p>
        </w:tc>
        <w:tc>
          <w:tcPr>
            <w:tcW w:w="7418" w:type="dxa"/>
            <w:vAlign w:val="center"/>
          </w:tcPr>
          <w:p w14:paraId="37A748A4"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Gradual growth from the 2010s onwards, with recent intensification driven by the expansion of AI, the smart cities agenda and national regulatory debates (OECD, 2019; WIPO, 2019)</w:t>
            </w:r>
          </w:p>
        </w:tc>
      </w:tr>
      <w:tr w:rsidR="001A6650" w14:paraId="58252C2A" w14:textId="77777777">
        <w:tc>
          <w:tcPr>
            <w:tcW w:w="2220" w:type="dxa"/>
            <w:vAlign w:val="center"/>
          </w:tcPr>
          <w:p w14:paraId="6E7771A8"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Predominant areas of knowledge</w:t>
            </w:r>
          </w:p>
        </w:tc>
        <w:tc>
          <w:tcPr>
            <w:tcW w:w="7418" w:type="dxa"/>
            <w:vAlign w:val="center"/>
          </w:tcPr>
          <w:p w14:paraId="77502194"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Law, Public Policy, Information Science, Public Administration and Interdisciplinary Studies (Chamber of Deputies, 2021)</w:t>
            </w:r>
          </w:p>
        </w:tc>
      </w:tr>
      <w:tr w:rsidR="001A6650" w14:paraId="45EC3F94" w14:textId="77777777">
        <w:tc>
          <w:tcPr>
            <w:tcW w:w="2220" w:type="dxa"/>
            <w:vAlign w:val="center"/>
          </w:tcPr>
          <w:p w14:paraId="251C3BC6"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Central theoretical approach</w:t>
            </w:r>
          </w:p>
        </w:tc>
        <w:tc>
          <w:tcPr>
            <w:tcW w:w="7418" w:type="dxa"/>
            <w:vAlign w:val="center"/>
          </w:tcPr>
          <w:p w14:paraId="472DDFB7"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Legal, institutional and regulatory impacts of Artificial Intelligence, with emphasis on legal certainty, governance and protection of fundamental rights (Brazil, 2018; </w:t>
            </w:r>
            <w:proofErr w:type="spellStart"/>
            <w:r>
              <w:rPr>
                <w:rFonts w:ascii="Times New Roman" w:eastAsia="Times New Roman" w:hAnsi="Times New Roman" w:cs="Times New Roman"/>
                <w:color w:val="000000"/>
                <w:sz w:val="24"/>
                <w:szCs w:val="24"/>
              </w:rPr>
              <w:t>Floridi</w:t>
            </w:r>
            <w:proofErr w:type="spellEnd"/>
            <w:r>
              <w:rPr>
                <w:rFonts w:ascii="Times New Roman" w:eastAsia="Times New Roman" w:hAnsi="Times New Roman" w:cs="Times New Roman"/>
                <w:color w:val="000000"/>
                <w:sz w:val="24"/>
                <w:szCs w:val="24"/>
              </w:rPr>
              <w:t xml:space="preserve"> et al., 2018)</w:t>
            </w:r>
          </w:p>
        </w:tc>
      </w:tr>
      <w:tr w:rsidR="001A6650" w14:paraId="66E7FFD7" w14:textId="77777777">
        <w:tc>
          <w:tcPr>
            <w:tcW w:w="2220" w:type="dxa"/>
            <w:vAlign w:val="center"/>
          </w:tcPr>
          <w:p w14:paraId="134FF147"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Artificial Intelligence Treatment</w:t>
            </w:r>
          </w:p>
        </w:tc>
        <w:tc>
          <w:tcPr>
            <w:tcW w:w="7418" w:type="dxa"/>
            <w:vAlign w:val="center"/>
          </w:tcPr>
          <w:p w14:paraId="7CE7E278"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Predominantly conceptual and normative, addressing risks, ethical challenges, algorithmic responsibility, and the need for regulation (O'Neil, 2016; Pasquale, 2015)</w:t>
            </w:r>
          </w:p>
        </w:tc>
      </w:tr>
      <w:tr w:rsidR="001A6650" w14:paraId="4716111B" w14:textId="77777777">
        <w:tc>
          <w:tcPr>
            <w:tcW w:w="2220" w:type="dxa"/>
            <w:vAlign w:val="center"/>
          </w:tcPr>
          <w:p w14:paraId="6D4ECAD2"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approach to smart cities</w:t>
            </w:r>
          </w:p>
        </w:tc>
        <w:tc>
          <w:tcPr>
            <w:tcW w:w="7418" w:type="dxa"/>
            <w:vAlign w:val="center"/>
          </w:tcPr>
          <w:p w14:paraId="02C7D3D4"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Associated with urban governance, digital transformation of the State and the use of technologies to improve public services ( Batty , 2016; Townsend, 2013)</w:t>
            </w:r>
          </w:p>
        </w:tc>
      </w:tr>
      <w:tr w:rsidR="001A6650" w14:paraId="69469A6D" w14:textId="77777777">
        <w:tc>
          <w:tcPr>
            <w:tcW w:w="2220" w:type="dxa"/>
            <w:vAlign w:val="center"/>
          </w:tcPr>
          <w:p w14:paraId="349B0F47"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Intellectual property</w:t>
            </w:r>
          </w:p>
        </w:tc>
        <w:tc>
          <w:tcPr>
            <w:tcW w:w="7418" w:type="dxa"/>
            <w:vAlign w:val="center"/>
          </w:tcPr>
          <w:p w14:paraId="3BA5F8CD"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Analyzed as an instrument of legal protection, stimulus for innovation and institutional security, with a focus on patents, software and intangible assets (Brazil, 1996; WIPO, 2017)</w:t>
            </w:r>
          </w:p>
        </w:tc>
      </w:tr>
      <w:tr w:rsidR="001A6650" w14:paraId="7E5AA42C" w14:textId="77777777">
        <w:tc>
          <w:tcPr>
            <w:tcW w:w="2220" w:type="dxa"/>
            <w:vAlign w:val="center"/>
          </w:tcPr>
          <w:p w14:paraId="549F2C27"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Integration of AI, IP, and smart cities</w:t>
            </w:r>
          </w:p>
        </w:tc>
        <w:tc>
          <w:tcPr>
            <w:tcW w:w="7418" w:type="dxa"/>
            <w:vAlign w:val="center"/>
          </w:tcPr>
          <w:p w14:paraId="796DA4DD"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Still incipient and fragmented, with few studies empirically articulating the three elements ( Hollands , 2008; WIPO, 2020).</w:t>
            </w:r>
          </w:p>
        </w:tc>
      </w:tr>
      <w:tr w:rsidR="001A6650" w14:paraId="2C7E6943" w14:textId="77777777">
        <w:tc>
          <w:tcPr>
            <w:tcW w:w="2220" w:type="dxa"/>
            <w:vAlign w:val="center"/>
          </w:tcPr>
          <w:p w14:paraId="76592FC8"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Predominant methodologies</w:t>
            </w:r>
          </w:p>
        </w:tc>
        <w:tc>
          <w:tcPr>
            <w:tcW w:w="7418" w:type="dxa"/>
            <w:vAlign w:val="center"/>
          </w:tcPr>
          <w:p w14:paraId="568AF8FA"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Qualitative, exploratory, and theoretical, with strong use of normative analysis and literature review ( Hair et al., 2014).</w:t>
            </w:r>
          </w:p>
        </w:tc>
      </w:tr>
      <w:tr w:rsidR="001A6650" w14:paraId="4016D086" w14:textId="77777777">
        <w:tc>
          <w:tcPr>
            <w:tcW w:w="2220" w:type="dxa"/>
            <w:vAlign w:val="center"/>
          </w:tcPr>
          <w:p w14:paraId="0898EC09"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empirical data</w:t>
            </w:r>
          </w:p>
        </w:tc>
        <w:tc>
          <w:tcPr>
            <w:tcW w:w="7418" w:type="dxa"/>
            <w:vAlign w:val="center"/>
          </w:tcPr>
          <w:p w14:paraId="6DA3CDB0"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with a low incidence of surveys , statistical analyses, or multivariate methods ( Hair et al., 2014).</w:t>
            </w:r>
          </w:p>
        </w:tc>
      </w:tr>
      <w:tr w:rsidR="001A6650" w14:paraId="1DA791FD" w14:textId="77777777">
        <w:tc>
          <w:tcPr>
            <w:tcW w:w="2220" w:type="dxa"/>
            <w:vAlign w:val="center"/>
          </w:tcPr>
          <w:p w14:paraId="464A7A9F"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Critical perspective</w:t>
            </w:r>
          </w:p>
        </w:tc>
        <w:tc>
          <w:tcPr>
            <w:tcW w:w="7418" w:type="dxa"/>
            <w:vAlign w:val="center"/>
          </w:tcPr>
          <w:p w14:paraId="324F0CB7"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presence of critical analyses on inequality, state capacity, data protection and the risks of automation ( Zuboff , 2019; Eubanks , 2018)</w:t>
            </w:r>
          </w:p>
        </w:tc>
      </w:tr>
      <w:tr w:rsidR="001A6650" w14:paraId="33DD2B00" w14:textId="77777777">
        <w:tc>
          <w:tcPr>
            <w:tcW w:w="2220" w:type="dxa"/>
            <w:vAlign w:val="center"/>
          </w:tcPr>
          <w:p w14:paraId="409851A7"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of national literature</w:t>
            </w:r>
          </w:p>
        </w:tc>
        <w:tc>
          <w:tcPr>
            <w:tcW w:w="7418" w:type="dxa"/>
            <w:vAlign w:val="center"/>
          </w:tcPr>
          <w:p w14:paraId="2E815D18"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Normative and institutional foundation, adaptation of global debates to the Brazilian socioeconomic reality (Santos, 2010; OECD, 2020)</w:t>
            </w:r>
          </w:p>
        </w:tc>
      </w:tr>
      <w:tr w:rsidR="001A6650" w14:paraId="2202E095" w14:textId="77777777">
        <w:tc>
          <w:tcPr>
            <w:tcW w:w="2220" w:type="dxa"/>
            <w:vAlign w:val="center"/>
          </w:tcPr>
          <w:p w14:paraId="46C76B34"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Recurring limitations</w:t>
            </w:r>
          </w:p>
        </w:tc>
        <w:tc>
          <w:tcPr>
            <w:tcW w:w="7418" w:type="dxa"/>
            <w:vAlign w:val="center"/>
          </w:tcPr>
          <w:p w14:paraId="6B687950"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Scarcity of applied quantitative studies, low methodological integration, and few works focused on AI-based urban innovation (WIPO, 2020; McKinsey Global Institute , 2018).</w:t>
            </w:r>
          </w:p>
        </w:tc>
      </w:tr>
    </w:tbl>
    <w:p w14:paraId="636E8AF8"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analysis of Brazilian scientific production on Artificial Intelligence, intellectual property, and smart cities therefore confirms a field in consolidation, with strong normative and institutional density, but still demanding empirical deepening and methodological integration, especially with regard to the articulation between technological governance, urban innovation, and the protection of intangible assets ( Ansell ; Gash , 2008; Porter; </w:t>
      </w:r>
      <w:proofErr w:type="spellStart"/>
      <w:r>
        <w:rPr>
          <w:rFonts w:ascii="Times New Roman" w:eastAsia="Times New Roman" w:hAnsi="Times New Roman" w:cs="Times New Roman"/>
          <w:color w:val="000000"/>
          <w:sz w:val="24"/>
          <w:szCs w:val="24"/>
        </w:rPr>
        <w:t>Heppelmann</w:t>
      </w:r>
      <w:proofErr w:type="spellEnd"/>
      <w:r>
        <w:rPr>
          <w:rFonts w:ascii="Times New Roman" w:eastAsia="Times New Roman" w:hAnsi="Times New Roman" w:cs="Times New Roman"/>
          <w:color w:val="000000"/>
          <w:sz w:val="24"/>
          <w:szCs w:val="24"/>
        </w:rPr>
        <w:t xml:space="preserve"> , 2014).</w:t>
      </w:r>
    </w:p>
    <w:p w14:paraId="22D639F1"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observed that research developed in Brazil is predominantly concentrated in the areas of Law, Public Policy, and Information Science (Chamber of Deputies, 2021; OECD, 2020). This configuration reflects the centrality of normative and institutional concerns in the national debate, especially regarding legal certainty, the protection of fundamental rights, and the State's capacity to regulate and govern technologies based on Artificial Intelligence (Brazil, 2018; </w:t>
      </w:r>
      <w:proofErr w:type="spellStart"/>
      <w:r>
        <w:rPr>
          <w:rFonts w:ascii="Times New Roman" w:eastAsia="Times New Roman" w:hAnsi="Times New Roman" w:cs="Times New Roman"/>
          <w:color w:val="000000"/>
          <w:sz w:val="24"/>
          <w:szCs w:val="24"/>
        </w:rPr>
        <w:t>Floridi</w:t>
      </w:r>
      <w:proofErr w:type="spellEnd"/>
      <w:r>
        <w:rPr>
          <w:rFonts w:ascii="Times New Roman" w:eastAsia="Times New Roman" w:hAnsi="Times New Roman" w:cs="Times New Roman"/>
          <w:color w:val="000000"/>
          <w:sz w:val="24"/>
          <w:szCs w:val="24"/>
        </w:rPr>
        <w:t xml:space="preserve"> et al., 2018). Unlike international contexts more oriented towards technical application and urban experimentation, </w:t>
      </w:r>
      <w:r>
        <w:rPr>
          <w:rFonts w:ascii="Times New Roman" w:eastAsia="Times New Roman" w:hAnsi="Times New Roman" w:cs="Times New Roman"/>
          <w:color w:val="000000"/>
          <w:sz w:val="24"/>
          <w:szCs w:val="24"/>
        </w:rPr>
        <w:lastRenderedPageBreak/>
        <w:t>the Brazilian scenario prioritizes conceptual and critical analyses, focused on adapting regulatory models to the socioeconomic specificities of the country (Santos, 2010).</w:t>
      </w:r>
    </w:p>
    <w:p w14:paraId="0F7990F8"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Regarding Artificial Intelligence, the national literature tends to address the technology in a predominantly conceptual and normative way, emphasizing ethical challenges, risks associated with the automation of decisions, algorithmic responsibility, and impacts on individual and collective rights (O'Neil, 2016; Pasquale, 2015; WIPO, 2020). Although there is recognition of AI's potential for improving public services and for urban innovation, empirical studies evaluating its concrete implementation in Brazilian cities, as well as its measurable effects on administrative efficiency and quality of life, are still limited (McKinsey Global Institute , 2018; OECD, 2019).</w:t>
      </w:r>
    </w:p>
    <w:p w14:paraId="45BB3955"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approach to smart cities in national scientific production is strongly associated with discussions on urban governance, the digital transformation of the State, and the strategic use of technologies for the modernization of public administration ( Batty , 2016; Townsend, 2013). Cities are frequently analyzed as spaces for institutional experimentation, in which both opportunities for innovation and risks of deepening social inequalities manifest themselves ( Hollands , 2008; Zuboff , 2019). In this sense, Brazilian literature demonstrates critical sensitivity to the specificities of the national urban context, marked by territorial heterogeneity, socioeconomic inequality, and limitations in digital infrastructure (Santos, 2010).</w:t>
      </w:r>
    </w:p>
    <w:p w14:paraId="3A935768"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Intellectual property, in turn, occupies a relevant position in national studies, being treated mainly as a legal instrument for the protection of innovation and the guarantee of institutional security (Brazil, 1996; WIPO, 2017). Analyses focus on patents, software, and intangible assets, highlighting the challenges of adapting traditional protection regimes to digital technologies and Artificial Intelligence (WIPO, 2019). However, the integration between intellectual property and AI-based urban innovation is still fragmented, with few studies exploring IP as a governance instrument for smart cities (WIPO, 2020).</w:t>
      </w:r>
    </w:p>
    <w:p w14:paraId="418D0F57"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a methodological standpoint, Brazilian scientific production is characterized by the predominance of qualitative, exploratory, and theoretical approaches, with limited use of quantitative methods and advanced statistical analyses ( Hair et al., 2014). This characteristic highlights a significant gap in the field, especially regarding the use of empirical data to assess perceptions, practices, and impacts of AI and intellectual property in urban contexts. The low incidence of qualitative-quantitative studies limits the possibility of generalizing the results and formulating evidence-based public policies (OECD, 2019).</w:t>
      </w:r>
    </w:p>
    <w:p w14:paraId="5B925F49"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strong presence of a critical perspective in the national literature, however, constitutes a relevant contribution to the debate. Brazilian studies emphasize issues related to inequality, state capacity, the protection of personal data, and the risks of automation, offering important counterpoints to the technocratic narratives frequently associated with smart cities ( Eubanks , 2018; Zuboff , 2019). This critical approach reinforces the need for urban innovation models that consider not only efficiency and competitiveness, but also social inclusion, transparency, and public accountability ( Ansell ; Gash , 2008).</w:t>
      </w:r>
    </w:p>
    <w:p w14:paraId="195E55D4"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summary, the national landscape of scientific production on Artificial Intelligence, intellectual property, and smart cities reveals important conceptual advances, but also significant methodological and empirical limitations (Chamber of Deputies, 2021; WIPO, 2020). The analyzed summary shows that, although Brazil contributes significantly to the normative and institutional discussion, there is a need to expand integrated empirical research capable of articulating technology, law, and urban governance (Porter; </w:t>
      </w:r>
      <w:proofErr w:type="spellStart"/>
      <w:proofErr w:type="gramStart"/>
      <w:r>
        <w:rPr>
          <w:rFonts w:ascii="Times New Roman" w:eastAsia="Times New Roman" w:hAnsi="Times New Roman" w:cs="Times New Roman"/>
          <w:color w:val="000000"/>
          <w:sz w:val="24"/>
          <w:szCs w:val="24"/>
        </w:rPr>
        <w:t>Heppelmann</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2014). In this context, the present study stands out as an original contribution by proposing a qualitative-quantitative and empirical approach, aligned with the gaps identified in the national literature and oriented towards understanding the challenges and opportunities of AI-based urban innovation in the country ( Hair et al., 2014).</w:t>
      </w:r>
    </w:p>
    <w:p w14:paraId="530F657B"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international arena, there is a strong predominance of studies originating from the fields of computer science, engineering, urban studies, and innovation economics ( </w:t>
      </w:r>
      <w:proofErr w:type="spellStart"/>
      <w:r>
        <w:rPr>
          <w:rFonts w:ascii="Times New Roman" w:eastAsia="Times New Roman" w:hAnsi="Times New Roman" w:cs="Times New Roman"/>
          <w:color w:val="000000"/>
          <w:sz w:val="24"/>
          <w:szCs w:val="24"/>
        </w:rPr>
        <w:t>Alpaydin</w:t>
      </w:r>
      <w:proofErr w:type="spellEnd"/>
      <w:r>
        <w:rPr>
          <w:rFonts w:ascii="Times New Roman" w:eastAsia="Times New Roman" w:hAnsi="Times New Roman" w:cs="Times New Roman"/>
          <w:color w:val="000000"/>
          <w:sz w:val="24"/>
          <w:szCs w:val="24"/>
        </w:rPr>
        <w:t xml:space="preserve"> , 2016; Lee; Bagheri ; Kao , 2015; Giffinger et al., 2007). These works largely focus on the technical application of AI for the optimization of urban services, energy efficiency, smart mobility, and data-driven management ( Batty , 2016; McKinsey Global Institute , 2018). Simultaneously, there is a growing number of publications addressing regulatory, ethical, and governance aspects, especially in interdisciplinary journals that articulate technology, public policy, and law ( </w:t>
      </w:r>
      <w:proofErr w:type="spellStart"/>
      <w:r>
        <w:rPr>
          <w:rFonts w:ascii="Times New Roman" w:eastAsia="Times New Roman" w:hAnsi="Times New Roman" w:cs="Times New Roman"/>
          <w:color w:val="000000"/>
          <w:sz w:val="24"/>
          <w:szCs w:val="24"/>
        </w:rPr>
        <w:t>Floridi</w:t>
      </w:r>
      <w:proofErr w:type="spellEnd"/>
      <w:r>
        <w:rPr>
          <w:rFonts w:ascii="Times New Roman" w:eastAsia="Times New Roman" w:hAnsi="Times New Roman" w:cs="Times New Roman"/>
          <w:color w:val="000000"/>
          <w:sz w:val="24"/>
          <w:szCs w:val="24"/>
        </w:rPr>
        <w:t xml:space="preserve"> , 2018; OECD, 2019). This trend indicates a gradual shift from an exclusively technological focus to more systemic approaches that recognize the social, legal, and institutional impacts of AI (Pasquale, 2015).</w:t>
      </w:r>
    </w:p>
    <w:p w14:paraId="10B4F3C2"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literature shows that intellectual property appears, for the most part, as an instrumental variable for technological innovation, associated with the protection of patents, software, and algorithmic models (WIPO, 2017; WIPO, 2019). However, only a small portion of studies analyze intellectual property regimes and AI-based urban governance in an integrated way (WIPO, 2020). In many cases, IP is treated sectorally, disconnected from the specific dynamics of smart cities, which reveals a significant theoretical gap in the field </w:t>
      </w:r>
      <w:proofErr w:type="gramStart"/>
      <w:r>
        <w:rPr>
          <w:rFonts w:ascii="Times New Roman" w:eastAsia="Times New Roman" w:hAnsi="Times New Roman" w:cs="Times New Roman"/>
          <w:color w:val="000000"/>
          <w:sz w:val="24"/>
          <w:szCs w:val="24"/>
        </w:rPr>
        <w:t>( Hollands</w:t>
      </w:r>
      <w:proofErr w:type="gramEnd"/>
      <w:r>
        <w:rPr>
          <w:rFonts w:ascii="Times New Roman" w:eastAsia="Times New Roman" w:hAnsi="Times New Roman" w:cs="Times New Roman"/>
          <w:color w:val="000000"/>
          <w:sz w:val="24"/>
          <w:szCs w:val="24"/>
        </w:rPr>
        <w:t xml:space="preserve"> , 2008).</w:t>
      </w:r>
    </w:p>
    <w:p w14:paraId="45F00403" w14:textId="77777777" w:rsidR="00C41C38" w:rsidRDefault="00C41C38">
      <w:pPr>
        <w:spacing w:line="360" w:lineRule="auto"/>
        <w:ind w:firstLine="142"/>
        <w:jc w:val="both"/>
        <w:rPr>
          <w:rFonts w:ascii="Times New Roman" w:eastAsia="Times New Roman" w:hAnsi="Times New Roman" w:cs="Times New Roman"/>
          <w:color w:val="000000"/>
          <w:sz w:val="24"/>
          <w:szCs w:val="24"/>
        </w:rPr>
      </w:pPr>
    </w:p>
    <w:p w14:paraId="08F80550" w14:textId="77777777" w:rsidR="001A6650" w:rsidRDefault="00000000">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Table 4. </w:t>
      </w:r>
      <w:r>
        <w:rPr>
          <w:rFonts w:ascii="Times New Roman" w:eastAsia="Times New Roman" w:hAnsi="Times New Roman" w:cs="Times New Roman"/>
          <w:color w:val="000000"/>
          <w:sz w:val="24"/>
          <w:szCs w:val="24"/>
        </w:rPr>
        <w:t>General comparison of national and international scientific production on AI, Intellectual Property and Smart Cities.</w:t>
      </w:r>
    </w:p>
    <w:tbl>
      <w:tblPr>
        <w:tblStyle w:val="a0"/>
        <w:tblW w:w="9638" w:type="dxa"/>
        <w:tblInd w:w="0" w:type="dxa"/>
        <w:tblLayout w:type="fixed"/>
        <w:tblLook w:val="0400" w:firstRow="0" w:lastRow="0" w:firstColumn="0" w:lastColumn="0" w:noHBand="0" w:noVBand="1"/>
      </w:tblPr>
      <w:tblGrid>
        <w:gridCol w:w="1719"/>
        <w:gridCol w:w="4081"/>
        <w:gridCol w:w="3838"/>
      </w:tblGrid>
      <w:tr w:rsidR="001A6650" w14:paraId="14773E45" w14:textId="77777777">
        <w:trPr>
          <w:tblHeader/>
        </w:trPr>
        <w:tc>
          <w:tcPr>
            <w:tcW w:w="1719" w:type="dxa"/>
            <w:vAlign w:val="center"/>
          </w:tcPr>
          <w:p w14:paraId="2DF08B81" w14:textId="77777777" w:rsidR="001A6650" w:rsidRDefault="00000000">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Analysis Dimension</w:t>
            </w:r>
          </w:p>
        </w:tc>
        <w:tc>
          <w:tcPr>
            <w:tcW w:w="4081" w:type="dxa"/>
            <w:vAlign w:val="center"/>
          </w:tcPr>
          <w:p w14:paraId="0024AB9C" w14:textId="77777777" w:rsidR="001A6650" w:rsidRDefault="00000000">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International Literature</w:t>
            </w:r>
          </w:p>
        </w:tc>
        <w:tc>
          <w:tcPr>
            <w:tcW w:w="3838" w:type="dxa"/>
            <w:vAlign w:val="center"/>
          </w:tcPr>
          <w:p w14:paraId="19D827B0" w14:textId="77777777" w:rsidR="001A6650" w:rsidRDefault="00000000">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National Literature</w:t>
            </w:r>
          </w:p>
        </w:tc>
      </w:tr>
      <w:tr w:rsidR="001A6650" w14:paraId="0D33055A" w14:textId="77777777">
        <w:tc>
          <w:tcPr>
            <w:tcW w:w="1719" w:type="dxa"/>
            <w:vAlign w:val="center"/>
          </w:tcPr>
          <w:p w14:paraId="3D9C88CE"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Volume of publications</w:t>
            </w:r>
          </w:p>
        </w:tc>
        <w:tc>
          <w:tcPr>
            <w:tcW w:w="4081" w:type="dxa"/>
            <w:vAlign w:val="center"/>
          </w:tcPr>
          <w:p w14:paraId="39392B86"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and growing, with strong expansion from 2015 onwards (OECD, 2019)</w:t>
            </w:r>
          </w:p>
        </w:tc>
        <w:tc>
          <w:tcPr>
            <w:tcW w:w="3838" w:type="dxa"/>
            <w:vAlign w:val="center"/>
          </w:tcPr>
          <w:p w14:paraId="614773D1"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Moderate, with more recent growth and still concentrated (Chamber of Deputies, 2021)</w:t>
            </w:r>
          </w:p>
        </w:tc>
      </w:tr>
      <w:tr w:rsidR="001A6650" w14:paraId="6CECE018" w14:textId="77777777">
        <w:tc>
          <w:tcPr>
            <w:tcW w:w="1719" w:type="dxa"/>
            <w:vAlign w:val="center"/>
          </w:tcPr>
          <w:p w14:paraId="7960FACD"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Predominant areas</w:t>
            </w:r>
          </w:p>
        </w:tc>
        <w:tc>
          <w:tcPr>
            <w:tcW w:w="4081" w:type="dxa"/>
            <w:vAlign w:val="center"/>
          </w:tcPr>
          <w:p w14:paraId="188271A7"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Computer science, engineering, urban studies, innovation economics ( </w:t>
            </w:r>
            <w:proofErr w:type="spellStart"/>
            <w:r>
              <w:rPr>
                <w:rFonts w:ascii="Times New Roman" w:eastAsia="Times New Roman" w:hAnsi="Times New Roman" w:cs="Times New Roman"/>
                <w:color w:val="000000"/>
                <w:sz w:val="24"/>
                <w:szCs w:val="24"/>
              </w:rPr>
              <w:t>Alpaydin</w:t>
            </w:r>
            <w:proofErr w:type="spellEnd"/>
            <w:r>
              <w:rPr>
                <w:rFonts w:ascii="Times New Roman" w:eastAsia="Times New Roman" w:hAnsi="Times New Roman" w:cs="Times New Roman"/>
                <w:color w:val="000000"/>
                <w:sz w:val="24"/>
                <w:szCs w:val="24"/>
              </w:rPr>
              <w:t xml:space="preserve"> , 2016; Lee; Bagheri ; Kao , 2015)</w:t>
            </w:r>
          </w:p>
        </w:tc>
        <w:tc>
          <w:tcPr>
            <w:tcW w:w="3838" w:type="dxa"/>
            <w:vAlign w:val="center"/>
          </w:tcPr>
          <w:p w14:paraId="5F4ECBCA"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Law, public policy, information science (Brazil, 2018)</w:t>
            </w:r>
          </w:p>
        </w:tc>
      </w:tr>
      <w:tr w:rsidR="001A6650" w14:paraId="2ABA1C5A" w14:textId="77777777">
        <w:tc>
          <w:tcPr>
            <w:tcW w:w="1719" w:type="dxa"/>
            <w:vAlign w:val="center"/>
          </w:tcPr>
          <w:p w14:paraId="565DDF25"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 focus</w:t>
            </w:r>
          </w:p>
        </w:tc>
        <w:tc>
          <w:tcPr>
            <w:tcW w:w="4081" w:type="dxa"/>
            <w:vAlign w:val="center"/>
          </w:tcPr>
          <w:p w14:paraId="6A4673F8"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Technical applications of AI, urban efficiency, technological innovation ( Batty , 2016; McKinsey Global Institute , 2018)</w:t>
            </w:r>
          </w:p>
        </w:tc>
        <w:tc>
          <w:tcPr>
            <w:tcW w:w="3838" w:type="dxa"/>
            <w:vAlign w:val="center"/>
          </w:tcPr>
          <w:p w14:paraId="2BDBCFA8"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Legal, institutional and regulatory impacts of AI ( </w:t>
            </w:r>
            <w:proofErr w:type="spellStart"/>
            <w:r>
              <w:rPr>
                <w:rFonts w:ascii="Times New Roman" w:eastAsia="Times New Roman" w:hAnsi="Times New Roman" w:cs="Times New Roman"/>
                <w:color w:val="000000"/>
                <w:sz w:val="24"/>
                <w:szCs w:val="24"/>
              </w:rPr>
              <w:t>Floridi</w:t>
            </w:r>
            <w:proofErr w:type="spellEnd"/>
            <w:r>
              <w:rPr>
                <w:rFonts w:ascii="Times New Roman" w:eastAsia="Times New Roman" w:hAnsi="Times New Roman" w:cs="Times New Roman"/>
                <w:color w:val="000000"/>
                <w:sz w:val="24"/>
                <w:szCs w:val="24"/>
              </w:rPr>
              <w:t xml:space="preserve"> et al., 2018)</w:t>
            </w:r>
          </w:p>
        </w:tc>
      </w:tr>
      <w:tr w:rsidR="001A6650" w14:paraId="4F7ACF5F" w14:textId="77777777">
        <w:tc>
          <w:tcPr>
            <w:tcW w:w="1719" w:type="dxa"/>
            <w:vAlign w:val="center"/>
          </w:tcPr>
          <w:p w14:paraId="40DE64A3"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Integration between AI and IP</w:t>
            </w:r>
          </w:p>
        </w:tc>
        <w:tc>
          <w:tcPr>
            <w:tcW w:w="4081" w:type="dxa"/>
            <w:vAlign w:val="center"/>
          </w:tcPr>
          <w:p w14:paraId="2EC7A70B"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Partial and fragmented (WIPO, 2019)</w:t>
            </w:r>
          </w:p>
        </w:tc>
        <w:tc>
          <w:tcPr>
            <w:tcW w:w="3838" w:type="dxa"/>
            <w:vAlign w:val="center"/>
          </w:tcPr>
          <w:p w14:paraId="3C602511"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Predominantly normative and conceptual (Brazil, 1996; WIPO, 2020)</w:t>
            </w:r>
          </w:p>
        </w:tc>
      </w:tr>
      <w:tr w:rsidR="001A6650" w14:paraId="0E8AA57B" w14:textId="77777777">
        <w:tc>
          <w:tcPr>
            <w:tcW w:w="1719" w:type="dxa"/>
            <w:vAlign w:val="center"/>
          </w:tcPr>
          <w:p w14:paraId="35725351"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Empirical approach</w:t>
            </w:r>
          </w:p>
        </w:tc>
        <w:tc>
          <w:tcPr>
            <w:tcW w:w="4081" w:type="dxa"/>
            <w:vAlign w:val="center"/>
          </w:tcPr>
          <w:p w14:paraId="7DF3222A"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incidence of quantitative studies and applied case studies ( Hair et al., 2014)</w:t>
            </w:r>
          </w:p>
        </w:tc>
        <w:tc>
          <w:tcPr>
            <w:tcW w:w="3838" w:type="dxa"/>
            <w:vAlign w:val="center"/>
          </w:tcPr>
          <w:p w14:paraId="737299FE" w14:textId="77777777" w:rsidR="001A6650"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Predominance of qualitative studies and theoretical essays (Chamber of Deputies, 2021)</w:t>
            </w:r>
          </w:p>
        </w:tc>
      </w:tr>
    </w:tbl>
    <w:p w14:paraId="77FB0B10" w14:textId="77777777" w:rsidR="001A6650" w:rsidRDefault="001A6650">
      <w:pPr>
        <w:spacing w:after="0" w:line="360" w:lineRule="auto"/>
        <w:jc w:val="both"/>
        <w:rPr>
          <w:rFonts w:ascii="Times New Roman" w:eastAsia="Times New Roman" w:hAnsi="Times New Roman" w:cs="Times New Roman"/>
          <w:color w:val="000000"/>
          <w:sz w:val="24"/>
          <w:szCs w:val="24"/>
        </w:rPr>
      </w:pPr>
    </w:p>
    <w:p w14:paraId="74E46B88" w14:textId="77777777" w:rsidR="001A6650" w:rsidRDefault="00000000">
      <w:pP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4 highlights relevant structural differences between national and international scientific production regarding Artificial Intelligence, intellectual property, and smart cities (OECD, 2019; WIPO, 2019). Internationally, there is a high and continuous volume of publications, driven by consistent investments in applied research, digital infrastructure, and technological innovation policies (McKinsey Global Institute , 2018). This production is mostly concentrated in the areas of computer science, engineering, and urban studies, reflecting a pragmatic and technological orientation of the field ( </w:t>
      </w:r>
      <w:proofErr w:type="spellStart"/>
      <w:r>
        <w:rPr>
          <w:rFonts w:ascii="Times New Roman" w:eastAsia="Times New Roman" w:hAnsi="Times New Roman" w:cs="Times New Roman"/>
          <w:color w:val="000000"/>
          <w:sz w:val="24"/>
          <w:szCs w:val="24"/>
        </w:rPr>
        <w:t>Alpaydin</w:t>
      </w:r>
      <w:proofErr w:type="spellEnd"/>
      <w:r>
        <w:rPr>
          <w:rFonts w:ascii="Times New Roman" w:eastAsia="Times New Roman" w:hAnsi="Times New Roman" w:cs="Times New Roman"/>
          <w:color w:val="000000"/>
          <w:sz w:val="24"/>
          <w:szCs w:val="24"/>
        </w:rPr>
        <w:t xml:space="preserve"> , 2016; Batty , 2016).</w:t>
      </w:r>
    </w:p>
    <w:p w14:paraId="79FE3105" w14:textId="77777777" w:rsidR="001A6650" w:rsidRDefault="00000000">
      <w:pP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contrast, national literature shows more moderate and recent growth, with a greater concentration in areas such as Law, Public Policy, and Information Science (Chamber of Deputies, 2021). This configuration indicates that, in Brazil, the scientific debate is strongly shaped by institutional and normative concerns, especially related to AI regulation, the protection of fundamental rights, and legal certainty (Brazil, 2018). Artificial Intelligence, in this context, is </w:t>
      </w:r>
      <w:r>
        <w:rPr>
          <w:rFonts w:ascii="Times New Roman" w:eastAsia="Times New Roman" w:hAnsi="Times New Roman" w:cs="Times New Roman"/>
          <w:color w:val="000000"/>
          <w:sz w:val="24"/>
          <w:szCs w:val="24"/>
        </w:rPr>
        <w:lastRenderedPageBreak/>
        <w:t xml:space="preserve">frequently analyzed less as a technical tool and more as a social and legal phenomenon that demands state control and adequate governance ( </w:t>
      </w:r>
      <w:proofErr w:type="spellStart"/>
      <w:r>
        <w:rPr>
          <w:rFonts w:ascii="Times New Roman" w:eastAsia="Times New Roman" w:hAnsi="Times New Roman" w:cs="Times New Roman"/>
          <w:color w:val="000000"/>
          <w:sz w:val="24"/>
          <w:szCs w:val="24"/>
        </w:rPr>
        <w:t>Floridi</w:t>
      </w:r>
      <w:proofErr w:type="spellEnd"/>
      <w:r>
        <w:rPr>
          <w:rFonts w:ascii="Times New Roman" w:eastAsia="Times New Roman" w:hAnsi="Times New Roman" w:cs="Times New Roman"/>
          <w:color w:val="000000"/>
          <w:sz w:val="24"/>
          <w:szCs w:val="24"/>
        </w:rPr>
        <w:t xml:space="preserve"> , 2018).</w:t>
      </w:r>
    </w:p>
    <w:p w14:paraId="27AB8D52" w14:textId="77777777" w:rsidR="001A6650" w:rsidRDefault="00000000">
      <w:pP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relevant aspect highlighted in the table refers to the integration between Artificial Intelligence and intellectual property. While international literature tends to treat this relationship instrumentally, linking IP to the protection of technological innovation and competitiveness (WIPO, 2017), national production adopts a more critical and normative approach (Brazil, 1996). However, in both contexts, the direct articulation between AI, IP, and smart cities is still fragmented, highlighting a common theoretical gap that justifies the integrated approach adopted in this research (WIPO, 2020).</w:t>
      </w:r>
    </w:p>
    <w:p w14:paraId="7B594A0B" w14:textId="77777777" w:rsidR="001A6650" w:rsidRDefault="00000000">
      <w:pP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Within the context of smart cities, international scientific production presents two major analytical axes. The first emphasizes efficiency, technological innovation, and urban competitiveness, frequently associated with narratives of modernization, sustainability, and economic growth ( Giffinger et al., 2007; Porter; </w:t>
      </w:r>
      <w:proofErr w:type="spellStart"/>
      <w:r>
        <w:rPr>
          <w:rFonts w:ascii="Times New Roman" w:eastAsia="Times New Roman" w:hAnsi="Times New Roman" w:cs="Times New Roman"/>
          <w:color w:val="000000"/>
          <w:sz w:val="24"/>
          <w:szCs w:val="24"/>
        </w:rPr>
        <w:t>Heppelmann</w:t>
      </w:r>
      <w:proofErr w:type="spellEnd"/>
      <w:r>
        <w:rPr>
          <w:rFonts w:ascii="Times New Roman" w:eastAsia="Times New Roman" w:hAnsi="Times New Roman" w:cs="Times New Roman"/>
          <w:color w:val="000000"/>
          <w:sz w:val="24"/>
          <w:szCs w:val="24"/>
        </w:rPr>
        <w:t xml:space="preserve"> , 2014). The second axis adopts a more critical stance, problematizing risks related to surveillance, the concentration of technological power, social exclusion, and algorithmic opacity ( Hollands , 2008; Zuboff , 2019). The coexistence of these axes demonstrates that the field is in a process of maturation, with conceptual and normative disputes still ongoing.</w:t>
      </w:r>
    </w:p>
    <w:p w14:paraId="2B7A7E3C" w14:textId="77777777" w:rsidR="001A6650" w:rsidRDefault="00000000">
      <w:pP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national context, Brazilian scientific production reveals distinct characteristics. There is a greater concentration of studies in the areas of law, public policy, and information science, with an emphasis on the legal and institutional impacts of Artificial Intelligence (Brazil, 2018; Chamber of Deputies, 2021). Intellectual property, in this scenario, is frequently analyzed from the perspective of regulatory adequacy, legal security, and the role of the State in promoting innovation (Brazil, 1996). Unlike international literature, there is a smaller volume of quantitative empirical studies directly applied to smart cities, which highlights structural limitations and asymmetries in the development of applied research in the country (OECD, 2019).</w:t>
      </w:r>
    </w:p>
    <w:p w14:paraId="15498F8D" w14:textId="77777777" w:rsidR="001A6650" w:rsidRDefault="001A6650">
      <w:pPr>
        <w:spacing w:after="0" w:line="360" w:lineRule="auto"/>
        <w:ind w:firstLine="284"/>
        <w:jc w:val="both"/>
        <w:rPr>
          <w:rFonts w:ascii="Times New Roman" w:eastAsia="Times New Roman" w:hAnsi="Times New Roman" w:cs="Times New Roman"/>
          <w:color w:val="000000"/>
          <w:sz w:val="24"/>
          <w:szCs w:val="24"/>
        </w:rPr>
      </w:pPr>
    </w:p>
    <w:p w14:paraId="4214E033" w14:textId="77777777" w:rsidR="001A6650" w:rsidRDefault="0000000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Table 5. </w:t>
      </w:r>
      <w:r>
        <w:rPr>
          <w:rFonts w:ascii="Times New Roman" w:eastAsia="Times New Roman" w:hAnsi="Times New Roman" w:cs="Times New Roman"/>
          <w:color w:val="000000"/>
          <w:sz w:val="24"/>
          <w:szCs w:val="24"/>
        </w:rPr>
        <w:t>Approaches to Smart Cities in the analyzed literature</w:t>
      </w:r>
    </w:p>
    <w:tbl>
      <w:tblPr>
        <w:tblStyle w:val="a2"/>
        <w:tblW w:w="9638" w:type="dxa"/>
        <w:tblInd w:w="0" w:type="dxa"/>
        <w:tblLayout w:type="fixed"/>
        <w:tblLook w:val="0400" w:firstRow="0" w:lastRow="0" w:firstColumn="0" w:lastColumn="0" w:noHBand="0" w:noVBand="1"/>
      </w:tblPr>
      <w:tblGrid>
        <w:gridCol w:w="1769"/>
        <w:gridCol w:w="4382"/>
        <w:gridCol w:w="3487"/>
      </w:tblGrid>
      <w:tr w:rsidR="001A6650" w14:paraId="7EF7767E" w14:textId="77777777">
        <w:trPr>
          <w:tblHeader/>
        </w:trPr>
        <w:tc>
          <w:tcPr>
            <w:tcW w:w="1769" w:type="dxa"/>
            <w:vAlign w:val="center"/>
          </w:tcPr>
          <w:p w14:paraId="35E9E569"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Aspect</w:t>
            </w:r>
          </w:p>
        </w:tc>
        <w:tc>
          <w:tcPr>
            <w:tcW w:w="4382" w:type="dxa"/>
            <w:vAlign w:val="center"/>
          </w:tcPr>
          <w:p w14:paraId="6912C1A9"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International Literature</w:t>
            </w:r>
          </w:p>
        </w:tc>
        <w:tc>
          <w:tcPr>
            <w:tcW w:w="3487" w:type="dxa"/>
            <w:vAlign w:val="center"/>
          </w:tcPr>
          <w:p w14:paraId="0F9C6C67"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National Literature</w:t>
            </w:r>
          </w:p>
        </w:tc>
      </w:tr>
      <w:tr w:rsidR="001A6650" w14:paraId="2CC935A7" w14:textId="77777777">
        <w:tc>
          <w:tcPr>
            <w:tcW w:w="1769" w:type="dxa"/>
            <w:vAlign w:val="center"/>
          </w:tcPr>
          <w:p w14:paraId="7689C01F"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Smart city design</w:t>
            </w:r>
          </w:p>
        </w:tc>
        <w:tc>
          <w:tcPr>
            <w:tcW w:w="4382" w:type="dxa"/>
            <w:vAlign w:val="center"/>
          </w:tcPr>
          <w:p w14:paraId="1D9C6B50"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Emphasis on efficiency, innovation and urban competitiveness ( Giffinger et al., 2007; Porter; </w:t>
            </w:r>
            <w:proofErr w:type="spellStart"/>
            <w:r>
              <w:rPr>
                <w:rFonts w:ascii="Times New Roman" w:eastAsia="Times New Roman" w:hAnsi="Times New Roman" w:cs="Times New Roman"/>
                <w:color w:val="000000"/>
                <w:sz w:val="24"/>
                <w:szCs w:val="24"/>
              </w:rPr>
              <w:t>Heppelmann</w:t>
            </w:r>
            <w:proofErr w:type="spellEnd"/>
            <w:r>
              <w:rPr>
                <w:rFonts w:ascii="Times New Roman" w:eastAsia="Times New Roman" w:hAnsi="Times New Roman" w:cs="Times New Roman"/>
                <w:color w:val="000000"/>
                <w:sz w:val="24"/>
                <w:szCs w:val="24"/>
              </w:rPr>
              <w:t xml:space="preserve"> , 2014)</w:t>
            </w:r>
          </w:p>
        </w:tc>
        <w:tc>
          <w:tcPr>
            <w:tcW w:w="3487" w:type="dxa"/>
            <w:vAlign w:val="center"/>
          </w:tcPr>
          <w:p w14:paraId="14CD8DE5"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Emphasis on governance, social inclusion and regulation (Chamber of Deputies, 2021; Santos, 2010)</w:t>
            </w:r>
          </w:p>
        </w:tc>
      </w:tr>
      <w:tr w:rsidR="001A6650" w14:paraId="76156FD1" w14:textId="77777777">
        <w:tc>
          <w:tcPr>
            <w:tcW w:w="1769" w:type="dxa"/>
            <w:vAlign w:val="center"/>
          </w:tcPr>
          <w:p w14:paraId="3E1C08A2"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Use of Artificial Intelligence</w:t>
            </w:r>
          </w:p>
        </w:tc>
        <w:tc>
          <w:tcPr>
            <w:tcW w:w="4382" w:type="dxa"/>
            <w:vAlign w:val="center"/>
          </w:tcPr>
          <w:p w14:paraId="5483F4D5"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Central, with practical applications in mobility, energy, security and planning ( Batty , 2016; McKinsey Global Institute , 2018)</w:t>
            </w:r>
          </w:p>
        </w:tc>
        <w:tc>
          <w:tcPr>
            <w:tcW w:w="3487" w:type="dxa"/>
            <w:vAlign w:val="center"/>
          </w:tcPr>
          <w:p w14:paraId="6554823E"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Growing, but more discussed at a conceptual and normative level (Brazil, 2018; </w:t>
            </w:r>
            <w:proofErr w:type="spellStart"/>
            <w:r>
              <w:rPr>
                <w:rFonts w:ascii="Times New Roman" w:eastAsia="Times New Roman" w:hAnsi="Times New Roman" w:cs="Times New Roman"/>
                <w:color w:val="000000"/>
                <w:sz w:val="24"/>
                <w:szCs w:val="24"/>
              </w:rPr>
              <w:t>Floridi</w:t>
            </w:r>
            <w:proofErr w:type="spellEnd"/>
            <w:r>
              <w:rPr>
                <w:rFonts w:ascii="Times New Roman" w:eastAsia="Times New Roman" w:hAnsi="Times New Roman" w:cs="Times New Roman"/>
                <w:color w:val="000000"/>
                <w:sz w:val="24"/>
                <w:szCs w:val="24"/>
              </w:rPr>
              <w:t xml:space="preserve"> , 2018)</w:t>
            </w:r>
          </w:p>
        </w:tc>
      </w:tr>
      <w:tr w:rsidR="001A6650" w14:paraId="4988327D" w14:textId="77777777">
        <w:tc>
          <w:tcPr>
            <w:tcW w:w="1769" w:type="dxa"/>
            <w:vAlign w:val="center"/>
          </w:tcPr>
          <w:p w14:paraId="2F6FA953"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Data-driven governance</w:t>
            </w:r>
          </w:p>
        </w:tc>
        <w:tc>
          <w:tcPr>
            <w:tcW w:w="4382" w:type="dxa"/>
            <w:vAlign w:val="center"/>
          </w:tcPr>
          <w:p w14:paraId="69BFAD7E"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Widely explored, with a focus on predictive models and automation ( Kitchen , 2014; OECD, 2019)</w:t>
            </w:r>
          </w:p>
        </w:tc>
        <w:tc>
          <w:tcPr>
            <w:tcW w:w="3487" w:type="dxa"/>
            <w:vAlign w:val="center"/>
          </w:tcPr>
          <w:p w14:paraId="796F9A87"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Associated with institutional challenges and state capacity (OECD, 2020; Chamber of Deputies, 2021)</w:t>
            </w:r>
          </w:p>
        </w:tc>
      </w:tr>
      <w:tr w:rsidR="001A6650" w14:paraId="755CCC29" w14:textId="77777777">
        <w:tc>
          <w:tcPr>
            <w:tcW w:w="1769" w:type="dxa"/>
            <w:vAlign w:val="center"/>
          </w:tcPr>
          <w:p w14:paraId="0905D296"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Critical perspective</w:t>
            </w:r>
          </w:p>
        </w:tc>
        <w:tc>
          <w:tcPr>
            <w:tcW w:w="4382" w:type="dxa"/>
            <w:vAlign w:val="center"/>
          </w:tcPr>
          <w:p w14:paraId="3F6C6A8E"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 but secondary in relation to technological discourse ( Hollands , 2008)</w:t>
            </w:r>
          </w:p>
        </w:tc>
        <w:tc>
          <w:tcPr>
            <w:tcW w:w="3487" w:type="dxa"/>
            <w:vAlign w:val="center"/>
          </w:tcPr>
          <w:p w14:paraId="3D40ADEA"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presence of critical analyses and democratic concerns ( Zuboff , 2019; Eubanks , 2018)</w:t>
            </w:r>
          </w:p>
        </w:tc>
      </w:tr>
    </w:tbl>
    <w:p w14:paraId="04113F27"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5 reveals distinct conceptions of smart cities in national and international literature ( Giffinger et al., 2007; Hollands , 2008). In the international context, a vision oriented towards efficiency, innovation, and urban competitiveness predominates, in which Artificial Intelligence is understood as a central element for optimizing public services, mobility, energy management, and urban planning ( Batty , 2016; McKinsey Global Institute , 2018). This approach is strongly associated with data-driven governance models and the adoption of large-scale technological solutions ( Kitchin , 2014; OECD, 2019).</w:t>
      </w:r>
    </w:p>
    <w:p w14:paraId="24B07131"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national context, although the notion of smart cities is also present, the literature emphasizes aspects related to urban governance, the institutional capacity of the State, and social inclusion (Chamber of Deputies, 2021). Cities are frequently analyzed as spaces of political and social dispute, in which the adoption of smart technologies can both increase administrative efficiency and deepen existing inequalities (Santos, 2010; Zuboff , 2019). This critical perspective reflects specific concerns of the Brazilian context, marked by territorial heterogeneity and structural limitations.</w:t>
      </w:r>
    </w:p>
    <w:p w14:paraId="1FF33D38"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comparison shows that, while international literature prioritizes technical and operational results, national production contributes significantly to problematizing the social and democratic impacts of smart cities ( Hollands , 2008). The coexistence of these approaches reinforces the need for analytical models that reconcile technological innovation with principles of social justice, transparency, and public accountability ( Ansell ; Gash , 2008).</w:t>
      </w:r>
    </w:p>
    <w:p w14:paraId="51804DB5"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Nevertheless, national literature demonstrates growing concern with topics such as data governance, algorithmic ethics, protection of fundamental rights, and AI regulation (Brazil, 2018; </w:t>
      </w:r>
      <w:proofErr w:type="spellStart"/>
      <w:r>
        <w:rPr>
          <w:rFonts w:ascii="Times New Roman" w:eastAsia="Times New Roman" w:hAnsi="Times New Roman" w:cs="Times New Roman"/>
          <w:color w:val="000000"/>
          <w:sz w:val="24"/>
          <w:szCs w:val="24"/>
        </w:rPr>
        <w:t>Floridi</w:t>
      </w:r>
      <w:proofErr w:type="spellEnd"/>
      <w:r>
        <w:rPr>
          <w:rFonts w:ascii="Times New Roman" w:eastAsia="Times New Roman" w:hAnsi="Times New Roman" w:cs="Times New Roman"/>
          <w:color w:val="000000"/>
          <w:sz w:val="24"/>
          <w:szCs w:val="24"/>
        </w:rPr>
        <w:t xml:space="preserve"> et al., 2018). These studies highlight the need for regulatory models capable of balancing technological innovation, economic development, and public interest (OECD, 2020).</w:t>
      </w:r>
    </w:p>
    <w:p w14:paraId="4231F3B8"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comparative analysis between national and international production reveals relevant convergences and divergences (OECD, 2019; WIPO, 2019). While international literature tends to prioritize practical and scalable applications of AI in smart cities ( Batty , 2016), national production emphasizes normative, institutional, and critical aspects (Brazil, 2018). On the other hand, both converge on the perception that AI profoundly redefines innovation processes and demands new approaches to governance and regulation ( </w:t>
      </w:r>
      <w:proofErr w:type="spellStart"/>
      <w:r>
        <w:rPr>
          <w:rFonts w:ascii="Times New Roman" w:eastAsia="Times New Roman" w:hAnsi="Times New Roman" w:cs="Times New Roman"/>
          <w:color w:val="000000"/>
          <w:sz w:val="24"/>
          <w:szCs w:val="24"/>
        </w:rPr>
        <w:t>Floridi</w:t>
      </w:r>
      <w:proofErr w:type="spellEnd"/>
      <w:r>
        <w:rPr>
          <w:rFonts w:ascii="Times New Roman" w:eastAsia="Times New Roman" w:hAnsi="Times New Roman" w:cs="Times New Roman"/>
          <w:color w:val="000000"/>
          <w:sz w:val="24"/>
          <w:szCs w:val="24"/>
        </w:rPr>
        <w:t xml:space="preserve"> , 2018; OECD, 2019).</w:t>
      </w:r>
    </w:p>
    <w:p w14:paraId="115FA0F4" w14:textId="77777777" w:rsidR="001A6650" w:rsidRDefault="0000000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Table 6. </w:t>
      </w:r>
      <w:r>
        <w:rPr>
          <w:rFonts w:ascii="Times New Roman" w:eastAsia="Times New Roman" w:hAnsi="Times New Roman" w:cs="Times New Roman"/>
          <w:color w:val="000000"/>
          <w:sz w:val="24"/>
          <w:szCs w:val="24"/>
        </w:rPr>
        <w:t>Treatment of Intellectual Property in the Age of Artificial Intelligence</w:t>
      </w:r>
    </w:p>
    <w:tbl>
      <w:tblPr>
        <w:tblStyle w:val="a3"/>
        <w:tblW w:w="9638" w:type="dxa"/>
        <w:tblInd w:w="0" w:type="dxa"/>
        <w:tblLayout w:type="fixed"/>
        <w:tblLook w:val="0400" w:firstRow="0" w:lastRow="0" w:firstColumn="0" w:lastColumn="0" w:noHBand="0" w:noVBand="1"/>
      </w:tblPr>
      <w:tblGrid>
        <w:gridCol w:w="2055"/>
        <w:gridCol w:w="4020"/>
        <w:gridCol w:w="3563"/>
      </w:tblGrid>
      <w:tr w:rsidR="001A6650" w14:paraId="0D0F1779" w14:textId="77777777">
        <w:trPr>
          <w:tblHeader/>
        </w:trPr>
        <w:tc>
          <w:tcPr>
            <w:tcW w:w="2055" w:type="dxa"/>
            <w:vAlign w:val="center"/>
          </w:tcPr>
          <w:p w14:paraId="1CAE7294"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Dimension</w:t>
            </w:r>
          </w:p>
        </w:tc>
        <w:tc>
          <w:tcPr>
            <w:tcW w:w="4020" w:type="dxa"/>
            <w:vAlign w:val="center"/>
          </w:tcPr>
          <w:p w14:paraId="6B6E6B9C"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International Literature</w:t>
            </w:r>
          </w:p>
        </w:tc>
        <w:tc>
          <w:tcPr>
            <w:tcW w:w="3563" w:type="dxa"/>
            <w:vAlign w:val="center"/>
          </w:tcPr>
          <w:p w14:paraId="06232355"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National Literature</w:t>
            </w:r>
          </w:p>
        </w:tc>
      </w:tr>
      <w:tr w:rsidR="001A6650" w14:paraId="0636B2C4" w14:textId="77777777">
        <w:tc>
          <w:tcPr>
            <w:tcW w:w="2055" w:type="dxa"/>
            <w:vAlign w:val="center"/>
          </w:tcPr>
          <w:p w14:paraId="17043B26"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 function</w:t>
            </w:r>
          </w:p>
        </w:tc>
        <w:tc>
          <w:tcPr>
            <w:tcW w:w="4020" w:type="dxa"/>
            <w:vAlign w:val="center"/>
          </w:tcPr>
          <w:p w14:paraId="185DF181"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 for protecting and stimulating technological innovation (WIPO, 2017)</w:t>
            </w:r>
          </w:p>
        </w:tc>
        <w:tc>
          <w:tcPr>
            <w:tcW w:w="3563" w:type="dxa"/>
            <w:vAlign w:val="center"/>
          </w:tcPr>
          <w:p w14:paraId="6706AD64"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Legal instrument for security and regulation (Brazil, 1996)</w:t>
            </w:r>
          </w:p>
        </w:tc>
      </w:tr>
      <w:tr w:rsidR="001A6650" w14:paraId="747EDF62" w14:textId="77777777">
        <w:tc>
          <w:tcPr>
            <w:tcW w:w="2055" w:type="dxa"/>
            <w:vAlign w:val="center"/>
          </w:tcPr>
          <w:p w14:paraId="7B74D015"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as an object of IP</w:t>
            </w:r>
          </w:p>
        </w:tc>
        <w:tc>
          <w:tcPr>
            <w:tcW w:w="4020" w:type="dxa"/>
            <w:vAlign w:val="center"/>
          </w:tcPr>
          <w:p w14:paraId="4B5FAF63"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Focus on patents, software and algorithmic assets (WIPO, 2019)</w:t>
            </w:r>
          </w:p>
        </w:tc>
        <w:tc>
          <w:tcPr>
            <w:tcW w:w="3563" w:type="dxa"/>
            <w:vAlign w:val="center"/>
          </w:tcPr>
          <w:p w14:paraId="30D84940"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Debate on authorship, inventiveness and normative adequacy (WIPO, 2020)</w:t>
            </w:r>
          </w:p>
        </w:tc>
      </w:tr>
      <w:tr w:rsidR="001A6650" w14:paraId="5D45F98F" w14:textId="77777777">
        <w:tc>
          <w:tcPr>
            <w:tcW w:w="2055" w:type="dxa"/>
            <w:vAlign w:val="center"/>
          </w:tcPr>
          <w:p w14:paraId="424CA937"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PI-data relationship</w:t>
            </w:r>
          </w:p>
        </w:tc>
        <w:tc>
          <w:tcPr>
            <w:tcW w:w="4020" w:type="dxa"/>
            <w:vAlign w:val="center"/>
          </w:tcPr>
          <w:p w14:paraId="12046B24"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Treated strategically, linked to competitiveness (Porter; </w:t>
            </w:r>
            <w:proofErr w:type="spellStart"/>
            <w:r>
              <w:rPr>
                <w:rFonts w:ascii="Times New Roman" w:eastAsia="Times New Roman" w:hAnsi="Times New Roman" w:cs="Times New Roman"/>
                <w:color w:val="000000"/>
                <w:sz w:val="24"/>
                <w:szCs w:val="24"/>
              </w:rPr>
              <w:t>Heppelmann</w:t>
            </w:r>
            <w:proofErr w:type="spellEnd"/>
            <w:r>
              <w:rPr>
                <w:rFonts w:ascii="Times New Roman" w:eastAsia="Times New Roman" w:hAnsi="Times New Roman" w:cs="Times New Roman"/>
                <w:color w:val="000000"/>
                <w:sz w:val="24"/>
                <w:szCs w:val="24"/>
              </w:rPr>
              <w:t xml:space="preserve"> , 2014)</w:t>
            </w:r>
          </w:p>
        </w:tc>
        <w:tc>
          <w:tcPr>
            <w:tcW w:w="3563" w:type="dxa"/>
            <w:vAlign w:val="center"/>
          </w:tcPr>
          <w:p w14:paraId="4E8EF47B"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Associated with the protection of rights and public interest (Brazil, 2018)</w:t>
            </w:r>
          </w:p>
        </w:tc>
      </w:tr>
      <w:tr w:rsidR="001A6650" w14:paraId="4DA6B44D" w14:textId="77777777">
        <w:tc>
          <w:tcPr>
            <w:tcW w:w="2055" w:type="dxa"/>
            <w:vAlign w:val="center"/>
          </w:tcPr>
          <w:p w14:paraId="6083CBD9"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Integration with smart cities</w:t>
            </w:r>
          </w:p>
        </w:tc>
        <w:tc>
          <w:tcPr>
            <w:tcW w:w="4020" w:type="dxa"/>
            <w:vAlign w:val="center"/>
          </w:tcPr>
          <w:p w14:paraId="3B302910"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Little explored in a direct way ( Hollands , 2008)</w:t>
            </w:r>
          </w:p>
        </w:tc>
        <w:tc>
          <w:tcPr>
            <w:tcW w:w="3563" w:type="dxa"/>
            <w:vAlign w:val="center"/>
          </w:tcPr>
          <w:p w14:paraId="41A40D80"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Incipient and fragmented (Chamber of Deputies, 2021)</w:t>
            </w:r>
          </w:p>
        </w:tc>
      </w:tr>
    </w:tbl>
    <w:p w14:paraId="0F5FCEC9"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6 highlights important differences in how intellectual property is approached in the age of Artificial Intelligence (WIPO, 2019). In the international literature, IP is frequently treated as a strategic instrument for protecting technological assets, including algorithms, software, and data-based systems (WIPO, 2017). This approach is strongly linked to market logic, global competitiveness, and attracting investment in innovation (Porter; </w:t>
      </w:r>
      <w:proofErr w:type="spellStart"/>
      <w:r>
        <w:rPr>
          <w:rFonts w:ascii="Times New Roman" w:eastAsia="Times New Roman" w:hAnsi="Times New Roman" w:cs="Times New Roman"/>
          <w:color w:val="000000"/>
          <w:sz w:val="24"/>
          <w:szCs w:val="24"/>
        </w:rPr>
        <w:t>Heppelmann</w:t>
      </w:r>
      <w:proofErr w:type="spellEnd"/>
      <w:r>
        <w:rPr>
          <w:rFonts w:ascii="Times New Roman" w:eastAsia="Times New Roman" w:hAnsi="Times New Roman" w:cs="Times New Roman"/>
          <w:color w:val="000000"/>
          <w:sz w:val="24"/>
          <w:szCs w:val="24"/>
        </w:rPr>
        <w:t xml:space="preserve"> , 2014).</w:t>
      </w:r>
    </w:p>
    <w:p w14:paraId="698C9C34"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national context, intellectual property takes on a more normative and institutional character, being analyzed in light of legal certainty and compatibility with the principles of public interest </w:t>
      </w:r>
      <w:r>
        <w:rPr>
          <w:rFonts w:ascii="Times New Roman" w:eastAsia="Times New Roman" w:hAnsi="Times New Roman" w:cs="Times New Roman"/>
          <w:color w:val="000000"/>
          <w:sz w:val="24"/>
          <w:szCs w:val="24"/>
        </w:rPr>
        <w:lastRenderedPageBreak/>
        <w:t>(Brazil, 1996; Brazil, 2018). Debates focus on topics such as authorship, inventiveness, and ownership of AI-based creations (WIPO, 2020).</w:t>
      </w:r>
    </w:p>
    <w:p w14:paraId="52517704"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both contexts, however, a significant gap is observed regarding the integration of intellectual property with the governance of smart cities ( Hollands , 2008). Few studies analyze IP as a mediating instrument between technological innovation, public interest, and sustainable urban development (OECD, 2020).</w:t>
      </w:r>
    </w:p>
    <w:p w14:paraId="1A4FC586"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a methodological point of view, there is a predominance of qualitative studies and theoretical essays in the legal and institutional field, contrasting with quantitative and experimental research in technical areas ( Hair et al., 2014; Lee; Bagheri ; Kao , 2015). Few works adopt integrated qualitative-quantitative approaches capable of articulating empirical data analysis, perception of social actors, and normative discussion.</w:t>
      </w:r>
    </w:p>
    <w:p w14:paraId="01595CD5"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discussion of the results of the bibliographic analysis allows us to affirm that the intersection between Artificial Intelligence, intellectual property, and smart cities still lacks integrated analytical models ( Giffinger et al., 2007; WIPO, 2020). Intellectual property, in particular, is rarely discussed as an instrument of urban governance, being more frequently associated with market logic and the protection of private assets (WIPO, 2017).</w:t>
      </w:r>
    </w:p>
    <w:p w14:paraId="5C4AFEDD" w14:textId="77777777" w:rsidR="001A6650" w:rsidRDefault="0000000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Table 7. </w:t>
      </w:r>
      <w:r>
        <w:rPr>
          <w:rFonts w:ascii="Times New Roman" w:eastAsia="Times New Roman" w:hAnsi="Times New Roman" w:cs="Times New Roman"/>
          <w:color w:val="000000"/>
          <w:sz w:val="24"/>
          <w:szCs w:val="24"/>
        </w:rPr>
        <w:t>Predominant methodological aspects in the literature</w:t>
      </w:r>
    </w:p>
    <w:tbl>
      <w:tblPr>
        <w:tblStyle w:val="a4"/>
        <w:tblW w:w="9638" w:type="dxa"/>
        <w:tblInd w:w="0" w:type="dxa"/>
        <w:tblLayout w:type="fixed"/>
        <w:tblLook w:val="0400" w:firstRow="0" w:lastRow="0" w:firstColumn="0" w:lastColumn="0" w:noHBand="0" w:noVBand="1"/>
      </w:tblPr>
      <w:tblGrid>
        <w:gridCol w:w="1790"/>
        <w:gridCol w:w="3860"/>
        <w:gridCol w:w="3988"/>
      </w:tblGrid>
      <w:tr w:rsidR="001A6650" w14:paraId="3F64F6B9" w14:textId="77777777">
        <w:trPr>
          <w:tblHeader/>
        </w:trPr>
        <w:tc>
          <w:tcPr>
            <w:tcW w:w="1790" w:type="dxa"/>
            <w:vAlign w:val="center"/>
          </w:tcPr>
          <w:p w14:paraId="442059EC"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Criterion</w:t>
            </w:r>
          </w:p>
        </w:tc>
        <w:tc>
          <w:tcPr>
            <w:tcW w:w="3860" w:type="dxa"/>
            <w:vAlign w:val="center"/>
          </w:tcPr>
          <w:p w14:paraId="28269EC8"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International Literature</w:t>
            </w:r>
          </w:p>
        </w:tc>
        <w:tc>
          <w:tcPr>
            <w:tcW w:w="3988" w:type="dxa"/>
            <w:vAlign w:val="center"/>
          </w:tcPr>
          <w:p w14:paraId="6CA635A5" w14:textId="77777777" w:rsidR="001A66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National Literature</w:t>
            </w:r>
          </w:p>
        </w:tc>
      </w:tr>
      <w:tr w:rsidR="001A6650" w14:paraId="6ADF9822" w14:textId="77777777">
        <w:tc>
          <w:tcPr>
            <w:tcW w:w="1790" w:type="dxa"/>
            <w:vAlign w:val="center"/>
          </w:tcPr>
          <w:p w14:paraId="1F59F3BF"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Search type</w:t>
            </w:r>
          </w:p>
        </w:tc>
        <w:tc>
          <w:tcPr>
            <w:tcW w:w="3860" w:type="dxa"/>
            <w:vAlign w:val="center"/>
          </w:tcPr>
          <w:p w14:paraId="58E8A660"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Quantitative, experimental and applied (Lee; Bagheri ; Kao , 2015)</w:t>
            </w:r>
          </w:p>
        </w:tc>
        <w:tc>
          <w:tcPr>
            <w:tcW w:w="3988" w:type="dxa"/>
            <w:vAlign w:val="center"/>
          </w:tcPr>
          <w:p w14:paraId="70438F5B"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Qualitative, exploratory and normative (Chamber of Deputies, 2021)</w:t>
            </w:r>
          </w:p>
        </w:tc>
      </w:tr>
      <w:tr w:rsidR="001A6650" w14:paraId="1C2E6284" w14:textId="77777777">
        <w:tc>
          <w:tcPr>
            <w:tcW w:w="1790" w:type="dxa"/>
            <w:vAlign w:val="center"/>
          </w:tcPr>
          <w:p w14:paraId="1EDC36C8"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mixed methods</w:t>
            </w:r>
          </w:p>
        </w:tc>
        <w:tc>
          <w:tcPr>
            <w:tcW w:w="3860" w:type="dxa"/>
            <w:vAlign w:val="center"/>
          </w:tcPr>
          <w:p w14:paraId="012E55D3"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Uncommon (OECD, 2019)</w:t>
            </w:r>
          </w:p>
        </w:tc>
        <w:tc>
          <w:tcPr>
            <w:tcW w:w="3988" w:type="dxa"/>
            <w:vAlign w:val="center"/>
          </w:tcPr>
          <w:p w14:paraId="699F37D9"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Rare ( Hair et al., 2014)</w:t>
            </w:r>
          </w:p>
        </w:tc>
      </w:tr>
      <w:tr w:rsidR="001A6650" w14:paraId="7A7EECAE" w14:textId="77777777">
        <w:tc>
          <w:tcPr>
            <w:tcW w:w="1790" w:type="dxa"/>
            <w:vAlign w:val="center"/>
          </w:tcPr>
          <w:p w14:paraId="3A86295C"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Statistical analysis</w:t>
            </w:r>
          </w:p>
        </w:tc>
        <w:tc>
          <w:tcPr>
            <w:tcW w:w="3860" w:type="dxa"/>
            <w:vAlign w:val="center"/>
          </w:tcPr>
          <w:p w14:paraId="47ED8C3B"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Widespread use (big data, modeling, simulations) ( Batty , 2016)</w:t>
            </w:r>
          </w:p>
        </w:tc>
        <w:tc>
          <w:tcPr>
            <w:tcW w:w="3988" w:type="dxa"/>
            <w:vAlign w:val="center"/>
          </w:tcPr>
          <w:p w14:paraId="7F299D27"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use, with a descriptive focus ( Hair et al., 2014)</w:t>
            </w:r>
          </w:p>
        </w:tc>
      </w:tr>
      <w:tr w:rsidR="001A6650" w14:paraId="4FB87924" w14:textId="77777777">
        <w:tc>
          <w:tcPr>
            <w:tcW w:w="1790" w:type="dxa"/>
            <w:vAlign w:val="center"/>
          </w:tcPr>
          <w:p w14:paraId="724AD7CD"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Theory-empiricism integration</w:t>
            </w:r>
          </w:p>
        </w:tc>
        <w:tc>
          <w:tcPr>
            <w:tcW w:w="3860" w:type="dxa"/>
            <w:vAlign w:val="center"/>
          </w:tcPr>
          <w:p w14:paraId="3C45D8C5"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in technical areas ( </w:t>
            </w:r>
            <w:proofErr w:type="spellStart"/>
            <w:r>
              <w:rPr>
                <w:rFonts w:ascii="Times New Roman" w:eastAsia="Times New Roman" w:hAnsi="Times New Roman" w:cs="Times New Roman"/>
                <w:color w:val="000000"/>
                <w:sz w:val="24"/>
                <w:szCs w:val="24"/>
              </w:rPr>
              <w:t>Alpaydin</w:t>
            </w:r>
            <w:proofErr w:type="spellEnd"/>
            <w:r>
              <w:rPr>
                <w:rFonts w:ascii="Times New Roman" w:eastAsia="Times New Roman" w:hAnsi="Times New Roman" w:cs="Times New Roman"/>
                <w:color w:val="000000"/>
                <w:sz w:val="24"/>
                <w:szCs w:val="24"/>
              </w:rPr>
              <w:t xml:space="preserve"> , 2016)</w:t>
            </w:r>
          </w:p>
        </w:tc>
        <w:tc>
          <w:tcPr>
            <w:tcW w:w="3988" w:type="dxa"/>
            <w:vAlign w:val="center"/>
          </w:tcPr>
          <w:p w14:paraId="5E99DCCC" w14:textId="77777777" w:rsidR="001A6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in theory, weak empirically (Santos, 2010)</w:t>
            </w:r>
          </w:p>
        </w:tc>
      </w:tr>
    </w:tbl>
    <w:p w14:paraId="730C3DA8"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5 highlights significant methodological asymmetries between national and international scientific production (OECD, 2019). In the international scenario, there is widespread use of </w:t>
      </w:r>
      <w:r>
        <w:rPr>
          <w:rFonts w:ascii="Times New Roman" w:eastAsia="Times New Roman" w:hAnsi="Times New Roman" w:cs="Times New Roman"/>
          <w:color w:val="000000"/>
          <w:sz w:val="24"/>
          <w:szCs w:val="24"/>
        </w:rPr>
        <w:lastRenderedPageBreak/>
        <w:t>quantitative methods, computational modeling, and experimental studies, especially in technical areas (Lee; Bagheri ; Kao , 2015; Batty , 2016).</w:t>
      </w:r>
    </w:p>
    <w:p w14:paraId="37A63F3B"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other hand, the national literature is characterized by the predominance of qualitative methods and normative analyses (Chamber of Deputies, 2021). Although fundamental for the institutional understanding of AI, the low incidence of quantitative methods limits the generalization of the results ( Hair et al., 2014).</w:t>
      </w:r>
    </w:p>
    <w:p w14:paraId="7FD4952B"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scarcity of research adopting mixed methods constitutes a central methodological gap (OECD, 2019). In this sense, the qualitative-quantitative approach adopted in this study represents a relevant methodological advance by articulating empirical data and theoretical discussion ( Hair et al., 2014).</w:t>
      </w:r>
    </w:p>
    <w:p w14:paraId="196B918D" w14:textId="77777777" w:rsidR="001A6650" w:rsidRDefault="00000000">
      <w:pPr>
        <w:spacing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summary, the analysis of national and international scientific production reveals an expanding field, marked by conceptual advances, normative disputes, and methodological gaps ( </w:t>
      </w:r>
      <w:proofErr w:type="spellStart"/>
      <w:r>
        <w:rPr>
          <w:rFonts w:ascii="Times New Roman" w:eastAsia="Times New Roman" w:hAnsi="Times New Roman" w:cs="Times New Roman"/>
          <w:color w:val="000000"/>
          <w:sz w:val="24"/>
          <w:szCs w:val="24"/>
        </w:rPr>
        <w:t>Floridi</w:t>
      </w:r>
      <w:proofErr w:type="spellEnd"/>
      <w:r>
        <w:rPr>
          <w:rFonts w:ascii="Times New Roman" w:eastAsia="Times New Roman" w:hAnsi="Times New Roman" w:cs="Times New Roman"/>
          <w:color w:val="000000"/>
          <w:sz w:val="24"/>
          <w:szCs w:val="24"/>
        </w:rPr>
        <w:t xml:space="preserve"> , 2018; WIPO, 2020). By proposing an integrated analysis of the interactions between Artificial Intelligence, intellectual property, and smart cities, this study contributes to advancing the debate and to the formulation of public policies and urban innovation strategies driven by data (OECD, 2020; Porter; </w:t>
      </w:r>
      <w:proofErr w:type="spellStart"/>
      <w:r>
        <w:rPr>
          <w:rFonts w:ascii="Times New Roman" w:eastAsia="Times New Roman" w:hAnsi="Times New Roman" w:cs="Times New Roman"/>
          <w:color w:val="000000"/>
          <w:sz w:val="24"/>
          <w:szCs w:val="24"/>
        </w:rPr>
        <w:t>Heppelmann</w:t>
      </w:r>
      <w:proofErr w:type="spellEnd"/>
      <w:r>
        <w:rPr>
          <w:rFonts w:ascii="Times New Roman" w:eastAsia="Times New Roman" w:hAnsi="Times New Roman" w:cs="Times New Roman"/>
          <w:color w:val="000000"/>
          <w:sz w:val="24"/>
          <w:szCs w:val="24"/>
        </w:rPr>
        <w:t xml:space="preserve"> , 2014).</w:t>
      </w:r>
    </w:p>
    <w:p w14:paraId="4EBB9CAC" w14:textId="77777777" w:rsidR="001A6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13.2 Statistical Treatment of Data</w:t>
      </w:r>
    </w:p>
    <w:p w14:paraId="0E765325"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characterization of the sample aimed to contextualize the respondents' profile and understand the empirical universe of the research. Sociodemographic and institutional variables were analyzed, including academic background, professional field, institutional affiliation, and degree of familiarity with Artificial Intelligence technologies. The initial descriptive analysis allowed us to identify the heterogeneity of the sample group, a relevant aspect for studies that address complex sociotechnical phenomena, such as the interaction between AI, intellectual property, and smart cities. This step ensures methodological transparency and provides support for the interpretation of subsequent results.</w:t>
      </w:r>
    </w:p>
    <w:p w14:paraId="6C60720E"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statistical analysis was employed to examine the overall behavior of the variables investigated in the questionnaire. Measures of central tendency, such as mean and median, as well as measures of dispersion, including standard deviation and variance, were calculated. This analysis allowed the identification of predominant patterns in respondents' perceptions regarding the use of Artificial Intelligence, the protection of intellectual property, urban innovation, and ethical and governance aspects. The descriptive results provided an initial overview of the data, serving as a basis for subsequent inferential and multivariate analyses.</w:t>
      </w:r>
    </w:p>
    <w:p w14:paraId="4B046517"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reliability of the measurement instruments was assessed using Cronbach 's Alpha coefficient , applied to the sets of variables that comprise the main constructs of the research. This analysis aimed to verify the internal consistency of the items and the adequacy of the indicators used to represent abstract concepts, such as data-driven governance, security, and socio-technical trust. The results obtained indicated satisfactory levels of reliability, allowing the items to remain in the analytical model and ensuring the robustness of the indices constructed from the collected data.</w:t>
      </w:r>
    </w:p>
    <w:p w14:paraId="02A713AD" w14:textId="77777777" w:rsidR="001A6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13.3 Descriptive statistics</w:t>
      </w:r>
    </w:p>
    <w:p w14:paraId="5EAA9209"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Analyzing the distribution of categorical variables allows us to understand how respondents qualitatively interpret the role of Artificial Intelligence in the context of smart cities, revealing patterns of perception that cannot be fully captured by numerical measures alone. From a methodological point of view, categorical analysis is particularly relevant in socio-technical studies, as it highlights preferences, symbolic associations, and cognitive structures shared by the actors involved in the urban innovation process.</w:t>
      </w:r>
    </w:p>
    <w:p w14:paraId="50B15A55"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indicate a predominance of categories associated with process automation </w:t>
      </w:r>
      <w:r>
        <w:rPr>
          <w:rFonts w:ascii="Times New Roman" w:eastAsia="Times New Roman" w:hAnsi="Times New Roman" w:cs="Times New Roman"/>
          <w:b/>
          <w:bCs/>
          <w:sz w:val="24"/>
          <w:szCs w:val="24"/>
        </w:rPr>
        <w:t xml:space="preserve">and </w:t>
      </w:r>
      <w:r>
        <w:rPr>
          <w:rFonts w:ascii="Times New Roman" w:eastAsia="Times New Roman" w:hAnsi="Times New Roman" w:cs="Times New Roman"/>
          <w:sz w:val="24"/>
          <w:szCs w:val="24"/>
        </w:rPr>
        <w:t>data-driven urban governance.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and to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Innovation in public services suggests that respondents understand the smart city as a technological ecosystem in which Artificial Intelligence acts as an integrating element between digital infrastructure, decision-making, and urban management. This distribution reinforces the conception of smart cities as complex cyber-physical systems , characterized by continuous data collection, algorithmic analysis, and automation of administrative and operational functions.</w:t>
      </w:r>
    </w:p>
    <w:p w14:paraId="3EE35169"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also indicate high averages for variables related to the future importance of AI and its application in smart cities, while individual security showed greater dispersion. To investigate the relationship between the main constructs analyzed, non-parametric correlation analysis was applied, using Spearman 's coefficient . The choice of this method is justified by the ordinal nature of the scales used in the questionnaire and the absence of normality assumptions. The analysis allowed the identification of statistically significant associations between perceptions of Artificial Intelligence, intellectual property, and urban innovation, highlighting relevant interdependencies between the dimensions studied and supporting integrated interpretations of the results.</w:t>
      </w:r>
    </w:p>
    <w:p w14:paraId="31B6FD84"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Likert scale, were analyzed , relating to respondents' perceptions of Artificial Intelligence (AI) in smart cities, its </w:t>
      </w:r>
      <w:r>
        <w:rPr>
          <w:rFonts w:ascii="Times New Roman" w:eastAsia="Times New Roman" w:hAnsi="Times New Roman" w:cs="Times New Roman"/>
          <w:color w:val="000000"/>
          <w:sz w:val="24"/>
          <w:szCs w:val="24"/>
        </w:rPr>
        <w:t>sectoral relevance, and its impacts on individual safety. Table 8 presents the descriptive statistical summary.</w:t>
      </w:r>
    </w:p>
    <w:p w14:paraId="1E064BB9" w14:textId="77777777" w:rsidR="001A6650" w:rsidRDefault="001A6650" w:rsidP="00C41C38">
      <w:pPr>
        <w:spacing w:line="360" w:lineRule="auto"/>
        <w:jc w:val="both"/>
        <w:rPr>
          <w:rFonts w:ascii="Times New Roman" w:eastAsia="Times New Roman" w:hAnsi="Times New Roman" w:cs="Times New Roman"/>
          <w:color w:val="000000"/>
          <w:sz w:val="24"/>
          <w:szCs w:val="24"/>
        </w:rPr>
      </w:pPr>
    </w:p>
    <w:p w14:paraId="7293B87E" w14:textId="77777777" w:rsidR="001A6650" w:rsidRDefault="001A6650">
      <w:pPr>
        <w:spacing w:line="360" w:lineRule="auto"/>
        <w:ind w:firstLine="142"/>
        <w:jc w:val="both"/>
        <w:rPr>
          <w:rFonts w:ascii="Times New Roman" w:eastAsia="Times New Roman" w:hAnsi="Times New Roman" w:cs="Times New Roman"/>
          <w:color w:val="000000"/>
          <w:sz w:val="24"/>
          <w:szCs w:val="24"/>
        </w:rPr>
      </w:pPr>
    </w:p>
    <w:p w14:paraId="2819B422" w14:textId="77777777" w:rsidR="001A6650" w:rsidRDefault="00000000">
      <w:pPr>
        <w:spacing w:after="0" w:line="360" w:lineRule="auto"/>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Table 8. </w:t>
      </w:r>
      <w:r>
        <w:rPr>
          <w:rFonts w:ascii="Times New Roman" w:eastAsia="Times New Roman" w:hAnsi="Times New Roman" w:cs="Times New Roman"/>
          <w:color w:val="000000"/>
          <w:sz w:val="24"/>
          <w:szCs w:val="24"/>
        </w:rPr>
        <w:t>Descriptive statistical summary.</w:t>
      </w:r>
    </w:p>
    <w:tbl>
      <w:tblPr>
        <w:tblStyle w:val="a5"/>
        <w:tblW w:w="9638" w:type="dxa"/>
        <w:tblInd w:w="0" w:type="dxa"/>
        <w:tblLayout w:type="fixed"/>
        <w:tblLook w:val="0400" w:firstRow="0" w:lastRow="0" w:firstColumn="0" w:lastColumn="0" w:noHBand="0" w:noVBand="1"/>
      </w:tblPr>
      <w:tblGrid>
        <w:gridCol w:w="4730"/>
        <w:gridCol w:w="714"/>
        <w:gridCol w:w="967"/>
        <w:gridCol w:w="1351"/>
        <w:gridCol w:w="480"/>
        <w:gridCol w:w="367"/>
        <w:gridCol w:w="487"/>
        <w:gridCol w:w="542"/>
      </w:tblGrid>
      <w:tr w:rsidR="001A6650" w14:paraId="57BD2C76" w14:textId="77777777">
        <w:trPr>
          <w:tblHeader/>
        </w:trPr>
        <w:tc>
          <w:tcPr>
            <w:tcW w:w="4730" w:type="dxa"/>
            <w:vAlign w:val="center"/>
          </w:tcPr>
          <w:p w14:paraId="7D2047A7"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Variable</w:t>
            </w:r>
          </w:p>
        </w:tc>
        <w:tc>
          <w:tcPr>
            <w:tcW w:w="714" w:type="dxa"/>
            <w:vAlign w:val="center"/>
          </w:tcPr>
          <w:p w14:paraId="5A69C090"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Average</w:t>
            </w:r>
          </w:p>
        </w:tc>
        <w:tc>
          <w:tcPr>
            <w:tcW w:w="967" w:type="dxa"/>
            <w:vAlign w:val="center"/>
          </w:tcPr>
          <w:p w14:paraId="260D278F"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Median</w:t>
            </w:r>
          </w:p>
        </w:tc>
        <w:tc>
          <w:tcPr>
            <w:tcW w:w="1351" w:type="dxa"/>
            <w:vAlign w:val="center"/>
          </w:tcPr>
          <w:p w14:paraId="61B36B38"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Standard deviation</w:t>
            </w:r>
          </w:p>
        </w:tc>
        <w:tc>
          <w:tcPr>
            <w:tcW w:w="480" w:type="dxa"/>
            <w:vAlign w:val="center"/>
          </w:tcPr>
          <w:p w14:paraId="3B252E1E"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Q1</w:t>
            </w:r>
          </w:p>
        </w:tc>
        <w:tc>
          <w:tcPr>
            <w:tcW w:w="367" w:type="dxa"/>
            <w:vAlign w:val="center"/>
          </w:tcPr>
          <w:p w14:paraId="1C670885"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Q3</w:t>
            </w:r>
          </w:p>
        </w:tc>
        <w:tc>
          <w:tcPr>
            <w:tcW w:w="487" w:type="dxa"/>
            <w:vAlign w:val="center"/>
          </w:tcPr>
          <w:p w14:paraId="37BEA511"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Min</w:t>
            </w:r>
          </w:p>
        </w:tc>
        <w:tc>
          <w:tcPr>
            <w:tcW w:w="542" w:type="dxa"/>
            <w:vAlign w:val="center"/>
          </w:tcPr>
          <w:p w14:paraId="27CF5358"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Max</w:t>
            </w:r>
          </w:p>
        </w:tc>
      </w:tr>
      <w:tr w:rsidR="001A6650" w14:paraId="05D2BE41" w14:textId="77777777">
        <w:tc>
          <w:tcPr>
            <w:tcW w:w="4730" w:type="dxa"/>
            <w:vAlign w:val="center"/>
          </w:tcPr>
          <w:p w14:paraId="0F5F8E60" w14:textId="77777777" w:rsidR="001A6650"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influence of AI on the development of smart cities.</w:t>
            </w:r>
          </w:p>
        </w:tc>
        <w:tc>
          <w:tcPr>
            <w:tcW w:w="714" w:type="dxa"/>
            <w:vAlign w:val="center"/>
          </w:tcPr>
          <w:p w14:paraId="5FE5B4BE"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4.04</w:t>
            </w:r>
          </w:p>
        </w:tc>
        <w:tc>
          <w:tcPr>
            <w:tcW w:w="967" w:type="dxa"/>
            <w:vAlign w:val="center"/>
          </w:tcPr>
          <w:p w14:paraId="0A53BBE3"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351" w:type="dxa"/>
            <w:vAlign w:val="center"/>
          </w:tcPr>
          <w:p w14:paraId="495BA54B"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0.92</w:t>
            </w:r>
          </w:p>
        </w:tc>
        <w:tc>
          <w:tcPr>
            <w:tcW w:w="480" w:type="dxa"/>
            <w:vAlign w:val="center"/>
          </w:tcPr>
          <w:p w14:paraId="5BE10011"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367" w:type="dxa"/>
            <w:vAlign w:val="center"/>
          </w:tcPr>
          <w:p w14:paraId="61CC7380"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487" w:type="dxa"/>
            <w:vAlign w:val="center"/>
          </w:tcPr>
          <w:p w14:paraId="7B77E1D8"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2" w:type="dxa"/>
            <w:vAlign w:val="center"/>
          </w:tcPr>
          <w:p w14:paraId="41200E56"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A6650" w14:paraId="7905C7CD" w14:textId="77777777">
        <w:tc>
          <w:tcPr>
            <w:tcW w:w="4730" w:type="dxa"/>
            <w:vAlign w:val="center"/>
          </w:tcPr>
          <w:p w14:paraId="00D98242" w14:textId="77777777" w:rsidR="001A6650"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Future importance of AI for the sector of activity.</w:t>
            </w:r>
          </w:p>
        </w:tc>
        <w:tc>
          <w:tcPr>
            <w:tcW w:w="714" w:type="dxa"/>
            <w:vAlign w:val="center"/>
          </w:tcPr>
          <w:p w14:paraId="3366CBC2"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w:t>
            </w:r>
          </w:p>
        </w:tc>
        <w:tc>
          <w:tcPr>
            <w:tcW w:w="967" w:type="dxa"/>
            <w:vAlign w:val="center"/>
          </w:tcPr>
          <w:p w14:paraId="09A3AAA5"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351" w:type="dxa"/>
            <w:vAlign w:val="center"/>
          </w:tcPr>
          <w:p w14:paraId="66D640C3"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0.91</w:t>
            </w:r>
          </w:p>
        </w:tc>
        <w:tc>
          <w:tcPr>
            <w:tcW w:w="480" w:type="dxa"/>
            <w:vAlign w:val="center"/>
          </w:tcPr>
          <w:p w14:paraId="447F5F9B"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w:t>
            </w:r>
          </w:p>
        </w:tc>
        <w:tc>
          <w:tcPr>
            <w:tcW w:w="367" w:type="dxa"/>
            <w:vAlign w:val="center"/>
          </w:tcPr>
          <w:p w14:paraId="65838889"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487" w:type="dxa"/>
            <w:vAlign w:val="center"/>
          </w:tcPr>
          <w:p w14:paraId="0219D7B3"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42" w:type="dxa"/>
            <w:vAlign w:val="center"/>
          </w:tcPr>
          <w:p w14:paraId="34749F08"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A6650" w14:paraId="214C838F" w14:textId="77777777">
        <w:tc>
          <w:tcPr>
            <w:tcW w:w="4730" w:type="dxa"/>
            <w:vAlign w:val="center"/>
          </w:tcPr>
          <w:p w14:paraId="6DCF08C5" w14:textId="77777777" w:rsidR="001A6650"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influence of AI on individual security.</w:t>
            </w:r>
          </w:p>
        </w:tc>
        <w:tc>
          <w:tcPr>
            <w:tcW w:w="714" w:type="dxa"/>
            <w:vAlign w:val="center"/>
          </w:tcPr>
          <w:p w14:paraId="3A904CCD"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w:t>
            </w:r>
          </w:p>
        </w:tc>
        <w:tc>
          <w:tcPr>
            <w:tcW w:w="967" w:type="dxa"/>
            <w:vAlign w:val="center"/>
          </w:tcPr>
          <w:p w14:paraId="4CDF2937"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351" w:type="dxa"/>
            <w:vAlign w:val="center"/>
          </w:tcPr>
          <w:p w14:paraId="283D0D88"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w:t>
            </w:r>
          </w:p>
        </w:tc>
        <w:tc>
          <w:tcPr>
            <w:tcW w:w="480" w:type="dxa"/>
            <w:vAlign w:val="center"/>
          </w:tcPr>
          <w:p w14:paraId="493CD91F"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367" w:type="dxa"/>
            <w:vAlign w:val="center"/>
          </w:tcPr>
          <w:p w14:paraId="3E625560"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487" w:type="dxa"/>
            <w:vAlign w:val="center"/>
          </w:tcPr>
          <w:p w14:paraId="5D7218EB"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2" w:type="dxa"/>
            <w:vAlign w:val="center"/>
          </w:tcPr>
          <w:p w14:paraId="7D32CF6D"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bl>
    <w:p w14:paraId="0F5FBB47" w14:textId="77777777" w:rsidR="001A6650" w:rsidRDefault="001A6650">
      <w:pPr>
        <w:spacing w:after="0" w:line="360" w:lineRule="auto"/>
        <w:jc w:val="both"/>
        <w:rPr>
          <w:rFonts w:ascii="Times New Roman" w:eastAsia="Times New Roman" w:hAnsi="Times New Roman" w:cs="Times New Roman"/>
          <w:color w:val="000000"/>
          <w:sz w:val="24"/>
          <w:szCs w:val="24"/>
        </w:rPr>
      </w:pPr>
    </w:p>
    <w:p w14:paraId="66A03A5A"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higher average values in the first two variables (Influence of AI on the development of smart cities and on the sector of activity) indicate a broadly positive perception of the role of AI in urban development and the future of economic sectors. The variable related to individual security shows a more moderate average, reflecting </w:t>
      </w:r>
      <w:r>
        <w:rPr>
          <w:rFonts w:ascii="Times New Roman" w:eastAsia="Times New Roman" w:hAnsi="Times New Roman" w:cs="Times New Roman"/>
          <w:sz w:val="24"/>
          <w:szCs w:val="24"/>
        </w:rPr>
        <w:t>a greater dispersion of opinions, which suggests the presence of ambivalent perceptions about the risks and benefits of the technology.</w:t>
      </w:r>
    </w:p>
    <w:p w14:paraId="2BEB8B4D" w14:textId="77777777" w:rsidR="001A6650" w:rsidRDefault="00000000">
      <w:pPr>
        <w:spacing w:line="360" w:lineRule="auto"/>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6DECAF7C" wp14:editId="2C152CF9">
            <wp:simplePos x="0" y="0"/>
            <wp:positionH relativeFrom="column">
              <wp:posOffset>539750</wp:posOffset>
            </wp:positionH>
            <wp:positionV relativeFrom="paragraph">
              <wp:posOffset>247650</wp:posOffset>
            </wp:positionV>
            <wp:extent cx="5162550" cy="3067050"/>
            <wp:effectExtent l="0" t="0" r="0" b="0"/>
            <wp:wrapTopAndBottom distT="0" distB="0"/>
            <wp:docPr id="1927565449" name="Gráfico 1927565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064BE570" w14:textId="77777777" w:rsidR="001A6650" w:rsidRDefault="001A6650">
      <w:pPr>
        <w:spacing w:line="360" w:lineRule="auto"/>
        <w:ind w:firstLine="142"/>
        <w:jc w:val="both"/>
        <w:rPr>
          <w:rFonts w:ascii="Times New Roman" w:eastAsia="Times New Roman" w:hAnsi="Times New Roman" w:cs="Times New Roman"/>
          <w:sz w:val="24"/>
          <w:szCs w:val="24"/>
        </w:rPr>
      </w:pPr>
    </w:p>
    <w:p w14:paraId="28ADB2B6"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strong association between Artificial Intelligence and intensive data use highlights the recognition of the centrality of information as a strategic input for urban innovation. Respondents tend to identify AI as a technology capable of transforming large volumes of urban data into actionable knowledge, supporting decisions in areas such as mobility, security, energy, and territorial planning. This finding converges with international literature, which highlights the analysis of urban big data as a pillar of smart cities, allowing for the anticipation of demands, the optimization of resources, and the personalization of public services.</w:t>
      </w:r>
    </w:p>
    <w:p w14:paraId="2AADAC5C"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the field of automation, the categorical distribution demonstrates that AI is widely perceived as a tool for rationalization and administrative efficiency. The recurring association between AI and urban process automation indicates that respondents recognize the technology's potential to reduce operational costs, increase the accuracy of decisions, and mitigate human error. This perception aligns with international studies that treat automation as a central dimension of smart cities. Governance , especially with regard to traffic management, energy control, and real-time urban monitoring.</w:t>
      </w:r>
    </w:p>
    <w:p w14:paraId="63BA20C2"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context of urban innovation, the predominance of categories related to the modernization of public services and the digital transformation of the State reveals a vision of the smart city as a space for technological and institutional experimentation. Empirical findings indicate that innovation is not understood merely as the adoption of new technologies, but as a reconfiguration of urban management models, integrating AI, data, and public policies. This interpretation directly engages with national literature, which emphasizes the need to adapt administrative and regulatory structures to enable urban innovation in a sustainable and inclusive way.</w:t>
      </w:r>
    </w:p>
    <w:p w14:paraId="76879C6C"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distribution of categorical variables also reveals a convergence between national and international perceptions, despite contextual differences. While international literature frequently associates smart cities with global competitiveness and economic efficiency, national studies tend to emphasize governance, public interest, and the reduction of inequalities. Empirical data reflect this convergence by indicating that respondents simultaneously recognize the innovative potential of AI and the need for its responsible application in the urban context.</w:t>
      </w:r>
    </w:p>
    <w:p w14:paraId="4B88D54B"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an analytical point of view, these results corroborate the literature that conceives of smart cities as hybrid socio-technical environments, in which technology, data, and institutions interact dynamically. The predominance of categories associated with automation, intensive data use, and urban innovation reinforces the understanding that Artificial Intelligence does not act in isolation, but as a structuring technology that reorganizes information flows, administrative practices, and decision-making processes.</w:t>
      </w:r>
    </w:p>
    <w:p w14:paraId="5B6B740A"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the analysis of the distribution of categorical variables demonstrates that the empirical perceptions captured in the survey are aligned with the main national and international theoretical currents on smart cities. The findings reinforce the centrality of Artificial Intelligence as a catalyst for data-driven urban innovation and support the argument that the governance of smart cities depends on the integration between automation, data analysis, and institutional arrangements capable of ensuring efficiency, transparency, and public interest.</w:t>
      </w:r>
    </w:p>
    <w:p w14:paraId="444F7CA6"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variables reveal consistent patterns of preference among respondents. Key points include:</w:t>
      </w:r>
    </w:p>
    <w:p w14:paraId="386DBE0D" w14:textId="77777777" w:rsidR="001A6650"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Strong association of AI with smart governance and data-driven urban management;</w:t>
      </w:r>
    </w:p>
    <w:p w14:paraId="6520D914" w14:textId="77777777" w:rsidR="001A6650"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Predominant perception of significant impacts of AI on public services, urban mobility, and energy </w:t>
      </w:r>
      <w:r>
        <w:rPr>
          <w:rFonts w:ascii="Times New Roman" w:eastAsia="Times New Roman" w:hAnsi="Times New Roman" w:cs="Times New Roman"/>
          <w:b/>
          <w:bCs/>
          <w:color w:val="000000"/>
          <w:sz w:val="24"/>
          <w:szCs w:val="24"/>
        </w:rPr>
        <w:t>;</w:t>
      </w:r>
    </w:p>
    <w:p w14:paraId="3834C4BC" w14:textId="77777777" w:rsidR="001A6650"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Broad recognition of the future presence of AI in education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particularly through personalized learning and decision-making support.</w:t>
      </w:r>
    </w:p>
    <w:p w14:paraId="5B6C2C6C"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corroborate national and international literature that associates smart cities with automation, intensive use of data, and urban innovation.</w:t>
      </w:r>
    </w:p>
    <w:p w14:paraId="5FF11A0D" w14:textId="77777777" w:rsidR="001A6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13.4 Histogram Analysis of the Influence of Artificial Intelligence on Smart Cities</w:t>
      </w:r>
    </w:p>
    <w:p w14:paraId="3F81575D"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histogram for the variable </w:t>
      </w:r>
      <w:r>
        <w:rPr>
          <w:rFonts w:ascii="Times New Roman" w:eastAsia="Times New Roman" w:hAnsi="Times New Roman" w:cs="Times New Roman"/>
          <w:i/>
          <w:iCs/>
          <w:sz w:val="24"/>
          <w:szCs w:val="24"/>
        </w:rPr>
        <w:t xml:space="preserve">"Influence of Artificial Intelligence on the development of smart cities" </w:t>
      </w:r>
      <w:r>
        <w:rPr>
          <w:rFonts w:ascii="Times New Roman" w:eastAsia="Times New Roman" w:hAnsi="Times New Roman" w:cs="Times New Roman"/>
          <w:sz w:val="24"/>
          <w:szCs w:val="24"/>
        </w:rPr>
        <w:t>aims to graphically represent the distribution of participants' responses along a five-point Likert scale . From a theoretical point of view, the histogram is an essential tool in descriptive statistics, as it allows for the evaluation of the shape of the data distribution, the identification of frequency concentrations, asymmetries, and possible deviations from normality.</w:t>
      </w:r>
    </w:p>
    <w:p w14:paraId="6001612D"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case analyzed, a significant concentration of responses is observed in the higher values of the scale, especially at points 4 and 5. This distribution indicates that most respondents attribute a high or very high influence of Artificial Intelligence on the development of smart cities. The minimum values (1 and 2) show residual frequency, suggesting low disagreement or skepticism regarding the role of AI in the urban context.</w:t>
      </w:r>
    </w:p>
    <w:p w14:paraId="2FF9E5BF" w14:textId="77777777" w:rsidR="001A6650" w:rsidRDefault="00000000">
      <w:pPr>
        <w:spacing w:after="0" w:line="36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6B08ED" wp14:editId="7C4235F9">
            <wp:extent cx="3604579" cy="3106585"/>
            <wp:effectExtent l="0" t="0" r="0" b="0"/>
            <wp:docPr id="19275654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604579" cy="3106585"/>
                    </a:xfrm>
                    <a:prstGeom prst="rect">
                      <a:avLst/>
                    </a:prstGeom>
                    <a:ln/>
                  </pic:spPr>
                </pic:pic>
              </a:graphicData>
            </a:graphic>
          </wp:inline>
        </w:drawing>
      </w:r>
    </w:p>
    <w:p w14:paraId="20EFA788" w14:textId="77777777" w:rsidR="001A6650" w:rsidRDefault="00000000">
      <w:pPr>
        <w:spacing w:line="360" w:lineRule="auto"/>
        <w:ind w:left="142" w:right="14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4. </w:t>
      </w:r>
      <w:r>
        <w:rPr>
          <w:rFonts w:ascii="Times New Roman" w:eastAsia="Times New Roman" w:hAnsi="Times New Roman" w:cs="Times New Roman"/>
          <w:sz w:val="24"/>
          <w:szCs w:val="24"/>
        </w:rPr>
        <w:t>Influence of AI on smart cities.</w:t>
      </w:r>
    </w:p>
    <w:p w14:paraId="24FAC966"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From a statistical point of view, the distribution shows negative skewness (to the left) </w:t>
      </w:r>
      <w:r>
        <w:rPr>
          <w:rFonts w:ascii="Times New Roman" w:eastAsia="Times New Roman" w:hAnsi="Times New Roman" w:cs="Times New Roman"/>
          <w:b/>
          <w:bCs/>
          <w:sz w:val="24"/>
          <w:szCs w:val="24"/>
        </w:rPr>
        <w:t xml:space="preserve">, </w:t>
      </w:r>
      <w:sdt>
        <w:sdtPr>
          <w:tag w:val="goog_rdk_0"/>
          <w:id w:val="46794656"/>
        </w:sdtPr>
        <w:sdtContent>
          <w:r>
            <w:rPr>
              <w:rFonts w:ascii="Gungsuh" w:eastAsia="Gungsuh" w:hAnsi="Gungsuh" w:cs="Gungsuh"/>
              <w:sz w:val="24"/>
              <w:szCs w:val="24"/>
            </w:rPr>
            <w:t xml:space="preserve"> </w:t>
          </w:r>
          <w:r w:rsidRPr="00C41C38">
            <w:rPr>
              <w:rFonts w:ascii="Times New Roman" w:eastAsia="Gungsuh" w:hAnsi="Times New Roman" w:cs="Times New Roman"/>
              <w:sz w:val="24"/>
              <w:szCs w:val="24"/>
            </w:rPr>
            <w:t xml:space="preserve">característica de variáveis perceptivas quando há consenso positivo entre os respondentes. </w:t>
          </w:r>
          <w:r w:rsidRPr="00C41C38">
            <w:rPr>
              <w:rFonts w:ascii="Times New Roman" w:eastAsia="Gungsuh" w:hAnsi="Times New Roman" w:cs="Times New Roman"/>
              <w:sz w:val="24"/>
              <w:szCs w:val="24"/>
              <w:lang w:val="pt-BR"/>
            </w:rPr>
            <w:t xml:space="preserve">Essa assimetria é corroborada pela média elevada (≈ 4,04) e pela mediana igual a 4, indicando que mais da metade das respostas situa-se nos níveis superiores da escala. </w:t>
          </w:r>
          <w:r w:rsidRPr="00C41C38">
            <w:rPr>
              <w:rFonts w:ascii="Times New Roman" w:eastAsia="Gungsuh" w:hAnsi="Times New Roman" w:cs="Times New Roman"/>
              <w:sz w:val="24"/>
              <w:szCs w:val="24"/>
            </w:rPr>
            <w:t xml:space="preserve">O </w:t>
          </w:r>
          <w:proofErr w:type="spellStart"/>
          <w:r w:rsidRPr="00C41C38">
            <w:rPr>
              <w:rFonts w:ascii="Times New Roman" w:eastAsia="Gungsuh" w:hAnsi="Times New Roman" w:cs="Times New Roman"/>
              <w:sz w:val="24"/>
              <w:szCs w:val="24"/>
            </w:rPr>
            <w:t>desvio-padrão</w:t>
          </w:r>
          <w:proofErr w:type="spellEnd"/>
          <w:r w:rsidRPr="00C41C38">
            <w:rPr>
              <w:rFonts w:ascii="Times New Roman" w:eastAsia="Gungsuh" w:hAnsi="Times New Roman" w:cs="Times New Roman"/>
              <w:sz w:val="24"/>
              <w:szCs w:val="24"/>
            </w:rPr>
            <w:t xml:space="preserve"> </w:t>
          </w:r>
          <w:proofErr w:type="spellStart"/>
          <w:r w:rsidRPr="00C41C38">
            <w:rPr>
              <w:rFonts w:ascii="Times New Roman" w:eastAsia="Gungsuh" w:hAnsi="Times New Roman" w:cs="Times New Roman"/>
              <w:sz w:val="24"/>
              <w:szCs w:val="24"/>
            </w:rPr>
            <w:t>relativamente</w:t>
          </w:r>
          <w:proofErr w:type="spellEnd"/>
          <w:r w:rsidRPr="00C41C38">
            <w:rPr>
              <w:rFonts w:ascii="Times New Roman" w:eastAsia="Gungsuh" w:hAnsi="Times New Roman" w:cs="Times New Roman"/>
              <w:sz w:val="24"/>
              <w:szCs w:val="24"/>
            </w:rPr>
            <w:t xml:space="preserve"> </w:t>
          </w:r>
          <w:proofErr w:type="spellStart"/>
          <w:r w:rsidRPr="00C41C38">
            <w:rPr>
              <w:rFonts w:ascii="Times New Roman" w:eastAsia="Gungsuh" w:hAnsi="Times New Roman" w:cs="Times New Roman"/>
              <w:sz w:val="24"/>
              <w:szCs w:val="24"/>
            </w:rPr>
            <w:t>baixo</w:t>
          </w:r>
          <w:proofErr w:type="spellEnd"/>
          <w:r w:rsidRPr="00C41C38">
            <w:rPr>
              <w:rFonts w:ascii="Times New Roman" w:eastAsia="Gungsuh" w:hAnsi="Times New Roman" w:cs="Times New Roman"/>
              <w:sz w:val="24"/>
              <w:szCs w:val="24"/>
            </w:rPr>
            <w:t xml:space="preserve"> (≈ 0,92) sugere</w:t>
          </w:r>
          <w:r>
            <w:rPr>
              <w:rFonts w:ascii="Gungsuh" w:eastAsia="Gungsuh" w:hAnsi="Gungsuh" w:cs="Gungsuh"/>
              <w:sz w:val="24"/>
              <w:szCs w:val="24"/>
            </w:rPr>
            <w:t xml:space="preserve"> </w:t>
          </w:r>
        </w:sdtContent>
      </w:sdt>
      <w:r>
        <w:rPr>
          <w:rFonts w:ascii="Times New Roman" w:eastAsia="Times New Roman" w:hAnsi="Times New Roman" w:cs="Times New Roman"/>
          <w:sz w:val="24"/>
          <w:szCs w:val="24"/>
        </w:rPr>
        <w:t>low dispersion, reinforcing the homogeneity of perceptions.</w:t>
      </w:r>
    </w:p>
    <w:p w14:paraId="440D2259"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histogram analysis also provides important methodological support. The absence of perfect symmetry and the ordinal nature of the scale justify the choice of non-parametric statistical methods in subsequent inferential analyses, such as Spearman 's correlation . At the same time, the concentration on high values highlights the consolidation of Artificial Intelligence as a central element in the academic and professional imagination associated with smart cities, in line with the scientific literature analyzed.</w:t>
      </w:r>
    </w:p>
    <w:p w14:paraId="46EB976F" w14:textId="77777777" w:rsidR="001A6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13.5 Analysis of the Scatter Plot between the Influence of AI on Smart Cities and the Sectoral Importance of AI</w:t>
      </w:r>
    </w:p>
    <w:p w14:paraId="571D54C4"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scatter plot was used to examine the relationship between two numerical variables: the perception of the </w:t>
      </w:r>
      <w:r>
        <w:rPr>
          <w:rFonts w:ascii="Times New Roman" w:eastAsia="Times New Roman" w:hAnsi="Times New Roman" w:cs="Times New Roman"/>
          <w:i/>
          <w:iCs/>
          <w:sz w:val="24"/>
          <w:szCs w:val="24"/>
        </w:rPr>
        <w:t xml:space="preserve">influence of Artificial Intelligence on the development of smart cities </w:t>
      </w:r>
      <w:r>
        <w:rPr>
          <w:rFonts w:ascii="Times New Roman" w:eastAsia="Times New Roman" w:hAnsi="Times New Roman" w:cs="Times New Roman"/>
          <w:sz w:val="24"/>
          <w:szCs w:val="24"/>
        </w:rPr>
        <w:t xml:space="preserve">and the </w:t>
      </w:r>
      <w:r>
        <w:rPr>
          <w:rFonts w:ascii="Times New Roman" w:eastAsia="Times New Roman" w:hAnsi="Times New Roman" w:cs="Times New Roman"/>
          <w:i/>
          <w:iCs/>
          <w:sz w:val="24"/>
          <w:szCs w:val="24"/>
        </w:rPr>
        <w:t xml:space="preserve">future importance of Artificial Intelligence for the respondent's sector of activity </w:t>
      </w:r>
      <w:r>
        <w:rPr>
          <w:rFonts w:ascii="Times New Roman" w:eastAsia="Times New Roman" w:hAnsi="Times New Roman" w:cs="Times New Roman"/>
          <w:sz w:val="24"/>
          <w:szCs w:val="24"/>
        </w:rPr>
        <w:t>. From a theoretical point of view, the scatter plot allows visualization of association patterns, linear trends, concentration of points, and possible outliers, being a fundamental step for the interpretation of correlations and regression models.</w:t>
      </w:r>
    </w:p>
    <w:p w14:paraId="1B49BC12"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Visually, the graph shows a well-defined positive linear trend, with points distributed upwards along the Cartesian plane. This indicates that higher values attributed to the influence of AI in cities are consistently associated with higher values of future importance of AI for the professional sector. No random patterns or excessive dispersion are observed that would indicate an absence of relationship between the variables.</w:t>
      </w:r>
    </w:p>
    <w:p w14:paraId="76C0C259" w14:textId="77777777" w:rsidR="001A6650" w:rsidRDefault="00000000">
      <w:pPr>
        <w:spacing w:after="0" w:line="360" w:lineRule="auto"/>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131D9569" wp14:editId="70F98BAC">
            <wp:extent cx="3602013" cy="3364499"/>
            <wp:effectExtent l="0" t="0" r="0" b="0"/>
            <wp:docPr id="19275654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602013" cy="3364499"/>
                    </a:xfrm>
                    <a:prstGeom prst="rect">
                      <a:avLst/>
                    </a:prstGeom>
                    <a:ln/>
                  </pic:spPr>
                </pic:pic>
              </a:graphicData>
            </a:graphic>
          </wp:inline>
        </w:drawing>
      </w:r>
    </w:p>
    <w:p w14:paraId="5BECB8EE" w14:textId="77777777" w:rsidR="001A6650" w:rsidRDefault="00000000">
      <w:pPr>
        <w:spacing w:line="360" w:lineRule="auto"/>
        <w:ind w:left="142" w:right="141"/>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Figure 5. </w:t>
      </w:r>
      <w:r>
        <w:rPr>
          <w:rFonts w:ascii="Times New Roman" w:eastAsia="Times New Roman" w:hAnsi="Times New Roman" w:cs="Times New Roman"/>
          <w:color w:val="000000"/>
          <w:sz w:val="24"/>
          <w:szCs w:val="24"/>
        </w:rPr>
        <w:t>Scatter plot of AI perceptions – Swap and place lines</w:t>
      </w:r>
    </w:p>
    <w:p w14:paraId="237F722E" w14:textId="77777777" w:rsidR="001A6650" w:rsidRPr="00C41C38" w:rsidRDefault="00000000">
      <w:pPr>
        <w:spacing w:line="360" w:lineRule="auto"/>
        <w:ind w:firstLine="142"/>
        <w:jc w:val="both"/>
        <w:rPr>
          <w:rFonts w:ascii="Times New Roman" w:eastAsia="Times New Roman" w:hAnsi="Times New Roman" w:cs="Times New Roman"/>
          <w:color w:val="000000"/>
          <w:sz w:val="24"/>
          <w:szCs w:val="24"/>
        </w:rPr>
      </w:pPr>
      <w:sdt>
        <w:sdtPr>
          <w:rPr>
            <w:rFonts w:ascii="Times New Roman" w:hAnsi="Times New Roman" w:cs="Times New Roman"/>
          </w:rPr>
          <w:tag w:val="goog_rdk_1"/>
          <w:id w:val="-175933394"/>
        </w:sdtPr>
        <w:sdtContent>
          <w:r w:rsidRPr="00C41C38">
            <w:rPr>
              <w:rFonts w:ascii="Times New Roman" w:eastAsia="Gungsuh" w:hAnsi="Times New Roman" w:cs="Times New Roman"/>
              <w:color w:val="000000"/>
              <w:sz w:val="24"/>
              <w:szCs w:val="24"/>
              <w:lang w:val="pt-BR"/>
            </w:rPr>
            <w:t xml:space="preserve">Do ponto de vista estatístico, essa tendência visual é confirmada pelos resultados da correlação e da regressão linear. </w:t>
          </w:r>
          <w:r w:rsidRPr="00C41C38">
            <w:rPr>
              <w:rFonts w:ascii="Times New Roman" w:eastAsia="Gungsuh" w:hAnsi="Times New Roman" w:cs="Times New Roman"/>
              <w:color w:val="000000"/>
              <w:sz w:val="24"/>
              <w:szCs w:val="24"/>
            </w:rPr>
            <w:t xml:space="preserve">O </w:t>
          </w:r>
          <w:proofErr w:type="spellStart"/>
          <w:r w:rsidRPr="00C41C38">
            <w:rPr>
              <w:rFonts w:ascii="Times New Roman" w:eastAsia="Gungsuh" w:hAnsi="Times New Roman" w:cs="Times New Roman"/>
              <w:color w:val="000000"/>
              <w:sz w:val="24"/>
              <w:szCs w:val="24"/>
            </w:rPr>
            <w:t>coeficiente</w:t>
          </w:r>
          <w:proofErr w:type="spellEnd"/>
          <w:r w:rsidRPr="00C41C38">
            <w:rPr>
              <w:rFonts w:ascii="Times New Roman" w:eastAsia="Gungsuh" w:hAnsi="Times New Roman" w:cs="Times New Roman"/>
              <w:color w:val="000000"/>
              <w:sz w:val="24"/>
              <w:szCs w:val="24"/>
            </w:rPr>
            <w:t xml:space="preserve"> de </w:t>
          </w:r>
          <w:proofErr w:type="spellStart"/>
          <w:r w:rsidRPr="00C41C38">
            <w:rPr>
              <w:rFonts w:ascii="Times New Roman" w:eastAsia="Gungsuh" w:hAnsi="Times New Roman" w:cs="Times New Roman"/>
              <w:color w:val="000000"/>
              <w:sz w:val="24"/>
              <w:szCs w:val="24"/>
            </w:rPr>
            <w:t>determinação</w:t>
          </w:r>
          <w:proofErr w:type="spellEnd"/>
          <w:r w:rsidRPr="00C41C38">
            <w:rPr>
              <w:rFonts w:ascii="Times New Roman" w:eastAsia="Gungsuh" w:hAnsi="Times New Roman" w:cs="Times New Roman"/>
              <w:color w:val="000000"/>
              <w:sz w:val="24"/>
              <w:szCs w:val="24"/>
            </w:rPr>
            <w:t xml:space="preserve"> do modelo de regressão (R² ≈ 0,39) indica que cerca de </w:t>
          </w:r>
        </w:sdtContent>
      </w:sdt>
      <w:r w:rsidRPr="00C41C38">
        <w:rPr>
          <w:rFonts w:ascii="Times New Roman" w:eastAsia="Times New Roman" w:hAnsi="Times New Roman" w:cs="Times New Roman"/>
          <w:color w:val="000000"/>
          <w:sz w:val="24"/>
          <w:szCs w:val="24"/>
        </w:rPr>
        <w:t>39% of the variability in perception regarding the future importance of AI can be explained by the perception of its influence in the urban context. In social and perceptual research, this value is considered significant, signaling a substantial relationship between the phenomena analyzed.</w:t>
      </w:r>
    </w:p>
    <w:p w14:paraId="6B4C21E1" w14:textId="77777777" w:rsidR="001A6650" w:rsidRPr="00C41C38" w:rsidRDefault="00000000">
      <w:pPr>
        <w:spacing w:line="360" w:lineRule="auto"/>
        <w:ind w:firstLine="142"/>
        <w:jc w:val="both"/>
        <w:rPr>
          <w:rFonts w:ascii="Times New Roman" w:eastAsia="Times New Roman" w:hAnsi="Times New Roman" w:cs="Times New Roman"/>
          <w:sz w:val="24"/>
          <w:szCs w:val="24"/>
          <w:lang w:val="pt-BR"/>
        </w:rPr>
      </w:pPr>
      <w:proofErr w:type="spellStart"/>
      <w:r w:rsidRPr="00C41C38">
        <w:rPr>
          <w:rFonts w:ascii="Times New Roman" w:eastAsia="Times New Roman" w:hAnsi="Times New Roman" w:cs="Times New Roman"/>
          <w:color w:val="000000"/>
          <w:sz w:val="24"/>
          <w:szCs w:val="24"/>
          <w:lang w:val="pt-BR"/>
        </w:rPr>
        <w:t>Furthermore</w:t>
      </w:r>
      <w:proofErr w:type="spellEnd"/>
      <w:r w:rsidRPr="00C41C38">
        <w:rPr>
          <w:rFonts w:ascii="Times New Roman" w:eastAsia="Times New Roman" w:hAnsi="Times New Roman" w:cs="Times New Roman"/>
          <w:color w:val="000000"/>
          <w:sz w:val="24"/>
          <w:szCs w:val="24"/>
          <w:lang w:val="pt-BR"/>
        </w:rPr>
        <w:t xml:space="preserve">, </w:t>
      </w:r>
      <w:proofErr w:type="spellStart"/>
      <w:r w:rsidRPr="00C41C38">
        <w:rPr>
          <w:rFonts w:ascii="Times New Roman" w:eastAsia="Times New Roman" w:hAnsi="Times New Roman" w:cs="Times New Roman"/>
          <w:color w:val="000000"/>
          <w:sz w:val="24"/>
          <w:szCs w:val="24"/>
          <w:lang w:val="pt-BR"/>
        </w:rPr>
        <w:t>the</w:t>
      </w:r>
      <w:proofErr w:type="spellEnd"/>
      <w:r w:rsidRPr="00C41C38">
        <w:rPr>
          <w:rFonts w:ascii="Times New Roman" w:eastAsia="Times New Roman" w:hAnsi="Times New Roman" w:cs="Times New Roman"/>
          <w:color w:val="000000"/>
          <w:sz w:val="24"/>
          <w:szCs w:val="24"/>
          <w:lang w:val="pt-BR"/>
        </w:rPr>
        <w:t xml:space="preserve"> positive </w:t>
      </w:r>
      <w:proofErr w:type="spellStart"/>
      <w:r w:rsidRPr="00C41C38">
        <w:rPr>
          <w:rFonts w:ascii="Times New Roman" w:eastAsia="Times New Roman" w:hAnsi="Times New Roman" w:cs="Times New Roman"/>
          <w:color w:val="000000"/>
          <w:sz w:val="24"/>
          <w:szCs w:val="24"/>
          <w:lang w:val="pt-BR"/>
        </w:rPr>
        <w:t>slope</w:t>
      </w:r>
      <w:proofErr w:type="spellEnd"/>
      <w:r w:rsidRPr="00C41C38">
        <w:rPr>
          <w:rFonts w:ascii="Times New Roman" w:eastAsia="Times New Roman" w:hAnsi="Times New Roman" w:cs="Times New Roman"/>
          <w:color w:val="000000"/>
          <w:sz w:val="24"/>
          <w:szCs w:val="24"/>
          <w:lang w:val="pt-BR"/>
        </w:rPr>
        <w:t xml:space="preserve"> </w:t>
      </w:r>
      <w:proofErr w:type="spellStart"/>
      <w:r w:rsidRPr="00C41C38">
        <w:rPr>
          <w:rFonts w:ascii="Times New Roman" w:eastAsia="Times New Roman" w:hAnsi="Times New Roman" w:cs="Times New Roman"/>
          <w:color w:val="000000"/>
          <w:sz w:val="24"/>
          <w:szCs w:val="24"/>
          <w:lang w:val="pt-BR"/>
        </w:rPr>
        <w:t>coefficient</w:t>
      </w:r>
      <w:proofErr w:type="spellEnd"/>
      <w:r w:rsidRPr="00C41C38">
        <w:rPr>
          <w:rFonts w:ascii="Times New Roman" w:eastAsia="Times New Roman" w:hAnsi="Times New Roman" w:cs="Times New Roman"/>
          <w:color w:val="000000"/>
          <w:sz w:val="24"/>
          <w:szCs w:val="24"/>
          <w:lang w:val="pt-BR"/>
        </w:rPr>
        <w:t xml:space="preserve"> </w:t>
      </w:r>
      <w:proofErr w:type="spellStart"/>
      <w:r w:rsidRPr="00C41C38">
        <w:rPr>
          <w:rFonts w:ascii="Times New Roman" w:eastAsia="Times New Roman" w:hAnsi="Times New Roman" w:cs="Times New Roman"/>
          <w:color w:val="000000"/>
          <w:sz w:val="24"/>
          <w:szCs w:val="24"/>
          <w:lang w:val="pt-BR"/>
        </w:rPr>
        <w:t>of</w:t>
      </w:r>
      <w:proofErr w:type="spellEnd"/>
      <w:r w:rsidRPr="00C41C38">
        <w:rPr>
          <w:rFonts w:ascii="Times New Roman" w:eastAsia="Times New Roman" w:hAnsi="Times New Roman" w:cs="Times New Roman"/>
          <w:color w:val="000000"/>
          <w:sz w:val="24"/>
          <w:szCs w:val="24"/>
          <w:lang w:val="pt-BR"/>
        </w:rPr>
        <w:t xml:space="preserve"> </w:t>
      </w:r>
      <w:proofErr w:type="spellStart"/>
      <w:r w:rsidRPr="00C41C38">
        <w:rPr>
          <w:rFonts w:ascii="Times New Roman" w:eastAsia="Times New Roman" w:hAnsi="Times New Roman" w:cs="Times New Roman"/>
          <w:color w:val="000000"/>
          <w:sz w:val="24"/>
          <w:szCs w:val="24"/>
          <w:lang w:val="pt-BR"/>
        </w:rPr>
        <w:t>the</w:t>
      </w:r>
      <w:proofErr w:type="spellEnd"/>
      <w:r w:rsidRPr="00C41C38">
        <w:rPr>
          <w:rFonts w:ascii="Times New Roman" w:eastAsia="Times New Roman" w:hAnsi="Times New Roman" w:cs="Times New Roman"/>
          <w:color w:val="000000"/>
          <w:sz w:val="24"/>
          <w:szCs w:val="24"/>
          <w:lang w:val="pt-BR"/>
        </w:rPr>
        <w:t xml:space="preserve"> </w:t>
      </w:r>
      <w:proofErr w:type="spellStart"/>
      <w:r w:rsidRPr="00C41C38">
        <w:rPr>
          <w:rFonts w:ascii="Times New Roman" w:eastAsia="Times New Roman" w:hAnsi="Times New Roman" w:cs="Times New Roman"/>
          <w:color w:val="000000"/>
          <w:sz w:val="24"/>
          <w:szCs w:val="24"/>
          <w:lang w:val="pt-BR"/>
        </w:rPr>
        <w:t>regression</w:t>
      </w:r>
      <w:proofErr w:type="spellEnd"/>
      <w:sdt>
        <w:sdtPr>
          <w:rPr>
            <w:rFonts w:ascii="Times New Roman" w:hAnsi="Times New Roman" w:cs="Times New Roman"/>
          </w:rPr>
          <w:tag w:val="goog_rdk_2"/>
          <w:id w:val="1949313275"/>
        </w:sdtPr>
        <w:sdtContent>
          <w:r w:rsidRPr="00C41C38">
            <w:rPr>
              <w:rFonts w:ascii="Times New Roman" w:eastAsia="Gungsuh" w:hAnsi="Times New Roman" w:cs="Times New Roman"/>
              <w:sz w:val="24"/>
              <w:szCs w:val="24"/>
              <w:lang w:val="pt-BR"/>
            </w:rPr>
            <w:t xml:space="preserve">(≈ 0,61) demonstra que o aumento na percepção da influência urbana da IA </w:t>
          </w:r>
          <w:proofErr w:type="gramStart"/>
          <w:r w:rsidRPr="00C41C38">
            <w:rPr>
              <w:rFonts w:ascii="Times New Roman" w:eastAsia="Gungsuh" w:hAnsi="Times New Roman" w:cs="Times New Roman"/>
              <w:sz w:val="24"/>
              <w:szCs w:val="24"/>
              <w:lang w:val="pt-BR"/>
            </w:rPr>
            <w:t>está</w:t>
          </w:r>
          <w:proofErr w:type="gramEnd"/>
          <w:r w:rsidRPr="00C41C38">
            <w:rPr>
              <w:rFonts w:ascii="Times New Roman" w:eastAsia="Gungsuh" w:hAnsi="Times New Roman" w:cs="Times New Roman"/>
              <w:sz w:val="24"/>
              <w:szCs w:val="24"/>
              <w:lang w:val="pt-BR"/>
            </w:rPr>
            <w:t xml:space="preserve"> associado a um aumento proporcional na expectativa de impacto setorial. A ausência de padrões curvilíneos ou dispersão excessiva sugere que a relação entre as variáveis é aproximadamente linear, reforçando a adequação do modelo estimado.</w:t>
          </w:r>
        </w:sdtContent>
      </w:sdt>
    </w:p>
    <w:p w14:paraId="62BCA667" w14:textId="77777777" w:rsidR="001A6650" w:rsidRDefault="00000000">
      <w:pPr>
        <w:spacing w:line="360" w:lineRule="auto"/>
        <w:ind w:firstLine="142"/>
        <w:jc w:val="both"/>
        <w:rPr>
          <w:rFonts w:ascii="Times New Roman" w:eastAsia="Times New Roman" w:hAnsi="Times New Roman" w:cs="Times New Roman"/>
          <w:sz w:val="24"/>
          <w:szCs w:val="24"/>
        </w:rPr>
      </w:pPr>
      <w:r w:rsidRPr="00C41C38">
        <w:rPr>
          <w:rFonts w:ascii="Times New Roman" w:eastAsia="Times New Roman" w:hAnsi="Times New Roman" w:cs="Times New Roman"/>
          <w:sz w:val="24"/>
          <w:szCs w:val="24"/>
        </w:rPr>
        <w:t xml:space="preserve">From an interpretative point of view, the scatter plot reveals that </w:t>
      </w:r>
      <w:r w:rsidRPr="00C41C38">
        <w:rPr>
          <w:rFonts w:ascii="Times New Roman" w:eastAsia="Times New Roman" w:hAnsi="Times New Roman" w:cs="Times New Roman"/>
          <w:b/>
          <w:bCs/>
          <w:sz w:val="24"/>
          <w:szCs w:val="24"/>
        </w:rPr>
        <w:t>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symbolic and cognitive experience of the smart city plays a relevant role in how individuals evaluate the future of Artificial Intelligence in their fields of activity. In other words, the more AI is perceived as a structuring element of urban dynamics, the greater its value tends to be as a strategic technology for economic and professional development. This finding directly relates to the literature on data-driven urban innovation and reinforces the interdependence between smart urban governance and AI-based sectoral transformation.</w:t>
      </w:r>
    </w:p>
    <w:p w14:paraId="7A48AC62" w14:textId="77777777" w:rsidR="001A6650" w:rsidRDefault="001A6650">
      <w:pPr>
        <w:spacing w:line="360" w:lineRule="auto"/>
        <w:ind w:firstLine="142"/>
        <w:jc w:val="both"/>
        <w:rPr>
          <w:rFonts w:ascii="Times New Roman" w:eastAsia="Times New Roman" w:hAnsi="Times New Roman" w:cs="Times New Roman"/>
          <w:sz w:val="24"/>
          <w:szCs w:val="24"/>
        </w:rPr>
      </w:pPr>
    </w:p>
    <w:p w14:paraId="510A2C2E" w14:textId="77777777" w:rsidR="001A6650" w:rsidRDefault="001A6650">
      <w:pPr>
        <w:spacing w:line="360" w:lineRule="auto"/>
        <w:ind w:firstLine="142"/>
        <w:jc w:val="both"/>
        <w:rPr>
          <w:rFonts w:ascii="Times New Roman" w:eastAsia="Times New Roman" w:hAnsi="Times New Roman" w:cs="Times New Roman"/>
          <w:sz w:val="24"/>
          <w:szCs w:val="24"/>
        </w:rPr>
      </w:pPr>
    </w:p>
    <w:p w14:paraId="0E4DAEDD" w14:textId="77777777" w:rsidR="001A6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13.6 Correlation and linear regression analysis</w:t>
      </w:r>
    </w:p>
    <w:p w14:paraId="553A1912"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positive correlations were identified between the analyzed dimensions, indicating cognitive coherence in the respondents' perception. To investigate the relationship between the main constructs analyzed, non-parametric correlation analysis was applied, using Spearman 's coefficient . The choice of this method is justified by the ordinal nature of the scales used in the questionnaire and the absence of normality assumptions. The analysis allowed the identification of statistically significant associations between perceptions of Artificial Intelligence, intellectual property, and urban innovation, highlighting relevant interdependencies between the studied dimensions and supporting integrated interpretations of the results.</w:t>
      </w:r>
    </w:p>
    <w:p w14:paraId="30E097A3"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of associations between categorical variables was conducted to verify possible dependencies between the respondents' profiles and their perceptions regarding the investigated topics. When applicable, Pearson's Chi- square test was used, complemented by the analysis of adjusted residuals. This step made it possible to identify significant differences between groups, contributing to the understanding of the contextual variables that influence the adoption, perception, and governance of Artificial Intelligence in urban environments.</w:t>
      </w:r>
    </w:p>
    <w:p w14:paraId="332628B9"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Linear regression analysis is one of the main statistical techniques for investigating dependency relationships between quantitative variables, allowing the estimation of the effect of one or more independent variables on a dependent variable. From a theoretical point of view, linear regression is based on the assumption that the relationship between variables can be approximated by a linear function, expressed through a mathematical model that seeks to minimize the sum of squared errors between observed and estimated values.</w:t>
      </w:r>
    </w:p>
    <w:p w14:paraId="59F5193F"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simple linear regression model was estimated to evaluate the relationship between the independent variable (Influence of AI on the development of smart cities) and the dependent variable: Future importance of AI for the sector of activity.</w:t>
      </w:r>
    </w:p>
    <w:p w14:paraId="2AD67023" w14:textId="77777777" w:rsidR="001A6650" w:rsidRDefault="00000000">
      <w:pPr>
        <w:spacing w:after="0"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 Specification</w:t>
      </w:r>
    </w:p>
    <w:p w14:paraId="7F98B7EB" w14:textId="77777777" w:rsidR="001A6650" w:rsidRDefault="00000000">
      <w:pPr>
        <w:pBdr>
          <w:top w:val="nil"/>
          <w:left w:val="nil"/>
          <w:bottom w:val="nil"/>
          <w:right w:val="nil"/>
          <w:between w:val="nil"/>
        </w:pBdr>
        <w:spacing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estimated simple linear regression model can be represented as follows:</w:t>
      </w:r>
    </w:p>
    <w:p w14:paraId="20D49DF8" w14:textId="77777777" w:rsidR="001A6650"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Y=β0​+β1​ </w:t>
      </w:r>
      <w:proofErr w:type="spellStart"/>
      <w:r>
        <w:rPr>
          <w:rFonts w:ascii="Times New Roman" w:eastAsia="Times New Roman" w:hAnsi="Times New Roman" w:cs="Times New Roman"/>
          <w:color w:val="000000"/>
          <w:sz w:val="24"/>
          <w:szCs w:val="24"/>
        </w:rPr>
        <w:t>X+ε</w:t>
      </w:r>
      <w:proofErr w:type="spellEnd"/>
    </w:p>
    <w:p w14:paraId="17BD06A4" w14:textId="77777777" w:rsidR="001A6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14:paraId="49B4895C" w14:textId="77777777" w:rsidR="001A6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represents the dependent variable ( </w:t>
      </w:r>
      <w:r>
        <w:rPr>
          <w:rFonts w:ascii="Times New Roman" w:eastAsia="Times New Roman" w:hAnsi="Times New Roman" w:cs="Times New Roman"/>
          <w:i/>
          <w:iCs/>
          <w:color w:val="000000"/>
          <w:sz w:val="24"/>
          <w:szCs w:val="24"/>
        </w:rPr>
        <w:t xml:space="preserve">future importance of AI for the sector of activity </w:t>
      </w:r>
      <w:r>
        <w:rPr>
          <w:rFonts w:ascii="Times New Roman" w:eastAsia="Times New Roman" w:hAnsi="Times New Roman" w:cs="Times New Roman"/>
          <w:color w:val="000000"/>
          <w:sz w:val="24"/>
          <w:szCs w:val="24"/>
        </w:rPr>
        <w:t>);</w:t>
      </w:r>
    </w:p>
    <w:p w14:paraId="2E0668B6" w14:textId="77777777" w:rsidR="001A6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corresponds to the independent variable ( </w:t>
      </w:r>
      <w:r>
        <w:rPr>
          <w:rFonts w:ascii="Times New Roman" w:eastAsia="Times New Roman" w:hAnsi="Times New Roman" w:cs="Times New Roman"/>
          <w:i/>
          <w:iCs/>
          <w:color w:val="000000"/>
          <w:sz w:val="24"/>
          <w:szCs w:val="24"/>
        </w:rPr>
        <w:t xml:space="preserve">influence of AI on the development of smart cities </w:t>
      </w:r>
      <w:r>
        <w:rPr>
          <w:rFonts w:ascii="Times New Roman" w:eastAsia="Times New Roman" w:hAnsi="Times New Roman" w:cs="Times New Roman"/>
          <w:color w:val="000000"/>
          <w:sz w:val="24"/>
          <w:szCs w:val="24"/>
        </w:rPr>
        <w:t>);</w:t>
      </w:r>
    </w:p>
    <w:p w14:paraId="46EBE33C" w14:textId="77777777" w:rsidR="001A6650"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β0 is the intercept of the model;</w:t>
      </w:r>
    </w:p>
    <w:p w14:paraId="62795BD2" w14:textId="77777777" w:rsidR="001A6650"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β1\beta_1β1​ is the slope coefficient, which expresses the marginal effect of X on Y;</w:t>
      </w:r>
    </w:p>
    <w:p w14:paraId="64C47E20" w14:textId="77777777" w:rsidR="001A6650"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ε represents the random error term.</w:t>
      </w:r>
    </w:p>
    <w:p w14:paraId="61276E9C" w14:textId="77777777" w:rsidR="001A6650" w:rsidRDefault="00000000">
      <w:pPr>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Results of the Model</w:t>
      </w:r>
    </w:p>
    <w:p w14:paraId="40CB4079" w14:textId="77777777" w:rsidR="001A6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linear regression results indicated a statistically significant fit, according to the estimated parameters:</w:t>
      </w:r>
    </w:p>
    <w:p w14:paraId="507527B7" w14:textId="77777777" w:rsidR="001A6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Coefficient of determination (R²): 0.392</w:t>
      </w:r>
    </w:p>
    <w:p w14:paraId="39817571" w14:textId="77777777" w:rsidR="001A6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F-statistic: 70.99 (p &lt; 0.001)</w:t>
      </w:r>
    </w:p>
    <w:p w14:paraId="36834159" w14:textId="77777777" w:rsidR="001A6650" w:rsidRDefault="00000000">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Results</w:t>
      </w:r>
    </w:p>
    <w:p w14:paraId="646ED03E" w14:textId="77777777" w:rsidR="001A6650" w:rsidRDefault="00000000">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R² = 0.392</w:t>
      </w:r>
    </w:p>
    <w:p w14:paraId="0A37BD5C" w14:textId="77777777" w:rsidR="001A6650" w:rsidRDefault="00000000">
      <w:pPr>
        <w:spacing w:after="0" w:line="360" w:lineRule="auto"/>
        <w:ind w:firstLine="28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F( 1,110</w:t>
      </w:r>
      <w:proofErr w:type="gramEnd"/>
      <w:r>
        <w:rPr>
          <w:rFonts w:ascii="Times New Roman" w:eastAsia="Times New Roman" w:hAnsi="Times New Roman" w:cs="Times New Roman"/>
          <w:sz w:val="24"/>
          <w:szCs w:val="24"/>
        </w:rPr>
        <w:t>) = 70,99</w:t>
      </w:r>
    </w:p>
    <w:p w14:paraId="176815F1" w14:textId="77777777" w:rsidR="001A6650" w:rsidRDefault="00000000">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 &lt; 0.001</w:t>
      </w:r>
    </w:p>
    <w:p w14:paraId="0F1E75C7" w14:textId="77777777" w:rsidR="001A6650" w:rsidRDefault="001A6650">
      <w:pPr>
        <w:spacing w:after="0" w:line="360" w:lineRule="auto"/>
        <w:jc w:val="both"/>
        <w:rPr>
          <w:rFonts w:ascii="Times New Roman" w:eastAsia="Times New Roman" w:hAnsi="Times New Roman" w:cs="Times New Roman"/>
          <w:sz w:val="24"/>
          <w:szCs w:val="24"/>
        </w:rPr>
      </w:pPr>
    </w:p>
    <w:p w14:paraId="1E9901C0"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context of this research, linear regression was employed to assess the extent to which the perception of the influence of Artificial Intelligence on the development of smart cities is prevalent.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explains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The perception of the future importance of Artificial Intelligence for the respondents' sector of activity. This analytical choice is consistent with the adopted theoretical framework, which conceives of smart cities as spaces for the symbolic and practical diffusion of technological innovation, capable of shaping sectoral expectations and strategies.</w:t>
      </w:r>
    </w:p>
    <w:p w14:paraId="6EE4EDE7"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model explains approximately 39.2% of the variability in perception regarding the future importance of AI, a value considered high for research of a perceptual nature. The positive and statistically significant coefficient indicates that a one-unit increase in the perception of AI's influence on cities is associated with an average increase of 0.61 points in the perception of its sectoral importance. These results reinforce the hypothesis that urban experience and the perception of AI use in </w:t>
      </w:r>
      <w:r>
        <w:rPr>
          <w:rFonts w:ascii="Times New Roman" w:eastAsia="Times New Roman" w:hAnsi="Times New Roman" w:cs="Times New Roman"/>
          <w:color w:val="000000"/>
          <w:sz w:val="24"/>
          <w:szCs w:val="24"/>
        </w:rPr>
        <w:t>smart cities directly influence the expected impact of the technology on economic and professional sectors.</w:t>
      </w:r>
    </w:p>
    <w:p w14:paraId="5F8797E0" w14:textId="77777777" w:rsidR="001A6650" w:rsidRDefault="00000000">
      <w:pPr>
        <w:spacing w:after="0" w:line="360" w:lineRule="auto"/>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Table 9. </w:t>
      </w:r>
      <w:r>
        <w:rPr>
          <w:rFonts w:ascii="Times New Roman" w:eastAsia="Times New Roman" w:hAnsi="Times New Roman" w:cs="Times New Roman"/>
          <w:color w:val="000000"/>
          <w:sz w:val="24"/>
          <w:szCs w:val="24"/>
        </w:rPr>
        <w:t>Linear regression analysis</w:t>
      </w:r>
    </w:p>
    <w:p w14:paraId="6FDA4802" w14:textId="77777777" w:rsidR="001A6650" w:rsidRDefault="001A6650">
      <w:pPr>
        <w:spacing w:after="0" w:line="360" w:lineRule="auto"/>
        <w:ind w:firstLine="284"/>
        <w:jc w:val="both"/>
        <w:rPr>
          <w:rFonts w:ascii="Times New Roman" w:eastAsia="Times New Roman" w:hAnsi="Times New Roman" w:cs="Times New Roman"/>
          <w:color w:val="000000"/>
          <w:sz w:val="24"/>
          <w:szCs w:val="24"/>
        </w:rPr>
      </w:pPr>
    </w:p>
    <w:tbl>
      <w:tblPr>
        <w:tblStyle w:val="a7"/>
        <w:tblW w:w="6778" w:type="dxa"/>
        <w:jc w:val="center"/>
        <w:tblInd w:w="0" w:type="dxa"/>
        <w:tblLayout w:type="fixed"/>
        <w:tblLook w:val="0400" w:firstRow="0" w:lastRow="0" w:firstColumn="0" w:lastColumn="0" w:noHBand="0" w:noVBand="1"/>
      </w:tblPr>
      <w:tblGrid>
        <w:gridCol w:w="3945"/>
        <w:gridCol w:w="1691"/>
        <w:gridCol w:w="1142"/>
      </w:tblGrid>
      <w:tr w:rsidR="001A6650" w14:paraId="49C8C73D" w14:textId="77777777">
        <w:trPr>
          <w:trHeight w:val="319"/>
          <w:tblHeader/>
          <w:jc w:val="center"/>
        </w:trPr>
        <w:tc>
          <w:tcPr>
            <w:tcW w:w="3945" w:type="dxa"/>
            <w:tcBorders>
              <w:top w:val="single" w:sz="4" w:space="0" w:color="000000"/>
              <w:bottom w:val="single" w:sz="4" w:space="0" w:color="000000"/>
            </w:tcBorders>
            <w:vAlign w:val="center"/>
          </w:tcPr>
          <w:p w14:paraId="24097A8D"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Parameter</w:t>
            </w:r>
          </w:p>
        </w:tc>
        <w:tc>
          <w:tcPr>
            <w:tcW w:w="1691" w:type="dxa"/>
            <w:tcBorders>
              <w:top w:val="single" w:sz="4" w:space="0" w:color="000000"/>
              <w:bottom w:val="single" w:sz="4" w:space="0" w:color="000000"/>
            </w:tcBorders>
            <w:vAlign w:val="center"/>
          </w:tcPr>
          <w:p w14:paraId="1AAF3696"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Coefficient</w:t>
            </w:r>
          </w:p>
        </w:tc>
        <w:tc>
          <w:tcPr>
            <w:tcW w:w="1142" w:type="dxa"/>
            <w:tcBorders>
              <w:top w:val="single" w:sz="4" w:space="0" w:color="000000"/>
              <w:bottom w:val="single" w:sz="4" w:space="0" w:color="000000"/>
            </w:tcBorders>
            <w:vAlign w:val="center"/>
          </w:tcPr>
          <w:p w14:paraId="4ECDD748"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p-value</w:t>
            </w:r>
          </w:p>
        </w:tc>
      </w:tr>
      <w:tr w:rsidR="001A6650" w14:paraId="428D6079" w14:textId="77777777">
        <w:trPr>
          <w:trHeight w:val="319"/>
          <w:jc w:val="center"/>
        </w:trPr>
        <w:tc>
          <w:tcPr>
            <w:tcW w:w="3945" w:type="dxa"/>
            <w:tcBorders>
              <w:top w:val="single" w:sz="4" w:space="0" w:color="000000"/>
            </w:tcBorders>
            <w:vAlign w:val="center"/>
          </w:tcPr>
          <w:p w14:paraId="36904015" w14:textId="77777777" w:rsidR="001A6650"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w:t>
            </w:r>
          </w:p>
        </w:tc>
        <w:tc>
          <w:tcPr>
            <w:tcW w:w="1691" w:type="dxa"/>
            <w:tcBorders>
              <w:top w:val="single" w:sz="4" w:space="0" w:color="000000"/>
            </w:tcBorders>
            <w:vAlign w:val="center"/>
          </w:tcPr>
          <w:p w14:paraId="56F7460F"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1,677</w:t>
            </w:r>
          </w:p>
        </w:tc>
        <w:tc>
          <w:tcPr>
            <w:tcW w:w="1142" w:type="dxa"/>
            <w:tcBorders>
              <w:top w:val="single" w:sz="4" w:space="0" w:color="000000"/>
            </w:tcBorders>
            <w:vAlign w:val="center"/>
          </w:tcPr>
          <w:p w14:paraId="6747A4E2"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0.001</w:t>
            </w:r>
          </w:p>
        </w:tc>
      </w:tr>
      <w:tr w:rsidR="001A6650" w14:paraId="7603C88E" w14:textId="77777777">
        <w:trPr>
          <w:trHeight w:val="319"/>
          <w:jc w:val="center"/>
        </w:trPr>
        <w:tc>
          <w:tcPr>
            <w:tcW w:w="3945" w:type="dxa"/>
            <w:tcBorders>
              <w:bottom w:val="single" w:sz="4" w:space="0" w:color="000000"/>
            </w:tcBorders>
            <w:vAlign w:val="center"/>
          </w:tcPr>
          <w:p w14:paraId="44BACACA" w14:textId="77777777" w:rsidR="001A6650"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influence of AI on cities.</w:t>
            </w:r>
          </w:p>
        </w:tc>
        <w:tc>
          <w:tcPr>
            <w:tcW w:w="1691" w:type="dxa"/>
            <w:tcBorders>
              <w:bottom w:val="single" w:sz="4" w:space="0" w:color="000000"/>
            </w:tcBorders>
            <w:vAlign w:val="center"/>
          </w:tcPr>
          <w:p w14:paraId="4D027023"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0.614</w:t>
            </w:r>
          </w:p>
        </w:tc>
        <w:tc>
          <w:tcPr>
            <w:tcW w:w="1142" w:type="dxa"/>
            <w:tcBorders>
              <w:bottom w:val="single" w:sz="4" w:space="0" w:color="000000"/>
            </w:tcBorders>
            <w:vAlign w:val="center"/>
          </w:tcPr>
          <w:p w14:paraId="7194D6DD"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0.001</w:t>
            </w:r>
          </w:p>
        </w:tc>
      </w:tr>
    </w:tbl>
    <w:p w14:paraId="0A31DB90" w14:textId="77777777" w:rsidR="001A6650" w:rsidRDefault="001A6650">
      <w:pPr>
        <w:spacing w:after="0" w:line="360" w:lineRule="auto"/>
        <w:rPr>
          <w:rFonts w:ascii="Times New Roman" w:eastAsia="Times New Roman" w:hAnsi="Times New Roman" w:cs="Times New Roman"/>
          <w:sz w:val="24"/>
          <w:szCs w:val="24"/>
        </w:rPr>
      </w:pPr>
    </w:p>
    <w:p w14:paraId="35C0CD0C" w14:textId="77777777" w:rsidR="001A6650" w:rsidRDefault="001A6650">
      <w:pPr>
        <w:spacing w:after="0" w:line="360" w:lineRule="auto"/>
        <w:ind w:firstLine="284"/>
        <w:jc w:val="both"/>
        <w:rPr>
          <w:rFonts w:ascii="Times New Roman" w:eastAsia="Times New Roman" w:hAnsi="Times New Roman" w:cs="Times New Roman"/>
          <w:sz w:val="24"/>
          <w:szCs w:val="24"/>
        </w:rPr>
      </w:pPr>
    </w:p>
    <w:p w14:paraId="408725DE"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results of the linear regression corroborate national and international literature that points to smart cities as vectors for the diffusion of technological innovation. The statistically significant relationship between urban perception and sectoral expectation suggests that the experience, real or symbolic, of smart urban environments directly influences how individuals and organizations assess the future impact of Artificial Intelligence.</w:t>
      </w:r>
    </w:p>
    <w:p w14:paraId="1BC48DB1"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finding aligns with studies that argue that data-driven urban innovation not only transforms city management but also shapes perceptions, strategies, and decisions across multiple sectors of the economy. The regression therefore demonstrates that Artificial Intelligence acts as a structuring technology, connecting urban space to the dynamics of sectoral innovation.</w:t>
      </w:r>
    </w:p>
    <w:p w14:paraId="5E7C832F"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linear regression analysis demonstrates that the perception of Artificial Intelligence in the context of smart cities exerts a significant influence on the future valuation of the technology in the respondents' sectors of activity. The model presents a robust statistical fit and offers consistent empirical evidence to support the hypothesis of interdependence between urban innovation and sectoral transformation based on AI, reinforcing the study's contribution to the fields of smart cities, data-driven governance, and technological innovation.</w:t>
      </w:r>
    </w:p>
    <w:p w14:paraId="69C191A4" w14:textId="77777777" w:rsidR="001A665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13.7 Construction of the AI Perception Index</w:t>
      </w:r>
    </w:p>
    <w:p w14:paraId="41FD2C2D" w14:textId="77777777" w:rsidR="001A6650" w:rsidRDefault="00000000">
      <w:pPr>
        <w:spacing w:line="360" w:lineRule="auto"/>
        <w:ind w:firstLine="14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index presented a Cronbach 's alpha of 0.81, indicating high internal consistency. Based on the reliability and correlation results, synthetic indices were constructed aggregating correlated and conceptually aligned items. The indicators were standardized to allow comparisons between different analytical dimensions, such as perception of innovation, legal security, and urban governance. The construction of these indices contributed to the analytical simplification of the data and enabled the application of multivariate techniques, maintaining the conceptual and statistical coherence of the analyzed constructs.</w:t>
      </w:r>
    </w:p>
    <w:p w14:paraId="28948DE5" w14:textId="77777777" w:rsidR="001A665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13.8 Cluster Analysis</w:t>
      </w:r>
    </w:p>
    <w:p w14:paraId="661451F9" w14:textId="77777777" w:rsidR="001A6650" w:rsidRDefault="00000000">
      <w:pPr>
        <w:spacing w:line="360" w:lineRule="auto"/>
        <w:ind w:firstLine="14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Cluster analysis was employed to identify patterns and typologies of respondents based on the variables and indices constructed. Initially, the set of variables relevant to the grouping was defined, prioritizing those with greater internal consistency and explanatory power. Clustering methods appropriate to the nature of the data were used, allowing the identification of internally homogeneous and inter-heterogeneous groups. This approach enabled the segmentation of respondents according to perception profiles regarding Artificial Intelligence, intellectual property, and smart cities.</w:t>
      </w:r>
    </w:p>
    <w:p w14:paraId="349997BF" w14:textId="77777777" w:rsidR="001A6650" w:rsidRDefault="00000000">
      <w:pPr>
        <w:spacing w:line="360" w:lineRule="auto"/>
        <w:ind w:firstLine="14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The validation of the clusters was carried out through the analysis of their internal coherence and the comparison between the groups formed in relation to the synthetic indices. This step ensured that the identified groupings presented statistical consistency and interpretative relevance. The interpretation of the clusters was conducted in light of the theoretical framework of the research, allowing the identification of distinct socio-technical profiles and the understanding of the dynamics underlying the respondents' perceptions.</w:t>
      </w:r>
    </w:p>
    <w:p w14:paraId="035F4F82" w14:textId="77777777" w:rsidR="001A665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13.9 Integration of Statistical Results with Qualitative Analysis</w:t>
      </w:r>
    </w:p>
    <w:p w14:paraId="7A79EEE3"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statistical results were integrated with the qualitative analysis and literature review, promoting a dialogue between empirical evidence and theoretical foundation. This integration allowed for the interpretation of quantitative findings in light of discussions on governance, ethics, urban innovation, and intellectual property, reinforcing the mixed-methods approach adopted in the study. The articulation between methods contributed to a more comprehensive and contextualized understanding of the phenomenon investigated.</w:t>
      </w:r>
    </w:p>
    <w:p w14:paraId="32CE714D" w14:textId="77777777" w:rsidR="001A665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SUMMARY OF STATISTICAL RESULTS</w:t>
      </w:r>
    </w:p>
    <w:p w14:paraId="34DD741C"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statistical analysis of the data was conducted sequentially and in an integrated manner, combining descriptive statistics, reliability and internal consistency assessments, correlation and association analyses between variables, as well as the construction of synthetic indices. This approach aims to ensure methodological robustness, interpretative coherence, and alignment with empirical studies on Artificial Intelligence, Intellectual Property, and Smart Cities.</w:t>
      </w:r>
    </w:p>
    <w:p w14:paraId="2EBC278C" w14:textId="77777777" w:rsidR="001A665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14.1 Descriptive Statistics of Variables</w:t>
      </w:r>
    </w:p>
    <w:p w14:paraId="0345E361" w14:textId="77777777" w:rsidR="001A6650" w:rsidRDefault="00000000">
      <w:pPr>
        <w:spacing w:line="360" w:lineRule="auto"/>
        <w:ind w:firstLine="14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Descriptive statistics aimed to characterize the central tendency and dispersion of quantitative variables, allowing an initial understanding of the data structure. Measures of central tendency (mean and median), dispersion (standard deviation), and position (quartiles) were calculated.</w:t>
      </w:r>
    </w:p>
    <w:p w14:paraId="2B30B896"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the variables presented averages higher than the central values of the scales, indicating a high degree of agreement among respondents regarding the relevance of Artificial Intelligence for smart cities, urban innovation, and sectoral impact. The proximity between the mean and median suggests approximately symmetrical distributions, while the moderate standard deviations indicate controlled variability, a common characteristic in perception surveys with Likert -type scales . This statistical configuration reinforces the validity of using exploratory parametric techniques and indicates consistency in the responses, reducing the risk of random dispersion.</w:t>
      </w:r>
    </w:p>
    <w:p w14:paraId="07261CC1" w14:textId="77777777" w:rsidR="001A6650" w:rsidRDefault="001A6650">
      <w:pPr>
        <w:spacing w:line="360" w:lineRule="auto"/>
        <w:ind w:firstLine="142"/>
        <w:jc w:val="both"/>
        <w:rPr>
          <w:rFonts w:ascii="Times New Roman" w:eastAsia="Times New Roman" w:hAnsi="Times New Roman" w:cs="Times New Roman"/>
          <w:b/>
          <w:bCs/>
          <w:sz w:val="24"/>
          <w:szCs w:val="24"/>
        </w:rPr>
      </w:pPr>
    </w:p>
    <w:p w14:paraId="5C29BC74" w14:textId="77777777" w:rsidR="001A665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14.2 Evaluation of Reliability and Internal Consistency</w:t>
      </w:r>
    </w:p>
    <w:p w14:paraId="482F8BA7" w14:textId="77777777" w:rsidR="001A6650" w:rsidRDefault="00000000">
      <w:pPr>
        <w:spacing w:line="360" w:lineRule="auto"/>
        <w:ind w:firstLine="14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reliability of the instrument was assessed using Cronbach 's Alpha coefficient , which is widely used to verify the internal consistency of sets of items that measure latent constructs.</w:t>
      </w:r>
    </w:p>
    <w:p w14:paraId="630D5384" w14:textId="77777777" w:rsidR="001A6650" w:rsidRDefault="00000000">
      <w:pPr>
        <w:spacing w:line="360" w:lineRule="auto"/>
        <w:ind w:firstLine="14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alpha value obtained was greater than 0.80, which, according to the methodological literature, indicates excellent internal consistency. This result demonstrates that the items show a high correlation with each other and coherently measure the constructs related to the perception of AI, urban innovation, and smart governance.</w:t>
      </w:r>
    </w:p>
    <w:p w14:paraId="1149E498"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an analytical point of view, high reliability legitimizes:</w:t>
      </w:r>
    </w:p>
    <w:p w14:paraId="5AD35570" w14:textId="77777777" w:rsidR="001A6650"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Aggregation of variables into synthetic indices;</w:t>
      </w:r>
    </w:p>
    <w:p w14:paraId="788188B2" w14:textId="77777777" w:rsidR="001A6650"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Performing correlational and regression analyses;</w:t>
      </w:r>
    </w:p>
    <w:p w14:paraId="1C65FACB" w14:textId="77777777" w:rsidR="001A6650"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Integrated interpretation of quantitative results.</w:t>
      </w:r>
    </w:p>
    <w:p w14:paraId="0F530767" w14:textId="77777777" w:rsidR="001A6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14.3 Correlation Analysis between Variables</w:t>
      </w:r>
    </w:p>
    <w:p w14:paraId="7F4FC318"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 analysis was performed to identify the intensity and direction of relationships between quantitative variables. Pearson's correlation coefficient revealed...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positive and statistically significant associations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between:</w:t>
      </w:r>
    </w:p>
    <w:p w14:paraId="31FC7744" w14:textId="77777777" w:rsidR="001A6650" w:rsidRDefault="0000000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Perception of the influence of AI in smart cities;</w:t>
      </w:r>
    </w:p>
    <w:p w14:paraId="3D7835CF" w14:textId="77777777" w:rsidR="001A6650" w:rsidRDefault="0000000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Expected future importance of AI in the sectors of activity;</w:t>
      </w:r>
    </w:p>
    <w:p w14:paraId="47B51254" w14:textId="77777777" w:rsidR="001A6650" w:rsidRDefault="0000000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Assessing the impact of AI on urban innovation and efficiency.</w:t>
      </w:r>
    </w:p>
    <w:p w14:paraId="088CE8FA"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coefficients were predominantly between </w:t>
      </w:r>
      <w:r>
        <w:rPr>
          <w:rFonts w:ascii="Times New Roman" w:eastAsia="Times New Roman" w:hAnsi="Times New Roman" w:cs="Times New Roman"/>
          <w:b/>
          <w:bCs/>
          <w:sz w:val="24"/>
          <w:szCs w:val="24"/>
        </w:rPr>
        <w:t xml:space="preserve">0.50 and 0.70 </w:t>
      </w:r>
      <w:r>
        <w:rPr>
          <w:rFonts w:ascii="Times New Roman" w:eastAsia="Times New Roman" w:hAnsi="Times New Roman" w:cs="Times New Roman"/>
          <w:sz w:val="24"/>
          <w:szCs w:val="24"/>
        </w:rPr>
        <w:t>, characterizing moderate to strong correlations. These results indicate that, as the perception of AI as a structuring element of smart cities grows, so does the appreciation of its strategic role in the sectoral and institutional future.</w:t>
      </w:r>
    </w:p>
    <w:p w14:paraId="20D264BC"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empirical evidence aligns with the literature that links smart cities to the systemic diffusion of technological innovation.</w:t>
      </w:r>
    </w:p>
    <w:p w14:paraId="426F56B0" w14:textId="77777777" w:rsidR="001A6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14.4 Analysis of Association between Categorical Variables</w:t>
      </w:r>
    </w:p>
    <w:p w14:paraId="445D8856"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categorical variables, the analysis focused on identifying patterns of association between categories related to automation, data use, urban innovation, and smart governance. The frequency distribution revealed a predominance of categories that directly associate Artificial Intelligence with:</w:t>
      </w:r>
    </w:p>
    <w:p w14:paraId="53442262" w14:textId="77777777" w:rsidR="001A6650"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Automation of urban processes;</w:t>
      </w:r>
    </w:p>
    <w:p w14:paraId="77E7ECF4" w14:textId="77777777" w:rsidR="001A6650"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Data-driven management;</w:t>
      </w:r>
    </w:p>
    <w:p w14:paraId="177A474D" w14:textId="77777777" w:rsidR="001A6650"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Modernization of public services.</w:t>
      </w:r>
    </w:p>
    <w:p w14:paraId="490E15C9"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Association analysis (using contingency tables and chi -square tests, when applicable) indicated that these categories are not randomly distributed, but reflect consistent perception structures, reinforcing the existence of a cognitive consensus on the role of AI in smart cities.</w:t>
      </w:r>
    </w:p>
    <w:p w14:paraId="3C669E6E" w14:textId="77777777" w:rsidR="001A6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14.5 Construction of Synthetic Indexes and Indicators</w:t>
      </w:r>
    </w:p>
    <w:p w14:paraId="47D8B6B4"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synthetic indices </w:t>
      </w:r>
      <w:r>
        <w:rPr>
          <w:rFonts w:ascii="Times New Roman" w:eastAsia="Times New Roman" w:hAnsi="Times New Roman" w:cs="Times New Roman"/>
          <w:sz w:val="24"/>
          <w:szCs w:val="24"/>
        </w:rPr>
        <w:t>were constructed , aggregating correlated variables into composite indicators, such as:</w:t>
      </w:r>
    </w:p>
    <w:p w14:paraId="5FE601F0" w14:textId="77777777" w:rsidR="001A6650" w:rsidRDefault="0000000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Perception Index in Smart Cities;</w:t>
      </w:r>
    </w:p>
    <w:p w14:paraId="15E53945" w14:textId="77777777" w:rsidR="001A6650" w:rsidRDefault="0000000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Data-Driven Urban Innovation Index;</w:t>
      </w:r>
    </w:p>
    <w:p w14:paraId="15D2C0D2" w14:textId="77777777" w:rsidR="001A6650" w:rsidRDefault="0000000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Sectoral Expectation Index on AI.</w:t>
      </w:r>
    </w:p>
    <w:p w14:paraId="513BE6F8"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sense, the results of the bibliographic analysis indicate the need for research that goes beyond normative discussion, incorporating quantitative methods, data analysis, and integrated approaches. The present study directly addresses this gap by combining analysis of national scientific production with empirical research based on surveys and cluster analysis, contributing to the strengthening of the field and to the formulation of data-driven urban innovation strategies in the Brazilian context.</w:t>
      </w:r>
    </w:p>
    <w:p w14:paraId="02189828" w14:textId="77777777" w:rsidR="001A6650"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 the dimensionality of the data;</w:t>
      </w:r>
    </w:p>
    <w:p w14:paraId="0491E4C4" w14:textId="77777777" w:rsidR="001A6650"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synthesize complex phenomena into analytical metrics;</w:t>
      </w:r>
    </w:p>
    <w:p w14:paraId="6C01E974" w14:textId="77777777" w:rsidR="001A6650"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facilitate comparisons between groups and subsequent analyses (correlation, regression, and clusters).</w:t>
      </w:r>
    </w:p>
    <w:p w14:paraId="2065E518"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indices showed an approximately normal distribution and adequate variability, reinforcing their analytical usefulness.</w:t>
      </w:r>
    </w:p>
    <w:p w14:paraId="00128BE2" w14:textId="77777777" w:rsidR="001A6650" w:rsidRDefault="00000000">
      <w:pPr>
        <w:spacing w:line="360"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synthesis of statistical results highlights the existence of differentiated patterns of perception regarding Artificial Intelligence and intellectual property in the context of smart cities. The findings reinforce the relevance of integrated and data-driven approaches for the formulation of public policies and urban innovation strategies. At the same time, they indicate limitations inherent to the </w:t>
      </w:r>
      <w:r>
        <w:rPr>
          <w:rFonts w:ascii="Times New Roman" w:eastAsia="Times New Roman" w:hAnsi="Times New Roman" w:cs="Times New Roman"/>
          <w:color w:val="000000"/>
          <w:sz w:val="24"/>
          <w:szCs w:val="24"/>
        </w:rPr>
        <w:t>sample size and the techniques employed, pointing towards avenues for future research that broaden the empirical base and deepen the analysis of the socio-technical impacts of AI (Table 8).</w:t>
      </w:r>
    </w:p>
    <w:p w14:paraId="628D1F7C" w14:textId="77777777" w:rsidR="001A6650" w:rsidRDefault="001A6650">
      <w:pPr>
        <w:spacing w:after="0" w:line="360" w:lineRule="auto"/>
        <w:ind w:firstLine="284"/>
        <w:jc w:val="both"/>
        <w:rPr>
          <w:rFonts w:ascii="Times New Roman" w:eastAsia="Times New Roman" w:hAnsi="Times New Roman" w:cs="Times New Roman"/>
          <w:color w:val="000000"/>
          <w:sz w:val="24"/>
          <w:szCs w:val="24"/>
        </w:rPr>
      </w:pPr>
    </w:p>
    <w:p w14:paraId="5AFDD5B4" w14:textId="77777777" w:rsidR="001A6650" w:rsidRDefault="001A6650">
      <w:pPr>
        <w:spacing w:after="0" w:line="360" w:lineRule="auto"/>
        <w:ind w:firstLine="284"/>
        <w:jc w:val="both"/>
        <w:rPr>
          <w:rFonts w:ascii="Times New Roman" w:eastAsia="Times New Roman" w:hAnsi="Times New Roman" w:cs="Times New Roman"/>
          <w:color w:val="000000"/>
          <w:sz w:val="24"/>
          <w:szCs w:val="24"/>
        </w:rPr>
      </w:pPr>
    </w:p>
    <w:p w14:paraId="56FC32F4" w14:textId="77777777" w:rsidR="001A6650" w:rsidRDefault="00000000">
      <w:pPr>
        <w:spacing w:after="0" w:line="360" w:lineRule="auto"/>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Table 10. </w:t>
      </w:r>
      <w:r>
        <w:rPr>
          <w:rFonts w:ascii="Times New Roman" w:eastAsia="Times New Roman" w:hAnsi="Times New Roman" w:cs="Times New Roman"/>
          <w:color w:val="000000"/>
          <w:sz w:val="24"/>
          <w:szCs w:val="24"/>
        </w:rPr>
        <w:t>Comparison of Statistical Analyses Performed</w:t>
      </w:r>
    </w:p>
    <w:tbl>
      <w:tblPr>
        <w:tblStyle w:val="a8"/>
        <w:tblW w:w="8948" w:type="dxa"/>
        <w:jc w:val="center"/>
        <w:tblInd w:w="0" w:type="dxa"/>
        <w:tblBorders>
          <w:top w:val="single" w:sz="4" w:space="0" w:color="000000"/>
          <w:bottom w:val="single" w:sz="4" w:space="0" w:color="000000"/>
        </w:tblBorders>
        <w:tblLayout w:type="fixed"/>
        <w:tblLook w:val="0400" w:firstRow="0" w:lastRow="0" w:firstColumn="0" w:lastColumn="0" w:noHBand="0" w:noVBand="1"/>
      </w:tblPr>
      <w:tblGrid>
        <w:gridCol w:w="2268"/>
        <w:gridCol w:w="2993"/>
        <w:gridCol w:w="3687"/>
      </w:tblGrid>
      <w:tr w:rsidR="001A6650" w14:paraId="59706297" w14:textId="77777777">
        <w:trPr>
          <w:tblHeader/>
          <w:jc w:val="center"/>
        </w:trPr>
        <w:tc>
          <w:tcPr>
            <w:tcW w:w="2268" w:type="dxa"/>
            <w:tcBorders>
              <w:top w:val="single" w:sz="4" w:space="0" w:color="000000"/>
              <w:bottom w:val="single" w:sz="4" w:space="0" w:color="000000"/>
            </w:tcBorders>
            <w:vAlign w:val="center"/>
          </w:tcPr>
          <w:p w14:paraId="243BAF4E"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Statistical Technique</w:t>
            </w:r>
          </w:p>
        </w:tc>
        <w:tc>
          <w:tcPr>
            <w:tcW w:w="2993" w:type="dxa"/>
            <w:tcBorders>
              <w:top w:val="single" w:sz="4" w:space="0" w:color="000000"/>
              <w:bottom w:val="single" w:sz="4" w:space="0" w:color="000000"/>
            </w:tcBorders>
            <w:vAlign w:val="center"/>
          </w:tcPr>
          <w:p w14:paraId="20C1160F"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Analytical Objective</w:t>
            </w:r>
          </w:p>
        </w:tc>
        <w:tc>
          <w:tcPr>
            <w:tcW w:w="3687" w:type="dxa"/>
            <w:tcBorders>
              <w:top w:val="single" w:sz="4" w:space="0" w:color="000000"/>
              <w:bottom w:val="single" w:sz="4" w:space="0" w:color="000000"/>
            </w:tcBorders>
            <w:vAlign w:val="center"/>
          </w:tcPr>
          <w:p w14:paraId="2A78054F" w14:textId="77777777" w:rsidR="001A66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Main Findings</w:t>
            </w:r>
          </w:p>
        </w:tc>
      </w:tr>
      <w:tr w:rsidR="001A6650" w14:paraId="1E1122F8" w14:textId="77777777">
        <w:trPr>
          <w:jc w:val="center"/>
        </w:trPr>
        <w:tc>
          <w:tcPr>
            <w:tcW w:w="2268" w:type="dxa"/>
            <w:vAlign w:val="center"/>
          </w:tcPr>
          <w:p w14:paraId="47833237"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Descriptive Statistics</w:t>
            </w:r>
          </w:p>
        </w:tc>
        <w:tc>
          <w:tcPr>
            <w:tcW w:w="2993" w:type="dxa"/>
            <w:vAlign w:val="center"/>
          </w:tcPr>
          <w:p w14:paraId="0F2A4F63"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characterization</w:t>
            </w:r>
          </w:p>
        </w:tc>
        <w:tc>
          <w:tcPr>
            <w:tcW w:w="3687" w:type="dxa"/>
            <w:vAlign w:val="center"/>
          </w:tcPr>
          <w:p w14:paraId="65342F8D"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average and low dispersion</w:t>
            </w:r>
          </w:p>
        </w:tc>
      </w:tr>
      <w:tr w:rsidR="001A6650" w14:paraId="0C33F1B7" w14:textId="77777777">
        <w:trPr>
          <w:jc w:val="center"/>
        </w:trPr>
        <w:tc>
          <w:tcPr>
            <w:tcW w:w="2268" w:type="dxa"/>
            <w:vAlign w:val="center"/>
          </w:tcPr>
          <w:p w14:paraId="12774968"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Cronbach 's alpha</w:t>
            </w:r>
          </w:p>
        </w:tc>
        <w:tc>
          <w:tcPr>
            <w:tcW w:w="2993" w:type="dxa"/>
            <w:vAlign w:val="center"/>
          </w:tcPr>
          <w:p w14:paraId="0547CEEF"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 reliability</w:t>
            </w:r>
          </w:p>
        </w:tc>
        <w:tc>
          <w:tcPr>
            <w:tcW w:w="3687" w:type="dxa"/>
            <w:vAlign w:val="center"/>
          </w:tcPr>
          <w:p w14:paraId="2EDA6A7C"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internal consistency</w:t>
            </w:r>
          </w:p>
        </w:tc>
      </w:tr>
      <w:tr w:rsidR="001A6650" w14:paraId="1B708E15" w14:textId="77777777">
        <w:trPr>
          <w:jc w:val="center"/>
        </w:trPr>
        <w:tc>
          <w:tcPr>
            <w:tcW w:w="2268" w:type="dxa"/>
            <w:vAlign w:val="center"/>
          </w:tcPr>
          <w:p w14:paraId="3FCCA4B7"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Correlation</w:t>
            </w:r>
          </w:p>
        </w:tc>
        <w:tc>
          <w:tcPr>
            <w:tcW w:w="2993" w:type="dxa"/>
            <w:vAlign w:val="center"/>
          </w:tcPr>
          <w:p w14:paraId="28D7D2E7"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Relationship between variables</w:t>
            </w:r>
          </w:p>
        </w:tc>
        <w:tc>
          <w:tcPr>
            <w:tcW w:w="3687" w:type="dxa"/>
            <w:vAlign w:val="center"/>
          </w:tcPr>
          <w:p w14:paraId="7AC2BA43" w14:textId="77777777" w:rsidR="001A66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Positive and meaningful associations</w:t>
            </w:r>
          </w:p>
        </w:tc>
      </w:tr>
      <w:tr w:rsidR="001A6650" w14:paraId="3C764B5E" w14:textId="77777777">
        <w:trPr>
          <w:jc w:val="center"/>
        </w:trPr>
        <w:tc>
          <w:tcPr>
            <w:tcW w:w="2268" w:type="dxa"/>
            <w:vAlign w:val="center"/>
          </w:tcPr>
          <w:p w14:paraId="48078B47" w14:textId="77777777" w:rsidR="001A665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Categorical Association</w:t>
            </w:r>
          </w:p>
        </w:tc>
        <w:tc>
          <w:tcPr>
            <w:tcW w:w="2993" w:type="dxa"/>
            <w:vAlign w:val="center"/>
          </w:tcPr>
          <w:p w14:paraId="6476FFDA" w14:textId="77777777" w:rsidR="001A665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standards</w:t>
            </w:r>
          </w:p>
        </w:tc>
        <w:tc>
          <w:tcPr>
            <w:tcW w:w="3687" w:type="dxa"/>
            <w:vAlign w:val="center"/>
          </w:tcPr>
          <w:p w14:paraId="44423EF6" w14:textId="77777777" w:rsidR="001A665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Predominance of automation and data</w:t>
            </w:r>
          </w:p>
        </w:tc>
      </w:tr>
      <w:tr w:rsidR="001A6650" w14:paraId="2D5B9AB6" w14:textId="77777777">
        <w:trPr>
          <w:jc w:val="center"/>
        </w:trPr>
        <w:tc>
          <w:tcPr>
            <w:tcW w:w="2268" w:type="dxa"/>
            <w:vAlign w:val="center"/>
          </w:tcPr>
          <w:p w14:paraId="2136337C" w14:textId="77777777" w:rsidR="001A665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Synthetic Indexes</w:t>
            </w:r>
          </w:p>
        </w:tc>
        <w:tc>
          <w:tcPr>
            <w:tcW w:w="2993" w:type="dxa"/>
            <w:vAlign w:val="center"/>
          </w:tcPr>
          <w:p w14:paraId="3761E9D3" w14:textId="77777777" w:rsidR="001A665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Analytical synthesis</w:t>
            </w:r>
          </w:p>
        </w:tc>
        <w:tc>
          <w:tcPr>
            <w:tcW w:w="3687" w:type="dxa"/>
            <w:vAlign w:val="center"/>
          </w:tcPr>
          <w:p w14:paraId="42540BF5" w14:textId="77777777" w:rsidR="001A665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and interpretive robustness</w:t>
            </w:r>
          </w:p>
        </w:tc>
      </w:tr>
    </w:tbl>
    <w:p w14:paraId="2E4AF064" w14:textId="77777777" w:rsidR="001A6650" w:rsidRDefault="001A6650">
      <w:pPr>
        <w:spacing w:after="0" w:line="360" w:lineRule="auto"/>
        <w:jc w:val="both"/>
        <w:rPr>
          <w:rFonts w:ascii="Times New Roman" w:eastAsia="Times New Roman" w:hAnsi="Times New Roman" w:cs="Times New Roman"/>
          <w:sz w:val="24"/>
          <w:szCs w:val="24"/>
        </w:rPr>
      </w:pPr>
    </w:p>
    <w:p w14:paraId="0BF4EF9E" w14:textId="77777777" w:rsidR="001A6650" w:rsidRDefault="00000000">
      <w:pPr>
        <w:spacing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an integrated manner, the results of the statistical analyses demonstrate high internal consistency, consistent relationships between variables, and strong alignment with national and international literature. The convergence between descriptive statistics, reliability, correlation, categorical association, and synthetic indices reinforces the methodological robustness of the study and supports the interpretation that Artificial Intelligence acts as a structuring technology for urban innovation and smart cities.</w:t>
      </w:r>
    </w:p>
    <w:p w14:paraId="4E993838" w14:textId="77777777" w:rsidR="001A6650" w:rsidRDefault="00000000">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CONCLUSIONS</w:t>
      </w:r>
    </w:p>
    <w:p w14:paraId="670EA28B" w14:textId="77777777" w:rsidR="001A6650" w:rsidRDefault="00000000">
      <w:pPr>
        <w:spacing w:before="240" w:after="0"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research analyzed in an integrated way the interactions between Artificial Intelligence, Intellectual Property, and Smart Cities, adopting a qualitative-quantitative approach supported by national and international bibliographic analysis, empirical survey data , descriptive and inferential statistical techniques, cluster analysis, and the construction of synthetic indicators. The results obtained allow us to affirm that Artificial Intelligence is consolidating itself as a structuring technology for urban innovation, exerting direct impacts on governance models, knowledge production, and regimes for the appropriation of intangible assets.</w:t>
      </w:r>
    </w:p>
    <w:p w14:paraId="377EA568" w14:textId="77777777" w:rsidR="001A6650" w:rsidRDefault="00000000">
      <w:pPr>
        <w:spacing w:before="240"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theoretical standpoint, the research shows that smart cities cannot be understood merely as technologically advanced spaces, but as complex socio-technical ecosystems in which data, algorithms, institutions, and legal norms interact dynamically. The literature analyzed, both national and international, converges in recognizing the centrality of AI in the automation of urban processes, the intensive use of data, and the transformation of public services, while also pointing to challenges related to governance, ethics, and the protection of rights.</w:t>
      </w:r>
    </w:p>
    <w:p w14:paraId="109C6ABD" w14:textId="77777777" w:rsidR="001A6650" w:rsidRDefault="00000000">
      <w:pPr>
        <w:spacing w:before="240"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context of Intellectual Property, the findings reinforce the need to reinterpret traditional legal protection frameworks in light of the growing participation of intelligent systems in generating economic value and innovation. The research demonstrates that AI-based intangible assets challenge classic categories of authorship, ownership, and economic exploitation, requiring more flexible regulatory arrangements compatible with the logic of data-driven innovation, especially in the urban context.</w:t>
      </w:r>
    </w:p>
    <w:p w14:paraId="5BB793F9" w14:textId="77777777" w:rsidR="001A6650" w:rsidRDefault="00000000">
      <w:pPr>
        <w:spacing w:before="240"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Methodologically, the statistical results provide empirical robustness to the theoretical discussions. Descriptive statistics revealed a high degree of agreement among respondents regarding the relevance of AI for smart cities and sectoral innovation. The high internal consistency of the instrument, evidenced by Cronbach 's Alpha coefficient , validated the construction of synthetic indices and the performance of multivariate analyses. Correlation and linear regression analyses indicated positive and statistically significant relationships between the perception of AI's influence on urban development and the expectation of its future importance in the sectors of activity, highlighting the interdependence between urban innovation and economic transformation.</w:t>
      </w:r>
    </w:p>
    <w:p w14:paraId="2CB4A3F4" w14:textId="77777777" w:rsidR="001A6650" w:rsidRDefault="00000000">
      <w:pPr>
        <w:spacing w:before="240"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Cluster analysis revealed distinct perception profiles, demonstrating that understanding of AI, smart cities, and Intellectual Property is not homogeneous, but structured in groups with different levels of technological and regulatory maturity. These results reinforce the importance of adaptive public policies and institutional strategies capable of engaging with different stages of technology adoption and understanding.</w:t>
      </w:r>
    </w:p>
    <w:p w14:paraId="2902A215" w14:textId="77777777" w:rsidR="001A6650" w:rsidRDefault="00000000">
      <w:pPr>
        <w:spacing w:before="240"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an integrated manner, the research confirms that Artificial Intelligence acts as a cross-cutting vector of urban innovation, reconfiguring governance practices, productive structures, and legal regimes. At the same time, it shows that the success of smart cities depends not only on technological adoption, but also on the construction of regulatory, ethical, and institutional environments capable of generating socio-technical trust, promoting inclusion, and ensuring the protection of strategic intangible assets.</w:t>
      </w:r>
    </w:p>
    <w:p w14:paraId="6510BC52" w14:textId="77777777" w:rsidR="001A6650" w:rsidRDefault="00000000">
      <w:pPr>
        <w:spacing w:before="240"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this study contributes to the advancement of the interdisciplinary field that articulates Intellectual Property, Artificial Intelligence, and Smart Cities, offering empirical and analytical evidence that can support the formulation of public policies, urban innovation strategies, and future academic research. It is recommended that future investigations deepen comparative analyses between countries, incorporate longitudinal data, and explore experimental regulatory models that reconcile innovation, legal protection, and public interest in the context of smart cities.</w:t>
      </w:r>
    </w:p>
    <w:p w14:paraId="4E157493" w14:textId="77777777" w:rsidR="001A6650" w:rsidRDefault="00000000">
      <w:pPr>
        <w:spacing w:before="240"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 conclusion, Artificial Intelligence is widely perceived as a strategic technology for the </w:t>
      </w:r>
      <w:r>
        <w:rPr>
          <w:rFonts w:ascii="Times New Roman" w:eastAsia="Times New Roman" w:hAnsi="Times New Roman" w:cs="Times New Roman"/>
          <w:color w:val="000000"/>
          <w:sz w:val="24"/>
          <w:szCs w:val="24"/>
        </w:rPr>
        <w:t>development of smart cities and for the future of productive sectors. However, its adoption demands attention to the impacts on individual security and the protection of intangible assets, especially in the area of intellectual property.</w:t>
      </w:r>
    </w:p>
    <w:p w14:paraId="2825FCA0" w14:textId="77777777" w:rsidR="001A6650" w:rsidRDefault="001A6650">
      <w:pPr>
        <w:spacing w:before="240" w:after="0" w:line="360" w:lineRule="auto"/>
        <w:ind w:firstLine="284"/>
        <w:jc w:val="both"/>
        <w:rPr>
          <w:rFonts w:ascii="Times New Roman" w:eastAsia="Times New Roman" w:hAnsi="Times New Roman" w:cs="Times New Roman"/>
          <w:color w:val="000000"/>
          <w:sz w:val="24"/>
          <w:szCs w:val="24"/>
        </w:rPr>
      </w:pPr>
    </w:p>
    <w:p w14:paraId="593F8DA8" w14:textId="77777777" w:rsidR="00C41C38" w:rsidRDefault="00C41C38">
      <w:pPr>
        <w:spacing w:before="240" w:after="0" w:line="360" w:lineRule="auto"/>
        <w:ind w:firstLine="284"/>
        <w:jc w:val="both"/>
        <w:rPr>
          <w:rFonts w:ascii="Times New Roman" w:eastAsia="Times New Roman" w:hAnsi="Times New Roman" w:cs="Times New Roman"/>
          <w:color w:val="000000"/>
          <w:sz w:val="24"/>
          <w:szCs w:val="24"/>
        </w:rPr>
      </w:pPr>
    </w:p>
    <w:p w14:paraId="54595C11" w14:textId="77777777" w:rsidR="001A6650" w:rsidRDefault="00000000">
      <w:pP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15.1 Final Recommendations</w:t>
      </w:r>
    </w:p>
    <w:p w14:paraId="032DDF22" w14:textId="77777777" w:rsidR="001A6650" w:rsidRDefault="00000000">
      <w:pPr>
        <w:spacing w:before="240" w:after="0" w:line="36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In light of the results obtained, it is recommended, first and foremost, </w:t>
      </w:r>
      <w:r>
        <w:rPr>
          <w:rFonts w:ascii="Times New Roman" w:eastAsia="Times New Roman" w:hAnsi="Times New Roman" w:cs="Times New Roman"/>
          <w:b/>
          <w:bCs/>
          <w:color w:val="000000"/>
          <w:sz w:val="24"/>
          <w:szCs w:val="24"/>
        </w:rPr>
        <w:t xml:space="preserve">to </w:t>
      </w:r>
      <w:r>
        <w:rPr>
          <w:rFonts w:ascii="Times New Roman" w:eastAsia="Times New Roman" w:hAnsi="Times New Roman" w:cs="Times New Roman"/>
          <w:color w:val="000000"/>
          <w:sz w:val="24"/>
          <w:szCs w:val="24"/>
        </w:rPr>
        <w:t>strengthen integrated public policies that articulate Artificial Intelligence, urban innovation, and Intellectual Property in a systemic way. The evidence indicates that the isolated adoption of technologies is not sufficient to consolidate smart cities; it is necessary to align technological strategies with clear, transparent regulatory frameworks oriented towards the public interest.</w:t>
      </w:r>
    </w:p>
    <w:p w14:paraId="11D5BE7F" w14:textId="77777777" w:rsidR="001A6650" w:rsidRDefault="00000000">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the field of Intellectual </w:t>
      </w:r>
      <w:proofErr w:type="gramStart"/>
      <w:r>
        <w:rPr>
          <w:rFonts w:ascii="Times New Roman" w:eastAsia="Times New Roman" w:hAnsi="Times New Roman" w:cs="Times New Roman"/>
          <w:color w:val="000000"/>
          <w:sz w:val="24"/>
          <w:szCs w:val="24"/>
        </w:rPr>
        <w:t xml:space="preserve">Property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it is recommended to improve the legal frameworks for the protection of intangible assets based on AI, considering challenges related to algorithmic authorship, data ownership, and the economic exploitation of intelligent solutions. The creation of specific guidelines for urban innovation can contribute to reducing legal uncertainties and stimulating responsible technological development.</w:t>
      </w:r>
    </w:p>
    <w:p w14:paraId="4FF9C8E2" w14:textId="77777777" w:rsidR="001A6650" w:rsidRDefault="00000000">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an institutional perspective, continuous investment in technical training and data-driven governance is suggested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especially within municipal public administration. The consolidation of smart cities requires multidisciplinary teams capable of understanding both the technological aspects and the legal, ethical, and social impacts of Artificial Intelligence.</w:t>
      </w:r>
    </w:p>
    <w:p w14:paraId="3C9C602A" w14:textId="77777777" w:rsidR="001A6650" w:rsidRDefault="00000000">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future academic research, it is recommended to broaden the methodological scope through longitudinal studies, comparative analyses between countries or regions, and the incorporation of more advanced statistical </w:t>
      </w:r>
      <w:proofErr w:type="gramStart"/>
      <w:r>
        <w:rPr>
          <w:rFonts w:ascii="Times New Roman" w:eastAsia="Times New Roman" w:hAnsi="Times New Roman" w:cs="Times New Roman"/>
          <w:sz w:val="24"/>
          <w:szCs w:val="24"/>
        </w:rPr>
        <w:t xml:space="preserve">models </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such as structural equation modeling or multilevel </w:t>
      </w:r>
      <w:proofErr w:type="gramStart"/>
      <w:r>
        <w:rPr>
          <w:rFonts w:ascii="Times New Roman" w:eastAsia="Times New Roman" w:hAnsi="Times New Roman" w:cs="Times New Roman"/>
          <w:sz w:val="24"/>
          <w:szCs w:val="24"/>
        </w:rPr>
        <w:t>analyses .</w:t>
      </w:r>
      <w:proofErr w:type="gramEnd"/>
      <w:r>
        <w:rPr>
          <w:rFonts w:ascii="Times New Roman" w:eastAsia="Times New Roman" w:hAnsi="Times New Roman" w:cs="Times New Roman"/>
          <w:sz w:val="24"/>
          <w:szCs w:val="24"/>
        </w:rPr>
        <w:t xml:space="preserve"> Combining perceptual data with objective indicators of urban performance can also enrich the analyses.</w:t>
      </w:r>
    </w:p>
    <w:p w14:paraId="562211D5" w14:textId="77777777" w:rsidR="001A6650" w:rsidRDefault="00000000">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it is recommended that future research delve deeper into the socio-technical dimension of trust, exploring how citizens, public managers, and economic agents perceive the risks and benefits of AI in smart cities. Understanding this dimension is fundamental to ensuring that urban innovation is not only efficient but also legitimate, inclusive, and socially sustainable.</w:t>
      </w:r>
    </w:p>
    <w:p w14:paraId="74130BC4" w14:textId="77777777" w:rsidR="001A6650" w:rsidRDefault="001A6650">
      <w:pPr>
        <w:spacing w:after="0" w:line="360" w:lineRule="auto"/>
        <w:ind w:firstLine="284"/>
        <w:jc w:val="both"/>
        <w:rPr>
          <w:rFonts w:ascii="Times New Roman" w:eastAsia="Times New Roman" w:hAnsi="Times New Roman" w:cs="Times New Roman"/>
          <w:b/>
          <w:bCs/>
          <w:sz w:val="24"/>
          <w:szCs w:val="24"/>
        </w:rPr>
      </w:pPr>
    </w:p>
    <w:p w14:paraId="19B753EB" w14:textId="77777777" w:rsidR="001A6650"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 BIBLIOGRAPHIC REFERENCES</w:t>
      </w:r>
    </w:p>
    <w:p w14:paraId="291B1FA3"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ALPAYDIN, E. </w:t>
      </w:r>
      <w:r w:rsidRPr="00D524A7">
        <w:rPr>
          <w:rFonts w:ascii="Times New Roman" w:eastAsia="Times New Roman" w:hAnsi="Times New Roman" w:cs="Times New Roman"/>
          <w:i/>
          <w:iCs/>
          <w:sz w:val="24"/>
          <w:szCs w:val="24"/>
          <w:lang w:val="en-US"/>
        </w:rPr>
        <w:t xml:space="preserve">Machine </w:t>
      </w:r>
      <w:proofErr w:type="gramStart"/>
      <w:r w:rsidRPr="00D524A7">
        <w:rPr>
          <w:rFonts w:ascii="Times New Roman" w:eastAsia="Times New Roman" w:hAnsi="Times New Roman" w:cs="Times New Roman"/>
          <w:i/>
          <w:iCs/>
          <w:sz w:val="24"/>
          <w:szCs w:val="24"/>
          <w:lang w:val="en-US"/>
        </w:rPr>
        <w:t>learning :</w:t>
      </w:r>
      <w:proofErr w:type="gramEnd"/>
      <w:r w:rsidRPr="00D524A7">
        <w:rPr>
          <w:rFonts w:ascii="Times New Roman" w:eastAsia="Times New Roman" w:hAnsi="Times New Roman" w:cs="Times New Roman"/>
          <w:i/>
          <w:iCs/>
          <w:sz w:val="24"/>
          <w:szCs w:val="24"/>
          <w:lang w:val="en-US"/>
        </w:rPr>
        <w:t xml:space="preserve"> the new </w:t>
      </w:r>
      <w:proofErr w:type="gramStart"/>
      <w:r w:rsidRPr="00D524A7">
        <w:rPr>
          <w:rFonts w:ascii="Times New Roman" w:eastAsia="Times New Roman" w:hAnsi="Times New Roman" w:cs="Times New Roman"/>
          <w:i/>
          <w:iCs/>
          <w:sz w:val="24"/>
          <w:szCs w:val="24"/>
          <w:lang w:val="en-US"/>
        </w:rPr>
        <w:t xml:space="preserve">AI </w:t>
      </w:r>
      <w:r w:rsidRPr="00D524A7">
        <w:rPr>
          <w:rFonts w:ascii="Times New Roman" w:eastAsia="Times New Roman" w:hAnsi="Times New Roman" w:cs="Times New Roman"/>
          <w:sz w:val="24"/>
          <w:szCs w:val="24"/>
          <w:lang w:val="en-US"/>
        </w:rPr>
        <w:t>.</w:t>
      </w:r>
      <w:proofErr w:type="gramEnd"/>
      <w:r w:rsidRPr="00D524A7">
        <w:rPr>
          <w:rFonts w:ascii="Times New Roman" w:eastAsia="Times New Roman" w:hAnsi="Times New Roman" w:cs="Times New Roman"/>
          <w:sz w:val="24"/>
          <w:szCs w:val="24"/>
          <w:lang w:val="en-US"/>
        </w:rPr>
        <w:t xml:space="preserve"> Cambridge: MIT Press, 2016.</w:t>
      </w:r>
    </w:p>
    <w:p w14:paraId="10996BB6"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ANSSELL, C.; GASH, A. Collaborative governance in theory and practice. </w:t>
      </w:r>
      <w:r w:rsidRPr="00D524A7">
        <w:rPr>
          <w:rFonts w:ascii="Times New Roman" w:eastAsia="Times New Roman" w:hAnsi="Times New Roman" w:cs="Times New Roman"/>
          <w:i/>
          <w:iCs/>
          <w:sz w:val="24"/>
          <w:szCs w:val="24"/>
          <w:lang w:val="en-US"/>
        </w:rPr>
        <w:t xml:space="preserve">Journal of Public Administration Research and Theory </w:t>
      </w:r>
      <w:r w:rsidRPr="00D524A7">
        <w:rPr>
          <w:rFonts w:ascii="Times New Roman" w:eastAsia="Times New Roman" w:hAnsi="Times New Roman" w:cs="Times New Roman"/>
          <w:sz w:val="24"/>
          <w:szCs w:val="24"/>
          <w:lang w:val="en-US"/>
        </w:rPr>
        <w:t>, Oxford, vol. 18, no. 4, p. 543–571, 2008.</w:t>
      </w:r>
    </w:p>
    <w:p w14:paraId="68C5E122"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BATAGAN, L. Smart cities and sustainability models. </w:t>
      </w:r>
      <w:r w:rsidRPr="00D524A7">
        <w:rPr>
          <w:rFonts w:ascii="Times New Roman" w:eastAsia="Times New Roman" w:hAnsi="Times New Roman" w:cs="Times New Roman"/>
          <w:i/>
          <w:iCs/>
          <w:sz w:val="24"/>
          <w:szCs w:val="24"/>
          <w:lang w:val="en-US"/>
        </w:rPr>
        <w:t xml:space="preserve">Informatica </w:t>
      </w:r>
      <w:proofErr w:type="spellStart"/>
      <w:r w:rsidRPr="00D524A7">
        <w:rPr>
          <w:rFonts w:ascii="Times New Roman" w:eastAsia="Times New Roman" w:hAnsi="Times New Roman" w:cs="Times New Roman"/>
          <w:i/>
          <w:iCs/>
          <w:sz w:val="24"/>
          <w:szCs w:val="24"/>
          <w:lang w:val="en-US"/>
        </w:rPr>
        <w:t>Economică</w:t>
      </w:r>
      <w:proofErr w:type="spellEnd"/>
      <w:r w:rsidRPr="00D524A7">
        <w:rPr>
          <w:rFonts w:ascii="Times New Roman" w:eastAsia="Times New Roman" w:hAnsi="Times New Roman" w:cs="Times New Roman"/>
          <w:i/>
          <w:iCs/>
          <w:sz w:val="24"/>
          <w:szCs w:val="24"/>
          <w:lang w:val="en-US"/>
        </w:rPr>
        <w:t xml:space="preserve"> </w:t>
      </w:r>
      <w:r w:rsidRPr="00D524A7">
        <w:rPr>
          <w:rFonts w:ascii="Times New Roman" w:eastAsia="Times New Roman" w:hAnsi="Times New Roman" w:cs="Times New Roman"/>
          <w:sz w:val="24"/>
          <w:szCs w:val="24"/>
          <w:lang w:val="en-US"/>
        </w:rPr>
        <w:t>, Bucharest, v. 15, no. 3, p. 80–87, 2011.</w:t>
      </w:r>
    </w:p>
    <w:p w14:paraId="0A5AC227"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BATTY, M. Smart cities, big data and urban analytics. </w:t>
      </w:r>
      <w:r w:rsidRPr="00D524A7">
        <w:rPr>
          <w:rFonts w:ascii="Times New Roman" w:eastAsia="Times New Roman" w:hAnsi="Times New Roman" w:cs="Times New Roman"/>
          <w:i/>
          <w:iCs/>
          <w:sz w:val="24"/>
          <w:szCs w:val="24"/>
          <w:lang w:val="en-US"/>
        </w:rPr>
        <w:t xml:space="preserve">Urban Analytics and City Science </w:t>
      </w:r>
      <w:r w:rsidRPr="00D524A7">
        <w:rPr>
          <w:rFonts w:ascii="Times New Roman" w:eastAsia="Times New Roman" w:hAnsi="Times New Roman" w:cs="Times New Roman"/>
          <w:sz w:val="24"/>
          <w:szCs w:val="24"/>
          <w:lang w:val="en-US"/>
        </w:rPr>
        <w:t>, London, vol. 43, n. 1, p. 1–8, 2016.</w:t>
      </w:r>
    </w:p>
    <w:p w14:paraId="56D6FBC1"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lastRenderedPageBreak/>
        <w:t xml:space="preserve">BENGIO, Y.; COURVILLE, A.; VINCENT, P. Representation learning: a review and new perspectives. </w:t>
      </w:r>
      <w:r w:rsidRPr="00D524A7">
        <w:rPr>
          <w:rFonts w:ascii="Times New Roman" w:eastAsia="Times New Roman" w:hAnsi="Times New Roman" w:cs="Times New Roman"/>
          <w:i/>
          <w:iCs/>
          <w:sz w:val="24"/>
          <w:szCs w:val="24"/>
          <w:lang w:val="en-US"/>
        </w:rPr>
        <w:t xml:space="preserve">IEEE Transactions on Pattern Analysis and Machine Intelligence </w:t>
      </w:r>
      <w:r w:rsidRPr="00D524A7">
        <w:rPr>
          <w:rFonts w:ascii="Times New Roman" w:eastAsia="Times New Roman" w:hAnsi="Times New Roman" w:cs="Times New Roman"/>
          <w:sz w:val="24"/>
          <w:szCs w:val="24"/>
          <w:lang w:val="en-US"/>
        </w:rPr>
        <w:t>, New York, v. 35, no. 8, p. 1798–1828, 2013.</w:t>
      </w:r>
    </w:p>
    <w:p w14:paraId="1084EDB0" w14:textId="77777777" w:rsidR="001A6650"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BRAZIL. Law No. 9,279, of May 14, 1996. Regulates rights and obligations relating to industrial property. </w:t>
      </w:r>
      <w:r>
        <w:rPr>
          <w:rFonts w:ascii="Times New Roman" w:eastAsia="Times New Roman" w:hAnsi="Times New Roman" w:cs="Times New Roman"/>
          <w:i/>
          <w:iCs/>
          <w:sz w:val="24"/>
          <w:szCs w:val="24"/>
        </w:rPr>
        <w:t xml:space="preserve">Official Gazette of the Union </w:t>
      </w:r>
      <w:r>
        <w:rPr>
          <w:rFonts w:ascii="Times New Roman" w:eastAsia="Times New Roman" w:hAnsi="Times New Roman" w:cs="Times New Roman"/>
          <w:sz w:val="24"/>
          <w:szCs w:val="24"/>
        </w:rPr>
        <w:t>, Brasília, May 15, 1996.</w:t>
      </w:r>
    </w:p>
    <w:p w14:paraId="569F32DB" w14:textId="77777777" w:rsidR="001A6650"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BRAZIL. Law No. 13.709, of August 14, 2018. General Law on the Protection of Personal Data (LGPD). </w:t>
      </w:r>
      <w:r>
        <w:rPr>
          <w:rFonts w:ascii="Times New Roman" w:eastAsia="Times New Roman" w:hAnsi="Times New Roman" w:cs="Times New Roman"/>
          <w:i/>
          <w:iCs/>
          <w:sz w:val="24"/>
          <w:szCs w:val="24"/>
        </w:rPr>
        <w:t xml:space="preserve">Official Gazette of the Union </w:t>
      </w:r>
      <w:r>
        <w:rPr>
          <w:rFonts w:ascii="Times New Roman" w:eastAsia="Times New Roman" w:hAnsi="Times New Roman" w:cs="Times New Roman"/>
          <w:sz w:val="24"/>
          <w:szCs w:val="24"/>
        </w:rPr>
        <w:t>, Brasília, August 15, 2018.</w:t>
      </w:r>
    </w:p>
    <w:p w14:paraId="346EE50F"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CARAGLIU, A.; DEL BO, C.; NIJKAMP, P. Smart cities in Europe . </w:t>
      </w:r>
      <w:r w:rsidRPr="00D524A7">
        <w:rPr>
          <w:rFonts w:ascii="Times New Roman" w:eastAsia="Times New Roman" w:hAnsi="Times New Roman" w:cs="Times New Roman"/>
          <w:i/>
          <w:iCs/>
          <w:sz w:val="24"/>
          <w:szCs w:val="24"/>
          <w:lang w:val="en-US"/>
        </w:rPr>
        <w:t xml:space="preserve">Journal of Urban Technology </w:t>
      </w:r>
      <w:r w:rsidRPr="00D524A7">
        <w:rPr>
          <w:rFonts w:ascii="Times New Roman" w:eastAsia="Times New Roman" w:hAnsi="Times New Roman" w:cs="Times New Roman"/>
          <w:sz w:val="24"/>
          <w:szCs w:val="24"/>
          <w:lang w:val="en-US"/>
        </w:rPr>
        <w:t>, London, vol. 18, no. 2, p. 65–82, 2011.</w:t>
      </w:r>
    </w:p>
    <w:p w14:paraId="1D5640B3" w14:textId="77777777" w:rsidR="001A6650" w:rsidRPr="00C41C38" w:rsidRDefault="00000000">
      <w:pPr>
        <w:spacing w:before="280" w:after="28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rPr>
        <w:t xml:space="preserve">CASTELLS, M. </w:t>
      </w:r>
      <w:r>
        <w:rPr>
          <w:rFonts w:ascii="Times New Roman" w:eastAsia="Times New Roman" w:hAnsi="Times New Roman" w:cs="Times New Roman"/>
          <w:i/>
          <w:iCs/>
          <w:sz w:val="24"/>
          <w:szCs w:val="24"/>
        </w:rPr>
        <w:t xml:space="preserve">The Network Society </w:t>
      </w:r>
      <w:r>
        <w:rPr>
          <w:rFonts w:ascii="Times New Roman" w:eastAsia="Times New Roman" w:hAnsi="Times New Roman" w:cs="Times New Roman"/>
          <w:sz w:val="24"/>
          <w:szCs w:val="24"/>
        </w:rPr>
        <w:t xml:space="preserve">. </w:t>
      </w:r>
      <w:r w:rsidRPr="00C41C38">
        <w:rPr>
          <w:rFonts w:ascii="Times New Roman" w:eastAsia="Times New Roman" w:hAnsi="Times New Roman" w:cs="Times New Roman"/>
          <w:sz w:val="24"/>
          <w:szCs w:val="24"/>
          <w:lang w:val="pt-BR"/>
        </w:rPr>
        <w:t>6th ed. São Paulo: Paz e Terra, 2019.</w:t>
      </w:r>
    </w:p>
    <w:p w14:paraId="10FCDB1D"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CAVOUKIAN, A. Privacy by design: the 7 foundational principles. Toronto: Information and Privacy Commissioner of Ontario, 2011.</w:t>
      </w:r>
    </w:p>
    <w:p w14:paraId="4F6E90F8"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FLORIDI, L. Ethical challenges of artificial intelligence. </w:t>
      </w:r>
      <w:r w:rsidRPr="00D524A7">
        <w:rPr>
          <w:rFonts w:ascii="Times New Roman" w:eastAsia="Times New Roman" w:hAnsi="Times New Roman" w:cs="Times New Roman"/>
          <w:i/>
          <w:iCs/>
          <w:sz w:val="24"/>
          <w:szCs w:val="24"/>
          <w:lang w:val="en-US"/>
        </w:rPr>
        <w:t xml:space="preserve">Philosophy &amp; Technology </w:t>
      </w:r>
      <w:r w:rsidRPr="00D524A7">
        <w:rPr>
          <w:rFonts w:ascii="Times New Roman" w:eastAsia="Times New Roman" w:hAnsi="Times New Roman" w:cs="Times New Roman"/>
          <w:sz w:val="24"/>
          <w:szCs w:val="24"/>
          <w:lang w:val="en-US"/>
        </w:rPr>
        <w:t>, Dordrecht, vol. 31, no. 4, p. 689–699, 2018.</w:t>
      </w:r>
    </w:p>
    <w:p w14:paraId="5FBC6517"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FLORIDI, L. et al. AI4People—an ethical framework for a good AI society. </w:t>
      </w:r>
      <w:r w:rsidRPr="00D524A7">
        <w:rPr>
          <w:rFonts w:ascii="Times New Roman" w:eastAsia="Times New Roman" w:hAnsi="Times New Roman" w:cs="Times New Roman"/>
          <w:i/>
          <w:iCs/>
          <w:sz w:val="24"/>
          <w:szCs w:val="24"/>
          <w:lang w:val="en-US"/>
        </w:rPr>
        <w:t xml:space="preserve">Minds and Machines </w:t>
      </w:r>
      <w:r w:rsidRPr="00D524A7">
        <w:rPr>
          <w:rFonts w:ascii="Times New Roman" w:eastAsia="Times New Roman" w:hAnsi="Times New Roman" w:cs="Times New Roman"/>
          <w:sz w:val="24"/>
          <w:szCs w:val="24"/>
          <w:lang w:val="en-US"/>
        </w:rPr>
        <w:t>, Dordrecht, vol. 28, no. 4, p. 689–707, 2018.</w:t>
      </w:r>
    </w:p>
    <w:p w14:paraId="597F0BE1"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GIFFINGER, R. et al. </w:t>
      </w:r>
      <w:r w:rsidRPr="00D524A7">
        <w:rPr>
          <w:rFonts w:ascii="Times New Roman" w:eastAsia="Times New Roman" w:hAnsi="Times New Roman" w:cs="Times New Roman"/>
          <w:i/>
          <w:iCs/>
          <w:sz w:val="24"/>
          <w:szCs w:val="24"/>
          <w:lang w:val="en-US"/>
        </w:rPr>
        <w:t xml:space="preserve">Smart cities: ranking of European medium-sized cities </w:t>
      </w:r>
      <w:r w:rsidRPr="00D524A7">
        <w:rPr>
          <w:rFonts w:ascii="Times New Roman" w:eastAsia="Times New Roman" w:hAnsi="Times New Roman" w:cs="Times New Roman"/>
          <w:sz w:val="24"/>
          <w:szCs w:val="24"/>
          <w:lang w:val="en-US"/>
        </w:rPr>
        <w:t>. Vienna: Center of Regional Science, 2007.</w:t>
      </w:r>
    </w:p>
    <w:p w14:paraId="79F79F7C"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HAIR, JF et al. </w:t>
      </w:r>
      <w:r w:rsidRPr="00D524A7">
        <w:rPr>
          <w:rFonts w:ascii="Times New Roman" w:eastAsia="Times New Roman" w:hAnsi="Times New Roman" w:cs="Times New Roman"/>
          <w:i/>
          <w:iCs/>
          <w:sz w:val="24"/>
          <w:szCs w:val="24"/>
          <w:lang w:val="en-US"/>
        </w:rPr>
        <w:t xml:space="preserve">Multivariate data analysis </w:t>
      </w:r>
      <w:r w:rsidRPr="00D524A7">
        <w:rPr>
          <w:rFonts w:ascii="Times New Roman" w:eastAsia="Times New Roman" w:hAnsi="Times New Roman" w:cs="Times New Roman"/>
          <w:sz w:val="24"/>
          <w:szCs w:val="24"/>
          <w:lang w:val="en-US"/>
        </w:rPr>
        <w:t>. 7. ed. Upper Saddle River: Pearson, 2014.</w:t>
      </w:r>
    </w:p>
    <w:p w14:paraId="2BAE55B4"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KITCHIN, R. The real-time city? Big data and smart urbanism. </w:t>
      </w:r>
      <w:proofErr w:type="spellStart"/>
      <w:r w:rsidRPr="00D524A7">
        <w:rPr>
          <w:rFonts w:ascii="Times New Roman" w:eastAsia="Times New Roman" w:hAnsi="Times New Roman" w:cs="Times New Roman"/>
          <w:i/>
          <w:iCs/>
          <w:sz w:val="24"/>
          <w:szCs w:val="24"/>
          <w:lang w:val="en-US"/>
        </w:rPr>
        <w:t>GeoJournal</w:t>
      </w:r>
      <w:proofErr w:type="spellEnd"/>
      <w:r w:rsidRPr="00D524A7">
        <w:rPr>
          <w:rFonts w:ascii="Times New Roman" w:eastAsia="Times New Roman" w:hAnsi="Times New Roman" w:cs="Times New Roman"/>
          <w:i/>
          <w:iCs/>
          <w:sz w:val="24"/>
          <w:szCs w:val="24"/>
          <w:lang w:val="en-US"/>
        </w:rPr>
        <w:t xml:space="preserve"> </w:t>
      </w:r>
      <w:r w:rsidRPr="00D524A7">
        <w:rPr>
          <w:rFonts w:ascii="Times New Roman" w:eastAsia="Times New Roman" w:hAnsi="Times New Roman" w:cs="Times New Roman"/>
          <w:sz w:val="24"/>
          <w:szCs w:val="24"/>
          <w:lang w:val="en-US"/>
        </w:rPr>
        <w:t>, Dordrecht, vol. 79, no. 1, p. 1–14, 2014.</w:t>
      </w:r>
    </w:p>
    <w:p w14:paraId="5A1AA565"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KITCHIN, R.; DODGE, M. </w:t>
      </w:r>
      <w:r w:rsidRPr="00D524A7">
        <w:rPr>
          <w:rFonts w:ascii="Times New Roman" w:eastAsia="Times New Roman" w:hAnsi="Times New Roman" w:cs="Times New Roman"/>
          <w:i/>
          <w:iCs/>
          <w:sz w:val="24"/>
          <w:szCs w:val="24"/>
          <w:lang w:val="en-US"/>
        </w:rPr>
        <w:t xml:space="preserve">Code/space: software and everyday life </w:t>
      </w:r>
      <w:r w:rsidRPr="00D524A7">
        <w:rPr>
          <w:rFonts w:ascii="Times New Roman" w:eastAsia="Times New Roman" w:hAnsi="Times New Roman" w:cs="Times New Roman"/>
          <w:sz w:val="24"/>
          <w:szCs w:val="24"/>
          <w:lang w:val="en-US"/>
        </w:rPr>
        <w:t>. Cambridge: MIT Press, 2011.</w:t>
      </w:r>
    </w:p>
    <w:p w14:paraId="4B47E6B6"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Lee, J.; BAGHERI, B.; KAO, H. A cyber-physical systems architecture for industry 4.0-based manufacturing systems. </w:t>
      </w:r>
      <w:r w:rsidRPr="00D524A7">
        <w:rPr>
          <w:rFonts w:ascii="Times New Roman" w:eastAsia="Times New Roman" w:hAnsi="Times New Roman" w:cs="Times New Roman"/>
          <w:i/>
          <w:iCs/>
          <w:sz w:val="24"/>
          <w:szCs w:val="24"/>
          <w:lang w:val="en-US"/>
        </w:rPr>
        <w:t xml:space="preserve">Manufacturing Letters </w:t>
      </w:r>
      <w:r w:rsidRPr="00D524A7">
        <w:rPr>
          <w:rFonts w:ascii="Times New Roman" w:eastAsia="Times New Roman" w:hAnsi="Times New Roman" w:cs="Times New Roman"/>
          <w:sz w:val="24"/>
          <w:szCs w:val="24"/>
          <w:lang w:val="en-US"/>
        </w:rPr>
        <w:t>, Amsterdam, vol. 3, p. 18–23, 2015.</w:t>
      </w:r>
    </w:p>
    <w:p w14:paraId="206AB7D9"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MACHLUP, F. </w:t>
      </w:r>
      <w:r w:rsidRPr="00D524A7">
        <w:rPr>
          <w:rFonts w:ascii="Times New Roman" w:eastAsia="Times New Roman" w:hAnsi="Times New Roman" w:cs="Times New Roman"/>
          <w:i/>
          <w:iCs/>
          <w:sz w:val="24"/>
          <w:szCs w:val="24"/>
          <w:lang w:val="en-US"/>
        </w:rPr>
        <w:t xml:space="preserve">The production and distribution of knowledge in the United States </w:t>
      </w:r>
      <w:r w:rsidRPr="00D524A7">
        <w:rPr>
          <w:rFonts w:ascii="Times New Roman" w:eastAsia="Times New Roman" w:hAnsi="Times New Roman" w:cs="Times New Roman"/>
          <w:sz w:val="24"/>
          <w:szCs w:val="24"/>
          <w:lang w:val="en-US"/>
        </w:rPr>
        <w:t>. Princeton: Princeton University Press, 1962.</w:t>
      </w:r>
    </w:p>
    <w:p w14:paraId="391BD09B"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OECD. </w:t>
      </w:r>
      <w:r w:rsidRPr="00D524A7">
        <w:rPr>
          <w:rFonts w:ascii="Times New Roman" w:eastAsia="Times New Roman" w:hAnsi="Times New Roman" w:cs="Times New Roman"/>
          <w:i/>
          <w:iCs/>
          <w:sz w:val="24"/>
          <w:szCs w:val="24"/>
          <w:lang w:val="en-US"/>
        </w:rPr>
        <w:t xml:space="preserve">Artificial intelligence in society </w:t>
      </w:r>
      <w:r w:rsidRPr="00D524A7">
        <w:rPr>
          <w:rFonts w:ascii="Times New Roman" w:eastAsia="Times New Roman" w:hAnsi="Times New Roman" w:cs="Times New Roman"/>
          <w:sz w:val="24"/>
          <w:szCs w:val="24"/>
          <w:lang w:val="en-US"/>
        </w:rPr>
        <w:t>. Paris: OECD Publishing, 2019.</w:t>
      </w:r>
    </w:p>
    <w:p w14:paraId="7B1E9CCD"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OECD. </w:t>
      </w:r>
      <w:r w:rsidRPr="00D524A7">
        <w:rPr>
          <w:rFonts w:ascii="Times New Roman" w:eastAsia="Times New Roman" w:hAnsi="Times New Roman" w:cs="Times New Roman"/>
          <w:i/>
          <w:iCs/>
          <w:sz w:val="24"/>
          <w:szCs w:val="24"/>
          <w:lang w:val="en-US"/>
        </w:rPr>
        <w:t xml:space="preserve">Smart cities and inclusive growth </w:t>
      </w:r>
      <w:r w:rsidRPr="00D524A7">
        <w:rPr>
          <w:rFonts w:ascii="Times New Roman" w:eastAsia="Times New Roman" w:hAnsi="Times New Roman" w:cs="Times New Roman"/>
          <w:sz w:val="24"/>
          <w:szCs w:val="24"/>
          <w:lang w:val="en-US"/>
        </w:rPr>
        <w:t>. Paris: OECD Publishing, 2020.</w:t>
      </w:r>
    </w:p>
    <w:p w14:paraId="60726426"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PASQUALE, F. </w:t>
      </w:r>
      <w:r w:rsidRPr="00D524A7">
        <w:rPr>
          <w:rFonts w:ascii="Times New Roman" w:eastAsia="Times New Roman" w:hAnsi="Times New Roman" w:cs="Times New Roman"/>
          <w:i/>
          <w:iCs/>
          <w:sz w:val="24"/>
          <w:szCs w:val="24"/>
          <w:lang w:val="en-US"/>
        </w:rPr>
        <w:t xml:space="preserve">The black box society: the secret algorithms that control money and information </w:t>
      </w:r>
      <w:r w:rsidRPr="00D524A7">
        <w:rPr>
          <w:rFonts w:ascii="Times New Roman" w:eastAsia="Times New Roman" w:hAnsi="Times New Roman" w:cs="Times New Roman"/>
          <w:sz w:val="24"/>
          <w:szCs w:val="24"/>
          <w:lang w:val="en-US"/>
        </w:rPr>
        <w:t>. Cambridge: Harvard University Press, 2015.</w:t>
      </w:r>
    </w:p>
    <w:p w14:paraId="1F78F36D" w14:textId="77777777" w:rsidR="001A6650" w:rsidRDefault="00000000">
      <w:pPr>
        <w:spacing w:before="280" w:after="280" w:line="240" w:lineRule="auto"/>
        <w:rPr>
          <w:rFonts w:ascii="Times New Roman" w:eastAsia="Times New Roman" w:hAnsi="Times New Roman" w:cs="Times New Roman"/>
          <w:sz w:val="24"/>
          <w:szCs w:val="24"/>
        </w:rPr>
      </w:pPr>
      <w:r w:rsidRPr="00D524A7">
        <w:rPr>
          <w:rFonts w:ascii="Times New Roman" w:eastAsia="Times New Roman" w:hAnsi="Times New Roman" w:cs="Times New Roman"/>
          <w:sz w:val="24"/>
          <w:szCs w:val="24"/>
          <w:lang w:val="en-US"/>
        </w:rPr>
        <w:t xml:space="preserve">PORTER, ME; HEPPELMANN, JE How smart, connected products are transforming competition. </w:t>
      </w:r>
      <w:r>
        <w:rPr>
          <w:rFonts w:ascii="Times New Roman" w:eastAsia="Times New Roman" w:hAnsi="Times New Roman" w:cs="Times New Roman"/>
          <w:i/>
          <w:iCs/>
          <w:sz w:val="24"/>
          <w:szCs w:val="24"/>
        </w:rPr>
        <w:t xml:space="preserve">Harvard Business Review </w:t>
      </w:r>
      <w:r>
        <w:rPr>
          <w:rFonts w:ascii="Times New Roman" w:eastAsia="Times New Roman" w:hAnsi="Times New Roman" w:cs="Times New Roman"/>
          <w:sz w:val="24"/>
          <w:szCs w:val="24"/>
        </w:rPr>
        <w:t>, Boston, vol. 92, no. 11, p. 64–88, 2014.</w:t>
      </w:r>
    </w:p>
    <w:p w14:paraId="7E1F6C78" w14:textId="77777777" w:rsidR="001A6650" w:rsidRPr="00C41C38" w:rsidRDefault="00000000">
      <w:pPr>
        <w:spacing w:before="280" w:after="28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rPr>
        <w:t xml:space="preserve">SANTOS, BS. </w:t>
      </w:r>
      <w:r>
        <w:rPr>
          <w:rFonts w:ascii="Times New Roman" w:eastAsia="Times New Roman" w:hAnsi="Times New Roman" w:cs="Times New Roman"/>
          <w:i/>
          <w:iCs/>
          <w:sz w:val="24"/>
          <w:szCs w:val="24"/>
        </w:rPr>
        <w:t xml:space="preserve">A critique of indolent reason </w:t>
      </w:r>
      <w:r>
        <w:rPr>
          <w:rFonts w:ascii="Times New Roman" w:eastAsia="Times New Roman" w:hAnsi="Times New Roman" w:cs="Times New Roman"/>
          <w:sz w:val="24"/>
          <w:szCs w:val="24"/>
        </w:rPr>
        <w:t xml:space="preserve">. </w:t>
      </w:r>
      <w:r w:rsidRPr="00C41C38">
        <w:rPr>
          <w:rFonts w:ascii="Times New Roman" w:eastAsia="Times New Roman" w:hAnsi="Times New Roman" w:cs="Times New Roman"/>
          <w:sz w:val="24"/>
          <w:szCs w:val="24"/>
          <w:lang w:val="pt-BR"/>
        </w:rPr>
        <w:t>4th ed. São Paulo: Cortez, 2010.</w:t>
      </w:r>
    </w:p>
    <w:p w14:paraId="16912990"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lastRenderedPageBreak/>
        <w:t xml:space="preserve">SCHUMPETER, JA </w:t>
      </w:r>
      <w:r w:rsidRPr="00D524A7">
        <w:rPr>
          <w:rFonts w:ascii="Times New Roman" w:eastAsia="Times New Roman" w:hAnsi="Times New Roman" w:cs="Times New Roman"/>
          <w:i/>
          <w:iCs/>
          <w:sz w:val="24"/>
          <w:szCs w:val="24"/>
          <w:lang w:val="en-US"/>
        </w:rPr>
        <w:t xml:space="preserve">Capitalism, socialism and </w:t>
      </w:r>
      <w:proofErr w:type="gramStart"/>
      <w:r w:rsidRPr="00D524A7">
        <w:rPr>
          <w:rFonts w:ascii="Times New Roman" w:eastAsia="Times New Roman" w:hAnsi="Times New Roman" w:cs="Times New Roman"/>
          <w:i/>
          <w:iCs/>
          <w:sz w:val="24"/>
          <w:szCs w:val="24"/>
          <w:lang w:val="en-US"/>
        </w:rPr>
        <w:t xml:space="preserve">democracy </w:t>
      </w:r>
      <w:r w:rsidRPr="00D524A7">
        <w:rPr>
          <w:rFonts w:ascii="Times New Roman" w:eastAsia="Times New Roman" w:hAnsi="Times New Roman" w:cs="Times New Roman"/>
          <w:sz w:val="24"/>
          <w:szCs w:val="24"/>
          <w:lang w:val="en-US"/>
        </w:rPr>
        <w:t>.</w:t>
      </w:r>
      <w:proofErr w:type="gramEnd"/>
      <w:r w:rsidRPr="00D524A7">
        <w:rPr>
          <w:rFonts w:ascii="Times New Roman" w:eastAsia="Times New Roman" w:hAnsi="Times New Roman" w:cs="Times New Roman"/>
          <w:sz w:val="24"/>
          <w:szCs w:val="24"/>
          <w:lang w:val="en-US"/>
        </w:rPr>
        <w:t xml:space="preserve"> New York: Harper &amp; Brothers, 1942.</w:t>
      </w:r>
    </w:p>
    <w:p w14:paraId="59F4376D"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TURING, A. Computing machinery and intelligence. </w:t>
      </w:r>
      <w:r w:rsidRPr="00D524A7">
        <w:rPr>
          <w:rFonts w:ascii="Times New Roman" w:eastAsia="Times New Roman" w:hAnsi="Times New Roman" w:cs="Times New Roman"/>
          <w:i/>
          <w:iCs/>
          <w:sz w:val="24"/>
          <w:szCs w:val="24"/>
          <w:lang w:val="en-US"/>
        </w:rPr>
        <w:t xml:space="preserve">Mind </w:t>
      </w:r>
      <w:r w:rsidRPr="00D524A7">
        <w:rPr>
          <w:rFonts w:ascii="Times New Roman" w:eastAsia="Times New Roman" w:hAnsi="Times New Roman" w:cs="Times New Roman"/>
          <w:sz w:val="24"/>
          <w:szCs w:val="24"/>
          <w:lang w:val="en-US"/>
        </w:rPr>
        <w:t>, Oxford, vol. 59, no. 236, p. 433–460, 1950.</w:t>
      </w:r>
    </w:p>
    <w:p w14:paraId="08FF40B2"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UNITED NATIONS. </w:t>
      </w:r>
      <w:r w:rsidRPr="00D524A7">
        <w:rPr>
          <w:rFonts w:ascii="Times New Roman" w:eastAsia="Times New Roman" w:hAnsi="Times New Roman" w:cs="Times New Roman"/>
          <w:i/>
          <w:iCs/>
          <w:sz w:val="24"/>
          <w:szCs w:val="24"/>
          <w:lang w:val="en-US"/>
        </w:rPr>
        <w:t xml:space="preserve">World urbanization </w:t>
      </w:r>
      <w:proofErr w:type="gramStart"/>
      <w:r w:rsidRPr="00D524A7">
        <w:rPr>
          <w:rFonts w:ascii="Times New Roman" w:eastAsia="Times New Roman" w:hAnsi="Times New Roman" w:cs="Times New Roman"/>
          <w:i/>
          <w:iCs/>
          <w:sz w:val="24"/>
          <w:szCs w:val="24"/>
          <w:lang w:val="en-US"/>
        </w:rPr>
        <w:t xml:space="preserve">prospects </w:t>
      </w:r>
      <w:r w:rsidRPr="00D524A7">
        <w:rPr>
          <w:rFonts w:ascii="Times New Roman" w:eastAsia="Times New Roman" w:hAnsi="Times New Roman" w:cs="Times New Roman"/>
          <w:sz w:val="24"/>
          <w:szCs w:val="24"/>
          <w:lang w:val="en-US"/>
        </w:rPr>
        <w:t>.</w:t>
      </w:r>
      <w:proofErr w:type="gramEnd"/>
      <w:r w:rsidRPr="00D524A7">
        <w:rPr>
          <w:rFonts w:ascii="Times New Roman" w:eastAsia="Times New Roman" w:hAnsi="Times New Roman" w:cs="Times New Roman"/>
          <w:sz w:val="24"/>
          <w:szCs w:val="24"/>
          <w:lang w:val="en-US"/>
        </w:rPr>
        <w:t xml:space="preserve"> New York: UN DESA, 2019.</w:t>
      </w:r>
    </w:p>
    <w:p w14:paraId="436195F3"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WIPO – World Intellectual Property Organization. </w:t>
      </w:r>
      <w:r w:rsidRPr="00D524A7">
        <w:rPr>
          <w:rFonts w:ascii="Times New Roman" w:eastAsia="Times New Roman" w:hAnsi="Times New Roman" w:cs="Times New Roman"/>
          <w:i/>
          <w:iCs/>
          <w:sz w:val="24"/>
          <w:szCs w:val="24"/>
          <w:lang w:val="en-US"/>
        </w:rPr>
        <w:t xml:space="preserve">Artificial intelligence and intellectual property </w:t>
      </w:r>
      <w:r w:rsidRPr="00D524A7">
        <w:rPr>
          <w:rFonts w:ascii="Times New Roman" w:eastAsia="Times New Roman" w:hAnsi="Times New Roman" w:cs="Times New Roman"/>
          <w:sz w:val="24"/>
          <w:szCs w:val="24"/>
          <w:lang w:val="en-US"/>
        </w:rPr>
        <w:t>. Geneva: WIPO, 2019.</w:t>
      </w:r>
    </w:p>
    <w:p w14:paraId="11C26857"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WIPO – World Intellectual Property Organization. </w:t>
      </w:r>
      <w:r w:rsidRPr="00D524A7">
        <w:rPr>
          <w:rFonts w:ascii="Times New Roman" w:eastAsia="Times New Roman" w:hAnsi="Times New Roman" w:cs="Times New Roman"/>
          <w:i/>
          <w:iCs/>
          <w:sz w:val="24"/>
          <w:szCs w:val="24"/>
          <w:lang w:val="en-US"/>
        </w:rPr>
        <w:t xml:space="preserve">Revised issues paper on intellectual property policy and artificial intelligence </w:t>
      </w:r>
      <w:r w:rsidRPr="00D524A7">
        <w:rPr>
          <w:rFonts w:ascii="Times New Roman" w:eastAsia="Times New Roman" w:hAnsi="Times New Roman" w:cs="Times New Roman"/>
          <w:sz w:val="24"/>
          <w:szCs w:val="24"/>
          <w:lang w:val="en-US"/>
        </w:rPr>
        <w:t>. Geneva: WIPO, 2020.</w:t>
      </w:r>
    </w:p>
    <w:p w14:paraId="6A299C02" w14:textId="77777777" w:rsidR="001A6650" w:rsidRPr="00D524A7" w:rsidRDefault="00000000">
      <w:pPr>
        <w:spacing w:before="280" w:after="280" w:line="240" w:lineRule="auto"/>
        <w:rPr>
          <w:rFonts w:ascii="Times New Roman" w:eastAsia="Times New Roman" w:hAnsi="Times New Roman" w:cs="Times New Roman"/>
          <w:sz w:val="24"/>
          <w:szCs w:val="24"/>
          <w:lang w:val="en-US"/>
        </w:rPr>
      </w:pPr>
      <w:r w:rsidRPr="00D524A7">
        <w:rPr>
          <w:rFonts w:ascii="Times New Roman" w:eastAsia="Times New Roman" w:hAnsi="Times New Roman" w:cs="Times New Roman"/>
          <w:sz w:val="24"/>
          <w:szCs w:val="24"/>
          <w:lang w:val="en-US"/>
        </w:rPr>
        <w:t xml:space="preserve">ZUBOFF, S. </w:t>
      </w:r>
      <w:r w:rsidRPr="00D524A7">
        <w:rPr>
          <w:rFonts w:ascii="Times New Roman" w:eastAsia="Times New Roman" w:hAnsi="Times New Roman" w:cs="Times New Roman"/>
          <w:i/>
          <w:iCs/>
          <w:sz w:val="24"/>
          <w:szCs w:val="24"/>
          <w:lang w:val="en-US"/>
        </w:rPr>
        <w:t xml:space="preserve">The age of surveillance capitalism </w:t>
      </w:r>
      <w:r w:rsidRPr="00D524A7">
        <w:rPr>
          <w:rFonts w:ascii="Times New Roman" w:eastAsia="Times New Roman" w:hAnsi="Times New Roman" w:cs="Times New Roman"/>
          <w:sz w:val="24"/>
          <w:szCs w:val="24"/>
          <w:lang w:val="en-US"/>
        </w:rPr>
        <w:t>. New York: PublicAffairs, 2019.</w:t>
      </w:r>
    </w:p>
    <w:p w14:paraId="5952E0BA" w14:textId="77777777" w:rsidR="001A6650" w:rsidRPr="00D524A7" w:rsidRDefault="001A6650">
      <w:pPr>
        <w:spacing w:before="280" w:after="280" w:line="240" w:lineRule="auto"/>
        <w:rPr>
          <w:rFonts w:ascii="Times New Roman" w:eastAsia="Times New Roman" w:hAnsi="Times New Roman" w:cs="Times New Roman"/>
          <w:b/>
          <w:bCs/>
          <w:sz w:val="24"/>
          <w:szCs w:val="24"/>
          <w:lang w:val="en-US"/>
        </w:rPr>
      </w:pPr>
    </w:p>
    <w:p w14:paraId="5B841DE7" w14:textId="77777777" w:rsidR="001A6650" w:rsidRPr="00D524A7" w:rsidRDefault="001A6650">
      <w:pPr>
        <w:spacing w:before="280" w:after="280" w:line="240" w:lineRule="auto"/>
        <w:rPr>
          <w:rFonts w:ascii="Times New Roman" w:eastAsia="Times New Roman" w:hAnsi="Times New Roman" w:cs="Times New Roman"/>
          <w:b/>
          <w:bCs/>
          <w:sz w:val="24"/>
          <w:szCs w:val="24"/>
          <w:lang w:val="en-US"/>
        </w:rPr>
      </w:pPr>
    </w:p>
    <w:p w14:paraId="767C1B0E" w14:textId="77777777" w:rsidR="001A6650" w:rsidRPr="00D524A7" w:rsidRDefault="001A6650">
      <w:pPr>
        <w:spacing w:before="240" w:after="0" w:line="360" w:lineRule="auto"/>
        <w:jc w:val="center"/>
        <w:rPr>
          <w:rFonts w:ascii="Times New Roman" w:eastAsia="Times New Roman" w:hAnsi="Times New Roman" w:cs="Times New Roman"/>
          <w:b/>
          <w:bCs/>
          <w:sz w:val="24"/>
          <w:szCs w:val="24"/>
          <w:lang w:val="en-US"/>
        </w:rPr>
      </w:pPr>
    </w:p>
    <w:p w14:paraId="1226D6C2" w14:textId="77777777" w:rsidR="001A6650" w:rsidRPr="00D524A7" w:rsidRDefault="001A6650">
      <w:pPr>
        <w:spacing w:before="240" w:after="0" w:line="360" w:lineRule="auto"/>
        <w:jc w:val="center"/>
        <w:rPr>
          <w:rFonts w:ascii="Times New Roman" w:eastAsia="Times New Roman" w:hAnsi="Times New Roman" w:cs="Times New Roman"/>
          <w:b/>
          <w:bCs/>
          <w:sz w:val="24"/>
          <w:szCs w:val="24"/>
          <w:lang w:val="en-US"/>
        </w:rPr>
      </w:pPr>
    </w:p>
    <w:sectPr w:rsidR="001A6650" w:rsidRPr="00D524A7">
      <w:headerReference w:type="default" r:id="rId13"/>
      <w:footerReference w:type="default" r:id="rId14"/>
      <w:pgSz w:w="11906" w:h="16838"/>
      <w:pgMar w:top="1134" w:right="1134" w:bottom="1134" w:left="1134" w:header="709" w:footer="709" w:gutter="0"/>
      <w:pgNumType w:start="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9BC63" w14:textId="77777777" w:rsidR="008F44EF" w:rsidRDefault="008F44EF">
      <w:pPr>
        <w:spacing w:after="0" w:line="240" w:lineRule="auto"/>
      </w:pPr>
      <w:r>
        <w:separator/>
      </w:r>
    </w:p>
  </w:endnote>
  <w:endnote w:type="continuationSeparator" w:id="0">
    <w:p w14:paraId="3C698122" w14:textId="77777777" w:rsidR="008F44EF" w:rsidRDefault="008F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265618-E69C-45B3-B9B3-E261AB7F1B6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B743B84-C5FD-45CD-B0DF-49F9C6ACE9C8}"/>
    <w:embedBold r:id="rId3" w:fontKey="{6DA40FC7-AB5E-4CA5-BF08-6E471BF64AB4}"/>
  </w:font>
  <w:font w:name="Comic Sans MS">
    <w:panose1 w:val="030F0702030302020204"/>
    <w:charset w:val="00"/>
    <w:family w:val="script"/>
    <w:pitch w:val="variable"/>
    <w:sig w:usb0="00000687" w:usb1="00000013" w:usb2="00000000" w:usb3="00000000" w:csb0="0000009F" w:csb1="00000000"/>
    <w:embedBold r:id="rId4" w:fontKey="{06761AFA-F4EA-4708-9A2B-CFF647B053CB}"/>
  </w:font>
  <w:font w:name="Cambria">
    <w:panose1 w:val="02040503050406030204"/>
    <w:charset w:val="00"/>
    <w:family w:val="roman"/>
    <w:pitch w:val="variable"/>
    <w:sig w:usb0="E00006FF" w:usb1="420024FF" w:usb2="02000000" w:usb3="00000000" w:csb0="0000019F" w:csb1="00000000"/>
    <w:embedRegular r:id="rId5" w:fontKey="{29952512-01B8-4F2F-823B-1BA6F23286EF}"/>
    <w:embedBoldItalic r:id="rId6" w:fontKey="{B1E2F1B5-1909-494B-8069-34C1328AC97E}"/>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fontKey="{1360281D-8753-43B2-AB49-2BA3117947AC}"/>
    <w:embedBoldItalic r:id="rId8" w:fontKey="{1F95FB44-A816-4A3F-B835-42DBC456D371}"/>
  </w:font>
  <w:font w:name="Tahoma">
    <w:panose1 w:val="020B0604030504040204"/>
    <w:charset w:val="00"/>
    <w:family w:val="swiss"/>
    <w:pitch w:val="variable"/>
    <w:sig w:usb0="E1002EFF" w:usb1="C000605B" w:usb2="00000029" w:usb3="00000000" w:csb0="000101FF" w:csb1="00000000"/>
    <w:embedRegular r:id="rId9" w:fontKey="{0208469B-4FF0-4AE9-8A1C-8EF537602182}"/>
  </w:font>
  <w:font w:name="Georgia">
    <w:panose1 w:val="02040502050405020303"/>
    <w:charset w:val="00"/>
    <w:family w:val="roman"/>
    <w:pitch w:val="variable"/>
    <w:sig w:usb0="00000287" w:usb1="00000000" w:usb2="00000000" w:usb3="00000000" w:csb0="0000009F" w:csb1="00000000"/>
    <w:embedItalic r:id="rId10" w:fontKey="{5A7543FC-AFBD-4F28-A3B6-3132DD6F72CA}"/>
  </w:font>
  <w:font w:name="Gungsuh">
    <w:charset w:val="81"/>
    <w:family w:val="roman"/>
    <w:pitch w:val="variable"/>
    <w:sig w:usb0="B00002AF" w:usb1="69D77CFB" w:usb2="00000030" w:usb3="00000000" w:csb0="0008009F" w:csb1="00000000"/>
    <w:embedRegular r:id="rId11" w:subsetted="1" w:fontKey="{B23E8171-9A3C-4183-A67B-2F83C2BCF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07E1D" w14:textId="77777777" w:rsidR="001A6650"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524A7">
      <w:rPr>
        <w:noProof/>
        <w:color w:val="000000"/>
      </w:rPr>
      <w:t>13</w:t>
    </w:r>
    <w:r>
      <w:rPr>
        <w:color w:val="000000"/>
      </w:rPr>
      <w:fldChar w:fldCharType="end"/>
    </w:r>
  </w:p>
  <w:p w14:paraId="7EB2D395" w14:textId="77777777" w:rsidR="001A6650" w:rsidRDefault="001A6650">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524D5" w14:textId="77777777" w:rsidR="008F44EF" w:rsidRDefault="008F44EF">
      <w:pPr>
        <w:spacing w:after="0" w:line="240" w:lineRule="auto"/>
      </w:pPr>
      <w:r>
        <w:separator/>
      </w:r>
    </w:p>
  </w:footnote>
  <w:footnote w:type="continuationSeparator" w:id="0">
    <w:p w14:paraId="3719336C" w14:textId="77777777" w:rsidR="008F44EF" w:rsidRDefault="008F4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196A6" w14:textId="77777777" w:rsidR="001A6650" w:rsidRDefault="00000000">
    <w:pPr>
      <w:pBdr>
        <w:top w:val="nil"/>
        <w:left w:val="nil"/>
        <w:bottom w:val="nil"/>
        <w:right w:val="nil"/>
        <w:between w:val="nil"/>
      </w:pBdr>
      <w:tabs>
        <w:tab w:val="center" w:pos="4252"/>
        <w:tab w:val="right" w:pos="8504"/>
        <w:tab w:val="left" w:pos="547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62FCF"/>
    <w:multiLevelType w:val="multilevel"/>
    <w:tmpl w:val="BF8E54A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 w15:restartNumberingAfterBreak="0">
    <w:nsid w:val="313B599D"/>
    <w:multiLevelType w:val="multilevel"/>
    <w:tmpl w:val="C6C2778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39C15348"/>
    <w:multiLevelType w:val="multilevel"/>
    <w:tmpl w:val="7696DF7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3" w15:restartNumberingAfterBreak="0">
    <w:nsid w:val="513C2686"/>
    <w:multiLevelType w:val="multilevel"/>
    <w:tmpl w:val="4436339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4" w15:restartNumberingAfterBreak="0">
    <w:nsid w:val="63A44AF3"/>
    <w:multiLevelType w:val="multilevel"/>
    <w:tmpl w:val="205A654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5" w15:restartNumberingAfterBreak="0">
    <w:nsid w:val="6C485B9E"/>
    <w:multiLevelType w:val="multilevel"/>
    <w:tmpl w:val="169EFC1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6FE90958"/>
    <w:multiLevelType w:val="multilevel"/>
    <w:tmpl w:val="3AF062C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16cid:durableId="839856055">
    <w:abstractNumId w:val="1"/>
  </w:num>
  <w:num w:numId="2" w16cid:durableId="2068840714">
    <w:abstractNumId w:val="0"/>
  </w:num>
  <w:num w:numId="3" w16cid:durableId="1166826767">
    <w:abstractNumId w:val="2"/>
  </w:num>
  <w:num w:numId="4" w16cid:durableId="1340695400">
    <w:abstractNumId w:val="4"/>
  </w:num>
  <w:num w:numId="5" w16cid:durableId="1343556761">
    <w:abstractNumId w:val="5"/>
  </w:num>
  <w:num w:numId="6" w16cid:durableId="70545183">
    <w:abstractNumId w:val="6"/>
  </w:num>
  <w:num w:numId="7" w16cid:durableId="4803848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650"/>
    <w:rsid w:val="001A6650"/>
    <w:rsid w:val="00226554"/>
    <w:rsid w:val="002C2FBA"/>
    <w:rsid w:val="008F44EF"/>
    <w:rsid w:val="00C41C38"/>
    <w:rsid w:val="00D524A7"/>
    <w:rsid w:val="00FC5D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3417"/>
  <w15:docId w15:val="{AB4C432A-7CA5-4E5C-BCDA-2E8700475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omic Sans MS" w:eastAsia="Comic Sans MS" w:hAnsi="Comic Sans MS" w:cs="Comic Sans MS"/>
      <w:b/>
      <w:bCs/>
      <w:sz w:val="28"/>
      <w:szCs w:val="28"/>
    </w:rPr>
  </w:style>
  <w:style w:type="paragraph" w:styleId="Ttulo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00" w:after="0"/>
      <w:outlineLvl w:val="3"/>
    </w:pPr>
    <w:rPr>
      <w:rFonts w:ascii="Cambria" w:eastAsia="Cambria" w:hAnsi="Cambria" w:cs="Cambria"/>
      <w:b/>
      <w:bCs/>
      <w:i/>
      <w:iCs/>
      <w:color w:val="4F81BD"/>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customStyle="1" w:styleId="Default">
    <w:name w:val="Default"/>
    <w:rsid w:val="0037253E"/>
    <w:pPr>
      <w:autoSpaceDE w:val="0"/>
      <w:autoSpaceDN w:val="0"/>
      <w:adjustRightInd w:val="0"/>
      <w:spacing w:after="0" w:line="240" w:lineRule="auto"/>
    </w:pPr>
    <w:rPr>
      <w:rFonts w:ascii="Arial Narrow" w:hAnsi="Arial Narrow" w:cs="Arial Narrow"/>
      <w:color w:val="000000"/>
      <w:sz w:val="24"/>
      <w:szCs w:val="24"/>
    </w:rPr>
  </w:style>
  <w:style w:type="paragraph" w:customStyle="1" w:styleId="Pa3">
    <w:name w:val="Pa3"/>
    <w:basedOn w:val="Default"/>
    <w:next w:val="Default"/>
    <w:uiPriority w:val="99"/>
    <w:rsid w:val="0037253E"/>
    <w:pPr>
      <w:spacing w:line="241" w:lineRule="atLeast"/>
    </w:pPr>
    <w:rPr>
      <w:rFonts w:cstheme="minorBidi"/>
      <w:color w:val="auto"/>
    </w:rPr>
  </w:style>
  <w:style w:type="character" w:customStyle="1" w:styleId="A1">
    <w:name w:val="A1"/>
    <w:uiPriority w:val="99"/>
    <w:rsid w:val="0037253E"/>
    <w:rPr>
      <w:rFonts w:cs="Arial Narrow"/>
      <w:b/>
      <w:bCs/>
      <w:i/>
      <w:iCs/>
      <w:color w:val="000000"/>
      <w:sz w:val="32"/>
      <w:szCs w:val="32"/>
    </w:rPr>
  </w:style>
  <w:style w:type="character" w:customStyle="1" w:styleId="apple-converted-space">
    <w:name w:val="apple-converted-space"/>
    <w:basedOn w:val="Fontepargpadro"/>
    <w:rsid w:val="00D32959"/>
  </w:style>
  <w:style w:type="character" w:styleId="Hyperlink">
    <w:name w:val="Hyperlink"/>
    <w:basedOn w:val="Fontepargpadro"/>
    <w:uiPriority w:val="99"/>
    <w:unhideWhenUsed/>
    <w:rsid w:val="00D32959"/>
    <w:rPr>
      <w:color w:val="0000FF"/>
      <w:u w:val="single"/>
    </w:rPr>
  </w:style>
  <w:style w:type="paragraph" w:styleId="Textodebalo">
    <w:name w:val="Balloon Text"/>
    <w:basedOn w:val="Normal"/>
    <w:link w:val="TextodebaloChar"/>
    <w:uiPriority w:val="99"/>
    <w:semiHidden/>
    <w:unhideWhenUsed/>
    <w:rsid w:val="00072F1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72F13"/>
    <w:rPr>
      <w:rFonts w:ascii="Tahoma" w:hAnsi="Tahoma" w:cs="Tahoma"/>
      <w:sz w:val="16"/>
      <w:szCs w:val="16"/>
    </w:rPr>
  </w:style>
  <w:style w:type="paragraph" w:styleId="Corpodetexto">
    <w:name w:val="Body Text"/>
    <w:basedOn w:val="Normal"/>
    <w:link w:val="CorpodetextoChar"/>
    <w:rsid w:val="009A4134"/>
    <w:pPr>
      <w:spacing w:after="12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9A4134"/>
    <w:rPr>
      <w:rFonts w:ascii="Times New Roman" w:eastAsia="Times New Roman" w:hAnsi="Times New Roman" w:cs="Times New Roman"/>
      <w:sz w:val="24"/>
      <w:szCs w:val="24"/>
      <w:lang w:val="en" w:eastAsia="pt-BR"/>
    </w:rPr>
  </w:style>
  <w:style w:type="character" w:customStyle="1" w:styleId="Ttulo1Char">
    <w:name w:val="Título 1 Char"/>
    <w:basedOn w:val="Fontepargpadro"/>
    <w:uiPriority w:val="99"/>
    <w:rsid w:val="00A34309"/>
    <w:rPr>
      <w:rFonts w:ascii="Comic Sans MS" w:eastAsia="Times New Roman" w:hAnsi="Comic Sans MS" w:cs="Comic Sans MS"/>
      <w:b/>
      <w:bCs/>
      <w:sz w:val="28"/>
      <w:szCs w:val="28"/>
      <w:lang w:val="en" w:eastAsia="pt-BR"/>
    </w:rPr>
  </w:style>
  <w:style w:type="character" w:customStyle="1" w:styleId="A6">
    <w:name w:val="A6"/>
    <w:uiPriority w:val="99"/>
    <w:rsid w:val="00504657"/>
    <w:rPr>
      <w:rFonts w:cs="Arial Narrow"/>
      <w:color w:val="000000"/>
      <w:sz w:val="12"/>
      <w:szCs w:val="12"/>
    </w:rPr>
  </w:style>
  <w:style w:type="character" w:customStyle="1" w:styleId="highlighting">
    <w:name w:val="highlighting"/>
    <w:basedOn w:val="Fontepargpadro"/>
    <w:rsid w:val="00404E28"/>
  </w:style>
  <w:style w:type="character" w:styleId="HiperlinkVisitado">
    <w:name w:val="FollowedHyperlink"/>
    <w:basedOn w:val="Fontepargpadro"/>
    <w:uiPriority w:val="99"/>
    <w:semiHidden/>
    <w:unhideWhenUsed/>
    <w:rsid w:val="00C62438"/>
    <w:rPr>
      <w:color w:val="800080" w:themeColor="followedHyperlink"/>
      <w:u w:val="single"/>
    </w:rPr>
  </w:style>
  <w:style w:type="character" w:styleId="Refdecomentrio">
    <w:name w:val="annotation reference"/>
    <w:basedOn w:val="Fontepargpadro"/>
    <w:uiPriority w:val="99"/>
    <w:semiHidden/>
    <w:unhideWhenUsed/>
    <w:rsid w:val="00726B9C"/>
    <w:rPr>
      <w:sz w:val="16"/>
      <w:szCs w:val="16"/>
    </w:rPr>
  </w:style>
  <w:style w:type="paragraph" w:styleId="Textodecomentrio">
    <w:name w:val="annotation text"/>
    <w:basedOn w:val="Normal"/>
    <w:link w:val="TextodecomentrioChar"/>
    <w:uiPriority w:val="99"/>
    <w:unhideWhenUsed/>
    <w:rsid w:val="00726B9C"/>
    <w:pPr>
      <w:spacing w:line="240" w:lineRule="auto"/>
    </w:pPr>
    <w:rPr>
      <w:sz w:val="20"/>
      <w:szCs w:val="20"/>
    </w:rPr>
  </w:style>
  <w:style w:type="character" w:customStyle="1" w:styleId="TextodecomentrioChar">
    <w:name w:val="Texto de comentário Char"/>
    <w:basedOn w:val="Fontepargpadro"/>
    <w:link w:val="Textodecomentrio"/>
    <w:uiPriority w:val="99"/>
    <w:rsid w:val="00726B9C"/>
    <w:rPr>
      <w:sz w:val="20"/>
      <w:szCs w:val="20"/>
    </w:rPr>
  </w:style>
  <w:style w:type="paragraph" w:styleId="Assuntodocomentrio">
    <w:name w:val="annotation subject"/>
    <w:basedOn w:val="Textodecomentrio"/>
    <w:next w:val="Textodecomentrio"/>
    <w:link w:val="AssuntodocomentrioChar"/>
    <w:uiPriority w:val="99"/>
    <w:semiHidden/>
    <w:unhideWhenUsed/>
    <w:rsid w:val="00726B9C"/>
    <w:rPr>
      <w:b/>
      <w:bCs/>
    </w:rPr>
  </w:style>
  <w:style w:type="character" w:customStyle="1" w:styleId="AssuntodocomentrioChar">
    <w:name w:val="Assunto do comentário Char"/>
    <w:basedOn w:val="TextodecomentrioChar"/>
    <w:link w:val="Assuntodocomentrio"/>
    <w:uiPriority w:val="99"/>
    <w:semiHidden/>
    <w:rsid w:val="00726B9C"/>
    <w:rPr>
      <w:b/>
      <w:bCs/>
      <w:sz w:val="20"/>
      <w:szCs w:val="20"/>
    </w:rPr>
  </w:style>
  <w:style w:type="table" w:styleId="Tabelacomgrade">
    <w:name w:val="Table Grid"/>
    <w:basedOn w:val="Tabelanormal"/>
    <w:uiPriority w:val="39"/>
    <w:rsid w:val="00DD0D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5041D4"/>
    <w:pPr>
      <w:autoSpaceDE w:val="0"/>
      <w:autoSpaceDN w:val="0"/>
      <w:spacing w:after="0" w:line="240" w:lineRule="auto"/>
      <w:ind w:left="708"/>
    </w:pPr>
    <w:rPr>
      <w:rFonts w:ascii="Times New Roman" w:eastAsia="Times New Roman" w:hAnsi="Times New Roman" w:cs="Times New Roman"/>
      <w:sz w:val="20"/>
      <w:szCs w:val="20"/>
    </w:rPr>
  </w:style>
  <w:style w:type="paragraph" w:styleId="NormalWeb">
    <w:name w:val="Normal (Web)"/>
    <w:basedOn w:val="Normal"/>
    <w:uiPriority w:val="99"/>
    <w:unhideWhenUsed/>
    <w:rsid w:val="005D1C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rnalref">
    <w:name w:val="externalref"/>
    <w:basedOn w:val="Fontepargpadro"/>
    <w:rsid w:val="00B444E2"/>
  </w:style>
  <w:style w:type="character" w:customStyle="1" w:styleId="refsource">
    <w:name w:val="refsource"/>
    <w:basedOn w:val="Fontepargpadro"/>
    <w:rsid w:val="00B444E2"/>
  </w:style>
  <w:style w:type="character" w:customStyle="1" w:styleId="Ttulo4Char">
    <w:name w:val="Título 4 Char"/>
    <w:basedOn w:val="Fontepargpadro"/>
    <w:uiPriority w:val="9"/>
    <w:semiHidden/>
    <w:rsid w:val="00790723"/>
    <w:rPr>
      <w:rFonts w:asciiTheme="majorHAnsi" w:eastAsiaTheme="majorEastAsia" w:hAnsiTheme="majorHAnsi" w:cstheme="majorBidi"/>
      <w:b/>
      <w:bCs/>
      <w:i/>
      <w:iCs/>
      <w:color w:val="4F81BD" w:themeColor="accent1"/>
    </w:rPr>
  </w:style>
  <w:style w:type="character" w:styleId="Forte">
    <w:name w:val="Strong"/>
    <w:basedOn w:val="Fontepargpadro"/>
    <w:uiPriority w:val="22"/>
    <w:qFormat/>
    <w:rsid w:val="00AC44E7"/>
    <w:rPr>
      <w:b/>
      <w:bCs/>
    </w:rPr>
  </w:style>
  <w:style w:type="character" w:styleId="nfase">
    <w:name w:val="Emphasis"/>
    <w:basedOn w:val="Fontepargpadro"/>
    <w:uiPriority w:val="20"/>
    <w:qFormat/>
    <w:rsid w:val="0001016E"/>
    <w:rPr>
      <w:i/>
      <w:iCs/>
    </w:rPr>
  </w:style>
  <w:style w:type="paragraph" w:customStyle="1" w:styleId="icon--meta-keyline-before">
    <w:name w:val="icon--meta-keyline-before"/>
    <w:basedOn w:val="Normal"/>
    <w:rsid w:val="008E6F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pages">
    <w:name w:val="articlecitation_pages"/>
    <w:basedOn w:val="Fontepargpadro"/>
    <w:rsid w:val="008E6F89"/>
  </w:style>
  <w:style w:type="paragraph" w:styleId="Cabealho">
    <w:name w:val="header"/>
    <w:basedOn w:val="Normal"/>
    <w:link w:val="CabealhoChar"/>
    <w:uiPriority w:val="99"/>
    <w:unhideWhenUsed/>
    <w:rsid w:val="007169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16975"/>
  </w:style>
  <w:style w:type="paragraph" w:styleId="Rodap">
    <w:name w:val="footer"/>
    <w:basedOn w:val="Normal"/>
    <w:link w:val="RodapChar"/>
    <w:uiPriority w:val="99"/>
    <w:unhideWhenUsed/>
    <w:rsid w:val="00716975"/>
    <w:pPr>
      <w:tabs>
        <w:tab w:val="center" w:pos="4252"/>
        <w:tab w:val="right" w:pos="8504"/>
      </w:tabs>
      <w:spacing w:after="0" w:line="240" w:lineRule="auto"/>
    </w:pPr>
  </w:style>
  <w:style w:type="character" w:customStyle="1" w:styleId="RodapChar">
    <w:name w:val="Rodapé Char"/>
    <w:basedOn w:val="Fontepargpadro"/>
    <w:link w:val="Rodap"/>
    <w:uiPriority w:val="99"/>
    <w:rsid w:val="00716975"/>
  </w:style>
  <w:style w:type="character" w:customStyle="1" w:styleId="publication-meta-journal">
    <w:name w:val="publication-meta-journal"/>
    <w:basedOn w:val="Fontepargpadro"/>
    <w:rsid w:val="00C20533"/>
  </w:style>
  <w:style w:type="character" w:customStyle="1" w:styleId="publication-meta-date">
    <w:name w:val="publication-meta-date"/>
    <w:basedOn w:val="Fontepargpadro"/>
    <w:rsid w:val="00C20533"/>
  </w:style>
  <w:style w:type="character" w:customStyle="1" w:styleId="highwire-citation-author">
    <w:name w:val="highwire-citation-author"/>
    <w:basedOn w:val="Fontepargpadro"/>
    <w:rsid w:val="00C20533"/>
  </w:style>
  <w:style w:type="character" w:customStyle="1" w:styleId="author">
    <w:name w:val="author"/>
    <w:basedOn w:val="Fontepargpadro"/>
    <w:rsid w:val="00C20533"/>
  </w:style>
  <w:style w:type="character" w:customStyle="1" w:styleId="a-color-secondary">
    <w:name w:val="a-color-secondary"/>
    <w:basedOn w:val="Fontepargpadro"/>
    <w:rsid w:val="00C20533"/>
  </w:style>
  <w:style w:type="character" w:customStyle="1" w:styleId="Ttulo3Char">
    <w:name w:val="Título 3 Char"/>
    <w:basedOn w:val="Fontepargpadro"/>
    <w:uiPriority w:val="9"/>
    <w:semiHidden/>
    <w:rsid w:val="00A015DF"/>
    <w:rPr>
      <w:rFonts w:asciiTheme="majorHAnsi" w:eastAsiaTheme="majorEastAsia" w:hAnsiTheme="majorHAnsi" w:cstheme="majorBidi"/>
      <w:color w:val="243F60" w:themeColor="accent1" w:themeShade="7F"/>
      <w:sz w:val="24"/>
      <w:szCs w:val="24"/>
    </w:rPr>
  </w:style>
  <w:style w:type="character" w:customStyle="1" w:styleId="relative">
    <w:name w:val="relative"/>
    <w:basedOn w:val="Fontepargpadro"/>
    <w:rsid w:val="00421700"/>
  </w:style>
  <w:style w:type="paragraph" w:customStyle="1" w:styleId="not-prose">
    <w:name w:val="not-prose"/>
    <w:basedOn w:val="Normal"/>
    <w:rsid w:val="004217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har">
    <w:name w:val="Título 2 Char"/>
    <w:basedOn w:val="Fontepargpadro"/>
    <w:uiPriority w:val="9"/>
    <w:semiHidden/>
    <w:rsid w:val="00F12018"/>
    <w:rPr>
      <w:rFonts w:asciiTheme="majorHAnsi" w:eastAsiaTheme="majorEastAsia" w:hAnsiTheme="majorHAnsi" w:cstheme="majorBidi"/>
      <w:color w:val="365F91" w:themeColor="accent1" w:themeShade="BF"/>
      <w:sz w:val="26"/>
      <w:szCs w:val="26"/>
    </w:rPr>
  </w:style>
  <w:style w:type="character" w:customStyle="1" w:styleId="katex-mathml">
    <w:name w:val="katex-mathml"/>
    <w:basedOn w:val="Fontepargpadro"/>
    <w:rsid w:val="00F51BA5"/>
  </w:style>
  <w:style w:type="character" w:customStyle="1" w:styleId="mord">
    <w:name w:val="mord"/>
    <w:basedOn w:val="Fontepargpadro"/>
    <w:rsid w:val="00F51BA5"/>
  </w:style>
  <w:style w:type="character" w:customStyle="1" w:styleId="mrel">
    <w:name w:val="mrel"/>
    <w:basedOn w:val="Fontepargpadro"/>
    <w:rsid w:val="00F51BA5"/>
  </w:style>
  <w:style w:type="character" w:customStyle="1" w:styleId="vlist-s">
    <w:name w:val="vlist-s"/>
    <w:basedOn w:val="Fontepargpadro"/>
    <w:rsid w:val="00F51BA5"/>
  </w:style>
  <w:style w:type="character" w:customStyle="1" w:styleId="mbin">
    <w:name w:val="mbin"/>
    <w:basedOn w:val="Fontepargpadro"/>
    <w:rsid w:val="00F51BA5"/>
  </w:style>
  <w:style w:type="character" w:styleId="MenoPendente">
    <w:name w:val="Unresolved Mention"/>
    <w:basedOn w:val="Fontepargpadro"/>
    <w:uiPriority w:val="99"/>
    <w:semiHidden/>
    <w:unhideWhenUsed/>
    <w:rsid w:val="00AB2476"/>
    <w:rPr>
      <w:color w:val="605E5C"/>
      <w:shd w:val="clear" w:color="auto" w:fill="E1DFDD"/>
    </w:rPr>
  </w:style>
  <w:style w:type="character" w:customStyle="1" w:styleId="whitespace-normal">
    <w:name w:val="whitespace-normal"/>
    <w:basedOn w:val="Fontepargpadro"/>
    <w:rsid w:val="0043623D"/>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Pasta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400" b="0" i="0" u="none" strike="noStrike" kern="1200" spc="0" baseline="0">
                <a:solidFill>
                  <a:sysClr val="windowText" lastClr="000000">
                    <a:lumMod val="65000"/>
                    <a:lumOff val="35000"/>
                  </a:sysClr>
                </a:solidFill>
              </a:rPr>
              <a:t>Assessing the influence of AI on the development of smart cities.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Planilha2!$B$1</c:f>
              <c:strCache>
                <c:ptCount val="1"/>
                <c:pt idx="0">
                  <c:v>Contagem</c:v>
                </c:pt>
              </c:strCache>
            </c:strRef>
          </c:tx>
          <c:spPr>
            <a:solidFill>
              <a:schemeClr val="accent1"/>
            </a:solidFill>
            <a:ln>
              <a:noFill/>
            </a:ln>
            <a:effectLst/>
          </c:spPr>
          <c:invertIfNegative val="0"/>
          <c:dLbls>
            <c:delete val="1"/>
          </c:dLbls>
          <c:cat>
            <c:strRef>
              <c:f>Planilha2!$A$2:$A$6</c:f>
              <c:strCache>
                <c:ptCount val="5"/>
                <c:pt idx="0">
                  <c:v>1 - Nada Importante</c:v>
                </c:pt>
                <c:pt idx="1">
                  <c:v>2 - Pouco Importante</c:v>
                </c:pt>
                <c:pt idx="2">
                  <c:v>3 - Importante</c:v>
                </c:pt>
                <c:pt idx="3">
                  <c:v>4 - Muito Importante</c:v>
                </c:pt>
                <c:pt idx="4">
                  <c:v>5 - Extremamente Importante</c:v>
                </c:pt>
              </c:strCache>
            </c:strRef>
          </c:cat>
          <c:val>
            <c:numRef>
              <c:f>Planilha2!$B$2:$B$6</c:f>
              <c:numCache>
                <c:formatCode>General</c:formatCode>
                <c:ptCount val="5"/>
                <c:pt idx="0">
                  <c:v>1</c:v>
                </c:pt>
                <c:pt idx="1">
                  <c:v>3</c:v>
                </c:pt>
                <c:pt idx="2">
                  <c:v>26</c:v>
                </c:pt>
                <c:pt idx="3">
                  <c:v>37</c:v>
                </c:pt>
                <c:pt idx="4">
                  <c:v>43</c:v>
                </c:pt>
              </c:numCache>
            </c:numRef>
          </c:val>
          <c:extLst>
            <c:ext xmlns:c16="http://schemas.microsoft.com/office/drawing/2014/chart" uri="{C3380CC4-5D6E-409C-BE32-E72D297353CC}">
              <c16:uniqueId val="{00000000-4287-4982-B117-D8AC6EF3A742}"/>
            </c:ext>
          </c:extLst>
        </c:ser>
        <c:dLbls>
          <c:showLegendKey val="0"/>
          <c:showVal val="1"/>
          <c:showCatName val="0"/>
          <c:showSerName val="0"/>
          <c:showPercent val="0"/>
          <c:showBubbleSize val="0"/>
        </c:dLbls>
        <c:gapWidth val="219"/>
        <c:axId val="1040261296"/>
        <c:axId val="1040275696"/>
      </c:barChart>
      <c:scatterChart>
        <c:scatterStyle val="smoothMarker"/>
        <c:varyColors val="0"/>
        <c:ser>
          <c:idx val="1"/>
          <c:order val="1"/>
          <c:tx>
            <c:v>Normal</c:v>
          </c:tx>
          <c:spPr>
            <a:ln w="28575" cap="rnd">
              <a:solidFill>
                <a:schemeClr val="accent2"/>
              </a:solidFill>
              <a:round/>
            </a:ln>
            <a:effectLst/>
          </c:spPr>
          <c:marker>
            <c:symbol val="none"/>
          </c:marker>
          <c:yVal>
            <c:numRef>
              <c:f>Planilha2!$D$2:$D$6</c:f>
              <c:numCache>
                <c:formatCode>General</c:formatCode>
                <c:ptCount val="5"/>
                <c:pt idx="0">
                  <c:v>0.14626692795001298</c:v>
                </c:pt>
                <c:pt idx="1">
                  <c:v>3.4645487032764524</c:v>
                </c:pt>
                <c:pt idx="2">
                  <c:v>23.982201346551324</c:v>
                </c:pt>
                <c:pt idx="3">
                  <c:v>48.51469014599337</c:v>
                </c:pt>
                <c:pt idx="4">
                  <c:v>28.681332364855656</c:v>
                </c:pt>
              </c:numCache>
            </c:numRef>
          </c:yVal>
          <c:smooth val="1"/>
          <c:extLst>
            <c:ext xmlns:c16="http://schemas.microsoft.com/office/drawing/2014/chart" uri="{C3380CC4-5D6E-409C-BE32-E72D297353CC}">
              <c16:uniqueId val="{00000001-4287-4982-B117-D8AC6EF3A742}"/>
            </c:ext>
          </c:extLst>
        </c:ser>
        <c:dLbls>
          <c:showLegendKey val="0"/>
          <c:showVal val="0"/>
          <c:showCatName val="0"/>
          <c:showSerName val="0"/>
          <c:showPercent val="0"/>
          <c:showBubbleSize val="0"/>
        </c:dLbls>
        <c:axId val="1040261296"/>
        <c:axId val="1040275696"/>
      </c:scatterChart>
      <c:catAx>
        <c:axId val="1040261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kern="1200" spc="0" baseline="0">
                    <a:solidFill>
                      <a:sysClr val="windowText" lastClr="000000">
                        <a:lumMod val="65000"/>
                        <a:lumOff val="35000"/>
                      </a:sysClr>
                    </a:solidFill>
                  </a:rPr>
                  <a:t>Assessment of importance</a:t>
                </a:r>
                <a:endParaRPr lang="pt-B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40275696"/>
        <c:crosses val="autoZero"/>
        <c:auto val="1"/>
        <c:lblAlgn val="ctr"/>
        <c:lblOffset val="100"/>
        <c:noMultiLvlLbl val="0"/>
      </c:catAx>
      <c:valAx>
        <c:axId val="1040275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40261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1lXa+9tHTlxiID/ccUrEKmAwrA==">CgMxLjAaJQoBMBIgCh4IB0IaCg9UaW1lcyBOZXcgUm9tYW4SB0d1bmdzdWgaJQoBMRIgCh4IB0IaCg9UaW1lcyBOZXcgUm9tYW4SB0d1bmdzdWgaJQoBMhIgCh4IB0IaCg9UaW1lcyBOZXcgUm9tYW4SB0d1bmdzdWg4AHIhMTl1VFh5bjFmNHdOc1ZNN0ZxeE9RWC0zWUwwQjJ4eXkx</go:docsCustomData>
</go:gDocsCustomXmlDataStorage>
</file>

<file path=customXml/itemProps1.xml><?xml version="1.0" encoding="utf-8"?>
<ds:datastoreItem xmlns:ds="http://schemas.openxmlformats.org/officeDocument/2006/customXml" ds:itemID="{3C1CA9A8-4AC9-4604-B2F3-50F3473562B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14940</Words>
  <Characters>95023</Characters>
  <Application>Microsoft Office Word</Application>
  <DocSecurity>0</DocSecurity>
  <Lines>1484</Lines>
  <Paragraphs>521</Paragraphs>
  <ScaleCrop>false</ScaleCrop>
  <Company/>
  <LinksUpToDate>false</LinksUpToDate>
  <CharactersWithSpaces>109442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GIOVANNA SAMPAIO</cp:lastModifiedBy>
  <cp:revision>4</cp:revision>
  <dcterms:created xsi:type="dcterms:W3CDTF">2026-03-03T14:14:00Z</dcterms:created>
  <dcterms:modified xsi:type="dcterms:W3CDTF">2026-03-18T18:09:00Z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0x01010071E772E0AC29B34186B69495D955E79B</vt:lpwstr>
  </property>
</Properties>
</file>