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5142" w14:textId="77777777" w:rsidR="00DB2913" w:rsidRPr="00AC6B05" w:rsidRDefault="00000000">
      <w:pPr>
        <w:pStyle w:val="Title"/>
        <w:rPr>
          <w:rFonts w:cs="Times New Roman"/>
        </w:rPr>
      </w:pPr>
      <w:r w:rsidRPr="00AC6B05">
        <w:rPr>
          <w:rFonts w:cs="Times New Roman"/>
        </w:rPr>
        <w:t>Curvature-Guided Derivative Peak Filtering for Robust Initialization of Sequential XPS Spectral Deconvolution</w:t>
      </w:r>
    </w:p>
    <w:p w14:paraId="58283C59" w14:textId="64A33F74" w:rsidR="00DB2913" w:rsidRPr="00AC6B05" w:rsidRDefault="00000000" w:rsidP="003D3772">
      <w:pPr>
        <w:jc w:val="center"/>
        <w:rPr>
          <w:rFonts w:cs="Times New Roman"/>
        </w:rPr>
      </w:pPr>
      <w:r w:rsidRPr="00AC6B05">
        <w:rPr>
          <w:rFonts w:cs="Times New Roman"/>
          <w:b/>
          <w:bCs/>
        </w:rPr>
        <w:t/>
      </w:r>
      <w:r w:rsidR="008379F0">
        <w:rPr>
          <w:rFonts w:cs="Times New Roman"/>
          <w:b/>
          <w:bCs/>
        </w:rPr>
        <w:t/>
      </w:r>
      <w:r w:rsidRPr="00AC6B05">
        <w:rPr>
          <w:rFonts w:cs="Times New Roman"/>
          <w:b/>
          <w:bCs/>
        </w:rPr>
        <w:t xml:space="preserve"/>
      </w:r>
      <w:r w:rsidR="008379F0">
        <w:rPr>
          <w:rFonts w:cs="Times New Roman"/>
          <w:b/>
          <w:bCs/>
        </w:rPr>
        <w:t/>
      </w:r>
      <w:r w:rsidRPr="00AC6B05">
        <w:rPr>
          <w:rFonts w:cs="Times New Roman"/>
          <w:b/>
          <w:bCs/>
        </w:rPr>
        <w:t xml:space="preserve"/>
      </w:r>
      <w:r w:rsidRPr="00AC6B05">
        <w:rPr>
          <w:rFonts w:cs="Times New Roman"/>
          <w:b/>
          <w:bCs/>
          <w:vertAlign w:val="superscript"/>
        </w:rPr>
        <w:t/>
      </w:r>
      <w:r w:rsidRPr="00AC6B05">
        <w:rPr>
          <w:rFonts w:cs="Times New Roman"/>
          <w:b/>
          <w:bCs/>
        </w:rPr>
        <w:t/>
      </w:r>
      <w:r w:rsidR="008379F0">
        <w:rPr>
          <w:rFonts w:cs="Times New Roman"/>
          <w:b/>
          <w:bCs/>
        </w:rPr>
        <w:t/>
      </w:r>
      <w:r w:rsidRPr="00AC6B05">
        <w:rPr>
          <w:rFonts w:cs="Times New Roman"/>
          <w:b/>
          <w:bCs/>
        </w:rPr>
        <w:t xml:space="preserve"/>
      </w:r>
      <w:r w:rsidRPr="00AC6B05">
        <w:rPr>
          <w:rFonts w:cs="Times New Roman"/>
          <w:b/>
          <w:bCs/>
          <w:vertAlign w:val="superscript"/>
        </w:rPr>
        <w:t/>
      </w:r>
    </w:p>
    <w:p w14:paraId="1AA00757" w14:textId="12D1CBD8" w:rsidR="00DB2913" w:rsidRPr="00AC6B05" w:rsidRDefault="00000000" w:rsidP="003D3772">
      <w:pPr>
        <w:pStyle w:val="BodyText"/>
        <w:jc w:val="center"/>
        <w:rPr>
          <w:rFonts w:cs="Times New Roman"/>
        </w:rPr>
      </w:pPr>
      <w:r w:rsidRPr="00AC6B05">
        <w:rPr>
          <w:rFonts w:cs="Times New Roman"/>
          <w:b/>
          <w:bCs/>
          <w:vertAlign w:val="superscript"/>
        </w:rPr>
        <w:t/>
      </w:r>
      <w:r w:rsidRPr="00AC6B05">
        <w:rPr>
          <w:rFonts w:cs="Times New Roman"/>
          <w:b/>
          <w:bCs/>
        </w:rPr>
        <w:t/>
      </w:r>
      <w:r w:rsidR="007F27A9">
        <w:rPr>
          <w:rFonts w:cs="Times New Roman"/>
          <w:b/>
          <w:bCs/>
        </w:rPr>
        <w:t xml:space="preserve"/>
      </w:r>
      <w:r w:rsidRPr="00AC6B05">
        <w:rPr>
          <w:rFonts w:cs="Times New Roman"/>
          <w:b/>
          <w:bCs/>
        </w:rPr>
        <w:t xml:space="preserve"/>
      </w:r>
      <w:r w:rsidR="007F27A9">
        <w:rPr>
          <w:rFonts w:cs="Times New Roman"/>
          <w:b/>
          <w:bCs/>
        </w:rPr>
        <w:t xml:space="preserve"/>
      </w:r>
      <w:r w:rsidRPr="00AC6B05">
        <w:rPr>
          <w:rFonts w:cs="Times New Roman"/>
          <w:b/>
          <w:bCs/>
        </w:rPr>
        <w:t/>
      </w:r>
      <w:r w:rsidR="00A62597">
        <w:rPr>
          <w:rFonts w:cs="Times New Roman"/>
          <w:b/>
          <w:bCs/>
        </w:rPr>
        <w:t/>
      </w:r>
      <w:r w:rsidRPr="00AC6B05">
        <w:rPr>
          <w:rFonts w:cs="Times New Roman"/>
          <w:b/>
          <w:bCs/>
        </w:rPr>
        <w:t xml:space="preserve"/>
      </w:r>
    </w:p>
    <w:p w14:paraId="08464264" w14:textId="026578F3" w:rsidR="00DB2913" w:rsidRPr="00AC6B05" w:rsidRDefault="00000000" w:rsidP="003D3772">
      <w:pPr>
        <w:pStyle w:val="BodyText"/>
        <w:jc w:val="center"/>
        <w:rPr>
          <w:rFonts w:cs="Times New Roman"/>
        </w:rPr>
      </w:pPr>
      <w:r w:rsidRPr="00AC6B05">
        <w:rPr>
          <w:rFonts w:cs="Times New Roman"/>
          <w:b/>
          <w:bCs/>
          <w:vertAlign w:val="superscript"/>
        </w:rPr>
        <w:t/>
      </w:r>
      <w:r w:rsidRPr="00AC6B05">
        <w:rPr>
          <w:rFonts w:cs="Times New Roman"/>
          <w:b/>
          <w:bCs/>
        </w:rPr>
        <w:t/>
      </w:r>
    </w:p>
    <w:p w14:paraId="0A6DA922" w14:textId="633D6780" w:rsidR="00DB2913" w:rsidRPr="00AC6B05" w:rsidRDefault="00000000" w:rsidP="003D3772">
      <w:pPr>
        <w:pStyle w:val="BodyText"/>
        <w:jc w:val="center"/>
        <w:rPr>
          <w:rFonts w:cs="Times New Roman"/>
        </w:rPr>
      </w:pPr>
      <w:r w:rsidRPr="00AC6B05">
        <w:rPr>
          <w:rFonts w:cs="Times New Roman"/>
        </w:rPr>
        <w:t/>
      </w:r>
      <w:r w:rsidR="00AD77B2" w:rsidRPr="00AC6B05">
        <w:rPr>
          <w:rFonts w:cs="Times New Roman"/>
        </w:rPr>
        <w:t/>
      </w:r>
      <w:r w:rsidRPr="00AC6B05">
        <w:rPr>
          <w:rFonts w:cs="Times New Roman"/>
        </w:rPr>
        <w:t xml:space="preserve"/>
      </w:r>
    </w:p>
    <w:p w14:paraId="2BFE36AC" w14:textId="77777777" w:rsidR="00DB2913" w:rsidRPr="00AC6B05" w:rsidRDefault="00000000">
      <w:pPr>
        <w:pStyle w:val="Heading2"/>
        <w:rPr>
          <w:rFonts w:cs="Times New Roman"/>
        </w:rPr>
      </w:pPr>
      <w:bookmarkStart w:id="0" w:name="abstract"/>
      <w:r w:rsidRPr="00AC6B05">
        <w:rPr>
          <w:rFonts w:cs="Times New Roman"/>
        </w:rPr>
        <w:t>ABSTRACT</w:t>
      </w:r>
    </w:p>
    <w:p w14:paraId="52843C99" w14:textId="77777777" w:rsidR="00DB2913" w:rsidRPr="00AC6B05" w:rsidRDefault="00000000">
      <w:pPr>
        <w:rPr>
          <w:rFonts w:cs="Times New Roman"/>
        </w:rPr>
      </w:pPr>
      <w:r w:rsidRPr="00AC6B05">
        <w:rPr>
          <w:rFonts w:cs="Times New Roman"/>
        </w:rPr>
        <w:t xml:space="preserve">X-ray Photoelectron Spectroscopy (XPS) peak fitting depends critically on accurate initial parameter estimation. Conventional derivative-based peak detection routinely produces excessive false positives on noisy, overlapping, or weak spectral features, degrading sequential fitting convergence. Existing derivative-based and generic peak detection methods provide limited support for transparent, user-adjustable filtering of candidate peaks while maintaining a reproducible initialization workflow for sequential XPS spectral deconvolution. </w:t>
      </w:r>
      <w:r w:rsidRPr="00AC6B05">
        <w:rPr>
          <w:rFonts w:cs="Times New Roman"/>
          <w:b/>
          <w:bCs/>
        </w:rPr>
        <w:t>Curvature-Guided Derivative Peak Filtering (CG-DPF)</w:t>
      </w:r>
      <w:r w:rsidRPr="00AC6B05">
        <w:rPr>
          <w:rFonts w:cs="Times New Roman"/>
        </w:rPr>
        <w:t xml:space="preserve"> presents a human-in-the-loop framework that augments first-derivative zero-crossing detection with tune-able second-derivative curvature thresholding. Unlike fully automatic detectors, CG-DPF exposes an interpretable curvature threshold on the d²I/dE² chart, enabling analysts to navigate the precision-recall trade-off transparently. The contribution is a </w:t>
      </w:r>
      <w:r w:rsidRPr="00AC6B05">
        <w:rPr>
          <w:rFonts w:cs="Times New Roman"/>
          <w:b/>
          <w:bCs/>
        </w:rPr>
        <w:t>filtering strategy and reproducible workflow</w:t>
      </w:r>
      <w:r w:rsidRPr="00AC6B05">
        <w:rPr>
          <w:rFonts w:cs="Times New Roman"/>
        </w:rPr>
        <w:t xml:space="preserve">: whereas existing derivative spectroscopy uses the second derivative primarily to locate extrema, CG-DPF treats curvature as a continuously adjustable acceptance criterion applied after candidate generation. CG-DPF was evaluated against adaptive multi-scale baselines on eight benchmark spectra: one in-house spectrum and seven published spectra. Evaluation uses reconstruction quality, FWHM compliance, and expert-identified peak assignments on spectra with lacking ground-truth peak list. With σ = 8 eV, </w:t>
      </w:r>
      <w:r w:rsidRPr="00AC6B05">
        <w:rPr>
          <w:rFonts w:cs="Times New Roman"/>
          <w:i/>
          <w:iCs/>
        </w:rPr>
        <w:t>k</w:t>
      </w:r>
      <w:r w:rsidRPr="00AC6B05">
        <w:rPr>
          <w:rFonts w:cs="Times New Roman"/>
        </w:rPr>
        <w:t xml:space="preserve"> = 1, multi-step sigmoid background subtraction, and FWHM bounds 0.2–5.5 eV, CG-DPF detects </w:t>
      </w:r>
      <w:r w:rsidRPr="00AC6B05">
        <w:rPr>
          <w:rFonts w:cs="Times New Roman"/>
          <w:b/>
          <w:bCs/>
        </w:rPr>
        <w:t>5</w:t>
      </w:r>
      <w:r w:rsidRPr="00AC6B05">
        <w:rPr>
          <w:rFonts w:cs="Times New Roman"/>
        </w:rPr>
        <w:t xml:space="preserve"> peaks on the in-house benchmark with Phys. Ratio = 1.0 and Corr. R² = 0.981. Unfiltered curvature (θ = 0) produces 47 candidates (Phys. Ratio = 0.19). Across seven Suliga spectra, CG-DPF averages </w:t>
      </w:r>
      <w:r w:rsidRPr="00AC6B05">
        <w:rPr>
          <w:rFonts w:cs="Times New Roman"/>
          <w:b/>
          <w:bCs/>
        </w:rPr>
        <w:t>5.1 ± 1.1</w:t>
      </w:r>
      <w:r w:rsidRPr="00AC6B05">
        <w:rPr>
          <w:rFonts w:cs="Times New Roman"/>
        </w:rPr>
        <w:t xml:space="preserve"> detected peaks with Phys. Ratio </w:t>
      </w:r>
      <w:r w:rsidRPr="00AC6B05">
        <w:rPr>
          <w:rFonts w:cs="Times New Roman"/>
          <w:b/>
          <w:bCs/>
        </w:rPr>
        <w:t>0.66 ± 0.16</w:t>
      </w:r>
      <w:r w:rsidRPr="00AC6B05">
        <w:rPr>
          <w:rFonts w:cs="Times New Roman"/>
        </w:rPr>
        <w:t xml:space="preserve">, versus </w:t>
      </w:r>
      <w:r w:rsidRPr="00AC6B05">
        <w:rPr>
          <w:rFonts w:cs="Times New Roman"/>
          <w:b/>
          <w:bCs/>
        </w:rPr>
        <w:t>19.9 ± 2.7</w:t>
      </w:r>
      <w:r w:rsidRPr="00AC6B05">
        <w:rPr>
          <w:rFonts w:cs="Times New Roman"/>
        </w:rPr>
        <w:t xml:space="preserve"> peaks and Phys. Ratio </w:t>
      </w:r>
      <w:r w:rsidRPr="00AC6B05">
        <w:rPr>
          <w:rFonts w:cs="Times New Roman"/>
          <w:b/>
          <w:bCs/>
        </w:rPr>
        <w:t>0.30 ± 0.05</w:t>
      </w:r>
      <w:r w:rsidRPr="00AC6B05">
        <w:rPr>
          <w:rFonts w:cs="Times New Roman"/>
        </w:rPr>
        <w:t xml:space="preserve"> for Adaptive Medium. CG-DPF optimizes conservative, FWHM-compliant initialization rather than exhaustive residual minimization. Detection averaged </w:t>
      </w:r>
      <w:r w:rsidRPr="00AC6B05">
        <w:rPr>
          <w:rFonts w:cs="Times New Roman"/>
          <w:b/>
          <w:bCs/>
        </w:rPr>
        <w:t>2 ms</w:t>
      </w:r>
      <w:r w:rsidRPr="00AC6B05">
        <w:rPr>
          <w:rFonts w:cs="Times New Roman"/>
        </w:rPr>
        <w:t xml:space="preserve"> per spectrum versus </w:t>
      </w:r>
      <w:r w:rsidRPr="00AC6B05">
        <w:rPr>
          <w:rFonts w:cs="Times New Roman"/>
          <w:b/>
          <w:bCs/>
        </w:rPr>
        <w:t>18 ms</w:t>
      </w:r>
      <w:r w:rsidRPr="00AC6B05">
        <w:rPr>
          <w:rFonts w:cs="Times New Roman"/>
        </w:rPr>
        <w:t xml:space="preserve"> for adaptive methods. CG-DPF provides a reproducible initialization workflow with analyst control over the curvature threshold, integrated FWHM screening, with auditable export of parameters, metrics, and figures.</w:t>
      </w:r>
    </w:p>
    <w:p w14:paraId="3615AACD" w14:textId="77777777" w:rsidR="00DB2913" w:rsidRPr="00AC6B05" w:rsidRDefault="00000000">
      <w:pPr>
        <w:pStyle w:val="BodyText"/>
        <w:rPr>
          <w:rFonts w:cs="Times New Roman"/>
        </w:rPr>
      </w:pPr>
      <w:r w:rsidRPr="00AC6B05">
        <w:rPr>
          <w:rFonts w:cs="Times New Roman"/>
          <w:b/>
          <w:bCs/>
        </w:rPr>
        <w:t>Keywords:</w:t>
      </w:r>
      <w:r w:rsidRPr="00AC6B05">
        <w:rPr>
          <w:rFonts w:cs="Times New Roman"/>
        </w:rPr>
        <w:t xml:space="preserve"> X-ray photoelectron spectroscopy, peak detection, derivative spectroscopy, spectral deconvolution, curvature filtering</w:t>
      </w:r>
    </w:p>
    <w:p w14:paraId="78463F8E" w14:textId="77777777" w:rsidR="00DB2913" w:rsidRPr="00AC6B05" w:rsidRDefault="00000000">
      <w:pPr>
        <w:pStyle w:val="Heading2"/>
        <w:rPr>
          <w:rFonts w:cs="Times New Roman"/>
        </w:rPr>
      </w:pPr>
      <w:bookmarkStart w:id="1" w:name="introduction"/>
      <w:bookmarkEnd w:id="0"/>
      <w:r w:rsidRPr="00AC6B05">
        <w:rPr>
          <w:rFonts w:cs="Times New Roman"/>
        </w:rPr>
        <w:t>INTRODUCTION</w:t>
      </w:r>
    </w:p>
    <w:p w14:paraId="3A01168F" w14:textId="77777777" w:rsidR="00DB2913" w:rsidRPr="00AC6B05" w:rsidRDefault="00000000">
      <w:pPr>
        <w:rPr>
          <w:rFonts w:cs="Times New Roman"/>
        </w:rPr>
      </w:pPr>
      <w:r w:rsidRPr="00AC6B05">
        <w:rPr>
          <w:rFonts w:cs="Times New Roman"/>
        </w:rPr>
        <w:t>XPS is a cornerstone technique for surface chemical analysis. Extracting chemical-state information requires deconvolution of overlapping photoemission features through peak fitting, typically with Gaussian, Lorentzian, or Voigt profiles optimized to reconstruct the measured spectrum [2].</w:t>
      </w:r>
    </w:p>
    <w:p w14:paraId="56CB3C0C" w14:textId="48CDDB90" w:rsidR="00DB2913" w:rsidRPr="00AC6B05" w:rsidRDefault="00000000">
      <w:pPr>
        <w:pStyle w:val="BodyText"/>
        <w:rPr>
          <w:rFonts w:cs="Times New Roman"/>
        </w:rPr>
      </w:pPr>
      <w:r w:rsidRPr="00AC6B05">
        <w:rPr>
          <w:rFonts w:cs="Times New Roman"/>
        </w:rPr>
        <w:t xml:space="preserve">Fitting quality is notoriously sensitive to initialization [2,4]. </w:t>
      </w:r>
      <w:r w:rsidR="00F74174" w:rsidRPr="00F74174">
        <w:rPr>
          <w:rFonts w:cs="Times New Roman"/>
        </w:rPr>
        <w:t>Poor initial estimates of peak position, width, amplitude, or even peak count can lead nonlinear optimizers such as Levenberg–Marquardt or Trust Region Reflective to converge to local minima, produce unstable solutions, or fail to converge.</w:t>
      </w:r>
    </w:p>
    <w:p w14:paraId="4DCB78DE" w14:textId="77777777" w:rsidR="00DB2913" w:rsidRPr="00AC6B05" w:rsidRDefault="00000000">
      <w:pPr>
        <w:pStyle w:val="BodyText"/>
        <w:rPr>
          <w:rFonts w:cs="Times New Roman"/>
        </w:rPr>
      </w:pPr>
      <w:r w:rsidRPr="00AC6B05">
        <w:rPr>
          <w:rFonts w:cs="Times New Roman"/>
        </w:rPr>
        <w:t xml:space="preserve">Traditional initialization is either </w:t>
      </w:r>
      <w:r w:rsidRPr="00AC6B05">
        <w:rPr>
          <w:rFonts w:cs="Times New Roman"/>
          <w:b/>
          <w:bCs/>
        </w:rPr>
        <w:t>manual</w:t>
      </w:r>
      <w:r w:rsidRPr="00AC6B05">
        <w:rPr>
          <w:rFonts w:cs="Times New Roman"/>
        </w:rPr>
        <w:t xml:space="preserve"> (subjective, labor-intensive, poorly reproducible) or </w:t>
      </w:r>
      <w:r w:rsidRPr="00AC6B05">
        <w:rPr>
          <w:rFonts w:cs="Times New Roman"/>
          <w:b/>
          <w:bCs/>
        </w:rPr>
        <w:t>automatic</w:t>
      </w:r>
      <w:r w:rsidRPr="00AC6B05">
        <w:rPr>
          <w:rFonts w:cs="Times New Roman"/>
        </w:rPr>
        <w:t xml:space="preserve"> via derivative spectroscopy [13,7] or general-purpose peak finders (e.g., SciPy [12]). Automatic methods frequently over-detect: the first derivative of a noisy spectrum yields numerous zero-crossings from noise as well as genuine peaks [13,4], and unconstrained peak finders applied to survey-scale data can return hundreds </w:t>
      </w:r>
      <w:r w:rsidRPr="00AC6B05">
        <w:rPr>
          <w:rFonts w:cs="Times New Roman"/>
        </w:rPr>
        <w:lastRenderedPageBreak/>
        <w:t>of candidates [5,12]. A peak produces a positive-to-negative crossing in dI/dE and negative curvature in d²I/dE², but so do minor fluctuations and baseline irregularities.</w:t>
      </w:r>
    </w:p>
    <w:p w14:paraId="11E8B4B1" w14:textId="77777777" w:rsidR="00DB2913" w:rsidRPr="00AC6B05" w:rsidRDefault="00000000">
      <w:pPr>
        <w:pStyle w:val="Heading3"/>
        <w:rPr>
          <w:rFonts w:ascii="Times New Roman" w:hAnsi="Times New Roman" w:cs="Times New Roman"/>
          <w:color w:val="000000" w:themeColor="text1"/>
        </w:rPr>
      </w:pPr>
      <w:bookmarkStart w:id="2" w:name="contribution"/>
      <w:r w:rsidRPr="00AC6B05">
        <w:rPr>
          <w:rFonts w:ascii="Times New Roman" w:hAnsi="Times New Roman" w:cs="Times New Roman"/>
          <w:color w:val="000000" w:themeColor="text1"/>
        </w:rPr>
        <w:t>Contribution</w:t>
      </w:r>
    </w:p>
    <w:p w14:paraId="2768AE30" w14:textId="60AEF94A" w:rsidR="00DB2913" w:rsidRPr="00AC6B05" w:rsidRDefault="00000000">
      <w:pPr>
        <w:rPr>
          <w:rFonts w:cs="Times New Roman"/>
        </w:rPr>
      </w:pPr>
      <w:r w:rsidRPr="00AC6B05">
        <w:rPr>
          <w:rFonts w:cs="Times New Roman"/>
        </w:rPr>
        <w:t xml:space="preserve">The objective of this work is to develop an interpretable derivative-based filtering framework that reduces false-positive peak initialization while preserving reproducibility and analyst control for sequential XPS spectral deconvolution. </w:t>
      </w:r>
      <w:r w:rsidRPr="00AC6B05">
        <w:rPr>
          <w:rFonts w:cs="Times New Roman"/>
          <w:b/>
          <w:bCs/>
        </w:rPr>
        <w:t>CG-DPF</w:t>
      </w:r>
      <w:r w:rsidRPr="00AC6B05">
        <w:rPr>
          <w:rFonts w:cs="Times New Roman"/>
        </w:rPr>
        <w:t xml:space="preserve"> is </w:t>
      </w:r>
      <w:r w:rsidR="00AD77B2" w:rsidRPr="00AC6B05">
        <w:rPr>
          <w:rFonts w:cs="Times New Roman"/>
        </w:rPr>
        <w:t>proposed</w:t>
      </w:r>
      <w:r w:rsidRPr="00AC6B05">
        <w:rPr>
          <w:rFonts w:cs="Times New Roman"/>
        </w:rPr>
        <w:t xml:space="preserve">, a filtering framework that post-processes derivative-based candidates with an interpretable curvature threshold. The contribution is primarily methodological: a </w:t>
      </w:r>
      <w:r w:rsidRPr="00AC6B05">
        <w:rPr>
          <w:rFonts w:cs="Times New Roman"/>
          <w:b/>
          <w:bCs/>
        </w:rPr>
        <w:t>new filtering strategy and reproducible workflow</w:t>
      </w:r>
      <w:r w:rsidRPr="00AC6B05">
        <w:rPr>
          <w:rFonts w:cs="Times New Roman"/>
        </w:rPr>
        <w:t xml:space="preserve"> that combines derivative spectroscopy, curvature-based candidate rejection, analyst-guided threshold selection, and auditable export (not a novel smoothing kernel or derivative estimator).</w:t>
      </w:r>
    </w:p>
    <w:p w14:paraId="75EF30A4" w14:textId="77777777" w:rsidR="00DB2913" w:rsidRPr="00AC6B05" w:rsidRDefault="00000000">
      <w:pPr>
        <w:pStyle w:val="BodyText"/>
        <w:rPr>
          <w:rFonts w:cs="Times New Roman"/>
        </w:rPr>
      </w:pPr>
      <w:r w:rsidRPr="00AC6B05">
        <w:rPr>
          <w:rFonts w:cs="Times New Roman"/>
        </w:rPr>
        <w:t xml:space="preserve">Classical derivative spectroscopy uses d²I/dE² primarily to identify extrema and confirm peak locations [13,7]. CG-DPF instead treats curvature as a </w:t>
      </w:r>
      <w:r w:rsidRPr="00AC6B05">
        <w:rPr>
          <w:rFonts w:cs="Times New Roman"/>
          <w:b/>
          <w:bCs/>
        </w:rPr>
        <w:t>continuously adjustable acceptance criterion</w:t>
      </w:r>
      <w:r w:rsidRPr="00AC6B05">
        <w:rPr>
          <w:rFonts w:cs="Times New Roman"/>
        </w:rPr>
        <w:t xml:space="preserve"> applied </w:t>
      </w:r>
      <w:r w:rsidRPr="00AC6B05">
        <w:rPr>
          <w:rFonts w:cs="Times New Roman"/>
          <w:i/>
          <w:iCs/>
        </w:rPr>
        <w:t>after</w:t>
      </w:r>
      <w:r w:rsidRPr="00AC6B05">
        <w:rPr>
          <w:rFonts w:cs="Times New Roman"/>
        </w:rPr>
        <w:t xml:space="preserve"> first-derivative candidate generation, allowing analysts to trade recall against precision while preserving a reproducible, logged threshold value. This workflow is generally not provided by standard derivative plots or typical off-the-shelf peak finders that return a fixed candidate set without an interpretable, spectrum-specific curvature gate.</w:t>
      </w:r>
    </w:p>
    <w:p w14:paraId="7429EF2C" w14:textId="77777777" w:rsidR="00DB2913" w:rsidRPr="00AC6B05" w:rsidRDefault="00000000">
      <w:pPr>
        <w:pStyle w:val="BodyText"/>
        <w:rPr>
          <w:rFonts w:cs="Times New Roman"/>
        </w:rPr>
      </w:pPr>
      <w:r w:rsidRPr="00AC6B05">
        <w:rPr>
          <w:rFonts w:cs="Times New Roman"/>
        </w:rPr>
        <w:t>Novel aspects relative to classical derivative spectroscopy and generic peak picking are listed below. Unlike multi-scale consensus detectors, CG-DPF deliberately reduces candidate count before nonlinear optimization rather than increasing candidate recall:</w:t>
      </w:r>
    </w:p>
    <w:p w14:paraId="07C964E5" w14:textId="77777777" w:rsidR="00DB2913" w:rsidRPr="00AC6B05" w:rsidRDefault="00000000">
      <w:pPr>
        <w:numPr>
          <w:ilvl w:val="0"/>
          <w:numId w:val="11"/>
        </w:numPr>
        <w:rPr>
          <w:rFonts w:cs="Times New Roman"/>
        </w:rPr>
      </w:pPr>
      <w:r w:rsidRPr="00AC6B05">
        <w:rPr>
          <w:rFonts w:cs="Times New Roman"/>
          <w:b/>
          <w:bCs/>
        </w:rPr>
        <w:t>Post-crossing curvature filtering</w:t>
      </w:r>
      <w:r w:rsidRPr="00AC6B05">
        <w:rPr>
          <w:rFonts w:cs="Times New Roman"/>
        </w:rPr>
        <w:t xml:space="preserve"> (algorithmic): θ = μ - </w:t>
      </w:r>
      <w:r w:rsidRPr="00AC6B05">
        <w:rPr>
          <w:rFonts w:cs="Times New Roman"/>
          <w:i/>
          <w:iCs/>
        </w:rPr>
        <w:t>k</w:t>
      </w:r>
      <w:r w:rsidRPr="00AC6B05">
        <w:rPr>
          <w:rFonts w:cs="Times New Roman"/>
        </w:rPr>
        <w:t>σ applied to interpolated crossings, with transparent control on the d²I/dE² chart.</w:t>
      </w:r>
    </w:p>
    <w:p w14:paraId="54306D0C" w14:textId="77777777" w:rsidR="00DB2913" w:rsidRPr="00AC6B05" w:rsidRDefault="00000000">
      <w:pPr>
        <w:numPr>
          <w:ilvl w:val="0"/>
          <w:numId w:val="11"/>
        </w:numPr>
        <w:rPr>
          <w:rFonts w:cs="Times New Roman"/>
        </w:rPr>
      </w:pPr>
      <w:r w:rsidRPr="00AC6B05">
        <w:rPr>
          <w:rFonts w:cs="Times New Roman"/>
          <w:b/>
          <w:bCs/>
        </w:rPr>
        <w:t>FWHM compliance screening</w:t>
      </w:r>
      <w:r w:rsidRPr="00AC6B05">
        <w:rPr>
          <w:rFonts w:cs="Times New Roman"/>
        </w:rPr>
        <w:t xml:space="preserve"> (workflow): configurable width bounds integrated into initialization and export.</w:t>
      </w:r>
    </w:p>
    <w:p w14:paraId="60D4469D" w14:textId="77777777" w:rsidR="00DB2913" w:rsidRPr="00AC6B05" w:rsidRDefault="00000000">
      <w:pPr>
        <w:numPr>
          <w:ilvl w:val="0"/>
          <w:numId w:val="11"/>
        </w:numPr>
        <w:rPr>
          <w:rFonts w:cs="Times New Roman"/>
        </w:rPr>
      </w:pPr>
      <w:r w:rsidRPr="00AC6B05">
        <w:rPr>
          <w:rFonts w:cs="Times New Roman"/>
          <w:b/>
          <w:bCs/>
        </w:rPr>
        <w:t>Sequential fitting workflow integration</w:t>
      </w:r>
      <w:r w:rsidRPr="00AC6B05">
        <w:rPr>
          <w:rFonts w:cs="Times New Roman"/>
        </w:rPr>
        <w:t xml:space="preserve"> (workflow): prominence-ranked peak addition with supplied initial centers.</w:t>
      </w:r>
    </w:p>
    <w:p w14:paraId="4AA5EC65" w14:textId="77777777" w:rsidR="00DB2913" w:rsidRPr="00AC6B05" w:rsidRDefault="00000000">
      <w:pPr>
        <w:numPr>
          <w:ilvl w:val="0"/>
          <w:numId w:val="11"/>
        </w:numPr>
        <w:rPr>
          <w:rFonts w:cs="Times New Roman"/>
        </w:rPr>
      </w:pPr>
      <w:r w:rsidRPr="00AC6B05">
        <w:rPr>
          <w:rFonts w:cs="Times New Roman"/>
          <w:b/>
          <w:bCs/>
        </w:rPr>
        <w:t>Reproducible audit trail</w:t>
      </w:r>
      <w:r w:rsidRPr="00AC6B05">
        <w:rPr>
          <w:rFonts w:cs="Times New Roman"/>
        </w:rPr>
        <w:t xml:space="preserve"> (software): exported workbooks with parameters, metrics, and chart PNGs.</w:t>
      </w:r>
    </w:p>
    <w:p w14:paraId="5A6AC617" w14:textId="77777777" w:rsidR="00DB2913" w:rsidRPr="00AC6B05" w:rsidRDefault="00000000">
      <w:pPr>
        <w:rPr>
          <w:rFonts w:cs="Times New Roman"/>
        </w:rPr>
      </w:pPr>
      <w:r w:rsidRPr="00AC6B05">
        <w:rPr>
          <w:rFonts w:cs="Times New Roman"/>
        </w:rPr>
        <w:t>Items (2) to (4) are engineering integrations that make the method usable in routine XPS analysis. Item (1) is the core detection rule that distinguishes CG-DPF from unfiltered derivative crossings.</w:t>
      </w:r>
    </w:p>
    <w:p w14:paraId="4D3E53AB" w14:textId="77777777" w:rsidR="00DB2913" w:rsidRPr="00AC6B05" w:rsidRDefault="00000000">
      <w:pPr>
        <w:pStyle w:val="Heading2"/>
        <w:rPr>
          <w:rFonts w:cs="Times New Roman"/>
        </w:rPr>
      </w:pPr>
      <w:bookmarkStart w:id="3" w:name="related-work"/>
      <w:bookmarkEnd w:id="1"/>
      <w:bookmarkEnd w:id="2"/>
      <w:r w:rsidRPr="00AC6B05">
        <w:rPr>
          <w:rFonts w:cs="Times New Roman"/>
        </w:rPr>
        <w:t>RELATED WORK</w:t>
      </w:r>
    </w:p>
    <w:p w14:paraId="6B1CB5DD" w14:textId="77777777" w:rsidR="00DB2913" w:rsidRPr="00AC6B05" w:rsidRDefault="00000000">
      <w:pPr>
        <w:rPr>
          <w:rFonts w:cs="Times New Roman"/>
        </w:rPr>
      </w:pPr>
      <w:r w:rsidRPr="00AC6B05">
        <w:rPr>
          <w:rFonts w:cs="Times New Roman"/>
        </w:rPr>
        <w:t>Derivative spectroscopy uses dI/dE sign changes and d²I/dE² extrema to locate peaks [7]. Pre-smoothing via Savitzky-Golay [8] or Gaussian convolution is essential because differentiation amplifies noise. Multi-scale approaches detect peaks across several σ values and merge by consensus [5]. High-sensitivity settings can yield hundreds of candidates with low FWHM compliance under survey-scale screening.</w:t>
      </w:r>
    </w:p>
    <w:p w14:paraId="4779CAF5" w14:textId="77777777" w:rsidR="00DB2913" w:rsidRPr="00AC6B05" w:rsidRDefault="00000000">
      <w:pPr>
        <w:pStyle w:val="BodyText"/>
        <w:rPr>
          <w:rFonts w:cs="Times New Roman"/>
        </w:rPr>
      </w:pPr>
      <w:r w:rsidRPr="00AC6B05">
        <w:rPr>
          <w:rFonts w:cs="Times New Roman"/>
        </w:rPr>
        <w:t xml:space="preserve">General signal-processing peak finders, including scipy.signal.find_peaks (implemented in SciPy [12]), MATLAB findpeaks, and wavelet-based methods, are widely used outside XPS. These approaches generally optimize signal characteristics such as peak height, prominence, width, or multi-scale consistency on raw or lightly processed intensity data, rather than combining first-derivative zero-crossing detection with an interpretable second-derivative curvature-gating strategy tailored for sequential XPS spectral deconvolution. Consequently, their objectives differ from that of CG-DPF, which emphasizes conservative, reproducible initialization with analyst-controlled filtering. Quantitative comparisons in this study are therefore limited to the in-tool </w:t>
      </w:r>
      <w:r w:rsidRPr="00AC6B05">
        <w:rPr>
          <w:rFonts w:cs="Times New Roman"/>
          <w:b/>
          <w:bCs/>
        </w:rPr>
        <w:t>Adaptive Detection</w:t>
      </w:r>
      <w:r w:rsidRPr="00AC6B05">
        <w:rPr>
          <w:rFonts w:cs="Times New Roman"/>
        </w:rPr>
        <w:t xml:space="preserve"> presets, which provide a strong multi-scale baseline under identical preprocessing, fitting, and export conditions. Overall, CG-DPF differs from existing derivative-based and general-purpose peak detection methods by introducing a transparent post-detection curvature-filtering </w:t>
      </w:r>
      <w:r w:rsidRPr="00AC6B05">
        <w:rPr>
          <w:rFonts w:cs="Times New Roman"/>
        </w:rPr>
        <w:lastRenderedPageBreak/>
        <w:t>workflow that integrates FWHM compliance screening, sequential fitting initialization, and reproducible parameter logging for XPS analysis.</w:t>
      </w:r>
    </w:p>
    <w:p w14:paraId="266BF398" w14:textId="77777777" w:rsidR="00DB2913" w:rsidRDefault="00000000">
      <w:pPr>
        <w:pStyle w:val="BodyText"/>
        <w:rPr>
          <w:rFonts w:cs="Times New Roman"/>
        </w:rPr>
      </w:pPr>
      <w:r w:rsidRPr="00AC6B05">
        <w:rPr>
          <w:rFonts w:cs="Times New Roman"/>
        </w:rPr>
        <w:t>Sequential fitting, adding peaks incrementally with re-optimization, is standard in XPS practice [2,4]. CG-DPF is positioned as an interpretable filtering layer for initialization rather than a fully autonomous detector. Adaptive multi-step baseline estimation, when used in the same software, addresses a complementary problem (background modeling) and is not combined with the present peak-initialization study.</w:t>
      </w:r>
    </w:p>
    <w:p w14:paraId="672624AD" w14:textId="0297DC4E" w:rsidR="00F74174" w:rsidRPr="00AC6B05" w:rsidRDefault="00E47906">
      <w:pPr>
        <w:pStyle w:val="BodyText"/>
        <w:rPr>
          <w:rFonts w:cs="Times New Roman"/>
        </w:rPr>
      </w:pPr>
      <w:r w:rsidRPr="00E47906">
        <w:rPr>
          <w:rFonts w:cs="Times New Roman"/>
        </w:rPr>
        <w:t>Conventional XPS peak fitting commonly employs Gaussian, Lorentzian, or Voigt line-shape models optimized using nonlinear least-squares methods, with the Levenberg–Marquardt (LM) algorithm being widely used in established XPS software packages. Trust Region Reflective (TRF) optimization is also widely used, particularly when parameter bounds are required to enforce physically meaningful constraints. Regardless of the optimization algorithm, convergence remains highly dependent on the quality of the initial peak estimates</w:t>
      </w:r>
      <w:r w:rsidR="00F74174" w:rsidRPr="00F74174">
        <w:rPr>
          <w:rFonts w:cs="Times New Roman"/>
        </w:rPr>
        <w:t>.</w:t>
      </w:r>
    </w:p>
    <w:p w14:paraId="166CD8DA" w14:textId="77777777" w:rsidR="00DB2913" w:rsidRPr="00AC6B05" w:rsidRDefault="00000000">
      <w:pPr>
        <w:pStyle w:val="Heading2"/>
        <w:rPr>
          <w:rFonts w:cs="Times New Roman"/>
        </w:rPr>
      </w:pPr>
      <w:bookmarkStart w:id="4" w:name="methodology"/>
      <w:bookmarkEnd w:id="3"/>
      <w:r w:rsidRPr="00AC6B05">
        <w:rPr>
          <w:rFonts w:cs="Times New Roman"/>
        </w:rPr>
        <w:t>METHODOLOGY</w:t>
      </w:r>
    </w:p>
    <w:p w14:paraId="68C7D35F" w14:textId="77777777" w:rsidR="00DB2913" w:rsidRPr="00AC6B05" w:rsidRDefault="00000000">
      <w:pPr>
        <w:pStyle w:val="Heading3"/>
        <w:rPr>
          <w:rFonts w:ascii="Times New Roman" w:hAnsi="Times New Roman" w:cs="Times New Roman"/>
          <w:color w:val="000000" w:themeColor="text1"/>
        </w:rPr>
      </w:pPr>
      <w:bookmarkStart w:id="5" w:name="algorithm"/>
      <w:r w:rsidRPr="00AC6B05">
        <w:rPr>
          <w:rFonts w:ascii="Times New Roman" w:hAnsi="Times New Roman" w:cs="Times New Roman"/>
          <w:color w:val="000000" w:themeColor="text1"/>
        </w:rPr>
        <w:t>Algorithm</w:t>
      </w:r>
    </w:p>
    <w:p w14:paraId="5504DBD8" w14:textId="77777777" w:rsidR="00DB2913" w:rsidRPr="00AC6B05" w:rsidRDefault="00000000">
      <w:pPr>
        <w:rPr>
          <w:rFonts w:cs="Times New Roman"/>
        </w:rPr>
      </w:pPr>
      <w:r w:rsidRPr="00AC6B05">
        <w:rPr>
          <w:rFonts w:cs="Times New Roman"/>
        </w:rPr>
        <w:t>CG-DPF operates in two stages:</w:t>
      </w:r>
    </w:p>
    <w:p w14:paraId="3672E2BC" w14:textId="77777777" w:rsidR="00DB2913" w:rsidRPr="00AC6B05" w:rsidRDefault="00000000">
      <w:pPr>
        <w:numPr>
          <w:ilvl w:val="0"/>
          <w:numId w:val="12"/>
        </w:numPr>
        <w:rPr>
          <w:rFonts w:cs="Times New Roman"/>
        </w:rPr>
      </w:pPr>
      <w:r w:rsidRPr="00AC6B05">
        <w:rPr>
          <w:rFonts w:cs="Times New Roman"/>
          <w:b/>
          <w:bCs/>
        </w:rPr>
        <w:t>Candidate detection</w:t>
      </w:r>
      <w:r w:rsidRPr="00AC6B05">
        <w:rPr>
          <w:rFonts w:cs="Times New Roman"/>
        </w:rPr>
        <w:t>: First-derivative zero crossings on a Gaussian-smoothed spectrum (configurable σ, default 8 eV).</w:t>
      </w:r>
    </w:p>
    <w:p w14:paraId="70710409" w14:textId="77777777" w:rsidR="00DB2913" w:rsidRPr="00AC6B05" w:rsidRDefault="00000000">
      <w:pPr>
        <w:numPr>
          <w:ilvl w:val="0"/>
          <w:numId w:val="12"/>
        </w:numPr>
        <w:rPr>
          <w:rFonts w:cs="Times New Roman"/>
        </w:rPr>
      </w:pPr>
      <w:r w:rsidRPr="00AC6B05">
        <w:rPr>
          <w:rFonts w:cs="Times New Roman"/>
          <w:b/>
          <w:bCs/>
        </w:rPr>
        <w:t>Curvature filtering</w:t>
      </w:r>
      <w:r w:rsidRPr="00AC6B05">
        <w:rPr>
          <w:rFonts w:cs="Times New Roman"/>
        </w:rPr>
        <w:t>: Retain only candidates whose d²I/dE² at the interpolated crossing lies below threshold θ.</w:t>
      </w:r>
    </w:p>
    <w:p w14:paraId="3AB4C0E2" w14:textId="61E59884" w:rsidR="00DB2913" w:rsidRPr="00AC6B05" w:rsidRDefault="000C32DE">
      <w:pPr>
        <w:rPr>
          <w:rFonts w:cs="Times New Roman"/>
        </w:rPr>
      </w:pPr>
      <w:r w:rsidRPr="000C32DE">
        <w:rPr>
          <w:rFonts w:cs="Times New Roman"/>
        </w:rPr>
        <w:t>The CG-DPF workflow consists of five sequential stages. First, the raw spectrum is smoothed using Gaussian convolution to reduce noise while preserving peak shapes. Next, candidate peaks are identified from positive-to-negative zero crossings of the first derivative. Each candidate is then evaluated using the second derivative, where a curvature threshold is applied to reject weak or noise-induced detections. The remaining filtered peaks constitute the final candidate set used to initialize the sequential XPS spectral deconvolution process.</w:t>
      </w:r>
    </w:p>
    <w:p w14:paraId="4358826E" w14:textId="77777777" w:rsidR="00DB2913" w:rsidRPr="00AC6B05" w:rsidRDefault="00000000">
      <w:pPr>
        <w:pStyle w:val="Heading3"/>
        <w:rPr>
          <w:rFonts w:ascii="Times New Roman" w:hAnsi="Times New Roman" w:cs="Times New Roman"/>
          <w:color w:val="000000" w:themeColor="text1"/>
        </w:rPr>
      </w:pPr>
      <w:bookmarkStart w:id="6" w:name="mathematical-formulation"/>
      <w:bookmarkEnd w:id="5"/>
      <w:r w:rsidRPr="00AC6B05">
        <w:rPr>
          <w:rFonts w:ascii="Times New Roman" w:hAnsi="Times New Roman" w:cs="Times New Roman"/>
          <w:color w:val="000000" w:themeColor="text1"/>
        </w:rPr>
        <w:t>Mathematical Formulation</w:t>
      </w:r>
    </w:p>
    <w:p w14:paraId="3590981E" w14:textId="77777777" w:rsidR="00DB2913" w:rsidRPr="00AC6B05" w:rsidRDefault="00000000">
      <w:pPr>
        <w:rPr>
          <w:rFonts w:cs="Times New Roman"/>
        </w:rPr>
      </w:pPr>
      <w:r w:rsidRPr="00AC6B05">
        <w:rPr>
          <w:rFonts w:cs="Times New Roman"/>
        </w:rPr>
        <w:t xml:space="preserve">Given energy axis </w:t>
      </w:r>
      <w:r w:rsidRPr="00AC6B05">
        <w:rPr>
          <w:rFonts w:cs="Times New Roman"/>
          <w:i/>
          <w:iCs/>
        </w:rPr>
        <w:t>E</w:t>
      </w:r>
      <w:r w:rsidRPr="00AC6B05">
        <w:rPr>
          <w:rFonts w:cs="Times New Roman"/>
        </w:rPr>
        <w:t xml:space="preserve"> and intensity </w:t>
      </w:r>
      <w:r w:rsidRPr="00AC6B05">
        <w:rPr>
          <w:rFonts w:cs="Times New Roman"/>
          <w:i/>
          <w:iCs/>
        </w:rPr>
        <w:t>I</w:t>
      </w:r>
      <w:r w:rsidRPr="00AC6B05">
        <w:rPr>
          <w:rFonts w:cs="Times New Roman"/>
        </w:rPr>
        <w:t>, the smoothed spectrum is:</w:t>
      </w:r>
    </w:p>
    <w:p w14:paraId="07288ECB" w14:textId="77777777" w:rsidR="00DB2913" w:rsidRPr="00AC6B05" w:rsidRDefault="00000000">
      <w:pPr>
        <w:pStyle w:val="BodyText"/>
        <w:rPr>
          <w:rFonts w:cs="Times New Roman"/>
        </w:rPr>
      </w:pPr>
      <m:oMathPara>
        <m:oMathParaPr>
          <m:jc m:val="center"/>
        </m:oMathParaPr>
        <m:oMath>
          <m:acc>
            <m:accPr>
              <m:chr m:val="̃"/>
              <m:ctrlPr>
                <w:rPr>
                  <w:rFonts w:ascii="Cambria Math" w:hAnsi="Cambria Math" w:cs="Times New Roman"/>
                </w:rPr>
              </m:ctrlPr>
            </m:accPr>
            <m:e>
              <m:r>
                <w:rPr>
                  <w:rFonts w:ascii="Cambria Math" w:hAnsi="Cambria Math" w:cs="Times New Roman"/>
                </w:rPr>
                <m:t>I</m:t>
              </m:r>
            </m:e>
          </m:acc>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m:oMathPara>
    </w:p>
    <w:p w14:paraId="39FAB7B2" w14:textId="77777777" w:rsidR="00DB2913" w:rsidRPr="00AC6B05" w:rsidRDefault="00000000">
      <w:pPr>
        <w:rPr>
          <w:rFonts w:cs="Times New Roman"/>
        </w:rPr>
      </w:pPr>
      <w:r w:rsidRPr="00AC6B05">
        <w:rPr>
          <w:rFonts w:cs="Times New Roman"/>
        </w:rPr>
        <w:t xml:space="preserve">where </w:t>
      </w:r>
      <w:r w:rsidRPr="00AC6B05">
        <w:rPr>
          <w:rFonts w:cs="Times New Roman"/>
          <w:i/>
          <w:iCs/>
        </w:rPr>
        <w:t>G</w:t>
      </w:r>
      <w:r w:rsidRPr="00AC6B05">
        <w:rPr>
          <w:rFonts w:cs="Times New Roman"/>
        </w:rPr>
        <w:t xml:space="preserve"> is a Gaussian kernel. Derivatives use central finite differences on the smoothed data:</w:t>
      </w:r>
    </w:p>
    <w:p w14:paraId="6265F91C" w14:textId="77777777" w:rsidR="00DB2913" w:rsidRPr="00AC6B05" w:rsidRDefault="00000000">
      <w:pPr>
        <w:pStyle w:val="BodyText"/>
        <w:rPr>
          <w:rFonts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r>
                    <w:rPr>
                      <w:rFonts w:ascii="Cambria Math" w:hAnsi="Cambria Math" w:cs="Times New Roman"/>
                    </w:rPr>
                    <m:t>I</m:t>
                  </m:r>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I</m:t>
                  </m:r>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den>
          </m:f>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den>
          </m:f>
        </m:oMath>
      </m:oMathPara>
    </w:p>
    <w:p w14:paraId="7D129204" w14:textId="77777777" w:rsidR="00DB2913" w:rsidRPr="00AC6B05" w:rsidRDefault="00000000">
      <w:pPr>
        <w:rPr>
          <w:rFonts w:cs="Times New Roman"/>
        </w:rPr>
      </w:pPr>
      <w:r w:rsidRPr="00AC6B05">
        <w:rPr>
          <w:rFonts w:cs="Times New Roman"/>
        </w:rPr>
        <w:t xml:space="preserve">Zero crossings occur where </w:t>
      </w:r>
      <w:r w:rsidRPr="00AC6B05">
        <w:rPr>
          <w:rFonts w:cs="Times New Roman"/>
          <w:i/>
          <w:iCs/>
        </w:rPr>
        <w:t>I’(Ei) &gt; 0</w:t>
      </w:r>
      <w:r w:rsidRPr="00AC6B05">
        <w:rPr>
          <w:rFonts w:cs="Times New Roman"/>
        </w:rPr>
        <w:t xml:space="preserve"> and </w:t>
      </w:r>
      <w:r w:rsidRPr="00AC6B05">
        <w:rPr>
          <w:rFonts w:cs="Times New Roman"/>
          <w:i/>
          <w:iCs/>
        </w:rPr>
        <w:t>I’(Ei+1) ≤ 0</w:t>
      </w:r>
      <w:r w:rsidRPr="00AC6B05">
        <w:rPr>
          <w:rFonts w:cs="Times New Roman"/>
        </w:rPr>
        <w:t>. The crossing energy is refined by linear interpolation:</w:t>
      </w:r>
    </w:p>
    <w:p w14:paraId="4C78A467" w14:textId="77777777" w:rsidR="00DB2913" w:rsidRPr="00AC6B05" w:rsidRDefault="00000000">
      <w:pPr>
        <w:pStyle w:val="BodyText"/>
        <w:rPr>
          <w:rFonts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num>
            <m:den>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den>
          </m:f>
        </m:oMath>
      </m:oMathPara>
    </w:p>
    <w:p w14:paraId="4B47F47C" w14:textId="00977BB5" w:rsidR="00DB2913" w:rsidRPr="00AC6B05" w:rsidRDefault="00000000">
      <w:pPr>
        <w:rPr>
          <w:rFonts w:cs="Times New Roman"/>
        </w:rPr>
      </w:pPr>
      <w:r w:rsidRPr="00AC6B05">
        <w:rPr>
          <w:rFonts w:cs="Times New Roman"/>
        </w:rPr>
        <w:t xml:space="preserve">The curvature threshold is </w:t>
      </w:r>
      <m:oMath>
        <m:sSup>
          <m:sSupPr>
            <m:ctrlPr>
              <w:rPr>
                <w:rFonts w:ascii="Cambria Math" w:hAnsi="Cambria Math" w:cs="Times New Roman"/>
              </w:rPr>
            </m:ctrlPr>
          </m:sSupPr>
          <m:e>
            <m:r>
              <m:rPr>
                <m:sty m:val="p"/>
              </m:rPr>
              <w:rPr>
                <w:rFonts w:ascii="Cambria Math" w:hAnsi="Cambria Math" w:cs="Times New Roman"/>
              </w:rPr>
              <m:t>θ = μ</m:t>
            </m:r>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 xml:space="preserve">- </m:t>
        </m:r>
        <m:r>
          <w:rPr>
            <w:rFonts w:ascii="Cambria Math" w:hAnsi="Cambria Math" w:cs="Times New Roman"/>
          </w:rPr>
          <m:t>k</m:t>
        </m:r>
        <m:r>
          <m:rPr>
            <m:sty m:val="p"/>
          </m:rPr>
          <w:rPr>
            <w:rFonts w:ascii="Cambria Math" w:hAnsi="Cambria Math" w:cs="Times New Roman"/>
          </w:rPr>
          <m:t>·σ</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oMath>
      <w:r w:rsidRPr="00AC6B05">
        <w:rPr>
          <w:rFonts w:cs="Times New Roman"/>
        </w:rPr>
        <w:t xml:space="preserve">, where </w:t>
      </w:r>
      <m:oMath>
        <m:sSup>
          <m:sSupPr>
            <m:ctrlPr>
              <w:rPr>
                <w:rFonts w:ascii="Cambria Math" w:hAnsi="Cambria Math" w:cs="Times New Roman"/>
              </w:rPr>
            </m:ctrlPr>
          </m:sSupPr>
          <m:e>
            <m:r>
              <m:rPr>
                <m:sty m:val="p"/>
              </m:rPr>
              <w:rPr>
                <w:rFonts w:ascii="Cambria Math" w:hAnsi="Cambria Math" w:cs="Times New Roman"/>
              </w:rPr>
              <m:t>μ</m:t>
            </m:r>
            <m:r>
              <w:rPr>
                <w:rFonts w:ascii="Cambria Math" w:hAnsi="Cambria Math" w:cs="Times New Roman"/>
              </w:rPr>
              <m:t>I</m:t>
            </m:r>
          </m:e>
          <m:sup>
            <m:r>
              <m:rPr>
                <m:sty m:val="p"/>
              </m:rPr>
              <w:rPr>
                <w:rFonts w:ascii="Cambria Math" w:hAnsi="Cambria Math" w:cs="Times New Roman"/>
              </w:rPr>
              <m:t>″</m:t>
            </m:r>
          </m:sup>
        </m:sSup>
      </m:oMath>
      <w:r w:rsidRPr="00AC6B05">
        <w:rPr>
          <w:rFonts w:cs="Times New Roman"/>
        </w:rPr>
        <w:t xml:space="preserve"> and </w:t>
      </w:r>
      <m:oMath>
        <m:sSup>
          <m:sSupPr>
            <m:ctrlPr>
              <w:rPr>
                <w:rFonts w:ascii="Cambria Math" w:hAnsi="Cambria Math" w:cs="Times New Roman"/>
              </w:rPr>
            </m:ctrlPr>
          </m:sSupPr>
          <m:e>
            <m:r>
              <m:rPr>
                <m:sty m:val="p"/>
              </m:rPr>
              <w:rPr>
                <w:rFonts w:ascii="Cambria Math" w:hAnsi="Cambria Math" w:cs="Times New Roman"/>
              </w:rPr>
              <m:t>σ</m:t>
            </m:r>
            <m:r>
              <w:rPr>
                <w:rFonts w:ascii="Cambria Math" w:hAnsi="Cambria Math" w:cs="Times New Roman"/>
              </w:rPr>
              <m:t>I</m:t>
            </m:r>
          </m:e>
          <m:sup>
            <m:r>
              <m:rPr>
                <m:sty m:val="p"/>
              </m:rPr>
              <w:rPr>
                <w:rFonts w:ascii="Cambria Math" w:hAnsi="Cambria Math" w:cs="Times New Roman"/>
              </w:rPr>
              <m:t>″</m:t>
            </m:r>
          </m:sup>
        </m:sSup>
      </m:oMath>
      <w:r w:rsidRPr="00AC6B05">
        <w:rPr>
          <w:rFonts w:cs="Times New Roman"/>
        </w:rPr>
        <w:t xml:space="preserve"> are the mean and standard deviation of d²I/dE² on the smoothed spectrum. The dimensionless multiplier is:</w:t>
      </w:r>
    </w:p>
    <w:p w14:paraId="227B168F" w14:textId="77777777" w:rsidR="00DB2913" w:rsidRPr="00AC6B05" w:rsidRDefault="00000000">
      <w:pPr>
        <w:pStyle w:val="BodyText"/>
        <w:rPr>
          <w:rFonts w:cs="Times New Roman"/>
        </w:rPr>
      </w:pPr>
      <m:oMathPara>
        <m:oMathParaPr>
          <m:jc m:val="center"/>
        </m:oMathPara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μ</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Sub>
              <m:r>
                <m:rPr>
                  <m:sty m:val="p"/>
                </m:rPr>
                <w:rPr>
                  <w:rFonts w:ascii="Cambria Math" w:hAnsi="Cambria Math" w:cs="Times New Roman"/>
                </w:rPr>
                <m:t>-</m:t>
              </m:r>
              <m:r>
                <w:rPr>
                  <w:rFonts w:ascii="Cambria Math" w:hAnsi="Cambria Math" w:cs="Times New Roman"/>
                </w:rPr>
                <m:t>θ</m:t>
              </m:r>
            </m:num>
            <m:den>
              <m:sSub>
                <m:sSubPr>
                  <m:ctrlPr>
                    <w:rPr>
                      <w:rFonts w:ascii="Cambria Math" w:hAnsi="Cambria Math" w:cs="Times New Roman"/>
                    </w:rPr>
                  </m:ctrlPr>
                </m:sSubPr>
                <m:e>
                  <m:r>
                    <w:rPr>
                      <w:rFonts w:ascii="Cambria Math" w:hAnsi="Cambria Math" w:cs="Times New Roman"/>
                    </w:rPr>
                    <m:t>σ</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Sub>
            </m:den>
          </m:f>
        </m:oMath>
      </m:oMathPara>
    </w:p>
    <w:p w14:paraId="671D39CC" w14:textId="0FA82DB7" w:rsidR="00DB2913" w:rsidRPr="00AC6B05" w:rsidRDefault="00000000">
      <w:pPr>
        <w:rPr>
          <w:rFonts w:cs="Times New Roman"/>
        </w:rPr>
      </w:pPr>
      <w:r w:rsidRPr="00AC6B05">
        <w:rPr>
          <w:rFonts w:cs="Times New Roman"/>
        </w:rPr>
        <w:t xml:space="preserve">A candidate at </w:t>
      </w:r>
      <w:r w:rsidRPr="00AC6B05">
        <w:rPr>
          <w:rFonts w:cs="Times New Roman"/>
          <w:i/>
          <w:iCs/>
        </w:rPr>
        <w:t>E0</w:t>
      </w:r>
      <w:r w:rsidRPr="00AC6B05">
        <w:rPr>
          <w:rFonts w:cs="Times New Roman"/>
        </w:rPr>
        <w:t xml:space="preserve"> is retained if </w:t>
      </w:r>
      <m:oMath>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w:rPr>
            <w:rFonts w:ascii="Cambria Math" w:hAnsi="Cambria Math" w:cs="Times New Roman"/>
          </w:rPr>
          <m:t>(E0) &lt; θ</m:t>
        </m:r>
      </m:oMath>
      <w:r w:rsidRPr="00AC6B05">
        <w:rPr>
          <w:rFonts w:cs="Times New Roman"/>
        </w:rPr>
        <w:t xml:space="preserve">. Default </w:t>
      </w:r>
      <w:r w:rsidRPr="00AC6B05">
        <w:rPr>
          <w:rFonts w:cs="Times New Roman"/>
          <w:i/>
          <w:iCs/>
        </w:rPr>
        <w:t>k</w:t>
      </w:r>
      <w:r w:rsidRPr="00AC6B05">
        <w:rPr>
          <w:rFonts w:cs="Times New Roman"/>
        </w:rPr>
        <w:t xml:space="preserve"> = 1 sets θ = μ − σ, i.e., a conventional one-standard-deviation tail threshold familiar from robust statistics. On the in-house benchmark this default maximized </w:t>
      </w:r>
      <w:r w:rsidRPr="00AC6B05">
        <w:rPr>
          <w:rFonts w:cs="Times New Roman"/>
        </w:rPr>
        <w:lastRenderedPageBreak/>
        <w:t xml:space="preserve">FWHM compliance while retaining the major core levels. For routine survey analysis, </w:t>
      </w:r>
      <w:r w:rsidRPr="00AC6B05">
        <w:rPr>
          <w:rFonts w:cs="Times New Roman"/>
          <w:i/>
          <w:iCs/>
        </w:rPr>
        <w:t>k</w:t>
      </w:r>
      <w:r w:rsidRPr="00AC6B05">
        <w:rPr>
          <w:rFonts w:cs="Times New Roman"/>
        </w:rPr>
        <w:t xml:space="preserve"> ≈ 0.3-0.5 often balances recall and FWHM compliance better than </w:t>
      </w:r>
      <w:r w:rsidRPr="00AC6B05">
        <w:rPr>
          <w:rFonts w:cs="Times New Roman"/>
          <w:i/>
          <w:iCs/>
        </w:rPr>
        <w:t>k</w:t>
      </w:r>
      <w:r w:rsidRPr="00AC6B05">
        <w:rPr>
          <w:rFonts w:cs="Times New Roman"/>
        </w:rPr>
        <w:t xml:space="preserve"> = 1.</w:t>
      </w:r>
    </w:p>
    <w:p w14:paraId="673F3CBF" w14:textId="77777777" w:rsidR="00DB2913" w:rsidRPr="00AC6B05" w:rsidRDefault="00000000">
      <w:pPr>
        <w:pStyle w:val="Heading3"/>
        <w:rPr>
          <w:rFonts w:ascii="Times New Roman" w:hAnsi="Times New Roman" w:cs="Times New Roman"/>
          <w:color w:val="000000" w:themeColor="text1"/>
        </w:rPr>
      </w:pPr>
      <w:bookmarkStart w:id="7" w:name="implementation"/>
      <w:bookmarkEnd w:id="6"/>
      <w:r w:rsidRPr="00AC6B05">
        <w:rPr>
          <w:rFonts w:ascii="Times New Roman" w:hAnsi="Times New Roman" w:cs="Times New Roman"/>
          <w:color w:val="000000" w:themeColor="text1"/>
        </w:rPr>
        <w:t>Implementation</w:t>
      </w:r>
    </w:p>
    <w:p w14:paraId="000A4BF9" w14:textId="77777777" w:rsidR="00DB2913" w:rsidRPr="00AC6B05" w:rsidRDefault="00000000">
      <w:pPr>
        <w:rPr>
          <w:rFonts w:cs="Times New Roman"/>
        </w:rPr>
      </w:pPr>
      <w:r w:rsidRPr="00AC6B05">
        <w:rPr>
          <w:rFonts w:cs="Times New Roman"/>
        </w:rPr>
        <w:t xml:space="preserve">In the reference implementation (v2.3) [5]: smoothing uses scipy.ndimage.gaussian_filter1d with mode </w:t>
      </w:r>
      <w:r w:rsidRPr="00AC6B05">
        <w:rPr>
          <w:rFonts w:cs="Times New Roman"/>
          <w:i/>
          <w:iCs/>
        </w:rPr>
        <w:t>reflect</w:t>
      </w:r>
      <w:r w:rsidRPr="00AC6B05">
        <w:rPr>
          <w:rFonts w:cs="Times New Roman"/>
        </w:rPr>
        <w:t>, derivatives use numpy.gradient and second-derivative values at interpolated crossings use linear interpolation.</w:t>
      </w:r>
    </w:p>
    <w:p w14:paraId="2611481B" w14:textId="77777777" w:rsidR="00DB2913" w:rsidRPr="00AC6B05" w:rsidRDefault="00000000">
      <w:pPr>
        <w:pStyle w:val="Heading3"/>
        <w:rPr>
          <w:rFonts w:ascii="Times New Roman" w:hAnsi="Times New Roman" w:cs="Times New Roman"/>
          <w:color w:val="000000" w:themeColor="text1"/>
        </w:rPr>
      </w:pPr>
      <w:bookmarkStart w:id="8" w:name="sequential-fitting-integration"/>
      <w:bookmarkEnd w:id="7"/>
      <w:r w:rsidRPr="00AC6B05">
        <w:rPr>
          <w:rFonts w:ascii="Times New Roman" w:hAnsi="Times New Roman" w:cs="Times New Roman"/>
          <w:color w:val="000000" w:themeColor="text1"/>
        </w:rPr>
        <w:t>Sequential Fitting Integration</w:t>
      </w:r>
    </w:p>
    <w:p w14:paraId="0007F394" w14:textId="77777777" w:rsidR="00DB2913" w:rsidRPr="00AC6B05" w:rsidRDefault="00000000">
      <w:pPr>
        <w:rPr>
          <w:rFonts w:cs="Times New Roman"/>
        </w:rPr>
      </w:pPr>
      <w:r w:rsidRPr="00AC6B05">
        <w:rPr>
          <w:rFonts w:cs="Times New Roman"/>
        </w:rPr>
        <w:t>Filtered peaks supply initial centers for sequential deconvolution. The procedure is:</w:t>
      </w:r>
    </w:p>
    <w:p w14:paraId="4C18259E" w14:textId="77777777" w:rsidR="00DB2913" w:rsidRPr="00AC6B05" w:rsidRDefault="00000000">
      <w:pPr>
        <w:numPr>
          <w:ilvl w:val="0"/>
          <w:numId w:val="13"/>
        </w:numPr>
        <w:rPr>
          <w:rFonts w:cs="Times New Roman"/>
        </w:rPr>
      </w:pPr>
      <w:r w:rsidRPr="00AC6B05">
        <w:rPr>
          <w:rFonts w:cs="Times New Roman"/>
          <w:b/>
          <w:bCs/>
        </w:rPr>
        <w:t>Ordering</w:t>
      </w:r>
      <w:r w:rsidRPr="00AC6B05">
        <w:rPr>
          <w:rFonts w:cs="Times New Roman"/>
        </w:rPr>
        <w:t>: CG-DPF candidates are sorted by descending local prominence before fitting [5].</w:t>
      </w:r>
    </w:p>
    <w:p w14:paraId="556808B9" w14:textId="77777777" w:rsidR="00DB2913" w:rsidRPr="00AC6B05" w:rsidRDefault="00000000">
      <w:pPr>
        <w:numPr>
          <w:ilvl w:val="0"/>
          <w:numId w:val="13"/>
        </w:numPr>
        <w:rPr>
          <w:rFonts w:cs="Times New Roman"/>
        </w:rPr>
      </w:pPr>
      <w:r w:rsidRPr="00AC6B05">
        <w:rPr>
          <w:rFonts w:cs="Times New Roman"/>
          <w:b/>
          <w:bCs/>
        </w:rPr>
        <w:t>Initialization</w:t>
      </w:r>
      <w:r w:rsidRPr="00AC6B05">
        <w:rPr>
          <w:rFonts w:cs="Times New Roman"/>
        </w:rPr>
        <w:t xml:space="preserve">: For peak </w:t>
      </w:r>
      <w:r w:rsidRPr="00AC6B05">
        <w:rPr>
          <w:rFonts w:cs="Times New Roman"/>
          <w:i/>
          <w:iCs/>
        </w:rPr>
        <w:t>i</w:t>
      </w:r>
      <w:r w:rsidRPr="00AC6B05">
        <w:rPr>
          <w:rFonts w:cs="Times New Roman"/>
        </w:rPr>
        <w:t xml:space="preserve">, the center is fixed to the </w:t>
      </w:r>
      <w:r w:rsidRPr="00AC6B05">
        <w:rPr>
          <w:rFonts w:cs="Times New Roman"/>
          <w:i/>
          <w:iCs/>
        </w:rPr>
        <w:t>i</w:t>
      </w:r>
      <w:r w:rsidRPr="00AC6B05">
        <w:rPr>
          <w:rFonts w:cs="Times New Roman"/>
        </w:rPr>
        <w:t>-th supplied energy and amplitude is taken from the current residual at that center and width is initialized from a survey-span heuristic (≥ Δ</w:t>
      </w:r>
      <w:r w:rsidRPr="00AC6B05">
        <w:rPr>
          <w:rFonts w:cs="Times New Roman"/>
          <w:i/>
          <w:iCs/>
        </w:rPr>
        <w:t>E</w:t>
      </w:r>
      <w:r w:rsidRPr="00AC6B05">
        <w:rPr>
          <w:rFonts w:cs="Times New Roman"/>
        </w:rPr>
        <w:t xml:space="preserve"> × 10, bounded relative to the energy axis).</w:t>
      </w:r>
    </w:p>
    <w:p w14:paraId="13237F05" w14:textId="71D91D6D" w:rsidR="00DB2913" w:rsidRPr="00AC6B05" w:rsidRDefault="00000000">
      <w:pPr>
        <w:numPr>
          <w:ilvl w:val="0"/>
          <w:numId w:val="13"/>
        </w:numPr>
        <w:rPr>
          <w:rFonts w:cs="Times New Roman"/>
        </w:rPr>
      </w:pPr>
      <w:r w:rsidRPr="00AC6B05">
        <w:rPr>
          <w:rFonts w:cs="Times New Roman"/>
          <w:b/>
          <w:bCs/>
        </w:rPr>
        <w:t>Optimization</w:t>
      </w:r>
      <w:r w:rsidRPr="00AC6B05">
        <w:rPr>
          <w:rFonts w:cs="Times New Roman"/>
        </w:rPr>
        <w:t xml:space="preserve">: A single Gaussian is fit to the </w:t>
      </w:r>
      <w:r w:rsidRPr="00AC6B05">
        <w:rPr>
          <w:rFonts w:cs="Times New Roman"/>
          <w:b/>
          <w:bCs/>
        </w:rPr>
        <w:t>current residual</w:t>
      </w:r>
      <w:r w:rsidRPr="00AC6B05">
        <w:rPr>
          <w:rFonts w:cs="Times New Roman"/>
        </w:rPr>
        <w:t xml:space="preserve"> (background-corrected intensity minus previously fitted components) using Trust Region Reflective (TRF) nonlinear least-squares optimization (scipy.optimize.curve_fit, method trf, ftol = xtol = 10⁻⁶, maxfev ≥ 10⁴).</w:t>
      </w:r>
      <w:r w:rsidR="009E3C0E">
        <w:rPr>
          <w:rFonts w:cs="Times New Roman"/>
        </w:rPr>
        <w:t xml:space="preserve"> </w:t>
      </w:r>
      <w:r w:rsidR="009E3C0E" w:rsidRPr="009E3C0E">
        <w:rPr>
          <w:rFonts w:cs="Times New Roman"/>
        </w:rPr>
        <w:t>TRF was selected because it supports bounded optimization, allowing physically meaningful constraints on peak parameters during sequential fitting.</w:t>
      </w:r>
    </w:p>
    <w:p w14:paraId="53CCA62D" w14:textId="77777777" w:rsidR="00DB2913" w:rsidRPr="00AC6B05" w:rsidRDefault="00000000">
      <w:pPr>
        <w:numPr>
          <w:ilvl w:val="0"/>
          <w:numId w:val="13"/>
        </w:numPr>
        <w:rPr>
          <w:rFonts w:cs="Times New Roman"/>
        </w:rPr>
      </w:pPr>
      <w:r w:rsidRPr="00AC6B05">
        <w:rPr>
          <w:rFonts w:cs="Times New Roman"/>
          <w:b/>
          <w:bCs/>
        </w:rPr>
        <w:t>Update</w:t>
      </w:r>
      <w:r w:rsidRPr="00AC6B05">
        <w:rPr>
          <w:rFonts w:cs="Times New Roman"/>
        </w:rPr>
        <w:t>: The fitted component is subtracted from the residual (clipped to non-negative values).</w:t>
      </w:r>
    </w:p>
    <w:p w14:paraId="6D0FF180" w14:textId="77777777" w:rsidR="00DB2913" w:rsidRPr="00AC6B05" w:rsidRDefault="00000000">
      <w:pPr>
        <w:numPr>
          <w:ilvl w:val="0"/>
          <w:numId w:val="13"/>
        </w:numPr>
        <w:rPr>
          <w:rFonts w:cs="Times New Roman"/>
        </w:rPr>
      </w:pPr>
      <w:r w:rsidRPr="00AC6B05">
        <w:rPr>
          <w:rFonts w:cs="Times New Roman"/>
          <w:b/>
          <w:bCs/>
        </w:rPr>
        <w:t>Stopping</w:t>
      </w:r>
      <w:r w:rsidRPr="00AC6B05">
        <w:rPr>
          <w:rFonts w:cs="Times New Roman"/>
        </w:rPr>
        <w:t xml:space="preserve">: The loop terminates after all </w:t>
      </w:r>
      <w:r w:rsidRPr="00AC6B05">
        <w:rPr>
          <w:rFonts w:cs="Times New Roman"/>
          <w:i/>
          <w:iCs/>
        </w:rPr>
        <w:t>N</w:t>
      </w:r>
      <w:r w:rsidRPr="00AC6B05">
        <w:rPr>
          <w:rFonts w:cs="Times New Roman"/>
        </w:rPr>
        <w:t xml:space="preserve"> detected centers have been fit. There is no additional residual-based peak insertion in the benchmark pipeline.</w:t>
      </w:r>
    </w:p>
    <w:p w14:paraId="17B09D95" w14:textId="77777777" w:rsidR="00DB2913" w:rsidRPr="00AC6B05" w:rsidRDefault="00000000">
      <w:pPr>
        <w:rPr>
          <w:rFonts w:cs="Times New Roman"/>
        </w:rPr>
      </w:pPr>
      <w:r w:rsidRPr="00AC6B05">
        <w:rPr>
          <w:rFonts w:cs="Times New Roman"/>
        </w:rPr>
        <w:t xml:space="preserve">FWHM compliance is evaluated </w:t>
      </w:r>
      <w:r w:rsidRPr="00AC6B05">
        <w:rPr>
          <w:rFonts w:cs="Times New Roman"/>
          <w:b/>
          <w:bCs/>
        </w:rPr>
        <w:t>post-fit</w:t>
      </w:r>
      <w:r w:rsidRPr="00AC6B05">
        <w:rPr>
          <w:rFonts w:cs="Times New Roman"/>
        </w:rPr>
        <w:t xml:space="preserve"> from FWHM = 2√(2 ln 2) σ ≈ 2.355σ for Gaussian components, compared against configurable bounds (the Metrics section). CG-DPF does not assign chemical states. Binding-energy labels in the Peak Assignments section are illustrative comparisons to tabulated references [6].</w:t>
      </w:r>
    </w:p>
    <w:p w14:paraId="6D9A2E20" w14:textId="77777777" w:rsidR="00DB2913" w:rsidRPr="00AC6B05" w:rsidRDefault="00000000">
      <w:pPr>
        <w:pStyle w:val="Heading3"/>
        <w:rPr>
          <w:rFonts w:ascii="Times New Roman" w:hAnsi="Times New Roman" w:cs="Times New Roman"/>
          <w:color w:val="000000" w:themeColor="text1"/>
        </w:rPr>
      </w:pPr>
      <w:bookmarkStart w:id="9" w:name="benchmark-spectra"/>
      <w:bookmarkEnd w:id="8"/>
      <w:r w:rsidRPr="00AC6B05">
        <w:rPr>
          <w:rFonts w:ascii="Times New Roman" w:hAnsi="Times New Roman" w:cs="Times New Roman"/>
          <w:color w:val="000000" w:themeColor="text1"/>
        </w:rPr>
        <w:t>Benchmark Spectra</w:t>
      </w:r>
    </w:p>
    <w:p w14:paraId="4EE86907" w14:textId="16002A23" w:rsidR="00DB2913" w:rsidRPr="00AC6B05" w:rsidRDefault="00AC6B05">
      <w:pPr>
        <w:rPr>
          <w:rFonts w:cs="Times New Roman"/>
        </w:rPr>
      </w:pPr>
      <w:r w:rsidRPr="00AC6B05">
        <w:rPr>
          <w:rFonts w:cs="Times New Roman"/>
          <w:b/>
          <w:bCs/>
        </w:rPr>
        <w:t xml:space="preserve">Table 1. </w:t>
      </w:r>
      <w:r w:rsidRPr="00AC6B05">
        <w:rPr>
          <w:rFonts w:cs="Times New Roman"/>
        </w:rPr>
        <w:t xml:space="preserve">CG-DPF is evaluated on </w:t>
      </w:r>
      <w:r w:rsidRPr="00AC6B05">
        <w:rPr>
          <w:rFonts w:cs="Times New Roman"/>
          <w:b/>
          <w:bCs/>
        </w:rPr>
        <w:t>eight</w:t>
      </w:r>
      <w:r w:rsidRPr="00AC6B05">
        <w:rPr>
          <w:rFonts w:cs="Times New Roman"/>
        </w:rPr>
        <w:t xml:space="preserve"> survey-scale spectra</w:t>
      </w:r>
      <w:r>
        <w:rPr>
          <w:rFonts w:cs="Times New Roman"/>
        </w:rPr>
        <w:t>.</w:t>
      </w:r>
    </w:p>
    <w:tbl>
      <w:tblPr>
        <w:tblStyle w:val="GridTable1Light"/>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20" w:firstRow="1" w:lastRow="0" w:firstColumn="0" w:lastColumn="0" w:noHBand="0" w:noVBand="0"/>
      </w:tblPr>
      <w:tblGrid>
        <w:gridCol w:w="2562"/>
        <w:gridCol w:w="1897"/>
        <w:gridCol w:w="6453"/>
      </w:tblGrid>
      <w:tr w:rsidR="00DB2913" w:rsidRPr="00AC6B05" w14:paraId="0AEC21A4" w14:textId="77777777" w:rsidTr="00E4515D">
        <w:trPr>
          <w:cnfStyle w:val="100000000000" w:firstRow="1" w:lastRow="0" w:firstColumn="0" w:lastColumn="0" w:oddVBand="0" w:evenVBand="0" w:oddHBand="0" w:evenHBand="0" w:firstRowFirstColumn="0" w:firstRowLastColumn="0" w:lastRowFirstColumn="0" w:lastRowLastColumn="0"/>
        </w:trPr>
        <w:tc>
          <w:tcPr>
            <w:tcW w:w="1859" w:type="dxa"/>
            <w:tcBorders>
              <w:bottom w:val="none" w:sz="0" w:space="0" w:color="auto"/>
            </w:tcBorders>
          </w:tcPr>
          <w:p w14:paraId="4511FE7F" w14:textId="77777777" w:rsidR="00DB2913" w:rsidRPr="00AC6B05" w:rsidRDefault="00000000">
            <w:pPr>
              <w:rPr>
                <w:rFonts w:cs="Times New Roman"/>
              </w:rPr>
            </w:pPr>
            <w:r w:rsidRPr="00AC6B05">
              <w:rPr>
                <w:rFonts w:cs="Times New Roman"/>
              </w:rPr>
              <w:t>Dataset</w:t>
            </w:r>
          </w:p>
        </w:tc>
        <w:tc>
          <w:tcPr>
            <w:tcW w:w="1377" w:type="dxa"/>
            <w:tcBorders>
              <w:bottom w:val="none" w:sz="0" w:space="0" w:color="auto"/>
            </w:tcBorders>
          </w:tcPr>
          <w:p w14:paraId="5E5D1684" w14:textId="77777777" w:rsidR="00DB2913" w:rsidRPr="00AC6B05" w:rsidRDefault="00000000">
            <w:pPr>
              <w:rPr>
                <w:rFonts w:cs="Times New Roman"/>
              </w:rPr>
            </w:pPr>
            <w:r w:rsidRPr="00AC6B05">
              <w:rPr>
                <w:rFonts w:cs="Times New Roman"/>
              </w:rPr>
              <w:t>Source</w:t>
            </w:r>
          </w:p>
        </w:tc>
        <w:tc>
          <w:tcPr>
            <w:tcW w:w="4683" w:type="dxa"/>
            <w:tcBorders>
              <w:bottom w:val="none" w:sz="0" w:space="0" w:color="auto"/>
            </w:tcBorders>
          </w:tcPr>
          <w:p w14:paraId="3435B1A0" w14:textId="77777777" w:rsidR="00DB2913" w:rsidRPr="00AC6B05" w:rsidRDefault="00000000">
            <w:pPr>
              <w:rPr>
                <w:rFonts w:cs="Times New Roman"/>
              </w:rPr>
            </w:pPr>
            <w:r w:rsidRPr="00AC6B05">
              <w:rPr>
                <w:rFonts w:cs="Times New Roman"/>
              </w:rPr>
              <w:t>Role</w:t>
            </w:r>
          </w:p>
        </w:tc>
      </w:tr>
      <w:tr w:rsidR="00DB2913" w:rsidRPr="00AC6B05" w14:paraId="0A662BAD" w14:textId="77777777" w:rsidTr="00E4515D">
        <w:tc>
          <w:tcPr>
            <w:tcW w:w="1859" w:type="dxa"/>
          </w:tcPr>
          <w:p w14:paraId="1FD3543E" w14:textId="77777777" w:rsidR="00DB2913" w:rsidRPr="00AC6B05" w:rsidRDefault="00000000">
            <w:pPr>
              <w:rPr>
                <w:rFonts w:cs="Times New Roman"/>
              </w:rPr>
            </w:pPr>
            <w:r w:rsidRPr="00AC6B05">
              <w:rPr>
                <w:rFonts w:cs="Times New Roman"/>
              </w:rPr>
              <w:t>example_spectrum.csv</w:t>
            </w:r>
          </w:p>
        </w:tc>
        <w:tc>
          <w:tcPr>
            <w:tcW w:w="1377" w:type="dxa"/>
          </w:tcPr>
          <w:p w14:paraId="095382D4" w14:textId="77777777" w:rsidR="00DB2913" w:rsidRPr="00AC6B05" w:rsidRDefault="00000000">
            <w:pPr>
              <w:rPr>
                <w:rFonts w:cs="Times New Roman"/>
              </w:rPr>
            </w:pPr>
            <w:r w:rsidRPr="00AC6B05">
              <w:rPr>
                <w:rFonts w:cs="Times New Roman"/>
              </w:rPr>
              <w:t>In-house benchmark</w:t>
            </w:r>
          </w:p>
        </w:tc>
        <w:tc>
          <w:tcPr>
            <w:tcW w:w="4683" w:type="dxa"/>
          </w:tcPr>
          <w:p w14:paraId="63CEAA3F" w14:textId="77777777" w:rsidR="00DB2913" w:rsidRPr="00AC6B05" w:rsidRDefault="00000000">
            <w:pPr>
              <w:rPr>
                <w:rFonts w:cs="Times New Roman"/>
              </w:rPr>
            </w:pPr>
            <w:r w:rsidRPr="00AC6B05">
              <w:rPr>
                <w:rFonts w:cs="Times New Roman"/>
              </w:rPr>
              <w:t>Primary detailed comparison (40-750 eV, 2841 points, Δ</w:t>
            </w:r>
            <w:r w:rsidRPr="00AC6B05">
              <w:rPr>
                <w:rFonts w:cs="Times New Roman"/>
                <w:i/>
                <w:iCs/>
              </w:rPr>
              <w:t>E</w:t>
            </w:r>
            <w:r w:rsidRPr="00AC6B05">
              <w:rPr>
                <w:rFonts w:cs="Times New Roman"/>
              </w:rPr>
              <w:t xml:space="preserve"> ≈ 0.25 eV)</w:t>
            </w:r>
          </w:p>
        </w:tc>
      </w:tr>
      <w:tr w:rsidR="00DB2913" w:rsidRPr="00AC6B05" w14:paraId="427EFBF2" w14:textId="77777777" w:rsidTr="00E4515D">
        <w:tc>
          <w:tcPr>
            <w:tcW w:w="1859" w:type="dxa"/>
          </w:tcPr>
          <w:p w14:paraId="0CA637D6" w14:textId="77777777" w:rsidR="00DB2913" w:rsidRPr="00AC6B05" w:rsidRDefault="00000000">
            <w:pPr>
              <w:rPr>
                <w:rFonts w:cs="Times New Roman"/>
              </w:rPr>
            </w:pPr>
            <w:r w:rsidRPr="00AC6B05">
              <w:rPr>
                <w:rFonts w:cs="Times New Roman"/>
              </w:rPr>
              <w:t>AS Sample 0-AS Sample 6</w:t>
            </w:r>
          </w:p>
        </w:tc>
        <w:tc>
          <w:tcPr>
            <w:tcW w:w="1377" w:type="dxa"/>
          </w:tcPr>
          <w:p w14:paraId="5FB8B1C1" w14:textId="77777777" w:rsidR="00DB2913" w:rsidRPr="00AC6B05" w:rsidRDefault="00000000">
            <w:pPr>
              <w:rPr>
                <w:rFonts w:cs="Times New Roman"/>
              </w:rPr>
            </w:pPr>
            <w:r w:rsidRPr="00AC6B05">
              <w:rPr>
                <w:rFonts w:cs="Times New Roman"/>
              </w:rPr>
              <w:t xml:space="preserve">Suliga </w:t>
            </w:r>
            <w:r w:rsidRPr="00AC6B05">
              <w:rPr>
                <w:rFonts w:cs="Times New Roman"/>
                <w:i/>
                <w:iCs/>
              </w:rPr>
              <w:t>et al.</w:t>
            </w:r>
            <w:r w:rsidRPr="00AC6B05">
              <w:rPr>
                <w:rFonts w:cs="Times New Roman"/>
              </w:rPr>
              <w:t xml:space="preserve"> [10]</w:t>
            </w:r>
          </w:p>
        </w:tc>
        <w:tc>
          <w:tcPr>
            <w:tcW w:w="4683" w:type="dxa"/>
          </w:tcPr>
          <w:p w14:paraId="4B882EFA" w14:textId="77777777" w:rsidR="00DB2913" w:rsidRPr="00AC6B05" w:rsidRDefault="00000000">
            <w:pPr>
              <w:rPr>
                <w:rFonts w:cs="Times New Roman"/>
              </w:rPr>
            </w:pPr>
            <w:r w:rsidRPr="00AC6B05">
              <w:rPr>
                <w:rFonts w:cs="Times New Roman"/>
              </w:rPr>
              <w:t>External validation (seven independent survey spectra)</w:t>
            </w:r>
          </w:p>
        </w:tc>
      </w:tr>
    </w:tbl>
    <w:p w14:paraId="1C944590" w14:textId="77777777" w:rsidR="00DB2913" w:rsidRPr="00AC6B05" w:rsidRDefault="00000000">
      <w:pPr>
        <w:pStyle w:val="BodyText"/>
        <w:rPr>
          <w:rFonts w:cs="Times New Roman"/>
        </w:rPr>
      </w:pPr>
      <w:r w:rsidRPr="00AC6B05">
        <w:rPr>
          <w:rFonts w:cs="Times New Roman"/>
        </w:rPr>
        <w:t>The in-house spectrum contains Si 2p, Si 2s, C 1s, N 1s, O 1s, and F 1s features on a background from ~1,280 counts (high BE) to &gt;125,000 counts (low BE). High-BE noise σ ≈ 974 counts (bulk SNR ~3.9). This corpus is modest in size (eight spectra) but spans independent survey data suitable for a software-methods paper. The larger corpora with expert-annotated peak lists remain future work (the Discussion section).</w:t>
      </w:r>
    </w:p>
    <w:p w14:paraId="7F3D6632" w14:textId="77777777" w:rsidR="00DB2913" w:rsidRPr="00AC6B05" w:rsidRDefault="00000000">
      <w:pPr>
        <w:pStyle w:val="Heading3"/>
        <w:rPr>
          <w:rFonts w:ascii="Times New Roman" w:hAnsi="Times New Roman" w:cs="Times New Roman"/>
          <w:color w:val="000000" w:themeColor="text1"/>
        </w:rPr>
      </w:pPr>
      <w:bookmarkStart w:id="10" w:name="configuration"/>
      <w:bookmarkEnd w:id="9"/>
      <w:r w:rsidRPr="00AC6B05">
        <w:rPr>
          <w:rFonts w:ascii="Times New Roman" w:hAnsi="Times New Roman" w:cs="Times New Roman"/>
          <w:color w:val="000000" w:themeColor="text1"/>
        </w:rPr>
        <w:lastRenderedPageBreak/>
        <w:t>Configuration</w:t>
      </w:r>
    </w:p>
    <w:p w14:paraId="718697E7" w14:textId="77777777" w:rsidR="00DB2913" w:rsidRPr="00AC6B05" w:rsidRDefault="00000000">
      <w:pPr>
        <w:rPr>
          <w:rFonts w:cs="Times New Roman"/>
        </w:rPr>
      </w:pPr>
      <w:r w:rsidRPr="00AC6B05">
        <w:rPr>
          <w:rFonts w:cs="Times New Roman"/>
          <w:b/>
          <w:bCs/>
        </w:rPr>
        <w:t>CG-DPF defaults:</w:t>
      </w:r>
      <w:r w:rsidRPr="00AC6B05">
        <w:rPr>
          <w:rFonts w:cs="Times New Roman"/>
        </w:rPr>
        <w:t xml:space="preserve"> σ = 8 eV, </w:t>
      </w:r>
      <w:r w:rsidRPr="00AC6B05">
        <w:rPr>
          <w:rFonts w:cs="Times New Roman"/>
          <w:i/>
          <w:iCs/>
        </w:rPr>
        <w:t>k</w:t>
      </w:r>
      <w:r w:rsidRPr="00AC6B05">
        <w:rPr>
          <w:rFonts w:cs="Times New Roman"/>
        </w:rPr>
        <w:t xml:space="preserve"> = 1.0, minimum prominence 0.1% of max intensity, minimum spacing 0.5 eV, configured FWHM bounds 0.2-5.5 eV (UI default 0.2-5.0 eV).</w:t>
      </w:r>
    </w:p>
    <w:p w14:paraId="537E6FFA" w14:textId="77777777" w:rsidR="00DB2913" w:rsidRPr="00AC6B05" w:rsidRDefault="00000000">
      <w:pPr>
        <w:pStyle w:val="BodyText"/>
        <w:rPr>
          <w:rFonts w:cs="Times New Roman"/>
        </w:rPr>
      </w:pPr>
      <w:r w:rsidRPr="00AC6B05">
        <w:rPr>
          <w:rFonts w:cs="Times New Roman"/>
          <w:b/>
          <w:bCs/>
        </w:rPr>
        <w:t>Background subtraction:</w:t>
      </w:r>
      <w:r w:rsidRPr="00AC6B05">
        <w:rPr>
          <w:rFonts w:cs="Times New Roman"/>
        </w:rPr>
        <w:t xml:space="preserve"> All tabulated benchmark deconvolutions used </w:t>
      </w:r>
      <w:r w:rsidRPr="00AC6B05">
        <w:rPr>
          <w:rFonts w:cs="Times New Roman"/>
          <w:b/>
          <w:bCs/>
        </w:rPr>
        <w:t>multi-step sigmoid</w:t>
      </w:r>
      <w:r w:rsidRPr="00AC6B05">
        <w:rPr>
          <w:rFonts w:cs="Times New Roman"/>
        </w:rPr>
        <w:t xml:space="preserve"> background subtraction (linear baseline plus two logistic steps), which better models survey-scale step continua than a single straight line. Shirley [9] and Tougaard [11] models are available in the tool but were not used for the tabulated runs.</w:t>
      </w:r>
    </w:p>
    <w:p w14:paraId="349ABBCA" w14:textId="77777777" w:rsidR="00DB2913" w:rsidRPr="00AC6B05" w:rsidRDefault="00000000">
      <w:pPr>
        <w:pStyle w:val="BodyText"/>
        <w:rPr>
          <w:rFonts w:cs="Times New Roman"/>
        </w:rPr>
      </w:pPr>
      <w:r w:rsidRPr="00AC6B05">
        <w:rPr>
          <w:rFonts w:cs="Times New Roman"/>
          <w:b/>
          <w:bCs/>
        </w:rPr>
        <w:t>Baselines:</w:t>
      </w:r>
      <w:r w:rsidRPr="00AC6B05">
        <w:rPr>
          <w:rFonts w:cs="Times New Roman"/>
        </w:rPr>
        <w:t xml:space="preserve"> (1) unfiltered first-derivative crossings with θ = 0 at σ = 8 (computed via test/k_sensitivity_example.py), (2) adaptive multi-scale detection (Medium and Research presets) [5] and (3) CG-DPF at default and relaxed </w:t>
      </w:r>
      <w:r w:rsidRPr="00AC6B05">
        <w:rPr>
          <w:rFonts w:cs="Times New Roman"/>
          <w:i/>
          <w:iCs/>
        </w:rPr>
        <w:t>k</w:t>
      </w:r>
      <w:r w:rsidRPr="00AC6B05">
        <w:rPr>
          <w:rFonts w:cs="Times New Roman"/>
        </w:rPr>
        <w:t>.</w:t>
      </w:r>
    </w:p>
    <w:p w14:paraId="2F22F26D" w14:textId="77777777" w:rsidR="00DB2913" w:rsidRPr="00AC6B05" w:rsidRDefault="00000000">
      <w:pPr>
        <w:pStyle w:val="Heading3"/>
        <w:rPr>
          <w:rFonts w:ascii="Times New Roman" w:hAnsi="Times New Roman" w:cs="Times New Roman"/>
          <w:color w:val="000000" w:themeColor="text1"/>
        </w:rPr>
      </w:pPr>
      <w:bookmarkStart w:id="11" w:name="metrics-and-evaluation-rationale"/>
      <w:bookmarkEnd w:id="10"/>
      <w:r w:rsidRPr="00AC6B05">
        <w:rPr>
          <w:rFonts w:ascii="Times New Roman" w:hAnsi="Times New Roman" w:cs="Times New Roman"/>
          <w:color w:val="000000" w:themeColor="text1"/>
        </w:rPr>
        <w:t>Metrics and Evaluation Rationale</w:t>
      </w:r>
    </w:p>
    <w:p w14:paraId="6ABB025B" w14:textId="5651A5D7" w:rsidR="00DB2913" w:rsidRPr="00AC6B05" w:rsidRDefault="00000000">
      <w:pPr>
        <w:rPr>
          <w:rFonts w:cs="Times New Roman"/>
        </w:rPr>
      </w:pPr>
      <w:r w:rsidRPr="00AC6B05">
        <w:rPr>
          <w:rFonts w:cs="Times New Roman"/>
          <w:b/>
          <w:bCs/>
        </w:rPr>
        <w:t>Absence of ground truth.</w:t>
      </w:r>
      <w:r w:rsidRPr="00AC6B05">
        <w:rPr>
          <w:rFonts w:cs="Times New Roman"/>
        </w:rPr>
        <w:t xml:space="preserve"> XPS survey spectra generally lack an authoritative, peer-reviewed peak-count reference. Quantitative precision, recall, and F1 against a gold standard are therefore </w:t>
      </w:r>
      <w:r w:rsidRPr="00AC6B05">
        <w:rPr>
          <w:rFonts w:cs="Times New Roman"/>
          <w:b/>
          <w:bCs/>
        </w:rPr>
        <w:t>not reported</w:t>
      </w:r>
      <w:r w:rsidRPr="00AC6B05">
        <w:rPr>
          <w:rFonts w:cs="Times New Roman"/>
        </w:rPr>
        <w:t xml:space="preserve"> in Table </w:t>
      </w:r>
      <w:r w:rsidR="00AC6B05">
        <w:rPr>
          <w:rFonts w:cs="Times New Roman"/>
        </w:rPr>
        <w:t>3</w:t>
      </w:r>
      <w:r w:rsidRPr="00AC6B05">
        <w:rPr>
          <w:rFonts w:cs="Times New Roman"/>
        </w:rPr>
        <w:t>, surrogate metrics are used instead:</w:t>
      </w:r>
    </w:p>
    <w:p w14:paraId="23565732" w14:textId="77777777" w:rsidR="00DB2913" w:rsidRPr="00AC6B05" w:rsidRDefault="00000000">
      <w:pPr>
        <w:numPr>
          <w:ilvl w:val="0"/>
          <w:numId w:val="14"/>
        </w:numPr>
        <w:rPr>
          <w:rFonts w:cs="Times New Roman"/>
        </w:rPr>
      </w:pPr>
      <w:r w:rsidRPr="00AC6B05">
        <w:rPr>
          <w:rFonts w:cs="Times New Roman"/>
          <w:b/>
          <w:bCs/>
        </w:rPr>
        <w:t>Phys. Ratio:</w:t>
      </w:r>
      <w:r w:rsidRPr="00AC6B05">
        <w:rPr>
          <w:rFonts w:cs="Times New Roman"/>
        </w:rPr>
        <w:t xml:space="preserve"> fraction of </w:t>
      </w:r>
      <w:r w:rsidRPr="00AC6B05">
        <w:rPr>
          <w:rFonts w:cs="Times New Roman"/>
          <w:b/>
          <w:bCs/>
        </w:rPr>
        <w:t>fitted</w:t>
      </w:r>
      <w:r w:rsidRPr="00AC6B05">
        <w:rPr>
          <w:rFonts w:cs="Times New Roman"/>
        </w:rPr>
        <w:t xml:space="preserve"> peaks whose FWHM lies within the configured range. This measures compliance with a width prior, </w:t>
      </w:r>
      <w:r w:rsidRPr="00AC6B05">
        <w:rPr>
          <w:rFonts w:cs="Times New Roman"/>
          <w:b/>
          <w:bCs/>
        </w:rPr>
        <w:t>not</w:t>
      </w:r>
      <w:r w:rsidRPr="00AC6B05">
        <w:rPr>
          <w:rFonts w:cs="Times New Roman"/>
        </w:rPr>
        <w:t xml:space="preserve"> chemical correctness or assignment accuracy.</w:t>
      </w:r>
    </w:p>
    <w:p w14:paraId="425BCF7D" w14:textId="77777777" w:rsidR="00DB2913" w:rsidRPr="00AC6B05" w:rsidRDefault="00000000">
      <w:pPr>
        <w:numPr>
          <w:ilvl w:val="0"/>
          <w:numId w:val="14"/>
        </w:numPr>
        <w:rPr>
          <w:rFonts w:cs="Times New Roman"/>
        </w:rPr>
      </w:pPr>
      <w:r w:rsidRPr="00AC6B05">
        <w:rPr>
          <w:rFonts w:cs="Times New Roman"/>
          <w:b/>
          <w:bCs/>
        </w:rPr>
        <w:t>Corr. RMSE / Corr. R²:</w:t>
      </w:r>
      <w:r w:rsidRPr="00AC6B05">
        <w:rPr>
          <w:rFonts w:cs="Times New Roman"/>
        </w:rPr>
        <w:t xml:space="preserve"> reconstruction quality on background-corrected intensities after sequential fitting.</w:t>
      </w:r>
    </w:p>
    <w:p w14:paraId="5733BC56" w14:textId="77777777" w:rsidR="00DB2913" w:rsidRPr="00AC6B05" w:rsidRDefault="00000000">
      <w:pPr>
        <w:numPr>
          <w:ilvl w:val="0"/>
          <w:numId w:val="14"/>
        </w:numPr>
        <w:rPr>
          <w:rFonts w:cs="Times New Roman"/>
        </w:rPr>
      </w:pPr>
      <w:r w:rsidRPr="00AC6B05">
        <w:rPr>
          <w:rFonts w:cs="Times New Roman"/>
          <w:b/>
          <w:bCs/>
        </w:rPr>
        <w:t>Peak count:</w:t>
      </w:r>
      <w:r w:rsidRPr="00AC6B05">
        <w:rPr>
          <w:rFonts w:cs="Times New Roman"/>
        </w:rPr>
        <w:t xml:space="preserve"> number of initialized and fitted components.</w:t>
      </w:r>
    </w:p>
    <w:p w14:paraId="76CD057B" w14:textId="77777777" w:rsidR="00DB2913" w:rsidRPr="00AC6B05" w:rsidRDefault="00000000">
      <w:pPr>
        <w:numPr>
          <w:ilvl w:val="0"/>
          <w:numId w:val="14"/>
        </w:numPr>
        <w:rPr>
          <w:rFonts w:cs="Times New Roman"/>
        </w:rPr>
      </w:pPr>
      <w:r w:rsidRPr="00AC6B05">
        <w:rPr>
          <w:rFonts w:cs="Times New Roman"/>
          <w:b/>
          <w:bCs/>
        </w:rPr>
        <w:t>Timing:</w:t>
      </w:r>
      <w:r w:rsidRPr="00AC6B05">
        <w:rPr>
          <w:rFonts w:cs="Times New Roman"/>
        </w:rPr>
        <w:t xml:space="preserve"> wall-clock detection and process durations from export.</w:t>
      </w:r>
    </w:p>
    <w:p w14:paraId="32584282" w14:textId="77777777" w:rsidR="00DB2913" w:rsidRPr="00AC6B05" w:rsidRDefault="00000000">
      <w:pPr>
        <w:rPr>
          <w:rFonts w:cs="Times New Roman"/>
        </w:rPr>
      </w:pPr>
      <w:r w:rsidRPr="00AC6B05">
        <w:rPr>
          <w:rFonts w:cs="Times New Roman"/>
        </w:rPr>
        <w:t>On the in-house benchmark, six major core levels are identifiable by binding energy [6]. The default CG-DPF recovers five (missing weak N 1s), providing informal support for conservative recall without constituting a formal detection benchmark.</w:t>
      </w:r>
    </w:p>
    <w:p w14:paraId="7EFC54C2" w14:textId="77777777" w:rsidR="00DB2913" w:rsidRPr="00AC6B05" w:rsidRDefault="00000000">
      <w:pPr>
        <w:pStyle w:val="BodyText"/>
        <w:rPr>
          <w:rFonts w:cs="Times New Roman"/>
        </w:rPr>
      </w:pPr>
      <w:r w:rsidRPr="00AC6B05">
        <w:rPr>
          <w:rFonts w:cs="Times New Roman"/>
          <w:b/>
          <w:bCs/>
        </w:rPr>
        <w:t>FWHM bounds.</w:t>
      </w:r>
      <w:r w:rsidRPr="00AC6B05">
        <w:rPr>
          <w:rFonts w:cs="Times New Roman"/>
        </w:rPr>
        <w:t xml:space="preserve"> The lower bound </w:t>
      </w:r>
      <w:r w:rsidRPr="00AC6B05">
        <w:rPr>
          <w:rFonts w:cs="Times New Roman"/>
          <w:b/>
          <w:bCs/>
        </w:rPr>
        <w:t>0.2 eV</w:t>
      </w:r>
      <w:r w:rsidRPr="00AC6B05">
        <w:rPr>
          <w:rFonts w:cs="Times New Roman"/>
        </w:rPr>
        <w:t xml:space="preserve"> is a permissive limit for narrow, well-resolved photoemission lines on modern instruments, the upper bound </w:t>
      </w:r>
      <w:r w:rsidRPr="00AC6B05">
        <w:rPr>
          <w:rFonts w:cs="Times New Roman"/>
          <w:b/>
          <w:bCs/>
        </w:rPr>
        <w:t>5.5 eV</w:t>
      </w:r>
      <w:r w:rsidRPr="00AC6B05">
        <w:rPr>
          <w:rFonts w:cs="Times New Roman"/>
        </w:rPr>
        <w:t xml:space="preserve"> (batch script with UI default 5.0 eV) accommodates broadened or poorly resolved survey features while excluding grossly out-of-range widths. Typical condensed-phase core-level FWHM values fall in the ~0.5-3 eV range for many elements [2,4]. The configured window is intentionally wide so that screening flags widths outside typical instrument/core-level ranges rather than enforcing a tight chemical-state prior. Future work will add area, SNR, and binding-energy priors (the Sequential Fitting Integration section).</w:t>
      </w:r>
    </w:p>
    <w:p w14:paraId="3DAC07D6" w14:textId="6D99F488" w:rsidR="00D91177" w:rsidRPr="00AC6B05" w:rsidRDefault="00D43F14" w:rsidP="00D43F14">
      <w:pPr>
        <w:pStyle w:val="BodyText"/>
        <w:jc w:val="left"/>
        <w:rPr>
          <w:rFonts w:cs="Times New Roman"/>
        </w:rPr>
      </w:pPr>
      <w:r w:rsidRPr="00AC6B05">
        <w:rPr>
          <w:rFonts w:cs="Times New Roman"/>
          <w:b/>
          <w:bCs/>
        </w:rPr>
        <w:t xml:space="preserve">Table </w:t>
      </w:r>
      <w:r w:rsidR="00AC6B05">
        <w:rPr>
          <w:rFonts w:cs="Times New Roman"/>
          <w:b/>
          <w:bCs/>
        </w:rPr>
        <w:t>2</w:t>
      </w:r>
      <w:r w:rsidRPr="00AC6B05">
        <w:rPr>
          <w:rFonts w:cs="Times New Roman"/>
          <w:b/>
          <w:bCs/>
        </w:rPr>
        <w:t xml:space="preserve">. An example (σ = 8, </w:t>
      </w:r>
      <w:r w:rsidRPr="00AC6B05">
        <w:rPr>
          <w:rFonts w:cs="Times New Roman"/>
          <w:b/>
          <w:bCs/>
          <w:i/>
          <w:iCs/>
        </w:rPr>
        <w:t>k</w:t>
      </w:r>
      <w:r w:rsidRPr="00AC6B05">
        <w:rPr>
          <w:rFonts w:cs="Times New Roman"/>
          <w:b/>
          <w:bCs/>
        </w:rPr>
        <w:t xml:space="preserve"> </w:t>
      </w:r>
      <w:r w:rsidRPr="00AD77B2">
        <w:rPr>
          <w:rFonts w:cs="Times New Roman"/>
          <w:b/>
          <w:bCs/>
        </w:rPr>
        <w:t>= 1), multi-step sigmoid background, 5 peaks, all within the FWHM window with Phys. Ratio = 1.00.</w:t>
      </w:r>
      <w:r w:rsidRPr="00AC6B05">
        <w:rPr>
          <w:rFonts w:cs="Times New Roman"/>
        </w:rPr>
        <w:t xml:space="preserve"> </w:t>
      </w:r>
      <w:r w:rsidR="00D91177" w:rsidRPr="00AC6B05">
        <w:rPr>
          <w:rFonts w:cs="Times New Roman"/>
        </w:rPr>
        <w:br/>
      </w:r>
    </w:p>
    <w:tbl>
      <w:tblPr>
        <w:tblW w:w="10697" w:type="dxa"/>
        <w:tblInd w:w="113"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4A0" w:firstRow="1" w:lastRow="0" w:firstColumn="1" w:lastColumn="0" w:noHBand="0" w:noVBand="1"/>
      </w:tblPr>
      <w:tblGrid>
        <w:gridCol w:w="1540"/>
        <w:gridCol w:w="1647"/>
        <w:gridCol w:w="1711"/>
        <w:gridCol w:w="1577"/>
        <w:gridCol w:w="2575"/>
        <w:gridCol w:w="1647"/>
      </w:tblGrid>
      <w:tr w:rsidR="00D91177" w:rsidRPr="00AC6B05" w14:paraId="75DEEDF3" w14:textId="77777777" w:rsidTr="00AC6B05">
        <w:trPr>
          <w:trHeight w:val="309"/>
        </w:trPr>
        <w:tc>
          <w:tcPr>
            <w:tcW w:w="1540" w:type="dxa"/>
            <w:noWrap/>
            <w:hideMark/>
          </w:tcPr>
          <w:p w14:paraId="0BB5771C"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Peak Number</w:t>
            </w:r>
          </w:p>
        </w:tc>
        <w:tc>
          <w:tcPr>
            <w:tcW w:w="1647" w:type="dxa"/>
            <w:noWrap/>
            <w:hideMark/>
          </w:tcPr>
          <w:p w14:paraId="4BA722E5"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Center (eV)</w:t>
            </w:r>
          </w:p>
        </w:tc>
        <w:tc>
          <w:tcPr>
            <w:tcW w:w="1711" w:type="dxa"/>
            <w:noWrap/>
            <w:hideMark/>
          </w:tcPr>
          <w:p w14:paraId="65F28E18"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Amplitude</w:t>
            </w:r>
          </w:p>
        </w:tc>
        <w:tc>
          <w:tcPr>
            <w:tcW w:w="1577" w:type="dxa"/>
            <w:noWrap/>
            <w:hideMark/>
          </w:tcPr>
          <w:p w14:paraId="254225EE"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FWHM (eV)</w:t>
            </w:r>
          </w:p>
        </w:tc>
        <w:tc>
          <w:tcPr>
            <w:tcW w:w="2575" w:type="dxa"/>
            <w:noWrap/>
            <w:hideMark/>
          </w:tcPr>
          <w:p w14:paraId="75B5F4EC"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Physically Reasonable (0.2–5.5 eV)</w:t>
            </w:r>
          </w:p>
        </w:tc>
        <w:tc>
          <w:tcPr>
            <w:tcW w:w="1647" w:type="dxa"/>
            <w:noWrap/>
            <w:hideMark/>
          </w:tcPr>
          <w:p w14:paraId="6081FD4A" w14:textId="77777777" w:rsidR="00D91177" w:rsidRPr="00AC6B05" w:rsidRDefault="00D91177" w:rsidP="00D91177">
            <w:pPr>
              <w:spacing w:before="0" w:after="0"/>
              <w:jc w:val="center"/>
              <w:rPr>
                <w:rFonts w:cs="Times New Roman"/>
                <w:b/>
                <w:bCs/>
                <w:szCs w:val="24"/>
                <w:lang w:val="en-GB" w:eastAsia="en-GB"/>
              </w:rPr>
            </w:pPr>
            <w:r w:rsidRPr="00AC6B05">
              <w:rPr>
                <w:rFonts w:cs="Times New Roman"/>
                <w:b/>
                <w:bCs/>
                <w:szCs w:val="24"/>
                <w:lang w:val="en-GB" w:eastAsia="en-GB"/>
              </w:rPr>
              <w:t>Width σ (eV)</w:t>
            </w:r>
          </w:p>
        </w:tc>
      </w:tr>
      <w:tr w:rsidR="00D91177" w:rsidRPr="00AC6B05" w14:paraId="727081E4" w14:textId="77777777" w:rsidTr="00AC6B05">
        <w:trPr>
          <w:trHeight w:val="309"/>
        </w:trPr>
        <w:tc>
          <w:tcPr>
            <w:tcW w:w="1540" w:type="dxa"/>
            <w:noWrap/>
            <w:vAlign w:val="bottom"/>
            <w:hideMark/>
          </w:tcPr>
          <w:p w14:paraId="045B7CF7"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w:t>
            </w:r>
          </w:p>
        </w:tc>
        <w:tc>
          <w:tcPr>
            <w:tcW w:w="1647" w:type="dxa"/>
            <w:noWrap/>
            <w:vAlign w:val="bottom"/>
            <w:hideMark/>
          </w:tcPr>
          <w:p w14:paraId="44D5C29B"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532.5256999</w:t>
            </w:r>
          </w:p>
        </w:tc>
        <w:tc>
          <w:tcPr>
            <w:tcW w:w="1711" w:type="dxa"/>
            <w:noWrap/>
            <w:vAlign w:val="bottom"/>
            <w:hideMark/>
          </w:tcPr>
          <w:p w14:paraId="57979AF6"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103312.2951</w:t>
            </w:r>
          </w:p>
        </w:tc>
        <w:tc>
          <w:tcPr>
            <w:tcW w:w="1577" w:type="dxa"/>
            <w:noWrap/>
            <w:vAlign w:val="bottom"/>
            <w:hideMark/>
          </w:tcPr>
          <w:p w14:paraId="6E20A35C"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2.4879</w:t>
            </w:r>
          </w:p>
        </w:tc>
        <w:tc>
          <w:tcPr>
            <w:tcW w:w="2575" w:type="dxa"/>
            <w:noWrap/>
            <w:vAlign w:val="bottom"/>
            <w:hideMark/>
          </w:tcPr>
          <w:p w14:paraId="7527F203" w14:textId="77777777" w:rsidR="00D91177" w:rsidRPr="00AC6B05" w:rsidRDefault="00D91177" w:rsidP="00D91177">
            <w:pPr>
              <w:spacing w:before="0" w:after="0"/>
              <w:jc w:val="left"/>
              <w:rPr>
                <w:rFonts w:cs="Times New Roman"/>
                <w:color w:val="000000"/>
                <w:szCs w:val="24"/>
                <w:lang w:val="en-GB" w:eastAsia="en-GB"/>
              </w:rPr>
            </w:pPr>
            <w:r w:rsidRPr="00AC6B05">
              <w:rPr>
                <w:rFonts w:cs="Times New Roman"/>
                <w:color w:val="000000"/>
                <w:szCs w:val="24"/>
                <w:lang w:val="en-GB" w:eastAsia="en-GB"/>
              </w:rPr>
              <w:t>Yes</w:t>
            </w:r>
          </w:p>
        </w:tc>
        <w:tc>
          <w:tcPr>
            <w:tcW w:w="1647" w:type="dxa"/>
            <w:noWrap/>
            <w:vAlign w:val="bottom"/>
            <w:hideMark/>
          </w:tcPr>
          <w:p w14:paraId="187C4505"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1.056493376</w:t>
            </w:r>
          </w:p>
        </w:tc>
      </w:tr>
      <w:tr w:rsidR="00D91177" w:rsidRPr="00AC6B05" w14:paraId="4D5514D5" w14:textId="77777777" w:rsidTr="00AC6B05">
        <w:trPr>
          <w:trHeight w:val="309"/>
        </w:trPr>
        <w:tc>
          <w:tcPr>
            <w:tcW w:w="1540" w:type="dxa"/>
            <w:noWrap/>
            <w:vAlign w:val="bottom"/>
            <w:hideMark/>
          </w:tcPr>
          <w:p w14:paraId="6134070E"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w:t>
            </w:r>
          </w:p>
        </w:tc>
        <w:tc>
          <w:tcPr>
            <w:tcW w:w="1647" w:type="dxa"/>
            <w:noWrap/>
            <w:vAlign w:val="bottom"/>
            <w:hideMark/>
          </w:tcPr>
          <w:p w14:paraId="23FF8E69"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687.9106958</w:t>
            </w:r>
          </w:p>
        </w:tc>
        <w:tc>
          <w:tcPr>
            <w:tcW w:w="1711" w:type="dxa"/>
            <w:noWrap/>
            <w:vAlign w:val="bottom"/>
            <w:hideMark/>
          </w:tcPr>
          <w:p w14:paraId="1E072252"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22978.4212</w:t>
            </w:r>
          </w:p>
        </w:tc>
        <w:tc>
          <w:tcPr>
            <w:tcW w:w="1577" w:type="dxa"/>
            <w:noWrap/>
            <w:vAlign w:val="bottom"/>
            <w:hideMark/>
          </w:tcPr>
          <w:p w14:paraId="12BC64E8"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5.3262</w:t>
            </w:r>
          </w:p>
        </w:tc>
        <w:tc>
          <w:tcPr>
            <w:tcW w:w="2575" w:type="dxa"/>
            <w:noWrap/>
            <w:vAlign w:val="bottom"/>
            <w:hideMark/>
          </w:tcPr>
          <w:p w14:paraId="6077C5D6" w14:textId="77777777" w:rsidR="00D91177" w:rsidRPr="00AC6B05" w:rsidRDefault="00D91177" w:rsidP="00D91177">
            <w:pPr>
              <w:spacing w:before="0" w:after="0"/>
              <w:jc w:val="left"/>
              <w:rPr>
                <w:rFonts w:cs="Times New Roman"/>
                <w:color w:val="000000"/>
                <w:szCs w:val="24"/>
                <w:lang w:val="en-GB" w:eastAsia="en-GB"/>
              </w:rPr>
            </w:pPr>
            <w:r w:rsidRPr="00AC6B05">
              <w:rPr>
                <w:rFonts w:cs="Times New Roman"/>
                <w:color w:val="000000"/>
                <w:szCs w:val="24"/>
                <w:lang w:val="en-GB" w:eastAsia="en-GB"/>
              </w:rPr>
              <w:t>Yes</w:t>
            </w:r>
          </w:p>
        </w:tc>
        <w:tc>
          <w:tcPr>
            <w:tcW w:w="1647" w:type="dxa"/>
            <w:noWrap/>
            <w:vAlign w:val="bottom"/>
            <w:hideMark/>
          </w:tcPr>
          <w:p w14:paraId="6DED8D5D"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2.261844828</w:t>
            </w:r>
          </w:p>
        </w:tc>
      </w:tr>
      <w:tr w:rsidR="00D91177" w:rsidRPr="00AC6B05" w14:paraId="13C64907" w14:textId="77777777" w:rsidTr="00AC6B05">
        <w:trPr>
          <w:trHeight w:val="309"/>
        </w:trPr>
        <w:tc>
          <w:tcPr>
            <w:tcW w:w="1540" w:type="dxa"/>
            <w:noWrap/>
            <w:vAlign w:val="bottom"/>
            <w:hideMark/>
          </w:tcPr>
          <w:p w14:paraId="540D0685"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3</w:t>
            </w:r>
          </w:p>
        </w:tc>
        <w:tc>
          <w:tcPr>
            <w:tcW w:w="1647" w:type="dxa"/>
            <w:noWrap/>
            <w:vAlign w:val="bottom"/>
            <w:hideMark/>
          </w:tcPr>
          <w:p w14:paraId="12BFFFAD"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285.6015587</w:t>
            </w:r>
          </w:p>
        </w:tc>
        <w:tc>
          <w:tcPr>
            <w:tcW w:w="1711" w:type="dxa"/>
            <w:noWrap/>
            <w:vAlign w:val="bottom"/>
            <w:hideMark/>
          </w:tcPr>
          <w:p w14:paraId="6AC03DC7"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29624.95374</w:t>
            </w:r>
          </w:p>
        </w:tc>
        <w:tc>
          <w:tcPr>
            <w:tcW w:w="1577" w:type="dxa"/>
            <w:noWrap/>
            <w:vAlign w:val="bottom"/>
            <w:hideMark/>
          </w:tcPr>
          <w:p w14:paraId="6C0EE264"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2.91</w:t>
            </w:r>
          </w:p>
        </w:tc>
        <w:tc>
          <w:tcPr>
            <w:tcW w:w="2575" w:type="dxa"/>
            <w:noWrap/>
            <w:vAlign w:val="bottom"/>
            <w:hideMark/>
          </w:tcPr>
          <w:p w14:paraId="12101423" w14:textId="77777777" w:rsidR="00D91177" w:rsidRPr="00AC6B05" w:rsidRDefault="00D91177" w:rsidP="00D91177">
            <w:pPr>
              <w:spacing w:before="0" w:after="0"/>
              <w:jc w:val="left"/>
              <w:rPr>
                <w:rFonts w:cs="Times New Roman"/>
                <w:color w:val="000000"/>
                <w:szCs w:val="24"/>
                <w:lang w:val="en-GB" w:eastAsia="en-GB"/>
              </w:rPr>
            </w:pPr>
            <w:r w:rsidRPr="00AC6B05">
              <w:rPr>
                <w:rFonts w:cs="Times New Roman"/>
                <w:color w:val="000000"/>
                <w:szCs w:val="24"/>
                <w:lang w:val="en-GB" w:eastAsia="en-GB"/>
              </w:rPr>
              <w:t>Yes</w:t>
            </w:r>
          </w:p>
        </w:tc>
        <w:tc>
          <w:tcPr>
            <w:tcW w:w="1647" w:type="dxa"/>
            <w:noWrap/>
            <w:vAlign w:val="bottom"/>
            <w:hideMark/>
          </w:tcPr>
          <w:p w14:paraId="0DE1354B"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1.235755566</w:t>
            </w:r>
          </w:p>
        </w:tc>
      </w:tr>
      <w:tr w:rsidR="00D91177" w:rsidRPr="00AC6B05" w14:paraId="50184B9D" w14:textId="77777777" w:rsidTr="00AC6B05">
        <w:trPr>
          <w:trHeight w:val="309"/>
        </w:trPr>
        <w:tc>
          <w:tcPr>
            <w:tcW w:w="1540" w:type="dxa"/>
            <w:noWrap/>
            <w:vAlign w:val="bottom"/>
            <w:hideMark/>
          </w:tcPr>
          <w:p w14:paraId="38EC4FA9"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4</w:t>
            </w:r>
          </w:p>
        </w:tc>
        <w:tc>
          <w:tcPr>
            <w:tcW w:w="1647" w:type="dxa"/>
            <w:noWrap/>
            <w:vAlign w:val="bottom"/>
            <w:hideMark/>
          </w:tcPr>
          <w:p w14:paraId="5CB8D01F"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154.1615011</w:t>
            </w:r>
          </w:p>
        </w:tc>
        <w:tc>
          <w:tcPr>
            <w:tcW w:w="1711" w:type="dxa"/>
            <w:noWrap/>
            <w:vAlign w:val="bottom"/>
            <w:hideMark/>
          </w:tcPr>
          <w:p w14:paraId="39152B46"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17439.17379</w:t>
            </w:r>
          </w:p>
        </w:tc>
        <w:tc>
          <w:tcPr>
            <w:tcW w:w="1577" w:type="dxa"/>
            <w:noWrap/>
            <w:vAlign w:val="bottom"/>
            <w:hideMark/>
          </w:tcPr>
          <w:p w14:paraId="7C29F97D"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3.1539</w:t>
            </w:r>
          </w:p>
        </w:tc>
        <w:tc>
          <w:tcPr>
            <w:tcW w:w="2575" w:type="dxa"/>
            <w:noWrap/>
            <w:vAlign w:val="bottom"/>
            <w:hideMark/>
          </w:tcPr>
          <w:p w14:paraId="7155212D" w14:textId="77777777" w:rsidR="00D91177" w:rsidRPr="00AC6B05" w:rsidRDefault="00D91177" w:rsidP="00D91177">
            <w:pPr>
              <w:spacing w:before="0" w:after="0"/>
              <w:jc w:val="left"/>
              <w:rPr>
                <w:rFonts w:cs="Times New Roman"/>
                <w:color w:val="000000"/>
                <w:szCs w:val="24"/>
                <w:lang w:val="en-GB" w:eastAsia="en-GB"/>
              </w:rPr>
            </w:pPr>
            <w:r w:rsidRPr="00AC6B05">
              <w:rPr>
                <w:rFonts w:cs="Times New Roman"/>
                <w:color w:val="000000"/>
                <w:szCs w:val="24"/>
                <w:lang w:val="en-GB" w:eastAsia="en-GB"/>
              </w:rPr>
              <w:t>Yes</w:t>
            </w:r>
          </w:p>
        </w:tc>
        <w:tc>
          <w:tcPr>
            <w:tcW w:w="1647" w:type="dxa"/>
            <w:noWrap/>
            <w:vAlign w:val="bottom"/>
            <w:hideMark/>
          </w:tcPr>
          <w:p w14:paraId="69E6A36C"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1.33932264</w:t>
            </w:r>
          </w:p>
        </w:tc>
      </w:tr>
      <w:tr w:rsidR="00D91177" w:rsidRPr="00AC6B05" w14:paraId="23A15220" w14:textId="77777777" w:rsidTr="00AC6B05">
        <w:trPr>
          <w:trHeight w:val="309"/>
        </w:trPr>
        <w:tc>
          <w:tcPr>
            <w:tcW w:w="1540" w:type="dxa"/>
            <w:noWrap/>
            <w:vAlign w:val="bottom"/>
            <w:hideMark/>
          </w:tcPr>
          <w:p w14:paraId="4F1996A8"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5</w:t>
            </w:r>
          </w:p>
        </w:tc>
        <w:tc>
          <w:tcPr>
            <w:tcW w:w="1647" w:type="dxa"/>
            <w:noWrap/>
            <w:vAlign w:val="bottom"/>
            <w:hideMark/>
          </w:tcPr>
          <w:p w14:paraId="23B595F5"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103.2546256</w:t>
            </w:r>
          </w:p>
        </w:tc>
        <w:tc>
          <w:tcPr>
            <w:tcW w:w="1711" w:type="dxa"/>
            <w:noWrap/>
            <w:vAlign w:val="bottom"/>
            <w:hideMark/>
          </w:tcPr>
          <w:p w14:paraId="08469333"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21190.11936</w:t>
            </w:r>
          </w:p>
        </w:tc>
        <w:tc>
          <w:tcPr>
            <w:tcW w:w="1577" w:type="dxa"/>
            <w:noWrap/>
            <w:vAlign w:val="bottom"/>
            <w:hideMark/>
          </w:tcPr>
          <w:p w14:paraId="1689D20A"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2.4928</w:t>
            </w:r>
          </w:p>
        </w:tc>
        <w:tc>
          <w:tcPr>
            <w:tcW w:w="2575" w:type="dxa"/>
            <w:noWrap/>
            <w:vAlign w:val="bottom"/>
            <w:hideMark/>
          </w:tcPr>
          <w:p w14:paraId="404B7A30" w14:textId="77777777" w:rsidR="00D91177" w:rsidRPr="00AC6B05" w:rsidRDefault="00D91177" w:rsidP="00D91177">
            <w:pPr>
              <w:spacing w:before="0" w:after="0"/>
              <w:jc w:val="left"/>
              <w:rPr>
                <w:rFonts w:cs="Times New Roman"/>
                <w:color w:val="000000"/>
                <w:szCs w:val="24"/>
                <w:lang w:val="en-GB" w:eastAsia="en-GB"/>
              </w:rPr>
            </w:pPr>
            <w:r w:rsidRPr="00AC6B05">
              <w:rPr>
                <w:rFonts w:cs="Times New Roman"/>
                <w:color w:val="000000"/>
                <w:szCs w:val="24"/>
                <w:lang w:val="en-GB" w:eastAsia="en-GB"/>
              </w:rPr>
              <w:t>Yes</w:t>
            </w:r>
          </w:p>
        </w:tc>
        <w:tc>
          <w:tcPr>
            <w:tcW w:w="1647" w:type="dxa"/>
            <w:noWrap/>
            <w:vAlign w:val="bottom"/>
            <w:hideMark/>
          </w:tcPr>
          <w:p w14:paraId="2A9B51E4" w14:textId="77777777" w:rsidR="00D91177" w:rsidRPr="00AC6B05" w:rsidRDefault="00D91177" w:rsidP="00D91177">
            <w:pPr>
              <w:spacing w:before="0" w:after="0"/>
              <w:jc w:val="right"/>
              <w:rPr>
                <w:rFonts w:cs="Times New Roman"/>
                <w:color w:val="000000"/>
                <w:szCs w:val="24"/>
                <w:lang w:val="en-GB" w:eastAsia="en-GB"/>
              </w:rPr>
            </w:pPr>
            <w:r w:rsidRPr="00AC6B05">
              <w:rPr>
                <w:rFonts w:cs="Times New Roman"/>
                <w:color w:val="000000"/>
                <w:szCs w:val="24"/>
                <w:lang w:val="en-GB" w:eastAsia="en-GB"/>
              </w:rPr>
              <w:t>1.058582832</w:t>
            </w:r>
          </w:p>
        </w:tc>
      </w:tr>
    </w:tbl>
    <w:p w14:paraId="5FE49E0F" w14:textId="77777777" w:rsidR="00DB2913" w:rsidRPr="00AC6B05" w:rsidRDefault="00000000">
      <w:pPr>
        <w:pStyle w:val="BodyText"/>
        <w:rPr>
          <w:rFonts w:cs="Times New Roman"/>
        </w:rPr>
      </w:pPr>
      <w:r w:rsidRPr="00AC6B05">
        <w:rPr>
          <w:rFonts w:cs="Times New Roman"/>
        </w:rPr>
        <w:lastRenderedPageBreak/>
        <w:t xml:space="preserve">Exported workbooks record smoothing σ, standard deviation of d²I/dE², θ, multiplier </w:t>
      </w:r>
      <w:r w:rsidRPr="00AC6B05">
        <w:rPr>
          <w:rFonts w:cs="Times New Roman"/>
          <w:i/>
          <w:iCs/>
        </w:rPr>
        <w:t>k</w:t>
      </w:r>
      <w:r w:rsidRPr="00AC6B05">
        <w:rPr>
          <w:rFonts w:cs="Times New Roman"/>
        </w:rPr>
        <w:t xml:space="preserve"> = (μ − θ)/σI’’, peak parameters, metrics, and embedded chart PNGs (</w:t>
      </w:r>
      <w:r w:rsidRPr="00AC6B05">
        <w:rPr>
          <w:rFonts w:cs="Times New Roman"/>
          <w:b/>
          <w:bCs/>
        </w:rPr>
        <w:t>Input Parameters</w:t>
      </w:r>
      <w:r w:rsidRPr="00AC6B05">
        <w:rPr>
          <w:rFonts w:cs="Times New Roman"/>
        </w:rPr>
        <w:t xml:space="preserve">, </w:t>
      </w:r>
      <w:r w:rsidRPr="00AC6B05">
        <w:rPr>
          <w:rFonts w:cs="Times New Roman"/>
          <w:b/>
          <w:bCs/>
        </w:rPr>
        <w:t>Peak Parameters</w:t>
      </w:r>
      <w:r w:rsidRPr="00AC6B05">
        <w:rPr>
          <w:rFonts w:cs="Times New Roman"/>
        </w:rPr>
        <w:t xml:space="preserve">, </w:t>
      </w:r>
      <w:r w:rsidRPr="00AC6B05">
        <w:rPr>
          <w:rFonts w:cs="Times New Roman"/>
          <w:b/>
          <w:bCs/>
        </w:rPr>
        <w:t>Deconvolution Results</w:t>
      </w:r>
      <w:r w:rsidRPr="00AC6B05">
        <w:rPr>
          <w:rFonts w:cs="Times New Roman"/>
        </w:rPr>
        <w:t xml:space="preserve">, </w:t>
      </w:r>
      <w:r w:rsidRPr="00AC6B05">
        <w:rPr>
          <w:rFonts w:cs="Times New Roman"/>
          <w:b/>
          <w:bCs/>
        </w:rPr>
        <w:t>Charts</w:t>
      </w:r>
      <w:r w:rsidRPr="00AC6B05">
        <w:rPr>
          <w:rFonts w:cs="Times New Roman"/>
        </w:rPr>
        <w:t xml:space="preserve"> sheets).</w:t>
      </w:r>
    </w:p>
    <w:p w14:paraId="60909E15" w14:textId="77777777" w:rsidR="00DB2913" w:rsidRPr="00AC6B05" w:rsidRDefault="00000000">
      <w:pPr>
        <w:pStyle w:val="Heading3"/>
        <w:rPr>
          <w:rFonts w:ascii="Times New Roman" w:hAnsi="Times New Roman" w:cs="Times New Roman"/>
          <w:color w:val="000000" w:themeColor="text1"/>
        </w:rPr>
      </w:pPr>
      <w:bookmarkStart w:id="12" w:name="computing-environment"/>
      <w:bookmarkEnd w:id="11"/>
      <w:r w:rsidRPr="00AC6B05">
        <w:rPr>
          <w:rFonts w:ascii="Times New Roman" w:hAnsi="Times New Roman" w:cs="Times New Roman"/>
          <w:color w:val="000000" w:themeColor="text1"/>
        </w:rPr>
        <w:t>Computing Environment</w:t>
      </w:r>
    </w:p>
    <w:p w14:paraId="270D7667" w14:textId="5D69D25F" w:rsidR="00DB2913" w:rsidRPr="00AC6B05" w:rsidRDefault="00000000">
      <w:pPr>
        <w:rPr>
          <w:rFonts w:cs="Times New Roman"/>
        </w:rPr>
      </w:pPr>
      <w:r w:rsidRPr="00AC6B05">
        <w:rPr>
          <w:rFonts w:cs="Times New Roman"/>
        </w:rPr>
        <w:t xml:space="preserve">Timing values were recorded during batch export on a single workstation: </w:t>
      </w:r>
      <w:r w:rsidRPr="00AC6B05">
        <w:rPr>
          <w:rFonts w:cs="Times New Roman"/>
          <w:b/>
          <w:bCs/>
        </w:rPr>
        <w:t>Windows 10</w:t>
      </w:r>
      <w:r w:rsidRPr="00AC6B05">
        <w:rPr>
          <w:rFonts w:cs="Times New Roman"/>
        </w:rPr>
        <w:t xml:space="preserve"> (build 19041), </w:t>
      </w:r>
      <w:r w:rsidRPr="00AC6B05">
        <w:rPr>
          <w:rFonts w:cs="Times New Roman"/>
          <w:b/>
          <w:bCs/>
        </w:rPr>
        <w:t>AMD64</w:t>
      </w:r>
      <w:r w:rsidRPr="00AC6B05">
        <w:rPr>
          <w:rFonts w:cs="Times New Roman"/>
        </w:rPr>
        <w:t xml:space="preserve"> processor (</w:t>
      </w:r>
      <w:r w:rsidR="00AC6B05">
        <w:rPr>
          <w:rFonts w:cs="Times New Roman"/>
        </w:rPr>
        <w:t xml:space="preserve">R7 5700X, </w:t>
      </w:r>
      <w:r w:rsidRPr="00AC6B05">
        <w:rPr>
          <w:rFonts w:cs="Times New Roman"/>
        </w:rPr>
        <w:t xml:space="preserve">16 logical cores), </w:t>
      </w:r>
      <w:r w:rsidRPr="00AC6B05">
        <w:rPr>
          <w:rFonts w:cs="Times New Roman"/>
          <w:b/>
          <w:bCs/>
        </w:rPr>
        <w:t>Python 3.11</w:t>
      </w:r>
      <w:r w:rsidRPr="00AC6B05">
        <w:rPr>
          <w:rFonts w:cs="Times New Roman"/>
        </w:rPr>
        <w:t xml:space="preserve">, </w:t>
      </w:r>
      <w:r w:rsidRPr="00AC6B05">
        <w:rPr>
          <w:rFonts w:cs="Times New Roman"/>
          <w:b/>
          <w:bCs/>
        </w:rPr>
        <w:t>NumPy 1.26.2</w:t>
      </w:r>
      <w:r w:rsidRPr="00AC6B05">
        <w:rPr>
          <w:rFonts w:cs="Times New Roman"/>
        </w:rPr>
        <w:t xml:space="preserve">, </w:t>
      </w:r>
      <w:r w:rsidRPr="00AC6B05">
        <w:rPr>
          <w:rFonts w:cs="Times New Roman"/>
          <w:b/>
          <w:bCs/>
        </w:rPr>
        <w:t>SciPy 1.11.4</w:t>
      </w:r>
      <w:r w:rsidRPr="00AC6B05">
        <w:rPr>
          <w:rFonts w:cs="Times New Roman"/>
        </w:rPr>
        <w:t xml:space="preserve">. Detection times are wall-clock values from the exported </w:t>
      </w:r>
      <w:r w:rsidRPr="00AC6B05">
        <w:rPr>
          <w:rFonts w:cs="Times New Roman"/>
          <w:b/>
          <w:bCs/>
        </w:rPr>
        <w:t>Peak Detection Time (s)</w:t>
      </w:r>
      <w:r w:rsidRPr="00AC6B05">
        <w:rPr>
          <w:rFonts w:cs="Times New Roman"/>
        </w:rPr>
        <w:t xml:space="preserve"> field (single-process batch run). Absolute </w:t>
      </w:r>
      <w:r w:rsidR="00AD77B2" w:rsidRPr="00AC6B05">
        <w:rPr>
          <w:rFonts w:cs="Times New Roman"/>
        </w:rPr>
        <w:t>timing</w:t>
      </w:r>
      <w:r w:rsidRPr="00AC6B05">
        <w:rPr>
          <w:rFonts w:cs="Times New Roman"/>
        </w:rPr>
        <w:t xml:space="preserve"> will vary with hardware and load. The relative comparison between CG-DPF and Adaptive Detection under identical conditions is the intended use.</w:t>
      </w:r>
    </w:p>
    <w:p w14:paraId="4A84210A" w14:textId="77777777" w:rsidR="00DB2913" w:rsidRPr="00AC6B05" w:rsidRDefault="00000000">
      <w:pPr>
        <w:pStyle w:val="Heading3"/>
        <w:rPr>
          <w:rFonts w:ascii="Times New Roman" w:hAnsi="Times New Roman" w:cs="Times New Roman"/>
          <w:color w:val="000000" w:themeColor="text1"/>
        </w:rPr>
      </w:pPr>
      <w:bookmarkStart w:id="13" w:name="statistical-analysis"/>
      <w:bookmarkEnd w:id="12"/>
      <w:r w:rsidRPr="00AC6B05">
        <w:rPr>
          <w:rFonts w:ascii="Times New Roman" w:hAnsi="Times New Roman" w:cs="Times New Roman"/>
          <w:color w:val="000000" w:themeColor="text1"/>
        </w:rPr>
        <w:t>Statistical Analysis</w:t>
      </w:r>
    </w:p>
    <w:p w14:paraId="49F44B62" w14:textId="77777777" w:rsidR="00DB2913" w:rsidRPr="00AC6B05" w:rsidRDefault="00000000">
      <w:pPr>
        <w:rPr>
          <w:rFonts w:cs="Times New Roman"/>
        </w:rPr>
      </w:pPr>
      <w:r w:rsidRPr="00AC6B05">
        <w:rPr>
          <w:rFonts w:cs="Times New Roman"/>
        </w:rPr>
        <w:t xml:space="preserve">For paired comparisons across the seven Suliga spectra (CG-DPF default vs. Adaptive Medium), </w:t>
      </w:r>
      <w:r w:rsidRPr="00AC6B05">
        <w:rPr>
          <w:rFonts w:cs="Times New Roman"/>
          <w:b/>
          <w:bCs/>
        </w:rPr>
        <w:t xml:space="preserve">paired </w:t>
      </w:r>
      <w:r w:rsidRPr="00AC6B05">
        <w:rPr>
          <w:rFonts w:cs="Times New Roman"/>
          <w:b/>
          <w:bCs/>
          <w:i/>
          <w:iCs/>
        </w:rPr>
        <w:t>t</w:t>
      </w:r>
      <w:r w:rsidRPr="00AC6B05">
        <w:rPr>
          <w:rFonts w:cs="Times New Roman"/>
          <w:b/>
          <w:bCs/>
        </w:rPr>
        <w:t>-tests</w:t>
      </w:r>
      <w:r w:rsidRPr="00AC6B05">
        <w:rPr>
          <w:rFonts w:cs="Times New Roman"/>
        </w:rPr>
        <w:t xml:space="preserve"> and </w:t>
      </w:r>
      <w:r w:rsidRPr="00AC6B05">
        <w:rPr>
          <w:rFonts w:cs="Times New Roman"/>
          <w:b/>
          <w:bCs/>
        </w:rPr>
        <w:t>Wilcoxon signed-rank tests</w:t>
      </w:r>
      <w:r w:rsidRPr="00AC6B05">
        <w:rPr>
          <w:rFonts w:cs="Times New Roman"/>
        </w:rPr>
        <w:t xml:space="preserve"> is reported on per-spectrum Phys. Ratio, peak count, and Corr. R² [3]. Tests are exploratory given </w:t>
      </w:r>
      <w:r w:rsidRPr="00AC6B05">
        <w:rPr>
          <w:rFonts w:cs="Times New Roman"/>
          <w:i/>
          <w:iCs/>
        </w:rPr>
        <w:t>n</w:t>
      </w:r>
      <w:r w:rsidRPr="00AC6B05">
        <w:rPr>
          <w:rFonts w:cs="Times New Roman"/>
        </w:rPr>
        <w:t xml:space="preserve"> = 7 and </w:t>
      </w:r>
      <w:r w:rsidRPr="00AC6B05">
        <w:rPr>
          <w:rFonts w:cs="Times New Roman"/>
          <w:i/>
          <w:iCs/>
        </w:rPr>
        <w:t>p</w:t>
      </w:r>
      <w:r w:rsidRPr="00AC6B05">
        <w:rPr>
          <w:rFonts w:cs="Times New Roman"/>
        </w:rPr>
        <w:t xml:space="preserve"> &lt; 0.05 is noted where applicable.</w:t>
      </w:r>
    </w:p>
    <w:p w14:paraId="3BFCC4C5" w14:textId="77777777" w:rsidR="00DB2913" w:rsidRPr="00AC6B05" w:rsidRDefault="00000000">
      <w:pPr>
        <w:pStyle w:val="Heading2"/>
        <w:rPr>
          <w:rFonts w:cs="Times New Roman"/>
        </w:rPr>
      </w:pPr>
      <w:bookmarkStart w:id="14" w:name="results"/>
      <w:bookmarkEnd w:id="4"/>
      <w:bookmarkEnd w:id="13"/>
      <w:r w:rsidRPr="00AC6B05">
        <w:rPr>
          <w:rFonts w:cs="Times New Roman"/>
        </w:rPr>
        <w:t>RESULTS</w:t>
      </w:r>
    </w:p>
    <w:p w14:paraId="6B158F0F" w14:textId="77777777" w:rsidR="00DB2913" w:rsidRPr="00AC6B05" w:rsidRDefault="00000000">
      <w:pPr>
        <w:pStyle w:val="Heading3"/>
        <w:rPr>
          <w:rFonts w:ascii="Times New Roman" w:hAnsi="Times New Roman" w:cs="Times New Roman"/>
          <w:color w:val="000000" w:themeColor="text1"/>
        </w:rPr>
      </w:pPr>
      <w:bookmarkStart w:id="15" w:name="detection-performance-in-house-benchmark"/>
      <w:r w:rsidRPr="00AC6B05">
        <w:rPr>
          <w:rFonts w:ascii="Times New Roman" w:hAnsi="Times New Roman" w:cs="Times New Roman"/>
          <w:color w:val="000000" w:themeColor="text1"/>
        </w:rPr>
        <w:t>Detection Performance (In-House Benchmark)</w:t>
      </w:r>
    </w:p>
    <w:p w14:paraId="351E15F4" w14:textId="70E41118" w:rsidR="00DB2913" w:rsidRPr="00AC6B05" w:rsidRDefault="00000000">
      <w:pPr>
        <w:rPr>
          <w:rFonts w:cs="Times New Roman"/>
        </w:rPr>
      </w:pPr>
      <w:r w:rsidRPr="00AC6B05">
        <w:rPr>
          <w:rFonts w:cs="Times New Roman"/>
          <w:b/>
          <w:bCs/>
        </w:rPr>
        <w:t xml:space="preserve">Table </w:t>
      </w:r>
      <w:r w:rsidR="00AC6B05">
        <w:rPr>
          <w:rFonts w:cs="Times New Roman"/>
          <w:b/>
          <w:bCs/>
        </w:rPr>
        <w:t>3</w:t>
      </w:r>
      <w:r w:rsidRPr="00AC6B05">
        <w:rPr>
          <w:rFonts w:cs="Times New Roman"/>
          <w:b/>
          <w:bCs/>
        </w:rPr>
        <w:t>.</w:t>
      </w:r>
      <w:r w:rsidRPr="00AC6B05">
        <w:rPr>
          <w:rFonts w:cs="Times New Roman"/>
        </w:rPr>
        <w:t xml:space="preserve"> Detection and fitting comparison on example_spectrum.csv (FWHM range 0.2-5.5 eV, multi-step sigmoid background and values from </w:t>
      </w:r>
      <w:r w:rsidRPr="00AC6B05">
        <w:rPr>
          <w:rFonts w:cs="Times New Roman"/>
          <w:b/>
          <w:bCs/>
        </w:rPr>
        <w:t>Deconvolution Results</w:t>
      </w:r>
      <w:r w:rsidRPr="00AC6B05">
        <w:rPr>
          <w:rFonts w:cs="Times New Roman"/>
        </w:rPr>
        <w:t xml:space="preserve"> sheets in data/results/). Precision, recall, and F1 are omitted because no reference peak list exists for this spectrum (the Metrics section).</w:t>
      </w:r>
    </w:p>
    <w:tbl>
      <w:tblPr>
        <w:tblStyle w:val="GridTable1Light"/>
        <w:tblW w:w="5000" w:type="pct"/>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20" w:firstRow="1" w:lastRow="0" w:firstColumn="0" w:lastColumn="0" w:noHBand="0" w:noVBand="0"/>
      </w:tblPr>
      <w:tblGrid>
        <w:gridCol w:w="3528"/>
        <w:gridCol w:w="1260"/>
        <w:gridCol w:w="2160"/>
        <w:gridCol w:w="1404"/>
        <w:gridCol w:w="1347"/>
        <w:gridCol w:w="1213"/>
      </w:tblGrid>
      <w:tr w:rsidR="00DB2913" w:rsidRPr="00AC6B05" w14:paraId="4D18288E" w14:textId="77777777" w:rsidTr="00AC6B05">
        <w:trPr>
          <w:cnfStyle w:val="100000000000" w:firstRow="1" w:lastRow="0" w:firstColumn="0" w:lastColumn="0" w:oddVBand="0" w:evenVBand="0" w:oddHBand="0" w:evenHBand="0" w:firstRowFirstColumn="0" w:firstRowLastColumn="0" w:lastRowFirstColumn="0" w:lastRowLastColumn="0"/>
        </w:trPr>
        <w:tc>
          <w:tcPr>
            <w:tcW w:w="3528" w:type="dxa"/>
            <w:tcBorders>
              <w:bottom w:val="none" w:sz="0" w:space="0" w:color="auto"/>
            </w:tcBorders>
          </w:tcPr>
          <w:p w14:paraId="5E3D13DF" w14:textId="77777777" w:rsidR="00DB2913" w:rsidRPr="00AC6B05" w:rsidRDefault="00000000">
            <w:pPr>
              <w:rPr>
                <w:rFonts w:cs="Times New Roman"/>
              </w:rPr>
            </w:pPr>
            <w:r w:rsidRPr="00AC6B05">
              <w:rPr>
                <w:rFonts w:cs="Times New Roman"/>
              </w:rPr>
              <w:t>Method</w:t>
            </w:r>
          </w:p>
        </w:tc>
        <w:tc>
          <w:tcPr>
            <w:tcW w:w="1260" w:type="dxa"/>
            <w:tcBorders>
              <w:bottom w:val="none" w:sz="0" w:space="0" w:color="auto"/>
            </w:tcBorders>
          </w:tcPr>
          <w:p w14:paraId="683030DE" w14:textId="77777777" w:rsidR="00DB2913" w:rsidRPr="00AC6B05" w:rsidRDefault="00000000">
            <w:pPr>
              <w:rPr>
                <w:rFonts w:cs="Times New Roman"/>
              </w:rPr>
            </w:pPr>
            <w:r w:rsidRPr="00AC6B05">
              <w:rPr>
                <w:rFonts w:cs="Times New Roman"/>
              </w:rPr>
              <w:t>Peaks</w:t>
            </w:r>
          </w:p>
        </w:tc>
        <w:tc>
          <w:tcPr>
            <w:tcW w:w="2160" w:type="dxa"/>
            <w:tcBorders>
              <w:bottom w:val="none" w:sz="0" w:space="0" w:color="auto"/>
            </w:tcBorders>
          </w:tcPr>
          <w:p w14:paraId="1BCFB334" w14:textId="77777777" w:rsidR="00DB2913" w:rsidRPr="00AC6B05" w:rsidRDefault="00000000">
            <w:pPr>
              <w:rPr>
                <w:rFonts w:cs="Times New Roman"/>
              </w:rPr>
            </w:pPr>
            <w:r w:rsidRPr="00AC6B05">
              <w:rPr>
                <w:rFonts w:cs="Times New Roman"/>
              </w:rPr>
              <w:t>FWHM-compliant</w:t>
            </w:r>
          </w:p>
        </w:tc>
        <w:tc>
          <w:tcPr>
            <w:tcW w:w="1404" w:type="dxa"/>
            <w:tcBorders>
              <w:bottom w:val="none" w:sz="0" w:space="0" w:color="auto"/>
            </w:tcBorders>
          </w:tcPr>
          <w:p w14:paraId="0A1AA3B7" w14:textId="77777777" w:rsidR="00DB2913" w:rsidRPr="00AC6B05" w:rsidRDefault="00000000">
            <w:pPr>
              <w:rPr>
                <w:rFonts w:cs="Times New Roman"/>
              </w:rPr>
            </w:pPr>
            <w:r w:rsidRPr="00AC6B05">
              <w:rPr>
                <w:rFonts w:cs="Times New Roman"/>
              </w:rPr>
              <w:t>Phys. Ratio</w:t>
            </w:r>
          </w:p>
        </w:tc>
        <w:tc>
          <w:tcPr>
            <w:tcW w:w="1347" w:type="dxa"/>
            <w:tcBorders>
              <w:bottom w:val="none" w:sz="0" w:space="0" w:color="auto"/>
            </w:tcBorders>
          </w:tcPr>
          <w:p w14:paraId="3B076472" w14:textId="77777777" w:rsidR="00DB2913" w:rsidRPr="00AC6B05" w:rsidRDefault="00000000">
            <w:pPr>
              <w:rPr>
                <w:rFonts w:cs="Times New Roman"/>
              </w:rPr>
            </w:pPr>
            <w:r w:rsidRPr="00AC6B05">
              <w:rPr>
                <w:rFonts w:cs="Times New Roman"/>
              </w:rPr>
              <w:t>Corr. RMSE</w:t>
            </w:r>
          </w:p>
        </w:tc>
        <w:tc>
          <w:tcPr>
            <w:tcW w:w="1213" w:type="dxa"/>
            <w:tcBorders>
              <w:bottom w:val="none" w:sz="0" w:space="0" w:color="auto"/>
            </w:tcBorders>
          </w:tcPr>
          <w:p w14:paraId="25A52F66" w14:textId="77777777" w:rsidR="00DB2913" w:rsidRPr="00AC6B05" w:rsidRDefault="00000000">
            <w:pPr>
              <w:rPr>
                <w:rFonts w:cs="Times New Roman"/>
              </w:rPr>
            </w:pPr>
            <w:r w:rsidRPr="00AC6B05">
              <w:rPr>
                <w:rFonts w:cs="Times New Roman"/>
              </w:rPr>
              <w:t>Corr. R²</w:t>
            </w:r>
          </w:p>
        </w:tc>
      </w:tr>
      <w:tr w:rsidR="00DB2913" w:rsidRPr="00AC6B05" w14:paraId="142807F5" w14:textId="77777777" w:rsidTr="00AC6B05">
        <w:tc>
          <w:tcPr>
            <w:tcW w:w="3528" w:type="dxa"/>
          </w:tcPr>
          <w:p w14:paraId="32D8BAE2" w14:textId="77777777" w:rsidR="00DB2913" w:rsidRPr="00AC6B05" w:rsidRDefault="00000000">
            <w:pPr>
              <w:rPr>
                <w:rFonts w:cs="Times New Roman"/>
              </w:rPr>
            </w:pPr>
            <w:r w:rsidRPr="00AC6B05">
              <w:rPr>
                <w:rFonts w:cs="Times New Roman"/>
              </w:rPr>
              <w:t>CG-DPF, unfiltered (σ=8, θ=0) †</w:t>
            </w:r>
          </w:p>
        </w:tc>
        <w:tc>
          <w:tcPr>
            <w:tcW w:w="1260" w:type="dxa"/>
          </w:tcPr>
          <w:p w14:paraId="3F864E23" w14:textId="77777777" w:rsidR="00DB2913" w:rsidRPr="00AC6B05" w:rsidRDefault="00000000">
            <w:pPr>
              <w:rPr>
                <w:rFonts w:cs="Times New Roman"/>
              </w:rPr>
            </w:pPr>
            <w:r w:rsidRPr="00AC6B05">
              <w:rPr>
                <w:rFonts w:cs="Times New Roman"/>
              </w:rPr>
              <w:t>47</w:t>
            </w:r>
          </w:p>
        </w:tc>
        <w:tc>
          <w:tcPr>
            <w:tcW w:w="2160" w:type="dxa"/>
          </w:tcPr>
          <w:p w14:paraId="1E706CFC" w14:textId="77777777" w:rsidR="00DB2913" w:rsidRPr="00AC6B05" w:rsidRDefault="00000000">
            <w:pPr>
              <w:rPr>
                <w:rFonts w:cs="Times New Roman"/>
              </w:rPr>
            </w:pPr>
            <w:r w:rsidRPr="00AC6B05">
              <w:rPr>
                <w:rFonts w:cs="Times New Roman"/>
              </w:rPr>
              <w:t>9</w:t>
            </w:r>
          </w:p>
        </w:tc>
        <w:tc>
          <w:tcPr>
            <w:tcW w:w="1404" w:type="dxa"/>
          </w:tcPr>
          <w:p w14:paraId="5A11B1F9" w14:textId="77777777" w:rsidR="00DB2913" w:rsidRPr="00AC6B05" w:rsidRDefault="00000000">
            <w:pPr>
              <w:rPr>
                <w:rFonts w:cs="Times New Roman"/>
              </w:rPr>
            </w:pPr>
            <w:r w:rsidRPr="00AC6B05">
              <w:rPr>
                <w:rFonts w:cs="Times New Roman"/>
              </w:rPr>
              <w:t>0.19</w:t>
            </w:r>
          </w:p>
        </w:tc>
        <w:tc>
          <w:tcPr>
            <w:tcW w:w="1347" w:type="dxa"/>
          </w:tcPr>
          <w:p w14:paraId="73E580A9" w14:textId="77777777" w:rsidR="00DB2913" w:rsidRPr="00AC6B05" w:rsidRDefault="00000000">
            <w:pPr>
              <w:rPr>
                <w:rFonts w:cs="Times New Roman"/>
              </w:rPr>
            </w:pPr>
            <w:r w:rsidRPr="00AC6B05">
              <w:rPr>
                <w:rFonts w:cs="Times New Roman"/>
              </w:rPr>
              <w:t>708.64</w:t>
            </w:r>
          </w:p>
        </w:tc>
        <w:tc>
          <w:tcPr>
            <w:tcW w:w="1213" w:type="dxa"/>
          </w:tcPr>
          <w:p w14:paraId="4685C01E" w14:textId="77777777" w:rsidR="00DB2913" w:rsidRPr="00AC6B05" w:rsidRDefault="00000000">
            <w:pPr>
              <w:rPr>
                <w:rFonts w:cs="Times New Roman"/>
              </w:rPr>
            </w:pPr>
            <w:r w:rsidRPr="00AC6B05">
              <w:rPr>
                <w:rFonts w:cs="Times New Roman"/>
              </w:rPr>
              <w:t>0.986</w:t>
            </w:r>
          </w:p>
        </w:tc>
      </w:tr>
      <w:tr w:rsidR="00DB2913" w:rsidRPr="00AC6B05" w14:paraId="44EBA32D" w14:textId="77777777" w:rsidTr="00AC6B05">
        <w:tc>
          <w:tcPr>
            <w:tcW w:w="3528" w:type="dxa"/>
          </w:tcPr>
          <w:p w14:paraId="5EC5F94D" w14:textId="77777777" w:rsidR="00DB2913" w:rsidRPr="00AC6B05" w:rsidRDefault="00000000">
            <w:pPr>
              <w:rPr>
                <w:rFonts w:cs="Times New Roman"/>
              </w:rPr>
            </w:pPr>
            <w:r w:rsidRPr="00AC6B05">
              <w:rPr>
                <w:rFonts w:cs="Times New Roman"/>
              </w:rPr>
              <w:t xml:space="preserve">CG-DPF, relaxed (σ=8, </w:t>
            </w:r>
            <w:r w:rsidRPr="00AC6B05">
              <w:rPr>
                <w:rFonts w:cs="Times New Roman"/>
                <w:i/>
                <w:iCs/>
              </w:rPr>
              <w:t>k</w:t>
            </w:r>
            <w:r w:rsidRPr="00AC6B05">
              <w:rPr>
                <w:rFonts w:cs="Times New Roman"/>
              </w:rPr>
              <w:t>≈0.32)</w:t>
            </w:r>
          </w:p>
        </w:tc>
        <w:tc>
          <w:tcPr>
            <w:tcW w:w="1260" w:type="dxa"/>
          </w:tcPr>
          <w:p w14:paraId="6BF9DAC2" w14:textId="77777777" w:rsidR="00DB2913" w:rsidRPr="00AC6B05" w:rsidRDefault="00000000">
            <w:pPr>
              <w:rPr>
                <w:rFonts w:cs="Times New Roman"/>
              </w:rPr>
            </w:pPr>
            <w:r w:rsidRPr="00AC6B05">
              <w:rPr>
                <w:rFonts w:cs="Times New Roman"/>
              </w:rPr>
              <w:t>7</w:t>
            </w:r>
          </w:p>
        </w:tc>
        <w:tc>
          <w:tcPr>
            <w:tcW w:w="2160" w:type="dxa"/>
          </w:tcPr>
          <w:p w14:paraId="6B4A31DF" w14:textId="77777777" w:rsidR="00DB2913" w:rsidRPr="00AC6B05" w:rsidRDefault="00000000">
            <w:pPr>
              <w:rPr>
                <w:rFonts w:cs="Times New Roman"/>
              </w:rPr>
            </w:pPr>
            <w:r w:rsidRPr="00AC6B05">
              <w:rPr>
                <w:rFonts w:cs="Times New Roman"/>
              </w:rPr>
              <w:t>7</w:t>
            </w:r>
          </w:p>
        </w:tc>
        <w:tc>
          <w:tcPr>
            <w:tcW w:w="1404" w:type="dxa"/>
          </w:tcPr>
          <w:p w14:paraId="18681959" w14:textId="77777777" w:rsidR="00DB2913" w:rsidRPr="00AC6B05" w:rsidRDefault="00000000">
            <w:pPr>
              <w:rPr>
                <w:rFonts w:cs="Times New Roman"/>
              </w:rPr>
            </w:pPr>
            <w:r w:rsidRPr="00AC6B05">
              <w:rPr>
                <w:rFonts w:cs="Times New Roman"/>
              </w:rPr>
              <w:t>1.00</w:t>
            </w:r>
          </w:p>
        </w:tc>
        <w:tc>
          <w:tcPr>
            <w:tcW w:w="1347" w:type="dxa"/>
          </w:tcPr>
          <w:p w14:paraId="6CA11D02" w14:textId="77777777" w:rsidR="00DB2913" w:rsidRPr="00AC6B05" w:rsidRDefault="00000000">
            <w:pPr>
              <w:rPr>
                <w:rFonts w:cs="Times New Roman"/>
              </w:rPr>
            </w:pPr>
            <w:r w:rsidRPr="00AC6B05">
              <w:rPr>
                <w:rFonts w:cs="Times New Roman"/>
              </w:rPr>
              <w:t>740.54</w:t>
            </w:r>
          </w:p>
        </w:tc>
        <w:tc>
          <w:tcPr>
            <w:tcW w:w="1213" w:type="dxa"/>
          </w:tcPr>
          <w:p w14:paraId="7BE2BFF9" w14:textId="77777777" w:rsidR="00DB2913" w:rsidRPr="00AC6B05" w:rsidRDefault="00000000">
            <w:pPr>
              <w:rPr>
                <w:rFonts w:cs="Times New Roman"/>
              </w:rPr>
            </w:pPr>
            <w:r w:rsidRPr="00AC6B05">
              <w:rPr>
                <w:rFonts w:cs="Times New Roman"/>
              </w:rPr>
              <w:t>0.985</w:t>
            </w:r>
          </w:p>
        </w:tc>
      </w:tr>
      <w:tr w:rsidR="00DB2913" w:rsidRPr="00AC6B05" w14:paraId="1CD33658" w14:textId="77777777" w:rsidTr="00AC6B05">
        <w:tc>
          <w:tcPr>
            <w:tcW w:w="3528" w:type="dxa"/>
          </w:tcPr>
          <w:p w14:paraId="1EDFC898" w14:textId="77777777" w:rsidR="00DB2913" w:rsidRPr="00AC6B05" w:rsidRDefault="00000000">
            <w:pPr>
              <w:rPr>
                <w:rFonts w:cs="Times New Roman"/>
              </w:rPr>
            </w:pPr>
            <w:r w:rsidRPr="00AC6B05">
              <w:rPr>
                <w:rFonts w:cs="Times New Roman"/>
                <w:b/>
                <w:bCs/>
              </w:rPr>
              <w:t xml:space="preserve">CG-DPF, default (σ=8, </w:t>
            </w:r>
            <w:r w:rsidRPr="00AC6B05">
              <w:rPr>
                <w:rFonts w:cs="Times New Roman"/>
                <w:b/>
                <w:bCs/>
                <w:i/>
                <w:iCs/>
              </w:rPr>
              <w:t>k</w:t>
            </w:r>
            <w:r w:rsidRPr="00AC6B05">
              <w:rPr>
                <w:rFonts w:cs="Times New Roman"/>
                <w:b/>
                <w:bCs/>
              </w:rPr>
              <w:t>=1)</w:t>
            </w:r>
          </w:p>
        </w:tc>
        <w:tc>
          <w:tcPr>
            <w:tcW w:w="1260" w:type="dxa"/>
          </w:tcPr>
          <w:p w14:paraId="0A1F417E" w14:textId="77777777" w:rsidR="00DB2913" w:rsidRPr="00AC6B05" w:rsidRDefault="00000000">
            <w:pPr>
              <w:rPr>
                <w:rFonts w:cs="Times New Roman"/>
              </w:rPr>
            </w:pPr>
            <w:r w:rsidRPr="00AC6B05">
              <w:rPr>
                <w:rFonts w:cs="Times New Roman"/>
                <w:b/>
                <w:bCs/>
              </w:rPr>
              <w:t>5</w:t>
            </w:r>
          </w:p>
        </w:tc>
        <w:tc>
          <w:tcPr>
            <w:tcW w:w="2160" w:type="dxa"/>
          </w:tcPr>
          <w:p w14:paraId="6C20432E" w14:textId="77777777" w:rsidR="00DB2913" w:rsidRPr="00AC6B05" w:rsidRDefault="00000000">
            <w:pPr>
              <w:rPr>
                <w:rFonts w:cs="Times New Roman"/>
              </w:rPr>
            </w:pPr>
            <w:r w:rsidRPr="00AC6B05">
              <w:rPr>
                <w:rFonts w:cs="Times New Roman"/>
                <w:b/>
                <w:bCs/>
              </w:rPr>
              <w:t>5</w:t>
            </w:r>
          </w:p>
        </w:tc>
        <w:tc>
          <w:tcPr>
            <w:tcW w:w="1404" w:type="dxa"/>
          </w:tcPr>
          <w:p w14:paraId="2CBE35B2" w14:textId="77777777" w:rsidR="00DB2913" w:rsidRPr="00AC6B05" w:rsidRDefault="00000000">
            <w:pPr>
              <w:rPr>
                <w:rFonts w:cs="Times New Roman"/>
              </w:rPr>
            </w:pPr>
            <w:r w:rsidRPr="00AC6B05">
              <w:rPr>
                <w:rFonts w:cs="Times New Roman"/>
                <w:b/>
                <w:bCs/>
              </w:rPr>
              <w:t>1.00</w:t>
            </w:r>
          </w:p>
        </w:tc>
        <w:tc>
          <w:tcPr>
            <w:tcW w:w="1347" w:type="dxa"/>
          </w:tcPr>
          <w:p w14:paraId="181EBC6B" w14:textId="77777777" w:rsidR="00DB2913" w:rsidRPr="00AC6B05" w:rsidRDefault="00000000">
            <w:pPr>
              <w:rPr>
                <w:rFonts w:cs="Times New Roman"/>
              </w:rPr>
            </w:pPr>
            <w:r w:rsidRPr="00AC6B05">
              <w:rPr>
                <w:rFonts w:cs="Times New Roman"/>
                <w:b/>
                <w:bCs/>
              </w:rPr>
              <w:t>816.42</w:t>
            </w:r>
          </w:p>
        </w:tc>
        <w:tc>
          <w:tcPr>
            <w:tcW w:w="1213" w:type="dxa"/>
          </w:tcPr>
          <w:p w14:paraId="6E2F04AC" w14:textId="77777777" w:rsidR="00DB2913" w:rsidRPr="00AC6B05" w:rsidRDefault="00000000">
            <w:pPr>
              <w:rPr>
                <w:rFonts w:cs="Times New Roman"/>
              </w:rPr>
            </w:pPr>
            <w:r w:rsidRPr="00AC6B05">
              <w:rPr>
                <w:rFonts w:cs="Times New Roman"/>
                <w:b/>
                <w:bCs/>
              </w:rPr>
              <w:t>0.981</w:t>
            </w:r>
          </w:p>
        </w:tc>
      </w:tr>
      <w:tr w:rsidR="00DB2913" w:rsidRPr="00AC6B05" w14:paraId="67E7E075" w14:textId="77777777" w:rsidTr="00AC6B05">
        <w:tc>
          <w:tcPr>
            <w:tcW w:w="3528" w:type="dxa"/>
          </w:tcPr>
          <w:p w14:paraId="6DD88B2F" w14:textId="77777777" w:rsidR="00DB2913" w:rsidRPr="00AC6B05" w:rsidRDefault="00000000">
            <w:pPr>
              <w:rPr>
                <w:rFonts w:cs="Times New Roman"/>
              </w:rPr>
            </w:pPr>
            <w:r w:rsidRPr="00AC6B05">
              <w:rPr>
                <w:rFonts w:cs="Times New Roman"/>
              </w:rPr>
              <w:t>Adaptive, Medium</w:t>
            </w:r>
          </w:p>
        </w:tc>
        <w:tc>
          <w:tcPr>
            <w:tcW w:w="1260" w:type="dxa"/>
          </w:tcPr>
          <w:p w14:paraId="27607346" w14:textId="77777777" w:rsidR="00DB2913" w:rsidRPr="00AC6B05" w:rsidRDefault="00000000">
            <w:pPr>
              <w:rPr>
                <w:rFonts w:cs="Times New Roman"/>
              </w:rPr>
            </w:pPr>
            <w:r w:rsidRPr="00AC6B05">
              <w:rPr>
                <w:rFonts w:cs="Times New Roman"/>
              </w:rPr>
              <w:t>10</w:t>
            </w:r>
          </w:p>
        </w:tc>
        <w:tc>
          <w:tcPr>
            <w:tcW w:w="2160" w:type="dxa"/>
          </w:tcPr>
          <w:p w14:paraId="3A331F2B" w14:textId="77777777" w:rsidR="00DB2913" w:rsidRPr="00AC6B05" w:rsidRDefault="00000000">
            <w:pPr>
              <w:rPr>
                <w:rFonts w:cs="Times New Roman"/>
              </w:rPr>
            </w:pPr>
            <w:r w:rsidRPr="00AC6B05">
              <w:rPr>
                <w:rFonts w:cs="Times New Roman"/>
              </w:rPr>
              <w:t>6</w:t>
            </w:r>
          </w:p>
        </w:tc>
        <w:tc>
          <w:tcPr>
            <w:tcW w:w="1404" w:type="dxa"/>
          </w:tcPr>
          <w:p w14:paraId="563F8D2F" w14:textId="77777777" w:rsidR="00DB2913" w:rsidRPr="00AC6B05" w:rsidRDefault="00000000">
            <w:pPr>
              <w:rPr>
                <w:rFonts w:cs="Times New Roman"/>
              </w:rPr>
            </w:pPr>
            <w:r w:rsidRPr="00AC6B05">
              <w:rPr>
                <w:rFonts w:cs="Times New Roman"/>
              </w:rPr>
              <w:t>0.60</w:t>
            </w:r>
          </w:p>
        </w:tc>
        <w:tc>
          <w:tcPr>
            <w:tcW w:w="1347" w:type="dxa"/>
          </w:tcPr>
          <w:p w14:paraId="5F1838BC" w14:textId="77777777" w:rsidR="00DB2913" w:rsidRPr="00AC6B05" w:rsidRDefault="00000000">
            <w:pPr>
              <w:rPr>
                <w:rFonts w:cs="Times New Roman"/>
              </w:rPr>
            </w:pPr>
            <w:r w:rsidRPr="00AC6B05">
              <w:rPr>
                <w:rFonts w:cs="Times New Roman"/>
              </w:rPr>
              <w:t>814.89</w:t>
            </w:r>
          </w:p>
        </w:tc>
        <w:tc>
          <w:tcPr>
            <w:tcW w:w="1213" w:type="dxa"/>
          </w:tcPr>
          <w:p w14:paraId="3F457D62" w14:textId="77777777" w:rsidR="00DB2913" w:rsidRPr="00AC6B05" w:rsidRDefault="00000000">
            <w:pPr>
              <w:rPr>
                <w:rFonts w:cs="Times New Roman"/>
              </w:rPr>
            </w:pPr>
            <w:r w:rsidRPr="00AC6B05">
              <w:rPr>
                <w:rFonts w:cs="Times New Roman"/>
              </w:rPr>
              <w:t>0.981</w:t>
            </w:r>
          </w:p>
        </w:tc>
      </w:tr>
      <w:tr w:rsidR="00DB2913" w:rsidRPr="00AC6B05" w14:paraId="6695D234" w14:textId="77777777" w:rsidTr="00AC6B05">
        <w:tc>
          <w:tcPr>
            <w:tcW w:w="3528" w:type="dxa"/>
          </w:tcPr>
          <w:p w14:paraId="459AC9C3" w14:textId="77777777" w:rsidR="00DB2913" w:rsidRPr="00AC6B05" w:rsidRDefault="00000000">
            <w:pPr>
              <w:rPr>
                <w:rFonts w:cs="Times New Roman"/>
              </w:rPr>
            </w:pPr>
            <w:r w:rsidRPr="00AC6B05">
              <w:rPr>
                <w:rFonts w:cs="Times New Roman"/>
              </w:rPr>
              <w:t>Adaptive, Research</w:t>
            </w:r>
          </w:p>
        </w:tc>
        <w:tc>
          <w:tcPr>
            <w:tcW w:w="1260" w:type="dxa"/>
          </w:tcPr>
          <w:p w14:paraId="5E3B0ED6" w14:textId="77777777" w:rsidR="00DB2913" w:rsidRPr="00AC6B05" w:rsidRDefault="00000000">
            <w:pPr>
              <w:rPr>
                <w:rFonts w:cs="Times New Roman"/>
              </w:rPr>
            </w:pPr>
            <w:r w:rsidRPr="00AC6B05">
              <w:rPr>
                <w:rFonts w:cs="Times New Roman"/>
              </w:rPr>
              <w:t>120</w:t>
            </w:r>
          </w:p>
        </w:tc>
        <w:tc>
          <w:tcPr>
            <w:tcW w:w="2160" w:type="dxa"/>
          </w:tcPr>
          <w:p w14:paraId="1AB50F25" w14:textId="77777777" w:rsidR="00DB2913" w:rsidRPr="00AC6B05" w:rsidRDefault="00000000">
            <w:pPr>
              <w:rPr>
                <w:rFonts w:cs="Times New Roman"/>
              </w:rPr>
            </w:pPr>
            <w:r w:rsidRPr="00AC6B05">
              <w:rPr>
                <w:rFonts w:cs="Times New Roman"/>
              </w:rPr>
              <w:t>12</w:t>
            </w:r>
          </w:p>
        </w:tc>
        <w:tc>
          <w:tcPr>
            <w:tcW w:w="1404" w:type="dxa"/>
          </w:tcPr>
          <w:p w14:paraId="2F12CB65" w14:textId="77777777" w:rsidR="00DB2913" w:rsidRPr="00AC6B05" w:rsidRDefault="00000000">
            <w:pPr>
              <w:rPr>
                <w:rFonts w:cs="Times New Roman"/>
              </w:rPr>
            </w:pPr>
            <w:r w:rsidRPr="00AC6B05">
              <w:rPr>
                <w:rFonts w:cs="Times New Roman"/>
              </w:rPr>
              <w:t>0.10</w:t>
            </w:r>
          </w:p>
        </w:tc>
        <w:tc>
          <w:tcPr>
            <w:tcW w:w="1347" w:type="dxa"/>
          </w:tcPr>
          <w:p w14:paraId="7F11AA12" w14:textId="77777777" w:rsidR="00DB2913" w:rsidRPr="00AC6B05" w:rsidRDefault="00000000">
            <w:pPr>
              <w:rPr>
                <w:rFonts w:cs="Times New Roman"/>
              </w:rPr>
            </w:pPr>
            <w:r w:rsidRPr="00AC6B05">
              <w:rPr>
                <w:rFonts w:cs="Times New Roman"/>
              </w:rPr>
              <w:t>1138.07</w:t>
            </w:r>
          </w:p>
        </w:tc>
        <w:tc>
          <w:tcPr>
            <w:tcW w:w="1213" w:type="dxa"/>
          </w:tcPr>
          <w:p w14:paraId="63B66036" w14:textId="77777777" w:rsidR="00DB2913" w:rsidRPr="00AC6B05" w:rsidRDefault="00000000">
            <w:pPr>
              <w:rPr>
                <w:rFonts w:cs="Times New Roman"/>
              </w:rPr>
            </w:pPr>
            <w:r w:rsidRPr="00AC6B05">
              <w:rPr>
                <w:rFonts w:cs="Times New Roman"/>
              </w:rPr>
              <w:t>0.963</w:t>
            </w:r>
          </w:p>
        </w:tc>
      </w:tr>
    </w:tbl>
    <w:p w14:paraId="1CAE05E3" w14:textId="77777777" w:rsidR="00DB2913" w:rsidRPr="00AC6B05" w:rsidRDefault="00000000">
      <w:pPr>
        <w:pStyle w:val="BodyText"/>
        <w:rPr>
          <w:rFonts w:cs="Times New Roman"/>
        </w:rPr>
      </w:pPr>
      <w:r w:rsidRPr="00AC6B05">
        <w:rPr>
          <w:rFonts w:cs="Times New Roman"/>
        </w:rPr>
        <w:t>† Unfiltered curvature at σ = 8 (θ = 0), from test/k_sensitivity_example.py.</w:t>
      </w:r>
    </w:p>
    <w:p w14:paraId="5B2485A4" w14:textId="77777777" w:rsidR="00DB2913" w:rsidRPr="00AC6B05" w:rsidRDefault="00000000">
      <w:pPr>
        <w:pStyle w:val="BodyText"/>
        <w:rPr>
          <w:rFonts w:cs="Times New Roman"/>
        </w:rPr>
      </w:pPr>
      <w:r w:rsidRPr="00AC6B05">
        <w:rPr>
          <w:rFonts w:cs="Times New Roman"/>
          <w:b/>
          <w:bCs/>
        </w:rPr>
        <w:t>CG-DPF optimizes conservative initialization rather than maximum residual reduction.</w:t>
      </w:r>
      <w:r w:rsidRPr="00AC6B05">
        <w:rPr>
          <w:rFonts w:cs="Times New Roman"/>
        </w:rPr>
        <w:t xml:space="preserve"> Adaptive Medium achieves comparable R² (0.981 vs. 0.981) but only 60% FWHM compliance, whereas the CG-DPF default retains five major core-level features with Phys. Ratio = 1.0. Unfiltered curvature (θ = 0) detects 47 peaks and only 9 (19%) satisfy the FWHM window despite R² = 0.986 which is indicative of over-parameterization. Adaptive Research detects 120 peaks (12 FWHM-compliant, 10%) with substantially higher fitting time.</w:t>
      </w:r>
    </w:p>
    <w:p w14:paraId="2327DCEA" w14:textId="77777777" w:rsidR="00DB2913" w:rsidRPr="00AC6B05" w:rsidRDefault="00000000">
      <w:pPr>
        <w:pStyle w:val="BodyText"/>
        <w:rPr>
          <w:rFonts w:cs="Times New Roman"/>
        </w:rPr>
      </w:pPr>
      <w:r w:rsidRPr="00AC6B05">
        <w:rPr>
          <w:rFonts w:cs="Times New Roman"/>
        </w:rPr>
        <w:lastRenderedPageBreak/>
        <w:t xml:space="preserve">At default </w:t>
      </w:r>
      <w:r w:rsidRPr="00AC6B05">
        <w:rPr>
          <w:rFonts w:cs="Times New Roman"/>
          <w:i/>
          <w:iCs/>
        </w:rPr>
        <w:t>k</w:t>
      </w:r>
      <w:r w:rsidRPr="00AC6B05">
        <w:rPr>
          <w:rFonts w:cs="Times New Roman"/>
        </w:rPr>
        <w:t xml:space="preserve"> = 1, all five detected peaks (Si 2p, Si 2s, C 1s, O 1s, F 1s) fall within the FWHM window and N 1s (~399 eV) is excluded. Relaxing to </w:t>
      </w:r>
      <w:r w:rsidRPr="00AC6B05">
        <w:rPr>
          <w:rFonts w:cs="Times New Roman"/>
          <w:i/>
          <w:iCs/>
        </w:rPr>
        <w:t>k</w:t>
      </w:r>
      <w:r w:rsidRPr="00AC6B05">
        <w:rPr>
          <w:rFonts w:cs="Times New Roman"/>
        </w:rPr>
        <w:t xml:space="preserve"> ≈ 0.32 (θ ≈ −248 eV²) recovers N 1s at 399.67 eV (FWHM = 3.89 eV) while maintaining Phys. Ratio = 1.0 and R² = 0.985.</w:t>
      </w:r>
    </w:p>
    <w:p w14:paraId="4B52CBE8" w14:textId="77777777" w:rsidR="00DB2913" w:rsidRPr="00AC6B05" w:rsidRDefault="00000000">
      <w:pPr>
        <w:pStyle w:val="Heading3"/>
        <w:rPr>
          <w:rFonts w:ascii="Times New Roman" w:hAnsi="Times New Roman" w:cs="Times New Roman"/>
          <w:color w:val="000000" w:themeColor="text1"/>
        </w:rPr>
      </w:pPr>
      <w:bookmarkStart w:id="16" w:name="multi-spectrum-validation-suliga-dataset"/>
      <w:bookmarkEnd w:id="15"/>
      <w:r w:rsidRPr="00AC6B05">
        <w:rPr>
          <w:rFonts w:ascii="Times New Roman" w:hAnsi="Times New Roman" w:cs="Times New Roman"/>
          <w:color w:val="000000" w:themeColor="text1"/>
        </w:rPr>
        <w:t>Multi-Spectrum Validation (Suliga Dataset)</w:t>
      </w:r>
    </w:p>
    <w:p w14:paraId="42656763" w14:textId="064702E8" w:rsidR="00DB2913" w:rsidRPr="00AD77B2" w:rsidRDefault="00000000">
      <w:pPr>
        <w:rPr>
          <w:rFonts w:cs="Times New Roman"/>
          <w:b/>
          <w:bCs/>
        </w:rPr>
      </w:pPr>
      <w:r w:rsidRPr="00AD77B2">
        <w:rPr>
          <w:rFonts w:cs="Times New Roman"/>
          <w:b/>
          <w:bCs/>
        </w:rPr>
        <w:t xml:space="preserve">Table </w:t>
      </w:r>
      <w:r w:rsidR="00991B3E" w:rsidRPr="00AD77B2">
        <w:rPr>
          <w:rFonts w:cs="Times New Roman"/>
          <w:b/>
          <w:bCs/>
        </w:rPr>
        <w:t>4</w:t>
      </w:r>
      <w:r w:rsidRPr="00AD77B2">
        <w:rPr>
          <w:rFonts w:cs="Times New Roman"/>
          <w:b/>
          <w:bCs/>
        </w:rPr>
        <w:t xml:space="preserve">. Per-spectrum summary for CG-DPF default (σ = 8, </w:t>
      </w:r>
      <w:r w:rsidRPr="00AD77B2">
        <w:rPr>
          <w:rFonts w:cs="Times New Roman"/>
          <w:b/>
          <w:bCs/>
          <w:i/>
          <w:iCs/>
        </w:rPr>
        <w:t>k</w:t>
      </w:r>
      <w:r w:rsidRPr="00AD77B2">
        <w:rPr>
          <w:rFonts w:cs="Times New Roman"/>
          <w:b/>
          <w:bCs/>
        </w:rPr>
        <w:t xml:space="preserve"> = 1) versus Adaptive Medium (multi-step sigmoid background).</w:t>
      </w:r>
    </w:p>
    <w:tbl>
      <w:tblPr>
        <w:tblStyle w:val="GridTable1Light"/>
        <w:tblW w:w="5000" w:type="pct"/>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20" w:firstRow="1" w:lastRow="0" w:firstColumn="0" w:lastColumn="0" w:noHBand="0" w:noVBand="0"/>
      </w:tblPr>
      <w:tblGrid>
        <w:gridCol w:w="1548"/>
        <w:gridCol w:w="1260"/>
        <w:gridCol w:w="1638"/>
        <w:gridCol w:w="1692"/>
        <w:gridCol w:w="1238"/>
        <w:gridCol w:w="2020"/>
        <w:gridCol w:w="1516"/>
      </w:tblGrid>
      <w:tr w:rsidR="00DB2913" w:rsidRPr="00AC6B05" w14:paraId="60DA774C" w14:textId="77777777" w:rsidTr="00D91177">
        <w:trPr>
          <w:cnfStyle w:val="100000000000" w:firstRow="1" w:lastRow="0" w:firstColumn="0" w:lastColumn="0" w:oddVBand="0" w:evenVBand="0" w:oddHBand="0" w:evenHBand="0" w:firstRowFirstColumn="0" w:firstRowLastColumn="0" w:lastRowFirstColumn="0" w:lastRowLastColumn="0"/>
        </w:trPr>
        <w:tc>
          <w:tcPr>
            <w:tcW w:w="1548" w:type="dxa"/>
            <w:tcBorders>
              <w:bottom w:val="none" w:sz="0" w:space="0" w:color="auto"/>
            </w:tcBorders>
          </w:tcPr>
          <w:p w14:paraId="473C0E37" w14:textId="77777777" w:rsidR="00DB2913" w:rsidRPr="00AC6B05" w:rsidRDefault="00000000">
            <w:pPr>
              <w:rPr>
                <w:rFonts w:cs="Times New Roman"/>
              </w:rPr>
            </w:pPr>
            <w:r w:rsidRPr="00AC6B05">
              <w:rPr>
                <w:rFonts w:cs="Times New Roman"/>
              </w:rPr>
              <w:t>Spectrum</w:t>
            </w:r>
          </w:p>
        </w:tc>
        <w:tc>
          <w:tcPr>
            <w:tcW w:w="1260" w:type="dxa"/>
            <w:tcBorders>
              <w:bottom w:val="none" w:sz="0" w:space="0" w:color="auto"/>
            </w:tcBorders>
          </w:tcPr>
          <w:p w14:paraId="65FA383C" w14:textId="77777777" w:rsidR="00DB2913" w:rsidRPr="00AC6B05" w:rsidRDefault="00000000">
            <w:pPr>
              <w:rPr>
                <w:rFonts w:cs="Times New Roman"/>
              </w:rPr>
            </w:pPr>
            <w:r w:rsidRPr="00AC6B05">
              <w:rPr>
                <w:rFonts w:cs="Times New Roman"/>
              </w:rPr>
              <w:t>CG-DPF Peaks</w:t>
            </w:r>
          </w:p>
        </w:tc>
        <w:tc>
          <w:tcPr>
            <w:tcW w:w="1638" w:type="dxa"/>
            <w:tcBorders>
              <w:bottom w:val="none" w:sz="0" w:space="0" w:color="auto"/>
            </w:tcBorders>
          </w:tcPr>
          <w:p w14:paraId="4B4C30FC" w14:textId="77777777" w:rsidR="00DB2913" w:rsidRPr="00AC6B05" w:rsidRDefault="00000000">
            <w:pPr>
              <w:rPr>
                <w:rFonts w:cs="Times New Roman"/>
              </w:rPr>
            </w:pPr>
            <w:r w:rsidRPr="00AC6B05">
              <w:rPr>
                <w:rFonts w:cs="Times New Roman"/>
              </w:rPr>
              <w:t>CG-DPF Phys. Ratio</w:t>
            </w:r>
          </w:p>
        </w:tc>
        <w:tc>
          <w:tcPr>
            <w:tcW w:w="1692" w:type="dxa"/>
            <w:tcBorders>
              <w:bottom w:val="none" w:sz="0" w:space="0" w:color="auto"/>
            </w:tcBorders>
          </w:tcPr>
          <w:p w14:paraId="45000F8F" w14:textId="77777777" w:rsidR="00DB2913" w:rsidRPr="00AC6B05" w:rsidRDefault="00000000">
            <w:pPr>
              <w:rPr>
                <w:rFonts w:cs="Times New Roman"/>
              </w:rPr>
            </w:pPr>
            <w:r w:rsidRPr="00AC6B05">
              <w:rPr>
                <w:rFonts w:cs="Times New Roman"/>
              </w:rPr>
              <w:t>CG-DPF R²</w:t>
            </w:r>
          </w:p>
        </w:tc>
        <w:tc>
          <w:tcPr>
            <w:tcW w:w="1238" w:type="dxa"/>
            <w:tcBorders>
              <w:bottom w:val="none" w:sz="0" w:space="0" w:color="auto"/>
            </w:tcBorders>
          </w:tcPr>
          <w:p w14:paraId="2E61BCE3" w14:textId="77777777" w:rsidR="00DB2913" w:rsidRPr="00AC6B05" w:rsidRDefault="00000000">
            <w:pPr>
              <w:rPr>
                <w:rFonts w:cs="Times New Roman"/>
              </w:rPr>
            </w:pPr>
            <w:r w:rsidRPr="00AC6B05">
              <w:rPr>
                <w:rFonts w:cs="Times New Roman"/>
              </w:rPr>
              <w:t>Adaptive Peaks</w:t>
            </w:r>
          </w:p>
        </w:tc>
        <w:tc>
          <w:tcPr>
            <w:tcW w:w="2020" w:type="dxa"/>
            <w:tcBorders>
              <w:bottom w:val="none" w:sz="0" w:space="0" w:color="auto"/>
            </w:tcBorders>
          </w:tcPr>
          <w:p w14:paraId="7698256E" w14:textId="77777777" w:rsidR="00DB2913" w:rsidRPr="00AC6B05" w:rsidRDefault="00000000">
            <w:pPr>
              <w:rPr>
                <w:rFonts w:cs="Times New Roman"/>
              </w:rPr>
            </w:pPr>
            <w:r w:rsidRPr="00AC6B05">
              <w:rPr>
                <w:rFonts w:cs="Times New Roman"/>
              </w:rPr>
              <w:t>Adaptive Phys. Ratio</w:t>
            </w:r>
          </w:p>
        </w:tc>
        <w:tc>
          <w:tcPr>
            <w:tcW w:w="1516" w:type="dxa"/>
            <w:tcBorders>
              <w:bottom w:val="none" w:sz="0" w:space="0" w:color="auto"/>
            </w:tcBorders>
          </w:tcPr>
          <w:p w14:paraId="45E0EC6A" w14:textId="77777777" w:rsidR="00DB2913" w:rsidRPr="00AC6B05" w:rsidRDefault="00000000">
            <w:pPr>
              <w:rPr>
                <w:rFonts w:cs="Times New Roman"/>
              </w:rPr>
            </w:pPr>
            <w:r w:rsidRPr="00AC6B05">
              <w:rPr>
                <w:rFonts w:cs="Times New Roman"/>
              </w:rPr>
              <w:t>Adaptive R²</w:t>
            </w:r>
          </w:p>
        </w:tc>
      </w:tr>
      <w:tr w:rsidR="00DB2913" w:rsidRPr="00AC6B05" w14:paraId="75D7FB39" w14:textId="77777777" w:rsidTr="00D91177">
        <w:tc>
          <w:tcPr>
            <w:tcW w:w="1548" w:type="dxa"/>
          </w:tcPr>
          <w:p w14:paraId="381F81D1" w14:textId="77777777" w:rsidR="00DB2913" w:rsidRPr="00AC6B05" w:rsidRDefault="00000000">
            <w:pPr>
              <w:rPr>
                <w:rFonts w:cs="Times New Roman"/>
              </w:rPr>
            </w:pPr>
            <w:r w:rsidRPr="00AC6B05">
              <w:rPr>
                <w:rFonts w:cs="Times New Roman"/>
              </w:rPr>
              <w:t>AS Sample 0</w:t>
            </w:r>
          </w:p>
        </w:tc>
        <w:tc>
          <w:tcPr>
            <w:tcW w:w="1260" w:type="dxa"/>
          </w:tcPr>
          <w:p w14:paraId="2BC3F549" w14:textId="77777777" w:rsidR="00DB2913" w:rsidRPr="00AC6B05" w:rsidRDefault="00000000">
            <w:pPr>
              <w:rPr>
                <w:rFonts w:cs="Times New Roman"/>
              </w:rPr>
            </w:pPr>
            <w:r w:rsidRPr="00AC6B05">
              <w:rPr>
                <w:rFonts w:cs="Times New Roman"/>
              </w:rPr>
              <w:t>4</w:t>
            </w:r>
          </w:p>
        </w:tc>
        <w:tc>
          <w:tcPr>
            <w:tcW w:w="1638" w:type="dxa"/>
          </w:tcPr>
          <w:p w14:paraId="17A5BA81" w14:textId="77777777" w:rsidR="00DB2913" w:rsidRPr="00AC6B05" w:rsidRDefault="00000000">
            <w:pPr>
              <w:rPr>
                <w:rFonts w:cs="Times New Roman"/>
              </w:rPr>
            </w:pPr>
            <w:r w:rsidRPr="00AC6B05">
              <w:rPr>
                <w:rFonts w:cs="Times New Roman"/>
              </w:rPr>
              <w:t>0.75</w:t>
            </w:r>
          </w:p>
        </w:tc>
        <w:tc>
          <w:tcPr>
            <w:tcW w:w="1692" w:type="dxa"/>
          </w:tcPr>
          <w:p w14:paraId="4BF09731" w14:textId="77777777" w:rsidR="00DB2913" w:rsidRPr="00AC6B05" w:rsidRDefault="00000000">
            <w:pPr>
              <w:rPr>
                <w:rFonts w:cs="Times New Roman"/>
              </w:rPr>
            </w:pPr>
            <w:r w:rsidRPr="00AC6B05">
              <w:rPr>
                <w:rFonts w:cs="Times New Roman"/>
              </w:rPr>
              <w:t>0.903</w:t>
            </w:r>
          </w:p>
        </w:tc>
        <w:tc>
          <w:tcPr>
            <w:tcW w:w="1238" w:type="dxa"/>
          </w:tcPr>
          <w:p w14:paraId="67E512B5" w14:textId="77777777" w:rsidR="00DB2913" w:rsidRPr="00AC6B05" w:rsidRDefault="00000000">
            <w:pPr>
              <w:rPr>
                <w:rFonts w:cs="Times New Roman"/>
              </w:rPr>
            </w:pPr>
            <w:r w:rsidRPr="00AC6B05">
              <w:rPr>
                <w:rFonts w:cs="Times New Roman"/>
              </w:rPr>
              <w:t>14</w:t>
            </w:r>
          </w:p>
        </w:tc>
        <w:tc>
          <w:tcPr>
            <w:tcW w:w="2020" w:type="dxa"/>
          </w:tcPr>
          <w:p w14:paraId="5A0B96C6" w14:textId="77777777" w:rsidR="00DB2913" w:rsidRPr="00AC6B05" w:rsidRDefault="00000000">
            <w:pPr>
              <w:rPr>
                <w:rFonts w:cs="Times New Roman"/>
              </w:rPr>
            </w:pPr>
            <w:r w:rsidRPr="00AC6B05">
              <w:rPr>
                <w:rFonts w:cs="Times New Roman"/>
              </w:rPr>
              <w:t>0.29</w:t>
            </w:r>
          </w:p>
        </w:tc>
        <w:tc>
          <w:tcPr>
            <w:tcW w:w="1516" w:type="dxa"/>
          </w:tcPr>
          <w:p w14:paraId="09A40EC9" w14:textId="77777777" w:rsidR="00DB2913" w:rsidRPr="00AC6B05" w:rsidRDefault="00000000">
            <w:pPr>
              <w:rPr>
                <w:rFonts w:cs="Times New Roman"/>
              </w:rPr>
            </w:pPr>
            <w:r w:rsidRPr="00AC6B05">
              <w:rPr>
                <w:rFonts w:cs="Times New Roman"/>
              </w:rPr>
              <w:t>0.944</w:t>
            </w:r>
          </w:p>
        </w:tc>
      </w:tr>
      <w:tr w:rsidR="00DB2913" w:rsidRPr="00AC6B05" w14:paraId="7F44D0A8" w14:textId="77777777" w:rsidTr="00D91177">
        <w:tc>
          <w:tcPr>
            <w:tcW w:w="1548" w:type="dxa"/>
          </w:tcPr>
          <w:p w14:paraId="79CDC179" w14:textId="77777777" w:rsidR="00DB2913" w:rsidRPr="00AC6B05" w:rsidRDefault="00000000">
            <w:pPr>
              <w:rPr>
                <w:rFonts w:cs="Times New Roman"/>
              </w:rPr>
            </w:pPr>
            <w:r w:rsidRPr="00AC6B05">
              <w:rPr>
                <w:rFonts w:cs="Times New Roman"/>
              </w:rPr>
              <w:t>AS Sample 1</w:t>
            </w:r>
          </w:p>
        </w:tc>
        <w:tc>
          <w:tcPr>
            <w:tcW w:w="1260" w:type="dxa"/>
          </w:tcPr>
          <w:p w14:paraId="65844441" w14:textId="77777777" w:rsidR="00DB2913" w:rsidRPr="00AC6B05" w:rsidRDefault="00000000">
            <w:pPr>
              <w:rPr>
                <w:rFonts w:cs="Times New Roman"/>
              </w:rPr>
            </w:pPr>
            <w:r w:rsidRPr="00AC6B05">
              <w:rPr>
                <w:rFonts w:cs="Times New Roman"/>
              </w:rPr>
              <w:t>4</w:t>
            </w:r>
          </w:p>
        </w:tc>
        <w:tc>
          <w:tcPr>
            <w:tcW w:w="1638" w:type="dxa"/>
          </w:tcPr>
          <w:p w14:paraId="1E3B50D9" w14:textId="77777777" w:rsidR="00DB2913" w:rsidRPr="00AC6B05" w:rsidRDefault="00000000">
            <w:pPr>
              <w:rPr>
                <w:rFonts w:cs="Times New Roman"/>
              </w:rPr>
            </w:pPr>
            <w:r w:rsidRPr="00AC6B05">
              <w:rPr>
                <w:rFonts w:cs="Times New Roman"/>
              </w:rPr>
              <w:t>0.75</w:t>
            </w:r>
          </w:p>
        </w:tc>
        <w:tc>
          <w:tcPr>
            <w:tcW w:w="1692" w:type="dxa"/>
          </w:tcPr>
          <w:p w14:paraId="64996980" w14:textId="77777777" w:rsidR="00DB2913" w:rsidRPr="00AC6B05" w:rsidRDefault="00000000">
            <w:pPr>
              <w:rPr>
                <w:rFonts w:cs="Times New Roman"/>
              </w:rPr>
            </w:pPr>
            <w:r w:rsidRPr="00AC6B05">
              <w:rPr>
                <w:rFonts w:cs="Times New Roman"/>
              </w:rPr>
              <w:t>0.894</w:t>
            </w:r>
          </w:p>
        </w:tc>
        <w:tc>
          <w:tcPr>
            <w:tcW w:w="1238" w:type="dxa"/>
          </w:tcPr>
          <w:p w14:paraId="6C713714" w14:textId="77777777" w:rsidR="00DB2913" w:rsidRPr="00AC6B05" w:rsidRDefault="00000000">
            <w:pPr>
              <w:rPr>
                <w:rFonts w:cs="Times New Roman"/>
              </w:rPr>
            </w:pPr>
            <w:r w:rsidRPr="00AC6B05">
              <w:rPr>
                <w:rFonts w:cs="Times New Roman"/>
              </w:rPr>
              <w:t>19</w:t>
            </w:r>
          </w:p>
        </w:tc>
        <w:tc>
          <w:tcPr>
            <w:tcW w:w="2020" w:type="dxa"/>
          </w:tcPr>
          <w:p w14:paraId="4E5AE377" w14:textId="77777777" w:rsidR="00DB2913" w:rsidRPr="00AC6B05" w:rsidRDefault="00000000">
            <w:pPr>
              <w:rPr>
                <w:rFonts w:cs="Times New Roman"/>
              </w:rPr>
            </w:pPr>
            <w:r w:rsidRPr="00AC6B05">
              <w:rPr>
                <w:rFonts w:cs="Times New Roman"/>
              </w:rPr>
              <w:t>0.26</w:t>
            </w:r>
          </w:p>
        </w:tc>
        <w:tc>
          <w:tcPr>
            <w:tcW w:w="1516" w:type="dxa"/>
          </w:tcPr>
          <w:p w14:paraId="0FD526F9" w14:textId="77777777" w:rsidR="00DB2913" w:rsidRPr="00AC6B05" w:rsidRDefault="00000000">
            <w:pPr>
              <w:rPr>
                <w:rFonts w:cs="Times New Roman"/>
              </w:rPr>
            </w:pPr>
            <w:r w:rsidRPr="00AC6B05">
              <w:rPr>
                <w:rFonts w:cs="Times New Roman"/>
              </w:rPr>
              <w:t>0.959</w:t>
            </w:r>
          </w:p>
        </w:tc>
      </w:tr>
      <w:tr w:rsidR="00DB2913" w:rsidRPr="00AC6B05" w14:paraId="5374F153" w14:textId="77777777" w:rsidTr="00D91177">
        <w:tc>
          <w:tcPr>
            <w:tcW w:w="1548" w:type="dxa"/>
          </w:tcPr>
          <w:p w14:paraId="0E05B1B3" w14:textId="77777777" w:rsidR="00DB2913" w:rsidRPr="00AC6B05" w:rsidRDefault="00000000">
            <w:pPr>
              <w:rPr>
                <w:rFonts w:cs="Times New Roman"/>
              </w:rPr>
            </w:pPr>
            <w:r w:rsidRPr="00AC6B05">
              <w:rPr>
                <w:rFonts w:cs="Times New Roman"/>
              </w:rPr>
              <w:t>AS Sample 2</w:t>
            </w:r>
          </w:p>
        </w:tc>
        <w:tc>
          <w:tcPr>
            <w:tcW w:w="1260" w:type="dxa"/>
          </w:tcPr>
          <w:p w14:paraId="0B7ECC77" w14:textId="77777777" w:rsidR="00DB2913" w:rsidRPr="00AC6B05" w:rsidRDefault="00000000">
            <w:pPr>
              <w:rPr>
                <w:rFonts w:cs="Times New Roman"/>
              </w:rPr>
            </w:pPr>
            <w:r w:rsidRPr="00AC6B05">
              <w:rPr>
                <w:rFonts w:cs="Times New Roman"/>
              </w:rPr>
              <w:t>6</w:t>
            </w:r>
          </w:p>
        </w:tc>
        <w:tc>
          <w:tcPr>
            <w:tcW w:w="1638" w:type="dxa"/>
          </w:tcPr>
          <w:p w14:paraId="1A7699B2" w14:textId="77777777" w:rsidR="00DB2913" w:rsidRPr="00AC6B05" w:rsidRDefault="00000000">
            <w:pPr>
              <w:rPr>
                <w:rFonts w:cs="Times New Roman"/>
              </w:rPr>
            </w:pPr>
            <w:r w:rsidRPr="00AC6B05">
              <w:rPr>
                <w:rFonts w:cs="Times New Roman"/>
              </w:rPr>
              <w:t>0.50</w:t>
            </w:r>
          </w:p>
        </w:tc>
        <w:tc>
          <w:tcPr>
            <w:tcW w:w="1692" w:type="dxa"/>
          </w:tcPr>
          <w:p w14:paraId="52F2F870" w14:textId="77777777" w:rsidR="00DB2913" w:rsidRPr="00AC6B05" w:rsidRDefault="00000000">
            <w:pPr>
              <w:rPr>
                <w:rFonts w:cs="Times New Roman"/>
              </w:rPr>
            </w:pPr>
            <w:r w:rsidRPr="00AC6B05">
              <w:rPr>
                <w:rFonts w:cs="Times New Roman"/>
              </w:rPr>
              <w:t>0.888</w:t>
            </w:r>
          </w:p>
        </w:tc>
        <w:tc>
          <w:tcPr>
            <w:tcW w:w="1238" w:type="dxa"/>
          </w:tcPr>
          <w:p w14:paraId="4E31B20F" w14:textId="77777777" w:rsidR="00DB2913" w:rsidRPr="00AC6B05" w:rsidRDefault="00000000">
            <w:pPr>
              <w:rPr>
                <w:rFonts w:cs="Times New Roman"/>
              </w:rPr>
            </w:pPr>
            <w:r w:rsidRPr="00AC6B05">
              <w:rPr>
                <w:rFonts w:cs="Times New Roman"/>
              </w:rPr>
              <w:t>23</w:t>
            </w:r>
          </w:p>
        </w:tc>
        <w:tc>
          <w:tcPr>
            <w:tcW w:w="2020" w:type="dxa"/>
          </w:tcPr>
          <w:p w14:paraId="6388CD54" w14:textId="77777777" w:rsidR="00DB2913" w:rsidRPr="00AC6B05" w:rsidRDefault="00000000">
            <w:pPr>
              <w:rPr>
                <w:rFonts w:cs="Times New Roman"/>
              </w:rPr>
            </w:pPr>
            <w:r w:rsidRPr="00AC6B05">
              <w:rPr>
                <w:rFonts w:cs="Times New Roman"/>
              </w:rPr>
              <w:t>0.26</w:t>
            </w:r>
          </w:p>
        </w:tc>
        <w:tc>
          <w:tcPr>
            <w:tcW w:w="1516" w:type="dxa"/>
          </w:tcPr>
          <w:p w14:paraId="1239EE3A" w14:textId="77777777" w:rsidR="00DB2913" w:rsidRPr="00AC6B05" w:rsidRDefault="00000000">
            <w:pPr>
              <w:rPr>
                <w:rFonts w:cs="Times New Roman"/>
              </w:rPr>
            </w:pPr>
            <w:r w:rsidRPr="00AC6B05">
              <w:rPr>
                <w:rFonts w:cs="Times New Roman"/>
              </w:rPr>
              <w:t>0.933</w:t>
            </w:r>
          </w:p>
        </w:tc>
      </w:tr>
      <w:tr w:rsidR="00DB2913" w:rsidRPr="00AC6B05" w14:paraId="5FEB4483" w14:textId="77777777" w:rsidTr="00D91177">
        <w:tc>
          <w:tcPr>
            <w:tcW w:w="1548" w:type="dxa"/>
          </w:tcPr>
          <w:p w14:paraId="485AD737" w14:textId="77777777" w:rsidR="00DB2913" w:rsidRPr="00AC6B05" w:rsidRDefault="00000000">
            <w:pPr>
              <w:rPr>
                <w:rFonts w:cs="Times New Roman"/>
              </w:rPr>
            </w:pPr>
            <w:r w:rsidRPr="00AC6B05">
              <w:rPr>
                <w:rFonts w:cs="Times New Roman"/>
              </w:rPr>
              <w:t>AS Sample 3</w:t>
            </w:r>
          </w:p>
        </w:tc>
        <w:tc>
          <w:tcPr>
            <w:tcW w:w="1260" w:type="dxa"/>
          </w:tcPr>
          <w:p w14:paraId="5FFF3F8E" w14:textId="77777777" w:rsidR="00DB2913" w:rsidRPr="00AC6B05" w:rsidRDefault="00000000">
            <w:pPr>
              <w:rPr>
                <w:rFonts w:cs="Times New Roman"/>
              </w:rPr>
            </w:pPr>
            <w:r w:rsidRPr="00AC6B05">
              <w:rPr>
                <w:rFonts w:cs="Times New Roman"/>
              </w:rPr>
              <w:t>5</w:t>
            </w:r>
          </w:p>
        </w:tc>
        <w:tc>
          <w:tcPr>
            <w:tcW w:w="1638" w:type="dxa"/>
          </w:tcPr>
          <w:p w14:paraId="5E361DF9" w14:textId="77777777" w:rsidR="00DB2913" w:rsidRPr="00AC6B05" w:rsidRDefault="00000000">
            <w:pPr>
              <w:rPr>
                <w:rFonts w:cs="Times New Roman"/>
              </w:rPr>
            </w:pPr>
            <w:r w:rsidRPr="00AC6B05">
              <w:rPr>
                <w:rFonts w:cs="Times New Roman"/>
              </w:rPr>
              <w:t>0.80</w:t>
            </w:r>
          </w:p>
        </w:tc>
        <w:tc>
          <w:tcPr>
            <w:tcW w:w="1692" w:type="dxa"/>
          </w:tcPr>
          <w:p w14:paraId="5D28CF2B" w14:textId="77777777" w:rsidR="00DB2913" w:rsidRPr="00AC6B05" w:rsidRDefault="00000000">
            <w:pPr>
              <w:rPr>
                <w:rFonts w:cs="Times New Roman"/>
              </w:rPr>
            </w:pPr>
            <w:r w:rsidRPr="00AC6B05">
              <w:rPr>
                <w:rFonts w:cs="Times New Roman"/>
              </w:rPr>
              <w:t>0.882</w:t>
            </w:r>
          </w:p>
        </w:tc>
        <w:tc>
          <w:tcPr>
            <w:tcW w:w="1238" w:type="dxa"/>
          </w:tcPr>
          <w:p w14:paraId="01A08C2D" w14:textId="77777777" w:rsidR="00DB2913" w:rsidRPr="00AC6B05" w:rsidRDefault="00000000">
            <w:pPr>
              <w:rPr>
                <w:rFonts w:cs="Times New Roman"/>
              </w:rPr>
            </w:pPr>
            <w:r w:rsidRPr="00AC6B05">
              <w:rPr>
                <w:rFonts w:cs="Times New Roman"/>
              </w:rPr>
              <w:t>20</w:t>
            </w:r>
          </w:p>
        </w:tc>
        <w:tc>
          <w:tcPr>
            <w:tcW w:w="2020" w:type="dxa"/>
          </w:tcPr>
          <w:p w14:paraId="072E4EE0" w14:textId="77777777" w:rsidR="00DB2913" w:rsidRPr="00AC6B05" w:rsidRDefault="00000000">
            <w:pPr>
              <w:rPr>
                <w:rFonts w:cs="Times New Roman"/>
              </w:rPr>
            </w:pPr>
            <w:r w:rsidRPr="00AC6B05">
              <w:rPr>
                <w:rFonts w:cs="Times New Roman"/>
              </w:rPr>
              <w:t>0.25</w:t>
            </w:r>
          </w:p>
        </w:tc>
        <w:tc>
          <w:tcPr>
            <w:tcW w:w="1516" w:type="dxa"/>
          </w:tcPr>
          <w:p w14:paraId="1694A785" w14:textId="77777777" w:rsidR="00DB2913" w:rsidRPr="00AC6B05" w:rsidRDefault="00000000">
            <w:pPr>
              <w:rPr>
                <w:rFonts w:cs="Times New Roman"/>
              </w:rPr>
            </w:pPr>
            <w:r w:rsidRPr="00AC6B05">
              <w:rPr>
                <w:rFonts w:cs="Times New Roman"/>
              </w:rPr>
              <w:t>0.874</w:t>
            </w:r>
          </w:p>
        </w:tc>
      </w:tr>
      <w:tr w:rsidR="00DB2913" w:rsidRPr="00AC6B05" w14:paraId="4FC0C75B" w14:textId="77777777" w:rsidTr="00D91177">
        <w:tc>
          <w:tcPr>
            <w:tcW w:w="1548" w:type="dxa"/>
          </w:tcPr>
          <w:p w14:paraId="5FB037B5" w14:textId="77777777" w:rsidR="00DB2913" w:rsidRPr="00AC6B05" w:rsidRDefault="00000000">
            <w:pPr>
              <w:rPr>
                <w:rFonts w:cs="Times New Roman"/>
              </w:rPr>
            </w:pPr>
            <w:r w:rsidRPr="00AC6B05">
              <w:rPr>
                <w:rFonts w:cs="Times New Roman"/>
              </w:rPr>
              <w:t>AS Sample 4</w:t>
            </w:r>
          </w:p>
        </w:tc>
        <w:tc>
          <w:tcPr>
            <w:tcW w:w="1260" w:type="dxa"/>
          </w:tcPr>
          <w:p w14:paraId="0656024F" w14:textId="77777777" w:rsidR="00DB2913" w:rsidRPr="00AC6B05" w:rsidRDefault="00000000">
            <w:pPr>
              <w:rPr>
                <w:rFonts w:cs="Times New Roman"/>
              </w:rPr>
            </w:pPr>
            <w:r w:rsidRPr="00AC6B05">
              <w:rPr>
                <w:rFonts w:cs="Times New Roman"/>
              </w:rPr>
              <w:t>7</w:t>
            </w:r>
          </w:p>
        </w:tc>
        <w:tc>
          <w:tcPr>
            <w:tcW w:w="1638" w:type="dxa"/>
          </w:tcPr>
          <w:p w14:paraId="2CA3453A" w14:textId="77777777" w:rsidR="00DB2913" w:rsidRPr="00AC6B05" w:rsidRDefault="00000000">
            <w:pPr>
              <w:rPr>
                <w:rFonts w:cs="Times New Roman"/>
              </w:rPr>
            </w:pPr>
            <w:r w:rsidRPr="00AC6B05">
              <w:rPr>
                <w:rFonts w:cs="Times New Roman"/>
              </w:rPr>
              <w:t>0.71</w:t>
            </w:r>
          </w:p>
        </w:tc>
        <w:tc>
          <w:tcPr>
            <w:tcW w:w="1692" w:type="dxa"/>
          </w:tcPr>
          <w:p w14:paraId="0EA38236" w14:textId="77777777" w:rsidR="00DB2913" w:rsidRPr="00AC6B05" w:rsidRDefault="00000000">
            <w:pPr>
              <w:rPr>
                <w:rFonts w:cs="Times New Roman"/>
              </w:rPr>
            </w:pPr>
            <w:r w:rsidRPr="00AC6B05">
              <w:rPr>
                <w:rFonts w:cs="Times New Roman"/>
              </w:rPr>
              <w:t>0.909</w:t>
            </w:r>
          </w:p>
        </w:tc>
        <w:tc>
          <w:tcPr>
            <w:tcW w:w="1238" w:type="dxa"/>
          </w:tcPr>
          <w:p w14:paraId="31C717AD" w14:textId="77777777" w:rsidR="00DB2913" w:rsidRPr="00AC6B05" w:rsidRDefault="00000000">
            <w:pPr>
              <w:rPr>
                <w:rFonts w:cs="Times New Roman"/>
              </w:rPr>
            </w:pPr>
            <w:r w:rsidRPr="00AC6B05">
              <w:rPr>
                <w:rFonts w:cs="Times New Roman"/>
              </w:rPr>
              <w:t>22</w:t>
            </w:r>
          </w:p>
        </w:tc>
        <w:tc>
          <w:tcPr>
            <w:tcW w:w="2020" w:type="dxa"/>
          </w:tcPr>
          <w:p w14:paraId="3DE41B51" w14:textId="77777777" w:rsidR="00DB2913" w:rsidRPr="00AC6B05" w:rsidRDefault="00000000">
            <w:pPr>
              <w:rPr>
                <w:rFonts w:cs="Times New Roman"/>
              </w:rPr>
            </w:pPr>
            <w:r w:rsidRPr="00AC6B05">
              <w:rPr>
                <w:rFonts w:cs="Times New Roman"/>
              </w:rPr>
              <w:t>0.41</w:t>
            </w:r>
          </w:p>
        </w:tc>
        <w:tc>
          <w:tcPr>
            <w:tcW w:w="1516" w:type="dxa"/>
          </w:tcPr>
          <w:p w14:paraId="72F8D999" w14:textId="77777777" w:rsidR="00DB2913" w:rsidRPr="00AC6B05" w:rsidRDefault="00000000">
            <w:pPr>
              <w:rPr>
                <w:rFonts w:cs="Times New Roman"/>
              </w:rPr>
            </w:pPr>
            <w:r w:rsidRPr="00AC6B05">
              <w:rPr>
                <w:rFonts w:cs="Times New Roman"/>
              </w:rPr>
              <w:t>0.902</w:t>
            </w:r>
          </w:p>
        </w:tc>
      </w:tr>
      <w:tr w:rsidR="00DB2913" w:rsidRPr="00AC6B05" w14:paraId="05EBE844" w14:textId="77777777" w:rsidTr="00D91177">
        <w:tc>
          <w:tcPr>
            <w:tcW w:w="1548" w:type="dxa"/>
          </w:tcPr>
          <w:p w14:paraId="31ACC2CE" w14:textId="77777777" w:rsidR="00DB2913" w:rsidRPr="00AC6B05" w:rsidRDefault="00000000">
            <w:pPr>
              <w:rPr>
                <w:rFonts w:cs="Times New Roman"/>
              </w:rPr>
            </w:pPr>
            <w:r w:rsidRPr="00AC6B05">
              <w:rPr>
                <w:rFonts w:cs="Times New Roman"/>
              </w:rPr>
              <w:t>AS Sample 5</w:t>
            </w:r>
          </w:p>
        </w:tc>
        <w:tc>
          <w:tcPr>
            <w:tcW w:w="1260" w:type="dxa"/>
          </w:tcPr>
          <w:p w14:paraId="4BBA1D05" w14:textId="77777777" w:rsidR="00DB2913" w:rsidRPr="00AC6B05" w:rsidRDefault="00000000">
            <w:pPr>
              <w:rPr>
                <w:rFonts w:cs="Times New Roman"/>
              </w:rPr>
            </w:pPr>
            <w:r w:rsidRPr="00AC6B05">
              <w:rPr>
                <w:rFonts w:cs="Times New Roman"/>
              </w:rPr>
              <w:t>4</w:t>
            </w:r>
          </w:p>
        </w:tc>
        <w:tc>
          <w:tcPr>
            <w:tcW w:w="1638" w:type="dxa"/>
          </w:tcPr>
          <w:p w14:paraId="3DF82DE5" w14:textId="77777777" w:rsidR="00DB2913" w:rsidRPr="00AC6B05" w:rsidRDefault="00000000">
            <w:pPr>
              <w:rPr>
                <w:rFonts w:cs="Times New Roman"/>
              </w:rPr>
            </w:pPr>
            <w:r w:rsidRPr="00AC6B05">
              <w:rPr>
                <w:rFonts w:cs="Times New Roman"/>
              </w:rPr>
              <w:t>0.75</w:t>
            </w:r>
          </w:p>
        </w:tc>
        <w:tc>
          <w:tcPr>
            <w:tcW w:w="1692" w:type="dxa"/>
          </w:tcPr>
          <w:p w14:paraId="7505854D" w14:textId="77777777" w:rsidR="00DB2913" w:rsidRPr="00AC6B05" w:rsidRDefault="00000000">
            <w:pPr>
              <w:rPr>
                <w:rFonts w:cs="Times New Roman"/>
              </w:rPr>
            </w:pPr>
            <w:r w:rsidRPr="00AC6B05">
              <w:rPr>
                <w:rFonts w:cs="Times New Roman"/>
              </w:rPr>
              <w:t>0.896</w:t>
            </w:r>
          </w:p>
        </w:tc>
        <w:tc>
          <w:tcPr>
            <w:tcW w:w="1238" w:type="dxa"/>
          </w:tcPr>
          <w:p w14:paraId="6FD7D661" w14:textId="77777777" w:rsidR="00DB2913" w:rsidRPr="00AC6B05" w:rsidRDefault="00000000">
            <w:pPr>
              <w:rPr>
                <w:rFonts w:cs="Times New Roman"/>
              </w:rPr>
            </w:pPr>
            <w:r w:rsidRPr="00AC6B05">
              <w:rPr>
                <w:rFonts w:cs="Times New Roman"/>
              </w:rPr>
              <w:t>21</w:t>
            </w:r>
          </w:p>
        </w:tc>
        <w:tc>
          <w:tcPr>
            <w:tcW w:w="2020" w:type="dxa"/>
          </w:tcPr>
          <w:p w14:paraId="4648275F" w14:textId="77777777" w:rsidR="00DB2913" w:rsidRPr="00AC6B05" w:rsidRDefault="00000000">
            <w:pPr>
              <w:rPr>
                <w:rFonts w:cs="Times New Roman"/>
              </w:rPr>
            </w:pPr>
            <w:r w:rsidRPr="00AC6B05">
              <w:rPr>
                <w:rFonts w:cs="Times New Roman"/>
              </w:rPr>
              <w:t>0.29</w:t>
            </w:r>
          </w:p>
        </w:tc>
        <w:tc>
          <w:tcPr>
            <w:tcW w:w="1516" w:type="dxa"/>
          </w:tcPr>
          <w:p w14:paraId="591B4326" w14:textId="77777777" w:rsidR="00DB2913" w:rsidRPr="00AC6B05" w:rsidRDefault="00000000">
            <w:pPr>
              <w:rPr>
                <w:rFonts w:cs="Times New Roman"/>
              </w:rPr>
            </w:pPr>
            <w:r w:rsidRPr="00AC6B05">
              <w:rPr>
                <w:rFonts w:cs="Times New Roman"/>
              </w:rPr>
              <w:t>0.951</w:t>
            </w:r>
          </w:p>
        </w:tc>
      </w:tr>
      <w:tr w:rsidR="00DB2913" w:rsidRPr="00AC6B05" w14:paraId="067A42ED" w14:textId="77777777" w:rsidTr="00D91177">
        <w:tc>
          <w:tcPr>
            <w:tcW w:w="1548" w:type="dxa"/>
          </w:tcPr>
          <w:p w14:paraId="463A3BEA" w14:textId="77777777" w:rsidR="00DB2913" w:rsidRPr="00AC6B05" w:rsidRDefault="00000000">
            <w:pPr>
              <w:rPr>
                <w:rFonts w:cs="Times New Roman"/>
              </w:rPr>
            </w:pPr>
            <w:r w:rsidRPr="00AC6B05">
              <w:rPr>
                <w:rFonts w:cs="Times New Roman"/>
              </w:rPr>
              <w:t>AS Sample 6</w:t>
            </w:r>
          </w:p>
        </w:tc>
        <w:tc>
          <w:tcPr>
            <w:tcW w:w="1260" w:type="dxa"/>
          </w:tcPr>
          <w:p w14:paraId="43195739" w14:textId="77777777" w:rsidR="00DB2913" w:rsidRPr="00AC6B05" w:rsidRDefault="00000000">
            <w:pPr>
              <w:rPr>
                <w:rFonts w:cs="Times New Roman"/>
              </w:rPr>
            </w:pPr>
            <w:r w:rsidRPr="00AC6B05">
              <w:rPr>
                <w:rFonts w:cs="Times New Roman"/>
              </w:rPr>
              <w:t>6</w:t>
            </w:r>
          </w:p>
        </w:tc>
        <w:tc>
          <w:tcPr>
            <w:tcW w:w="1638" w:type="dxa"/>
          </w:tcPr>
          <w:p w14:paraId="3E341008" w14:textId="77777777" w:rsidR="00DB2913" w:rsidRPr="00AC6B05" w:rsidRDefault="00000000">
            <w:pPr>
              <w:rPr>
                <w:rFonts w:cs="Times New Roman"/>
              </w:rPr>
            </w:pPr>
            <w:r w:rsidRPr="00AC6B05">
              <w:rPr>
                <w:rFonts w:cs="Times New Roman"/>
              </w:rPr>
              <w:t>0.33</w:t>
            </w:r>
          </w:p>
        </w:tc>
        <w:tc>
          <w:tcPr>
            <w:tcW w:w="1692" w:type="dxa"/>
          </w:tcPr>
          <w:p w14:paraId="6E57D314" w14:textId="77777777" w:rsidR="00DB2913" w:rsidRPr="00AC6B05" w:rsidRDefault="00000000">
            <w:pPr>
              <w:rPr>
                <w:rFonts w:cs="Times New Roman"/>
              </w:rPr>
            </w:pPr>
            <w:r w:rsidRPr="00AC6B05">
              <w:rPr>
                <w:rFonts w:cs="Times New Roman"/>
              </w:rPr>
              <w:t>0.871</w:t>
            </w:r>
          </w:p>
        </w:tc>
        <w:tc>
          <w:tcPr>
            <w:tcW w:w="1238" w:type="dxa"/>
          </w:tcPr>
          <w:p w14:paraId="3A498DBE" w14:textId="77777777" w:rsidR="00DB2913" w:rsidRPr="00AC6B05" w:rsidRDefault="00000000">
            <w:pPr>
              <w:rPr>
                <w:rFonts w:cs="Times New Roman"/>
              </w:rPr>
            </w:pPr>
            <w:r w:rsidRPr="00AC6B05">
              <w:rPr>
                <w:rFonts w:cs="Times New Roman"/>
              </w:rPr>
              <w:t>20</w:t>
            </w:r>
          </w:p>
        </w:tc>
        <w:tc>
          <w:tcPr>
            <w:tcW w:w="2020" w:type="dxa"/>
          </w:tcPr>
          <w:p w14:paraId="32CF8605" w14:textId="77777777" w:rsidR="00DB2913" w:rsidRPr="00AC6B05" w:rsidRDefault="00000000">
            <w:pPr>
              <w:rPr>
                <w:rFonts w:cs="Times New Roman"/>
              </w:rPr>
            </w:pPr>
            <w:r w:rsidRPr="00AC6B05">
              <w:rPr>
                <w:rFonts w:cs="Times New Roman"/>
              </w:rPr>
              <w:t>0.35</w:t>
            </w:r>
          </w:p>
        </w:tc>
        <w:tc>
          <w:tcPr>
            <w:tcW w:w="1516" w:type="dxa"/>
          </w:tcPr>
          <w:p w14:paraId="5E55390B" w14:textId="77777777" w:rsidR="00DB2913" w:rsidRPr="00AC6B05" w:rsidRDefault="00000000">
            <w:pPr>
              <w:rPr>
                <w:rFonts w:cs="Times New Roman"/>
              </w:rPr>
            </w:pPr>
            <w:r w:rsidRPr="00AC6B05">
              <w:rPr>
                <w:rFonts w:cs="Times New Roman"/>
              </w:rPr>
              <w:t>0.878</w:t>
            </w:r>
          </w:p>
        </w:tc>
      </w:tr>
      <w:tr w:rsidR="00DB2913" w:rsidRPr="00AC6B05" w14:paraId="4D65A147" w14:textId="77777777" w:rsidTr="00D91177">
        <w:tc>
          <w:tcPr>
            <w:tcW w:w="1548" w:type="dxa"/>
          </w:tcPr>
          <w:p w14:paraId="1B662F1A" w14:textId="77777777" w:rsidR="00DB2913" w:rsidRPr="00AC6B05" w:rsidRDefault="00000000">
            <w:pPr>
              <w:rPr>
                <w:rFonts w:cs="Times New Roman"/>
              </w:rPr>
            </w:pPr>
            <w:r w:rsidRPr="00AC6B05">
              <w:rPr>
                <w:rFonts w:cs="Times New Roman"/>
                <w:b/>
                <w:bCs/>
              </w:rPr>
              <w:t>Mean ± SD</w:t>
            </w:r>
          </w:p>
        </w:tc>
        <w:tc>
          <w:tcPr>
            <w:tcW w:w="1260" w:type="dxa"/>
          </w:tcPr>
          <w:p w14:paraId="3A29CA58" w14:textId="77777777" w:rsidR="00DB2913" w:rsidRPr="00AC6B05" w:rsidRDefault="00000000">
            <w:pPr>
              <w:rPr>
                <w:rFonts w:cs="Times New Roman"/>
              </w:rPr>
            </w:pPr>
            <w:r w:rsidRPr="00AC6B05">
              <w:rPr>
                <w:rFonts w:cs="Times New Roman"/>
                <w:b/>
                <w:bCs/>
              </w:rPr>
              <w:t>5.1 ± 1.1</w:t>
            </w:r>
          </w:p>
        </w:tc>
        <w:tc>
          <w:tcPr>
            <w:tcW w:w="1638" w:type="dxa"/>
          </w:tcPr>
          <w:p w14:paraId="704459E6" w14:textId="77777777" w:rsidR="00DB2913" w:rsidRPr="00AC6B05" w:rsidRDefault="00000000">
            <w:pPr>
              <w:rPr>
                <w:rFonts w:cs="Times New Roman"/>
              </w:rPr>
            </w:pPr>
            <w:r w:rsidRPr="00AC6B05">
              <w:rPr>
                <w:rFonts w:cs="Times New Roman"/>
                <w:b/>
                <w:bCs/>
              </w:rPr>
              <w:t>0.66 ± 0.16</w:t>
            </w:r>
          </w:p>
        </w:tc>
        <w:tc>
          <w:tcPr>
            <w:tcW w:w="1692" w:type="dxa"/>
          </w:tcPr>
          <w:p w14:paraId="0939B4C9" w14:textId="77777777" w:rsidR="00DB2913" w:rsidRPr="00AC6B05" w:rsidRDefault="00000000">
            <w:pPr>
              <w:rPr>
                <w:rFonts w:cs="Times New Roman"/>
              </w:rPr>
            </w:pPr>
            <w:r w:rsidRPr="00AC6B05">
              <w:rPr>
                <w:rFonts w:cs="Times New Roman"/>
                <w:b/>
                <w:bCs/>
              </w:rPr>
              <w:t>0.89 ± 0.01</w:t>
            </w:r>
          </w:p>
        </w:tc>
        <w:tc>
          <w:tcPr>
            <w:tcW w:w="1238" w:type="dxa"/>
          </w:tcPr>
          <w:p w14:paraId="05D9299D" w14:textId="77777777" w:rsidR="00DB2913" w:rsidRPr="00AC6B05" w:rsidRDefault="00000000">
            <w:pPr>
              <w:rPr>
                <w:rFonts w:cs="Times New Roman"/>
              </w:rPr>
            </w:pPr>
            <w:r w:rsidRPr="00AC6B05">
              <w:rPr>
                <w:rFonts w:cs="Times New Roman"/>
                <w:b/>
                <w:bCs/>
              </w:rPr>
              <w:t>19.9 ± 2.7</w:t>
            </w:r>
          </w:p>
        </w:tc>
        <w:tc>
          <w:tcPr>
            <w:tcW w:w="2020" w:type="dxa"/>
          </w:tcPr>
          <w:p w14:paraId="771E0E0D" w14:textId="77777777" w:rsidR="00DB2913" w:rsidRPr="00AC6B05" w:rsidRDefault="00000000">
            <w:pPr>
              <w:rPr>
                <w:rFonts w:cs="Times New Roman"/>
              </w:rPr>
            </w:pPr>
            <w:r w:rsidRPr="00AC6B05">
              <w:rPr>
                <w:rFonts w:cs="Times New Roman"/>
                <w:b/>
                <w:bCs/>
              </w:rPr>
              <w:t>0.30 ± 0.05</w:t>
            </w:r>
          </w:p>
        </w:tc>
        <w:tc>
          <w:tcPr>
            <w:tcW w:w="1516" w:type="dxa"/>
          </w:tcPr>
          <w:p w14:paraId="570DF465" w14:textId="77777777" w:rsidR="00DB2913" w:rsidRPr="00AC6B05" w:rsidRDefault="00000000">
            <w:pPr>
              <w:rPr>
                <w:rFonts w:cs="Times New Roman"/>
              </w:rPr>
            </w:pPr>
            <w:r w:rsidRPr="00AC6B05">
              <w:rPr>
                <w:rFonts w:cs="Times New Roman"/>
                <w:b/>
                <w:bCs/>
              </w:rPr>
              <w:t>0.92 ± 0.03</w:t>
            </w:r>
          </w:p>
        </w:tc>
      </w:tr>
    </w:tbl>
    <w:p w14:paraId="4EE911C9" w14:textId="77777777" w:rsidR="00DB2913" w:rsidRPr="00AC6B05" w:rsidRDefault="00000000">
      <w:pPr>
        <w:pStyle w:val="BodyText"/>
        <w:rPr>
          <w:rFonts w:cs="Times New Roman"/>
        </w:rPr>
      </w:pPr>
      <w:r w:rsidRPr="00AC6B05">
        <w:rPr>
          <w:rFonts w:cs="Times New Roman"/>
        </w:rPr>
        <w:t>Across seven independent survey spectra, CG-DPF consistently proposes fewer peaks with higher mean FWHM compliance than Adaptive Medium, at the cost of lower mean R² on several samples (notably AS Sample 6, where conservative filtering yields Phys. Ratio = 0.33 despite R² = 0.871). This trade-off is expected: CG-DPF is designed for trustworthy initialization, not exhaustive residual minimization.</w:t>
      </w:r>
    </w:p>
    <w:p w14:paraId="5E5C228F" w14:textId="77777777" w:rsidR="00DB2913" w:rsidRPr="00AC6B05" w:rsidRDefault="00000000">
      <w:pPr>
        <w:pStyle w:val="BodyText"/>
        <w:rPr>
          <w:rFonts w:cs="Times New Roman"/>
        </w:rPr>
      </w:pPr>
      <w:r w:rsidRPr="00AC6B05">
        <w:rPr>
          <w:rFonts w:cs="Times New Roman"/>
          <w:b/>
          <w:bCs/>
        </w:rPr>
        <w:t>Statistical significance (</w:t>
      </w:r>
      <w:r w:rsidRPr="00AC6B05">
        <w:rPr>
          <w:rFonts w:cs="Times New Roman"/>
          <w:b/>
          <w:bCs/>
          <w:i/>
          <w:iCs/>
        </w:rPr>
        <w:t>n</w:t>
      </w:r>
      <w:r w:rsidRPr="00AC6B05">
        <w:rPr>
          <w:rFonts w:cs="Times New Roman"/>
          <w:b/>
          <w:bCs/>
        </w:rPr>
        <w:t xml:space="preserve"> = 7 paired spectra).</w:t>
      </w:r>
      <w:r w:rsidRPr="00AC6B05">
        <w:rPr>
          <w:rFonts w:cs="Times New Roman"/>
        </w:rPr>
        <w:t xml:space="preserve"> CG-DPF yielded higher Phys. Ratio than Adaptive Medium (Wilcoxon </w:t>
      </w:r>
      <w:r w:rsidRPr="00AC6B05">
        <w:rPr>
          <w:rFonts w:cs="Times New Roman"/>
          <w:i/>
          <w:iCs/>
        </w:rPr>
        <w:t>W</w:t>
      </w:r>
      <w:r w:rsidRPr="00AC6B05">
        <w:rPr>
          <w:rFonts w:cs="Times New Roman"/>
        </w:rPr>
        <w:t xml:space="preserve"> = 1, </w:t>
      </w:r>
      <w:r w:rsidRPr="00AC6B05">
        <w:rPr>
          <w:rFonts w:cs="Times New Roman"/>
          <w:i/>
          <w:iCs/>
        </w:rPr>
        <w:t>p</w:t>
      </w:r>
      <w:r w:rsidRPr="00AC6B05">
        <w:rPr>
          <w:rFonts w:cs="Times New Roman"/>
        </w:rPr>
        <w:t xml:space="preserve"> = 0.031 and paired </w:t>
      </w:r>
      <w:r w:rsidRPr="00AC6B05">
        <w:rPr>
          <w:rFonts w:cs="Times New Roman"/>
          <w:i/>
          <w:iCs/>
        </w:rPr>
        <w:t>t</w:t>
      </w:r>
      <w:r w:rsidRPr="00AC6B05">
        <w:rPr>
          <w:rFonts w:cs="Times New Roman"/>
        </w:rPr>
        <w:t xml:space="preserve">-test </w:t>
      </w:r>
      <w:r w:rsidRPr="00AC6B05">
        <w:rPr>
          <w:rFonts w:cs="Times New Roman"/>
          <w:i/>
          <w:iCs/>
        </w:rPr>
        <w:t>p</w:t>
      </w:r>
      <w:r w:rsidRPr="00AC6B05">
        <w:rPr>
          <w:rFonts w:cs="Times New Roman"/>
        </w:rPr>
        <w:t xml:space="preserve"> = 0.003) and fewer detected peaks (Wilcoxon </w:t>
      </w:r>
      <w:r w:rsidRPr="00AC6B05">
        <w:rPr>
          <w:rFonts w:cs="Times New Roman"/>
          <w:i/>
          <w:iCs/>
        </w:rPr>
        <w:t>p</w:t>
      </w:r>
      <w:r w:rsidRPr="00AC6B05">
        <w:rPr>
          <w:rFonts w:cs="Times New Roman"/>
        </w:rPr>
        <w:t xml:space="preserve"> = 0.016 and paired </w:t>
      </w:r>
      <w:r w:rsidRPr="00AC6B05">
        <w:rPr>
          <w:rFonts w:cs="Times New Roman"/>
          <w:i/>
          <w:iCs/>
        </w:rPr>
        <w:t>t</w:t>
      </w:r>
      <w:r w:rsidRPr="00AC6B05">
        <w:rPr>
          <w:rFonts w:cs="Times New Roman"/>
        </w:rPr>
        <w:t xml:space="preserve">-test </w:t>
      </w:r>
      <w:r w:rsidRPr="00AC6B05">
        <w:rPr>
          <w:rFonts w:cs="Times New Roman"/>
          <w:i/>
          <w:iCs/>
        </w:rPr>
        <w:t>p</w:t>
      </w:r>
      <w:r w:rsidRPr="00AC6B05">
        <w:rPr>
          <w:rFonts w:cs="Times New Roman"/>
        </w:rPr>
        <w:t xml:space="preserve"> &lt; 0.001), although the sample size is small. Mean Corr. R² was lower for CG-DPF (paired </w:t>
      </w:r>
      <w:r w:rsidRPr="00AC6B05">
        <w:rPr>
          <w:rFonts w:cs="Times New Roman"/>
          <w:i/>
          <w:iCs/>
        </w:rPr>
        <w:t>t</w:t>
      </w:r>
      <w:r w:rsidRPr="00AC6B05">
        <w:rPr>
          <w:rFonts w:cs="Times New Roman"/>
        </w:rPr>
        <w:t xml:space="preserve">-test </w:t>
      </w:r>
      <w:r w:rsidRPr="00AC6B05">
        <w:rPr>
          <w:rFonts w:cs="Times New Roman"/>
          <w:i/>
          <w:iCs/>
        </w:rPr>
        <w:t>p</w:t>
      </w:r>
      <w:r w:rsidRPr="00AC6B05">
        <w:rPr>
          <w:rFonts w:cs="Times New Roman"/>
        </w:rPr>
        <w:t xml:space="preserve"> = 0.051 and Wilcoxon </w:t>
      </w:r>
      <w:r w:rsidRPr="00AC6B05">
        <w:rPr>
          <w:rFonts w:cs="Times New Roman"/>
          <w:i/>
          <w:iCs/>
        </w:rPr>
        <w:t>p</w:t>
      </w:r>
      <w:r w:rsidRPr="00AC6B05">
        <w:rPr>
          <w:rFonts w:cs="Times New Roman"/>
        </w:rPr>
        <w:t xml:space="preserve"> = 0.156), consistent with the distinct optimization objectives. These tests are therefore supportive rather than definitive [3].</w:t>
      </w:r>
    </w:p>
    <w:p w14:paraId="0FA6C04A" w14:textId="3CEBB3AD" w:rsidR="00DB2913" w:rsidRPr="00AC6B05" w:rsidRDefault="00000000">
      <w:pPr>
        <w:pStyle w:val="BodyText"/>
        <w:rPr>
          <w:rFonts w:cs="Times New Roman"/>
        </w:rPr>
      </w:pPr>
      <w:r w:rsidRPr="00AC6B05">
        <w:rPr>
          <w:rFonts w:cs="Times New Roman"/>
          <w:b/>
          <w:bCs/>
        </w:rPr>
        <w:t xml:space="preserve">Table </w:t>
      </w:r>
      <w:r w:rsidR="00991B3E" w:rsidRPr="008840C7">
        <w:rPr>
          <w:rFonts w:cs="Times New Roman"/>
          <w:b/>
          <w:bCs/>
        </w:rPr>
        <w:t>5</w:t>
      </w:r>
      <w:r w:rsidRPr="008840C7">
        <w:rPr>
          <w:rFonts w:cs="Times New Roman"/>
          <w:b/>
          <w:bCs/>
        </w:rPr>
        <w:t>. Aggregate comparison including high-recall configurations (Suliga samples 0-6, mean ± SD).</w:t>
      </w:r>
    </w:p>
    <w:tbl>
      <w:tblPr>
        <w:tblStyle w:val="GridTable1Light"/>
        <w:tblW w:w="5000" w:type="pct"/>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20" w:firstRow="1" w:lastRow="0" w:firstColumn="0" w:lastColumn="0" w:noHBand="0" w:noVBand="0"/>
      </w:tblPr>
      <w:tblGrid>
        <w:gridCol w:w="5374"/>
        <w:gridCol w:w="1954"/>
        <w:gridCol w:w="1792"/>
        <w:gridCol w:w="1792"/>
      </w:tblGrid>
      <w:tr w:rsidR="00DB2913" w:rsidRPr="00AC6B05" w14:paraId="155073F0" w14:textId="77777777" w:rsidTr="00D91177">
        <w:trPr>
          <w:cnfStyle w:val="100000000000" w:firstRow="1" w:lastRow="0" w:firstColumn="0" w:lastColumn="0" w:oddVBand="0" w:evenVBand="0" w:oddHBand="0" w:evenHBand="0" w:firstRowFirstColumn="0" w:firstRowLastColumn="0" w:lastRowFirstColumn="0" w:lastRowLastColumn="0"/>
        </w:trPr>
        <w:tc>
          <w:tcPr>
            <w:tcW w:w="3900" w:type="dxa"/>
            <w:tcBorders>
              <w:bottom w:val="none" w:sz="0" w:space="0" w:color="auto"/>
            </w:tcBorders>
          </w:tcPr>
          <w:p w14:paraId="0B2B7F6C" w14:textId="77777777" w:rsidR="00DB2913" w:rsidRPr="00AC6B05" w:rsidRDefault="00000000">
            <w:pPr>
              <w:rPr>
                <w:rFonts w:cs="Times New Roman"/>
              </w:rPr>
            </w:pPr>
            <w:r w:rsidRPr="00AC6B05">
              <w:rPr>
                <w:rFonts w:cs="Times New Roman"/>
              </w:rPr>
              <w:t>Method</w:t>
            </w:r>
          </w:p>
        </w:tc>
        <w:tc>
          <w:tcPr>
            <w:tcW w:w="1418" w:type="dxa"/>
            <w:tcBorders>
              <w:bottom w:val="none" w:sz="0" w:space="0" w:color="auto"/>
            </w:tcBorders>
          </w:tcPr>
          <w:p w14:paraId="1EC40FFA" w14:textId="77777777" w:rsidR="00DB2913" w:rsidRPr="00AC6B05" w:rsidRDefault="00000000">
            <w:pPr>
              <w:rPr>
                <w:rFonts w:cs="Times New Roman"/>
              </w:rPr>
            </w:pPr>
            <w:r w:rsidRPr="00AC6B05">
              <w:rPr>
                <w:rFonts w:cs="Times New Roman"/>
              </w:rPr>
              <w:t>Peaks</w:t>
            </w:r>
          </w:p>
        </w:tc>
        <w:tc>
          <w:tcPr>
            <w:tcW w:w="1300" w:type="dxa"/>
            <w:tcBorders>
              <w:bottom w:val="none" w:sz="0" w:space="0" w:color="auto"/>
            </w:tcBorders>
          </w:tcPr>
          <w:p w14:paraId="62A5B712" w14:textId="77777777" w:rsidR="00DB2913" w:rsidRPr="00AC6B05" w:rsidRDefault="00000000">
            <w:pPr>
              <w:rPr>
                <w:rFonts w:cs="Times New Roman"/>
              </w:rPr>
            </w:pPr>
            <w:r w:rsidRPr="00AC6B05">
              <w:rPr>
                <w:rFonts w:cs="Times New Roman"/>
              </w:rPr>
              <w:t>Phys. Ratio</w:t>
            </w:r>
          </w:p>
        </w:tc>
        <w:tc>
          <w:tcPr>
            <w:tcW w:w="1300" w:type="dxa"/>
            <w:tcBorders>
              <w:bottom w:val="none" w:sz="0" w:space="0" w:color="auto"/>
            </w:tcBorders>
          </w:tcPr>
          <w:p w14:paraId="0A6D11CC" w14:textId="77777777" w:rsidR="00DB2913" w:rsidRPr="00AC6B05" w:rsidRDefault="00000000">
            <w:pPr>
              <w:rPr>
                <w:rFonts w:cs="Times New Roman"/>
              </w:rPr>
            </w:pPr>
            <w:r w:rsidRPr="00AC6B05">
              <w:rPr>
                <w:rFonts w:cs="Times New Roman"/>
              </w:rPr>
              <w:t>Corr. R²</w:t>
            </w:r>
          </w:p>
        </w:tc>
      </w:tr>
      <w:tr w:rsidR="00DB2913" w:rsidRPr="00AC6B05" w14:paraId="3C20E630" w14:textId="77777777" w:rsidTr="00D91177">
        <w:tc>
          <w:tcPr>
            <w:tcW w:w="3900" w:type="dxa"/>
          </w:tcPr>
          <w:p w14:paraId="4A7C73D6" w14:textId="77777777" w:rsidR="00DB2913" w:rsidRPr="00AC6B05" w:rsidRDefault="00000000">
            <w:pPr>
              <w:rPr>
                <w:rFonts w:cs="Times New Roman"/>
              </w:rPr>
            </w:pPr>
            <w:r w:rsidRPr="00AC6B05">
              <w:rPr>
                <w:rFonts w:cs="Times New Roman"/>
              </w:rPr>
              <w:t xml:space="preserve">CG-DPF, default (σ=8, </w:t>
            </w:r>
            <w:r w:rsidRPr="00AC6B05">
              <w:rPr>
                <w:rFonts w:cs="Times New Roman"/>
                <w:i/>
                <w:iCs/>
              </w:rPr>
              <w:t>k</w:t>
            </w:r>
            <w:r w:rsidRPr="00AC6B05">
              <w:rPr>
                <w:rFonts w:cs="Times New Roman"/>
              </w:rPr>
              <w:t>=1)</w:t>
            </w:r>
          </w:p>
        </w:tc>
        <w:tc>
          <w:tcPr>
            <w:tcW w:w="1418" w:type="dxa"/>
          </w:tcPr>
          <w:p w14:paraId="2374B4AE" w14:textId="77777777" w:rsidR="00DB2913" w:rsidRPr="00AC6B05" w:rsidRDefault="00000000">
            <w:pPr>
              <w:rPr>
                <w:rFonts w:cs="Times New Roman"/>
              </w:rPr>
            </w:pPr>
            <w:r w:rsidRPr="00AC6B05">
              <w:rPr>
                <w:rFonts w:cs="Times New Roman"/>
              </w:rPr>
              <w:t>5.1 ± 1.1</w:t>
            </w:r>
          </w:p>
        </w:tc>
        <w:tc>
          <w:tcPr>
            <w:tcW w:w="1300" w:type="dxa"/>
          </w:tcPr>
          <w:p w14:paraId="4F444C2E" w14:textId="77777777" w:rsidR="00DB2913" w:rsidRPr="00AC6B05" w:rsidRDefault="00000000">
            <w:pPr>
              <w:rPr>
                <w:rFonts w:cs="Times New Roman"/>
              </w:rPr>
            </w:pPr>
            <w:r w:rsidRPr="00AC6B05">
              <w:rPr>
                <w:rFonts w:cs="Times New Roman"/>
              </w:rPr>
              <w:t>0.66 ± 0.16</w:t>
            </w:r>
          </w:p>
        </w:tc>
        <w:tc>
          <w:tcPr>
            <w:tcW w:w="1300" w:type="dxa"/>
          </w:tcPr>
          <w:p w14:paraId="0A2B59CE" w14:textId="77777777" w:rsidR="00DB2913" w:rsidRPr="00AC6B05" w:rsidRDefault="00000000">
            <w:pPr>
              <w:rPr>
                <w:rFonts w:cs="Times New Roman"/>
              </w:rPr>
            </w:pPr>
            <w:r w:rsidRPr="00AC6B05">
              <w:rPr>
                <w:rFonts w:cs="Times New Roman"/>
              </w:rPr>
              <w:t>0.89 ± 0.01</w:t>
            </w:r>
          </w:p>
        </w:tc>
      </w:tr>
      <w:tr w:rsidR="00DB2913" w:rsidRPr="00AC6B05" w14:paraId="7C12EE78" w14:textId="77777777" w:rsidTr="00D91177">
        <w:tc>
          <w:tcPr>
            <w:tcW w:w="3900" w:type="dxa"/>
          </w:tcPr>
          <w:p w14:paraId="552B9BAC" w14:textId="77777777" w:rsidR="00DB2913" w:rsidRPr="00AC6B05" w:rsidRDefault="00000000">
            <w:pPr>
              <w:rPr>
                <w:rFonts w:cs="Times New Roman"/>
              </w:rPr>
            </w:pPr>
            <w:r w:rsidRPr="00AC6B05">
              <w:rPr>
                <w:rFonts w:cs="Times New Roman"/>
              </w:rPr>
              <w:lastRenderedPageBreak/>
              <w:t xml:space="preserve">CG-DPF, no smoothing (σ=0, </w:t>
            </w:r>
            <w:r w:rsidRPr="00AC6B05">
              <w:rPr>
                <w:rFonts w:cs="Times New Roman"/>
                <w:i/>
                <w:iCs/>
              </w:rPr>
              <w:t>k</w:t>
            </w:r>
            <w:r w:rsidRPr="00AC6B05">
              <w:rPr>
                <w:rFonts w:cs="Times New Roman"/>
              </w:rPr>
              <w:t>=1)</w:t>
            </w:r>
          </w:p>
        </w:tc>
        <w:tc>
          <w:tcPr>
            <w:tcW w:w="1418" w:type="dxa"/>
          </w:tcPr>
          <w:p w14:paraId="05000655" w14:textId="77777777" w:rsidR="00DB2913" w:rsidRPr="00AC6B05" w:rsidRDefault="00000000">
            <w:pPr>
              <w:rPr>
                <w:rFonts w:cs="Times New Roman"/>
              </w:rPr>
            </w:pPr>
            <w:r w:rsidRPr="00AC6B05">
              <w:rPr>
                <w:rFonts w:cs="Times New Roman"/>
              </w:rPr>
              <w:t>43.3 ± 13.4</w:t>
            </w:r>
          </w:p>
        </w:tc>
        <w:tc>
          <w:tcPr>
            <w:tcW w:w="1300" w:type="dxa"/>
          </w:tcPr>
          <w:p w14:paraId="6CFF8D1E" w14:textId="77777777" w:rsidR="00DB2913" w:rsidRPr="00AC6B05" w:rsidRDefault="00000000">
            <w:pPr>
              <w:rPr>
                <w:rFonts w:cs="Times New Roman"/>
              </w:rPr>
            </w:pPr>
            <w:r w:rsidRPr="00AC6B05">
              <w:rPr>
                <w:rFonts w:cs="Times New Roman"/>
              </w:rPr>
              <w:t>0.14 ± 0.03</w:t>
            </w:r>
          </w:p>
        </w:tc>
        <w:tc>
          <w:tcPr>
            <w:tcW w:w="1300" w:type="dxa"/>
          </w:tcPr>
          <w:p w14:paraId="22D5B87A" w14:textId="77777777" w:rsidR="00DB2913" w:rsidRPr="00AC6B05" w:rsidRDefault="00000000">
            <w:pPr>
              <w:rPr>
                <w:rFonts w:cs="Times New Roman"/>
              </w:rPr>
            </w:pPr>
            <w:r w:rsidRPr="00AC6B05">
              <w:rPr>
                <w:rFonts w:cs="Times New Roman"/>
              </w:rPr>
              <w:t>0.90 ± 0.03</w:t>
            </w:r>
          </w:p>
        </w:tc>
      </w:tr>
      <w:tr w:rsidR="00DB2913" w:rsidRPr="00AC6B05" w14:paraId="721004DA" w14:textId="77777777" w:rsidTr="00D91177">
        <w:tc>
          <w:tcPr>
            <w:tcW w:w="3900" w:type="dxa"/>
          </w:tcPr>
          <w:p w14:paraId="7D535CBD" w14:textId="77777777" w:rsidR="00DB2913" w:rsidRPr="00AC6B05" w:rsidRDefault="00000000">
            <w:pPr>
              <w:rPr>
                <w:rFonts w:cs="Times New Roman"/>
              </w:rPr>
            </w:pPr>
            <w:r w:rsidRPr="00AC6B05">
              <w:rPr>
                <w:rFonts w:cs="Times New Roman"/>
              </w:rPr>
              <w:t>Adaptive, Medium</w:t>
            </w:r>
          </w:p>
        </w:tc>
        <w:tc>
          <w:tcPr>
            <w:tcW w:w="1418" w:type="dxa"/>
          </w:tcPr>
          <w:p w14:paraId="0219B547" w14:textId="77777777" w:rsidR="00DB2913" w:rsidRPr="00AC6B05" w:rsidRDefault="00000000">
            <w:pPr>
              <w:rPr>
                <w:rFonts w:cs="Times New Roman"/>
              </w:rPr>
            </w:pPr>
            <w:r w:rsidRPr="00AC6B05">
              <w:rPr>
                <w:rFonts w:cs="Times New Roman"/>
              </w:rPr>
              <w:t>19.9 ± 2.7</w:t>
            </w:r>
          </w:p>
        </w:tc>
        <w:tc>
          <w:tcPr>
            <w:tcW w:w="1300" w:type="dxa"/>
          </w:tcPr>
          <w:p w14:paraId="2F4C0696" w14:textId="77777777" w:rsidR="00DB2913" w:rsidRPr="00AC6B05" w:rsidRDefault="00000000">
            <w:pPr>
              <w:rPr>
                <w:rFonts w:cs="Times New Roman"/>
              </w:rPr>
            </w:pPr>
            <w:r w:rsidRPr="00AC6B05">
              <w:rPr>
                <w:rFonts w:cs="Times New Roman"/>
              </w:rPr>
              <w:t>0.30 ± 0.05</w:t>
            </w:r>
          </w:p>
        </w:tc>
        <w:tc>
          <w:tcPr>
            <w:tcW w:w="1300" w:type="dxa"/>
          </w:tcPr>
          <w:p w14:paraId="12A57F44" w14:textId="77777777" w:rsidR="00DB2913" w:rsidRPr="00AC6B05" w:rsidRDefault="00000000">
            <w:pPr>
              <w:rPr>
                <w:rFonts w:cs="Times New Roman"/>
              </w:rPr>
            </w:pPr>
            <w:r w:rsidRPr="00AC6B05">
              <w:rPr>
                <w:rFonts w:cs="Times New Roman"/>
              </w:rPr>
              <w:t>0.92 ± 0.03</w:t>
            </w:r>
          </w:p>
        </w:tc>
      </w:tr>
      <w:tr w:rsidR="00DB2913" w:rsidRPr="00AC6B05" w14:paraId="77ED0295" w14:textId="77777777" w:rsidTr="00D91177">
        <w:tc>
          <w:tcPr>
            <w:tcW w:w="3900" w:type="dxa"/>
          </w:tcPr>
          <w:p w14:paraId="6B972564" w14:textId="77777777" w:rsidR="00DB2913" w:rsidRPr="00AC6B05" w:rsidRDefault="00000000">
            <w:pPr>
              <w:rPr>
                <w:rFonts w:cs="Times New Roman"/>
              </w:rPr>
            </w:pPr>
            <w:r w:rsidRPr="00AC6B05">
              <w:rPr>
                <w:rFonts w:cs="Times New Roman"/>
              </w:rPr>
              <w:t>Adaptive, Research</w:t>
            </w:r>
          </w:p>
        </w:tc>
        <w:tc>
          <w:tcPr>
            <w:tcW w:w="1418" w:type="dxa"/>
          </w:tcPr>
          <w:p w14:paraId="20825375" w14:textId="77777777" w:rsidR="00DB2913" w:rsidRPr="00AC6B05" w:rsidRDefault="00000000">
            <w:pPr>
              <w:rPr>
                <w:rFonts w:cs="Times New Roman"/>
              </w:rPr>
            </w:pPr>
            <w:r w:rsidRPr="00AC6B05">
              <w:rPr>
                <w:rFonts w:cs="Times New Roman"/>
              </w:rPr>
              <w:t>249.7 ± 32.4</w:t>
            </w:r>
          </w:p>
        </w:tc>
        <w:tc>
          <w:tcPr>
            <w:tcW w:w="1300" w:type="dxa"/>
          </w:tcPr>
          <w:p w14:paraId="42C87929" w14:textId="77777777" w:rsidR="00DB2913" w:rsidRPr="00AC6B05" w:rsidRDefault="00000000">
            <w:pPr>
              <w:rPr>
                <w:rFonts w:cs="Times New Roman"/>
              </w:rPr>
            </w:pPr>
            <w:r w:rsidRPr="00AC6B05">
              <w:rPr>
                <w:rFonts w:cs="Times New Roman"/>
              </w:rPr>
              <w:t>0.04 ± 0.01</w:t>
            </w:r>
          </w:p>
        </w:tc>
        <w:tc>
          <w:tcPr>
            <w:tcW w:w="1300" w:type="dxa"/>
          </w:tcPr>
          <w:p w14:paraId="1FDCE294" w14:textId="77777777" w:rsidR="00DB2913" w:rsidRPr="00AC6B05" w:rsidRDefault="00000000">
            <w:pPr>
              <w:rPr>
                <w:rFonts w:cs="Times New Roman"/>
              </w:rPr>
            </w:pPr>
            <w:r w:rsidRPr="00AC6B05">
              <w:rPr>
                <w:rFonts w:cs="Times New Roman"/>
              </w:rPr>
              <w:t>0.81 ± 0.06</w:t>
            </w:r>
          </w:p>
        </w:tc>
      </w:tr>
    </w:tbl>
    <w:p w14:paraId="5A88FE85" w14:textId="77777777" w:rsidR="00DB2913" w:rsidRPr="00AC6B05" w:rsidRDefault="00000000">
      <w:pPr>
        <w:pStyle w:val="Heading3"/>
        <w:rPr>
          <w:rFonts w:ascii="Times New Roman" w:hAnsi="Times New Roman" w:cs="Times New Roman"/>
          <w:color w:val="000000" w:themeColor="text1"/>
        </w:rPr>
      </w:pPr>
      <w:bookmarkStart w:id="17" w:name="parameter-sensitivity"/>
      <w:bookmarkEnd w:id="16"/>
      <w:r w:rsidRPr="00AC6B05">
        <w:rPr>
          <w:rFonts w:ascii="Times New Roman" w:hAnsi="Times New Roman" w:cs="Times New Roman"/>
          <w:color w:val="000000" w:themeColor="text1"/>
        </w:rPr>
        <w:t>Parameter Sensitivity</w:t>
      </w:r>
    </w:p>
    <w:p w14:paraId="54991FD6" w14:textId="64F1F404" w:rsidR="00DB2913" w:rsidRPr="00AC6B05" w:rsidRDefault="008840C7">
      <w:pPr>
        <w:rPr>
          <w:rFonts w:cs="Times New Roman"/>
        </w:rPr>
      </w:pPr>
      <w:r w:rsidRPr="00AC6B05">
        <w:rPr>
          <w:rFonts w:cs="Times New Roman"/>
          <w:b/>
          <w:bCs/>
        </w:rPr>
        <w:t xml:space="preserve">Table </w:t>
      </w:r>
      <w:r>
        <w:rPr>
          <w:rFonts w:cs="Times New Roman"/>
          <w:b/>
          <w:bCs/>
        </w:rPr>
        <w:t>6</w:t>
      </w:r>
      <w:r w:rsidRPr="00AC6B05">
        <w:rPr>
          <w:rFonts w:cs="Times New Roman"/>
          <w:b/>
          <w:bCs/>
        </w:rPr>
        <w:t>.</w:t>
      </w:r>
      <w:r w:rsidRPr="00AC6B05">
        <w:rPr>
          <w:rFonts w:cs="Times New Roman"/>
        </w:rPr>
        <w:t xml:space="preserve"> </w:t>
      </w:r>
      <w:r w:rsidR="00000000" w:rsidRPr="00AC6B05">
        <w:rPr>
          <w:rFonts w:cs="Times New Roman"/>
          <w:b/>
          <w:bCs/>
        </w:rPr>
        <w:t>Curvature threshold (</w:t>
      </w:r>
      <w:r w:rsidR="00000000" w:rsidRPr="00AC6B05">
        <w:rPr>
          <w:rFonts w:cs="Times New Roman"/>
          <w:b/>
          <w:bCs/>
          <w:i/>
          <w:iCs/>
        </w:rPr>
        <w:t>k</w:t>
      </w:r>
      <w:r w:rsidR="00000000" w:rsidRPr="00AC6B05">
        <w:rPr>
          <w:rFonts w:cs="Times New Roman"/>
          <w:b/>
          <w:bCs/>
        </w:rPr>
        <w:t xml:space="preserve">), σ </w:t>
      </w:r>
      <w:r w:rsidR="00000000" w:rsidRPr="008840C7">
        <w:rPr>
          <w:rFonts w:cs="Times New Roman"/>
          <w:b/>
          <w:bCs/>
        </w:rPr>
        <w:t>= 8 eV (example_spectrum.csv)</w:t>
      </w:r>
      <w:r w:rsidR="009C35A9">
        <w:rPr>
          <w:rFonts w:cs="Times New Roman"/>
          <w:b/>
          <w:bCs/>
        </w:rPr>
        <w:t>.</w:t>
      </w:r>
    </w:p>
    <w:tbl>
      <w:tblPr>
        <w:tblStyle w:val="GridTable1Light"/>
        <w:tblW w:w="5000" w:type="pct"/>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20" w:firstRow="1" w:lastRow="0" w:firstColumn="0" w:lastColumn="0" w:noHBand="0" w:noVBand="0"/>
      </w:tblPr>
      <w:tblGrid>
        <w:gridCol w:w="2626"/>
        <w:gridCol w:w="1617"/>
        <w:gridCol w:w="1617"/>
        <w:gridCol w:w="1010"/>
        <w:gridCol w:w="2223"/>
        <w:gridCol w:w="1819"/>
      </w:tblGrid>
      <w:tr w:rsidR="00DB2913" w:rsidRPr="00AC6B05" w14:paraId="3455D848" w14:textId="77777777" w:rsidTr="00AC6B05">
        <w:trPr>
          <w:cnfStyle w:val="100000000000" w:firstRow="1" w:lastRow="0" w:firstColumn="0" w:lastColumn="0" w:oddVBand="0" w:evenVBand="0" w:oddHBand="0" w:evenHBand="0" w:firstRowFirstColumn="0" w:firstRowLastColumn="0" w:lastRowFirstColumn="0" w:lastRowLastColumn="0"/>
        </w:trPr>
        <w:tc>
          <w:tcPr>
            <w:tcW w:w="1906" w:type="dxa"/>
            <w:tcBorders>
              <w:bottom w:val="none" w:sz="0" w:space="0" w:color="auto"/>
            </w:tcBorders>
          </w:tcPr>
          <w:p w14:paraId="116747AF" w14:textId="77777777" w:rsidR="00DB2913" w:rsidRPr="00AC6B05" w:rsidRDefault="00000000">
            <w:pPr>
              <w:rPr>
                <w:rFonts w:cs="Times New Roman"/>
              </w:rPr>
            </w:pPr>
            <w:r w:rsidRPr="00AC6B05">
              <w:rPr>
                <w:rFonts w:cs="Times New Roman"/>
              </w:rPr>
              <w:t>Configuration</w:t>
            </w:r>
          </w:p>
        </w:tc>
        <w:tc>
          <w:tcPr>
            <w:tcW w:w="1173" w:type="dxa"/>
            <w:tcBorders>
              <w:bottom w:val="none" w:sz="0" w:space="0" w:color="auto"/>
            </w:tcBorders>
          </w:tcPr>
          <w:p w14:paraId="4235D07A" w14:textId="77777777" w:rsidR="00DB2913" w:rsidRPr="00AC6B05" w:rsidRDefault="00000000">
            <w:pPr>
              <w:rPr>
                <w:rFonts w:cs="Times New Roman"/>
              </w:rPr>
            </w:pPr>
            <w:r w:rsidRPr="00AC6B05">
              <w:rPr>
                <w:rFonts w:cs="Times New Roman"/>
                <w:i/>
                <w:iCs/>
              </w:rPr>
              <w:t>k</w:t>
            </w:r>
          </w:p>
        </w:tc>
        <w:tc>
          <w:tcPr>
            <w:tcW w:w="1173" w:type="dxa"/>
            <w:tcBorders>
              <w:bottom w:val="none" w:sz="0" w:space="0" w:color="auto"/>
            </w:tcBorders>
          </w:tcPr>
          <w:p w14:paraId="258BB23C" w14:textId="77777777" w:rsidR="00DB2913" w:rsidRPr="00AC6B05" w:rsidRDefault="00000000">
            <w:pPr>
              <w:rPr>
                <w:rFonts w:cs="Times New Roman"/>
              </w:rPr>
            </w:pPr>
            <w:r w:rsidRPr="00AC6B05">
              <w:rPr>
                <w:rFonts w:cs="Times New Roman"/>
              </w:rPr>
              <w:t>θ (eV²)</w:t>
            </w:r>
          </w:p>
        </w:tc>
        <w:tc>
          <w:tcPr>
            <w:tcW w:w="733" w:type="dxa"/>
            <w:tcBorders>
              <w:bottom w:val="none" w:sz="0" w:space="0" w:color="auto"/>
            </w:tcBorders>
          </w:tcPr>
          <w:p w14:paraId="7B41806F" w14:textId="77777777" w:rsidR="00DB2913" w:rsidRPr="00AC6B05" w:rsidRDefault="00000000">
            <w:pPr>
              <w:rPr>
                <w:rFonts w:cs="Times New Roman"/>
              </w:rPr>
            </w:pPr>
            <w:r w:rsidRPr="00AC6B05">
              <w:rPr>
                <w:rFonts w:cs="Times New Roman"/>
              </w:rPr>
              <w:t>Peaks</w:t>
            </w:r>
          </w:p>
        </w:tc>
        <w:tc>
          <w:tcPr>
            <w:tcW w:w="1613" w:type="dxa"/>
            <w:tcBorders>
              <w:bottom w:val="none" w:sz="0" w:space="0" w:color="auto"/>
            </w:tcBorders>
          </w:tcPr>
          <w:p w14:paraId="1AE91DF5" w14:textId="77777777" w:rsidR="00DB2913" w:rsidRPr="00AC6B05" w:rsidRDefault="00000000">
            <w:pPr>
              <w:rPr>
                <w:rFonts w:cs="Times New Roman"/>
              </w:rPr>
            </w:pPr>
            <w:r w:rsidRPr="00AC6B05">
              <w:rPr>
                <w:rFonts w:cs="Times New Roman"/>
              </w:rPr>
              <w:t>Phys. Ratio</w:t>
            </w:r>
          </w:p>
        </w:tc>
        <w:tc>
          <w:tcPr>
            <w:tcW w:w="1320" w:type="dxa"/>
            <w:tcBorders>
              <w:bottom w:val="none" w:sz="0" w:space="0" w:color="auto"/>
            </w:tcBorders>
          </w:tcPr>
          <w:p w14:paraId="7C2F0EC0" w14:textId="77777777" w:rsidR="00DB2913" w:rsidRPr="00AC6B05" w:rsidRDefault="00000000">
            <w:pPr>
              <w:rPr>
                <w:rFonts w:cs="Times New Roman"/>
              </w:rPr>
            </w:pPr>
            <w:r w:rsidRPr="00AC6B05">
              <w:rPr>
                <w:rFonts w:cs="Times New Roman"/>
              </w:rPr>
              <w:t>Corr. R²</w:t>
            </w:r>
          </w:p>
        </w:tc>
      </w:tr>
      <w:tr w:rsidR="00DB2913" w:rsidRPr="00AC6B05" w14:paraId="4A04F9DF" w14:textId="77777777" w:rsidTr="00AC6B05">
        <w:tc>
          <w:tcPr>
            <w:tcW w:w="1906" w:type="dxa"/>
          </w:tcPr>
          <w:p w14:paraId="5C5717CC" w14:textId="77777777" w:rsidR="00DB2913" w:rsidRPr="00AC6B05" w:rsidRDefault="00000000">
            <w:pPr>
              <w:rPr>
                <w:rFonts w:cs="Times New Roman"/>
              </w:rPr>
            </w:pPr>
            <w:r w:rsidRPr="00AC6B05">
              <w:rPr>
                <w:rFonts w:cs="Times New Roman"/>
              </w:rPr>
              <w:t>Unfiltered</w:t>
            </w:r>
          </w:p>
        </w:tc>
        <w:tc>
          <w:tcPr>
            <w:tcW w:w="1173" w:type="dxa"/>
          </w:tcPr>
          <w:p w14:paraId="1438DE8E" w14:textId="77777777" w:rsidR="00DB2913" w:rsidRPr="00AC6B05" w:rsidRDefault="00000000">
            <w:pPr>
              <w:rPr>
                <w:rFonts w:cs="Times New Roman"/>
              </w:rPr>
            </w:pPr>
            <w:r w:rsidRPr="00AC6B05">
              <w:rPr>
                <w:rFonts w:cs="Times New Roman"/>
              </w:rPr>
              <w:t>0.00</w:t>
            </w:r>
          </w:p>
        </w:tc>
        <w:tc>
          <w:tcPr>
            <w:tcW w:w="1173" w:type="dxa"/>
          </w:tcPr>
          <w:p w14:paraId="64BEA136" w14:textId="77777777" w:rsidR="00DB2913" w:rsidRPr="00AC6B05" w:rsidRDefault="00000000">
            <w:pPr>
              <w:rPr>
                <w:rFonts w:cs="Times New Roman"/>
              </w:rPr>
            </w:pPr>
            <w:r w:rsidRPr="00AC6B05">
              <w:rPr>
                <w:rFonts w:cs="Times New Roman"/>
              </w:rPr>
              <w:t>0</w:t>
            </w:r>
          </w:p>
        </w:tc>
        <w:tc>
          <w:tcPr>
            <w:tcW w:w="733" w:type="dxa"/>
          </w:tcPr>
          <w:p w14:paraId="003B743B" w14:textId="77777777" w:rsidR="00DB2913" w:rsidRPr="00AC6B05" w:rsidRDefault="00000000">
            <w:pPr>
              <w:rPr>
                <w:rFonts w:cs="Times New Roman"/>
              </w:rPr>
            </w:pPr>
            <w:r w:rsidRPr="00AC6B05">
              <w:rPr>
                <w:rFonts w:cs="Times New Roman"/>
              </w:rPr>
              <w:t>47</w:t>
            </w:r>
          </w:p>
        </w:tc>
        <w:tc>
          <w:tcPr>
            <w:tcW w:w="1613" w:type="dxa"/>
          </w:tcPr>
          <w:p w14:paraId="03E6A639" w14:textId="77777777" w:rsidR="00DB2913" w:rsidRPr="00AC6B05" w:rsidRDefault="00000000">
            <w:pPr>
              <w:rPr>
                <w:rFonts w:cs="Times New Roman"/>
              </w:rPr>
            </w:pPr>
            <w:r w:rsidRPr="00AC6B05">
              <w:rPr>
                <w:rFonts w:cs="Times New Roman"/>
              </w:rPr>
              <w:t>0.19</w:t>
            </w:r>
          </w:p>
        </w:tc>
        <w:tc>
          <w:tcPr>
            <w:tcW w:w="1320" w:type="dxa"/>
          </w:tcPr>
          <w:p w14:paraId="42838152" w14:textId="77777777" w:rsidR="00DB2913" w:rsidRPr="00AC6B05" w:rsidRDefault="00000000">
            <w:pPr>
              <w:rPr>
                <w:rFonts w:cs="Times New Roman"/>
              </w:rPr>
            </w:pPr>
            <w:r w:rsidRPr="00AC6B05">
              <w:rPr>
                <w:rFonts w:cs="Times New Roman"/>
              </w:rPr>
              <w:t>0.986</w:t>
            </w:r>
          </w:p>
        </w:tc>
      </w:tr>
      <w:tr w:rsidR="00DB2913" w:rsidRPr="00AC6B05" w14:paraId="0D4E592F" w14:textId="77777777" w:rsidTr="00AC6B05">
        <w:tc>
          <w:tcPr>
            <w:tcW w:w="1906" w:type="dxa"/>
          </w:tcPr>
          <w:p w14:paraId="3BF2B3DB" w14:textId="77777777" w:rsidR="00DB2913" w:rsidRPr="00AC6B05" w:rsidRDefault="00000000">
            <w:pPr>
              <w:rPr>
                <w:rFonts w:cs="Times New Roman"/>
              </w:rPr>
            </w:pPr>
            <w:r w:rsidRPr="00AC6B05">
              <w:rPr>
                <w:rFonts w:cs="Times New Roman"/>
              </w:rPr>
              <w:t>Relaxed</w:t>
            </w:r>
          </w:p>
        </w:tc>
        <w:tc>
          <w:tcPr>
            <w:tcW w:w="1173" w:type="dxa"/>
          </w:tcPr>
          <w:p w14:paraId="68EABC36" w14:textId="77777777" w:rsidR="00DB2913" w:rsidRPr="00AC6B05" w:rsidRDefault="00000000">
            <w:pPr>
              <w:rPr>
                <w:rFonts w:cs="Times New Roman"/>
              </w:rPr>
            </w:pPr>
            <w:r w:rsidRPr="00AC6B05">
              <w:rPr>
                <w:rFonts w:cs="Times New Roman"/>
              </w:rPr>
              <w:t>0.32</w:t>
            </w:r>
          </w:p>
        </w:tc>
        <w:tc>
          <w:tcPr>
            <w:tcW w:w="1173" w:type="dxa"/>
          </w:tcPr>
          <w:p w14:paraId="104353CA" w14:textId="77777777" w:rsidR="00DB2913" w:rsidRPr="00AC6B05" w:rsidRDefault="00000000">
            <w:pPr>
              <w:rPr>
                <w:rFonts w:cs="Times New Roman"/>
              </w:rPr>
            </w:pPr>
            <w:r w:rsidRPr="00AC6B05">
              <w:rPr>
                <w:rFonts w:cs="Times New Roman"/>
              </w:rPr>
              <w:t>−248</w:t>
            </w:r>
          </w:p>
        </w:tc>
        <w:tc>
          <w:tcPr>
            <w:tcW w:w="733" w:type="dxa"/>
          </w:tcPr>
          <w:p w14:paraId="01F21CA4" w14:textId="77777777" w:rsidR="00DB2913" w:rsidRPr="00AC6B05" w:rsidRDefault="00000000">
            <w:pPr>
              <w:rPr>
                <w:rFonts w:cs="Times New Roman"/>
              </w:rPr>
            </w:pPr>
            <w:r w:rsidRPr="00AC6B05">
              <w:rPr>
                <w:rFonts w:cs="Times New Roman"/>
              </w:rPr>
              <w:t>7</w:t>
            </w:r>
          </w:p>
        </w:tc>
        <w:tc>
          <w:tcPr>
            <w:tcW w:w="1613" w:type="dxa"/>
          </w:tcPr>
          <w:p w14:paraId="40417228" w14:textId="77777777" w:rsidR="00DB2913" w:rsidRPr="00AC6B05" w:rsidRDefault="00000000">
            <w:pPr>
              <w:rPr>
                <w:rFonts w:cs="Times New Roman"/>
              </w:rPr>
            </w:pPr>
            <w:r w:rsidRPr="00AC6B05">
              <w:rPr>
                <w:rFonts w:cs="Times New Roman"/>
              </w:rPr>
              <w:t>1.00</w:t>
            </w:r>
          </w:p>
        </w:tc>
        <w:tc>
          <w:tcPr>
            <w:tcW w:w="1320" w:type="dxa"/>
          </w:tcPr>
          <w:p w14:paraId="29C53350" w14:textId="77777777" w:rsidR="00DB2913" w:rsidRPr="00AC6B05" w:rsidRDefault="00000000">
            <w:pPr>
              <w:rPr>
                <w:rFonts w:cs="Times New Roman"/>
              </w:rPr>
            </w:pPr>
            <w:r w:rsidRPr="00AC6B05">
              <w:rPr>
                <w:rFonts w:cs="Times New Roman"/>
              </w:rPr>
              <w:t>0.985</w:t>
            </w:r>
          </w:p>
        </w:tc>
      </w:tr>
      <w:tr w:rsidR="00DB2913" w:rsidRPr="00AC6B05" w14:paraId="19FC9C34" w14:textId="77777777" w:rsidTr="00AC6B05">
        <w:tc>
          <w:tcPr>
            <w:tcW w:w="1906" w:type="dxa"/>
          </w:tcPr>
          <w:p w14:paraId="11C020BE" w14:textId="77777777" w:rsidR="00DB2913" w:rsidRPr="00AC6B05" w:rsidRDefault="00000000">
            <w:pPr>
              <w:rPr>
                <w:rFonts w:cs="Times New Roman"/>
              </w:rPr>
            </w:pPr>
            <w:r w:rsidRPr="00AC6B05">
              <w:rPr>
                <w:rFonts w:cs="Times New Roman"/>
                <w:b/>
                <w:bCs/>
              </w:rPr>
              <w:t>Default</w:t>
            </w:r>
          </w:p>
        </w:tc>
        <w:tc>
          <w:tcPr>
            <w:tcW w:w="1173" w:type="dxa"/>
          </w:tcPr>
          <w:p w14:paraId="12B4C323" w14:textId="77777777" w:rsidR="00DB2913" w:rsidRPr="00AC6B05" w:rsidRDefault="00000000">
            <w:pPr>
              <w:rPr>
                <w:rFonts w:cs="Times New Roman"/>
              </w:rPr>
            </w:pPr>
            <w:r w:rsidRPr="00AC6B05">
              <w:rPr>
                <w:rFonts w:cs="Times New Roman"/>
                <w:b/>
                <w:bCs/>
              </w:rPr>
              <w:t>1.00</w:t>
            </w:r>
          </w:p>
        </w:tc>
        <w:tc>
          <w:tcPr>
            <w:tcW w:w="1173" w:type="dxa"/>
          </w:tcPr>
          <w:p w14:paraId="3BAECC57" w14:textId="77777777" w:rsidR="00DB2913" w:rsidRPr="00AC6B05" w:rsidRDefault="00000000">
            <w:pPr>
              <w:rPr>
                <w:rFonts w:cs="Times New Roman"/>
              </w:rPr>
            </w:pPr>
            <w:r w:rsidRPr="00AC6B05">
              <w:rPr>
                <w:rFonts w:cs="Times New Roman"/>
                <w:b/>
                <w:bCs/>
              </w:rPr>
              <w:t>−776</w:t>
            </w:r>
          </w:p>
        </w:tc>
        <w:tc>
          <w:tcPr>
            <w:tcW w:w="733" w:type="dxa"/>
          </w:tcPr>
          <w:p w14:paraId="3BE1E90B" w14:textId="77777777" w:rsidR="00DB2913" w:rsidRPr="00AC6B05" w:rsidRDefault="00000000">
            <w:pPr>
              <w:rPr>
                <w:rFonts w:cs="Times New Roman"/>
              </w:rPr>
            </w:pPr>
            <w:r w:rsidRPr="00AC6B05">
              <w:rPr>
                <w:rFonts w:cs="Times New Roman"/>
                <w:b/>
                <w:bCs/>
              </w:rPr>
              <w:t>5</w:t>
            </w:r>
          </w:p>
        </w:tc>
        <w:tc>
          <w:tcPr>
            <w:tcW w:w="1613" w:type="dxa"/>
          </w:tcPr>
          <w:p w14:paraId="64B610C1" w14:textId="77777777" w:rsidR="00DB2913" w:rsidRPr="00AC6B05" w:rsidRDefault="00000000">
            <w:pPr>
              <w:rPr>
                <w:rFonts w:cs="Times New Roman"/>
              </w:rPr>
            </w:pPr>
            <w:r w:rsidRPr="00AC6B05">
              <w:rPr>
                <w:rFonts w:cs="Times New Roman"/>
                <w:b/>
                <w:bCs/>
              </w:rPr>
              <w:t>1.00</w:t>
            </w:r>
          </w:p>
        </w:tc>
        <w:tc>
          <w:tcPr>
            <w:tcW w:w="1320" w:type="dxa"/>
          </w:tcPr>
          <w:p w14:paraId="37AD9A13" w14:textId="77777777" w:rsidR="00DB2913" w:rsidRPr="00AC6B05" w:rsidRDefault="00000000">
            <w:pPr>
              <w:rPr>
                <w:rFonts w:cs="Times New Roman"/>
              </w:rPr>
            </w:pPr>
            <w:r w:rsidRPr="00AC6B05">
              <w:rPr>
                <w:rFonts w:cs="Times New Roman"/>
                <w:b/>
                <w:bCs/>
              </w:rPr>
              <w:t>0.981</w:t>
            </w:r>
          </w:p>
        </w:tc>
      </w:tr>
    </w:tbl>
    <w:p w14:paraId="0B012D71" w14:textId="77777777" w:rsidR="00DB2913" w:rsidRPr="00AC6B05" w:rsidRDefault="00000000">
      <w:pPr>
        <w:pStyle w:val="BodyText"/>
        <w:rPr>
          <w:rFonts w:cs="Times New Roman"/>
        </w:rPr>
      </w:pPr>
      <w:r w:rsidRPr="00AC6B05">
        <w:rPr>
          <w:rFonts w:cs="Times New Roman"/>
          <w:b/>
          <w:bCs/>
        </w:rPr>
        <w:t>Smoothing σ (</w:t>
      </w:r>
      <w:r w:rsidRPr="00AC6B05">
        <w:rPr>
          <w:rFonts w:cs="Times New Roman"/>
          <w:b/>
          <w:bCs/>
          <w:i/>
          <w:iCs/>
        </w:rPr>
        <w:t>k</w:t>
      </w:r>
      <w:r w:rsidRPr="00AC6B05">
        <w:rPr>
          <w:rFonts w:cs="Times New Roman"/>
          <w:b/>
          <w:bCs/>
        </w:rPr>
        <w:t xml:space="preserve"> = 1):</w:t>
      </w:r>
      <w:r w:rsidRPr="00AC6B05">
        <w:rPr>
          <w:rFonts w:cs="Times New Roman"/>
        </w:rPr>
        <w:t xml:space="preserve"> σ = 0 yields 129 candidates (Phys. Ratio = 0.09), σ = 1 yields 27 (Phys. Ratio = 0.19), σ = 2 yields four peaks (Phys. Ratio = 1.0), and σ = 4, 8, and 16 each yield five peaks at Phys. Ratio = 1.0 on the in-house benchmark. σ = 8 was retained as the survey-scale default.</w:t>
      </w:r>
    </w:p>
    <w:p w14:paraId="47390485" w14:textId="77777777" w:rsidR="00DB2913" w:rsidRPr="00AC6B05" w:rsidRDefault="00000000">
      <w:pPr>
        <w:pStyle w:val="BodyText"/>
        <w:rPr>
          <w:rFonts w:cs="Times New Roman"/>
        </w:rPr>
      </w:pPr>
      <w:r w:rsidRPr="00AC6B05">
        <w:rPr>
          <w:rFonts w:cs="Times New Roman"/>
        </w:rPr>
        <w:t xml:space="preserve">CG-DPF peak detection averaged </w:t>
      </w:r>
      <w:r w:rsidRPr="00AC6B05">
        <w:rPr>
          <w:rFonts w:cs="Times New Roman"/>
          <w:b/>
          <w:bCs/>
        </w:rPr>
        <w:t>2 ms</w:t>
      </w:r>
      <w:r w:rsidRPr="00AC6B05">
        <w:rPr>
          <w:rFonts w:cs="Times New Roman"/>
        </w:rPr>
        <w:t xml:space="preserve"> per spectrum versus </w:t>
      </w:r>
      <w:r w:rsidRPr="00AC6B05">
        <w:rPr>
          <w:rFonts w:cs="Times New Roman"/>
          <w:b/>
          <w:bCs/>
        </w:rPr>
        <w:t>18 ms</w:t>
      </w:r>
      <w:r w:rsidRPr="00AC6B05">
        <w:rPr>
          <w:rFonts w:cs="Times New Roman"/>
        </w:rPr>
        <w:t xml:space="preserve"> for adaptive methods across the eight benchmark spectra (the Computing Environment section).</w:t>
      </w:r>
    </w:p>
    <w:p w14:paraId="716F2C31" w14:textId="77777777" w:rsidR="00DB2913" w:rsidRPr="00AC6B05" w:rsidRDefault="00000000">
      <w:pPr>
        <w:pStyle w:val="Heading3"/>
        <w:rPr>
          <w:rFonts w:ascii="Times New Roman" w:hAnsi="Times New Roman" w:cs="Times New Roman"/>
          <w:color w:val="000000" w:themeColor="text1"/>
        </w:rPr>
      </w:pPr>
      <w:bookmarkStart w:id="18" w:name="peak-assignments"/>
      <w:bookmarkEnd w:id="17"/>
      <w:r w:rsidRPr="00AC6B05">
        <w:rPr>
          <w:rFonts w:ascii="Times New Roman" w:hAnsi="Times New Roman" w:cs="Times New Roman"/>
          <w:color w:val="000000" w:themeColor="text1"/>
        </w:rPr>
        <w:t>Peak Assignments</w:t>
      </w:r>
    </w:p>
    <w:p w14:paraId="50FF57C0" w14:textId="274C2006" w:rsidR="00DB2913" w:rsidRPr="009C35A9" w:rsidRDefault="00000000">
      <w:pPr>
        <w:rPr>
          <w:rFonts w:cs="Times New Roman"/>
          <w:b/>
          <w:bCs/>
        </w:rPr>
      </w:pPr>
      <w:r w:rsidRPr="009C35A9">
        <w:rPr>
          <w:rFonts w:cs="Times New Roman"/>
          <w:b/>
          <w:bCs/>
        </w:rPr>
        <w:t xml:space="preserve">Table </w:t>
      </w:r>
      <w:r w:rsidR="009C35A9" w:rsidRPr="009C35A9">
        <w:rPr>
          <w:rFonts w:cs="Times New Roman"/>
          <w:b/>
          <w:bCs/>
        </w:rPr>
        <w:t>7</w:t>
      </w:r>
      <w:r w:rsidRPr="009C35A9">
        <w:rPr>
          <w:rFonts w:cs="Times New Roman"/>
          <w:b/>
          <w:bCs/>
        </w:rPr>
        <w:t xml:space="preserve">. CG-DPF centers with default (σ = 8, </w:t>
      </w:r>
      <w:r w:rsidRPr="009C35A9">
        <w:rPr>
          <w:rFonts w:cs="Times New Roman"/>
          <w:b/>
          <w:bCs/>
          <w:i/>
          <w:iCs/>
        </w:rPr>
        <w:t>k</w:t>
      </w:r>
      <w:r w:rsidRPr="009C35A9">
        <w:rPr>
          <w:rFonts w:cs="Times New Roman"/>
          <w:b/>
          <w:bCs/>
        </w:rPr>
        <w:t xml:space="preserve"> = 1) on example_spectrum.csv. Binding-energy labels are illustrative comparisons to tabulated core-level values [6]. CG-DPF does not perform chemical-state </w:t>
      </w:r>
      <w:r w:rsidR="009C35A9" w:rsidRPr="009C35A9">
        <w:rPr>
          <w:rFonts w:cs="Times New Roman"/>
          <w:b/>
          <w:bCs/>
        </w:rPr>
        <w:t>assignments</w:t>
      </w:r>
      <w:r w:rsidRPr="009C35A9">
        <w:rPr>
          <w:rFonts w:cs="Times New Roman"/>
          <w:b/>
          <w:bCs/>
        </w:rPr>
        <w:t>.</w:t>
      </w:r>
    </w:p>
    <w:tbl>
      <w:tblPr>
        <w:tblStyle w:val="GridTable1Light"/>
        <w:tblW w:w="5000" w:type="pct"/>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20" w:firstRow="1" w:lastRow="0" w:firstColumn="0" w:lastColumn="0" w:noHBand="0" w:noVBand="0"/>
      </w:tblPr>
      <w:tblGrid>
        <w:gridCol w:w="1609"/>
        <w:gridCol w:w="4472"/>
        <w:gridCol w:w="1610"/>
        <w:gridCol w:w="3221"/>
      </w:tblGrid>
      <w:tr w:rsidR="00DB2913" w:rsidRPr="00AC6B05" w14:paraId="5FB55E9F" w14:textId="77777777" w:rsidTr="00D91177">
        <w:trPr>
          <w:cnfStyle w:val="100000000000" w:firstRow="1" w:lastRow="0" w:firstColumn="0" w:lastColumn="0" w:oddVBand="0" w:evenVBand="0" w:oddHBand="0" w:evenHBand="0" w:firstRowFirstColumn="0" w:firstRowLastColumn="0" w:lastRowFirstColumn="0" w:lastRowLastColumn="0"/>
        </w:trPr>
        <w:tc>
          <w:tcPr>
            <w:tcW w:w="1168" w:type="dxa"/>
            <w:tcBorders>
              <w:bottom w:val="none" w:sz="0" w:space="0" w:color="auto"/>
            </w:tcBorders>
          </w:tcPr>
          <w:p w14:paraId="6ED635A4" w14:textId="77777777" w:rsidR="00DB2913" w:rsidRPr="00AC6B05" w:rsidRDefault="00000000">
            <w:pPr>
              <w:rPr>
                <w:rFonts w:cs="Times New Roman"/>
              </w:rPr>
            </w:pPr>
            <w:r w:rsidRPr="00AC6B05">
              <w:rPr>
                <w:rFonts w:cs="Times New Roman"/>
              </w:rPr>
              <w:t>Peak (eV)</w:t>
            </w:r>
          </w:p>
        </w:tc>
        <w:tc>
          <w:tcPr>
            <w:tcW w:w="3245" w:type="dxa"/>
            <w:tcBorders>
              <w:bottom w:val="none" w:sz="0" w:space="0" w:color="auto"/>
            </w:tcBorders>
          </w:tcPr>
          <w:p w14:paraId="2AD4CD10" w14:textId="77777777" w:rsidR="00DB2913" w:rsidRPr="00AC6B05" w:rsidRDefault="00000000">
            <w:pPr>
              <w:rPr>
                <w:rFonts w:cs="Times New Roman"/>
              </w:rPr>
            </w:pPr>
            <w:r w:rsidRPr="00AC6B05">
              <w:rPr>
                <w:rFonts w:cs="Times New Roman"/>
              </w:rPr>
              <w:t>Assignment (illustrative)</w:t>
            </w:r>
          </w:p>
        </w:tc>
        <w:tc>
          <w:tcPr>
            <w:tcW w:w="1168" w:type="dxa"/>
            <w:tcBorders>
              <w:bottom w:val="none" w:sz="0" w:space="0" w:color="auto"/>
            </w:tcBorders>
          </w:tcPr>
          <w:p w14:paraId="40CBBBA6" w14:textId="77777777" w:rsidR="00DB2913" w:rsidRPr="00AC6B05" w:rsidRDefault="00000000">
            <w:pPr>
              <w:rPr>
                <w:rFonts w:cs="Times New Roman"/>
              </w:rPr>
            </w:pPr>
            <w:r w:rsidRPr="00AC6B05">
              <w:rPr>
                <w:rFonts w:cs="Times New Roman"/>
              </w:rPr>
              <w:t>FWHM (eV)</w:t>
            </w:r>
          </w:p>
        </w:tc>
        <w:tc>
          <w:tcPr>
            <w:tcW w:w="2337" w:type="dxa"/>
            <w:tcBorders>
              <w:bottom w:val="none" w:sz="0" w:space="0" w:color="auto"/>
            </w:tcBorders>
          </w:tcPr>
          <w:p w14:paraId="62EAAB2A" w14:textId="77777777" w:rsidR="00DB2913" w:rsidRPr="00AC6B05" w:rsidRDefault="00000000">
            <w:pPr>
              <w:rPr>
                <w:rFonts w:cs="Times New Roman"/>
              </w:rPr>
            </w:pPr>
            <w:r w:rsidRPr="00AC6B05">
              <w:rPr>
                <w:rFonts w:cs="Times New Roman"/>
              </w:rPr>
              <w:t>Within FWHM window</w:t>
            </w:r>
          </w:p>
        </w:tc>
      </w:tr>
      <w:tr w:rsidR="00DB2913" w:rsidRPr="00AC6B05" w14:paraId="5594E107" w14:textId="77777777" w:rsidTr="00D91177">
        <w:tc>
          <w:tcPr>
            <w:tcW w:w="1168" w:type="dxa"/>
          </w:tcPr>
          <w:p w14:paraId="4BFBD6F9" w14:textId="77777777" w:rsidR="00DB2913" w:rsidRPr="00AC6B05" w:rsidRDefault="00000000">
            <w:pPr>
              <w:rPr>
                <w:rFonts w:cs="Times New Roman"/>
              </w:rPr>
            </w:pPr>
            <w:r w:rsidRPr="00AC6B05">
              <w:rPr>
                <w:rFonts w:cs="Times New Roman"/>
              </w:rPr>
              <w:t>103.25</w:t>
            </w:r>
          </w:p>
        </w:tc>
        <w:tc>
          <w:tcPr>
            <w:tcW w:w="3245" w:type="dxa"/>
          </w:tcPr>
          <w:p w14:paraId="1772E6CD" w14:textId="77777777" w:rsidR="00DB2913" w:rsidRPr="00AC6B05" w:rsidRDefault="00000000">
            <w:pPr>
              <w:rPr>
                <w:rFonts w:cs="Times New Roman"/>
              </w:rPr>
            </w:pPr>
            <w:r w:rsidRPr="00AC6B05">
              <w:rPr>
                <w:rFonts w:cs="Times New Roman"/>
              </w:rPr>
              <w:t>Si 2p</w:t>
            </w:r>
          </w:p>
        </w:tc>
        <w:tc>
          <w:tcPr>
            <w:tcW w:w="1168" w:type="dxa"/>
          </w:tcPr>
          <w:p w14:paraId="2E0CFFDF" w14:textId="77777777" w:rsidR="00DB2913" w:rsidRPr="00AC6B05" w:rsidRDefault="00000000">
            <w:pPr>
              <w:rPr>
                <w:rFonts w:cs="Times New Roman"/>
              </w:rPr>
            </w:pPr>
            <w:r w:rsidRPr="00AC6B05">
              <w:rPr>
                <w:rFonts w:cs="Times New Roman"/>
              </w:rPr>
              <w:t>2.49</w:t>
            </w:r>
          </w:p>
        </w:tc>
        <w:tc>
          <w:tcPr>
            <w:tcW w:w="2337" w:type="dxa"/>
          </w:tcPr>
          <w:p w14:paraId="43C0C6BC" w14:textId="77777777" w:rsidR="00DB2913" w:rsidRPr="00AC6B05" w:rsidRDefault="00000000">
            <w:pPr>
              <w:rPr>
                <w:rFonts w:cs="Times New Roman"/>
              </w:rPr>
            </w:pPr>
            <w:r w:rsidRPr="00AC6B05">
              <w:rPr>
                <w:rFonts w:cs="Times New Roman"/>
              </w:rPr>
              <w:t>Yes</w:t>
            </w:r>
          </w:p>
        </w:tc>
      </w:tr>
      <w:tr w:rsidR="00DB2913" w:rsidRPr="00AC6B05" w14:paraId="307BE836" w14:textId="77777777" w:rsidTr="00D91177">
        <w:tc>
          <w:tcPr>
            <w:tcW w:w="1168" w:type="dxa"/>
          </w:tcPr>
          <w:p w14:paraId="4B89B55D" w14:textId="77777777" w:rsidR="00DB2913" w:rsidRPr="00AC6B05" w:rsidRDefault="00000000">
            <w:pPr>
              <w:rPr>
                <w:rFonts w:cs="Times New Roman"/>
              </w:rPr>
            </w:pPr>
            <w:r w:rsidRPr="00AC6B05">
              <w:rPr>
                <w:rFonts w:cs="Times New Roman"/>
              </w:rPr>
              <w:t>154.16</w:t>
            </w:r>
          </w:p>
        </w:tc>
        <w:tc>
          <w:tcPr>
            <w:tcW w:w="3245" w:type="dxa"/>
          </w:tcPr>
          <w:p w14:paraId="7CFF993B" w14:textId="77777777" w:rsidR="00DB2913" w:rsidRPr="00AC6B05" w:rsidRDefault="00000000">
            <w:pPr>
              <w:rPr>
                <w:rFonts w:cs="Times New Roman"/>
              </w:rPr>
            </w:pPr>
            <w:r w:rsidRPr="00AC6B05">
              <w:rPr>
                <w:rFonts w:cs="Times New Roman"/>
              </w:rPr>
              <w:t>Si 2s</w:t>
            </w:r>
          </w:p>
        </w:tc>
        <w:tc>
          <w:tcPr>
            <w:tcW w:w="1168" w:type="dxa"/>
          </w:tcPr>
          <w:p w14:paraId="74A67493" w14:textId="77777777" w:rsidR="00DB2913" w:rsidRPr="00AC6B05" w:rsidRDefault="00000000">
            <w:pPr>
              <w:rPr>
                <w:rFonts w:cs="Times New Roman"/>
              </w:rPr>
            </w:pPr>
            <w:r w:rsidRPr="00AC6B05">
              <w:rPr>
                <w:rFonts w:cs="Times New Roman"/>
              </w:rPr>
              <w:t>3.15</w:t>
            </w:r>
          </w:p>
        </w:tc>
        <w:tc>
          <w:tcPr>
            <w:tcW w:w="2337" w:type="dxa"/>
          </w:tcPr>
          <w:p w14:paraId="30D32D41" w14:textId="77777777" w:rsidR="00DB2913" w:rsidRPr="00AC6B05" w:rsidRDefault="00000000">
            <w:pPr>
              <w:rPr>
                <w:rFonts w:cs="Times New Roman"/>
              </w:rPr>
            </w:pPr>
            <w:r w:rsidRPr="00AC6B05">
              <w:rPr>
                <w:rFonts w:cs="Times New Roman"/>
              </w:rPr>
              <w:t>Yes</w:t>
            </w:r>
          </w:p>
        </w:tc>
      </w:tr>
      <w:tr w:rsidR="00DB2913" w:rsidRPr="00AC6B05" w14:paraId="0B9600B1" w14:textId="77777777" w:rsidTr="00D91177">
        <w:tc>
          <w:tcPr>
            <w:tcW w:w="1168" w:type="dxa"/>
          </w:tcPr>
          <w:p w14:paraId="1C88320A" w14:textId="77777777" w:rsidR="00DB2913" w:rsidRPr="00AC6B05" w:rsidRDefault="00000000">
            <w:pPr>
              <w:rPr>
                <w:rFonts w:cs="Times New Roman"/>
              </w:rPr>
            </w:pPr>
            <w:r w:rsidRPr="00AC6B05">
              <w:rPr>
                <w:rFonts w:cs="Times New Roman"/>
              </w:rPr>
              <w:t>285.60</w:t>
            </w:r>
          </w:p>
        </w:tc>
        <w:tc>
          <w:tcPr>
            <w:tcW w:w="3245" w:type="dxa"/>
          </w:tcPr>
          <w:p w14:paraId="2FF47BFB" w14:textId="77777777" w:rsidR="00DB2913" w:rsidRPr="00AC6B05" w:rsidRDefault="00000000">
            <w:pPr>
              <w:rPr>
                <w:rFonts w:cs="Times New Roman"/>
              </w:rPr>
            </w:pPr>
            <w:r w:rsidRPr="00AC6B05">
              <w:rPr>
                <w:rFonts w:cs="Times New Roman"/>
              </w:rPr>
              <w:t>C 1s</w:t>
            </w:r>
          </w:p>
        </w:tc>
        <w:tc>
          <w:tcPr>
            <w:tcW w:w="1168" w:type="dxa"/>
          </w:tcPr>
          <w:p w14:paraId="51451790" w14:textId="77777777" w:rsidR="00DB2913" w:rsidRPr="00AC6B05" w:rsidRDefault="00000000">
            <w:pPr>
              <w:rPr>
                <w:rFonts w:cs="Times New Roman"/>
              </w:rPr>
            </w:pPr>
            <w:r w:rsidRPr="00AC6B05">
              <w:rPr>
                <w:rFonts w:cs="Times New Roman"/>
              </w:rPr>
              <w:t>2.91</w:t>
            </w:r>
          </w:p>
        </w:tc>
        <w:tc>
          <w:tcPr>
            <w:tcW w:w="2337" w:type="dxa"/>
          </w:tcPr>
          <w:p w14:paraId="62A5BECF" w14:textId="77777777" w:rsidR="00DB2913" w:rsidRPr="00AC6B05" w:rsidRDefault="00000000">
            <w:pPr>
              <w:rPr>
                <w:rFonts w:cs="Times New Roman"/>
              </w:rPr>
            </w:pPr>
            <w:r w:rsidRPr="00AC6B05">
              <w:rPr>
                <w:rFonts w:cs="Times New Roman"/>
              </w:rPr>
              <w:t>Yes</w:t>
            </w:r>
          </w:p>
        </w:tc>
      </w:tr>
      <w:tr w:rsidR="00DB2913" w:rsidRPr="00AC6B05" w14:paraId="3D86C7BD" w14:textId="77777777" w:rsidTr="00D91177">
        <w:tc>
          <w:tcPr>
            <w:tcW w:w="1168" w:type="dxa"/>
          </w:tcPr>
          <w:p w14:paraId="14A53296" w14:textId="77777777" w:rsidR="00DB2913" w:rsidRPr="00AC6B05" w:rsidRDefault="00000000">
            <w:pPr>
              <w:rPr>
                <w:rFonts w:cs="Times New Roman"/>
              </w:rPr>
            </w:pPr>
            <w:r w:rsidRPr="00AC6B05">
              <w:rPr>
                <w:rFonts w:cs="Times New Roman"/>
              </w:rPr>
              <w:t>532.53</w:t>
            </w:r>
          </w:p>
        </w:tc>
        <w:tc>
          <w:tcPr>
            <w:tcW w:w="3245" w:type="dxa"/>
          </w:tcPr>
          <w:p w14:paraId="20926562" w14:textId="77777777" w:rsidR="00DB2913" w:rsidRPr="00AC6B05" w:rsidRDefault="00000000">
            <w:pPr>
              <w:rPr>
                <w:rFonts w:cs="Times New Roman"/>
              </w:rPr>
            </w:pPr>
            <w:r w:rsidRPr="00AC6B05">
              <w:rPr>
                <w:rFonts w:cs="Times New Roman"/>
              </w:rPr>
              <w:t>O 1s</w:t>
            </w:r>
          </w:p>
        </w:tc>
        <w:tc>
          <w:tcPr>
            <w:tcW w:w="1168" w:type="dxa"/>
          </w:tcPr>
          <w:p w14:paraId="2B481F9E" w14:textId="77777777" w:rsidR="00DB2913" w:rsidRPr="00AC6B05" w:rsidRDefault="00000000">
            <w:pPr>
              <w:rPr>
                <w:rFonts w:cs="Times New Roman"/>
              </w:rPr>
            </w:pPr>
            <w:r w:rsidRPr="00AC6B05">
              <w:rPr>
                <w:rFonts w:cs="Times New Roman"/>
              </w:rPr>
              <w:t>2.49</w:t>
            </w:r>
          </w:p>
        </w:tc>
        <w:tc>
          <w:tcPr>
            <w:tcW w:w="2337" w:type="dxa"/>
          </w:tcPr>
          <w:p w14:paraId="08F1C106" w14:textId="77777777" w:rsidR="00DB2913" w:rsidRPr="00AC6B05" w:rsidRDefault="00000000">
            <w:pPr>
              <w:rPr>
                <w:rFonts w:cs="Times New Roman"/>
              </w:rPr>
            </w:pPr>
            <w:r w:rsidRPr="00AC6B05">
              <w:rPr>
                <w:rFonts w:cs="Times New Roman"/>
              </w:rPr>
              <w:t>Yes</w:t>
            </w:r>
          </w:p>
        </w:tc>
      </w:tr>
      <w:tr w:rsidR="00DB2913" w:rsidRPr="00AC6B05" w14:paraId="78C06F18" w14:textId="77777777" w:rsidTr="00D91177">
        <w:tc>
          <w:tcPr>
            <w:tcW w:w="1168" w:type="dxa"/>
          </w:tcPr>
          <w:p w14:paraId="76A97F37" w14:textId="77777777" w:rsidR="00DB2913" w:rsidRPr="00AC6B05" w:rsidRDefault="00000000">
            <w:pPr>
              <w:rPr>
                <w:rFonts w:cs="Times New Roman"/>
              </w:rPr>
            </w:pPr>
            <w:r w:rsidRPr="00AC6B05">
              <w:rPr>
                <w:rFonts w:cs="Times New Roman"/>
              </w:rPr>
              <w:lastRenderedPageBreak/>
              <w:t>687.91</w:t>
            </w:r>
          </w:p>
        </w:tc>
        <w:tc>
          <w:tcPr>
            <w:tcW w:w="3245" w:type="dxa"/>
          </w:tcPr>
          <w:p w14:paraId="5F824DDA" w14:textId="77777777" w:rsidR="00DB2913" w:rsidRPr="00AC6B05" w:rsidRDefault="00000000">
            <w:pPr>
              <w:rPr>
                <w:rFonts w:cs="Times New Roman"/>
              </w:rPr>
            </w:pPr>
            <w:r w:rsidRPr="00AC6B05">
              <w:rPr>
                <w:rFonts w:cs="Times New Roman"/>
              </w:rPr>
              <w:t>F 1s</w:t>
            </w:r>
          </w:p>
        </w:tc>
        <w:tc>
          <w:tcPr>
            <w:tcW w:w="1168" w:type="dxa"/>
          </w:tcPr>
          <w:p w14:paraId="24F17B30" w14:textId="77777777" w:rsidR="00DB2913" w:rsidRPr="00AC6B05" w:rsidRDefault="00000000">
            <w:pPr>
              <w:rPr>
                <w:rFonts w:cs="Times New Roman"/>
              </w:rPr>
            </w:pPr>
            <w:r w:rsidRPr="00AC6B05">
              <w:rPr>
                <w:rFonts w:cs="Times New Roman"/>
              </w:rPr>
              <w:t>5.33</w:t>
            </w:r>
          </w:p>
        </w:tc>
        <w:tc>
          <w:tcPr>
            <w:tcW w:w="2337" w:type="dxa"/>
          </w:tcPr>
          <w:p w14:paraId="5F0FB5DB" w14:textId="77777777" w:rsidR="00DB2913" w:rsidRPr="00AC6B05" w:rsidRDefault="00000000">
            <w:pPr>
              <w:rPr>
                <w:rFonts w:cs="Times New Roman"/>
              </w:rPr>
            </w:pPr>
            <w:r w:rsidRPr="00AC6B05">
              <w:rPr>
                <w:rFonts w:cs="Times New Roman"/>
              </w:rPr>
              <w:t>Yes</w:t>
            </w:r>
          </w:p>
        </w:tc>
      </w:tr>
    </w:tbl>
    <w:p w14:paraId="0972D213" w14:textId="77777777" w:rsidR="00DB2913" w:rsidRPr="00AC6B05" w:rsidRDefault="00000000">
      <w:pPr>
        <w:pStyle w:val="BodyText"/>
        <w:rPr>
          <w:rFonts w:cs="Times New Roman"/>
        </w:rPr>
      </w:pPr>
      <w:r w:rsidRPr="00AC6B05">
        <w:rPr>
          <w:rFonts w:cs="Times New Roman"/>
        </w:rPr>
        <w:t>With relaxed threshold (θ ≈ −248 eV²), N 1s at 399.67 eV (FWHM = 3.89 eV) is recovered with Phys. Ratio = 1.0.</w:t>
      </w:r>
    </w:p>
    <w:p w14:paraId="14F1DB2D" w14:textId="77777777" w:rsidR="00DB2913" w:rsidRPr="00AC6B05" w:rsidRDefault="00000000">
      <w:pPr>
        <w:pStyle w:val="Heading3"/>
        <w:rPr>
          <w:rFonts w:ascii="Times New Roman" w:hAnsi="Times New Roman" w:cs="Times New Roman"/>
          <w:color w:val="000000" w:themeColor="text1"/>
        </w:rPr>
      </w:pPr>
      <w:bookmarkStart w:id="19" w:name="visual-results"/>
      <w:bookmarkEnd w:id="18"/>
      <w:r w:rsidRPr="00AC6B05">
        <w:rPr>
          <w:rFonts w:ascii="Times New Roman" w:hAnsi="Times New Roman" w:cs="Times New Roman"/>
          <w:color w:val="000000" w:themeColor="text1"/>
        </w:rPr>
        <w:t>Visual Results</w:t>
      </w:r>
    </w:p>
    <w:p w14:paraId="172AF48E" w14:textId="77777777" w:rsidR="00991B3E" w:rsidRPr="00AC6B05" w:rsidRDefault="00000000" w:rsidP="00991B3E">
      <w:pPr>
        <w:rPr>
          <w:rFonts w:cs="Times New Roman"/>
        </w:rPr>
      </w:pPr>
      <w:r w:rsidRPr="00AC6B05">
        <w:rPr>
          <w:rFonts w:cs="Times New Roman"/>
        </w:rPr>
        <w:t>Figures are embedded in the exported workbook Charts sheet:</w:t>
      </w:r>
    </w:p>
    <w:p w14:paraId="3BF4F509" w14:textId="339BF9AE" w:rsidR="00DB2913" w:rsidRPr="00991B3E" w:rsidRDefault="00991B3E" w:rsidP="00D43F14">
      <w:pPr>
        <w:rPr>
          <w:rFonts w:cs="Times New Roman"/>
          <w:b/>
          <w:bCs/>
        </w:rPr>
      </w:pPr>
      <w:r w:rsidRPr="00991B3E">
        <w:rPr>
          <w:rFonts w:cs="Times New Roman"/>
          <w:b/>
          <w:bCs/>
        </w:rPr>
        <w:t xml:space="preserve">Figure 1. Spectrum: original, background-corrected, fitted overlay, and peak components (σ = 8, </w:t>
      </w:r>
      <w:r w:rsidRPr="00991B3E">
        <w:rPr>
          <w:rFonts w:cs="Times New Roman"/>
          <w:b/>
          <w:bCs/>
          <w:i/>
          <w:iCs/>
        </w:rPr>
        <w:t>k</w:t>
      </w:r>
      <w:r w:rsidRPr="00991B3E">
        <w:rPr>
          <w:rFonts w:cs="Times New Roman"/>
          <w:b/>
          <w:bCs/>
        </w:rPr>
        <w:t xml:space="preserve"> = 1).</w:t>
      </w:r>
    </w:p>
    <w:p w14:paraId="61A8EAD7" w14:textId="77777777" w:rsidR="00991B3E" w:rsidRPr="00AC6B05" w:rsidRDefault="00000000" w:rsidP="00991B3E">
      <w:pPr>
        <w:rPr>
          <w:rFonts w:cs="Times New Roman"/>
        </w:rPr>
      </w:pPr>
      <w:r w:rsidRPr="00AC6B05">
        <w:rPr>
          <w:rFonts w:cs="Times New Roman"/>
          <w:noProof/>
        </w:rPr>
        <w:drawing>
          <wp:inline distT="0" distB="0" distL="0" distR="0" wp14:anchorId="29A62D54" wp14:editId="6725C395">
            <wp:extent cx="6781800" cy="3387885"/>
            <wp:effectExtent l="0" t="0" r="0" b="0"/>
            <wp:docPr id="28" name="Picture" descr="Figure 1. Spectrum: original, background-corrected, fitted overlay, and peak components (σ = 8, k = 1)."/>
            <wp:cNvGraphicFramePr/>
            <a:graphic xmlns:a="http://schemas.openxmlformats.org/drawingml/2006/main">
              <a:graphicData uri="http://schemas.openxmlformats.org/drawingml/2006/picture">
                <pic:pic xmlns:pic="http://schemas.openxmlformats.org/drawingml/2006/picture">
                  <pic:nvPicPr>
                    <pic:cNvPr id="29" name="Picture" descr="figures/example_spectrum_Curvature_Guided_Derivative_Peak_Filtering_CG_DPF_sigma_8_multi_step_sigmoid_gaussian.png"/>
                    <pic:cNvPicPr>
                      <a:picLocks noChangeAspect="1" noChangeArrowheads="1"/>
                    </pic:cNvPicPr>
                  </pic:nvPicPr>
                  <pic:blipFill>
                    <a:blip r:embed="rId5"/>
                    <a:stretch>
                      <a:fillRect/>
                    </a:stretch>
                  </pic:blipFill>
                  <pic:spPr bwMode="auto">
                    <a:xfrm>
                      <a:off x="0" y="0"/>
                      <a:ext cx="6781800" cy="3387885"/>
                    </a:xfrm>
                    <a:prstGeom prst="rect">
                      <a:avLst/>
                    </a:prstGeom>
                    <a:noFill/>
                    <a:ln w="9525">
                      <a:noFill/>
                      <a:headEnd/>
                      <a:tailEnd/>
                    </a:ln>
                  </pic:spPr>
                </pic:pic>
              </a:graphicData>
            </a:graphic>
          </wp:inline>
        </w:drawing>
      </w:r>
    </w:p>
    <w:p w14:paraId="284618D1" w14:textId="77777777" w:rsidR="00991B3E" w:rsidRPr="00991B3E" w:rsidRDefault="00991B3E" w:rsidP="00991B3E">
      <w:pPr>
        <w:rPr>
          <w:rFonts w:cs="Times New Roman"/>
          <w:b/>
          <w:bCs/>
        </w:rPr>
      </w:pPr>
      <w:r w:rsidRPr="00991B3E">
        <w:rPr>
          <w:rFonts w:cs="Times New Roman"/>
          <w:b/>
          <w:bCs/>
        </w:rPr>
        <w:t>Figure 2. First derivative dI/dE with zero-crossing positions.</w:t>
      </w:r>
    </w:p>
    <w:p w14:paraId="5E4408B7" w14:textId="77777777" w:rsidR="00991B3E" w:rsidRDefault="00000000" w:rsidP="00991B3E">
      <w:pPr>
        <w:rPr>
          <w:rFonts w:cs="Times New Roman"/>
          <w:b/>
          <w:bCs/>
        </w:rPr>
      </w:pPr>
      <w:r w:rsidRPr="00AC6B05">
        <w:rPr>
          <w:rFonts w:cs="Times New Roman"/>
          <w:noProof/>
        </w:rPr>
        <w:drawing>
          <wp:inline distT="0" distB="0" distL="0" distR="0" wp14:anchorId="2ECD23B1" wp14:editId="0EDEFABF">
            <wp:extent cx="6781800" cy="3387885"/>
            <wp:effectExtent l="0" t="0" r="0" b="0"/>
            <wp:docPr id="31" name="Picture" descr="Figure 2. First derivative dI/dE with zero-crossing positions."/>
            <wp:cNvGraphicFramePr/>
            <a:graphic xmlns:a="http://schemas.openxmlformats.org/drawingml/2006/main">
              <a:graphicData uri="http://schemas.openxmlformats.org/drawingml/2006/picture">
                <pic:pic xmlns:pic="http://schemas.openxmlformats.org/drawingml/2006/picture">
                  <pic:nvPicPr>
                    <pic:cNvPr id="32" name="Picture" descr="figures/example_spectrum_Curvature_Guided_Derivative_Peak_Filtering_CG_DPF_sigma_8_multi_step_sigmoid_gaussian_first_derivative.png"/>
                    <pic:cNvPicPr>
                      <a:picLocks noChangeAspect="1" noChangeArrowheads="1"/>
                    </pic:cNvPicPr>
                  </pic:nvPicPr>
                  <pic:blipFill>
                    <a:blip r:embed="rId6"/>
                    <a:stretch>
                      <a:fillRect/>
                    </a:stretch>
                  </pic:blipFill>
                  <pic:spPr bwMode="auto">
                    <a:xfrm>
                      <a:off x="0" y="0"/>
                      <a:ext cx="6781800" cy="3387885"/>
                    </a:xfrm>
                    <a:prstGeom prst="rect">
                      <a:avLst/>
                    </a:prstGeom>
                    <a:noFill/>
                    <a:ln w="9525">
                      <a:noFill/>
                      <a:headEnd/>
                      <a:tailEnd/>
                    </a:ln>
                  </pic:spPr>
                </pic:pic>
              </a:graphicData>
            </a:graphic>
          </wp:inline>
        </w:drawing>
      </w:r>
      <w:r w:rsidR="00991B3E" w:rsidRPr="00991B3E">
        <w:rPr>
          <w:rFonts w:cs="Times New Roman"/>
          <w:b/>
          <w:bCs/>
        </w:rPr>
        <w:t xml:space="preserve"> </w:t>
      </w:r>
    </w:p>
    <w:p w14:paraId="2734D19B" w14:textId="5642DDCE" w:rsidR="00DB2913" w:rsidRPr="00991B3E" w:rsidRDefault="00991B3E" w:rsidP="00991B3E">
      <w:pPr>
        <w:rPr>
          <w:rFonts w:cs="Times New Roman"/>
          <w:b/>
          <w:bCs/>
        </w:rPr>
      </w:pPr>
      <w:r w:rsidRPr="00991B3E">
        <w:rPr>
          <w:rFonts w:cs="Times New Roman"/>
          <w:b/>
          <w:bCs/>
        </w:rPr>
        <w:lastRenderedPageBreak/>
        <w:t>Figure 3. Second derivative d²I/dE² with θ = −776 eV² (</w:t>
      </w:r>
      <w:r w:rsidRPr="00991B3E">
        <w:rPr>
          <w:rFonts w:cs="Times New Roman"/>
          <w:b/>
          <w:bCs/>
          <w:i/>
          <w:iCs/>
        </w:rPr>
        <w:t>k</w:t>
      </w:r>
      <w:r w:rsidRPr="00991B3E">
        <w:rPr>
          <w:rFonts w:cs="Times New Roman"/>
          <w:b/>
          <w:bCs/>
        </w:rPr>
        <w:t xml:space="preserve"> = 1). </w:t>
      </w:r>
    </w:p>
    <w:p w14:paraId="3059ED71" w14:textId="77777777" w:rsidR="00DB2913" w:rsidRPr="00AC6B05" w:rsidRDefault="00000000">
      <w:pPr>
        <w:rPr>
          <w:rFonts w:cs="Times New Roman"/>
        </w:rPr>
      </w:pPr>
      <w:r w:rsidRPr="00AC6B05">
        <w:rPr>
          <w:rFonts w:cs="Times New Roman"/>
          <w:noProof/>
        </w:rPr>
        <w:drawing>
          <wp:inline distT="0" distB="0" distL="0" distR="0" wp14:anchorId="1B4622C4" wp14:editId="6CB08793">
            <wp:extent cx="6781800" cy="3387885"/>
            <wp:effectExtent l="0" t="0" r="0" b="0"/>
            <wp:docPr id="34" name="Picture" descr="Figure 3. Second derivative d²I/dE² with θ = −776 eV² (k = 1). Candidates below the threshold line (negative curvature exceeding θ) are retained. The green/red markers denote FWHM-compliant / out-of-range widths after fitting."/>
            <wp:cNvGraphicFramePr/>
            <a:graphic xmlns:a="http://schemas.openxmlformats.org/drawingml/2006/main">
              <a:graphicData uri="http://schemas.openxmlformats.org/drawingml/2006/picture">
                <pic:pic xmlns:pic="http://schemas.openxmlformats.org/drawingml/2006/picture">
                  <pic:nvPicPr>
                    <pic:cNvPr id="35" name="Picture" descr="figures/example_spectrum_Curvature_Guided_Derivative_Peak_Filtering_CG_DPF_sigma_8_multi_step_sigmoid_gaussian_second_derivative.png"/>
                    <pic:cNvPicPr>
                      <a:picLocks noChangeAspect="1" noChangeArrowheads="1"/>
                    </pic:cNvPicPr>
                  </pic:nvPicPr>
                  <pic:blipFill>
                    <a:blip r:embed="rId7"/>
                    <a:stretch>
                      <a:fillRect/>
                    </a:stretch>
                  </pic:blipFill>
                  <pic:spPr bwMode="auto">
                    <a:xfrm>
                      <a:off x="0" y="0"/>
                      <a:ext cx="6781800" cy="3387885"/>
                    </a:xfrm>
                    <a:prstGeom prst="rect">
                      <a:avLst/>
                    </a:prstGeom>
                    <a:noFill/>
                    <a:ln w="9525">
                      <a:noFill/>
                      <a:headEnd/>
                      <a:tailEnd/>
                    </a:ln>
                  </pic:spPr>
                </pic:pic>
              </a:graphicData>
            </a:graphic>
          </wp:inline>
        </w:drawing>
      </w:r>
    </w:p>
    <w:p w14:paraId="04F6E27E" w14:textId="1AF0B076" w:rsidR="00DB2913" w:rsidRPr="00AC6B05" w:rsidRDefault="00A46BBA">
      <w:pPr>
        <w:rPr>
          <w:rFonts w:cs="Times New Roman"/>
        </w:rPr>
      </w:pPr>
      <w:r>
        <w:rPr>
          <w:rFonts w:cs="Times New Roman"/>
        </w:rPr>
        <w:t>I</w:t>
      </w:r>
      <w:r w:rsidR="00991B3E">
        <w:rPr>
          <w:rFonts w:cs="Times New Roman"/>
        </w:rPr>
        <w:t xml:space="preserve">n the system [1], </w:t>
      </w:r>
      <w:r w:rsidR="00991B3E" w:rsidRPr="00AC6B05">
        <w:rPr>
          <w:rFonts w:cs="Times New Roman"/>
        </w:rPr>
        <w:t>Candidates below the threshold line (negative curvature exceeding θ) are retained. The green/red markers denote FWHM-compliant / out-of-range widths after fitting.</w:t>
      </w:r>
    </w:p>
    <w:p w14:paraId="0E5BB878" w14:textId="77777777" w:rsidR="00DB2913" w:rsidRPr="00AC6B05" w:rsidRDefault="00000000">
      <w:pPr>
        <w:pStyle w:val="Heading2"/>
        <w:rPr>
          <w:rFonts w:cs="Times New Roman"/>
        </w:rPr>
      </w:pPr>
      <w:bookmarkStart w:id="20" w:name="discussion"/>
      <w:bookmarkEnd w:id="14"/>
      <w:bookmarkEnd w:id="19"/>
      <w:r w:rsidRPr="00AC6B05">
        <w:rPr>
          <w:rFonts w:cs="Times New Roman"/>
        </w:rPr>
        <w:t>DISCUSSION</w:t>
      </w:r>
    </w:p>
    <w:p w14:paraId="6FC08C03" w14:textId="77777777" w:rsidR="00DB2913" w:rsidRPr="00AC6B05" w:rsidRDefault="00000000">
      <w:pPr>
        <w:rPr>
          <w:rFonts w:cs="Times New Roman"/>
        </w:rPr>
      </w:pPr>
      <w:r w:rsidRPr="00AC6B05">
        <w:rPr>
          <w:rFonts w:cs="Times New Roman"/>
        </w:rPr>
        <w:t xml:space="preserve">CG-DPF </w:t>
      </w:r>
      <w:r w:rsidRPr="00AC6B05">
        <w:rPr>
          <w:rFonts w:cs="Times New Roman"/>
          <w:b/>
          <w:bCs/>
        </w:rPr>
        <w:t>does not replace expert interpretation</w:t>
      </w:r>
      <w:r w:rsidRPr="00AC6B05">
        <w:rPr>
          <w:rFonts w:cs="Times New Roman"/>
        </w:rPr>
        <w:t xml:space="preserve"> and </w:t>
      </w:r>
      <w:r w:rsidRPr="00AC6B05">
        <w:rPr>
          <w:rFonts w:cs="Times New Roman"/>
          <w:b/>
          <w:bCs/>
        </w:rPr>
        <w:t>does not determine chemical-state assignments</w:t>
      </w:r>
      <w:r w:rsidRPr="00AC6B05">
        <w:rPr>
          <w:rFonts w:cs="Times New Roman"/>
        </w:rPr>
        <w:t>, it supplies reproducible initial centers and width screening only. FWHM compliance does not imply chemical correctness.</w:t>
      </w:r>
    </w:p>
    <w:p w14:paraId="48C846AD" w14:textId="77777777" w:rsidR="00DB2913" w:rsidRPr="00AC6B05" w:rsidRDefault="00000000">
      <w:pPr>
        <w:pStyle w:val="BodyText"/>
        <w:rPr>
          <w:rFonts w:cs="Times New Roman"/>
        </w:rPr>
      </w:pPr>
      <w:r w:rsidRPr="00AC6B05">
        <w:rPr>
          <w:rFonts w:cs="Times New Roman"/>
          <w:b/>
          <w:bCs/>
        </w:rPr>
        <w:t>Evaluation limits.</w:t>
      </w:r>
      <w:r w:rsidRPr="00AC6B05">
        <w:rPr>
          <w:rFonts w:cs="Times New Roman"/>
        </w:rPr>
        <w:t xml:space="preserve"> The benchmark comprises eight survey spectra without expert-annotated ground-truth peak lists, reported metrics are surrogate measures. Precision, recall, and F1 require reference annotations not available here. The small corpus limits generalization, bootstrap or cross-validation on larger annotated datasets remains future work [3].</w:t>
      </w:r>
    </w:p>
    <w:p w14:paraId="464C30CA" w14:textId="77777777" w:rsidR="00DB2913" w:rsidRPr="00AC6B05" w:rsidRDefault="00000000">
      <w:pPr>
        <w:pStyle w:val="BodyText"/>
        <w:rPr>
          <w:rFonts w:cs="Times New Roman"/>
        </w:rPr>
      </w:pPr>
      <w:r w:rsidRPr="00AC6B05">
        <w:rPr>
          <w:rFonts w:cs="Times New Roman"/>
          <w:b/>
          <w:bCs/>
        </w:rPr>
        <w:t>Baseline coverage.</w:t>
      </w:r>
      <w:r w:rsidRPr="00AC6B05">
        <w:rPr>
          <w:rFonts w:cs="Times New Roman"/>
        </w:rPr>
        <w:t xml:space="preserve"> Quantitative comparison is limited to in-tool Adaptive Detection presets under identical preprocessing. Benchmark against Savitzky-Golay derivative peak picking [8], scipy.signal.find_peaks (implemented in SciPy [12]), MATLAB findpeaks, or wavelet detectors, was not conducted as such comparisons would strengthen claims of practical advantage but are outside the present software-unified study.</w:t>
      </w:r>
    </w:p>
    <w:p w14:paraId="73F89C55" w14:textId="77777777" w:rsidR="00DB2913" w:rsidRDefault="00000000">
      <w:pPr>
        <w:pStyle w:val="BodyText"/>
        <w:rPr>
          <w:rFonts w:cs="Times New Roman"/>
        </w:rPr>
      </w:pPr>
      <w:r w:rsidRPr="00AC6B05">
        <w:rPr>
          <w:rFonts w:cs="Times New Roman"/>
          <w:b/>
          <w:bCs/>
        </w:rPr>
        <w:t>Method limits.</w:t>
      </w:r>
      <w:r w:rsidRPr="00AC6B05">
        <w:rPr>
          <w:rFonts w:cs="Times New Roman"/>
        </w:rPr>
        <w:t xml:space="preserve"> CG-DPF requires expert threshold tuning for difficult spectra, derivative quality depends on energy sampling, low-SNR features may remain undetectable at conservative </w:t>
      </w:r>
      <w:r w:rsidRPr="00AC6B05">
        <w:rPr>
          <w:rFonts w:cs="Times New Roman"/>
          <w:i/>
          <w:iCs/>
        </w:rPr>
        <w:t>k</w:t>
      </w:r>
      <w:r w:rsidRPr="00AC6B05">
        <w:rPr>
          <w:rFonts w:cs="Times New Roman"/>
        </w:rPr>
        <w:t>, single-scale σ cannot optimally resolve peaks of very different widths, and peak-type classification (core-level vs. satellite vs. plasmon) remains the analyst’s responsibility. Asymmetric line shapes, minimum area, and binding-energy priors are not enforced. Full reproducibility additionally requires reporting TRF stopping tolerances and any non-default background model.</w:t>
      </w:r>
    </w:p>
    <w:p w14:paraId="739A05C9" w14:textId="46CFD270" w:rsidR="00F74174" w:rsidRPr="00AC6B05" w:rsidRDefault="009E3C0E">
      <w:pPr>
        <w:pStyle w:val="BodyText"/>
        <w:rPr>
          <w:rFonts w:cs="Times New Roman"/>
        </w:rPr>
      </w:pPr>
      <w:r w:rsidRPr="009E3C0E">
        <w:rPr>
          <w:rFonts w:cs="Times New Roman"/>
        </w:rPr>
        <w:t xml:space="preserve">CG-DPF should therefore be regarded as an </w:t>
      </w:r>
      <w:r w:rsidRPr="001910A2">
        <w:rPr>
          <w:rFonts w:cs="Times New Roman"/>
          <w:b/>
          <w:bCs/>
        </w:rPr>
        <w:t>optimizer-independent preprocessing and initialization strategy</w:t>
      </w:r>
      <w:r w:rsidRPr="009E3C0E">
        <w:rPr>
          <w:rFonts w:cs="Times New Roman"/>
        </w:rPr>
        <w:t>. It can be integrated with conventional Gaussian, Lorentzian, Voigt, or pseudo</w:t>
      </w:r>
      <w:r>
        <w:rPr>
          <w:rFonts w:cs="Times New Roman"/>
        </w:rPr>
        <w:t>-</w:t>
      </w:r>
      <w:r w:rsidRPr="009E3C0E">
        <w:rPr>
          <w:rFonts w:cs="Times New Roman"/>
        </w:rPr>
        <w:t>Voigt fitting workflows using Levenberg</w:t>
      </w:r>
      <w:r>
        <w:rPr>
          <w:rFonts w:cs="Times New Roman"/>
        </w:rPr>
        <w:t>-</w:t>
      </w:r>
      <w:r w:rsidRPr="009E3C0E">
        <w:rPr>
          <w:rFonts w:cs="Times New Roman"/>
        </w:rPr>
        <w:t>Marquardt, Trust Region Reflective, or other nonlinear least-squares optimizers</w:t>
      </w:r>
      <w:r w:rsidR="00F74174" w:rsidRPr="00F74174">
        <w:rPr>
          <w:rFonts w:cs="Times New Roman"/>
        </w:rPr>
        <w:t>.</w:t>
      </w:r>
    </w:p>
    <w:p w14:paraId="239258C0" w14:textId="77777777" w:rsidR="00DB2913" w:rsidRPr="00AC6B05" w:rsidRDefault="00000000">
      <w:pPr>
        <w:pStyle w:val="Heading2"/>
        <w:rPr>
          <w:rFonts w:cs="Times New Roman"/>
        </w:rPr>
      </w:pPr>
      <w:bookmarkStart w:id="21" w:name="conclusion"/>
      <w:bookmarkEnd w:id="20"/>
      <w:r w:rsidRPr="00AC6B05">
        <w:rPr>
          <w:rFonts w:cs="Times New Roman"/>
        </w:rPr>
        <w:lastRenderedPageBreak/>
        <w:t>CONCLUSION</w:t>
      </w:r>
    </w:p>
    <w:p w14:paraId="40637892" w14:textId="0CE2AC3D" w:rsidR="00DB2913" w:rsidRPr="00AC6B05" w:rsidRDefault="00000000">
      <w:pPr>
        <w:rPr>
          <w:rFonts w:cs="Times New Roman"/>
        </w:rPr>
      </w:pPr>
      <w:r w:rsidRPr="00AC6B05">
        <w:rPr>
          <w:rFonts w:cs="Times New Roman"/>
        </w:rPr>
        <w:t xml:space="preserve">This work aimed to improve the robustness and reproducibility of initial peak selection for sequential XPS spectral deconvolution by introducing an interpretable curvature-guided filtering framework. CG-DPF augments first-derivative zero-crossing detection with tunable second-derivative curvature filtering, reducing false positives (47 </w:t>
      </w:r>
      <w:r w:rsidR="00991B3E">
        <w:rPr>
          <w:rFonts w:cs="Times New Roman"/>
        </w:rPr>
        <w:t>to</w:t>
      </w:r>
      <w:r w:rsidRPr="00AC6B05">
        <w:rPr>
          <w:rFonts w:cs="Times New Roman"/>
        </w:rPr>
        <w:t xml:space="preserve"> 5 at σ = 8, </w:t>
      </w:r>
      <w:r w:rsidRPr="00AC6B05">
        <w:rPr>
          <w:rFonts w:cs="Times New Roman"/>
          <w:i/>
          <w:iCs/>
        </w:rPr>
        <w:t>k</w:t>
      </w:r>
      <w:r w:rsidRPr="00AC6B05">
        <w:rPr>
          <w:rFonts w:cs="Times New Roman"/>
        </w:rPr>
        <w:t xml:space="preserve"> = 1 on the in-house benchmark) while retaining major core-level features. The scientific contribution is a </w:t>
      </w:r>
      <w:r w:rsidRPr="00AC6B05">
        <w:rPr>
          <w:rFonts w:cs="Times New Roman"/>
          <w:b/>
          <w:bCs/>
        </w:rPr>
        <w:t>filtering strategy and reproducible workflow</w:t>
      </w:r>
      <w:r w:rsidRPr="00AC6B05">
        <w:rPr>
          <w:rFonts w:cs="Times New Roman"/>
        </w:rPr>
        <w:t xml:space="preserve"> curvature as a post-crossing acceptance criterion with logged thresholds, rather than a new differentiation formula. Validation on seven independent Suliga survey spectra confirms that CG-DPF consistently favors FWHM-compliant initialization over peak count relative to adaptive baselines (mean Phys. Ratio 0.66 vs. 0.30 for Adaptive Medium, Wilcoxon </w:t>
      </w:r>
      <w:r w:rsidRPr="00AC6B05">
        <w:rPr>
          <w:rFonts w:cs="Times New Roman"/>
          <w:i/>
          <w:iCs/>
        </w:rPr>
        <w:t>p</w:t>
      </w:r>
      <w:r w:rsidRPr="00AC6B05">
        <w:rPr>
          <w:rFonts w:cs="Times New Roman"/>
        </w:rPr>
        <w:t xml:space="preserve"> = 0.031, although the sample size is small). The default setting (</w:t>
      </w:r>
      <w:r w:rsidRPr="00AC6B05">
        <w:rPr>
          <w:rFonts w:cs="Times New Roman"/>
          <w:i/>
          <w:iCs/>
        </w:rPr>
        <w:t>k</w:t>
      </w:r>
      <w:r w:rsidRPr="00AC6B05">
        <w:rPr>
          <w:rFonts w:cs="Times New Roman"/>
        </w:rPr>
        <w:t xml:space="preserve"> = 1) supports conservative initialization, operational survey analysis may prefer </w:t>
      </w:r>
      <w:r w:rsidRPr="00AC6B05">
        <w:rPr>
          <w:rFonts w:cs="Times New Roman"/>
          <w:i/>
          <w:iCs/>
        </w:rPr>
        <w:t>k</w:t>
      </w:r>
      <w:r w:rsidRPr="00AC6B05">
        <w:rPr>
          <w:rFonts w:cs="Times New Roman"/>
        </w:rPr>
        <w:t xml:space="preserve"> ≈ 0.3-0.5 for improved recall (R² = 0.985 at </w:t>
      </w:r>
      <w:r w:rsidRPr="00AC6B05">
        <w:rPr>
          <w:rFonts w:cs="Times New Roman"/>
          <w:i/>
          <w:iCs/>
        </w:rPr>
        <w:t>k</w:t>
      </w:r>
      <w:r w:rsidRPr="00AC6B05">
        <w:rPr>
          <w:rFonts w:cs="Times New Roman"/>
        </w:rPr>
        <w:t xml:space="preserve"> ≈ 0.32 on the in-house benchmark). Transparent threshold control, integrated width screening, sequential fitting support, and reproducible workbook export provide an auditable initialization path between manual peak placement and fully automatic detection. The method is implemented in XPS Spectra Deconvolution Tool v2.3 [5]. The proposed workflow provides a practical middle ground between manual peak selection and fully automatic detection, offering improved transparency, reproducibility, and analyst control. Future work will evaluate CG-DPF on larger annotated XPS datasets and extend the framework with adaptive threshold selection and chemically informed constraints.</w:t>
      </w:r>
    </w:p>
    <w:p w14:paraId="43154311" w14:textId="77777777" w:rsidR="00DB2913" w:rsidRPr="00AC6B05" w:rsidRDefault="00000000">
      <w:pPr>
        <w:pStyle w:val="Heading2"/>
        <w:rPr>
          <w:rFonts w:cs="Times New Roman"/>
        </w:rPr>
      </w:pPr>
      <w:bookmarkStart w:id="22" w:name="acknowledgements"/>
      <w:bookmarkEnd w:id="21"/>
      <w:r w:rsidRPr="00AC6B05">
        <w:rPr>
          <w:rFonts w:cs="Times New Roman"/>
        </w:rPr>
        <w:t>ACKNOWLEDGEMENTS</w:t>
      </w:r>
    </w:p>
    <w:p w14:paraId="21BACEB3" w14:textId="61035D8F" w:rsidR="00DB2913" w:rsidRPr="00AC6B05" w:rsidRDefault="00000000">
      <w:pPr>
        <w:rPr>
          <w:rFonts w:cs="Times New Roman"/>
        </w:rPr>
      </w:pPr>
      <w:r w:rsidRPr="00AC6B05">
        <w:rPr>
          <w:rFonts w:cs="Times New Roman"/>
        </w:rPr>
        <w:t>This work was developed as part of the XPS Spectra Deconvolution Tool project. Thanks to the open-source Python ecosystem (NumPy, SciPy, Pandas, Flask) for the computational foundation. The Suliga survey spectra are used under their published Figshare license for external validation.</w:t>
      </w:r>
    </w:p>
    <w:p w14:paraId="1698759B" w14:textId="77777777" w:rsidR="00DB2913" w:rsidRPr="00AC6B05" w:rsidRDefault="00000000">
      <w:pPr>
        <w:pStyle w:val="Heading2"/>
        <w:rPr>
          <w:rFonts w:cs="Times New Roman"/>
        </w:rPr>
      </w:pPr>
      <w:bookmarkStart w:id="23" w:name="references"/>
      <w:bookmarkEnd w:id="22"/>
      <w:r w:rsidRPr="00AC6B05">
        <w:rPr>
          <w:rFonts w:cs="Times New Roman"/>
        </w:rPr>
        <w:t>REFERENCES</w:t>
      </w:r>
    </w:p>
    <w:p w14:paraId="71E48735" w14:textId="77777777" w:rsidR="00DB2913" w:rsidRPr="00AC6B05" w:rsidRDefault="00000000">
      <w:pPr>
        <w:numPr>
          <w:ilvl w:val="0"/>
          <w:numId w:val="15"/>
        </w:numPr>
        <w:rPr>
          <w:rFonts w:cs="Times New Roman"/>
        </w:rPr>
      </w:pPr>
      <w:r w:rsidRPr="00AC6B05">
        <w:rPr>
          <w:rFonts w:cs="Times New Roman"/>
        </w:rPr>
        <w:t>Bajrai, S., “XPS_Spectra_Deconvolution,” v2.4, Zenodo, 2026. https://doi.org/10.5281/zenodo.21143077</w:t>
      </w:r>
    </w:p>
    <w:p w14:paraId="6723FC87" w14:textId="77777777" w:rsidR="00DB2913" w:rsidRPr="00AC6B05" w:rsidRDefault="00000000">
      <w:pPr>
        <w:numPr>
          <w:ilvl w:val="0"/>
          <w:numId w:val="15"/>
        </w:numPr>
        <w:rPr>
          <w:rFonts w:cs="Times New Roman"/>
        </w:rPr>
      </w:pPr>
      <w:r w:rsidRPr="00AC6B05">
        <w:rPr>
          <w:rFonts w:cs="Times New Roman"/>
        </w:rPr>
        <w:t xml:space="preserve">Briggs, D. and Seah, M. P. (Eds.), </w:t>
      </w:r>
      <w:r w:rsidRPr="00AC6B05">
        <w:rPr>
          <w:rFonts w:cs="Times New Roman"/>
          <w:i/>
          <w:iCs/>
        </w:rPr>
        <w:t>Practical Surface Analysis, Volume 1: Auger and X-ray Photoelectron Spectroscopy</w:t>
      </w:r>
      <w:r w:rsidRPr="00AC6B05">
        <w:rPr>
          <w:rFonts w:cs="Times New Roman"/>
        </w:rPr>
        <w:t>, 2nd ed. Chichester, UK: John Wiley &amp; Sons, 1990.</w:t>
      </w:r>
    </w:p>
    <w:p w14:paraId="6A9BC60B" w14:textId="77777777" w:rsidR="00DB2913" w:rsidRPr="00AC6B05" w:rsidRDefault="00000000">
      <w:pPr>
        <w:numPr>
          <w:ilvl w:val="0"/>
          <w:numId w:val="15"/>
        </w:numPr>
        <w:rPr>
          <w:rFonts w:cs="Times New Roman"/>
        </w:rPr>
      </w:pPr>
      <w:r w:rsidRPr="00AC6B05">
        <w:rPr>
          <w:rFonts w:cs="Times New Roman"/>
        </w:rPr>
        <w:t xml:space="preserve">Efron, B. and Tibshirani, R. J., </w:t>
      </w:r>
      <w:r w:rsidRPr="00AC6B05">
        <w:rPr>
          <w:rFonts w:cs="Times New Roman"/>
          <w:i/>
          <w:iCs/>
        </w:rPr>
        <w:t>An Introduction to the Bootstrap</w:t>
      </w:r>
      <w:r w:rsidRPr="00AC6B05">
        <w:rPr>
          <w:rFonts w:cs="Times New Roman"/>
        </w:rPr>
        <w:t>. New York, NY, USA: Chapman &amp; Hall/CRC, 1993.</w:t>
      </w:r>
    </w:p>
    <w:p w14:paraId="75098FA0" w14:textId="77777777" w:rsidR="00DB2913" w:rsidRPr="00AC6B05" w:rsidRDefault="00000000">
      <w:pPr>
        <w:numPr>
          <w:ilvl w:val="0"/>
          <w:numId w:val="15"/>
        </w:numPr>
        <w:rPr>
          <w:rFonts w:cs="Times New Roman"/>
        </w:rPr>
      </w:pPr>
      <w:r w:rsidRPr="00AC6B05">
        <w:rPr>
          <w:rFonts w:cs="Times New Roman"/>
        </w:rPr>
        <w:t xml:space="preserve">Fairley, N., Fernandez, V., Richard-Plouet, M., Guillot-Deudon, C., Walton, M., Smith, E., Flahaut, D., Greiner, S., Biesinger, M., Tougaard, M., and Morgan, S., “Systematic and Collaborative Approach to Problem Solving Using X-ray Photoelectron Spectroscopy,” </w:t>
      </w:r>
      <w:r w:rsidRPr="00AC6B05">
        <w:rPr>
          <w:rFonts w:cs="Times New Roman"/>
          <w:i/>
          <w:iCs/>
        </w:rPr>
        <w:t>Applied Surface Science Advances</w:t>
      </w:r>
      <w:r w:rsidRPr="00AC6B05">
        <w:rPr>
          <w:rFonts w:cs="Times New Roman"/>
        </w:rPr>
        <w:t>, vol. 5, Article 100112, 2021. https://doi.org/10.1016/j.apsadv.2021.100112</w:t>
      </w:r>
    </w:p>
    <w:p w14:paraId="0AD7E217" w14:textId="77777777" w:rsidR="00DB2913" w:rsidRPr="00AC6B05" w:rsidRDefault="00000000">
      <w:pPr>
        <w:numPr>
          <w:ilvl w:val="0"/>
          <w:numId w:val="15"/>
        </w:numPr>
        <w:rPr>
          <w:rFonts w:cs="Times New Roman"/>
        </w:rPr>
      </w:pPr>
      <w:r w:rsidRPr="00AC6B05">
        <w:rPr>
          <w:rFonts w:cs="Times New Roman"/>
        </w:rPr>
        <w:t xml:space="preserve">Hiro, </w:t>
      </w:r>
      <w:r w:rsidRPr="00AC6B05">
        <w:rPr>
          <w:rFonts w:cs="Times New Roman"/>
          <w:i/>
          <w:iCs/>
        </w:rPr>
        <w:t>XPS Spectra Deconvolution Tool v2.3: Curvature-Guided Derivative Peak Filtering for Sequential XPS Spectral Deconvolution</w:t>
      </w:r>
      <w:r w:rsidRPr="00AC6B05">
        <w:rPr>
          <w:rFonts w:cs="Times New Roman"/>
        </w:rPr>
        <w:t xml:space="preserve"> (software), Version 2.3, 2026. Source code and benchmark datasets available from the project repository.</w:t>
      </w:r>
    </w:p>
    <w:p w14:paraId="170954AA" w14:textId="77777777" w:rsidR="00DB2913" w:rsidRPr="00AC6B05" w:rsidRDefault="00000000">
      <w:pPr>
        <w:numPr>
          <w:ilvl w:val="0"/>
          <w:numId w:val="15"/>
        </w:numPr>
        <w:rPr>
          <w:rFonts w:cs="Times New Roman"/>
        </w:rPr>
      </w:pPr>
      <w:r w:rsidRPr="00AC6B05">
        <w:rPr>
          <w:rFonts w:cs="Times New Roman"/>
        </w:rPr>
        <w:t xml:space="preserve">Lee, A. Y., Powell, C. J., Gorham, J. M., Morey, A., Scott, J. H. J., and Hanisch, R. J., “Development of the NIST X-ray Photoelectron Spectroscopy (XPS) Database, Version 5,” </w:t>
      </w:r>
      <w:r w:rsidRPr="00AC6B05">
        <w:rPr>
          <w:rFonts w:cs="Times New Roman"/>
          <w:i/>
          <w:iCs/>
        </w:rPr>
        <w:t>Data Science Journal</w:t>
      </w:r>
      <w:r w:rsidRPr="00AC6B05">
        <w:rPr>
          <w:rFonts w:cs="Times New Roman"/>
        </w:rPr>
        <w:t>, vol. 23, Article 45, 2024. https://doi.org/10.5334/dsj-2024-045</w:t>
      </w:r>
    </w:p>
    <w:p w14:paraId="5C01BC19" w14:textId="77777777" w:rsidR="00DB2913" w:rsidRPr="00AC6B05" w:rsidRDefault="00000000">
      <w:pPr>
        <w:numPr>
          <w:ilvl w:val="0"/>
          <w:numId w:val="15"/>
        </w:numPr>
        <w:rPr>
          <w:rFonts w:cs="Times New Roman"/>
        </w:rPr>
      </w:pPr>
      <w:r w:rsidRPr="00AC6B05">
        <w:rPr>
          <w:rFonts w:cs="Times New Roman"/>
        </w:rPr>
        <w:t xml:space="preserve">O’Haver, T. C., </w:t>
      </w:r>
      <w:r w:rsidRPr="00AC6B05">
        <w:rPr>
          <w:rFonts w:cs="Times New Roman"/>
          <w:i/>
          <w:iCs/>
        </w:rPr>
        <w:t>Introduction to Signal Processing in Chemical Spectroscopy</w:t>
      </w:r>
      <w:r w:rsidRPr="00AC6B05">
        <w:rPr>
          <w:rFonts w:cs="Times New Roman"/>
        </w:rPr>
        <w:t>. University of Maryland. Available: https://www.terpconnect.umd.edu/~toh/spectrum/Differentiation.html (accessed July 2026).</w:t>
      </w:r>
    </w:p>
    <w:p w14:paraId="4999E9B7" w14:textId="77777777" w:rsidR="00DB2913" w:rsidRPr="00AC6B05" w:rsidRDefault="00000000">
      <w:pPr>
        <w:numPr>
          <w:ilvl w:val="0"/>
          <w:numId w:val="15"/>
        </w:numPr>
        <w:rPr>
          <w:rFonts w:cs="Times New Roman"/>
        </w:rPr>
      </w:pPr>
      <w:r w:rsidRPr="00AC6B05">
        <w:rPr>
          <w:rFonts w:cs="Times New Roman"/>
        </w:rPr>
        <w:t xml:space="preserve">Savitzky, A. and Golay, M. J. E., “Smoothing and Differentiation of Data by Simplified Least Squares Procedures,” </w:t>
      </w:r>
      <w:r w:rsidRPr="00AC6B05">
        <w:rPr>
          <w:rFonts w:cs="Times New Roman"/>
          <w:i/>
          <w:iCs/>
        </w:rPr>
        <w:t>Analytical Chemistry</w:t>
      </w:r>
      <w:r w:rsidRPr="00AC6B05">
        <w:rPr>
          <w:rFonts w:cs="Times New Roman"/>
        </w:rPr>
        <w:t>, vol. 36, no. 8, pp. 1627-1639, 1964. https://doi.org/10.1021/ac60214a047</w:t>
      </w:r>
    </w:p>
    <w:p w14:paraId="30A7FB21" w14:textId="77777777" w:rsidR="00DB2913" w:rsidRPr="00AC6B05" w:rsidRDefault="00000000">
      <w:pPr>
        <w:numPr>
          <w:ilvl w:val="0"/>
          <w:numId w:val="15"/>
        </w:numPr>
        <w:rPr>
          <w:rFonts w:cs="Times New Roman"/>
        </w:rPr>
      </w:pPr>
      <w:r w:rsidRPr="00AC6B05">
        <w:rPr>
          <w:rFonts w:cs="Times New Roman"/>
        </w:rPr>
        <w:lastRenderedPageBreak/>
        <w:t xml:space="preserve">Shirley, D. A., “High-Resolution X-ray Photoemission Spectrum of the Valence Bands of Gold,” </w:t>
      </w:r>
      <w:r w:rsidRPr="00AC6B05">
        <w:rPr>
          <w:rFonts w:cs="Times New Roman"/>
          <w:i/>
          <w:iCs/>
        </w:rPr>
        <w:t>Physical Review B</w:t>
      </w:r>
      <w:r w:rsidRPr="00AC6B05">
        <w:rPr>
          <w:rFonts w:cs="Times New Roman"/>
        </w:rPr>
        <w:t>, vol. 5, no. 12, pp. 4709-4714, 1972. https://doi.org/10.1103/PhysRevB.5.4709</w:t>
      </w:r>
    </w:p>
    <w:p w14:paraId="3759FF2D" w14:textId="77777777" w:rsidR="00DB2913" w:rsidRPr="00AC6B05" w:rsidRDefault="00000000">
      <w:pPr>
        <w:numPr>
          <w:ilvl w:val="0"/>
          <w:numId w:val="15"/>
        </w:numPr>
        <w:rPr>
          <w:rFonts w:cs="Times New Roman"/>
        </w:rPr>
      </w:pPr>
      <w:r w:rsidRPr="00AC6B05">
        <w:rPr>
          <w:rFonts w:cs="Times New Roman"/>
        </w:rPr>
        <w:t>Suliga, A., “XPS data,” Figshare, 2018. https://doi.org/10.6084/m9.figshare.5671645</w:t>
      </w:r>
    </w:p>
    <w:p w14:paraId="129F2131" w14:textId="77777777" w:rsidR="00DB2913" w:rsidRPr="00AC6B05" w:rsidRDefault="00000000">
      <w:pPr>
        <w:numPr>
          <w:ilvl w:val="0"/>
          <w:numId w:val="15"/>
        </w:numPr>
        <w:rPr>
          <w:rFonts w:cs="Times New Roman"/>
        </w:rPr>
      </w:pPr>
      <w:r w:rsidRPr="00AC6B05">
        <w:rPr>
          <w:rFonts w:cs="Times New Roman"/>
        </w:rPr>
        <w:t xml:space="preserve">Tougaard, S., “Quantitative Analysis of the Inelastic Background in Surface Electron Spectroscopy,” </w:t>
      </w:r>
      <w:r w:rsidRPr="00AC6B05">
        <w:rPr>
          <w:rFonts w:cs="Times New Roman"/>
          <w:i/>
          <w:iCs/>
        </w:rPr>
        <w:t>Surface and Interface Analysis</w:t>
      </w:r>
      <w:r w:rsidRPr="00AC6B05">
        <w:rPr>
          <w:rFonts w:cs="Times New Roman"/>
        </w:rPr>
        <w:t>, vol. 11, no. 9, pp. 453-472, 1988. https://doi.org/10.1002/sia.740110902</w:t>
      </w:r>
    </w:p>
    <w:p w14:paraId="7DC8FEFB" w14:textId="77777777" w:rsidR="00DB2913" w:rsidRPr="00AC6B05" w:rsidRDefault="00000000">
      <w:pPr>
        <w:numPr>
          <w:ilvl w:val="0"/>
          <w:numId w:val="15"/>
        </w:numPr>
        <w:rPr>
          <w:rFonts w:cs="Times New Roman"/>
        </w:rPr>
      </w:pPr>
      <w:r w:rsidRPr="00AC6B05">
        <w:rPr>
          <w:rFonts w:cs="Times New Roman"/>
        </w:rPr>
        <w:t xml:space="preserve">Virtanen, P. et al., “SciPy 1.0: Fundamental Algorithms for Scientific Computing in Python,” </w:t>
      </w:r>
      <w:r w:rsidRPr="00AC6B05">
        <w:rPr>
          <w:rFonts w:cs="Times New Roman"/>
          <w:i/>
          <w:iCs/>
        </w:rPr>
        <w:t>Nature Methods</w:t>
      </w:r>
      <w:r w:rsidRPr="00AC6B05">
        <w:rPr>
          <w:rFonts w:cs="Times New Roman"/>
        </w:rPr>
        <w:t>, vol. 17, pp. 261-272, 2020. https://doi.org/10.1038/s41592-019-0686-2</w:t>
      </w:r>
    </w:p>
    <w:p w14:paraId="22EAED81" w14:textId="77777777" w:rsidR="00DB2913" w:rsidRPr="00AC6B05" w:rsidRDefault="00000000">
      <w:pPr>
        <w:numPr>
          <w:ilvl w:val="0"/>
          <w:numId w:val="15"/>
        </w:numPr>
        <w:rPr>
          <w:rFonts w:cs="Times New Roman"/>
        </w:rPr>
      </w:pPr>
      <w:r w:rsidRPr="00AC6B05">
        <w:rPr>
          <w:rFonts w:cs="Times New Roman"/>
        </w:rPr>
        <w:t xml:space="preserve">Workman Jr., J. and Weyer, L., “Derivative Spectroscopy,” in L. Weyer and J. Workman Jr. (Eds.), </w:t>
      </w:r>
      <w:r w:rsidRPr="00AC6B05">
        <w:rPr>
          <w:rFonts w:cs="Times New Roman"/>
          <w:i/>
          <w:iCs/>
        </w:rPr>
        <w:t>Handbook of Signal Processing in Spectroscopy</w:t>
      </w:r>
      <w:r w:rsidRPr="00AC6B05">
        <w:rPr>
          <w:rFonts w:cs="Times New Roman"/>
        </w:rPr>
        <w:t>, Academic Press, 2012, ch. 15, pp. 1-28.</w:t>
      </w:r>
      <w:bookmarkEnd w:id="23"/>
    </w:p>
    <w:sectPr w:rsidR="00DB2913" w:rsidRPr="00AC6B05" w:rsidSect="0027530B">
      <w:pgSz w:w="11906" w:h="16838" w:code="9"/>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24BA530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0" w15:restartNumberingAfterBreak="0">
    <w:nsid w:val="0000A991"/>
    <w:multiLevelType w:val="multilevel"/>
    <w:tmpl w:val="DCB6DF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0A99411"/>
    <w:multiLevelType w:val="multilevel"/>
    <w:tmpl w:val="9264A1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55498091">
    <w:abstractNumId w:val="8"/>
  </w:num>
  <w:num w:numId="2" w16cid:durableId="25175821">
    <w:abstractNumId w:val="6"/>
  </w:num>
  <w:num w:numId="3" w16cid:durableId="1179349321">
    <w:abstractNumId w:val="5"/>
  </w:num>
  <w:num w:numId="4" w16cid:durableId="1760251186">
    <w:abstractNumId w:val="4"/>
  </w:num>
  <w:num w:numId="5" w16cid:durableId="980621214">
    <w:abstractNumId w:val="7"/>
  </w:num>
  <w:num w:numId="6" w16cid:durableId="1166826791">
    <w:abstractNumId w:val="3"/>
  </w:num>
  <w:num w:numId="7" w16cid:durableId="1055010273">
    <w:abstractNumId w:val="2"/>
  </w:num>
  <w:num w:numId="8" w16cid:durableId="255599959">
    <w:abstractNumId w:val="1"/>
  </w:num>
  <w:num w:numId="9" w16cid:durableId="861090975">
    <w:abstractNumId w:val="0"/>
  </w:num>
  <w:num w:numId="10" w16cid:durableId="1203327950">
    <w:abstractNumId w:val="9"/>
  </w:num>
  <w:num w:numId="11" w16cid:durableId="603881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117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2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248649">
    <w:abstractNumId w:val="10"/>
  </w:num>
  <w:num w:numId="15" w16cid:durableId="1789662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CF4"/>
    <w:rsid w:val="00034616"/>
    <w:rsid w:val="0003632D"/>
    <w:rsid w:val="0006063C"/>
    <w:rsid w:val="00075846"/>
    <w:rsid w:val="000C32DE"/>
    <w:rsid w:val="0015074B"/>
    <w:rsid w:val="001910A2"/>
    <w:rsid w:val="0027530B"/>
    <w:rsid w:val="0029639D"/>
    <w:rsid w:val="00326F90"/>
    <w:rsid w:val="003D3772"/>
    <w:rsid w:val="00597D66"/>
    <w:rsid w:val="007971CF"/>
    <w:rsid w:val="007B0EF0"/>
    <w:rsid w:val="007F15E1"/>
    <w:rsid w:val="007F27A9"/>
    <w:rsid w:val="00821F25"/>
    <w:rsid w:val="008379F0"/>
    <w:rsid w:val="008840C7"/>
    <w:rsid w:val="008905FB"/>
    <w:rsid w:val="00923FB4"/>
    <w:rsid w:val="00991B3E"/>
    <w:rsid w:val="009C35A9"/>
    <w:rsid w:val="009E3C0E"/>
    <w:rsid w:val="00A46BBA"/>
    <w:rsid w:val="00A62597"/>
    <w:rsid w:val="00AA1D8D"/>
    <w:rsid w:val="00AC6B05"/>
    <w:rsid w:val="00AD77B2"/>
    <w:rsid w:val="00B40430"/>
    <w:rsid w:val="00B47730"/>
    <w:rsid w:val="00B62F74"/>
    <w:rsid w:val="00C61D18"/>
    <w:rsid w:val="00CB0664"/>
    <w:rsid w:val="00CC5EB5"/>
    <w:rsid w:val="00D43F14"/>
    <w:rsid w:val="00D91177"/>
    <w:rsid w:val="00DB2913"/>
    <w:rsid w:val="00E13481"/>
    <w:rsid w:val="00E25C47"/>
    <w:rsid w:val="00E4515D"/>
    <w:rsid w:val="00E47906"/>
    <w:rsid w:val="00EC3F0D"/>
    <w:rsid w:val="00F72222"/>
    <w:rsid w:val="00F741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B7A1D"/>
  <w15:docId w15:val="{9BC0ABF7-6B96-4C33-902F-1CACC013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7B0EF0"/>
    <w:pPr>
      <w:keepNext/>
      <w:keepLines/>
      <w:jc w:val="left"/>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B0EF0"/>
    <w:pPr>
      <w:keepNext/>
      <w:keepLines/>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C693F"/>
    <w:pPr>
      <w:keepNext/>
      <w:keepLines/>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B0EF0"/>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7B0EF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B0EF0"/>
    <w:pPr>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7B0EF0"/>
    <w:rPr>
      <w:rFonts w:ascii="Times New Roman" w:eastAsiaTheme="majorEastAsia" w:hAnsi="Times New Roman" w:cstheme="majorBidi"/>
      <w:b/>
      <w:spacing w:val="5"/>
      <w:kern w:val="28"/>
      <w:sz w:val="36"/>
      <w:szCs w:val="52"/>
    </w:rPr>
  </w:style>
  <w:style w:type="paragraph" w:styleId="Subtitle">
    <w:name w:val="Subtitle"/>
    <w:basedOn w:val="Normal"/>
    <w:next w:val="Normal"/>
    <w:link w:val="SubtitleChar"/>
    <w:uiPriority w:val="11"/>
    <w:qFormat/>
    <w:rsid w:val="007B0EF0"/>
    <w:pPr>
      <w:numPr>
        <w:ilvl w:val="1"/>
      </w:numPr>
      <w:jc w:val="center"/>
    </w:pPr>
    <w:rPr>
      <w:rFonts w:eastAsiaTheme="majorEastAsia" w:cstheme="majorBidi"/>
      <w:b/>
      <w:i/>
      <w:iCs/>
      <w:color w:val="4F81BD" w:themeColor="accent1"/>
      <w:spacing w:val="15"/>
      <w:szCs w:val="24"/>
    </w:rPr>
  </w:style>
  <w:style w:type="character" w:customStyle="1" w:styleId="SubtitleChar">
    <w:name w:val="Subtitle Char"/>
    <w:basedOn w:val="DefaultParagraphFont"/>
    <w:link w:val="Subtitle"/>
    <w:uiPriority w:val="11"/>
    <w:rsid w:val="007B0EF0"/>
    <w:rPr>
      <w:rFonts w:ascii="Times New Roman" w:eastAsiaTheme="majorEastAsia" w:hAnsi="Times New Roman" w:cstheme="majorBidi"/>
      <w:b/>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ind w:left="936" w:right="936"/>
    </w:pPr>
    <w:rPr>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table" w:styleId="GridTable1Light">
    <w:name w:val="Grid Table 1 Light"/>
    <w:basedOn w:val="TableNormal"/>
    <w:uiPriority w:val="99"/>
    <w:rsid w:val="003D37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12</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Curvature-Guided Derivative Peak Filtering for Robust Initialization of Sequential XPS Spectral Deconvolution</vt:lpstr>
    </vt:vector>
  </TitlesOfParts>
  <Manager/>
  <Company/>
  <LinksUpToDate>false</LinksUpToDate>
  <CharactersWithSpaces>28345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Curvature-Guided Derivative Peak Filtering for Robust Initialization of Sequential XPS Spectral Deconvolution</dc:title>
  <dc:creator/>
  <cp:keywords/>
  <cp:lastModifiedBy>(pg) Sayid Abdul-Nasir</cp:lastModifiedBy>
  <cp:revision>43</cp:revision>
  <dcterms:created xsi:type="dcterms:W3CDTF">2026-07-05T09:50:00Z</dcterms:created>
  <dcterms:modified xsi:type="dcterms:W3CDTF">2026-07-06T14:09:00Z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
  </property>
  <property fmtid="{D5CDD505-2E9C-101B-9397-08002B2CF9AE}" pid="3" name="bibliography">
    <vt:lpwstr>references.bib</vt:lpwstr>
  </property>
</Properties>
</file>