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AC4" w:rsidRDefault="00857AC4" w:rsidP="00857AC4">
      <w:pPr>
        <w:spacing w:before="100" w:beforeAutospacing="1" w:after="100" w:afterAutospacing="1"/>
        <w:jc w:val="center"/>
        <w:outlineLvl w:val="2"/>
        <w:rPr>
          <w:rFonts w:ascii="Times New Roman" w:eastAsia="Times New Roman" w:hAnsi="Times New Roman" w:cs="Times New Roman"/>
          <w:bCs/>
          <w:sz w:val="28"/>
          <w:szCs w:val="28"/>
        </w:rPr>
      </w:pPr>
      <w:r w:rsidRPr="00857AC4">
        <w:rPr>
          <w:rFonts w:ascii="Times New Roman" w:eastAsia="Times New Roman" w:hAnsi="Times New Roman" w:cs="Times New Roman"/>
          <w:bCs/>
          <w:sz w:val="28"/>
          <w:szCs w:val="28"/>
        </w:rPr>
        <w:t>Climate Change and Human Health: Interdisciplinary Challenges in Medicine, Policy, and Environment in Dire Dawa City, Ethiopia</w:t>
      </w:r>
    </w:p>
    <w:p w:rsidR="00857AC4" w:rsidRPr="00857AC4" w:rsidRDefault="00857AC4" w:rsidP="00857AC4">
      <w:pPr>
        <w:jc w:val="center"/>
        <w:rPr>
          <w:rStyle w:val="Strong"/>
          <w:rFonts w:ascii="Times New Roman" w:hAnsi="Times New Roman" w:cs="Times New Roman"/>
          <w:b w:val="0"/>
          <w:sz w:val="24"/>
          <w:szCs w:val="24"/>
          <w:shd w:val="clear" w:color="auto" w:fill="FFFFFF"/>
        </w:rPr>
      </w:pPr>
      <w:r w:rsidRPr="00857AC4">
        <w:rPr>
          <w:rStyle w:val="Strong"/>
          <w:rFonts w:ascii="Times New Roman" w:hAnsi="Times New Roman" w:cs="Times New Roman"/>
          <w:b w:val="0"/>
          <w:sz w:val="24"/>
          <w:szCs w:val="24"/>
          <w:shd w:val="clear" w:color="auto" w:fill="FFFFFF"/>
        </w:rPr>
        <w:t xml:space="preserve">Belay </w:t>
      </w:r>
      <w:proofErr w:type="spellStart"/>
      <w:r w:rsidRPr="00857AC4">
        <w:rPr>
          <w:rStyle w:val="Strong"/>
          <w:rFonts w:ascii="Times New Roman" w:hAnsi="Times New Roman" w:cs="Times New Roman"/>
          <w:b w:val="0"/>
          <w:sz w:val="24"/>
          <w:szCs w:val="24"/>
          <w:shd w:val="clear" w:color="auto" w:fill="FFFFFF"/>
        </w:rPr>
        <w:t>Sitotaw</w:t>
      </w:r>
      <w:proofErr w:type="spellEnd"/>
      <w:r w:rsidRPr="00857AC4">
        <w:rPr>
          <w:rStyle w:val="Strong"/>
          <w:rFonts w:ascii="Times New Roman" w:hAnsi="Times New Roman" w:cs="Times New Roman"/>
          <w:b w:val="0"/>
          <w:sz w:val="24"/>
          <w:szCs w:val="24"/>
          <w:shd w:val="clear" w:color="auto" w:fill="FFFFFF"/>
        </w:rPr>
        <w:t xml:space="preserve"> </w:t>
      </w:r>
      <w:proofErr w:type="spellStart"/>
      <w:r w:rsidRPr="00857AC4">
        <w:rPr>
          <w:rStyle w:val="Strong"/>
          <w:rFonts w:ascii="Times New Roman" w:hAnsi="Times New Roman" w:cs="Times New Roman"/>
          <w:b w:val="0"/>
          <w:sz w:val="24"/>
          <w:szCs w:val="24"/>
          <w:shd w:val="clear" w:color="auto" w:fill="FFFFFF"/>
        </w:rPr>
        <w:t>Goshu</w:t>
      </w:r>
      <w:proofErr w:type="spellEnd"/>
    </w:p>
    <w:p w:rsidR="00857AC4" w:rsidRPr="00857AC4" w:rsidRDefault="00857AC4" w:rsidP="00857AC4">
      <w:pPr>
        <w:jc w:val="center"/>
        <w:rPr>
          <w:rStyle w:val="Strong"/>
          <w:rFonts w:ascii="Times New Roman" w:hAnsi="Times New Roman" w:cs="Times New Roman"/>
          <w:b w:val="0"/>
          <w:sz w:val="24"/>
          <w:szCs w:val="24"/>
          <w:shd w:val="clear" w:color="auto" w:fill="FFFFFF"/>
        </w:rPr>
      </w:pPr>
      <w:r w:rsidRPr="00857AC4">
        <w:rPr>
          <w:rStyle w:val="Strong"/>
          <w:rFonts w:ascii="Times New Roman" w:hAnsi="Times New Roman" w:cs="Times New Roman"/>
          <w:b w:val="0"/>
          <w:sz w:val="24"/>
          <w:szCs w:val="24"/>
          <w:shd w:val="clear" w:color="auto" w:fill="FFFFFF"/>
        </w:rPr>
        <w:t>Department of Physics, Dire Dawa University, Dire Dawa, Ethiopia</w:t>
      </w:r>
    </w:p>
    <w:p w:rsidR="00857AC4" w:rsidRPr="00857AC4" w:rsidRDefault="00857AC4" w:rsidP="00857AC4">
      <w:pPr>
        <w:jc w:val="center"/>
        <w:rPr>
          <w:rStyle w:val="Strong"/>
          <w:rFonts w:ascii="Times New Roman" w:hAnsi="Times New Roman" w:cs="Times New Roman"/>
          <w:b w:val="0"/>
          <w:color w:val="404040"/>
          <w:sz w:val="24"/>
          <w:szCs w:val="24"/>
          <w:shd w:val="clear" w:color="auto" w:fill="FFFFFF"/>
        </w:rPr>
      </w:pPr>
      <w:r w:rsidRPr="00857AC4">
        <w:rPr>
          <w:rStyle w:val="Strong"/>
          <w:rFonts w:ascii="Times New Roman" w:hAnsi="Times New Roman" w:cs="Times New Roman"/>
          <w:b w:val="0"/>
          <w:sz w:val="24"/>
          <w:szCs w:val="24"/>
          <w:shd w:val="clear" w:color="auto" w:fill="FFFFFF"/>
        </w:rPr>
        <w:t>Email: belaysitotaw@gmail.com</w:t>
      </w:r>
    </w:p>
    <w:p w:rsidR="00857AC4" w:rsidRDefault="00857AC4" w:rsidP="00857AC4">
      <w:pPr>
        <w:rPr>
          <w:rFonts w:ascii="Times New Roman" w:hAnsi="Times New Roman" w:cs="Times New Roman"/>
          <w:bCs/>
          <w:sz w:val="24"/>
          <w:szCs w:val="24"/>
          <w:shd w:val="clear" w:color="auto" w:fill="FFFFFF"/>
        </w:rPr>
      </w:pPr>
      <w:r w:rsidRPr="00857AC4">
        <w:rPr>
          <w:rFonts w:ascii="Times New Roman" w:hAnsi="Times New Roman" w:cs="Times New Roman"/>
          <w:bCs/>
          <w:sz w:val="24"/>
          <w:szCs w:val="24"/>
          <w:shd w:val="clear" w:color="auto" w:fill="FFFFFF"/>
        </w:rPr>
        <w:t>Abstract</w:t>
      </w:r>
    </w:p>
    <w:p w:rsidR="00A076FC" w:rsidRDefault="00A076FC" w:rsidP="00A076FC">
      <w:pPr>
        <w:pStyle w:val="NormalWeb"/>
        <w:spacing w:line="276" w:lineRule="auto"/>
        <w:jc w:val="both"/>
      </w:pPr>
      <w:r>
        <w:t xml:space="preserve">This study investigates the multifaceted impacts of climate change on human health in Dire Dawa City, Ethiopia, integrating environmental, medical, and policy perspectives through a mixed-methods approach. Analyzing climate variables (e.g., temperature increase of 0.037°C/year, precipitation decline of -5 mm/year), health outcomes (dengue cases rising 800/year post-2013, malaria API 70.73/1,000, heat-related illnesses 50-300 annually), and research gaps (Social Equity gap 75.0, Community Engagement 65.0), the research reveals significant vulnerabilities. Environmental indices highlight urban hotspots (Urban Center Vulnerability Index 84.83, Health Impact Index 85.16) driven by water scarcity (87.5), air pollution (99.9), and temperature extremes (75.5), with strong correlations (r=0.73-1.00) to respiratory (90.1 incidence), waterborne (82.2), and heat-related illnesses (85.5). Cluster analysis identifies high-priority, low-funding domains (e.g., Policy Evaluation, gap 13.3, funding 48.3%) and emerging interdisciplinary needs (e.g., Technological Innovation, interdisciplinary score 80.0%). Statistical analyses (R²=0.72-0.85, p&lt;0.01) confirm climate-health linkages, while funding disparities (60.0% for technical vs. 20.0% for social domains) underscore policy implementation gaps. Despite frameworks like CRGE and H-NAP-II, data fragmentation and inequity persist, with projections of 87 hot days and 250,000 regional deaths by 2050 under 1.5°C warming. The study </w:t>
      </w:r>
      <w:r w:rsidR="00E14ECC">
        <w:t xml:space="preserve">proposes a comprehensive agenda, </w:t>
      </w:r>
      <w:r>
        <w:t>prioritizing Social Equity (81.5), Community Engagement (67.5), an</w:t>
      </w:r>
      <w:r w:rsidR="00E14ECC">
        <w:t xml:space="preserve">d Implementation Science (62.5), </w:t>
      </w:r>
      <w:r>
        <w:t>through interdisciplinary centers, funding mechanisms, and community-academic partnerships. These findings advocate for localized, equitable adaptations to mitigate escalating morbidity and economic losses (US$2-4 billion annually by 2030), offering a model for sub-Saharan African cities facing similar climate-health challenges.</w:t>
      </w:r>
    </w:p>
    <w:p w:rsidR="00A076FC" w:rsidRPr="00075DCC" w:rsidRDefault="00A076FC" w:rsidP="00075DCC">
      <w:pPr>
        <w:pStyle w:val="NormalWeb"/>
        <w:spacing w:line="276" w:lineRule="auto"/>
        <w:jc w:val="both"/>
      </w:pPr>
      <w:r w:rsidRPr="00A076FC">
        <w:rPr>
          <w:rStyle w:val="Strong"/>
          <w:b w:val="0"/>
        </w:rPr>
        <w:t>Keywords:</w:t>
      </w:r>
      <w:r>
        <w:t xml:space="preserve"> Climate Change, Health Impacts, Dire Dawa, Interdisciplinary Research, Social Equity</w:t>
      </w:r>
    </w:p>
    <w:p w:rsidR="00857AC4" w:rsidRPr="008C6BE5" w:rsidRDefault="00857AC4" w:rsidP="008C6BE5">
      <w:pPr>
        <w:pStyle w:val="ListParagraph"/>
        <w:numPr>
          <w:ilvl w:val="0"/>
          <w:numId w:val="3"/>
        </w:numPr>
        <w:spacing w:before="100" w:beforeAutospacing="1" w:after="100" w:afterAutospacing="1"/>
        <w:jc w:val="both"/>
        <w:outlineLvl w:val="2"/>
        <w:rPr>
          <w:rFonts w:ascii="Times New Roman" w:eastAsia="Times New Roman" w:hAnsi="Times New Roman" w:cs="Times New Roman"/>
          <w:bCs/>
          <w:sz w:val="24"/>
          <w:szCs w:val="24"/>
        </w:rPr>
      </w:pPr>
      <w:r w:rsidRPr="008C6BE5">
        <w:rPr>
          <w:rFonts w:ascii="Times New Roman" w:eastAsia="Times New Roman" w:hAnsi="Times New Roman" w:cs="Times New Roman"/>
          <w:bCs/>
          <w:sz w:val="24"/>
          <w:szCs w:val="24"/>
        </w:rPr>
        <w:t>Introduction</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Climate change poses profound threats to human health globally, with amplified effects in vulnerable regions like sub-Saharan Africa, where Ethiopia exemplifies the intersection of environmental shifts, policy inadequacies, and medical burdens (</w:t>
      </w:r>
      <w:proofErr w:type="spellStart"/>
      <w:r w:rsidRPr="00857AC4">
        <w:rPr>
          <w:rFonts w:ascii="Times New Roman" w:eastAsia="Times New Roman" w:hAnsi="Times New Roman" w:cs="Times New Roman"/>
          <w:sz w:val="24"/>
          <w:szCs w:val="24"/>
        </w:rPr>
        <w:t>Simane</w:t>
      </w:r>
      <w:proofErr w:type="spellEnd"/>
      <w:r w:rsidRPr="00857AC4">
        <w:rPr>
          <w:rFonts w:ascii="Times New Roman" w:eastAsia="Times New Roman" w:hAnsi="Times New Roman" w:cs="Times New Roman"/>
          <w:sz w:val="24"/>
          <w:szCs w:val="24"/>
        </w:rPr>
        <w:t xml:space="preserve"> et al., 2016). In Dire </w:t>
      </w:r>
      <w:r w:rsidRPr="00857AC4">
        <w:rPr>
          <w:rFonts w:ascii="Times New Roman" w:eastAsia="Times New Roman" w:hAnsi="Times New Roman" w:cs="Times New Roman"/>
          <w:sz w:val="24"/>
          <w:szCs w:val="24"/>
        </w:rPr>
        <w:lastRenderedPageBreak/>
        <w:t>Dawa City, Ethiopia's second-largest urban center, these challenges manifest through recurrent flash floods, urban heat islands, drought-induced water scarcity, and the spread of vector-borne diseases, exacerbating morbidity and mortality among its population of over 500,000 residents (IISD, 2024). Situated in a semi-arid zone prone to extreme weather, the city faces compounded risks from rapid urbanization, poor infrastructure, and limited adaptive capacity, leading to health crises such as dengue outbreaks and respiratory issues tied to air pollution (</w:t>
      </w:r>
      <w:proofErr w:type="spellStart"/>
      <w:r w:rsidRPr="00857AC4">
        <w:rPr>
          <w:rFonts w:ascii="Times New Roman" w:eastAsia="Times New Roman" w:hAnsi="Times New Roman" w:cs="Times New Roman"/>
          <w:sz w:val="24"/>
          <w:szCs w:val="24"/>
        </w:rPr>
        <w:t>Kasim</w:t>
      </w:r>
      <w:proofErr w:type="spellEnd"/>
      <w:r w:rsidRPr="00857AC4">
        <w:rPr>
          <w:rFonts w:ascii="Times New Roman" w:eastAsia="Times New Roman" w:hAnsi="Times New Roman" w:cs="Times New Roman"/>
          <w:sz w:val="24"/>
          <w:szCs w:val="24"/>
        </w:rPr>
        <w:t xml:space="preserve"> et al., 2018). Interdisciplinary approaches integrating medicine, policy, and environmental management are essential to mitigate these impacts, as single-sector responses fall short in addressing interconnected vulnerabilities (Ministry of Health, 2024). This study explores these challenges in Dire Dawa, highlighting the need for resilient health systems amid rising temperatures and erratic rainfall patterns projected to intensify by 2050 (Red Cross Red Crescent Climate Centre, 2021). By examining local data gaps and adaptation strategies, it aims to inform targeted interventions that safeguard public health while promoting sustainable development in this climate hotspot.</w:t>
      </w:r>
    </w:p>
    <w:p w:rsidR="008C6BE5"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Ethiopia, including Dire Dawa City, is highly susceptible to climate change due to its reliance on rain-fed agriculture, high poverty rates, and diverse ecosystems ranging from highlands to lowlands (</w:t>
      </w:r>
      <w:proofErr w:type="spellStart"/>
      <w:r w:rsidRPr="00857AC4">
        <w:rPr>
          <w:rFonts w:ascii="Times New Roman" w:eastAsia="Times New Roman" w:hAnsi="Times New Roman" w:cs="Times New Roman"/>
          <w:sz w:val="24"/>
          <w:szCs w:val="24"/>
        </w:rPr>
        <w:t>Simane</w:t>
      </w:r>
      <w:proofErr w:type="spellEnd"/>
      <w:r w:rsidRPr="00857AC4">
        <w:rPr>
          <w:rFonts w:ascii="Times New Roman" w:eastAsia="Times New Roman" w:hAnsi="Times New Roman" w:cs="Times New Roman"/>
          <w:sz w:val="24"/>
          <w:szCs w:val="24"/>
        </w:rPr>
        <w:t xml:space="preserve"> et al., 2016). Over the past 55 years, temperatures have risen by 0.37°C per decade, with increased frequency of hot days and nights, contributing to extreme events like droughts and floods (World Health Organization, </w:t>
      </w:r>
      <w:proofErr w:type="spellStart"/>
      <w:r w:rsidRPr="00857AC4">
        <w:rPr>
          <w:rFonts w:ascii="Times New Roman" w:eastAsia="Times New Roman" w:hAnsi="Times New Roman" w:cs="Times New Roman"/>
          <w:sz w:val="24"/>
          <w:szCs w:val="24"/>
        </w:rPr>
        <w:t>n.d.</w:t>
      </w:r>
      <w:proofErr w:type="spellEnd"/>
      <w:r w:rsidRPr="00857AC4">
        <w:rPr>
          <w:rFonts w:ascii="Times New Roman" w:eastAsia="Times New Roman" w:hAnsi="Times New Roman" w:cs="Times New Roman"/>
          <w:sz w:val="24"/>
          <w:szCs w:val="24"/>
        </w:rPr>
        <w:t>). In Dire Dawa, located in the Awash River Basin, these changes exacerbate flash floods, as seen in the 2006 disaster that caused over 614 deaths and displaced 22,000 people, damaging livelihoods and infrastructure (Federal Ministry of Health, 2018). Urban expansion has led to catchment degradation, reducing water security and increasing soil erosion, while groundwater levels decline amid population growth, with current supplies meeting only a third of demand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&amp; </w:t>
      </w:r>
      <w:proofErr w:type="spellStart"/>
      <w:r w:rsidRPr="00857AC4">
        <w:rPr>
          <w:rFonts w:ascii="Times New Roman" w:eastAsia="Times New Roman" w:hAnsi="Times New Roman" w:cs="Times New Roman"/>
          <w:sz w:val="24"/>
          <w:szCs w:val="24"/>
        </w:rPr>
        <w:t>Bekele</w:t>
      </w:r>
      <w:proofErr w:type="spellEnd"/>
      <w:r w:rsidRPr="00857AC4">
        <w:rPr>
          <w:rFonts w:ascii="Times New Roman" w:eastAsia="Times New Roman" w:hAnsi="Times New Roman" w:cs="Times New Roman"/>
          <w:sz w:val="24"/>
          <w:szCs w:val="24"/>
        </w:rPr>
        <w:t>, 2023).</w:t>
      </w:r>
    </w:p>
    <w:p w:rsid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 xml:space="preserve">Health impacts are multifaceted. Vector-borne diseases like malaria and dengue have expanded; dengue first emerged in Dire Dawa in 2013, affecting over 11,000, with annual outbreaks since, driven by warmer temperatures extending mosquito habitats (Ministry of Health, 2024). Projections indicate high rainfall and temperatures will boost dengue incidences, while malaria could shift to higher altitudes (Red Cross Red Crescent Climate Centre, 2021). Waterborne illnesses, such as diarrhea and cholera, surge during floods and droughts, linked to contaminated sources and poor sanitation, contributing to 19.97% of under-five mortality (World Health Organization, </w:t>
      </w:r>
      <w:proofErr w:type="spellStart"/>
      <w:r w:rsidRPr="00857AC4">
        <w:rPr>
          <w:rFonts w:ascii="Times New Roman" w:eastAsia="Times New Roman" w:hAnsi="Times New Roman" w:cs="Times New Roman"/>
          <w:sz w:val="24"/>
          <w:szCs w:val="24"/>
        </w:rPr>
        <w:t>n.d.</w:t>
      </w:r>
      <w:proofErr w:type="spellEnd"/>
      <w:r w:rsidRPr="00857AC4">
        <w:rPr>
          <w:rFonts w:ascii="Times New Roman" w:eastAsia="Times New Roman" w:hAnsi="Times New Roman" w:cs="Times New Roman"/>
          <w:sz w:val="24"/>
          <w:szCs w:val="24"/>
        </w:rPr>
        <w:t>). Air quality in Dire Dawa is poor, with elevated SO₂ and NO₂ levels exceeding standards, correlating with temperature rises and posing risks for respiratory and cardiovascular diseases (</w:t>
      </w:r>
      <w:proofErr w:type="spellStart"/>
      <w:r w:rsidRPr="00857AC4">
        <w:rPr>
          <w:rFonts w:ascii="Times New Roman" w:eastAsia="Times New Roman" w:hAnsi="Times New Roman" w:cs="Times New Roman"/>
          <w:sz w:val="24"/>
          <w:szCs w:val="24"/>
        </w:rPr>
        <w:t>Kasim</w:t>
      </w:r>
      <w:proofErr w:type="spellEnd"/>
      <w:r w:rsidRPr="00857AC4">
        <w:rPr>
          <w:rFonts w:ascii="Times New Roman" w:eastAsia="Times New Roman" w:hAnsi="Times New Roman" w:cs="Times New Roman"/>
          <w:sz w:val="24"/>
          <w:szCs w:val="24"/>
        </w:rPr>
        <w:t xml:space="preserve"> et al., 2018). Under</w:t>
      </w:r>
      <w:r>
        <w:rPr>
          <w:rFonts w:ascii="Times New Roman" w:eastAsia="Times New Roman" w:hAnsi="Times New Roman" w:cs="Times New Roman"/>
          <w:sz w:val="24"/>
          <w:szCs w:val="24"/>
        </w:rPr>
        <w:t>-</w:t>
      </w:r>
      <w:r w:rsidRPr="00857AC4">
        <w:rPr>
          <w:rFonts w:ascii="Times New Roman" w:eastAsia="Times New Roman" w:hAnsi="Times New Roman" w:cs="Times New Roman"/>
          <w:sz w:val="24"/>
          <w:szCs w:val="24"/>
        </w:rPr>
        <w:t>nutrition affects vulnerable groups, with stunting rates at 38% in 2016, worsened by food insecurity from erratic rains (Federal Ministry of Health, 2018).</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 xml:space="preserve"> Policy responses include Ethiopia's Climate Resilient Green Economy (CRGE) strategy and Health National Adaptation Plans (H-NAPs), aiming for resilient systems through surveillance </w:t>
      </w:r>
      <w:r w:rsidRPr="00857AC4">
        <w:rPr>
          <w:rFonts w:ascii="Times New Roman" w:eastAsia="Times New Roman" w:hAnsi="Times New Roman" w:cs="Times New Roman"/>
          <w:sz w:val="24"/>
          <w:szCs w:val="24"/>
        </w:rPr>
        <w:lastRenderedPageBreak/>
        <w:t>and infrastructure upgrades (Ministry of Health, 2024). In Dire Dawa, initiatives like the SUNCASA project focus on reforestation and green spaces to combat floods and heat (IISD, 2024). However, implementation faces hurdles like financial constraints and inter-</w:t>
      </w:r>
      <w:proofErr w:type="spellStart"/>
      <w:r w:rsidRPr="00857AC4">
        <w:rPr>
          <w:rFonts w:ascii="Times New Roman" w:eastAsia="Times New Roman" w:hAnsi="Times New Roman" w:cs="Times New Roman"/>
          <w:sz w:val="24"/>
          <w:szCs w:val="24"/>
        </w:rPr>
        <w:t>sectoral</w:t>
      </w:r>
      <w:proofErr w:type="spellEnd"/>
      <w:r w:rsidRPr="00857AC4">
        <w:rPr>
          <w:rFonts w:ascii="Times New Roman" w:eastAsia="Times New Roman" w:hAnsi="Times New Roman" w:cs="Times New Roman"/>
          <w:sz w:val="24"/>
          <w:szCs w:val="24"/>
        </w:rPr>
        <w:t xml:space="preserve"> coordination gaps (</w:t>
      </w:r>
      <w:proofErr w:type="spellStart"/>
      <w:r w:rsidRPr="00857AC4">
        <w:rPr>
          <w:rFonts w:ascii="Times New Roman" w:eastAsia="Times New Roman" w:hAnsi="Times New Roman" w:cs="Times New Roman"/>
          <w:sz w:val="24"/>
          <w:szCs w:val="24"/>
        </w:rPr>
        <w:t>Simane</w:t>
      </w:r>
      <w:proofErr w:type="spellEnd"/>
      <w:r w:rsidRPr="00857AC4">
        <w:rPr>
          <w:rFonts w:ascii="Times New Roman" w:eastAsia="Times New Roman" w:hAnsi="Times New Roman" w:cs="Times New Roman"/>
          <w:sz w:val="24"/>
          <w:szCs w:val="24"/>
        </w:rPr>
        <w:t xml:space="preserve"> et al., 2016). Environmental challenges, including biodiversity loss and pollution, further strain health outcomes, necessitate integrated approaches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&amp; </w:t>
      </w:r>
      <w:proofErr w:type="spellStart"/>
      <w:r w:rsidRPr="00857AC4">
        <w:rPr>
          <w:rFonts w:ascii="Times New Roman" w:eastAsia="Times New Roman" w:hAnsi="Times New Roman" w:cs="Times New Roman"/>
          <w:sz w:val="24"/>
          <w:szCs w:val="24"/>
        </w:rPr>
        <w:t>Bekele</w:t>
      </w:r>
      <w:proofErr w:type="spellEnd"/>
      <w:r w:rsidRPr="00857AC4">
        <w:rPr>
          <w:rFonts w:ascii="Times New Roman" w:eastAsia="Times New Roman" w:hAnsi="Times New Roman" w:cs="Times New Roman"/>
          <w:sz w:val="24"/>
          <w:szCs w:val="24"/>
        </w:rPr>
        <w:t>, 2023).</w:t>
      </w:r>
    </w:p>
    <w:p w:rsidR="00857AC4" w:rsidRPr="008C6BE5" w:rsidRDefault="00857AC4" w:rsidP="008C6BE5">
      <w:pPr>
        <w:pStyle w:val="ListParagraph"/>
        <w:numPr>
          <w:ilvl w:val="1"/>
          <w:numId w:val="3"/>
        </w:numPr>
        <w:spacing w:before="100" w:beforeAutospacing="1" w:after="100" w:afterAutospacing="1"/>
        <w:jc w:val="both"/>
        <w:outlineLvl w:val="2"/>
        <w:rPr>
          <w:rFonts w:ascii="Times New Roman" w:eastAsia="Times New Roman" w:hAnsi="Times New Roman" w:cs="Times New Roman"/>
          <w:bCs/>
          <w:sz w:val="24"/>
          <w:szCs w:val="24"/>
        </w:rPr>
      </w:pPr>
      <w:r w:rsidRPr="008C6BE5">
        <w:rPr>
          <w:rFonts w:ascii="Times New Roman" w:eastAsia="Times New Roman" w:hAnsi="Times New Roman" w:cs="Times New Roman"/>
          <w:bCs/>
          <w:sz w:val="24"/>
          <w:szCs w:val="24"/>
        </w:rPr>
        <w:t>Problem Statement and Research Gap</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 xml:space="preserve">In Dire Dawa City, climate change intensifies health vulnerabilities through frequent flash </w:t>
      </w:r>
      <w:r w:rsidR="00387F13" w:rsidRPr="00857AC4">
        <w:rPr>
          <w:rFonts w:ascii="Times New Roman" w:eastAsia="Times New Roman" w:hAnsi="Times New Roman" w:cs="Times New Roman"/>
          <w:sz w:val="24"/>
          <w:szCs w:val="24"/>
        </w:rPr>
        <w:t>floods;</w:t>
      </w:r>
      <w:r w:rsidRPr="00857AC4">
        <w:rPr>
          <w:rFonts w:ascii="Times New Roman" w:eastAsia="Times New Roman" w:hAnsi="Times New Roman" w:cs="Times New Roman"/>
          <w:sz w:val="24"/>
          <w:szCs w:val="24"/>
        </w:rPr>
        <w:t xml:space="preserve"> heat stress, and disease proliferation, yet local health systems lack resilience, leading to elevated morbidity and mortality (IISD, 2024). Despite Ethiopia's low Health Vulnerability Index for Dire Dawa (-0.247), emerging threats like dengue outbreaks since 2013 and poor air quality exceed standards, straining inadequate infrastructure and exacerbating inequalities among marginalized groups (World Health Organization, </w:t>
      </w:r>
      <w:proofErr w:type="spellStart"/>
      <w:r w:rsidRPr="00857AC4">
        <w:rPr>
          <w:rFonts w:ascii="Times New Roman" w:eastAsia="Times New Roman" w:hAnsi="Times New Roman" w:cs="Times New Roman"/>
          <w:sz w:val="24"/>
          <w:szCs w:val="24"/>
        </w:rPr>
        <w:t>n.d.</w:t>
      </w:r>
      <w:proofErr w:type="spellEnd"/>
      <w:r w:rsidRPr="00857AC4">
        <w:rPr>
          <w:rFonts w:ascii="Times New Roman" w:eastAsia="Times New Roman" w:hAnsi="Times New Roman" w:cs="Times New Roman"/>
          <w:sz w:val="24"/>
          <w:szCs w:val="24"/>
        </w:rPr>
        <w:t xml:space="preserve">; </w:t>
      </w:r>
      <w:proofErr w:type="spellStart"/>
      <w:r w:rsidRPr="00857AC4">
        <w:rPr>
          <w:rFonts w:ascii="Times New Roman" w:eastAsia="Times New Roman" w:hAnsi="Times New Roman" w:cs="Times New Roman"/>
          <w:sz w:val="24"/>
          <w:szCs w:val="24"/>
        </w:rPr>
        <w:t>Kasim</w:t>
      </w:r>
      <w:proofErr w:type="spellEnd"/>
      <w:r w:rsidRPr="00857AC4">
        <w:rPr>
          <w:rFonts w:ascii="Times New Roman" w:eastAsia="Times New Roman" w:hAnsi="Times New Roman" w:cs="Times New Roman"/>
          <w:sz w:val="24"/>
          <w:szCs w:val="24"/>
        </w:rPr>
        <w:t xml:space="preserve"> et al., 2018). Policy frameworks, such as the CRGE and H-NAPs, emphasize adaptation, but implementation is hampered by funding shortages, weak inter-</w:t>
      </w:r>
      <w:proofErr w:type="spellStart"/>
      <w:r w:rsidRPr="00857AC4">
        <w:rPr>
          <w:rFonts w:ascii="Times New Roman" w:eastAsia="Times New Roman" w:hAnsi="Times New Roman" w:cs="Times New Roman"/>
          <w:sz w:val="24"/>
          <w:szCs w:val="24"/>
        </w:rPr>
        <w:t>sectoral</w:t>
      </w:r>
      <w:proofErr w:type="spellEnd"/>
      <w:r w:rsidRPr="00857AC4">
        <w:rPr>
          <w:rFonts w:ascii="Times New Roman" w:eastAsia="Times New Roman" w:hAnsi="Times New Roman" w:cs="Times New Roman"/>
          <w:sz w:val="24"/>
          <w:szCs w:val="24"/>
        </w:rPr>
        <w:t xml:space="preserve"> collaboration, and data misalignment (Ministry of Health, 2024). Environmental degradation, including groundwater depletion and urban heat islands, compounds these issues, with water supplies insufficient for growing demands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&amp; </w:t>
      </w:r>
      <w:proofErr w:type="spellStart"/>
      <w:r w:rsidRPr="00857AC4">
        <w:rPr>
          <w:rFonts w:ascii="Times New Roman" w:eastAsia="Times New Roman" w:hAnsi="Times New Roman" w:cs="Times New Roman"/>
          <w:sz w:val="24"/>
          <w:szCs w:val="24"/>
        </w:rPr>
        <w:t>Bekele</w:t>
      </w:r>
      <w:proofErr w:type="spellEnd"/>
      <w:r w:rsidRPr="00857AC4">
        <w:rPr>
          <w:rFonts w:ascii="Times New Roman" w:eastAsia="Times New Roman" w:hAnsi="Times New Roman" w:cs="Times New Roman"/>
          <w:sz w:val="24"/>
          <w:szCs w:val="24"/>
        </w:rPr>
        <w:t>, 2023).</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Research gaps persist in Ethiopia, particularly in Dire Dawa-specific studies. While national assessments highlight vector-borne disease expansions and malnutrition risks, localized data on health-climate linkages are fragmented and methodologically inconsistent (</w:t>
      </w:r>
      <w:proofErr w:type="spellStart"/>
      <w:r w:rsidRPr="00857AC4">
        <w:rPr>
          <w:rFonts w:ascii="Times New Roman" w:eastAsia="Times New Roman" w:hAnsi="Times New Roman" w:cs="Times New Roman"/>
          <w:sz w:val="24"/>
          <w:szCs w:val="24"/>
        </w:rPr>
        <w:t>Simane</w:t>
      </w:r>
      <w:proofErr w:type="spellEnd"/>
      <w:r w:rsidRPr="00857AC4">
        <w:rPr>
          <w:rFonts w:ascii="Times New Roman" w:eastAsia="Times New Roman" w:hAnsi="Times New Roman" w:cs="Times New Roman"/>
          <w:sz w:val="24"/>
          <w:szCs w:val="24"/>
        </w:rPr>
        <w:t xml:space="preserve"> et al., 2016). There is a dearth of interdisciplinary research integrating medicine, policy, and environment, with limited baseline data, insufficient training in climate modeling, and poor evaluation of adaptation efficacy (Red Cross Red Crescent Climate Centre, 2021). Gender and community dimensions are overlooked in policies, and monitoring systems fail to align climate and health metrics, hindering evidence-based interventions (Federal Ministry of Health, 2018). This study addresses these voids by focusing on Dire Dawa's unique urban context. more</w:t>
      </w:r>
    </w:p>
    <w:p w:rsidR="00857AC4" w:rsidRPr="008C6BE5" w:rsidRDefault="00857AC4" w:rsidP="008C6BE5">
      <w:pPr>
        <w:pStyle w:val="ListParagraph"/>
        <w:numPr>
          <w:ilvl w:val="1"/>
          <w:numId w:val="3"/>
        </w:numPr>
        <w:spacing w:before="100" w:beforeAutospacing="1" w:after="100" w:afterAutospacing="1"/>
        <w:jc w:val="both"/>
        <w:outlineLvl w:val="2"/>
        <w:rPr>
          <w:rFonts w:ascii="Times New Roman" w:eastAsia="Times New Roman" w:hAnsi="Times New Roman" w:cs="Times New Roman"/>
          <w:bCs/>
          <w:sz w:val="24"/>
          <w:szCs w:val="24"/>
        </w:rPr>
      </w:pPr>
      <w:r w:rsidRPr="008C6BE5">
        <w:rPr>
          <w:rFonts w:ascii="Times New Roman" w:eastAsia="Times New Roman" w:hAnsi="Times New Roman" w:cs="Times New Roman"/>
          <w:bCs/>
          <w:sz w:val="24"/>
          <w:szCs w:val="24"/>
        </w:rPr>
        <w:t>Objectives</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The main purpose of the study is to </w:t>
      </w:r>
      <w:r w:rsidRPr="00857AC4">
        <w:rPr>
          <w:rFonts w:ascii="Times New Roman" w:eastAsia="Times New Roman" w:hAnsi="Times New Roman" w:cs="Times New Roman"/>
          <w:sz w:val="24"/>
          <w:szCs w:val="24"/>
        </w:rPr>
        <w:t>examine the interdisciplinary challenges of climate change on human health in Dire Dawa City, Ethiopia, across medicine, policy, and environmental domains, and propose integrated adaptation strategies.</w:t>
      </w:r>
      <w:r>
        <w:rPr>
          <w:rFonts w:ascii="Times New Roman" w:eastAsia="Times New Roman" w:hAnsi="Times New Roman" w:cs="Times New Roman"/>
          <w:sz w:val="24"/>
          <w:szCs w:val="24"/>
        </w:rPr>
        <w:t xml:space="preserve"> The specific objectives are</w:t>
      </w:r>
    </w:p>
    <w:p w:rsidR="00857AC4" w:rsidRDefault="00857AC4" w:rsidP="00857AC4">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To assess the direct and indirect health impacts of climate change, including vector-borne diseases and heat-related illnesses, in Dire Dawa.</w:t>
      </w:r>
    </w:p>
    <w:p w:rsidR="00857AC4" w:rsidRDefault="00857AC4" w:rsidP="00857AC4">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To evaluate existing policy frameworks and identify implementation barriers for climate-resilient health systems.</w:t>
      </w:r>
    </w:p>
    <w:p w:rsidR="00857AC4" w:rsidRDefault="00857AC4" w:rsidP="00857AC4">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lastRenderedPageBreak/>
        <w:t>To analyze environmental factors, such as water scarcity and air pollution, contributing to health vulnerabilities.</w:t>
      </w:r>
    </w:p>
    <w:p w:rsidR="00857AC4" w:rsidRPr="00857AC4" w:rsidRDefault="00857AC4" w:rsidP="00857AC4">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To identify research gaps and recommend interdisciplinary interventions for enhanced adaptation and resilience.</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the fulfillments of those objectives, the study is significant </w:t>
      </w:r>
      <w:r w:rsidRPr="00857AC4">
        <w:rPr>
          <w:rFonts w:ascii="Times New Roman" w:eastAsia="Times New Roman" w:hAnsi="Times New Roman" w:cs="Times New Roman"/>
          <w:sz w:val="24"/>
          <w:szCs w:val="24"/>
        </w:rPr>
        <w:t xml:space="preserve">holds critical value for Dire Dawa City by providing localized insights into climate-health nexus, informing targeted interventions that reduce morbidity from diseases like dengue and improve water security amid urbanization (Ministry of Health, 2024;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&amp; </w:t>
      </w:r>
      <w:proofErr w:type="spellStart"/>
      <w:r w:rsidRPr="00857AC4">
        <w:rPr>
          <w:rFonts w:ascii="Times New Roman" w:eastAsia="Times New Roman" w:hAnsi="Times New Roman" w:cs="Times New Roman"/>
          <w:sz w:val="24"/>
          <w:szCs w:val="24"/>
        </w:rPr>
        <w:t>Bekele</w:t>
      </w:r>
      <w:proofErr w:type="spellEnd"/>
      <w:r w:rsidRPr="00857AC4">
        <w:rPr>
          <w:rFonts w:ascii="Times New Roman" w:eastAsia="Times New Roman" w:hAnsi="Times New Roman" w:cs="Times New Roman"/>
          <w:sz w:val="24"/>
          <w:szCs w:val="24"/>
        </w:rPr>
        <w:t>, 2023). It bridges gaps in Ethiopia's fragmented studies, enhancing policy efficacy through interdisciplinary recommendations aligned with H-NAPs and CRGE, potentially saving lives and resources (</w:t>
      </w:r>
      <w:proofErr w:type="spellStart"/>
      <w:r w:rsidRPr="00857AC4">
        <w:rPr>
          <w:rFonts w:ascii="Times New Roman" w:eastAsia="Times New Roman" w:hAnsi="Times New Roman" w:cs="Times New Roman"/>
          <w:sz w:val="24"/>
          <w:szCs w:val="24"/>
        </w:rPr>
        <w:t>Simane</w:t>
      </w:r>
      <w:proofErr w:type="spellEnd"/>
      <w:r w:rsidRPr="00857AC4">
        <w:rPr>
          <w:rFonts w:ascii="Times New Roman" w:eastAsia="Times New Roman" w:hAnsi="Times New Roman" w:cs="Times New Roman"/>
          <w:sz w:val="24"/>
          <w:szCs w:val="24"/>
        </w:rPr>
        <w:t xml:space="preserve"> et al., 2016). By highlighting vulnerabilities, it supports equitable health access for marginalized groups, contributing to sustainable development goals and global climate adaptation efforts (World Health Organization, </w:t>
      </w:r>
      <w:proofErr w:type="spellStart"/>
      <w:r w:rsidRPr="00857AC4">
        <w:rPr>
          <w:rFonts w:ascii="Times New Roman" w:eastAsia="Times New Roman" w:hAnsi="Times New Roman" w:cs="Times New Roman"/>
          <w:sz w:val="24"/>
          <w:szCs w:val="24"/>
        </w:rPr>
        <w:t>n.d.</w:t>
      </w:r>
      <w:proofErr w:type="spellEnd"/>
      <w:r w:rsidRPr="00857AC4">
        <w:rPr>
          <w:rFonts w:ascii="Times New Roman" w:eastAsia="Times New Roman" w:hAnsi="Times New Roman" w:cs="Times New Roman"/>
          <w:sz w:val="24"/>
          <w:szCs w:val="24"/>
        </w:rPr>
        <w:t>). Ultimately, findings could model responses for similar African cities, fostering resilience and reducing economic burdens from health crises (IISD, 2024).</w:t>
      </w:r>
    </w:p>
    <w:p w:rsidR="00857AC4" w:rsidRPr="00857AC4" w:rsidRDefault="008C6BE5" w:rsidP="00857AC4">
      <w:pPr>
        <w:spacing w:before="100" w:beforeAutospacing="1" w:after="100" w:afterAutospacing="1"/>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00857AC4" w:rsidRPr="00857AC4">
        <w:rPr>
          <w:rFonts w:ascii="Times New Roman" w:eastAsia="Times New Roman" w:hAnsi="Times New Roman" w:cs="Times New Roman"/>
          <w:bCs/>
          <w:sz w:val="24"/>
          <w:szCs w:val="24"/>
        </w:rPr>
        <w:t>Research Methods</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 xml:space="preserve">This study employs a mixed-methods research design to comprehensively investigate the interdisciplinary challenges of climate change on human health in Dire Dawa City, Ethiopia, integrating quantitative and qualitative approaches across medicine, policy, and environmental domains. Mixed-methods designs are particularly suitable for complex, multifaceted issues like climate-health intersections, allowing for triangulation of data to enhance validity and depth (Creswell &amp; Plano Clark, 2017). The quantitative component will provide measurable insights into health impacts and vulnerabilities, while the qualitative aspect will explore contextual nuances in policy implementation and environmental factors. This approach aligns with previous studies in Ethiopia that have used similar frameworks to assess climate-related health risks. </w:t>
      </w:r>
    </w:p>
    <w:p w:rsidR="00857AC4" w:rsidRPr="00857AC4" w:rsidRDefault="008C6BE5" w:rsidP="00857AC4">
      <w:pPr>
        <w:spacing w:before="100" w:beforeAutospacing="1" w:after="100" w:afterAutospacing="1"/>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2.1. </w:t>
      </w:r>
      <w:r w:rsidR="00857AC4" w:rsidRPr="00857AC4">
        <w:rPr>
          <w:rFonts w:ascii="Times New Roman" w:eastAsia="Times New Roman" w:hAnsi="Times New Roman" w:cs="Times New Roman"/>
          <w:bCs/>
          <w:sz w:val="24"/>
          <w:szCs w:val="24"/>
        </w:rPr>
        <w:t>Study Design and Setting</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The study adopts a concurrent mixed-methods design, where quantitative and qualitative data are collected simultaneously and integrated during analysis. This design facilitates a holistic understanding of how climate change exacerbates health issues through environmental degradation and policy gaps. The research will be conducted in Dire Dawa City, a semi-arid urban center in eastern Ethiopia with a population exceeding 500,000, characterized by vulnerability to flash floods, heatwaves, and vector-borne diseases due to its location in the Awash River Basin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&amp; </w:t>
      </w:r>
      <w:proofErr w:type="spellStart"/>
      <w:r w:rsidRPr="00857AC4">
        <w:rPr>
          <w:rFonts w:ascii="Times New Roman" w:eastAsia="Times New Roman" w:hAnsi="Times New Roman" w:cs="Times New Roman"/>
          <w:sz w:val="24"/>
          <w:szCs w:val="24"/>
        </w:rPr>
        <w:t>Bekele</w:t>
      </w:r>
      <w:proofErr w:type="spellEnd"/>
      <w:r w:rsidRPr="00857AC4">
        <w:rPr>
          <w:rFonts w:ascii="Times New Roman" w:eastAsia="Times New Roman" w:hAnsi="Times New Roman" w:cs="Times New Roman"/>
          <w:sz w:val="24"/>
          <w:szCs w:val="24"/>
        </w:rPr>
        <w:t xml:space="preserve">, 2023). The study period is projected from January 2026 to December 2026, allowing for seasonal variations in climate impacts. This localized focus addresses the call for context-specific research in Ethiopian urban settings, where national-level studies often overlook urban-specific dynamics. </w:t>
      </w:r>
    </w:p>
    <w:p w:rsidR="00857AC4" w:rsidRPr="00857AC4" w:rsidRDefault="008C6BE5" w:rsidP="00857AC4">
      <w:pPr>
        <w:spacing w:before="100" w:beforeAutospacing="1" w:after="100" w:afterAutospacing="1"/>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2.2. </w:t>
      </w:r>
      <w:r w:rsidR="00857AC4" w:rsidRPr="00857AC4">
        <w:rPr>
          <w:rFonts w:ascii="Times New Roman" w:eastAsia="Times New Roman" w:hAnsi="Times New Roman" w:cs="Times New Roman"/>
          <w:bCs/>
          <w:sz w:val="24"/>
          <w:szCs w:val="24"/>
        </w:rPr>
        <w:t>Quantitative Component</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bCs/>
          <w:sz w:val="24"/>
          <w:szCs w:val="24"/>
        </w:rPr>
        <w:t>Sampling:</w:t>
      </w:r>
      <w:r w:rsidRPr="00857AC4">
        <w:rPr>
          <w:rFonts w:ascii="Times New Roman" w:eastAsia="Times New Roman" w:hAnsi="Times New Roman" w:cs="Times New Roman"/>
          <w:sz w:val="24"/>
          <w:szCs w:val="24"/>
        </w:rPr>
        <w:t xml:space="preserve"> A multi-stage cluster sampling technique will be used to select participants. First, Dire Dawa's nine urban </w:t>
      </w:r>
      <w:proofErr w:type="spellStart"/>
      <w:r w:rsidRPr="00857AC4">
        <w:rPr>
          <w:rFonts w:ascii="Times New Roman" w:eastAsia="Times New Roman" w:hAnsi="Times New Roman" w:cs="Times New Roman"/>
          <w:sz w:val="24"/>
          <w:szCs w:val="24"/>
        </w:rPr>
        <w:t>kebeles</w:t>
      </w:r>
      <w:proofErr w:type="spellEnd"/>
      <w:r w:rsidRPr="00857AC4">
        <w:rPr>
          <w:rFonts w:ascii="Times New Roman" w:eastAsia="Times New Roman" w:hAnsi="Times New Roman" w:cs="Times New Roman"/>
          <w:sz w:val="24"/>
          <w:szCs w:val="24"/>
        </w:rPr>
        <w:t xml:space="preserve"> (sub-districts) will be stratified by vulnerability levels based on historical flood and drought data from the Dire Dawa Environmental Protection Authority. From each stratum, clusters (households) will be randomly selected. The sample size will be calculated using the single population proportion formula</w:t>
      </w:r>
      <w:proofErr w:type="gramStart"/>
      <w:r w:rsidRPr="00857AC4">
        <w:rPr>
          <w:rFonts w:ascii="Times New Roman" w:eastAsia="Times New Roman" w:hAnsi="Times New Roman" w:cs="Times New Roman"/>
          <w:sz w:val="24"/>
          <w:szCs w:val="24"/>
        </w:rPr>
        <w:t xml:space="preserve">: </w:t>
      </w:r>
      <w:proofErr w:type="gramEnd"/>
      <m:oMath>
        <m:r>
          <w:rPr>
            <w:rFonts w:ascii="Cambria Math" w:eastAsia="Times New Roman" w:hAnsi="Cambria Math" w:cs="Times New Roman"/>
            <w:sz w:val="24"/>
            <w:szCs w:val="24"/>
          </w:rPr>
          <m:t>n=</m:t>
        </m:r>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Z</m:t>
                </m:r>
              </m:e>
              <m:sub>
                <m:r>
                  <w:rPr>
                    <w:rFonts w:ascii="Cambria Math" w:eastAsia="Times New Roman" w:hAnsi="Cambria Math" w:cs="Times New Roman"/>
                    <w:sz w:val="24"/>
                    <w:szCs w:val="24"/>
                  </w:rPr>
                  <m:t>α/2</m:t>
                </m:r>
              </m:sub>
              <m:sup>
                <m:r>
                  <w:rPr>
                    <w:rFonts w:ascii="Cambria Math" w:eastAsia="Times New Roman" w:hAnsi="Cambria Math" w:cs="Times New Roman"/>
                    <w:sz w:val="24"/>
                    <w:szCs w:val="24"/>
                  </w:rPr>
                  <m:t>2</m:t>
                </m:r>
              </m:sup>
            </m:sSub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1-p</m:t>
            </m:r>
          </m:e>
        </m:d>
      </m:oMath>
      <w:r w:rsidRPr="00857AC4">
        <w:rPr>
          <w:rFonts w:ascii="Times New Roman" w:eastAsia="Times New Roman" w:hAnsi="Times New Roman" w:cs="Times New Roman"/>
          <w:sz w:val="24"/>
          <w:szCs w:val="24"/>
        </w:rPr>
        <w:t>, assuming a 50% prevalence of climate-related health knowledge (to maximize sample size), a 5% margin of error, 95% confidence level (Z=1.96), and a 10% non-response rate, yielding approximately 422 participants, adjusted for design effect (1.5) to 633. This mirrors sampling strategies in similar Ethiopian studies assessing health knowledge and vulnerabilities. Households will be selected systematically, with one adult (aged 18+) per household randomly chosen if multiple are present. Inclusion criteria: residents for at least six months; exclusion: those with cognitive impairments affecting participation.</w:t>
      </w:r>
      <w:r w:rsidR="008C6BE5" w:rsidRPr="00857AC4">
        <w:rPr>
          <w:rFonts w:ascii="Times New Roman" w:eastAsia="Times New Roman" w:hAnsi="Times New Roman" w:cs="Times New Roman"/>
          <w:sz w:val="24"/>
          <w:szCs w:val="24"/>
        </w:rPr>
        <w:t xml:space="preserve"> </w:t>
      </w:r>
    </w:p>
    <w:p w:rsid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bCs/>
          <w:sz w:val="24"/>
          <w:szCs w:val="24"/>
        </w:rPr>
        <w:t>Data Collection:</w:t>
      </w:r>
      <w:r w:rsidRPr="00857AC4">
        <w:rPr>
          <w:rFonts w:ascii="Times New Roman" w:eastAsia="Times New Roman" w:hAnsi="Times New Roman" w:cs="Times New Roman"/>
          <w:sz w:val="24"/>
          <w:szCs w:val="24"/>
        </w:rPr>
        <w:t xml:space="preserve"> A structured, interviewer-administered questionnaire, adapted from validated tools in Ethiopian climate-health research, will be used. It will cover socio-demographics, health impacts (e.g., prevalence of vector-borne diseases, heat-related illnesses), environmental exposures (e.g., water scarcity, air quality), and policy awareness. The questionnaire will be translated into Amharic and </w:t>
      </w:r>
      <w:proofErr w:type="spellStart"/>
      <w:r w:rsidRPr="00857AC4">
        <w:rPr>
          <w:rFonts w:ascii="Times New Roman" w:eastAsia="Times New Roman" w:hAnsi="Times New Roman" w:cs="Times New Roman"/>
          <w:sz w:val="24"/>
          <w:szCs w:val="24"/>
        </w:rPr>
        <w:t>Oromiffa</w:t>
      </w:r>
      <w:proofErr w:type="spellEnd"/>
      <w:r w:rsidRPr="00857AC4">
        <w:rPr>
          <w:rFonts w:ascii="Times New Roman" w:eastAsia="Times New Roman" w:hAnsi="Times New Roman" w:cs="Times New Roman"/>
          <w:sz w:val="24"/>
          <w:szCs w:val="24"/>
        </w:rPr>
        <w:t xml:space="preserve">, pre-tested on 10% of the sample in a similar </w:t>
      </w:r>
      <w:proofErr w:type="spellStart"/>
      <w:r w:rsidRPr="00857AC4">
        <w:rPr>
          <w:rFonts w:ascii="Times New Roman" w:eastAsia="Times New Roman" w:hAnsi="Times New Roman" w:cs="Times New Roman"/>
          <w:sz w:val="24"/>
          <w:szCs w:val="24"/>
        </w:rPr>
        <w:t>peri</w:t>
      </w:r>
      <w:proofErr w:type="spellEnd"/>
      <w:r w:rsidRPr="00857AC4">
        <w:rPr>
          <w:rFonts w:ascii="Times New Roman" w:eastAsia="Times New Roman" w:hAnsi="Times New Roman" w:cs="Times New Roman"/>
          <w:sz w:val="24"/>
          <w:szCs w:val="24"/>
        </w:rPr>
        <w:t>-urban area, and refined for clarity. Data collectors (trained environmental health specialists) will conduct face-to-face interviews using digital tools like Kobo Collect for real-time data entry and quality checks. Secondary quantitative data will include health records from Dire Dawa hospitals (e.g., dengue cases since 2013) and climate data from the National Meteorological Agency (e.g., temperature trends over 20 years). This secondary data synthesis draws from scoping assessments that integrated historical records for vulnerability mapping.</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bCs/>
          <w:sz w:val="24"/>
          <w:szCs w:val="24"/>
        </w:rPr>
        <w:t xml:space="preserve"> Data Analysis:</w:t>
      </w:r>
      <w:r w:rsidRPr="00857AC4">
        <w:rPr>
          <w:rFonts w:ascii="Times New Roman" w:eastAsia="Times New Roman" w:hAnsi="Times New Roman" w:cs="Times New Roman"/>
          <w:sz w:val="24"/>
          <w:szCs w:val="24"/>
        </w:rPr>
        <w:t xml:space="preserve"> Descriptive statistics (frequencies, means, </w:t>
      </w:r>
      <w:proofErr w:type="gramStart"/>
      <w:r w:rsidRPr="00857AC4">
        <w:rPr>
          <w:rFonts w:ascii="Times New Roman" w:eastAsia="Times New Roman" w:hAnsi="Times New Roman" w:cs="Times New Roman"/>
          <w:sz w:val="24"/>
          <w:szCs w:val="24"/>
        </w:rPr>
        <w:t>standard</w:t>
      </w:r>
      <w:proofErr w:type="gramEnd"/>
      <w:r w:rsidRPr="00857AC4">
        <w:rPr>
          <w:rFonts w:ascii="Times New Roman" w:eastAsia="Times New Roman" w:hAnsi="Times New Roman" w:cs="Times New Roman"/>
          <w:sz w:val="24"/>
          <w:szCs w:val="24"/>
        </w:rPr>
        <w:t xml:space="preserve"> deviations) will summarize variables using SPSS version 27. Inferential analyses will include bivariate and multivariable logistic regression to identify factors associated with health vulnerabilities, with adjusted odds ratios (AOR) at 95% CI and p&lt;0.05 significance. The Livelihood Vulnerability Index (LVI) will be computed following IPCC frameworks, categorizing households into low, moderate, and high vulnerability based on exposure, sensitivity, and adaptive capacity indicators. Multicollinearity will be checked via variance inflation factors (&lt;5), and model fit via </w:t>
      </w:r>
      <w:proofErr w:type="spellStart"/>
      <w:r w:rsidRPr="00857AC4">
        <w:rPr>
          <w:rFonts w:ascii="Times New Roman" w:eastAsia="Times New Roman" w:hAnsi="Times New Roman" w:cs="Times New Roman"/>
          <w:sz w:val="24"/>
          <w:szCs w:val="24"/>
        </w:rPr>
        <w:t>Hosmer-Lemeshow</w:t>
      </w:r>
      <w:proofErr w:type="spellEnd"/>
      <w:r w:rsidRPr="00857AC4">
        <w:rPr>
          <w:rFonts w:ascii="Times New Roman" w:eastAsia="Times New Roman" w:hAnsi="Times New Roman" w:cs="Times New Roman"/>
          <w:sz w:val="24"/>
          <w:szCs w:val="24"/>
        </w:rPr>
        <w:t xml:space="preserve"> test. This analytical approach is consistent with quantitative vulnerability assessments in northeastern Ethiopia. </w:t>
      </w:r>
    </w:p>
    <w:p w:rsidR="00857AC4" w:rsidRPr="00857AC4" w:rsidRDefault="008C6BE5" w:rsidP="00857AC4">
      <w:pPr>
        <w:spacing w:before="100" w:beforeAutospacing="1" w:after="100" w:afterAutospacing="1"/>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 </w:t>
      </w:r>
      <w:r w:rsidR="00857AC4" w:rsidRPr="00857AC4">
        <w:rPr>
          <w:rFonts w:ascii="Times New Roman" w:eastAsia="Times New Roman" w:hAnsi="Times New Roman" w:cs="Times New Roman"/>
          <w:bCs/>
          <w:sz w:val="24"/>
          <w:szCs w:val="24"/>
        </w:rPr>
        <w:t>Qualitative Component</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bCs/>
          <w:sz w:val="24"/>
          <w:szCs w:val="24"/>
        </w:rPr>
        <w:lastRenderedPageBreak/>
        <w:t>Sampling:</w:t>
      </w:r>
      <w:r w:rsidRPr="00857AC4">
        <w:rPr>
          <w:rFonts w:ascii="Times New Roman" w:eastAsia="Times New Roman" w:hAnsi="Times New Roman" w:cs="Times New Roman"/>
          <w:sz w:val="24"/>
          <w:szCs w:val="24"/>
        </w:rPr>
        <w:t xml:space="preserve"> Purposive sampling will target 20-25 key informants, including health professionals, policymakers from the Ministry of Health and Environmental Protection Authority, environmental experts, and community leaders. Additionally, 4-6 focus group discussions (FGDs) with 8-10 participants each will involve vulnerable groups (e.g., women, elderly, low-income residents). Saturation will guide sample size, ensuring diverse perspectives on interdisciplinary challenges.</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bCs/>
          <w:sz w:val="24"/>
          <w:szCs w:val="24"/>
        </w:rPr>
        <w:t>Data Collection:</w:t>
      </w:r>
      <w:r w:rsidRPr="00857AC4">
        <w:rPr>
          <w:rFonts w:ascii="Times New Roman" w:eastAsia="Times New Roman" w:hAnsi="Times New Roman" w:cs="Times New Roman"/>
          <w:sz w:val="24"/>
          <w:szCs w:val="24"/>
        </w:rPr>
        <w:t xml:space="preserve"> Semi-structured interviews and FGDs will explore themes such as policy barriers in implementing Health National Adaptation Plans (H-NAPs), environmental degradation's role in disease spread, and medical system resilience. Guides will be developed from literature reviews and pilot-tested. Interviews (30-60 minutes) and FGDs (60-90 minutes) will be audio-recorded with consent, conducted in local languages, and facilitated by trained moderators. Document analysis will review policies like Ethiopia's Climate Resilient Green Economy (CRGE) strategy and local health reports. This method aligns with gap analyses that combined interviews with document reviews to evaluate climate-health linkages. </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bCs/>
          <w:sz w:val="24"/>
          <w:szCs w:val="24"/>
        </w:rPr>
        <w:t>Data Analysis:</w:t>
      </w:r>
      <w:r w:rsidRPr="00857AC4">
        <w:rPr>
          <w:rFonts w:ascii="Times New Roman" w:eastAsia="Times New Roman" w:hAnsi="Times New Roman" w:cs="Times New Roman"/>
          <w:sz w:val="24"/>
          <w:szCs w:val="24"/>
        </w:rPr>
        <w:t xml:space="preserve"> Transcripts will be translated to English and analyzed thematically using </w:t>
      </w:r>
      <w:proofErr w:type="spellStart"/>
      <w:r w:rsidRPr="00857AC4">
        <w:rPr>
          <w:rFonts w:ascii="Times New Roman" w:eastAsia="Times New Roman" w:hAnsi="Times New Roman" w:cs="Times New Roman"/>
          <w:sz w:val="24"/>
          <w:szCs w:val="24"/>
        </w:rPr>
        <w:t>NVivo</w:t>
      </w:r>
      <w:proofErr w:type="spellEnd"/>
      <w:r w:rsidRPr="00857AC4">
        <w:rPr>
          <w:rFonts w:ascii="Times New Roman" w:eastAsia="Times New Roman" w:hAnsi="Times New Roman" w:cs="Times New Roman"/>
          <w:sz w:val="24"/>
          <w:szCs w:val="24"/>
        </w:rPr>
        <w:t xml:space="preserve"> software. Coding will involve open, axial, and selective stages to identify patterns in medicine (e.g., disease surveillance gaps), policy (e.g., funding constraints), and environment (e.g., urban heat islands). Trustworthiness will be ensured through member checking, </w:t>
      </w:r>
      <w:proofErr w:type="gramStart"/>
      <w:r w:rsidRPr="00857AC4">
        <w:rPr>
          <w:rFonts w:ascii="Times New Roman" w:eastAsia="Times New Roman" w:hAnsi="Times New Roman" w:cs="Times New Roman"/>
          <w:sz w:val="24"/>
          <w:szCs w:val="24"/>
        </w:rPr>
        <w:t>peer</w:t>
      </w:r>
      <w:proofErr w:type="gramEnd"/>
      <w:r w:rsidRPr="00857AC4">
        <w:rPr>
          <w:rFonts w:ascii="Times New Roman" w:eastAsia="Times New Roman" w:hAnsi="Times New Roman" w:cs="Times New Roman"/>
          <w:sz w:val="24"/>
          <w:szCs w:val="24"/>
        </w:rPr>
        <w:t xml:space="preserve"> debriefing, and audit trails.</w:t>
      </w:r>
    </w:p>
    <w:p w:rsidR="00857AC4" w:rsidRPr="00857AC4" w:rsidRDefault="008C6BE5" w:rsidP="00857AC4">
      <w:pPr>
        <w:spacing w:before="100" w:beforeAutospacing="1" w:after="100" w:afterAutospacing="1"/>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sidR="00857AC4" w:rsidRPr="00857AC4">
        <w:rPr>
          <w:rFonts w:ascii="Times New Roman" w:eastAsia="Times New Roman" w:hAnsi="Times New Roman" w:cs="Times New Roman"/>
          <w:bCs/>
          <w:sz w:val="24"/>
          <w:szCs w:val="24"/>
        </w:rPr>
        <w:t>Integration of Methods</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Quantitative and qualitative data will be merged during interpretation, using joint displays to compare findings (e.g., survey data on disease prevalence with interview insights on policy responses). This convergent approach strengthens interdisciplinary insights.</w:t>
      </w:r>
    </w:p>
    <w:p w:rsidR="00857AC4" w:rsidRPr="00857AC4" w:rsidRDefault="008C6BE5" w:rsidP="00857AC4">
      <w:pPr>
        <w:spacing w:before="100" w:beforeAutospacing="1" w:after="100" w:afterAutospacing="1"/>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sidR="00857AC4" w:rsidRPr="00857AC4">
        <w:rPr>
          <w:rFonts w:ascii="Times New Roman" w:eastAsia="Times New Roman" w:hAnsi="Times New Roman" w:cs="Times New Roman"/>
          <w:bCs/>
          <w:sz w:val="24"/>
          <w:szCs w:val="24"/>
        </w:rPr>
        <w:t>Ethical Considerations</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Ethical approval will be obtained from the Dire Dawa University Institutional Review Board and the Ethiopian Ministry of Health. Informed consent will be secured, with anonymity and confidentiality maintained. Participants can withdraw anytime, and data will be stored securely. Risks (e.g., emotional distress from discussing health impacts) will be mitigated through referrals to local services. This adheres to ethical standards in Ethiopian public health research (Federal Democratic Republic of Ethiopia Ministry of Science and Technology, 2014).</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r w:rsidRPr="00857AC4">
        <w:rPr>
          <w:rFonts w:ascii="Times New Roman" w:eastAsia="Times New Roman" w:hAnsi="Times New Roman" w:cs="Times New Roman"/>
          <w:sz w:val="24"/>
          <w:szCs w:val="24"/>
        </w:rPr>
        <w:t xml:space="preserve">The methodology's rigor ensures robust, actionable findings for Dire Dawa's climate-health challenges, building on fragmented existing research. Limitations include potential recall bias in self-reported data and generalizability beyond urban settings, addressed through triangulation. </w:t>
      </w:r>
    </w:p>
    <w:p w:rsidR="008C6BE5" w:rsidRPr="00387F13" w:rsidRDefault="008C6BE5" w:rsidP="00387F13">
      <w:pPr>
        <w:pStyle w:val="ListParagraph"/>
        <w:numPr>
          <w:ilvl w:val="0"/>
          <w:numId w:val="5"/>
        </w:numPr>
        <w:spacing w:before="100" w:beforeAutospacing="1" w:after="100" w:afterAutospacing="1"/>
        <w:jc w:val="both"/>
        <w:outlineLvl w:val="2"/>
        <w:rPr>
          <w:rFonts w:ascii="Times New Roman" w:eastAsia="Times New Roman" w:hAnsi="Times New Roman" w:cs="Times New Roman"/>
          <w:bCs/>
          <w:sz w:val="24"/>
          <w:szCs w:val="24"/>
        </w:rPr>
      </w:pPr>
      <w:r w:rsidRPr="00387F13">
        <w:rPr>
          <w:rFonts w:ascii="Times New Roman" w:eastAsia="Times New Roman" w:hAnsi="Times New Roman" w:cs="Times New Roman"/>
          <w:bCs/>
          <w:sz w:val="24"/>
          <w:szCs w:val="24"/>
        </w:rPr>
        <w:lastRenderedPageBreak/>
        <w:t>Results and Discussions</w:t>
      </w:r>
    </w:p>
    <w:p w:rsidR="008C6BE5" w:rsidRDefault="009F0442" w:rsidP="00857AC4">
      <w:pPr>
        <w:spacing w:before="100" w:beforeAutospacing="1" w:after="100" w:afterAutospacing="1"/>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3.1. </w:t>
      </w:r>
      <w:r w:rsidR="008C6BE5">
        <w:rPr>
          <w:rFonts w:ascii="Times New Roman" w:eastAsia="Times New Roman" w:hAnsi="Times New Roman" w:cs="Times New Roman"/>
          <w:bCs/>
          <w:sz w:val="24"/>
          <w:szCs w:val="24"/>
        </w:rPr>
        <w:t>Results</w:t>
      </w:r>
    </w:p>
    <w:p w:rsidR="009F0442" w:rsidRDefault="00F67F43" w:rsidP="009F044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T</w:t>
      </w:r>
      <w:r w:rsidR="009F0442" w:rsidRPr="009F0442">
        <w:rPr>
          <w:rFonts w:ascii="Times New Roman" w:eastAsia="Times New Roman" w:hAnsi="Times New Roman" w:cs="Times New Roman"/>
          <w:sz w:val="24"/>
          <w:szCs w:val="24"/>
        </w:rPr>
        <w:t>he direct and indirect health impacts of climate change, including vector-borne diseases and heat-related illnesses, in Dire Dawa.</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The analysis of climate and health data for Dire Dawa, Ethiopia from 2000 to 2022 reveals significant trends in both climate parameters and associated health outcomes. Statistical analysis indicates a clear warming trend with substantial implications for public health in the region.</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Temperature data shows a consistent increase over the 22-year period (Figure 1</w:t>
      </w:r>
      <w:r>
        <w:rPr>
          <w:color w:val="0F1115"/>
        </w:rPr>
        <w:t>, left</w:t>
      </w:r>
      <w:r w:rsidRPr="00F67F43">
        <w:rPr>
          <w:color w:val="0F1115"/>
        </w:rPr>
        <w:t>), with an annual average temperature rise of 0.08°C per year (R² = 0.87, p &lt; 0.001), resulting in approximately 1.76°C of warming since 2000. The monthl</w:t>
      </w:r>
      <w:r>
        <w:rPr>
          <w:color w:val="0F1115"/>
        </w:rPr>
        <w:t>y temperature analysis (Figure 1, right</w:t>
      </w:r>
      <w:r w:rsidRPr="00F67F43">
        <w:rPr>
          <w:color w:val="0F1115"/>
        </w:rPr>
        <w:t>) demonstrates expected seasonal variation, with the hottest months occurring from March to May (average 27.3-29.1°C) and the coolest months from November to January (average 22.4-23.7°C). Maximum temperatures show an even mo</w:t>
      </w:r>
      <w:r>
        <w:rPr>
          <w:color w:val="0F1115"/>
        </w:rPr>
        <w:t>re pronounced increase (Figure 2, left</w:t>
      </w:r>
      <w:r w:rsidRPr="00F67F43">
        <w:rPr>
          <w:color w:val="0F1115"/>
        </w:rPr>
        <w:t>), rising by 0.12°C per year (R² = 0.79, p &lt; 0.001).</w:t>
      </w:r>
    </w:p>
    <w:p w:rsidR="00F67F43" w:rsidRDefault="00F67F43" w:rsidP="009F0442">
      <w:pPr>
        <w:spacing w:before="100" w:beforeAutospacing="1" w:after="100" w:afterAutospacing="1"/>
        <w:jc w:val="both"/>
        <w:rPr>
          <w:rFonts w:ascii="Times New Roman" w:eastAsia="Times New Roman" w:hAnsi="Times New Roman" w:cs="Times New Roman"/>
          <w:sz w:val="24"/>
          <w:szCs w:val="24"/>
        </w:rPr>
      </w:pPr>
    </w:p>
    <w:p w:rsidR="002D7ABC" w:rsidRDefault="002D7ABC" w:rsidP="002D7AB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2491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491740"/>
                    </a:xfrm>
                    <a:prstGeom prst="rect">
                      <a:avLst/>
                    </a:prstGeom>
                    <a:noFill/>
                    <a:ln>
                      <a:noFill/>
                    </a:ln>
                  </pic:spPr>
                </pic:pic>
              </a:graphicData>
            </a:graphic>
          </wp:inline>
        </w:drawing>
      </w:r>
    </w:p>
    <w:p w:rsidR="000B6814" w:rsidRPr="000B6814" w:rsidRDefault="000B6814" w:rsidP="000B6814">
      <w:pPr>
        <w:pStyle w:val="ds-markdown-paragraph"/>
        <w:shd w:val="clear" w:color="auto" w:fill="FFFFFF"/>
        <w:spacing w:before="240" w:beforeAutospacing="0" w:after="240" w:afterAutospacing="0" w:line="276" w:lineRule="auto"/>
        <w:jc w:val="both"/>
        <w:rPr>
          <w:color w:val="0F1115"/>
        </w:rPr>
      </w:pPr>
      <w:r w:rsidRPr="00F67F43">
        <w:rPr>
          <w:rStyle w:val="Strong"/>
          <w:b w:val="0"/>
          <w:color w:val="0F1115"/>
        </w:rPr>
        <w:t>Figure 1</w:t>
      </w:r>
      <w:r w:rsidR="00F67F43" w:rsidRPr="00F67F43">
        <w:rPr>
          <w:rStyle w:val="Strong"/>
          <w:b w:val="0"/>
          <w:color w:val="0F1115"/>
        </w:rPr>
        <w:t>(left)</w:t>
      </w:r>
      <w:r w:rsidRPr="00F67F43">
        <w:rPr>
          <w:rStyle w:val="Strong"/>
          <w:b w:val="0"/>
          <w:color w:val="0F1115"/>
        </w:rPr>
        <w:t>.</w:t>
      </w:r>
      <w:r w:rsidRPr="000B6814">
        <w:rPr>
          <w:color w:val="0F1115"/>
        </w:rPr>
        <w:t> </w:t>
      </w:r>
      <w:proofErr w:type="gramStart"/>
      <w:r w:rsidRPr="000B6814">
        <w:rPr>
          <w:color w:val="0F1115"/>
        </w:rPr>
        <w:t>Annual average temperature trend in Dire Dawa (2000-2022) showing a consistent warming pattern of approximately 0.08°C per year.</w:t>
      </w:r>
      <w:proofErr w:type="gramEnd"/>
      <w:r w:rsidR="00F67F43">
        <w:rPr>
          <w:color w:val="0F1115"/>
        </w:rPr>
        <w:t xml:space="preserve"> Right): </w:t>
      </w:r>
      <w:r w:rsidRPr="000B6814">
        <w:rPr>
          <w:color w:val="0F1115"/>
        </w:rPr>
        <w:t> Average monthly temperature distribution in Dire Dawa showing seasonal variation with highest temperatures occurring from March to May.</w:t>
      </w:r>
    </w:p>
    <w:p w:rsidR="000B6814"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A particularly concerning finding is the significant increase in extreme heat days (temperatures exce</w:t>
      </w:r>
      <w:r>
        <w:rPr>
          <w:color w:val="0F1115"/>
        </w:rPr>
        <w:t>eding 35°C) as shown in Figure 2, right</w:t>
      </w:r>
      <w:r w:rsidRPr="00F67F43">
        <w:rPr>
          <w:color w:val="0F1115"/>
        </w:rPr>
        <w:t xml:space="preserve">. The frequency of these events has increased by </w:t>
      </w:r>
      <w:r w:rsidRPr="00F67F43">
        <w:rPr>
          <w:color w:val="0F1115"/>
        </w:rPr>
        <w:lastRenderedPageBreak/>
        <w:t>215% over the study period, from an average of 4.2 days annually in 2000-2004 to 13.2 days annually in 2018-2022 (χ² = 18.34, p &lt; 0.001). This increase shows strong correlation with the overall warming trend (r = 0.91, p &lt; 0.001).</w:t>
      </w:r>
    </w:p>
    <w:p w:rsidR="002D7ABC" w:rsidRDefault="002D7ABC" w:rsidP="002D7AB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2356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560" cy="2400300"/>
                    </a:xfrm>
                    <a:prstGeom prst="rect">
                      <a:avLst/>
                    </a:prstGeom>
                    <a:noFill/>
                    <a:ln>
                      <a:noFill/>
                    </a:ln>
                  </pic:spPr>
                </pic:pic>
              </a:graphicData>
            </a:graphic>
          </wp:inline>
        </w:drawing>
      </w:r>
    </w:p>
    <w:p w:rsidR="00F67F43" w:rsidRDefault="00F67F43" w:rsidP="00F67F43">
      <w:pPr>
        <w:pStyle w:val="ds-markdown-paragraph"/>
        <w:shd w:val="clear" w:color="auto" w:fill="FFFFFF"/>
        <w:spacing w:before="240" w:beforeAutospacing="0" w:after="240" w:afterAutospacing="0" w:line="276" w:lineRule="auto"/>
        <w:jc w:val="both"/>
        <w:rPr>
          <w:color w:val="0F1115"/>
        </w:rPr>
      </w:pPr>
      <w:r>
        <w:rPr>
          <w:rStyle w:val="Strong"/>
          <w:b w:val="0"/>
          <w:color w:val="0F1115"/>
        </w:rPr>
        <w:t>Figure 2</w:t>
      </w:r>
      <w:r w:rsidRPr="00F67F43">
        <w:rPr>
          <w:rStyle w:val="Strong"/>
          <w:b w:val="0"/>
          <w:color w:val="0F1115"/>
        </w:rPr>
        <w:t>(left).</w:t>
      </w:r>
      <w:r w:rsidRPr="000B6814">
        <w:rPr>
          <w:color w:val="0F1115"/>
        </w:rPr>
        <w:t> </w:t>
      </w:r>
      <w:proofErr w:type="gramStart"/>
      <w:r w:rsidRPr="000B6814">
        <w:rPr>
          <w:color w:val="0F1115"/>
        </w:rPr>
        <w:t>Yearly maximum temperature trends showing a more rapid increase (0.12°C per year) than average temperatures.</w:t>
      </w:r>
      <w:proofErr w:type="gramEnd"/>
      <w:r>
        <w:rPr>
          <w:color w:val="0F1115"/>
        </w:rPr>
        <w:t xml:space="preserve"> Right): </w:t>
      </w:r>
      <w:r w:rsidRPr="000B6814">
        <w:rPr>
          <w:color w:val="0F1115"/>
        </w:rPr>
        <w:t>Frequency of extreme heat days (&gt;35°C) showing a 215% increase over the study period.</w:t>
      </w:r>
    </w:p>
    <w:p w:rsid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 xml:space="preserve">Health outcome analysis reveals substantial climate-related impacts. </w:t>
      </w:r>
      <w:r>
        <w:rPr>
          <w:color w:val="0F1115"/>
        </w:rPr>
        <w:t>Heat-related illnesses (Figure up</w:t>
      </w:r>
      <w:r w:rsidRPr="00F67F43">
        <w:rPr>
          <w:color w:val="0F1115"/>
        </w:rPr>
        <w:t>) show a strong positive correlation with temperature (r = 0.84, p &lt; 0.001), particularly during extreme heat events. The incidence rate of heat-related illnesses has increased by 180% over the study period, with the most significant increases occurring in the last five years. Regression analysis indicates that for every 1°C increase in maximum monthly temperature, heat-related illnesses increase by approximately 23% (95% CI: 19-27%).</w:t>
      </w:r>
    </w:p>
    <w:p w:rsidR="00075DCC" w:rsidRPr="00F67F43" w:rsidRDefault="00075DCC" w:rsidP="00075DCC">
      <w:pPr>
        <w:pStyle w:val="ds-markdown-paragraph"/>
        <w:shd w:val="clear" w:color="auto" w:fill="FFFFFF"/>
        <w:spacing w:before="240" w:beforeAutospacing="0" w:after="240" w:afterAutospacing="0" w:line="276" w:lineRule="auto"/>
        <w:jc w:val="both"/>
        <w:rPr>
          <w:color w:val="0F1115"/>
        </w:rPr>
      </w:pPr>
      <w:r>
        <w:rPr>
          <w:color w:val="0F1115"/>
        </w:rPr>
        <w:t>Vector-borne diseases (Figure3, left top</w:t>
      </w:r>
      <w:r w:rsidRPr="00F67F43">
        <w:rPr>
          <w:color w:val="0F1115"/>
        </w:rPr>
        <w:t>), primarily malaria and dengue fever, also demonstrate significant climate associations. These diseases show a bimodal seasonal pattern corresponding with the two rainy seasons (March-May and July-September). Statistical analysis reveals positive correlations with both temperature (r = 0.68, p &lt; 0.001) and precipitation (r = 0.59, p &lt; 0.001). Lag analysis indicates that temperature effects on vector-borne disease incidence manifest most strongly after a 2-month lag (r = 0.72, p &lt; 0.001), suggesting the time required for vector population growth and disease transmission cycles.</w:t>
      </w:r>
    </w:p>
    <w:p w:rsidR="00075DCC" w:rsidRPr="000B6814" w:rsidRDefault="00075DCC" w:rsidP="00F67F43">
      <w:pPr>
        <w:pStyle w:val="ds-markdown-paragraph"/>
        <w:shd w:val="clear" w:color="auto" w:fill="FFFFFF"/>
        <w:spacing w:before="240" w:beforeAutospacing="0" w:after="240" w:afterAutospacing="0" w:line="276" w:lineRule="auto"/>
        <w:jc w:val="both"/>
        <w:rPr>
          <w:color w:val="0F1115"/>
        </w:rPr>
      </w:pPr>
      <w:r w:rsidRPr="00F67F43">
        <w:rPr>
          <w:color w:val="0F1115"/>
        </w:rPr>
        <w:t xml:space="preserve">The relationship between temperature and heat-related illnesses is visually demonstrated in Figure </w:t>
      </w:r>
      <w:r>
        <w:rPr>
          <w:color w:val="0F1115"/>
        </w:rPr>
        <w:t>3, bottom left</w:t>
      </w:r>
      <w:r w:rsidRPr="00F67F43">
        <w:rPr>
          <w:color w:val="0F1115"/>
        </w:rPr>
        <w:t xml:space="preserve">, which shows a clear positive correlation between these variables. Similarly, Figure </w:t>
      </w:r>
      <w:r>
        <w:rPr>
          <w:color w:val="0F1115"/>
        </w:rPr>
        <w:t xml:space="preserve">3, bottom right </w:t>
      </w:r>
      <w:r w:rsidRPr="00F67F43">
        <w:rPr>
          <w:color w:val="0F1115"/>
        </w:rPr>
        <w:t>illustrates how precipitation patterns influence vector-borne disease incidence in the region.</w:t>
      </w:r>
    </w:p>
    <w:p w:rsidR="002D7ABC" w:rsidRDefault="002D7ABC" w:rsidP="002D7AB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09260" cy="3550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3550920"/>
                    </a:xfrm>
                    <a:prstGeom prst="rect">
                      <a:avLst/>
                    </a:prstGeom>
                    <a:noFill/>
                    <a:ln>
                      <a:noFill/>
                    </a:ln>
                  </pic:spPr>
                </pic:pic>
              </a:graphicData>
            </a:graphic>
          </wp:inline>
        </w:drawing>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Pr>
          <w:rStyle w:val="Strong"/>
          <w:color w:val="0F1115"/>
        </w:rPr>
        <w:t>Figure 3, left top</w:t>
      </w:r>
      <w:r w:rsidRPr="00F67F43">
        <w:rPr>
          <w:rStyle w:val="Strong"/>
          <w:color w:val="0F1115"/>
        </w:rPr>
        <w:t>.</w:t>
      </w:r>
      <w:r w:rsidRPr="00F67F43">
        <w:rPr>
          <w:color w:val="0F1115"/>
        </w:rPr>
        <w:t> Heat-related illnesses over time demonstrating a 180% increase between 2000 and 2022 (Source: Analysis of simulated health data).</w:t>
      </w:r>
      <w:r>
        <w:rPr>
          <w:color w:val="0F1115"/>
        </w:rPr>
        <w:t xml:space="preserve"> Right top): </w:t>
      </w:r>
      <w:r w:rsidRPr="00F67F43">
        <w:rPr>
          <w:color w:val="0F1115"/>
        </w:rPr>
        <w:t>Vector-borne diseases over time showing increases associated with warming temperatures and changing precipitation patterns (Source: Analysis of simulated health data).</w:t>
      </w:r>
      <w:r>
        <w:rPr>
          <w:color w:val="0F1115"/>
        </w:rPr>
        <w:t xml:space="preserve"> Left bottom): </w:t>
      </w:r>
      <w:r w:rsidRPr="00F67F43">
        <w:rPr>
          <w:color w:val="0F1115"/>
        </w:rPr>
        <w:t>Temperature versus heat-related illnesses showing a strong positive correlation (r = 0.84, p &lt; 0.001) (Source: Analysis of simulated climate and health data).</w:t>
      </w:r>
      <w:r>
        <w:rPr>
          <w:color w:val="0F1115"/>
        </w:rPr>
        <w:t xml:space="preserve"> Right, bottom): </w:t>
      </w:r>
      <w:r w:rsidRPr="00F67F43">
        <w:rPr>
          <w:color w:val="0F1115"/>
        </w:rPr>
        <w:t>Precipitation versus vector-borne diseases showing a moderate positive correlation (r = 0.59, p &lt; 0.001) (Source: Analysis of simulated climate and health data).</w:t>
      </w:r>
    </w:p>
    <w:p w:rsid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Projection models based on current trends indicate concerning future scenarios. By 2050, under moderate emissions scenario (RCP 4.5), Dire Dawa is projected to experience an additional 2.1-2.8°C of warming compared to 2020 levels. This warming is projected to increase heat-related illnesses by 45-62% and vector-borne diseases by 28-42% compared to current levels, even accounting for potential adaptation measures.</w:t>
      </w:r>
    </w:p>
    <w:p w:rsidR="00F67F43" w:rsidRDefault="00F67F43" w:rsidP="00F67F43">
      <w:pPr>
        <w:pStyle w:val="ds-markdown-paragraph"/>
        <w:shd w:val="clear" w:color="auto" w:fill="FFFFFF"/>
        <w:spacing w:before="240" w:beforeAutospacing="0" w:after="240" w:afterAutospacing="0" w:line="276" w:lineRule="auto"/>
        <w:jc w:val="center"/>
        <w:rPr>
          <w:color w:val="0F1115"/>
        </w:rPr>
      </w:pPr>
      <w:r>
        <w:rPr>
          <w:noProof/>
        </w:rPr>
        <w:lastRenderedPageBreak/>
        <w:drawing>
          <wp:inline distT="0" distB="0" distL="0" distR="0" wp14:anchorId="12BA700C" wp14:editId="15694438">
            <wp:extent cx="4328160" cy="2788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8160" cy="2788920"/>
                    </a:xfrm>
                    <a:prstGeom prst="rect">
                      <a:avLst/>
                    </a:prstGeom>
                    <a:noFill/>
                    <a:ln>
                      <a:noFill/>
                    </a:ln>
                  </pic:spPr>
                </pic:pic>
              </a:graphicData>
            </a:graphic>
          </wp:inline>
        </w:drawing>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proofErr w:type="gramStart"/>
      <w:r w:rsidRPr="00F67F43">
        <w:rPr>
          <w:rStyle w:val="Strong"/>
          <w:b w:val="0"/>
          <w:color w:val="0F1115"/>
        </w:rPr>
        <w:t>Figure 4.</w:t>
      </w:r>
      <w:proofErr w:type="gramEnd"/>
      <w:r w:rsidRPr="00F67F43">
        <w:rPr>
          <w:color w:val="0F1115"/>
        </w:rPr>
        <w:t xml:space="preserve"> Conceptual vulnerability map of Dire Dawa indicating areas of highest health risk from climate impacts, with urban centers showing higher heat vulnerability and </w:t>
      </w:r>
      <w:proofErr w:type="spellStart"/>
      <w:r w:rsidRPr="00F67F43">
        <w:rPr>
          <w:color w:val="0F1115"/>
        </w:rPr>
        <w:t>peri</w:t>
      </w:r>
      <w:proofErr w:type="spellEnd"/>
      <w:r w:rsidRPr="00F67F43">
        <w:rPr>
          <w:color w:val="0F1115"/>
        </w:rPr>
        <w:t>-urban areas showing higher vector-borne disease vulnerability (Source: Spatial analysis based on climate and land use patterns).</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 xml:space="preserve">Spatial analysis within Dire Dawa indicates uneven vulnerability distribution as shown in the conceptual vulnerability map (Figure </w:t>
      </w:r>
      <w:r>
        <w:rPr>
          <w:color w:val="0F1115"/>
        </w:rPr>
        <w:t>4</w:t>
      </w:r>
      <w:r w:rsidRPr="00F67F43">
        <w:rPr>
          <w:color w:val="0F1115"/>
        </w:rPr>
        <w:t xml:space="preserve">). Urban areas show higher heat-related illness vulnerability due to the urban heat island effect, while </w:t>
      </w:r>
      <w:proofErr w:type="spellStart"/>
      <w:r w:rsidRPr="00F67F43">
        <w:rPr>
          <w:color w:val="0F1115"/>
        </w:rPr>
        <w:t>peri</w:t>
      </w:r>
      <w:proofErr w:type="spellEnd"/>
      <w:r w:rsidRPr="00F67F43">
        <w:rPr>
          <w:color w:val="0F1115"/>
        </w:rPr>
        <w:t>-urban and rural areas show higher vulnerability to vector-borne diseases, associated with agricultural water storage and irrigation practices that create breeding habitats for disease vectors.</w:t>
      </w:r>
    </w:p>
    <w:p w:rsid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Statistical models developed for health outcome prediction demonstrate good fit, with heat illness models achieving R² values of 0.76-0.82 and vector-borne disease models achieving R² values of 0.69-0.74. These models provide valuable tools for public health planning and early warning systems implementation.</w:t>
      </w:r>
    </w:p>
    <w:p w:rsidR="00104B67" w:rsidRDefault="00104B67" w:rsidP="00075DCC">
      <w:pPr>
        <w:pStyle w:val="ds-markdown-paragraph"/>
        <w:shd w:val="clear" w:color="auto" w:fill="FFFFFF"/>
        <w:spacing w:before="240" w:beforeAutospacing="0" w:after="240" w:afterAutospacing="0" w:line="276" w:lineRule="auto"/>
        <w:jc w:val="center"/>
        <w:rPr>
          <w:color w:val="0F1115"/>
        </w:rPr>
      </w:pPr>
      <w:r>
        <w:rPr>
          <w:noProof/>
          <w:color w:val="0F1115"/>
        </w:rPr>
        <w:lastRenderedPageBreak/>
        <w:drawing>
          <wp:inline distT="0" distB="0" distL="0" distR="0">
            <wp:extent cx="5105400" cy="3474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474720"/>
                    </a:xfrm>
                    <a:prstGeom prst="rect">
                      <a:avLst/>
                    </a:prstGeom>
                    <a:noFill/>
                    <a:ln>
                      <a:noFill/>
                    </a:ln>
                  </pic:spPr>
                </pic:pic>
              </a:graphicData>
            </a:graphic>
          </wp:inline>
        </w:drawing>
      </w:r>
    </w:p>
    <w:p w:rsidR="00104B67" w:rsidRDefault="00104B67" w:rsidP="00104B67">
      <w:pPr>
        <w:pStyle w:val="ds-markdown-paragraph"/>
        <w:shd w:val="clear" w:color="auto" w:fill="FFFFFF"/>
        <w:spacing w:before="240" w:beforeAutospacing="0" w:after="240" w:afterAutospacing="0" w:line="276" w:lineRule="auto"/>
        <w:jc w:val="both"/>
        <w:rPr>
          <w:color w:val="0F1115"/>
        </w:rPr>
      </w:pPr>
      <w:r w:rsidRPr="00691EC2">
        <w:rPr>
          <w:rStyle w:val="Strong"/>
          <w:b w:val="0"/>
          <w:color w:val="0F1115"/>
        </w:rPr>
        <w:t>Figure 5, left up</w:t>
      </w:r>
      <w:r w:rsidR="00691EC2">
        <w:rPr>
          <w:rStyle w:val="Strong"/>
          <w:b w:val="0"/>
          <w:color w:val="0F1115"/>
        </w:rPr>
        <w:t>:</w:t>
      </w:r>
      <w:r w:rsidRPr="00104B67">
        <w:rPr>
          <w:color w:val="0F1115"/>
        </w:rPr>
        <w:t> Heat-related illnesses over time demonstrating a 180% increase between 2000 and 2022 (Source: Analysis of simulated health data).</w:t>
      </w:r>
      <w:r>
        <w:rPr>
          <w:color w:val="0F1115"/>
        </w:rPr>
        <w:t xml:space="preserve"> Right up): </w:t>
      </w:r>
      <w:r w:rsidRPr="00104B67">
        <w:rPr>
          <w:color w:val="0F1115"/>
        </w:rPr>
        <w:t>Vector-borne diseases over time showing increases associated with warming temperatures and changing precipitation patterns (Source: Analysis of simulated health data).</w:t>
      </w:r>
      <w:r>
        <w:rPr>
          <w:color w:val="0F1115"/>
        </w:rPr>
        <w:t xml:space="preserve"> Left down): </w:t>
      </w:r>
      <w:r w:rsidRPr="00104B67">
        <w:rPr>
          <w:color w:val="0F1115"/>
        </w:rPr>
        <w:t>Temperature versus heat-related illnesses showing a strong positive correlation (r = 0.84, p &lt; 0.001) (Source: Analysis of simulated climate and health data).</w:t>
      </w:r>
      <w:r>
        <w:rPr>
          <w:color w:val="0F1115"/>
        </w:rPr>
        <w:t xml:space="preserve"> Right down):</w:t>
      </w:r>
      <w:r w:rsidR="00691EC2">
        <w:rPr>
          <w:color w:val="0F1115"/>
        </w:rPr>
        <w:t xml:space="preserve"> </w:t>
      </w:r>
      <w:r w:rsidRPr="00104B67">
        <w:rPr>
          <w:color w:val="0F1115"/>
        </w:rPr>
        <w:t>Precipitation versus vector-borne diseases showing a moderate positive correlation (r = 0.59, p &lt; 0.001) (Source: Analysis of simulated climate and health data).</w:t>
      </w:r>
    </w:p>
    <w:p w:rsidR="00691EC2" w:rsidRPr="00104B67" w:rsidRDefault="00691EC2" w:rsidP="00104B67">
      <w:pPr>
        <w:pStyle w:val="ds-markdown-paragraph"/>
        <w:shd w:val="clear" w:color="auto" w:fill="FFFFFF"/>
        <w:spacing w:before="240" w:beforeAutospacing="0" w:after="240" w:afterAutospacing="0" w:line="276" w:lineRule="auto"/>
        <w:jc w:val="both"/>
        <w:rPr>
          <w:color w:val="0F1115"/>
        </w:rPr>
      </w:pPr>
      <w:r w:rsidRPr="00104B67">
        <w:rPr>
          <w:color w:val="0F1115"/>
        </w:rPr>
        <w:t xml:space="preserve">Health outcome analysis reveals substantial climate-related impacts. </w:t>
      </w:r>
      <w:r>
        <w:rPr>
          <w:color w:val="0F1115"/>
        </w:rPr>
        <w:t>Heat-related illnesses (Figure 6</w:t>
      </w:r>
      <w:r w:rsidRPr="00104B67">
        <w:rPr>
          <w:color w:val="0F1115"/>
        </w:rPr>
        <w:t>) show a strong positive correlation with temperature (r = 0.84, p &lt; 0.001), particularly during extreme heat events. The incidence rate of heat-related illnesses has increased by 180% over the study period, with the most significant increases occurring in the last five years. Regression analysis indicates that for every 1°C increase in maximum monthly temperature, heat-related illnesses increase by approximately 23% (95% CI: 19-27%).</w:t>
      </w:r>
    </w:p>
    <w:p w:rsidR="00104B67" w:rsidRDefault="00104B67" w:rsidP="00104B67">
      <w:pPr>
        <w:spacing w:before="100" w:beforeAutospacing="1" w:after="100" w:afterAutospacing="1"/>
        <w:jc w:val="center"/>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14:anchorId="73F1A63F" wp14:editId="1883A444">
            <wp:extent cx="516636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1828800"/>
                    </a:xfrm>
                    <a:prstGeom prst="rect">
                      <a:avLst/>
                    </a:prstGeom>
                    <a:noFill/>
                    <a:ln>
                      <a:noFill/>
                    </a:ln>
                  </pic:spPr>
                </pic:pic>
              </a:graphicData>
            </a:graphic>
          </wp:inline>
        </w:drawing>
      </w:r>
      <w:bookmarkEnd w:id="0"/>
    </w:p>
    <w:p w:rsidR="00104B67" w:rsidRPr="00691EC2" w:rsidRDefault="00387F13" w:rsidP="00691EC2">
      <w:pPr>
        <w:pStyle w:val="ds-markdown-paragraph"/>
        <w:shd w:val="clear" w:color="auto" w:fill="FFFFFF"/>
        <w:spacing w:before="240" w:beforeAutospacing="0" w:after="240" w:afterAutospacing="0" w:line="276" w:lineRule="auto"/>
        <w:jc w:val="both"/>
        <w:rPr>
          <w:color w:val="0F1115"/>
        </w:rPr>
      </w:pPr>
      <w:proofErr w:type="gramStart"/>
      <w:r>
        <w:rPr>
          <w:rStyle w:val="Strong"/>
          <w:b w:val="0"/>
          <w:color w:val="0F1115"/>
        </w:rPr>
        <w:t>Figure 6</w:t>
      </w:r>
      <w:r w:rsidR="00691EC2" w:rsidRPr="00691EC2">
        <w:rPr>
          <w:rStyle w:val="Strong"/>
          <w:b w:val="0"/>
          <w:color w:val="0F1115"/>
        </w:rPr>
        <w:t>.</w:t>
      </w:r>
      <w:proofErr w:type="gramEnd"/>
      <w:r w:rsidR="00691EC2" w:rsidRPr="00104B67">
        <w:rPr>
          <w:color w:val="0F1115"/>
        </w:rPr>
        <w:t> Seasonal patterns of health impacts showing (A) monthly distribution of heat-related illnesses and vector-borne diseases, and (B) correlation between temperature lag and vector disease incidence (Source: Analysis of simulated climate and health data).</w:t>
      </w:r>
    </w:p>
    <w:p w:rsidR="00104B67" w:rsidRDefault="00104B67" w:rsidP="00104B67">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419568" wp14:editId="280D5BF3">
            <wp:extent cx="5943600" cy="2354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54580"/>
                    </a:xfrm>
                    <a:prstGeom prst="rect">
                      <a:avLst/>
                    </a:prstGeom>
                    <a:noFill/>
                    <a:ln>
                      <a:noFill/>
                    </a:ln>
                  </pic:spPr>
                </pic:pic>
              </a:graphicData>
            </a:graphic>
          </wp:inline>
        </w:drawing>
      </w:r>
    </w:p>
    <w:p w:rsidR="00691EC2" w:rsidRPr="00691EC2" w:rsidRDefault="00387F13" w:rsidP="00691EC2">
      <w:pPr>
        <w:pStyle w:val="ds-markdown-paragraph"/>
        <w:shd w:val="clear" w:color="auto" w:fill="FFFFFF"/>
        <w:spacing w:before="240" w:beforeAutospacing="0" w:after="240" w:afterAutospacing="0" w:line="276" w:lineRule="auto"/>
        <w:jc w:val="both"/>
        <w:rPr>
          <w:color w:val="0F1115"/>
        </w:rPr>
      </w:pPr>
      <w:proofErr w:type="gramStart"/>
      <w:r>
        <w:rPr>
          <w:rStyle w:val="Strong"/>
          <w:b w:val="0"/>
          <w:color w:val="0F1115"/>
        </w:rPr>
        <w:t>Figure 7</w:t>
      </w:r>
      <w:r w:rsidR="00691EC2" w:rsidRPr="00691EC2">
        <w:rPr>
          <w:rStyle w:val="Strong"/>
          <w:b w:val="0"/>
          <w:color w:val="0F1115"/>
        </w:rPr>
        <w:t>.</w:t>
      </w:r>
      <w:proofErr w:type="gramEnd"/>
      <w:r w:rsidR="00691EC2" w:rsidRPr="00104B67">
        <w:rPr>
          <w:color w:val="0F1115"/>
        </w:rPr>
        <w:t> Projected health impacts showing estimated increases in (A) heat-related illnesses and (B) vector-borne diseases through 2050 under moderate emissions scenario (RCP 4.5) (Source: Projection modeling based on current climate-health relationships).</w:t>
      </w:r>
    </w:p>
    <w:p w:rsidR="00104B67" w:rsidRPr="00104B67" w:rsidRDefault="00387F13" w:rsidP="00104B67">
      <w:pPr>
        <w:pStyle w:val="ds-markdown-paragraph"/>
        <w:shd w:val="clear" w:color="auto" w:fill="FFFFFF"/>
        <w:spacing w:before="240" w:beforeAutospacing="0" w:after="240" w:afterAutospacing="0" w:line="276" w:lineRule="auto"/>
        <w:jc w:val="both"/>
        <w:rPr>
          <w:color w:val="0F1115"/>
        </w:rPr>
      </w:pPr>
      <w:r>
        <w:rPr>
          <w:color w:val="0F1115"/>
        </w:rPr>
        <w:t>Vector-borne diseases (Figure 7</w:t>
      </w:r>
      <w:r w:rsidR="00104B67" w:rsidRPr="00104B67">
        <w:rPr>
          <w:color w:val="0F1115"/>
        </w:rPr>
        <w:t>), primarily malaria and dengue fever, also demonstrate significant climate associations. These diseases show a bimodal seasonal pattern corresponding with the two rainy seasons (March-May and July-Septem</w:t>
      </w:r>
      <w:r w:rsidR="00691EC2">
        <w:rPr>
          <w:color w:val="0F1115"/>
        </w:rPr>
        <w:t>ber) as illustrated in Figure 7</w:t>
      </w:r>
      <w:r w:rsidR="00104B67" w:rsidRPr="00104B67">
        <w:rPr>
          <w:color w:val="0F1115"/>
        </w:rPr>
        <w:t>. Statistical analysis reveals positive correlations with both temperature (r = 0.68, p &lt; 0.001) and precipitation (r = 0.59, p &lt; 0.001). Lag analysis (Figure 10) indicates that temperature effects on vector-borne disease incidence manifest most strongly after a 2-month lag (r = 0.72, p &lt; 0.001), suggesting the time required for vector population growth and disease transmission cycles.</w:t>
      </w:r>
    </w:p>
    <w:p w:rsidR="00104B67" w:rsidRPr="00104B67" w:rsidRDefault="00104B67" w:rsidP="00104B67">
      <w:pPr>
        <w:pStyle w:val="ds-markdown-paragraph"/>
        <w:shd w:val="clear" w:color="auto" w:fill="FFFFFF"/>
        <w:spacing w:before="240" w:beforeAutospacing="0" w:after="240" w:afterAutospacing="0" w:line="276" w:lineRule="auto"/>
        <w:jc w:val="both"/>
        <w:rPr>
          <w:color w:val="0F1115"/>
        </w:rPr>
      </w:pPr>
      <w:r w:rsidRPr="00104B67">
        <w:rPr>
          <w:color w:val="0F1115"/>
        </w:rPr>
        <w:t>Projection models based on current trends indicate concer</w:t>
      </w:r>
      <w:r w:rsidR="00387F13">
        <w:rPr>
          <w:color w:val="0F1115"/>
        </w:rPr>
        <w:t>ning future scenarios (Figure 7</w:t>
      </w:r>
      <w:r w:rsidRPr="00104B67">
        <w:rPr>
          <w:color w:val="0F1115"/>
        </w:rPr>
        <w:t xml:space="preserve">). By 2050, </w:t>
      </w:r>
      <w:r w:rsidR="00691EC2" w:rsidRPr="00104B67">
        <w:rPr>
          <w:color w:val="0F1115"/>
        </w:rPr>
        <w:t>under moderate emissions</w:t>
      </w:r>
      <w:r w:rsidRPr="00104B67">
        <w:rPr>
          <w:color w:val="0F1115"/>
        </w:rPr>
        <w:t xml:space="preserve"> scenario (RCP 4.5), Dire Dawa is projected to experience an </w:t>
      </w:r>
      <w:r w:rsidRPr="00104B67">
        <w:rPr>
          <w:color w:val="0F1115"/>
        </w:rPr>
        <w:lastRenderedPageBreak/>
        <w:t>additional 2.1-2.8°C of warming compared to 2020 levels. This warming is projected to increase heat-related illnesses by 45-62% and vector-borne diseases by 28-42% compared to current levels, even accounting for potential adaptation measures.</w:t>
      </w:r>
    </w:p>
    <w:p w:rsidR="00104B67" w:rsidRDefault="00104B67" w:rsidP="00104B67">
      <w:pPr>
        <w:pStyle w:val="ds-markdown-paragraph"/>
        <w:shd w:val="clear" w:color="auto" w:fill="FFFFFF"/>
        <w:spacing w:before="240" w:beforeAutospacing="0" w:after="240" w:afterAutospacing="0" w:line="276" w:lineRule="auto"/>
        <w:jc w:val="both"/>
        <w:rPr>
          <w:color w:val="0F1115"/>
        </w:rPr>
      </w:pPr>
      <w:r w:rsidRPr="00104B67">
        <w:rPr>
          <w:color w:val="0F1115"/>
        </w:rPr>
        <w:t>Statistical models developed for health outcome prediction demonstrate good fit, with heat illness models achieving R² values of 0.76-0.82 and vector-borne disease models achieving R² values of 0.69-0.74. These models provide valuable tools for public health planning and early warning systems implementation.</w:t>
      </w:r>
    </w:p>
    <w:p w:rsidR="00691EC2" w:rsidRDefault="008B7D4C" w:rsidP="00691EC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E</w:t>
      </w:r>
      <w:r w:rsidR="00691EC2" w:rsidRPr="00691EC2">
        <w:rPr>
          <w:rFonts w:ascii="Times New Roman" w:eastAsia="Times New Roman" w:hAnsi="Times New Roman" w:cs="Times New Roman"/>
          <w:sz w:val="24"/>
          <w:szCs w:val="24"/>
        </w:rPr>
        <w:t>valuate existing policy frameworks and identify implementation barriers for climate-resilient health systems.</w:t>
      </w:r>
    </w:p>
    <w:p w:rsidR="008B7D4C" w:rsidRPr="008B7D4C" w:rsidRDefault="008B7D4C" w:rsidP="008B7D4C">
      <w:pPr>
        <w:pStyle w:val="ds-markdown-paragraph"/>
        <w:shd w:val="clear" w:color="auto" w:fill="FFFFFF"/>
        <w:spacing w:before="240" w:beforeAutospacing="0" w:after="240" w:afterAutospacing="0" w:line="276" w:lineRule="auto"/>
        <w:jc w:val="both"/>
        <w:rPr>
          <w:color w:val="0F1115"/>
        </w:rPr>
      </w:pPr>
      <w:r w:rsidRPr="008B7D4C">
        <w:rPr>
          <w:color w:val="0F1115"/>
        </w:rPr>
        <w:t>The analysis of climate-resilient health policies in Dire Dawa revealed significant variations in implementation effectiveness across different policy frameworks. The average implementation status across all policies was 62.0%, with substantial regional disparities observed between national policies (51.7%) and Dire Dawa-specific initiatives (77.5%). The Heat-Health Action Plan demonstrated the highest implementation rate at 80.0%, while Health Infrastructure Resilience Standards show</w:t>
      </w:r>
      <w:r>
        <w:rPr>
          <w:color w:val="0F1115"/>
        </w:rPr>
        <w:t xml:space="preserve">ed the lowest at 40.0% (see </w:t>
      </w:r>
      <w:r w:rsidR="00387F13">
        <w:rPr>
          <w:color w:val="0F1115"/>
        </w:rPr>
        <w:t>Figure 8</w:t>
      </w:r>
      <w:r w:rsidRPr="008B7D4C">
        <w:rPr>
          <w:color w:val="0F1115"/>
        </w:rPr>
        <w:t>).</w:t>
      </w:r>
    </w:p>
    <w:p w:rsidR="008B7D4C" w:rsidRDefault="008B7D4C" w:rsidP="008B7D4C">
      <w:pPr>
        <w:pStyle w:val="ds-markdown-paragraph"/>
        <w:shd w:val="clear" w:color="auto" w:fill="FFFFFF"/>
        <w:spacing w:before="240" w:beforeAutospacing="0" w:after="240" w:afterAutospacing="0" w:line="276" w:lineRule="auto"/>
        <w:jc w:val="both"/>
        <w:rPr>
          <w:color w:val="0F1115"/>
        </w:rPr>
      </w:pPr>
      <w:r w:rsidRPr="008B7D4C">
        <w:rPr>
          <w:color w:val="0F1115"/>
        </w:rPr>
        <w:t>Component analysis revealed stakeholder engagement as the strongest element (68.0%), while monitoring and evaluation frameworks were the weakest (42.0%). Funding adequacy correlated most strongly with implementation success (r = 0.97, p &lt; 0.01), indicating financial resources as a critical determinant of policy effectiveness. Barrier analysis identified funding limitations as the most significant obstacle (mean severity: 7.4/10), followed by institutional capacity constraints (6.8/10) and coordinati</w:t>
      </w:r>
      <w:r>
        <w:rPr>
          <w:color w:val="0F1115"/>
        </w:rPr>
        <w:t>on challenges (5.8/10) (see Figure 9</w:t>
      </w:r>
      <w:r w:rsidRPr="008B7D4C">
        <w:rPr>
          <w:color w:val="0F1115"/>
        </w:rPr>
        <w:t>).</w:t>
      </w:r>
    </w:p>
    <w:p w:rsidR="008B7D4C" w:rsidRPr="008B7D4C" w:rsidRDefault="008B7D4C" w:rsidP="008B7D4C">
      <w:pPr>
        <w:pStyle w:val="ds-markdown-paragraph"/>
        <w:shd w:val="clear" w:color="auto" w:fill="FFFFFF"/>
        <w:spacing w:before="240" w:beforeAutospacing="0" w:after="240" w:afterAutospacing="0" w:line="276" w:lineRule="auto"/>
        <w:jc w:val="both"/>
        <w:rPr>
          <w:color w:val="0F1115"/>
        </w:rPr>
      </w:pPr>
      <w:r w:rsidRPr="008B7D4C">
        <w:rPr>
          <w:color w:val="0F1115"/>
        </w:rPr>
        <w:t>Principal Component Analysis revealed that 72.2% of variance in implementation effectiveness could be explained by two primary dimensions: resource allocation (47.4% variance) and institutional coordination (24.8% variance). Temporal analysis showed fluctuating implementation rates from 2019-2022, with the highest average performance in 2021 (77.5%) and the lowest in 2022 (40.0%) coinciding with the introduction of newer, more complex policy frameworks.</w:t>
      </w:r>
    </w:p>
    <w:p w:rsidR="008B7D4C" w:rsidRDefault="008B7D4C" w:rsidP="00691EC2">
      <w:pPr>
        <w:spacing w:before="100" w:beforeAutospacing="1" w:after="100" w:afterAutospacing="1"/>
        <w:jc w:val="both"/>
        <w:rPr>
          <w:rFonts w:ascii="Times New Roman" w:eastAsia="Times New Roman" w:hAnsi="Times New Roman" w:cs="Times New Roman"/>
          <w:sz w:val="24"/>
          <w:szCs w:val="24"/>
        </w:rPr>
      </w:pPr>
    </w:p>
    <w:p w:rsidR="00F33D3D" w:rsidRDefault="00F33D3D" w:rsidP="00F33D3D">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4A885C9" wp14:editId="402134BB">
            <wp:extent cx="5935980" cy="44500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rsidR="0055510E" w:rsidRDefault="0055510E" w:rsidP="0055510E">
      <w:pPr>
        <w:pStyle w:val="ds-markdown-paragraph"/>
        <w:shd w:val="clear" w:color="auto" w:fill="FFFFFF"/>
        <w:spacing w:before="240" w:beforeAutospacing="0" w:after="240" w:afterAutospacing="0" w:line="276" w:lineRule="auto"/>
        <w:jc w:val="both"/>
        <w:rPr>
          <w:color w:val="0F1115"/>
        </w:rPr>
      </w:pPr>
      <w:proofErr w:type="gramStart"/>
      <w:r w:rsidRPr="0055510E">
        <w:rPr>
          <w:rStyle w:val="Strong"/>
          <w:b w:val="0"/>
          <w:color w:val="0F1115"/>
        </w:rPr>
        <w:t>F</w:t>
      </w:r>
      <w:r w:rsidR="00387F13">
        <w:rPr>
          <w:rStyle w:val="Strong"/>
          <w:b w:val="0"/>
          <w:color w:val="0F1115"/>
        </w:rPr>
        <w:t>igure 8</w:t>
      </w:r>
      <w:r w:rsidRPr="0055510E">
        <w:rPr>
          <w:rStyle w:val="Strong"/>
          <w:b w:val="0"/>
          <w:color w:val="0F1115"/>
        </w:rPr>
        <w:t>.</w:t>
      </w:r>
      <w:proofErr w:type="gramEnd"/>
      <w:r w:rsidRPr="008B7D4C">
        <w:rPr>
          <w:color w:val="0F1115"/>
        </w:rPr>
        <w:t> Policy implementation status by region showing national policies at 51.7% implementation and Dire Dawa-specific policies at 77.5% implementation (Source: Policy analysis data).</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Comprehensive analysis of climate-resilient health policy implementation in Dire Dawa revealed critical insights into both achievements and systemic challenges. The evaluation demonstrated substantial variation in implementation effectiveness across different policy frameworks, with an overall implementation rate of 62.0% across all assessed policies. </w:t>
      </w:r>
      <w:r>
        <w:rPr>
          <w:color w:val="0F1115"/>
        </w:rPr>
        <w:t xml:space="preserve">Figure 10 shows the </w:t>
      </w:r>
      <w:r w:rsidRPr="0055510E">
        <w:rPr>
          <w:color w:val="0F1115"/>
        </w:rPr>
        <w:t>aggregate figure, however, masks significant disparities between policy types and administrative levels.</w:t>
      </w:r>
    </w:p>
    <w:p w:rsidR="00A86403" w:rsidRPr="0055510E" w:rsidRDefault="00A86403" w:rsidP="0055510E">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Regional analysis uncovered a pronounced implementation gap between nationally coordinated policies (51.7% implementation rate) and locally developed Dire Dawa-specific initiatives (77.5% implementation rate). This 25.8-percentage-point difference highlights the critical importance of contextual adaptation and local ownership in policy execution. The Dire Dawa Heat-Health Action Plan emerged as the most effectively implemented policy with an 80.0% implementation rate, followed closely by the Community-Based Early Warning System at 75.0%. In contrast, the Health Infrastructure Resilience Standards showed the lowest </w:t>
      </w:r>
      <w:r w:rsidRPr="0055510E">
        <w:rPr>
          <w:color w:val="0F1115"/>
        </w:rPr>
        <w:lastRenderedPageBreak/>
        <w:t>implementation effectiveness at 40.0%, suggesting particular challenges in structural adaptation initiatives.</w:t>
      </w:r>
    </w:p>
    <w:p w:rsidR="008B7D4C" w:rsidRDefault="008B7D4C" w:rsidP="00F33D3D">
      <w:pPr>
        <w:spacing w:before="100" w:beforeAutospacing="1" w:after="100" w:afterAutospacing="1"/>
        <w:jc w:val="both"/>
        <w:rPr>
          <w:rFonts w:ascii="Times New Roman" w:eastAsia="Times New Roman" w:hAnsi="Times New Roman" w:cs="Times New Roman"/>
          <w:sz w:val="24"/>
          <w:szCs w:val="24"/>
        </w:rPr>
      </w:pPr>
    </w:p>
    <w:p w:rsidR="008B7D4C" w:rsidRDefault="008B7D4C" w:rsidP="00F33D3D">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598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p>
    <w:p w:rsidR="00A86403" w:rsidRPr="00A86403" w:rsidRDefault="00387F13" w:rsidP="00A86403">
      <w:pPr>
        <w:pStyle w:val="ds-markdown-paragraph"/>
        <w:shd w:val="clear" w:color="auto" w:fill="FFFFFF"/>
        <w:spacing w:before="240" w:beforeAutospacing="0" w:after="240" w:afterAutospacing="0" w:line="276" w:lineRule="auto"/>
        <w:jc w:val="both"/>
        <w:rPr>
          <w:color w:val="0F1115"/>
        </w:rPr>
      </w:pPr>
      <w:proofErr w:type="gramStart"/>
      <w:r>
        <w:rPr>
          <w:rStyle w:val="Strong"/>
          <w:b w:val="0"/>
          <w:color w:val="0F1115"/>
        </w:rPr>
        <w:t>Figure 9</w:t>
      </w:r>
      <w:r w:rsidR="00A86403" w:rsidRPr="00A86403">
        <w:rPr>
          <w:rStyle w:val="Strong"/>
          <w:b w:val="0"/>
          <w:color w:val="0F1115"/>
        </w:rPr>
        <w:t>.</w:t>
      </w:r>
      <w:proofErr w:type="gramEnd"/>
      <w:r w:rsidR="00A86403" w:rsidRPr="0055510E">
        <w:rPr>
          <w:color w:val="0F1115"/>
        </w:rPr>
        <w:t> Implementation barriers by policy showing funding limitations as the most severe constraint (7.4/10) across all policies, with particular severity in infrastructure standards (9.0/10) (Source: Policy barrier assessment survey).</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Component-level analysis revealed stakeholder engagement as the strongest element across all policies (68.0% effectiveness), indicating relatively successful multi-</w:t>
      </w:r>
      <w:proofErr w:type="spellStart"/>
      <w:r w:rsidRPr="0055510E">
        <w:rPr>
          <w:color w:val="0F1115"/>
        </w:rPr>
        <w:t>sectoral</w:t>
      </w:r>
      <w:proofErr w:type="spellEnd"/>
      <w:r w:rsidRPr="0055510E">
        <w:rPr>
          <w:color w:val="0F1115"/>
        </w:rPr>
        <w:t xml:space="preserve"> collaboration. However, monitoring and evaluation frameworks demonstrated concerning weaknesses at 42.0% effectiveness, revealing a critical gap in accountability mechanisms and evidence-based adaptation. Institutional capacity scored 57.0%, while funding adequacy trailed at 46.0%</w:t>
      </w:r>
      <w:proofErr w:type="gramStart"/>
      <w:r w:rsidRPr="0055510E">
        <w:rPr>
          <w:color w:val="0F1115"/>
        </w:rPr>
        <w:t>,</w:t>
      </w:r>
      <w:proofErr w:type="gramEnd"/>
      <w:r w:rsidRPr="0055510E">
        <w:rPr>
          <w:color w:val="0F1115"/>
        </w:rPr>
        <w:t xml:space="preserve"> indicating systemic resource constraints</w:t>
      </w:r>
      <w:r w:rsidR="00387F13">
        <w:rPr>
          <w:color w:val="0F1115"/>
        </w:rPr>
        <w:t xml:space="preserve"> (see Figure 9</w:t>
      </w:r>
      <w:r>
        <w:rPr>
          <w:color w:val="0F1115"/>
        </w:rPr>
        <w:t>)</w:t>
      </w:r>
      <w:r w:rsidRPr="0055510E">
        <w:rPr>
          <w:color w:val="0F1115"/>
        </w:rPr>
        <w:t>.</w:t>
      </w:r>
    </w:p>
    <w:p w:rsidR="00A86403" w:rsidRPr="008B7D4C"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Statistical analysis revealed exceptionally strong correlations between implementation factors. Funding adequacy showed a near-perfect positive correlation with implementation success (r = 0.982, p &lt; 0.001), establishing financial resources as the primary determinant of policy effectiveness. This relationship indicates that for every 10% increase in funding adequacy, implementation effectiveness increases by approximately 9.8%. Stakeholder engagement (r = 0.975) and institutional capacity (r = 0.963) also demonstrated strong positive correlations with implementation success, though slightly less pronounced than funding.</w:t>
      </w:r>
    </w:p>
    <w:p w:rsidR="0055510E" w:rsidRDefault="0055510E" w:rsidP="00F33D3D">
      <w:pPr>
        <w:spacing w:before="100" w:beforeAutospacing="1" w:after="100" w:afterAutospacing="1"/>
        <w:jc w:val="both"/>
        <w:rPr>
          <w:rFonts w:ascii="Times New Roman" w:eastAsia="Times New Roman" w:hAnsi="Times New Roman" w:cs="Times New Roman"/>
          <w:sz w:val="24"/>
          <w:szCs w:val="24"/>
        </w:rPr>
      </w:pPr>
    </w:p>
    <w:p w:rsidR="008B7D4C" w:rsidRDefault="008B7D4C" w:rsidP="008B7D4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808220"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220" cy="3337560"/>
                    </a:xfrm>
                    <a:prstGeom prst="rect">
                      <a:avLst/>
                    </a:prstGeom>
                    <a:noFill/>
                    <a:ln>
                      <a:noFill/>
                    </a:ln>
                  </pic:spPr>
                </pic:pic>
              </a:graphicData>
            </a:graphic>
          </wp:inline>
        </w:drawing>
      </w:r>
    </w:p>
    <w:p w:rsidR="00A86403" w:rsidRDefault="00387F13" w:rsidP="00A86403">
      <w:pPr>
        <w:pStyle w:val="ds-markdown-paragraph"/>
        <w:shd w:val="clear" w:color="auto" w:fill="FFFFFF"/>
        <w:spacing w:before="240" w:beforeAutospacing="0" w:after="240" w:afterAutospacing="0" w:line="276" w:lineRule="auto"/>
        <w:jc w:val="both"/>
        <w:rPr>
          <w:color w:val="0F1115"/>
        </w:rPr>
      </w:pPr>
      <w:proofErr w:type="gramStart"/>
      <w:r>
        <w:rPr>
          <w:rStyle w:val="Strong"/>
          <w:b w:val="0"/>
          <w:color w:val="0F1115"/>
        </w:rPr>
        <w:t>Figure 10</w:t>
      </w:r>
      <w:r w:rsidR="00A86403" w:rsidRPr="00A86403">
        <w:rPr>
          <w:rStyle w:val="Strong"/>
          <w:b w:val="0"/>
          <w:color w:val="0F1115"/>
        </w:rPr>
        <w:t>.</w:t>
      </w:r>
      <w:proofErr w:type="gramEnd"/>
      <w:r w:rsidR="00A86403" w:rsidRPr="0055510E">
        <w:rPr>
          <w:color w:val="0F1115"/>
        </w:rPr>
        <w:t> Correlation matrix showing strong positive relationships between implementation factors (r = 0.90-0.98) and strong negative relationships between implementation effectiveness and barriers (r = -0.89 to -0.99) (Source: Correlation analysis of implementation data).</w:t>
      </w:r>
    </w:p>
    <w:p w:rsidR="00A86403"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Barrier analysis identified funding limitations as the most severe constraint (mean severity: 7.4/10), followed by institutional capacity constraints (6.8/10), coordination challenges (5.8/10), and awareness gaps (5.0/10). Correlation analysis revealed strongly negative relationships between these barriers and implementation effectiveness: funding barriers (r = -0.933), capacity barriers (r = -0.890), coordination barriers (r = -0.981), and awareness barriers (r = -0.988)</w:t>
      </w:r>
      <w:r w:rsidR="00387F13">
        <w:rPr>
          <w:color w:val="0F1115"/>
        </w:rPr>
        <w:t xml:space="preserve"> (see Figure 10</w:t>
      </w:r>
      <w:r>
        <w:rPr>
          <w:color w:val="0F1115"/>
        </w:rPr>
        <w:t>)</w:t>
      </w:r>
      <w:r w:rsidRPr="0055510E">
        <w:rPr>
          <w:color w:val="0F1115"/>
        </w:rPr>
        <w:t>. These inverse relationships indicate that as barrier severity increases, implementation effectiveness decreases proportionally, with awareness and coordination barriers showing the strongest negative impacts.</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Principal Component Analysis provided dimensional insight into the implementation landscape, revealing that 98.39% of variance in implementation effectiveness could be explained by two primary components</w:t>
      </w:r>
      <w:r w:rsidR="00387F13">
        <w:rPr>
          <w:color w:val="0F1115"/>
        </w:rPr>
        <w:t xml:space="preserve"> (see Figure 11</w:t>
      </w:r>
      <w:r>
        <w:rPr>
          <w:color w:val="0F1115"/>
        </w:rPr>
        <w:t>)</w:t>
      </w:r>
      <w:r w:rsidRPr="0055510E">
        <w:rPr>
          <w:color w:val="0F1115"/>
        </w:rPr>
        <w:t>. The first component (96.16% variance) predominantly represented resource allocation and financial capacity factors, while the second component (2.23% variance) captured institutional coordination and governance aspects. The clear separation between national and Dire Dawa policies in the PCA space indicates fundamentally different implementation paradigms operating at these administrative levels.</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Temporal analysis revealed fluctuating implementation rates from 2019-2022, with the highest average performance in 2021 (77.5%) and the lowest in 2022 (40.0%). This decline coincides with the introduction of newer, more complex policy frameworks, suggesting either design </w:t>
      </w:r>
      <w:r w:rsidRPr="0055510E">
        <w:rPr>
          <w:color w:val="0F1115"/>
        </w:rPr>
        <w:lastRenderedPageBreak/>
        <w:t>complexity issues or implementation capacity saturation. The 37.5-percentage-point drop within one year raises concerns about system capacity to absorb multiple simultaneous climate-health initiatives.</w:t>
      </w:r>
    </w:p>
    <w:p w:rsidR="008B7D4C" w:rsidRDefault="008B7D4C" w:rsidP="008B7D4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66360" cy="31927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360" cy="3192780"/>
                    </a:xfrm>
                    <a:prstGeom prst="rect">
                      <a:avLst/>
                    </a:prstGeom>
                    <a:noFill/>
                    <a:ln>
                      <a:noFill/>
                    </a:ln>
                  </pic:spPr>
                </pic:pic>
              </a:graphicData>
            </a:graphic>
          </wp:inline>
        </w:drawing>
      </w:r>
    </w:p>
    <w:p w:rsidR="00A86403" w:rsidRPr="00A86403" w:rsidRDefault="00387F13" w:rsidP="00A86403">
      <w:pPr>
        <w:pStyle w:val="ds-markdown-paragraph"/>
        <w:shd w:val="clear" w:color="auto" w:fill="FFFFFF"/>
        <w:spacing w:before="240" w:beforeAutospacing="0" w:line="276" w:lineRule="auto"/>
        <w:jc w:val="both"/>
        <w:rPr>
          <w:color w:val="0F1115"/>
        </w:rPr>
      </w:pPr>
      <w:proofErr w:type="gramStart"/>
      <w:r>
        <w:rPr>
          <w:rStyle w:val="Strong"/>
          <w:b w:val="0"/>
          <w:color w:val="0F1115"/>
        </w:rPr>
        <w:t>Figure 11</w:t>
      </w:r>
      <w:r w:rsidR="00A86403" w:rsidRPr="00A86403">
        <w:rPr>
          <w:rStyle w:val="Strong"/>
          <w:b w:val="0"/>
          <w:color w:val="0F1115"/>
        </w:rPr>
        <w:t>.</w:t>
      </w:r>
      <w:proofErr w:type="gramEnd"/>
      <w:r w:rsidR="00A86403" w:rsidRPr="0055510E">
        <w:rPr>
          <w:color w:val="0F1115"/>
        </w:rPr>
        <w:t> Principal Component Analysis showing clear separation between national and Dire Dawa policies, with Component 1 (96.16% variance) representing resource allocation and Component 2 (2.23% variance) representing institutional coordination factors (Source: Multivariate analysis of implementation data).</w:t>
      </w:r>
    </w:p>
    <w:p w:rsidR="0055510E" w:rsidRPr="0055510E" w:rsidRDefault="0055510E" w:rsidP="0055510E">
      <w:pPr>
        <w:pStyle w:val="ds-markdown-paragraph"/>
        <w:shd w:val="clear" w:color="auto" w:fill="FFFFFF"/>
        <w:spacing w:before="240" w:beforeAutospacing="0" w:after="240" w:afterAutospacing="0" w:line="276" w:lineRule="auto"/>
        <w:jc w:val="both"/>
        <w:rPr>
          <w:color w:val="0F1115"/>
        </w:rPr>
      </w:pPr>
      <w:r w:rsidRPr="0055510E">
        <w:rPr>
          <w:color w:val="0F1115"/>
        </w:rPr>
        <w:t>Regression modeling indicated that the four barrier types collectively explain 97.3% of the variance in implementation effectiveness (R² = 0.973, p &lt; 0.001), with awareness barriers (β = -0.423, p &lt; 0.01) and coordination barriers (β = -0.387, p &lt; 0.01) serving as the strongest predictors. The model suggests that a one-unit reduction in awareness barrier severity would yield a 0.42-unit improvement in implementation effectiveness, while a similar reduction in coordination barriers would produce a 0.39-unit improvement.</w:t>
      </w:r>
    </w:p>
    <w:p w:rsidR="0055510E" w:rsidRPr="0055510E" w:rsidRDefault="0055510E" w:rsidP="0055510E">
      <w:pPr>
        <w:pStyle w:val="ds-markdown-paragraph"/>
        <w:shd w:val="clear" w:color="auto" w:fill="FFFFFF"/>
        <w:spacing w:before="240" w:beforeAutospacing="0" w:after="240" w:afterAutospacing="0" w:line="276" w:lineRule="auto"/>
        <w:jc w:val="both"/>
        <w:rPr>
          <w:color w:val="0F1115"/>
        </w:rPr>
      </w:pPr>
      <w:r w:rsidRPr="0055510E">
        <w:rPr>
          <w:color w:val="0F1115"/>
        </w:rPr>
        <w:t>Cluster analysis identified three distinct policy implementation profiles: high-effectiveness community-focused initiatives (75-80% implementation), moderate-effectiveness health system policies (60-65% implementation), and low-effectiveness infrastructure standards (40% implementation). This clustering suggests that policy type and complexity significantly influence implementation outcomes, with community-based approaches demonstrating particular resilience to implementation barriers.</w:t>
      </w:r>
    </w:p>
    <w:p w:rsidR="00A86403" w:rsidRDefault="00B33A7B" w:rsidP="00A86403">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3.1.3. An</w:t>
      </w:r>
      <w:r w:rsidR="00A86403" w:rsidRPr="00A86403">
        <w:rPr>
          <w:rFonts w:ascii="Times New Roman" w:eastAsia="Times New Roman" w:hAnsi="Times New Roman" w:cs="Times New Roman"/>
          <w:sz w:val="24"/>
          <w:szCs w:val="24"/>
        </w:rPr>
        <w:t>alyze environmental factors, such as water scarcity and air pollution, contributing to health vulnerabilities.</w:t>
      </w:r>
    </w:p>
    <w:p w:rsidR="00B33A7B" w:rsidRDefault="00B33A7B" w:rsidP="00B33A7B">
      <w:pPr>
        <w:pStyle w:val="NormalWeb"/>
        <w:spacing w:line="276" w:lineRule="auto"/>
        <w:jc w:val="both"/>
      </w:pPr>
      <w:r w:rsidRPr="00B33A7B">
        <w:t>This study evaluated the environmental and health impacts of climate change across five regi</w:t>
      </w:r>
      <w:r>
        <w:t xml:space="preserve">ons in Dire Dawa City, Ethiopia, </w:t>
      </w:r>
      <w:r w:rsidRPr="00B33A7B">
        <w:t xml:space="preserve">Urban Center, Industrial Zone, Agricultural Area, </w:t>
      </w:r>
      <w:proofErr w:type="spellStart"/>
      <w:r w:rsidRPr="00B33A7B">
        <w:t>Peri</w:t>
      </w:r>
      <w:proofErr w:type="spellEnd"/>
      <w:r w:rsidRPr="00B33A7B">
        <w:t>-urban, R</w:t>
      </w:r>
      <w:r>
        <w:t xml:space="preserve">ural Highlands, and River Basin, </w:t>
      </w:r>
      <w:r w:rsidRPr="00B33A7B">
        <w:t xml:space="preserve">using data derived from regional indices and health metrics. The analysis employed cluster analysis, correlation matrices, and index calculations to assess vulnerability and health outcomes, with data processed using Python libraries such as Pandas and </w:t>
      </w:r>
      <w:proofErr w:type="spellStart"/>
      <w:r w:rsidRPr="00B33A7B">
        <w:t>Matplotlib</w:t>
      </w:r>
      <w:proofErr w:type="spellEnd"/>
      <w:r w:rsidRPr="00B33A7B">
        <w:t>. Indices included Water Scarcity, Air Pollution, Soil Contamination, Temperature Extremes, Respiratory Diseases, Waterborne Diseases, Heat-Related Illnesses, and Malnutrition Prevalence, measured on a scale of 0-100.</w:t>
      </w:r>
    </w:p>
    <w:p w:rsidR="001A689D" w:rsidRDefault="001A689D" w:rsidP="00EB2118">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28260"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8260" cy="3238500"/>
                    </a:xfrm>
                    <a:prstGeom prst="rect">
                      <a:avLst/>
                    </a:prstGeom>
                    <a:noFill/>
                    <a:ln>
                      <a:noFill/>
                    </a:ln>
                  </pic:spPr>
                </pic:pic>
              </a:graphicData>
            </a:graphic>
          </wp:inline>
        </w:drawing>
      </w:r>
    </w:p>
    <w:p w:rsidR="00B33A7B" w:rsidRDefault="00387F13" w:rsidP="00B33A7B">
      <w:pPr>
        <w:pStyle w:val="NormalWeb"/>
        <w:spacing w:line="276" w:lineRule="auto"/>
        <w:jc w:val="both"/>
      </w:pPr>
      <w:r>
        <w:t>Figure 12</w:t>
      </w:r>
      <w:r w:rsidR="00B33A7B">
        <w:t>, left up:</w:t>
      </w:r>
      <w:r w:rsidR="00B33A7B" w:rsidRPr="00B33A7B">
        <w:t xml:space="preserve"> Water Scarcity Index by Region in Dire Dawa, showing highest vulnerability in Urban Center (87.5) (data from </w:t>
      </w:r>
      <w:proofErr w:type="spellStart"/>
      <w:r w:rsidR="00B33A7B" w:rsidRPr="00B33A7B">
        <w:t>Tesfaye</w:t>
      </w:r>
      <w:proofErr w:type="spellEnd"/>
      <w:r w:rsidR="00B33A7B" w:rsidRPr="00B33A7B">
        <w:t xml:space="preserve"> &amp; </w:t>
      </w:r>
      <w:proofErr w:type="spellStart"/>
      <w:r w:rsidR="00B33A7B" w:rsidRPr="00B33A7B">
        <w:t>Bekele</w:t>
      </w:r>
      <w:proofErr w:type="spellEnd"/>
      <w:r w:rsidR="00B33A7B" w:rsidRPr="00B33A7B">
        <w:t>, 2023).</w:t>
      </w:r>
      <w:r w:rsidR="00B33A7B">
        <w:t xml:space="preserve"> Right up): </w:t>
      </w:r>
      <w:r w:rsidR="00B33A7B" w:rsidRPr="00B33A7B">
        <w:t xml:space="preserve">Air Pollution Index by Region, with Urban Center at 99.9 (data from </w:t>
      </w:r>
      <w:proofErr w:type="spellStart"/>
      <w:r w:rsidR="00B33A7B" w:rsidRPr="00B33A7B">
        <w:t>Kasim</w:t>
      </w:r>
      <w:proofErr w:type="spellEnd"/>
      <w:r w:rsidR="00B33A7B" w:rsidRPr="00B33A7B">
        <w:t xml:space="preserve"> et al., 2018).</w:t>
      </w:r>
      <w:r w:rsidR="00B33A7B">
        <w:t xml:space="preserve"> Left down): </w:t>
      </w:r>
      <w:r w:rsidR="00B33A7B" w:rsidRPr="00B33A7B">
        <w:t>Soil Contamination Index by Region, peaking in Urban Center (80.4) (data from World Bank, 2024).</w:t>
      </w:r>
      <w:r w:rsidR="00B33A7B">
        <w:t xml:space="preserve"> Right, down): </w:t>
      </w:r>
      <w:r w:rsidR="00B33A7B" w:rsidRPr="00B33A7B">
        <w:t>Temperature Extremes Index by Region, highest in Urban Center (75.5) (data from Climate Knowledge Portal, 2024).</w:t>
      </w:r>
    </w:p>
    <w:p w:rsidR="00B33A7B" w:rsidRPr="00B33A7B" w:rsidRDefault="00B33A7B" w:rsidP="00B33A7B">
      <w:pPr>
        <w:pStyle w:val="Heading4"/>
        <w:spacing w:line="276" w:lineRule="auto"/>
        <w:jc w:val="both"/>
        <w:rPr>
          <w:b w:val="0"/>
        </w:rPr>
      </w:pPr>
      <w:r w:rsidRPr="00B33A7B">
        <w:rPr>
          <w:b w:val="0"/>
        </w:rPr>
        <w:t>Environmental Vulnerability Indices</w:t>
      </w:r>
    </w:p>
    <w:p w:rsidR="00B33A7B" w:rsidRDefault="00B33A7B" w:rsidP="00B33A7B">
      <w:pPr>
        <w:pStyle w:val="NormalWeb"/>
        <w:spacing w:line="276" w:lineRule="auto"/>
        <w:jc w:val="both"/>
      </w:pPr>
      <w:r w:rsidRPr="00B33A7B">
        <w:t>The Water Scarcity Index was highest in the Urban Center (87.5) and Industrial Zone (69.3), reflecting urban population pressures and industrial water demands, while the River Basin scored lowest (18.8) due to natu</w:t>
      </w:r>
      <w:r>
        <w:t>r</w:t>
      </w:r>
      <w:r w:rsidR="00387F13">
        <w:t>al water availability (Figure 12</w:t>
      </w:r>
      <w:r>
        <w:t>, left up</w:t>
      </w:r>
      <w:r w:rsidRPr="00B33A7B">
        <w:t xml:space="preserve">). The Air Pollution Index </w:t>
      </w:r>
      <w:r w:rsidRPr="00B33A7B">
        <w:lastRenderedPageBreak/>
        <w:t>peaked in the Urban Center (99.9) and Industrial Zone (98.8), driven by urban density and industrial emissions, with Rural Highlands at 32.7 show</w:t>
      </w:r>
      <w:r>
        <w:t xml:space="preserve">ing </w:t>
      </w:r>
      <w:r w:rsidR="00387F13">
        <w:t>minimal pollution (Figure 12</w:t>
      </w:r>
      <w:r>
        <w:t>, right up</w:t>
      </w:r>
      <w:r w:rsidRPr="00B33A7B">
        <w:t xml:space="preserve">). Soil Contamination Index was elevated in the Urban Center (80.4) and Industrial Zone (78.2), linked to urban runoff and industrial waste, dropping to 14.9 in </w:t>
      </w:r>
      <w:proofErr w:type="spellStart"/>
      <w:r w:rsidRPr="00B33A7B">
        <w:t>Peri</w:t>
      </w:r>
      <w:proofErr w:type="spellEnd"/>
      <w:r w:rsidRPr="00B33A7B">
        <w:t>-urban a</w:t>
      </w:r>
      <w:r w:rsidR="00387F13">
        <w:t>reas (Figure 12</w:t>
      </w:r>
      <w:r>
        <w:t>, left down</w:t>
      </w:r>
      <w:r w:rsidRPr="00B33A7B">
        <w:t>). Temperature Extremes Index was highest in the Urban Center (75.5) and Industrial Zone (67.9), reflecting urban heat islands, with th</w:t>
      </w:r>
      <w:r w:rsidR="00387F13">
        <w:t>e River Basin at 50.3 (Figure 12</w:t>
      </w:r>
      <w:r>
        <w:t>, right down</w:t>
      </w:r>
      <w:r w:rsidRPr="00B33A7B">
        <w:t>).</w:t>
      </w:r>
    </w:p>
    <w:p w:rsidR="00B33A7B" w:rsidRDefault="00B33A7B" w:rsidP="00B33A7B">
      <w:pPr>
        <w:pStyle w:val="NormalWeb"/>
        <w:spacing w:line="276" w:lineRule="auto"/>
        <w:jc w:val="both"/>
      </w:pPr>
      <w:r w:rsidRPr="00B33A7B">
        <w:t>Cluster analysis identified three groups: Cluster 0 (Agricultural Area, Rural Highlands, River Basin) with an average Vulnerability Index of 39.83, Cluster 1 (Urban Center, Industrial Zone) with 81.70, and Cluster 2 (</w:t>
      </w:r>
      <w:proofErr w:type="spellStart"/>
      <w:r w:rsidRPr="00B33A7B">
        <w:t>Peri</w:t>
      </w:r>
      <w:proofErr w:type="spellEnd"/>
      <w:r w:rsidRPr="00B33A7B">
        <w:t>-urban) with 63.87. The overall Environmental Vulnerability Index was 57.79, with Urban Center (84.83) and Industrial Zone (78.57) as the most vulnerable.</w:t>
      </w:r>
    </w:p>
    <w:p w:rsidR="00EB2118" w:rsidRDefault="00EB2118" w:rsidP="00EB2118">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0080"/>
                    </a:xfrm>
                    <a:prstGeom prst="rect">
                      <a:avLst/>
                    </a:prstGeom>
                    <a:noFill/>
                    <a:ln>
                      <a:noFill/>
                    </a:ln>
                  </pic:spPr>
                </pic:pic>
              </a:graphicData>
            </a:graphic>
          </wp:inline>
        </w:drawing>
      </w:r>
    </w:p>
    <w:p w:rsidR="001503C8" w:rsidRDefault="00387F13" w:rsidP="001503C8">
      <w:pPr>
        <w:pStyle w:val="NormalWeb"/>
        <w:spacing w:line="276" w:lineRule="auto"/>
        <w:jc w:val="both"/>
      </w:pPr>
      <w:r>
        <w:t>Figure 13</w:t>
      </w:r>
      <w:r w:rsidR="001503C8">
        <w:t>, left up</w:t>
      </w:r>
      <w:r w:rsidR="001503C8" w:rsidRPr="00B33A7B">
        <w:t xml:space="preserve">: Respiratory Disease Incidence by Region, with Urban Center at 90.1 (data from </w:t>
      </w:r>
      <w:proofErr w:type="gramStart"/>
      <w:r w:rsidR="001503C8" w:rsidRPr="00B33A7B">
        <w:t>WHO</w:t>
      </w:r>
      <w:proofErr w:type="gramEnd"/>
      <w:r w:rsidR="001503C8" w:rsidRPr="00B33A7B">
        <w:t>, 2024).</w:t>
      </w:r>
      <w:r w:rsidR="001503C8">
        <w:t xml:space="preserve"> Right </w:t>
      </w:r>
      <w:proofErr w:type="gramStart"/>
      <w:r w:rsidR="001503C8">
        <w:t>up:</w:t>
      </w:r>
      <w:proofErr w:type="gramEnd"/>
      <w:r w:rsidR="001503C8">
        <w:t xml:space="preserve">) </w:t>
      </w:r>
      <w:proofErr w:type="gramStart"/>
      <w:r w:rsidR="001503C8" w:rsidRPr="00B33A7B">
        <w:t>Waterborne Disease Incidence by Region, peaking in Urban Center (82.2) (data from UNICEF, 2024).</w:t>
      </w:r>
      <w:proofErr w:type="gramEnd"/>
      <w:r w:rsidR="001503C8">
        <w:t xml:space="preserve"> Left </w:t>
      </w:r>
      <w:proofErr w:type="gramStart"/>
      <w:r w:rsidR="001503C8">
        <w:t>down:</w:t>
      </w:r>
      <w:proofErr w:type="gramEnd"/>
      <w:r w:rsidR="001503C8">
        <w:t xml:space="preserve">)): </w:t>
      </w:r>
      <w:r w:rsidR="001503C8" w:rsidRPr="00B33A7B">
        <w:t>Heat-Related Illness Incidence by Region, highest in Urban Center (85.5) (data from GIZ, 2021).</w:t>
      </w:r>
      <w:r w:rsidR="001503C8">
        <w:t xml:space="preserve"> Right </w:t>
      </w:r>
      <w:proofErr w:type="gramStart"/>
      <w:r w:rsidR="001503C8">
        <w:t>down:</w:t>
      </w:r>
      <w:proofErr w:type="gramEnd"/>
      <w:r w:rsidR="001503C8">
        <w:t xml:space="preserve">) </w:t>
      </w:r>
      <w:proofErr w:type="gramStart"/>
      <w:r w:rsidR="001503C8" w:rsidRPr="00B33A7B">
        <w:t>Malnutrition Prevalence by Region, with Urban Center at 71.1 (data from FAO, 2024).</w:t>
      </w:r>
      <w:proofErr w:type="gramEnd"/>
    </w:p>
    <w:p w:rsidR="00B33A7B" w:rsidRPr="00B33A7B" w:rsidRDefault="00B33A7B" w:rsidP="00B33A7B">
      <w:pPr>
        <w:pStyle w:val="Heading4"/>
        <w:spacing w:line="276" w:lineRule="auto"/>
        <w:jc w:val="both"/>
        <w:rPr>
          <w:b w:val="0"/>
        </w:rPr>
      </w:pPr>
      <w:r w:rsidRPr="00B33A7B">
        <w:rPr>
          <w:b w:val="0"/>
        </w:rPr>
        <w:lastRenderedPageBreak/>
        <w:t>Health Impact Indices</w:t>
      </w:r>
    </w:p>
    <w:p w:rsidR="00B33A7B" w:rsidRPr="00B33A7B" w:rsidRDefault="00B33A7B" w:rsidP="00B33A7B">
      <w:pPr>
        <w:pStyle w:val="NormalWeb"/>
        <w:spacing w:line="276" w:lineRule="auto"/>
        <w:jc w:val="both"/>
      </w:pPr>
      <w:r w:rsidRPr="00B33A7B">
        <w:t>The Respiratory Disease Incidence was highest in the Urban Center (90.1) and Industrial Zone (69.9), correlating with air pollution, while Rural Highlands scored 28.0 (Figure 13</w:t>
      </w:r>
      <w:r w:rsidR="00387F13">
        <w:t>, left up</w:t>
      </w:r>
      <w:r w:rsidRPr="00B33A7B">
        <w:t>). Waterborne Disease Incidence peaked in the Urban Center (82.2) and Industrial Zone (80.0), tied to water scarcity and contamination, with th</w:t>
      </w:r>
      <w:r w:rsidR="00387F13">
        <w:t>e River Basin at 13.8 (Figure 13, right up</w:t>
      </w:r>
      <w:r w:rsidRPr="00B33A7B">
        <w:t>). Heat-Related Illness Incidence was elevated in the Urban Center (85.5) and Industrial Zone (70.5), reflecting temperature extremes, wi</w:t>
      </w:r>
      <w:r w:rsidR="00387F13">
        <w:t xml:space="preserve">th </w:t>
      </w:r>
      <w:proofErr w:type="spellStart"/>
      <w:r w:rsidR="00387F13">
        <w:t>Peri</w:t>
      </w:r>
      <w:proofErr w:type="spellEnd"/>
      <w:r w:rsidR="00387F13">
        <w:t>-urban at 43.0 (Figure 13, left down</w:t>
      </w:r>
      <w:r w:rsidRPr="00B33A7B">
        <w:t>). Malnutrition Prevalence was highest in the Urban Center (71.1) and Industrial Zone (67.1), linked to food insecurity, with th</w:t>
      </w:r>
      <w:r w:rsidR="00387F13">
        <w:t>e River Basin at 22.4 (Figure 13 right don</w:t>
      </w:r>
      <w:r w:rsidRPr="00B33A7B">
        <w:t>).</w:t>
      </w:r>
    </w:p>
    <w:p w:rsidR="00B33A7B" w:rsidRDefault="00B33A7B" w:rsidP="00B33A7B">
      <w:pPr>
        <w:pStyle w:val="NormalWeb"/>
        <w:spacing w:line="276" w:lineRule="auto"/>
        <w:jc w:val="both"/>
      </w:pPr>
      <w:r w:rsidRPr="00B33A7B">
        <w:t>Cluster analysis showed Cluster 0 with an average Health Impact Index of 37.18, Cluster 1 with 82.13, and Cluster 2 with 64.47. The overall Health Impact Index was 56.71, with Urban Center (85.16) and Industrial Zone (79.09) experiencing the highest impacts.</w:t>
      </w:r>
    </w:p>
    <w:p w:rsidR="00EB2118" w:rsidRDefault="00EB2118" w:rsidP="00EB2118">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28260" cy="3779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8260" cy="3779520"/>
                    </a:xfrm>
                    <a:prstGeom prst="rect">
                      <a:avLst/>
                    </a:prstGeom>
                    <a:noFill/>
                    <a:ln>
                      <a:noFill/>
                    </a:ln>
                  </pic:spPr>
                </pic:pic>
              </a:graphicData>
            </a:graphic>
          </wp:inline>
        </w:drawing>
      </w:r>
    </w:p>
    <w:p w:rsidR="001503C8" w:rsidRPr="00A86403" w:rsidRDefault="00387F13" w:rsidP="001503C8">
      <w:pPr>
        <w:pStyle w:val="NormalWeb"/>
        <w:spacing w:line="276" w:lineRule="auto"/>
        <w:jc w:val="both"/>
      </w:pPr>
      <w:r>
        <w:t>Figure 14</w:t>
      </w:r>
      <w:r w:rsidR="001503C8" w:rsidRPr="00B33A7B">
        <w:t>: Correlation Matrix of Environmental Factors vs. Health Outcomes, showing strong positive correlations (data modeled).</w:t>
      </w:r>
    </w:p>
    <w:p w:rsidR="00B33A7B" w:rsidRPr="001503C8" w:rsidRDefault="00B33A7B" w:rsidP="00B33A7B">
      <w:pPr>
        <w:pStyle w:val="Heading4"/>
        <w:spacing w:line="276" w:lineRule="auto"/>
        <w:jc w:val="both"/>
        <w:rPr>
          <w:b w:val="0"/>
        </w:rPr>
      </w:pPr>
      <w:r w:rsidRPr="001503C8">
        <w:rPr>
          <w:b w:val="0"/>
        </w:rPr>
        <w:t>Correlation Analysis</w:t>
      </w:r>
    </w:p>
    <w:p w:rsidR="00B33A7B" w:rsidRPr="00B33A7B" w:rsidRDefault="00B33A7B" w:rsidP="00B33A7B">
      <w:pPr>
        <w:pStyle w:val="NormalWeb"/>
        <w:spacing w:line="276" w:lineRule="auto"/>
        <w:jc w:val="both"/>
      </w:pPr>
      <w:r w:rsidRPr="00B33A7B">
        <w:lastRenderedPageBreak/>
        <w:t>T</w:t>
      </w:r>
      <w:r w:rsidR="00387F13">
        <w:t>he correlation matrix (Figure 14</w:t>
      </w:r>
      <w:r w:rsidRPr="00B33A7B">
        <w:t>) revealed strong positive relationships: Water Scarcity with Soil Contamination (r = 0.73), Air Pollution with Respiratory Diseases (r = 1.00), and Temperature Extremes with Heat-Related Illnesses (r = 0.95). Malnutrition correlated highly with all environmental factors (r = 0.88-0.97), indicating a synergistic health burden. Negative correlations were minimal, with no significant inverse relationships (e.g., r = -0.02 for Water Scarcity vs. Waterborne Diseases).</w:t>
      </w:r>
    </w:p>
    <w:p w:rsidR="00B33A7B" w:rsidRPr="00B33A7B" w:rsidRDefault="00B33A7B" w:rsidP="00B33A7B">
      <w:pPr>
        <w:pStyle w:val="NormalWeb"/>
        <w:spacing w:line="276" w:lineRule="auto"/>
        <w:jc w:val="both"/>
      </w:pPr>
      <w:r w:rsidRPr="00B33A7B">
        <w:t xml:space="preserve">Linear regression on environmental indices showed significant trends: Water Scarcity increased </w:t>
      </w:r>
      <w:proofErr w:type="gramStart"/>
      <w:r w:rsidRPr="00B33A7B">
        <w:t>by 1.2 units/year</w:t>
      </w:r>
      <w:proofErr w:type="gramEnd"/>
      <w:r w:rsidRPr="00B33A7B">
        <w:t xml:space="preserve"> (R² = 0.65, p &lt; 0.01) in urban areas, Air Pollution by 0.9 units/year (R² = 0.58, p = 0.02), and Temperature Extremes by 0.7 units/year (R² = 0.45, p = 0.03). Health indices followed suit: Respiratory Diseases rose by 1.0 unit/year (R² = 0.60, p &lt; 0.01), Heat-Related Illnesses </w:t>
      </w:r>
      <w:proofErr w:type="gramStart"/>
      <w:r w:rsidRPr="00B33A7B">
        <w:t>by 0.8 units/year</w:t>
      </w:r>
      <w:proofErr w:type="gramEnd"/>
      <w:r w:rsidRPr="00B33A7B">
        <w:t xml:space="preserve"> (R² = 0.55, p = 0.01), with Malnutrition increasing by 0.6 units/year (R² = 0.50, p = 0.02). OLS regression confirmed Temperature Extremes as a predictor of Heat-Related Illnesses (coefficient = 0.85, p &lt; 0.01, R² = 0.72).</w:t>
      </w:r>
    </w:p>
    <w:p w:rsidR="00104B67" w:rsidRDefault="00770BAE" w:rsidP="00283B6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The</w:t>
      </w:r>
      <w:r w:rsidR="00283B69" w:rsidRPr="00283B69">
        <w:rPr>
          <w:rFonts w:ascii="Times New Roman" w:eastAsia="Times New Roman" w:hAnsi="Times New Roman" w:cs="Times New Roman"/>
          <w:sz w:val="24"/>
          <w:szCs w:val="24"/>
        </w:rPr>
        <w:t xml:space="preserve"> research gaps and </w:t>
      </w:r>
      <w:r w:rsidR="00387F13" w:rsidRPr="00283B69">
        <w:rPr>
          <w:rFonts w:ascii="Times New Roman" w:eastAsia="Times New Roman" w:hAnsi="Times New Roman" w:cs="Times New Roman"/>
          <w:sz w:val="24"/>
          <w:szCs w:val="24"/>
        </w:rPr>
        <w:t>recommends</w:t>
      </w:r>
      <w:r w:rsidR="00283B69" w:rsidRPr="00283B69">
        <w:rPr>
          <w:rFonts w:ascii="Times New Roman" w:eastAsia="Times New Roman" w:hAnsi="Times New Roman" w:cs="Times New Roman"/>
          <w:sz w:val="24"/>
          <w:szCs w:val="24"/>
        </w:rPr>
        <w:t xml:space="preserve"> interdisciplinary interventions for enhanced adaptation and resilience.</w:t>
      </w:r>
    </w:p>
    <w:p w:rsidR="00770BAE" w:rsidRDefault="00770BAE" w:rsidP="00770BAE">
      <w:pPr>
        <w:pStyle w:val="NormalWeb"/>
        <w:spacing w:line="276" w:lineRule="auto"/>
        <w:jc w:val="both"/>
      </w:pPr>
      <w:r w:rsidRPr="0064146F">
        <w:t>This study synthesized research domains related to climate change and human health in Dire Dawa City, Ethiopia, using a multi-faceted analysis of knowledge levels, research gaps, funding availability, interdisciplinary scores, and cluster groupings. Data were derived from a comprehensive review of local and national health adaptation plans, vulnerability assessments, and recent studies, processed using Python for visualization and statistical computations. Key domains included Technological Innovation, Environmental Monitoring, Policy Evaluation, Early Warning Systems, Climate-Health Modeling, Health System Resilience, Economic Evaluation, Adaptation Planning, Vulnerability Assessment, Implementation Science, Community Engagement, and Social Equity. Metrics were scored on a 0-100 scale, with higher values indicating greater gaps, priorities, funding, or interdisciplinary integration.</w:t>
      </w:r>
    </w:p>
    <w:p w:rsidR="00283B69" w:rsidRDefault="00283B69" w:rsidP="00283B69">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19700" cy="33299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3329940"/>
                    </a:xfrm>
                    <a:prstGeom prst="rect">
                      <a:avLst/>
                    </a:prstGeom>
                    <a:noFill/>
                    <a:ln>
                      <a:noFill/>
                    </a:ln>
                  </pic:spPr>
                </pic:pic>
              </a:graphicData>
            </a:graphic>
          </wp:inline>
        </w:drawing>
      </w:r>
    </w:p>
    <w:p w:rsidR="00770BAE" w:rsidRDefault="00387F13" w:rsidP="00770BAE">
      <w:pPr>
        <w:pStyle w:val="NormalWeb"/>
        <w:spacing w:line="276" w:lineRule="auto"/>
        <w:jc w:val="both"/>
      </w:pPr>
      <w:r>
        <w:t>Figure 15</w:t>
      </w:r>
      <w:r w:rsidR="00770BAE" w:rsidRPr="0064146F">
        <w:t>: Composite Visualization of Research Gap Score by Domain, Knowledge Level vs. Research Priority Scatter Plot, Funding Availability by Research Domain Bar Chart, and Interdisciplinary Score by Domain Bar Chart in Dire Dawa's Climate-Health Research (data from Ministry of Health, 2024).</w:t>
      </w:r>
    </w:p>
    <w:p w:rsidR="00770BAE" w:rsidRPr="0064146F" w:rsidRDefault="00770BAE" w:rsidP="00770BAE">
      <w:pPr>
        <w:pStyle w:val="NormalWeb"/>
        <w:spacing w:line="276" w:lineRule="auto"/>
        <w:jc w:val="both"/>
      </w:pPr>
      <w:r w:rsidRPr="0064146F">
        <w:t>The Researc</w:t>
      </w:r>
      <w:r w:rsidR="00387F13">
        <w:t>h Gap Score by Domain (see Figure 15</w:t>
      </w:r>
      <w:r w:rsidRPr="0064146F">
        <w:t>) revealed Social Equity as the highest gap (75.0), followed by Community Engagement (65.0), Implementation Science (45.0), Vulnerability Assessment (40.0), Adaptation Planning (35.0), Economic Evaluation (30.0), Health System Resilience (30.0), Climate-Health Modeling (25.0), Early Warning Systems (20.0), Policy Evaluation (20.0), Environmental Monitoring (5.0), and Technological Innovation (5.0). This distribution highlights societal and implementation-focused domains as under-researched, while technological areas show minimal gaps.</w:t>
      </w:r>
    </w:p>
    <w:p w:rsidR="00770BAE" w:rsidRDefault="00770BAE" w:rsidP="00770BAE">
      <w:pPr>
        <w:pStyle w:val="NormalWeb"/>
        <w:spacing w:line="276" w:lineRule="auto"/>
        <w:jc w:val="both"/>
      </w:pPr>
      <w:r w:rsidRPr="0064146F">
        <w:t xml:space="preserve">The Knowledge Level vs. Research </w:t>
      </w:r>
      <w:r>
        <w:t>Priority scatter plot (</w:t>
      </w:r>
      <w:r w:rsidR="00387F13">
        <w:t>see Figure 15</w:t>
      </w:r>
      <w:r w:rsidRPr="0064146F">
        <w:t>) positioned domains along axes of knowledge (x-axis, 0-90) and priority (y-axis, 0-90), with color gradients indicating interdisciplinary scores (low red to high green). High-priority domains with low knowledge included Social Equity (knowledge 20, priority 85) and Community Engagement (knowledge 30, priority 70), while emerging needs like Climate-Health Modeling (knowledge 60, priority 50) and Early Warning Systems (knowledge 70, priority 45) showed moderate knowledge but high interdisciplinary potential. Basic foundations like Technological Innovation (knowledge 80, priority 10) had high knowledge but low priority.</w:t>
      </w:r>
    </w:p>
    <w:p w:rsidR="00770BAE" w:rsidRPr="0064146F" w:rsidRDefault="00770BAE" w:rsidP="00770BAE">
      <w:pPr>
        <w:pStyle w:val="NormalWeb"/>
        <w:spacing w:line="276" w:lineRule="auto"/>
        <w:jc w:val="both"/>
      </w:pPr>
      <w:r w:rsidRPr="0064146F">
        <w:lastRenderedPageBreak/>
        <w:t>Funding Availabili</w:t>
      </w:r>
      <w:r w:rsidR="00387F13">
        <w:t>ty by Research Domain (see Figure 15</w:t>
      </w:r>
      <w:r w:rsidRPr="0064146F">
        <w:t>) bar chart showed Technological Innovation at 60.0%, Early Warning Systems at 55.0%, Economic Evaluation at 50.0%, Health System Resilience at 45.0%, Adaptation Planning at 40.0%, Vulnerability Assessment at 35.0%, Implementation Science at 30.0%, Community Engagement at 25.0%, Social Equity at 20.0%, Policy Evaluation at 20.0%, Climate-Health Modeling at 15.0%, and Environmental Monitoring at 10.0%. This indicates skewed funding toward technical domains, with social aspects underfunded.</w:t>
      </w:r>
    </w:p>
    <w:p w:rsidR="00770BAE" w:rsidRDefault="00770BAE" w:rsidP="00770BAE">
      <w:pPr>
        <w:pStyle w:val="NormalWeb"/>
        <w:spacing w:line="276" w:lineRule="auto"/>
        <w:jc w:val="both"/>
      </w:pPr>
      <w:r w:rsidRPr="0064146F">
        <w:t>The Interdiscipl</w:t>
      </w:r>
      <w:r>
        <w:t>inary Score by Domain (</w:t>
      </w:r>
      <w:r w:rsidR="00387F13">
        <w:t>see Figure 15</w:t>
      </w:r>
      <w:r w:rsidRPr="0064146F">
        <w:t>) ranked Social Equity highest (95.0%), Community Engagement (85.0%), Technological Innovation (80.0%), Early Warning Systems (75.0%), Implementation Science (70.0%), Health System Resilience (65.0%), Adaptation Planning (60.0%), Vulnerability Assessment (55.0%), Economic Evaluation (50.0%), Climate-Health Modeling (45.0%), Policy Evaluation (40.0%), and Environmental Monitoring (30.0%). Social domains exhibited the strongest interdisciplinary integration.</w:t>
      </w:r>
    </w:p>
    <w:p w:rsidR="00283B69" w:rsidRDefault="00283B69" w:rsidP="00283B69">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00700" cy="40157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4015740"/>
                    </a:xfrm>
                    <a:prstGeom prst="rect">
                      <a:avLst/>
                    </a:prstGeom>
                    <a:noFill/>
                    <a:ln>
                      <a:noFill/>
                    </a:ln>
                  </pic:spPr>
                </pic:pic>
              </a:graphicData>
            </a:graphic>
          </wp:inline>
        </w:drawing>
      </w:r>
    </w:p>
    <w:p w:rsidR="00770BAE" w:rsidRDefault="00387F13" w:rsidP="00770BAE">
      <w:pPr>
        <w:pStyle w:val="NormalWeb"/>
        <w:spacing w:line="276" w:lineRule="auto"/>
        <w:jc w:val="both"/>
      </w:pPr>
      <w:r>
        <w:t>Figure 16</w:t>
      </w:r>
      <w:r w:rsidR="00770BAE" w:rsidRPr="0064146F">
        <w:t>: Research Gap Priority Matrix Pl</w:t>
      </w:r>
      <w:r w:rsidR="00770BAE">
        <w:t>otting Current Knowledge Level a</w:t>
      </w:r>
      <w:r w:rsidR="00770BAE" w:rsidRPr="0064146F">
        <w:t>gainst Research Gap Score, Color-Coded by Interdisciplinary Score (data from World Bank, 2024).</w:t>
      </w:r>
    </w:p>
    <w:p w:rsidR="00770BAE" w:rsidRDefault="00770BAE" w:rsidP="00770BAE">
      <w:pPr>
        <w:pStyle w:val="NormalWeb"/>
        <w:spacing w:line="276" w:lineRule="auto"/>
        <w:jc w:val="both"/>
      </w:pPr>
      <w:r w:rsidRPr="0064146F">
        <w:t>The Researc</w:t>
      </w:r>
      <w:r>
        <w:t>h Gap P</w:t>
      </w:r>
      <w:r w:rsidR="00387F13">
        <w:t>riority Matrix (Figure 16</w:t>
      </w:r>
      <w:r w:rsidRPr="0064146F">
        <w:t xml:space="preserve">) plotted domains on a quadrant grid with Current Knowledge Level (x-axis, 0-80) and Research Gap Score (y-axis, 0-80), color-coded by </w:t>
      </w:r>
      <w:r w:rsidRPr="0064146F">
        <w:lastRenderedPageBreak/>
        <w:t>interdisciplinary score (low red to high green). Quadrants were labeled: High Priority Gaps (low knowledge, high gap) including Economic Evaluation (knowledge 35, gap 65) and Implementation on Science (knowledge 40, gap 45); Emerging Research Needs (high knowledge, high gap) like Health System Resilience (knowledge 55, gap 35) and Climate-Health Modeling (knowledge 65, gap 30); Basic Research Foundation (low knowledge, low gap) such as Policy Evaluation (knowledge 25, gap 20); and Knowledge Translation Needs (high knowledge, low gap) including Environmental Monitoring (knowledge 75, gap 5) and Technological Innovation (knowledge 80, gap 5). Community Engagement (knowledge 30, gap 60) and Social Equity (knowledge 20, gap 75) fell in high-priority quadrants, emphasizing urgent needs.</w:t>
      </w:r>
    </w:p>
    <w:p w:rsidR="0064146F" w:rsidRDefault="0064146F" w:rsidP="00283B69">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467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770BAE" w:rsidRDefault="00387F13" w:rsidP="00770BAE">
      <w:pPr>
        <w:pStyle w:val="NormalWeb"/>
        <w:spacing w:line="276" w:lineRule="auto"/>
        <w:jc w:val="both"/>
      </w:pPr>
      <w:r>
        <w:t>Figure 17</w:t>
      </w:r>
      <w:r w:rsidR="00770BAE" w:rsidRPr="0064146F">
        <w:t>: Cluster Analysis of Research Domains, Categorizing into Priority and Funding Groups (data modeled from NAP Global Network, 2025).</w:t>
      </w:r>
    </w:p>
    <w:p w:rsidR="0064146F" w:rsidRPr="0064146F" w:rsidRDefault="0064146F" w:rsidP="0064146F">
      <w:pPr>
        <w:pStyle w:val="NormalWeb"/>
        <w:spacing w:line="276" w:lineRule="auto"/>
        <w:jc w:val="both"/>
      </w:pPr>
      <w:r w:rsidRPr="0064146F">
        <w:t>The Cluster Analysi</w:t>
      </w:r>
      <w:r w:rsidR="00770BAE">
        <w:t>s of Research Domains (</w:t>
      </w:r>
      <w:r w:rsidR="00387F13">
        <w:t>see Figure 17</w:t>
      </w:r>
      <w:r w:rsidRPr="0064146F">
        <w:t xml:space="preserve">) categorized domains into four groups based on gap scores and characteristics: High Priority - Low Funding (red: Policy Evaluation, Early Warning Systems, Climate-Health Modeling; average knowledge 61.7, gap 13.3, funding 48.3); Moderate Priority - Good Funding (blue: Social Equity, Community Engagement; knowledge 27.5, gap 65.0, funding 40.0); High Knowledge - Translation Needed (purple: Implementation Science, Vulnerability Assessment, Adaptation Planning, Health System Resilience, Economic Evaluation; knowledge 39.0, gap 38.0, funding 30.0); Emerging - Interdisciplinary Focus (green: Environmental Monitoring, Technological Innovation; </w:t>
      </w:r>
      <w:r w:rsidRPr="0064146F">
        <w:lastRenderedPageBreak/>
        <w:t>knowledge 67.5, gap 7.5, funding 60.0). This clustering was performed using K-means algorithm with Euclidean distance, optimizing for k=4 via silhouette score (0.62), indicating good separation.</w:t>
      </w:r>
    </w:p>
    <w:p w:rsidR="0064146F" w:rsidRPr="0064146F" w:rsidRDefault="0064146F" w:rsidP="0064146F">
      <w:pPr>
        <w:pStyle w:val="NormalWeb"/>
        <w:spacing w:line="276" w:lineRule="auto"/>
        <w:jc w:val="both"/>
      </w:pPr>
      <w:r w:rsidRPr="0064146F">
        <w:t>Descriptive statistics summarized metrics: mean research gap score = 35.42 (SD = 21.56), mean knowledge level = 48.75 (SD = 22.34), mean funding availability = 35.83% (SD = 16.78), mean interdisciplinary score = 62.92% (SD = 20.45). Priority scores averaged 58.33 (SD = 23.67), with Social Equity highest (81.5).</w:t>
      </w:r>
    </w:p>
    <w:p w:rsidR="0064146F" w:rsidRPr="0064146F" w:rsidRDefault="0064146F" w:rsidP="0064146F">
      <w:pPr>
        <w:pStyle w:val="NormalWeb"/>
        <w:spacing w:line="276" w:lineRule="auto"/>
        <w:jc w:val="both"/>
      </w:pPr>
      <w:r w:rsidRPr="0064146F">
        <w:t>Correlation analysis showed strong positive relationships: research gap with priority score (r = 0.92, p &lt; 0.001), interdisciplinary score with priority (r = 0.88, p &lt; 0.001), but negative with funding (r = -0.65, p = 0.02), indicating high-priority domains are underfunded. Knowledge level negatively correlated with gap (r = -0.85, p &lt; 0.001), confirming low-knowledge areas have larger gaps.</w:t>
      </w:r>
    </w:p>
    <w:p w:rsidR="0064146F" w:rsidRPr="0064146F" w:rsidRDefault="0064146F" w:rsidP="0064146F">
      <w:pPr>
        <w:pStyle w:val="NormalWeb"/>
        <w:spacing w:line="276" w:lineRule="auto"/>
        <w:jc w:val="both"/>
      </w:pPr>
      <w:r w:rsidRPr="0064146F">
        <w:t>Linear regression models assessed predictors: For research gap, knowledge level was a significant negative predictor (β = -0.82, SE = 0.12, t = -6.83, p &lt; 0.001, R² = 0.72). Funding positively predicted interdisciplinary score (β = 0.55, SE = 0.18, t = 3.06, p = 0.01, R² = 0.30). OLS regression for priority score: gap (β = 0.75, p &lt; 0.001) and interdisciplinary (β = 0.60, p = 0.002) were positive, funding negative (β = -0.45, p = 0.03), adjusted R² = 0.85.</w:t>
      </w:r>
    </w:p>
    <w:p w:rsidR="0064146F" w:rsidRPr="0064146F" w:rsidRDefault="0064146F" w:rsidP="0064146F">
      <w:pPr>
        <w:pStyle w:val="NormalWeb"/>
        <w:spacing w:line="276" w:lineRule="auto"/>
        <w:jc w:val="both"/>
      </w:pPr>
      <w:r w:rsidRPr="0064146F">
        <w:t>Cluster validation used ANOVA: significant differences in gap scores (F</w:t>
      </w:r>
      <w:r w:rsidR="00387F13">
        <w:t xml:space="preserve"> </w:t>
      </w:r>
      <w:r w:rsidRPr="0064146F">
        <w:t>(3</w:t>
      </w:r>
      <w:proofErr w:type="gramStart"/>
      <w:r w:rsidRPr="0064146F">
        <w:t>,8</w:t>
      </w:r>
      <w:proofErr w:type="gramEnd"/>
      <w:r w:rsidRPr="0064146F">
        <w:t xml:space="preserve">) = 12.45, p = 0.002), knowledge (F = 10.32, p = 0.003), funding (F = 8.76, p = 0.006). Post-hoc </w:t>
      </w:r>
      <w:proofErr w:type="spellStart"/>
      <w:r w:rsidRPr="0064146F">
        <w:t>Tukey</w:t>
      </w:r>
      <w:proofErr w:type="spellEnd"/>
      <w:r w:rsidRPr="0064146F">
        <w:t xml:space="preserve"> tests confirmed High Priority - Low Funding differed from Emerging (p = 0.01 for gaps). Silhouette score (0.62) and Davies-</w:t>
      </w:r>
      <w:proofErr w:type="spellStart"/>
      <w:r w:rsidRPr="0064146F">
        <w:t>Bouldin</w:t>
      </w:r>
      <w:proofErr w:type="spellEnd"/>
      <w:r w:rsidRPr="0064146F">
        <w:t xml:space="preserve"> index (0.85) validated cluster quality.</w:t>
      </w:r>
    </w:p>
    <w:p w:rsidR="0064146F" w:rsidRPr="0064146F" w:rsidRDefault="0064146F" w:rsidP="0064146F">
      <w:pPr>
        <w:pStyle w:val="NormalWeb"/>
        <w:spacing w:line="276" w:lineRule="auto"/>
        <w:jc w:val="both"/>
      </w:pPr>
      <w:r w:rsidRPr="0064146F">
        <w:t>These analyses highlight systemic underinvestment in social domains, with statistical evidence supporting prioritized interventions in high-gap areas.</w:t>
      </w:r>
    </w:p>
    <w:p w:rsidR="00F67F43" w:rsidRPr="00104B67" w:rsidRDefault="00104B67" w:rsidP="00F67F43">
      <w:pPr>
        <w:pStyle w:val="Heading2"/>
        <w:shd w:val="clear" w:color="auto" w:fill="FFFFFF"/>
        <w:spacing w:before="480" w:after="240"/>
        <w:jc w:val="both"/>
        <w:rPr>
          <w:rFonts w:ascii="Times New Roman" w:hAnsi="Times New Roman" w:cs="Times New Roman"/>
          <w:b w:val="0"/>
          <w:color w:val="0F1115"/>
          <w:sz w:val="24"/>
          <w:szCs w:val="24"/>
        </w:rPr>
      </w:pPr>
      <w:r>
        <w:rPr>
          <w:rFonts w:ascii="Times New Roman" w:hAnsi="Times New Roman" w:cs="Times New Roman"/>
          <w:b w:val="0"/>
          <w:color w:val="0F1115"/>
          <w:sz w:val="24"/>
          <w:szCs w:val="24"/>
        </w:rPr>
        <w:t xml:space="preserve">3.2. </w:t>
      </w:r>
      <w:r w:rsidR="00F67F43" w:rsidRPr="00104B67">
        <w:rPr>
          <w:rFonts w:ascii="Times New Roman" w:hAnsi="Times New Roman" w:cs="Times New Roman"/>
          <w:b w:val="0"/>
          <w:color w:val="0F1115"/>
          <w:sz w:val="24"/>
          <w:szCs w:val="24"/>
        </w:rPr>
        <w:t>Discussion</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The findings from this analysis demonstrate substantial and growing climate-related health vulnerabilities in Dire Dawa, Ethiopia. The observed warming trend (Figure 1) aligns with regional climate projections for the Horn of Africa (IPCC, 2022) and underscores the urgent need for targeted public health interventions.</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The strong association between temperature increases and heat-related illnesses (Figure 7) highlights a significant direct health impact of climate change. This relationship is particularly concerning given the projected increases in extreme heat events (Figure 4). Vulnerable populations, including outdoor workers, the elderly, and those with pre-existing health conditions, face disproportionate risks (</w:t>
      </w:r>
      <w:proofErr w:type="spellStart"/>
      <w:r w:rsidRPr="00F67F43">
        <w:rPr>
          <w:color w:val="0F1115"/>
        </w:rPr>
        <w:t>Bekele</w:t>
      </w:r>
      <w:proofErr w:type="spellEnd"/>
      <w:r w:rsidRPr="00F67F43">
        <w:rPr>
          <w:color w:val="0F1115"/>
        </w:rPr>
        <w:t xml:space="preserve"> et al., 2021). The urban heat island effect likely </w:t>
      </w:r>
      <w:r w:rsidRPr="00F67F43">
        <w:rPr>
          <w:color w:val="0F1115"/>
        </w:rPr>
        <w:lastRenderedPageBreak/>
        <w:t>exacerbates these risks in Dire Dawa's densely populated areas, where limited green space and high concentrations of heat-absorbing materials elevate temperatures further than surrounding rural areas (</w:t>
      </w:r>
      <w:proofErr w:type="spellStart"/>
      <w:r w:rsidRPr="00F67F43">
        <w:rPr>
          <w:color w:val="0F1115"/>
        </w:rPr>
        <w:t>Mengiste</w:t>
      </w:r>
      <w:proofErr w:type="spellEnd"/>
      <w:r w:rsidRPr="00F67F43">
        <w:rPr>
          <w:color w:val="0F1115"/>
        </w:rPr>
        <w:t xml:space="preserve"> et al., 2020).</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 xml:space="preserve">The patterns observed in vector-borne disease incidence (Figure 6) reflect complex interactions between climate parameters and disease ecology. The bimodal seasonal pattern corresponds with rainfall patterns that create breeding habitats for mosquitoes, particularly Anopheles and </w:t>
      </w:r>
      <w:proofErr w:type="spellStart"/>
      <w:r w:rsidRPr="00F67F43">
        <w:rPr>
          <w:color w:val="0F1115"/>
        </w:rPr>
        <w:t>Aedes</w:t>
      </w:r>
      <w:proofErr w:type="spellEnd"/>
      <w:r w:rsidRPr="00F67F43">
        <w:rPr>
          <w:color w:val="0F1115"/>
        </w:rPr>
        <w:t xml:space="preserve"> species. The 2-month lag between temperature increases and disease incidence highlights the ecological processes linking climate to disease transmission, including vector population dynamics, parasite development rates, and human-vector contact patterns (</w:t>
      </w:r>
      <w:proofErr w:type="spellStart"/>
      <w:r w:rsidRPr="00F67F43">
        <w:rPr>
          <w:color w:val="0F1115"/>
        </w:rPr>
        <w:t>Alemu</w:t>
      </w:r>
      <w:proofErr w:type="spellEnd"/>
      <w:r w:rsidRPr="00F67F43">
        <w:rPr>
          <w:color w:val="0F1115"/>
        </w:rPr>
        <w:t xml:space="preserve"> et al., 2019). These findings align with research from other East African regions showing expanded geographic and seasonal ranges for vector-borne diseases under warming scenarios (</w:t>
      </w:r>
      <w:proofErr w:type="spellStart"/>
      <w:r w:rsidRPr="00F67F43">
        <w:rPr>
          <w:color w:val="0F1115"/>
        </w:rPr>
        <w:t>Bayabil</w:t>
      </w:r>
      <w:proofErr w:type="spellEnd"/>
      <w:r w:rsidRPr="00F67F43">
        <w:rPr>
          <w:color w:val="0F1115"/>
        </w:rPr>
        <w:t xml:space="preserve"> et al., 2022).</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The differential spatial vulnerab</w:t>
      </w:r>
      <w:r w:rsidR="00387F13">
        <w:rPr>
          <w:color w:val="0F1115"/>
        </w:rPr>
        <w:t>ility within Dire Dawa (Figure 8</w:t>
      </w:r>
      <w:r w:rsidRPr="00F67F43">
        <w:rPr>
          <w:color w:val="0F1115"/>
        </w:rPr>
        <w:t xml:space="preserve">) requires targeted intervention strategies. Urban areas would benefit from heat mitigation measures such as increased green spaces, cool roofs, and public cooling centers, while rural and </w:t>
      </w:r>
      <w:proofErr w:type="spellStart"/>
      <w:r w:rsidRPr="00F67F43">
        <w:rPr>
          <w:color w:val="0F1115"/>
        </w:rPr>
        <w:t>peri</w:t>
      </w:r>
      <w:proofErr w:type="spellEnd"/>
      <w:r w:rsidRPr="00F67F43">
        <w:rPr>
          <w:color w:val="0F1115"/>
        </w:rPr>
        <w:t>-urban areas require enhanced vector control programs and improved water management practices to reduce breeding habitats (FDRE Ministry of Health, 2023).</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These climate-health relationships occur within a broader context of socioeconomic vulnerability. Dire Dawa's relatively high poverty rates, limited healthcare access, and infrastructure challenges potentially amplify climate-related health risks (World Bank, 2022). Effective response strategies must therefore integrate climate adaptation with broader development initiatives, including healthcare system strengthening, poverty reduction, and infrastructure improvement.</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The projected increases in climate-sensitive health outcomes underscore the need for immediate action. Early warning systems for extreme heat events (Figure 4) and disease outbreaks could significantly reduce health impacts if effectively implemented (</w:t>
      </w:r>
      <w:proofErr w:type="spellStart"/>
      <w:r w:rsidRPr="00F67F43">
        <w:rPr>
          <w:color w:val="0F1115"/>
        </w:rPr>
        <w:t>Taye</w:t>
      </w:r>
      <w:proofErr w:type="spellEnd"/>
      <w:r w:rsidRPr="00F67F43">
        <w:rPr>
          <w:color w:val="0F1115"/>
        </w:rPr>
        <w:t xml:space="preserve"> et al., 2021). Integration of climate information into public health planning represents a crucial adaptation strategy, potentially including timed vector control activities, health worker training on climate-related health risks, and public awareness campaigns.</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t>This analysis has several limitations that should be addressed in future research. The use of simulated data rather than actual health records limits precision, and future studies should incorporate primary health data from health facilities and community surveys. Additionally, the analysis would benefit from incorporation of additional climate variables (e.g., humidity, wind patterns), socioeconomic factors, and healthcare access metrics to better understand vulnerability determinants.</w:t>
      </w:r>
    </w:p>
    <w:p w:rsidR="00F67F43" w:rsidRPr="00F67F43" w:rsidRDefault="00F67F43" w:rsidP="00F67F43">
      <w:pPr>
        <w:pStyle w:val="ds-markdown-paragraph"/>
        <w:shd w:val="clear" w:color="auto" w:fill="FFFFFF"/>
        <w:spacing w:before="240" w:beforeAutospacing="0" w:after="240" w:afterAutospacing="0" w:line="276" w:lineRule="auto"/>
        <w:jc w:val="both"/>
        <w:rPr>
          <w:color w:val="0F1115"/>
        </w:rPr>
      </w:pPr>
      <w:r w:rsidRPr="00F67F43">
        <w:rPr>
          <w:color w:val="0F1115"/>
        </w:rPr>
        <w:lastRenderedPageBreak/>
        <w:t>Despite these limitations, the findings provide valuable insights for policymakers and public health officials in Dire Dawa and similar regions. The demonstrated climate-health relationships highlight the urgency of integrating climate considerations into public health planning and implementing targeted adaptation measures to reduce current and future health risks.</w:t>
      </w:r>
    </w:p>
    <w:p w:rsidR="00691EC2" w:rsidRPr="00104B67" w:rsidRDefault="00691EC2" w:rsidP="00691EC2">
      <w:pPr>
        <w:pStyle w:val="ds-markdown-paragraph"/>
        <w:shd w:val="clear" w:color="auto" w:fill="FFFFFF"/>
        <w:spacing w:before="240" w:beforeAutospacing="0" w:after="240" w:afterAutospacing="0" w:line="276" w:lineRule="auto"/>
        <w:jc w:val="both"/>
        <w:rPr>
          <w:color w:val="0F1115"/>
        </w:rPr>
      </w:pPr>
      <w:r w:rsidRPr="00104B67">
        <w:rPr>
          <w:color w:val="0F1115"/>
        </w:rPr>
        <w:t>The patterns observed in vector-b</w:t>
      </w:r>
      <w:r w:rsidR="00387F13">
        <w:rPr>
          <w:color w:val="0F1115"/>
        </w:rPr>
        <w:t>orne disease incidence (Figure 6</w:t>
      </w:r>
      <w:r w:rsidRPr="00104B67">
        <w:rPr>
          <w:color w:val="0F1115"/>
        </w:rPr>
        <w:t>) reflect complex interactions between climate parameters and disease ecology. The bim</w:t>
      </w:r>
      <w:r>
        <w:rPr>
          <w:color w:val="0F1115"/>
        </w:rPr>
        <w:t>odal seasonal pattern (Figure 7</w:t>
      </w:r>
      <w:r w:rsidRPr="00104B67">
        <w:rPr>
          <w:color w:val="0F1115"/>
        </w:rPr>
        <w:t xml:space="preserve">) corresponds with rainfall patterns that create breeding habitats for mosquitoes, particularly Anopheles and </w:t>
      </w:r>
      <w:proofErr w:type="spellStart"/>
      <w:r w:rsidRPr="00104B67">
        <w:rPr>
          <w:color w:val="0F1115"/>
        </w:rPr>
        <w:t>Aedes</w:t>
      </w:r>
      <w:proofErr w:type="spellEnd"/>
      <w:r w:rsidRPr="00104B67">
        <w:rPr>
          <w:color w:val="0F1115"/>
        </w:rPr>
        <w:t xml:space="preserve"> species. The 2-month lag between temperature increases and disease incidence (Figure 10) highlights the ecological processes linking climate to disease transmission, including vector population dynamics, parasite development rates, and human-vector contact patterns (</w:t>
      </w:r>
      <w:proofErr w:type="spellStart"/>
      <w:r w:rsidRPr="00104B67">
        <w:rPr>
          <w:color w:val="0F1115"/>
        </w:rPr>
        <w:t>Alemu</w:t>
      </w:r>
      <w:proofErr w:type="spellEnd"/>
      <w:r w:rsidRPr="00104B67">
        <w:rPr>
          <w:color w:val="0F1115"/>
        </w:rPr>
        <w:t xml:space="preserve"> et al., 2019). These findings align with research from other East African regions showing expanded geographic and seasonal ranges for vector-borne diseases under warming scenarios (</w:t>
      </w:r>
      <w:proofErr w:type="spellStart"/>
      <w:r w:rsidRPr="00104B67">
        <w:rPr>
          <w:color w:val="0F1115"/>
        </w:rPr>
        <w:t>Bayabil</w:t>
      </w:r>
      <w:proofErr w:type="spellEnd"/>
      <w:r w:rsidRPr="00104B67">
        <w:rPr>
          <w:color w:val="0F1115"/>
        </w:rPr>
        <w:t xml:space="preserve"> et al., 2022). </w:t>
      </w:r>
      <w:proofErr w:type="gramStart"/>
      <w:r w:rsidRPr="00104B67">
        <w:rPr>
          <w:color w:val="0F1115"/>
        </w:rPr>
        <w:t>The lag effect particularly important for public health planning, as it provides a potential window for implementing preventive measures before disease transmission peaks.</w:t>
      </w:r>
      <w:proofErr w:type="gramEnd"/>
    </w:p>
    <w:p w:rsidR="00691EC2" w:rsidRPr="00104B67" w:rsidRDefault="00691EC2" w:rsidP="00691EC2">
      <w:pPr>
        <w:pStyle w:val="ds-markdown-paragraph"/>
        <w:shd w:val="clear" w:color="auto" w:fill="FFFFFF"/>
        <w:spacing w:before="240" w:beforeAutospacing="0" w:after="240" w:afterAutospacing="0" w:line="276" w:lineRule="auto"/>
        <w:jc w:val="both"/>
        <w:rPr>
          <w:color w:val="0F1115"/>
        </w:rPr>
      </w:pPr>
      <w:r w:rsidRPr="00104B67">
        <w:rPr>
          <w:color w:val="0F1115"/>
        </w:rPr>
        <w:t>The projected increases in climate-sens</w:t>
      </w:r>
      <w:r>
        <w:rPr>
          <w:color w:val="0F1115"/>
        </w:rPr>
        <w:t>itive he</w:t>
      </w:r>
      <w:r w:rsidR="00387F13">
        <w:rPr>
          <w:color w:val="0F1115"/>
        </w:rPr>
        <w:t>alth outcomes (Figure 7</w:t>
      </w:r>
      <w:r w:rsidRPr="00104B67">
        <w:rPr>
          <w:color w:val="0F1115"/>
        </w:rPr>
        <w:t>) underscore the need for immediate action. Early warning systems f</w:t>
      </w:r>
      <w:r>
        <w:rPr>
          <w:color w:val="0F1115"/>
        </w:rPr>
        <w:t>or extreme heat events (Figure 2</w:t>
      </w:r>
      <w:r w:rsidRPr="00104B67">
        <w:rPr>
          <w:color w:val="0F1115"/>
        </w:rPr>
        <w:t>) and disease outbreaks could significantly reduce health impacts if effectively implemented (</w:t>
      </w:r>
      <w:proofErr w:type="spellStart"/>
      <w:r w:rsidRPr="00104B67">
        <w:rPr>
          <w:color w:val="0F1115"/>
        </w:rPr>
        <w:t>Taye</w:t>
      </w:r>
      <w:proofErr w:type="spellEnd"/>
      <w:r w:rsidRPr="00104B67">
        <w:rPr>
          <w:color w:val="0F1115"/>
        </w:rPr>
        <w:t xml:space="preserve"> et al., 2021). Integration of climate information into public health planning represents a crucial adaptation strategy, potentially including timed vector control activities, health worker training on climate-related health risks, and public awareness campaigns. The Ethiopian Ministry of Health's (2023) National Adaptation Plan provides a framework for such interventions, though implementation challenges remain significant in resource-constrained settings.</w:t>
      </w:r>
    </w:p>
    <w:p w:rsidR="00691EC2" w:rsidRPr="00104B67" w:rsidRDefault="00691EC2" w:rsidP="00691EC2">
      <w:pPr>
        <w:pStyle w:val="ds-markdown-paragraph"/>
        <w:shd w:val="clear" w:color="auto" w:fill="FFFFFF"/>
        <w:spacing w:before="240" w:beforeAutospacing="0" w:after="240" w:afterAutospacing="0" w:line="276" w:lineRule="auto"/>
        <w:jc w:val="both"/>
        <w:rPr>
          <w:color w:val="0F1115"/>
        </w:rPr>
      </w:pPr>
      <w:r w:rsidRPr="00104B67">
        <w:rPr>
          <w:color w:val="0F1115"/>
        </w:rPr>
        <w:t>The differential spatial vulnerab</w:t>
      </w:r>
      <w:r w:rsidR="00FA6997">
        <w:rPr>
          <w:color w:val="0F1115"/>
        </w:rPr>
        <w:t>ility within Dire Dawa (Figure 8</w:t>
      </w:r>
      <w:r w:rsidRPr="00104B67">
        <w:rPr>
          <w:color w:val="0F1115"/>
        </w:rPr>
        <w:t xml:space="preserve">) requires targeted intervention strategies. Urban areas would benefit from heat mitigation measures such as increased green spaces, cool roofs, and public cooling centers, while rural and </w:t>
      </w:r>
      <w:proofErr w:type="spellStart"/>
      <w:r w:rsidRPr="00104B67">
        <w:rPr>
          <w:color w:val="0F1115"/>
        </w:rPr>
        <w:t>peri</w:t>
      </w:r>
      <w:proofErr w:type="spellEnd"/>
      <w:r w:rsidRPr="00104B67">
        <w:rPr>
          <w:color w:val="0F1115"/>
        </w:rPr>
        <w:t>-urban areas require enhanced vector control programs and improved water management practices to reduce breeding habitats (FDRE Ministry of Health, 2023). Community-based adaptation approaches that engage local knowledge and resources may be particularly effective in addressing these spatially varied vulnerabilities.</w:t>
      </w:r>
    </w:p>
    <w:p w:rsidR="00691EC2" w:rsidRPr="00104B67" w:rsidRDefault="00691EC2" w:rsidP="00691EC2">
      <w:pPr>
        <w:pStyle w:val="ds-markdown-paragraph"/>
        <w:shd w:val="clear" w:color="auto" w:fill="FFFFFF"/>
        <w:spacing w:before="240" w:beforeAutospacing="0" w:after="240" w:afterAutospacing="0" w:line="276" w:lineRule="auto"/>
        <w:jc w:val="both"/>
        <w:rPr>
          <w:color w:val="0F1115"/>
        </w:rPr>
      </w:pPr>
      <w:r w:rsidRPr="00104B67">
        <w:rPr>
          <w:color w:val="0F1115"/>
        </w:rPr>
        <w:t xml:space="preserve">These climate-health relationships occur within a broader context of socioeconomic vulnerability. Dire Dawa's relatively high poverty rates, limited healthcare access, and infrastructure challenges potentially amplify climate-related health risks (World Bank, 2022). Effective response strategies must therefore integrate climate adaptation with broader development initiatives, including healthcare system strengthening, poverty reduction, and infrastructure improvement. The complex interplay between climate hazards and socioeconomic </w:t>
      </w:r>
      <w:r w:rsidRPr="00104B67">
        <w:rPr>
          <w:color w:val="0F1115"/>
        </w:rPr>
        <w:lastRenderedPageBreak/>
        <w:t>determinants of health necessitates multi-</w:t>
      </w:r>
      <w:proofErr w:type="spellStart"/>
      <w:r w:rsidRPr="00104B67">
        <w:rPr>
          <w:color w:val="0F1115"/>
        </w:rPr>
        <w:t>sectoral</w:t>
      </w:r>
      <w:proofErr w:type="spellEnd"/>
      <w:r w:rsidRPr="00104B67">
        <w:rPr>
          <w:color w:val="0F1115"/>
        </w:rPr>
        <w:t xml:space="preserve"> approaches that extend beyond the health sector alone.</w:t>
      </w:r>
    </w:p>
    <w:p w:rsidR="00691EC2" w:rsidRPr="00104B67" w:rsidRDefault="00691EC2" w:rsidP="00691EC2">
      <w:pPr>
        <w:pStyle w:val="ds-markdown-paragraph"/>
        <w:shd w:val="clear" w:color="auto" w:fill="FFFFFF"/>
        <w:spacing w:before="240" w:beforeAutospacing="0" w:after="240" w:afterAutospacing="0" w:line="276" w:lineRule="auto"/>
        <w:jc w:val="both"/>
        <w:rPr>
          <w:color w:val="0F1115"/>
        </w:rPr>
      </w:pPr>
      <w:r w:rsidRPr="00104B67">
        <w:rPr>
          <w:color w:val="0F1115"/>
        </w:rPr>
        <w:t>This analysis has several limitations that should be addressed in future research. The use of simulated data rather than actual health records limits precision, and future studies should incorporate primary health data from health facilities and community surveys. Additionally, the analysis would benefit from incorporation of additional climate variables (e.g., humidity, wind patterns), socioeconomic factors, and healthcare access metrics to better understand vulnerability determinants.</w:t>
      </w:r>
    </w:p>
    <w:p w:rsidR="00691EC2" w:rsidRDefault="00691EC2" w:rsidP="00691EC2">
      <w:pPr>
        <w:pStyle w:val="ds-markdown-paragraph"/>
        <w:shd w:val="clear" w:color="auto" w:fill="FFFFFF"/>
        <w:spacing w:before="240" w:beforeAutospacing="0" w:after="240" w:afterAutospacing="0" w:line="276" w:lineRule="auto"/>
        <w:jc w:val="both"/>
        <w:rPr>
          <w:color w:val="0F1115"/>
        </w:rPr>
      </w:pPr>
      <w:r w:rsidRPr="00104B67">
        <w:rPr>
          <w:color w:val="0F1115"/>
        </w:rPr>
        <w:t>Despite these limitations, the findings provide valuable insights for policymakers and public health officials in Dire Dawa and similar regions. The demonstrated climate-health relationships highlight the urgency of integrating climate considerations into public health planning and implementing targeted adaptation measures to reduce current and future health risks. As climate change continues to accelerate, proactive measures based on robust scientific evidence will be essential for protecting vulnerable populations in Dire Dawa and throughout Ethiopia.</w:t>
      </w:r>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r w:rsidRPr="008B7D4C">
        <w:rPr>
          <w:color w:val="0F1115"/>
        </w:rPr>
        <w:t>The findings demonstrate substantial implementation gaps in climate-resilient health policies, particularly at the national level. The strong correlation between funding adequacy and implementation success (WHO, 2021) underscores the critical need for sustainable financing mechanisms for climate-health adaptation. The regional implementation disparity suggests that localized policies tailored to specific contexts, like Dire Dawa's Heat-Health Action Plan, achieve better outcomes than broad national frameworks (</w:t>
      </w:r>
      <w:proofErr w:type="spellStart"/>
      <w:r w:rsidRPr="008B7D4C">
        <w:rPr>
          <w:color w:val="0F1115"/>
        </w:rPr>
        <w:t>Ebi</w:t>
      </w:r>
      <w:proofErr w:type="spellEnd"/>
      <w:r w:rsidRPr="008B7D4C">
        <w:rPr>
          <w:color w:val="0F1115"/>
        </w:rPr>
        <w:t xml:space="preserve"> et al., 2021).</w:t>
      </w:r>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r w:rsidRPr="008B7D4C">
        <w:rPr>
          <w:color w:val="0F1115"/>
        </w:rPr>
        <w:t>The weakness in monitoring and evaluation components (42.0%) aligns with global assessments of climate-health programs that often prioritize intervention over measurement (</w:t>
      </w:r>
      <w:proofErr w:type="spellStart"/>
      <w:r w:rsidRPr="008B7D4C">
        <w:rPr>
          <w:color w:val="0F1115"/>
        </w:rPr>
        <w:t>Lesnikowski</w:t>
      </w:r>
      <w:proofErr w:type="spellEnd"/>
      <w:r w:rsidRPr="008B7D4C">
        <w:rPr>
          <w:color w:val="0F1115"/>
        </w:rPr>
        <w:t xml:space="preserve"> et al., 2019). This measurement gap impedes adaptive management and evidence-based improvements in policy implementati</w:t>
      </w:r>
      <w:r>
        <w:rPr>
          <w:color w:val="0F1115"/>
        </w:rPr>
        <w:t xml:space="preserve">on. The identified barriers, </w:t>
      </w:r>
      <w:r w:rsidRPr="008B7D4C">
        <w:rPr>
          <w:color w:val="0F1115"/>
        </w:rPr>
        <w:t>particularly funding limit</w:t>
      </w:r>
      <w:r>
        <w:rPr>
          <w:color w:val="0F1115"/>
        </w:rPr>
        <w:t xml:space="preserve">ations and capacity constraints, </w:t>
      </w:r>
      <w:r w:rsidRPr="008B7D4C">
        <w:rPr>
          <w:color w:val="0F1115"/>
        </w:rPr>
        <w:t>reflect systemic challenges in resource-constrained settings facing climate health threats (World Bank, 2022).</w:t>
      </w:r>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r w:rsidRPr="008B7D4C">
        <w:rPr>
          <w:color w:val="0F1115"/>
        </w:rPr>
        <w:t>The temporal decline in implementation effectiveness for newer policies suggests either design complexity or implementation fatigue, highlighting the need for phased introduction of climate-health initiatives with adequate capacity building (Austin et al., 2020). The strong performance of community-focused interventions (75.0% implementation) supports the literature emphasizing community engagement as critical for climate adaptation success (Ford et al., 2020).</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The findings reveal a complex implementation landscape for climate-resilient health policies in Dire Dawa, characterized by significant strengths in community engagement but critical weaknesses in financial and institutional capacity. The strong positive correlation between funding adequacy and implementation success (r = 0.982) underscores what </w:t>
      </w:r>
      <w:proofErr w:type="spellStart"/>
      <w:r w:rsidRPr="0055510E">
        <w:rPr>
          <w:color w:val="0F1115"/>
        </w:rPr>
        <w:t>Dodman</w:t>
      </w:r>
      <w:proofErr w:type="spellEnd"/>
      <w:r w:rsidRPr="0055510E">
        <w:rPr>
          <w:color w:val="0F1115"/>
        </w:rPr>
        <w:t xml:space="preserve"> et al. (2022) identify as the "financial imperativ</w:t>
      </w:r>
      <w:r>
        <w:rPr>
          <w:color w:val="0F1115"/>
        </w:rPr>
        <w:t xml:space="preserve">e" in climate-health adaptation, </w:t>
      </w:r>
      <w:r w:rsidRPr="0055510E">
        <w:rPr>
          <w:color w:val="0F1115"/>
        </w:rPr>
        <w:t xml:space="preserve">without adequate </w:t>
      </w:r>
      <w:r w:rsidRPr="0055510E">
        <w:rPr>
          <w:color w:val="0F1115"/>
        </w:rPr>
        <w:lastRenderedPageBreak/>
        <w:t>resources, even well-designed policies face implementation paralysis. This finding reinforces the World Bank's (2022) assessment that climate-health interventions in low-resource settings remain critically underfunded relative to their implementation requirements.</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The pronounced disparity between national and local implementation effectiveness (25.8 percentage points) supports </w:t>
      </w:r>
      <w:proofErr w:type="spellStart"/>
      <w:r w:rsidRPr="0055510E">
        <w:rPr>
          <w:color w:val="0F1115"/>
        </w:rPr>
        <w:t>Ebi</w:t>
      </w:r>
      <w:proofErr w:type="spellEnd"/>
      <w:r w:rsidRPr="0055510E">
        <w:rPr>
          <w:color w:val="0F1115"/>
        </w:rPr>
        <w:t xml:space="preserve"> et al.'s (2021) contention that contextual adaptation is not merely beneficial but essential for climate-health success. The superior performance of Dire Dawa-specific policies suggests that local ownership and contextual relevance outweigh the theoretical advantages of scale and standardization offered by national frameworks. This finding aligns with Austin et al.'s (2020) research on OECD countries, which found locally adapted policies consistently outperformed standardized national approaches in climate-health implementation.</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The exceptionally strong negative correlations between implementation barriers and effectiveness, particularly for awareness (r = -0.988) and coordination (r = -0.981) barriers, highlight systemic governance challenges. These findings support </w:t>
      </w:r>
      <w:proofErr w:type="spellStart"/>
      <w:r w:rsidRPr="0055510E">
        <w:rPr>
          <w:color w:val="0F1115"/>
        </w:rPr>
        <w:t>Lesnikowski</w:t>
      </w:r>
      <w:proofErr w:type="spellEnd"/>
      <w:r w:rsidRPr="0055510E">
        <w:rPr>
          <w:color w:val="0F1115"/>
        </w:rPr>
        <w:t xml:space="preserve"> et al.'s (2019) argument that climate-health implementation often fails not due to technical design flaws but because of "coordination deficits" and "knowledge gaps" in implementation ecosystems. The awareness barrier correlation especially suggests that simply developing policies without concomitant capacity building and knowledge dissemination produces implementation failure.</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The temporal decline in implementation effectiveness coincides with the introduction of more complex policy frameworks, supporting Ford et al.'s (2020) concept of "implementation saturation" in resource-constrained settings. This pattern suggests that climate-health planning must consider not only individual policy merits but also cumulative implementation capacity across multiple simultaneous initiatives. The 37.5-percentage-point drop within one year indicates that implementation systems may have exceeded their absorption capacity, a finding consistent with WHO's (2021) warnings about implementation overload in health system strengthening.</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 xml:space="preserve">The PCA results revealing 96.16% of variance explained by resource allocation factors underscore the primacy of financial constraints in implementation effectiveness. This aligns with </w:t>
      </w:r>
      <w:proofErr w:type="spellStart"/>
      <w:r w:rsidRPr="0055510E">
        <w:rPr>
          <w:color w:val="0F1115"/>
        </w:rPr>
        <w:t>Dodman</w:t>
      </w:r>
      <w:proofErr w:type="spellEnd"/>
      <w:r w:rsidRPr="0055510E">
        <w:rPr>
          <w:color w:val="0F1115"/>
        </w:rPr>
        <w:t xml:space="preserve"> et al.'s (2022) finding that financial limitations account for 60-80% of implementation variance in climate adaptation projects across Global South contexts. The minimal variance (2.23%) explained by institutional factors suggests that while governance improvements are necessary, they are insufficient without addressing fundamental resource constraints.</w:t>
      </w:r>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t>The strong performance of community-focused interventions (75-80% implementation) supports the growing literature on community-centered climate adaptation (</w:t>
      </w:r>
      <w:proofErr w:type="spellStart"/>
      <w:r w:rsidRPr="0055510E">
        <w:rPr>
          <w:color w:val="0F1115"/>
        </w:rPr>
        <w:t>Berrang</w:t>
      </w:r>
      <w:proofErr w:type="spellEnd"/>
      <w:r w:rsidRPr="0055510E">
        <w:rPr>
          <w:color w:val="0F1115"/>
        </w:rPr>
        <w:t>-Ford et al., 2021). These findings suggest that policies leveraging existing community structures and social capital demonstrate greater implementation resilience than technically complex infrastructure-based approaches. This aligns with global evidence that community-based adaptation consistently outperforms technologically complex interventions in low-resource settings (World Bank, 2022).</w:t>
      </w:r>
    </w:p>
    <w:p w:rsidR="00A86403" w:rsidRDefault="00A86403" w:rsidP="00A86403">
      <w:pPr>
        <w:pStyle w:val="ds-markdown-paragraph"/>
        <w:shd w:val="clear" w:color="auto" w:fill="FFFFFF"/>
        <w:spacing w:before="240" w:beforeAutospacing="0" w:after="240" w:afterAutospacing="0" w:line="276" w:lineRule="auto"/>
        <w:jc w:val="both"/>
        <w:rPr>
          <w:color w:val="0F1115"/>
        </w:rPr>
      </w:pPr>
      <w:r w:rsidRPr="0055510E">
        <w:rPr>
          <w:color w:val="0F1115"/>
        </w:rPr>
        <w:lastRenderedPageBreak/>
        <w:t>The identified implementation patterns have significant implications for climate-health policy design. First, they suggest that financial investment must precede or accompany policy development to avoid implementation failure. Second, they indicate that contextual adaptation and local ownership should be prioritized over standardization in policy design. Third, they demonstrate that implementation capacity constraints must be explicitly considered in climate-health planning to avoid saturation effects. Finally, they highlight the critical importance of addressing awareness and coordination barriers through targeted capacity building and governance strengthening.</w:t>
      </w:r>
    </w:p>
    <w:p w:rsidR="001503C8" w:rsidRPr="00B33A7B" w:rsidRDefault="001503C8" w:rsidP="001503C8">
      <w:pPr>
        <w:pStyle w:val="NormalWeb"/>
        <w:spacing w:line="276" w:lineRule="auto"/>
        <w:jc w:val="both"/>
      </w:pPr>
      <w:r w:rsidRPr="00B33A7B">
        <w:t>The findings underscore the severe environmental and health challenges posed by climate change in Dire Dawa, with Urban Center and Industrial Zone emerging as critical hotspots. The Water Scarcity Index</w:t>
      </w:r>
      <w:r>
        <w:t xml:space="preserve"> </w:t>
      </w:r>
      <w:r w:rsidR="00FA6997">
        <w:t>(87.5 in Urban Center, Figure 12</w:t>
      </w:r>
      <w:r w:rsidRPr="00B33A7B">
        <w:t xml:space="preserve">) reflects rapid urbanization and population growth, reducing per capita water availability to one-third of demand, a trend noted in </w:t>
      </w:r>
      <w:proofErr w:type="spellStart"/>
      <w:r w:rsidRPr="00B33A7B">
        <w:t>Tesfaye</w:t>
      </w:r>
      <w:proofErr w:type="spellEnd"/>
      <w:r w:rsidRPr="00B33A7B">
        <w:t xml:space="preserve"> and </w:t>
      </w:r>
      <w:proofErr w:type="spellStart"/>
      <w:r w:rsidRPr="00B33A7B">
        <w:t>Bekele</w:t>
      </w:r>
      <w:proofErr w:type="spellEnd"/>
      <w:r w:rsidRPr="00B33A7B">
        <w:t xml:space="preserve"> (2023). Hig</w:t>
      </w:r>
      <w:r w:rsidR="00FA6997">
        <w:t>h Air Pollution (99.9, Figure 12</w:t>
      </w:r>
      <w:r w:rsidRPr="00B33A7B">
        <w:t>) and Soi</w:t>
      </w:r>
      <w:r>
        <w:t>l Contamination (80.4, Figure 13</w:t>
      </w:r>
      <w:r w:rsidRPr="00B33A7B">
        <w:t>) indices in these areas align with industrial emissions and urban runoff, exacerbating respiratory issues (90.1 incidences</w:t>
      </w:r>
      <w:r w:rsidR="00FA6997">
        <w:t>, Figure 12</w:t>
      </w:r>
      <w:r w:rsidRPr="00B33A7B">
        <w:t>) and wate</w:t>
      </w:r>
      <w:r>
        <w:t>rborne diseases (82.2, Figure 13</w:t>
      </w:r>
      <w:r w:rsidRPr="00B33A7B">
        <w:t>). The Temperature</w:t>
      </w:r>
      <w:r>
        <w:t xml:space="preserve"> Extremes Index (75.5, Figure 1</w:t>
      </w:r>
      <w:r w:rsidR="00FA6997">
        <w:t>2</w:t>
      </w:r>
      <w:r w:rsidRPr="00B33A7B">
        <w:t>) correlates with Heat-Related Illnesses (85.5, Figure 15), consistent with urban heat island effects projected to intensify (GIZ, 2021).</w:t>
      </w:r>
    </w:p>
    <w:p w:rsidR="001503C8" w:rsidRPr="00B33A7B" w:rsidRDefault="001503C8" w:rsidP="001503C8">
      <w:pPr>
        <w:pStyle w:val="NormalWeb"/>
        <w:spacing w:line="276" w:lineRule="auto"/>
        <w:jc w:val="both"/>
      </w:pPr>
      <w:r w:rsidRPr="00B33A7B">
        <w:t>Cluster analysis revealed stark disparities: Cluster 1 (Urban Center, Industrial Zone) with a Vulnerability Index of 81.70 and Health Impact Index of 82.13 highlights concentrated risks, driven by dense populations and industrial activity. Cluster 0 (Agricultural Area, Rural Highlands, River Basin) at 39.83 and 37.18 suggests lower exposure, though not immune, as seen in flood-related waterborne disease spikes (</w:t>
      </w:r>
      <w:proofErr w:type="spellStart"/>
      <w:r w:rsidRPr="00B33A7B">
        <w:t>Simane</w:t>
      </w:r>
      <w:proofErr w:type="spellEnd"/>
      <w:r w:rsidRPr="00B33A7B">
        <w:t xml:space="preserve"> et al., 2016). </w:t>
      </w:r>
      <w:proofErr w:type="spellStart"/>
      <w:r w:rsidRPr="00B33A7B">
        <w:t>Peri-urban’s</w:t>
      </w:r>
      <w:proofErr w:type="spellEnd"/>
      <w:r w:rsidRPr="00B33A7B">
        <w:t xml:space="preserve"> intermediate vulnerability (63.87) reflects transitional pressures from urban expansion. The overall Vulnerability Index (57.79) and Health Impact Index (56.71) indicate a moderate-to-high risk profile, necessitating targeted interventions.</w:t>
      </w:r>
    </w:p>
    <w:p w:rsidR="001503C8" w:rsidRPr="00B33A7B" w:rsidRDefault="001503C8" w:rsidP="001503C8">
      <w:pPr>
        <w:pStyle w:val="NormalWeb"/>
        <w:spacing w:line="276" w:lineRule="auto"/>
        <w:jc w:val="both"/>
      </w:pPr>
      <w:r w:rsidRPr="00B33A7B">
        <w:t>T</w:t>
      </w:r>
      <w:r w:rsidR="00FA6997">
        <w:t>he correlation matrix (Figure 14</w:t>
      </w:r>
      <w:r w:rsidRPr="00B33A7B">
        <w:t>) confirms strong links between environmental factors and health outcomes, with Air Pollution and Respiratory Diseases (r = 1.00) reflecting direct exposure pathways, and Malnutrition’s high correlation (r = 0.88-0.97) with all factors suggesting a compounded nutritional crisis amid climate stressors. This aligns with global estimates of 98 million additional food-insecure people in 2020 due to climate impacts (WHO, 2024). Temperature Extremes driving Heat-Related Illnesses (r = 0.95) supports projections of increased heat-related mortality under 1.5°C warming (</w:t>
      </w:r>
      <w:proofErr w:type="spellStart"/>
      <w:r w:rsidRPr="00B33A7B">
        <w:t>PreventionWeb</w:t>
      </w:r>
      <w:proofErr w:type="spellEnd"/>
      <w:r w:rsidRPr="00B33A7B">
        <w:t>, 2024).</w:t>
      </w:r>
    </w:p>
    <w:p w:rsidR="001503C8" w:rsidRPr="00B33A7B" w:rsidRDefault="001503C8" w:rsidP="001503C8">
      <w:pPr>
        <w:pStyle w:val="NormalWeb"/>
        <w:spacing w:line="276" w:lineRule="auto"/>
        <w:jc w:val="both"/>
      </w:pPr>
      <w:r w:rsidRPr="00B33A7B">
        <w:t xml:space="preserve">Policy implications are critical. Ethiopia’s Climate Resilient Green Economy (CRGE) strategy and Health National Adaptation Plans (H-NAPs) aim to address these issues, but implementation lags, particularly in urban areas where funding and coordination are weak (Ministry of Health, 2024). The high vulnerability in Urban Center and Industrial Zone calls for enhanced water management, air quality controls, and heat action plans, as current infrastructure struggles with </w:t>
      </w:r>
      <w:r w:rsidRPr="00B33A7B">
        <w:lastRenderedPageBreak/>
        <w:t>flood and drought cycles (IISD, 2024). Vulnerable groups, such as children and the elderly, face amplified risks, with malnutri</w:t>
      </w:r>
      <w:r w:rsidR="00FA6997">
        <w:t>tion prevalence (71.1, Figure 15</w:t>
      </w:r>
      <w:r w:rsidRPr="00B33A7B">
        <w:t>) linked to food system disruptions, a gap in existing policies (FAO, 2024).</w:t>
      </w:r>
    </w:p>
    <w:p w:rsidR="001503C8" w:rsidRDefault="001503C8" w:rsidP="001503C8">
      <w:pPr>
        <w:pStyle w:val="NormalWeb"/>
        <w:spacing w:line="276" w:lineRule="auto"/>
        <w:jc w:val="both"/>
      </w:pPr>
      <w:r w:rsidRPr="00B33A7B">
        <w:t>Limitations include data reliance on regional estimates and potential underreporting, particularly for heat-related illnesses. Future research should integrate real-time health surveillance and longitudinal data to refine these indices. The findings support a “One Health” approach, integrating environmental management with medical and policy responses to mitigate Dire Dawa’s climate-health nexus (Red Cross, 2021).</w:t>
      </w:r>
    </w:p>
    <w:p w:rsidR="00770BAE" w:rsidRPr="0064146F" w:rsidRDefault="00770BAE" w:rsidP="00770BAE">
      <w:pPr>
        <w:pStyle w:val="NormalWeb"/>
        <w:spacing w:line="276" w:lineRule="auto"/>
        <w:jc w:val="both"/>
      </w:pPr>
      <w:r w:rsidRPr="0064146F">
        <w:t>The results illuminate critical research gaps in climate-health intersections for Dire Dawa, emphasizing social and implementation domains as high-priority amid low funding. The elevated gap scores in Social Equity (75.0) and Commu</w:t>
      </w:r>
      <w:r w:rsidR="00FA6997">
        <w:t>nity Engagement (65.0, Figure 15</w:t>
      </w:r>
      <w:r w:rsidRPr="0064146F">
        <w:t>) reflect Ethiopia's broader challenges, where climate vulnerabilities disproportionately affect marginalized groups, as evidenced in recent qualitative studies (</w:t>
      </w:r>
      <w:proofErr w:type="spellStart"/>
      <w:r w:rsidRPr="0064146F">
        <w:t>Tadesse</w:t>
      </w:r>
      <w:proofErr w:type="spellEnd"/>
      <w:r w:rsidRPr="0064146F">
        <w:t xml:space="preserve"> et al., 2025). This aligns with the Lancet Countdown's 2025 info sheet, noting increased extreme weather impacts on health equity in Ethiopia (Lancet Countdown, 2025). The negative correlation between funding and priority (r = -0.65) underscores systemic biases, with technical domains like Technological Innovation receiving 60.0% funding despite low gaps (5.0), while social areas lag at 20.0% (Ministry of Health, 2024).</w:t>
      </w:r>
    </w:p>
    <w:p w:rsidR="00770BAE" w:rsidRPr="0064146F" w:rsidRDefault="00FA6997" w:rsidP="00770BAE">
      <w:pPr>
        <w:pStyle w:val="NormalWeb"/>
        <w:spacing w:line="276" w:lineRule="auto"/>
        <w:jc w:val="both"/>
      </w:pPr>
      <w:r>
        <w:t>The priority matrix (Figure 15</w:t>
      </w:r>
      <w:r w:rsidR="00770BAE" w:rsidRPr="0064146F">
        <w:t xml:space="preserve">) categorizes domains into quadrants, highlighting high-priority gaps like Implementation Science (gap 45.0, knowledge 40), crucial for translating adaptation strategies amid rising respiratory burdens (Belay et al., 2025). Emerging needs, such as Health System Resilience (gap 35.0, knowledge 55), require knowledge translation, especially given Ethiopia's H-NAP-II projections of increased vector-borne risks by 2028 (Ministry of Health, 2024). Interdisciplinary scores peaking at 95.0% for Social Equity suggest potential for integrated approaches, yet regression shows funding as a barrier (β = -0.45), echoing gaps in adaptation </w:t>
      </w:r>
      <w:proofErr w:type="spellStart"/>
      <w:r w:rsidR="00770BAE" w:rsidRPr="0064146F">
        <w:t>stocktakes</w:t>
      </w:r>
      <w:proofErr w:type="spellEnd"/>
      <w:r w:rsidR="00770BAE" w:rsidRPr="0064146F">
        <w:t xml:space="preserve"> (NAP Global Network, 2025).</w:t>
      </w:r>
    </w:p>
    <w:p w:rsidR="00770BAE" w:rsidRPr="0064146F" w:rsidRDefault="00FA6997" w:rsidP="00770BAE">
      <w:pPr>
        <w:pStyle w:val="NormalWeb"/>
        <w:spacing w:line="276" w:lineRule="auto"/>
        <w:jc w:val="both"/>
      </w:pPr>
      <w:r>
        <w:t>Cluster analysis (Figure 16</w:t>
      </w:r>
      <w:r w:rsidR="00770BAE" w:rsidRPr="0064146F">
        <w:t xml:space="preserve">) groups domains effectively, with High Priority - Low Funding (e.g., Policy Evaluation) showing ANOVA differences (F = 12.45), indicating urgent reallocation. Moderate Priority - Good Funding clusters like Social Equity (knowledge 27.5, gap 65.0) recommend maintaining support for scaling, as per World Bank's 2024 vulnerability assessment (World Bank, 2024). High Knowledge - Translation </w:t>
      </w:r>
      <w:proofErr w:type="gramStart"/>
      <w:r w:rsidR="00770BAE" w:rsidRPr="0064146F">
        <w:t>Needed</w:t>
      </w:r>
      <w:proofErr w:type="gramEnd"/>
      <w:r w:rsidR="00770BAE" w:rsidRPr="0064146F">
        <w:t xml:space="preserve"> domains (e.g., Adaptation Planning) emphasize policy engagement, addressing research-practice disconnects noted in women's knowledge studies (</w:t>
      </w:r>
      <w:proofErr w:type="spellStart"/>
      <w:r w:rsidR="00770BAE" w:rsidRPr="0064146F">
        <w:t>Tesfaye</w:t>
      </w:r>
      <w:proofErr w:type="spellEnd"/>
      <w:r w:rsidR="00770BAE" w:rsidRPr="0064146F">
        <w:t xml:space="preserve"> et al., 2025). Emerging - Interdisciplinary Focus (e.g., Technological Innovation) calls for innovation, aligning with chronic respiratory impact projections (Belay et al., 2025).</w:t>
      </w:r>
    </w:p>
    <w:p w:rsidR="00770BAE" w:rsidRPr="0064146F" w:rsidRDefault="00770BAE" w:rsidP="00770BAE">
      <w:pPr>
        <w:pStyle w:val="NormalWeb"/>
        <w:spacing w:line="276" w:lineRule="auto"/>
        <w:jc w:val="both"/>
      </w:pPr>
      <w:r w:rsidRPr="0064146F">
        <w:lastRenderedPageBreak/>
        <w:t>Cluster-based recommendations advocate priority funding for high-priority domains, capacity building for translation needs, and interdisciplinary collaboration for emerging areas. Interdisciplinary interventions target Implementation Science with transdisciplinary teams, Social Equity with participatory research, integrating economics and sociology (</w:t>
      </w:r>
      <w:proofErr w:type="spellStart"/>
      <w:r w:rsidRPr="0064146F">
        <w:t>Getahun</w:t>
      </w:r>
      <w:proofErr w:type="spellEnd"/>
      <w:r w:rsidRPr="0064146F">
        <w:t xml:space="preserve"> et al., 2025). The comprehensive agenda prioritizes Social Equity (81.5), proposing research centers, funding mechanisms, and partnerships, building on H-NAP-II (Ministry of Health, 2024).</w:t>
      </w:r>
    </w:p>
    <w:p w:rsidR="00770BAE" w:rsidRPr="0064146F" w:rsidRDefault="00770BAE" w:rsidP="00770BAE">
      <w:pPr>
        <w:pStyle w:val="NormalWeb"/>
        <w:spacing w:line="276" w:lineRule="auto"/>
        <w:jc w:val="both"/>
      </w:pPr>
      <w:r w:rsidRPr="0064146F">
        <w:t>Limitations include reliance on aggregated data, potentially overlooking micro-level variations; future work should incorporate longitudinal studies. These findings urge Ethiopia's policymakers to bridge gaps, enhancing resilience against projected health crises (Lancet Countdown, 2025).</w:t>
      </w:r>
    </w:p>
    <w:p w:rsidR="00770BAE" w:rsidRDefault="00A076FC" w:rsidP="00A076FC">
      <w:pPr>
        <w:pStyle w:val="NormalWeb"/>
        <w:numPr>
          <w:ilvl w:val="0"/>
          <w:numId w:val="4"/>
        </w:numPr>
        <w:spacing w:line="276" w:lineRule="auto"/>
        <w:jc w:val="both"/>
      </w:pPr>
      <w:r>
        <w:t>Conclusions and Recommendations</w:t>
      </w:r>
    </w:p>
    <w:p w:rsidR="00A076FC" w:rsidRDefault="00A076FC" w:rsidP="00A076FC">
      <w:pPr>
        <w:pStyle w:val="NormalWeb"/>
        <w:numPr>
          <w:ilvl w:val="1"/>
          <w:numId w:val="4"/>
        </w:numPr>
        <w:spacing w:line="276" w:lineRule="auto"/>
        <w:jc w:val="both"/>
      </w:pPr>
      <w:r>
        <w:t>Conclusions</w:t>
      </w:r>
    </w:p>
    <w:p w:rsidR="00A076FC" w:rsidRPr="00A076FC" w:rsidRDefault="00A076FC" w:rsidP="00A076FC">
      <w:pPr>
        <w:pStyle w:val="NormalWeb"/>
        <w:spacing w:line="276" w:lineRule="auto"/>
        <w:jc w:val="both"/>
      </w:pPr>
      <w:r w:rsidRPr="00A076FC">
        <w:t>The interdisciplinary analysis of climate change and human health in Dire Dawa City, Ethiopia, reveals profound vulnerabilities amplified by environmental degradation, inadequate policies, and medical system strains. Climate variables, including fluctuating annual average temperatures (24-29°C from 2000-2020, slope 0.037°C/year) and erratic precipitation (-5 mm/year trend), drive direct health impacts like heat-related illnesses (estimated 50-300 cases annually, r=0.52 with temperature) and vector-borne diseases (dengue post-2013 slope 800 cases/year; malaria API 70.73/1,000, r=0.60 with precipitation). These trends, illustrated in Figures 1-8, align with national warming (0.37°C/decade), exacerbating urban heat islands and flood risks in this semi-arid zone.</w:t>
      </w:r>
    </w:p>
    <w:p w:rsidR="00A076FC" w:rsidRPr="00A076FC" w:rsidRDefault="00A076FC" w:rsidP="00A076FC">
      <w:pPr>
        <w:pStyle w:val="NormalWeb"/>
        <w:spacing w:line="276" w:lineRule="auto"/>
        <w:jc w:val="both"/>
      </w:pPr>
      <w:r w:rsidRPr="00A076FC">
        <w:t xml:space="preserve">Environmental indices highlight disparities: Water Scarcity (87.5 in Urban Center), Air Pollution (99.9), Soil Contamination (80.4), and Temperature Extremes (75.5) cluster urban/industrial areas as hotspots (Vulnerability Index 81.70), while rural zones score lower (39.83). Health outcomes correlate </w:t>
      </w:r>
      <w:r>
        <w:t>strongly (r=0.73-1.00, Figure 16</w:t>
      </w:r>
      <w:r w:rsidRPr="00A076FC">
        <w:t>): Respiratory Diseases (90.1 incidence in Urban Center), Waterborne Diseases (82.2), Heat-Related Illnesses (85.5), and Malnutrition (71.1) reflect these stressors, with OLS regressions confirming causal links (e.g., 15.2 heat cases/°C). Figures 9-16 depict regional variations, underscoring inequities for vulnerable groups like women and children.</w:t>
      </w:r>
    </w:p>
    <w:p w:rsidR="00A076FC" w:rsidRPr="00A076FC" w:rsidRDefault="00A076FC" w:rsidP="00A076FC">
      <w:pPr>
        <w:pStyle w:val="NormalWeb"/>
        <w:spacing w:line="276" w:lineRule="auto"/>
        <w:jc w:val="both"/>
      </w:pPr>
      <w:r w:rsidRPr="00A076FC">
        <w:t>Policy frameworks, such as CRGE and H-NAP-II, show implementation barriers (funding shortages, coordination gaps), with low Health Vulnerability Index (-0.247) masking emerging threats like dengue since 2013 (11,409 cases initially). Research gaps persist in localized data, interdisciplinary integration, and gender dimensions, with fragmented studies hindering evidence-based</w:t>
      </w:r>
      <w:r>
        <w:t xml:space="preserve"> action. Gap analysis (Figure 16</w:t>
      </w:r>
      <w:r w:rsidRPr="00A076FC">
        <w:t>) identifies Social Equity (gap 75.0, priority 81.5) and Community Engagement (65.0, 67.5) as critical voids, with funding skewed toward technical domains (60.0% for Innovation vs. 20.0% for Equity). The priority matrix (Fi</w:t>
      </w:r>
      <w:r>
        <w:t>gure 19) and clusters (Figure 18</w:t>
      </w:r>
      <w:r w:rsidRPr="00A076FC">
        <w:t xml:space="preserve">) reveal high-priority, low-funding domains (e.g., Policy Evaluation), with </w:t>
      </w:r>
      <w:r w:rsidRPr="00A076FC">
        <w:lastRenderedPageBreak/>
        <w:t>correlations (r=0.92 gap-priority) and regressions (R²=0.85 for priority) confirming underinvestment in social aspects.</w:t>
      </w:r>
    </w:p>
    <w:p w:rsidR="00A076FC" w:rsidRPr="00A076FC" w:rsidRDefault="00A076FC" w:rsidP="00A076FC">
      <w:pPr>
        <w:pStyle w:val="NormalWeb"/>
        <w:spacing w:line="276" w:lineRule="auto"/>
        <w:jc w:val="both"/>
      </w:pPr>
      <w:r w:rsidRPr="00A076FC">
        <w:t>Overall, Dire Dawa's challenges exemplify sub-Saharan Africa's climate-health nexus, with projections of 87 hot days by mid-century and 250,000 additional regional deaths by 2050 under unchecked warming. Limiting to 1.5°C is essential, but adaptation is imperative given locked-in changes. The One Health approach, linking human, animal, and environmental health, is underutilized but vital for resilience. This study fills gaps by providing localized insights, emphasizing equitable, integrated responses to safeguard over 500,000 residents amid urbanization and biodiversity loss. Future efforts must prioritize data alignment, community involvement, and cross-sector collaboration to avert escalating morbidity and economic burdens (US$2-4 billion annually by 2030).</w:t>
      </w:r>
    </w:p>
    <w:p w:rsidR="00A076FC" w:rsidRPr="00A076FC" w:rsidRDefault="00A076FC" w:rsidP="00A076FC">
      <w:pPr>
        <w:pStyle w:val="Heading3"/>
        <w:spacing w:line="276" w:lineRule="auto"/>
        <w:jc w:val="both"/>
        <w:rPr>
          <w:b w:val="0"/>
          <w:sz w:val="24"/>
          <w:szCs w:val="24"/>
        </w:rPr>
      </w:pPr>
      <w:r w:rsidRPr="00A076FC">
        <w:rPr>
          <w:b w:val="0"/>
          <w:sz w:val="24"/>
          <w:szCs w:val="24"/>
        </w:rPr>
        <w:t>Recommendations</w:t>
      </w:r>
    </w:p>
    <w:p w:rsidR="00A076FC" w:rsidRDefault="00A076FC" w:rsidP="00A076FC">
      <w:pPr>
        <w:pStyle w:val="NormalWeb"/>
        <w:spacing w:line="276" w:lineRule="auto"/>
        <w:jc w:val="both"/>
      </w:pPr>
      <w:r w:rsidRPr="00A076FC">
        <w:t xml:space="preserve">Based on cluster analysis and priority scores, allocate funding to high-priority, low-funding domains (Policy Evaluation, Early Warning Systems, Climate-Health Modeling; knowledge 61.7, gap 13.3, funding 48.3%) through targeted initiatives and capacity building. </w:t>
      </w:r>
    </w:p>
    <w:p w:rsidR="00A076FC" w:rsidRDefault="00A076FC" w:rsidP="00A076FC">
      <w:pPr>
        <w:pStyle w:val="NormalWeb"/>
        <w:spacing w:line="276" w:lineRule="auto"/>
        <w:jc w:val="both"/>
      </w:pPr>
      <w:r w:rsidRPr="00A076FC">
        <w:t xml:space="preserve">Maintain support for moderate-priority, good-funding areas (Social Equity, Community Engagement; knowledge 27.5, gap 65.0, funding 40.0%) by scaling successful adaptations. </w:t>
      </w:r>
    </w:p>
    <w:p w:rsidR="00A076FC" w:rsidRPr="00A076FC" w:rsidRDefault="00A076FC" w:rsidP="00A076FC">
      <w:pPr>
        <w:pStyle w:val="NormalWeb"/>
        <w:spacing w:line="276" w:lineRule="auto"/>
        <w:jc w:val="both"/>
      </w:pPr>
      <w:r w:rsidRPr="00A076FC">
        <w:t>For high-knowledge, translation-needed domains (Implementation Science, etc.; knowledge 39.0, gap 38.0, funding 30.0%), focus on policy engagement and practice implementation. Promote interdisciplinary collaboration in emerging areas (Environmental Monitoring, Technological Innovation; knowledge 67.5, gap 7.5, funding 60.0%) using innovative methods.</w:t>
      </w:r>
    </w:p>
    <w:p w:rsidR="00A076FC" w:rsidRDefault="00A076FC" w:rsidP="00A076FC">
      <w:pPr>
        <w:pStyle w:val="NormalWeb"/>
        <w:spacing w:line="276" w:lineRule="auto"/>
        <w:jc w:val="both"/>
      </w:pPr>
      <w:r w:rsidRPr="00A076FC">
        <w:t xml:space="preserve">Interventions for high-priority domains (&gt;60 score): Apply frameworks to Implementation Science (62.5), form transdisciplinary teams; Integrate justice in Social Equity (81.5) via participatory research, combining economics and sociology. </w:t>
      </w:r>
    </w:p>
    <w:p w:rsidR="00A076FC" w:rsidRDefault="00A076FC" w:rsidP="00A076FC">
      <w:pPr>
        <w:pStyle w:val="NormalWeb"/>
        <w:spacing w:line="276" w:lineRule="auto"/>
        <w:jc w:val="both"/>
      </w:pPr>
      <w:r w:rsidRPr="00A076FC">
        <w:t xml:space="preserve">Develop a comprehensive agenda: Establish research centers for top priorities (Social Equity, Community Engagement); create funding for climate-health studies; Build capacity in methods; Foster partnerships; </w:t>
      </w:r>
    </w:p>
    <w:p w:rsidR="00A076FC" w:rsidRPr="00A076FC" w:rsidRDefault="00A076FC" w:rsidP="00A076FC">
      <w:pPr>
        <w:pStyle w:val="NormalWeb"/>
        <w:spacing w:line="276" w:lineRule="auto"/>
        <w:jc w:val="both"/>
      </w:pPr>
      <w:r w:rsidRPr="00A076FC">
        <w:t>Develop data platforms; Implement rapid responses; Create translation networks; Standardize metrics.</w:t>
      </w:r>
    </w:p>
    <w:p w:rsidR="00857AC4" w:rsidRPr="00857AC4" w:rsidRDefault="00857AC4" w:rsidP="00857AC4">
      <w:pPr>
        <w:spacing w:before="100" w:beforeAutospacing="1" w:after="100" w:afterAutospacing="1"/>
        <w:jc w:val="both"/>
        <w:outlineLvl w:val="2"/>
        <w:rPr>
          <w:rFonts w:ascii="Times New Roman" w:eastAsia="Times New Roman" w:hAnsi="Times New Roman" w:cs="Times New Roman"/>
          <w:bCs/>
          <w:sz w:val="24"/>
          <w:szCs w:val="24"/>
        </w:rPr>
      </w:pPr>
      <w:r w:rsidRPr="00857AC4">
        <w:rPr>
          <w:rFonts w:ascii="Times New Roman" w:eastAsia="Times New Roman" w:hAnsi="Times New Roman" w:cs="Times New Roman"/>
          <w:bCs/>
          <w:sz w:val="24"/>
          <w:szCs w:val="24"/>
        </w:rPr>
        <w:t>References</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spellStart"/>
      <w:proofErr w:type="gramStart"/>
      <w:r w:rsidRPr="00857AC4">
        <w:rPr>
          <w:rFonts w:ascii="Times New Roman" w:eastAsia="Times New Roman" w:hAnsi="Times New Roman" w:cs="Times New Roman"/>
          <w:sz w:val="24"/>
          <w:szCs w:val="24"/>
        </w:rPr>
        <w:t>Alcayna</w:t>
      </w:r>
      <w:proofErr w:type="spellEnd"/>
      <w:r w:rsidRPr="00857AC4">
        <w:rPr>
          <w:rFonts w:ascii="Times New Roman" w:eastAsia="Times New Roman" w:hAnsi="Times New Roman" w:cs="Times New Roman"/>
          <w:sz w:val="24"/>
          <w:szCs w:val="24"/>
        </w:rPr>
        <w:t xml:space="preserve">, T., </w:t>
      </w:r>
      <w:proofErr w:type="spellStart"/>
      <w:r w:rsidRPr="00857AC4">
        <w:rPr>
          <w:rFonts w:ascii="Times New Roman" w:eastAsia="Times New Roman" w:hAnsi="Times New Roman" w:cs="Times New Roman"/>
          <w:sz w:val="24"/>
          <w:szCs w:val="24"/>
        </w:rPr>
        <w:t>Munthali</w:t>
      </w:r>
      <w:proofErr w:type="spellEnd"/>
      <w:r w:rsidRPr="00857AC4">
        <w:rPr>
          <w:rFonts w:ascii="Times New Roman" w:eastAsia="Times New Roman" w:hAnsi="Times New Roman" w:cs="Times New Roman"/>
          <w:sz w:val="24"/>
          <w:szCs w:val="24"/>
        </w:rPr>
        <w:t xml:space="preserve">, T., </w:t>
      </w:r>
      <w:proofErr w:type="spellStart"/>
      <w:r w:rsidRPr="00857AC4">
        <w:rPr>
          <w:rFonts w:ascii="Times New Roman" w:eastAsia="Times New Roman" w:hAnsi="Times New Roman" w:cs="Times New Roman"/>
          <w:sz w:val="24"/>
          <w:szCs w:val="24"/>
        </w:rPr>
        <w:t>Njogu</w:t>
      </w:r>
      <w:proofErr w:type="spellEnd"/>
      <w:r w:rsidRPr="00857AC4">
        <w:rPr>
          <w:rFonts w:ascii="Times New Roman" w:eastAsia="Times New Roman" w:hAnsi="Times New Roman" w:cs="Times New Roman"/>
          <w:sz w:val="24"/>
          <w:szCs w:val="24"/>
        </w:rPr>
        <w:t>, V., Michael, M., &amp; Stewart, L. (2021).</w:t>
      </w:r>
      <w:proofErr w:type="gramEnd"/>
      <w:r w:rsidRPr="00857AC4">
        <w:rPr>
          <w:rFonts w:ascii="Times New Roman" w:eastAsia="Times New Roman" w:hAnsi="Times New Roman" w:cs="Times New Roman"/>
          <w:sz w:val="24"/>
          <w:szCs w:val="24"/>
        </w:rPr>
        <w:t xml:space="preserve"> </w:t>
      </w:r>
      <w:r w:rsidRPr="00857AC4">
        <w:rPr>
          <w:rFonts w:ascii="Times New Roman" w:eastAsia="Times New Roman" w:hAnsi="Times New Roman" w:cs="Times New Roman"/>
          <w:i/>
          <w:iCs/>
          <w:sz w:val="24"/>
          <w:szCs w:val="24"/>
        </w:rPr>
        <w:t>Climate change impacts on health and livelihoods: Ethiopia assessment</w:t>
      </w:r>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sz w:val="24"/>
          <w:szCs w:val="24"/>
        </w:rPr>
        <w:t xml:space="preserve">Red Cross Red Crescent Climate </w:t>
      </w:r>
      <w:r w:rsidRPr="00857AC4">
        <w:rPr>
          <w:rFonts w:ascii="Times New Roman" w:eastAsia="Times New Roman" w:hAnsi="Times New Roman" w:cs="Times New Roman"/>
          <w:sz w:val="24"/>
          <w:szCs w:val="24"/>
        </w:rPr>
        <w:lastRenderedPageBreak/>
        <w:t>Centre.</w:t>
      </w:r>
      <w:proofErr w:type="gramEnd"/>
      <w:r w:rsidRPr="00857AC4">
        <w:rPr>
          <w:rFonts w:ascii="Times New Roman" w:eastAsia="Times New Roman" w:hAnsi="Times New Roman" w:cs="Times New Roman"/>
          <w:sz w:val="24"/>
          <w:szCs w:val="24"/>
        </w:rPr>
        <w:t xml:space="preserve"> </w:t>
      </w:r>
      <w:hyperlink r:id="rId22" w:tgtFrame="_blank" w:history="1">
        <w:r w:rsidRPr="00857AC4">
          <w:rPr>
            <w:rFonts w:ascii="Times New Roman" w:eastAsia="Times New Roman" w:hAnsi="Times New Roman" w:cs="Times New Roman"/>
            <w:color w:val="0000FF"/>
            <w:sz w:val="24"/>
            <w:szCs w:val="24"/>
            <w:u w:val="single"/>
          </w:rPr>
          <w:t>https://www.climatecentre.org/wp-content/uploads/RCRC_IFRC-Country-assessments-Ethiopia-Final3.pdf</w:t>
        </w:r>
      </w:hyperlink>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spellStart"/>
      <w:proofErr w:type="gramStart"/>
      <w:r w:rsidRPr="00F67F43">
        <w:rPr>
          <w:color w:val="0F1115"/>
        </w:rPr>
        <w:t>Alemu</w:t>
      </w:r>
      <w:proofErr w:type="spellEnd"/>
      <w:r w:rsidRPr="00F67F43">
        <w:rPr>
          <w:color w:val="0F1115"/>
        </w:rPr>
        <w:t xml:space="preserve">, K., </w:t>
      </w:r>
      <w:proofErr w:type="spellStart"/>
      <w:r w:rsidRPr="00F67F43">
        <w:rPr>
          <w:color w:val="0F1115"/>
        </w:rPr>
        <w:t>Worku</w:t>
      </w:r>
      <w:proofErr w:type="spellEnd"/>
      <w:r w:rsidRPr="00F67F43">
        <w:rPr>
          <w:color w:val="0F1115"/>
        </w:rPr>
        <w:t xml:space="preserve">, A., &amp; </w:t>
      </w:r>
      <w:proofErr w:type="spellStart"/>
      <w:r w:rsidRPr="00F67F43">
        <w:rPr>
          <w:color w:val="0F1115"/>
        </w:rPr>
        <w:t>Berhane</w:t>
      </w:r>
      <w:proofErr w:type="spellEnd"/>
      <w:r w:rsidRPr="00F67F43">
        <w:rPr>
          <w:color w:val="0F1115"/>
        </w:rPr>
        <w:t>, Y. (2019).</w:t>
      </w:r>
      <w:proofErr w:type="gramEnd"/>
      <w:r w:rsidRPr="00F67F43">
        <w:rPr>
          <w:color w:val="0F1115"/>
        </w:rPr>
        <w:t xml:space="preserve"> Malaria and heat wave in Addis </w:t>
      </w:r>
      <w:proofErr w:type="spellStart"/>
      <w:r w:rsidRPr="00F67F43">
        <w:rPr>
          <w:color w:val="0F1115"/>
        </w:rPr>
        <w:t>Zemen</w:t>
      </w:r>
      <w:proofErr w:type="spellEnd"/>
      <w:r w:rsidRPr="00F67F43">
        <w:rPr>
          <w:color w:val="0F1115"/>
        </w:rPr>
        <w:t>, South Gondar, Ethiopia. </w:t>
      </w:r>
      <w:r w:rsidRPr="00F67F43">
        <w:rPr>
          <w:rStyle w:val="Emphasis"/>
          <w:color w:val="0F1115"/>
        </w:rPr>
        <w:t>Ethiopian Journal of Health Development</w:t>
      </w:r>
      <w:r w:rsidRPr="00F67F43">
        <w:rPr>
          <w:color w:val="0F1115"/>
        </w:rPr>
        <w:t>, 33(2), 78-85.</w:t>
      </w:r>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proofErr w:type="gramStart"/>
      <w:r w:rsidRPr="008B7D4C">
        <w:rPr>
          <w:color w:val="0F1115"/>
        </w:rPr>
        <w:t xml:space="preserve">Austin, S. E., </w:t>
      </w:r>
      <w:proofErr w:type="spellStart"/>
      <w:r w:rsidRPr="008B7D4C">
        <w:rPr>
          <w:color w:val="0F1115"/>
        </w:rPr>
        <w:t>Biesbroek</w:t>
      </w:r>
      <w:proofErr w:type="spellEnd"/>
      <w:r w:rsidRPr="008B7D4C">
        <w:rPr>
          <w:color w:val="0F1115"/>
        </w:rPr>
        <w:t xml:space="preserve">, R., &amp; </w:t>
      </w:r>
      <w:proofErr w:type="spellStart"/>
      <w:r w:rsidRPr="008B7D4C">
        <w:rPr>
          <w:color w:val="0F1115"/>
        </w:rPr>
        <w:t>Berrang</w:t>
      </w:r>
      <w:proofErr w:type="spellEnd"/>
      <w:r w:rsidRPr="008B7D4C">
        <w:rPr>
          <w:color w:val="0F1115"/>
        </w:rPr>
        <w:t>-Ford, L. (2020).</w:t>
      </w:r>
      <w:proofErr w:type="gramEnd"/>
      <w:r w:rsidRPr="008B7D4C">
        <w:rPr>
          <w:color w:val="0F1115"/>
        </w:rPr>
        <w:t xml:space="preserve"> </w:t>
      </w:r>
      <w:proofErr w:type="gramStart"/>
      <w:r w:rsidRPr="008B7D4C">
        <w:rPr>
          <w:color w:val="0F1115"/>
        </w:rPr>
        <w:t>Public health adaptation to climate change in OECD countries.</w:t>
      </w:r>
      <w:proofErr w:type="gramEnd"/>
      <w:r w:rsidRPr="008B7D4C">
        <w:rPr>
          <w:color w:val="0F1115"/>
        </w:rPr>
        <w:t> </w:t>
      </w:r>
      <w:proofErr w:type="gramStart"/>
      <w:r w:rsidRPr="008B7D4C">
        <w:rPr>
          <w:rStyle w:val="Emphasis"/>
          <w:color w:val="0F1115"/>
        </w:rPr>
        <w:t>International Journal of Environmental Research and Public Health</w:t>
      </w:r>
      <w:r w:rsidRPr="008B7D4C">
        <w:rPr>
          <w:color w:val="0F1115"/>
        </w:rPr>
        <w:t>, 17(15), 5393.</w:t>
      </w:r>
      <w:proofErr w:type="gramEnd"/>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spellStart"/>
      <w:proofErr w:type="gramStart"/>
      <w:r w:rsidRPr="00F67F43">
        <w:rPr>
          <w:color w:val="0F1115"/>
        </w:rPr>
        <w:t>Bayabil</w:t>
      </w:r>
      <w:proofErr w:type="spellEnd"/>
      <w:r w:rsidRPr="00F67F43">
        <w:rPr>
          <w:color w:val="0F1115"/>
        </w:rPr>
        <w:t xml:space="preserve">, H. K., </w:t>
      </w:r>
      <w:proofErr w:type="spellStart"/>
      <w:r w:rsidRPr="00F67F43">
        <w:rPr>
          <w:color w:val="0F1115"/>
        </w:rPr>
        <w:t>Dile</w:t>
      </w:r>
      <w:proofErr w:type="spellEnd"/>
      <w:r w:rsidRPr="00F67F43">
        <w:rPr>
          <w:color w:val="0F1115"/>
        </w:rPr>
        <w:t xml:space="preserve">, Y. T., &amp; </w:t>
      </w:r>
      <w:proofErr w:type="spellStart"/>
      <w:r w:rsidRPr="00F67F43">
        <w:rPr>
          <w:color w:val="0F1115"/>
        </w:rPr>
        <w:t>Tebebu</w:t>
      </w:r>
      <w:proofErr w:type="spellEnd"/>
      <w:r w:rsidRPr="00F67F43">
        <w:rPr>
          <w:color w:val="0F1115"/>
        </w:rPr>
        <w:t>, T. Y. (2022).</w:t>
      </w:r>
      <w:proofErr w:type="gramEnd"/>
      <w:r w:rsidRPr="00F67F43">
        <w:rPr>
          <w:color w:val="0F1115"/>
        </w:rPr>
        <w:t xml:space="preserve"> Climate change and vector-borne diseases in Ethiopia: A systematic review. </w:t>
      </w:r>
      <w:proofErr w:type="gramStart"/>
      <w:r w:rsidRPr="00F67F43">
        <w:rPr>
          <w:rStyle w:val="Emphasis"/>
          <w:color w:val="0F1115"/>
        </w:rPr>
        <w:t>Environmental Research Letters</w:t>
      </w:r>
      <w:r w:rsidRPr="00F67F43">
        <w:rPr>
          <w:color w:val="0F1115"/>
        </w:rPr>
        <w:t>, 17(4), 043001.</w:t>
      </w:r>
      <w:proofErr w:type="gramEnd"/>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spellStart"/>
      <w:proofErr w:type="gramStart"/>
      <w:r w:rsidRPr="00F67F43">
        <w:rPr>
          <w:color w:val="0F1115"/>
        </w:rPr>
        <w:t>Bekele</w:t>
      </w:r>
      <w:proofErr w:type="spellEnd"/>
      <w:r w:rsidRPr="00F67F43">
        <w:rPr>
          <w:color w:val="0F1115"/>
        </w:rPr>
        <w:t xml:space="preserve">, T., </w:t>
      </w:r>
      <w:proofErr w:type="spellStart"/>
      <w:r w:rsidRPr="00F67F43">
        <w:rPr>
          <w:color w:val="0F1115"/>
        </w:rPr>
        <w:t>Mengiste</w:t>
      </w:r>
      <w:proofErr w:type="spellEnd"/>
      <w:r w:rsidRPr="00F67F43">
        <w:rPr>
          <w:color w:val="0F1115"/>
        </w:rPr>
        <w:t xml:space="preserve">, M., &amp; </w:t>
      </w:r>
      <w:proofErr w:type="spellStart"/>
      <w:r w:rsidRPr="00F67F43">
        <w:rPr>
          <w:color w:val="0F1115"/>
        </w:rPr>
        <w:t>Getachew</w:t>
      </w:r>
      <w:proofErr w:type="spellEnd"/>
      <w:r w:rsidRPr="00F67F43">
        <w:rPr>
          <w:color w:val="0F1115"/>
        </w:rPr>
        <w:t>, D. (2021).</w:t>
      </w:r>
      <w:proofErr w:type="gramEnd"/>
      <w:r w:rsidRPr="00F67F43">
        <w:rPr>
          <w:color w:val="0F1115"/>
        </w:rPr>
        <w:t xml:space="preserve"> Heat-related morbidity in Dire Dawa: A case study of the 2019 heat wave. </w:t>
      </w:r>
      <w:r w:rsidRPr="00F67F43">
        <w:rPr>
          <w:rStyle w:val="Emphasis"/>
          <w:color w:val="0F1115"/>
        </w:rPr>
        <w:t>Ethiopian Journal of Public Health</w:t>
      </w:r>
      <w:r w:rsidRPr="00F67F43">
        <w:rPr>
          <w:color w:val="0F1115"/>
        </w:rPr>
        <w:t>, 45(3), 234-241.</w:t>
      </w:r>
    </w:p>
    <w:p w:rsidR="00A076FC" w:rsidRPr="0064146F" w:rsidRDefault="00A076FC" w:rsidP="00A076FC">
      <w:pPr>
        <w:pStyle w:val="NormalWeb"/>
        <w:spacing w:line="276" w:lineRule="auto"/>
        <w:jc w:val="both"/>
      </w:pPr>
      <w:r w:rsidRPr="0064146F">
        <w:t xml:space="preserve">Belay, M., </w:t>
      </w:r>
      <w:proofErr w:type="spellStart"/>
      <w:r w:rsidRPr="0064146F">
        <w:t>Assefa</w:t>
      </w:r>
      <w:proofErr w:type="spellEnd"/>
      <w:r w:rsidRPr="0064146F">
        <w:t xml:space="preserve">, A., &amp; </w:t>
      </w:r>
      <w:proofErr w:type="spellStart"/>
      <w:r w:rsidRPr="0064146F">
        <w:t>Tadesse</w:t>
      </w:r>
      <w:proofErr w:type="spellEnd"/>
      <w:r w:rsidRPr="0064146F">
        <w:t xml:space="preserve">, F. G. (2025). Impacts of climate change on chronic respiratory health in Ethiopia. </w:t>
      </w:r>
      <w:proofErr w:type="gramStart"/>
      <w:r w:rsidRPr="0064146F">
        <w:rPr>
          <w:rStyle w:val="Emphasis"/>
        </w:rPr>
        <w:t>Frontiers in Climate, 7</w:t>
      </w:r>
      <w:r w:rsidRPr="0064146F">
        <w:t>, 1555383.</w:t>
      </w:r>
      <w:proofErr w:type="gramEnd"/>
      <w:r w:rsidRPr="0064146F">
        <w:t xml:space="preserve"> </w:t>
      </w:r>
      <w:hyperlink r:id="rId23" w:tgtFrame="_blank" w:history="1">
        <w:r w:rsidRPr="0064146F">
          <w:rPr>
            <w:rStyle w:val="Hyperlink"/>
          </w:rPr>
          <w:t>https://doi.org/10.3389/fclim.2025.1555383</w:t>
        </w:r>
      </w:hyperlink>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proofErr w:type="spellStart"/>
      <w:proofErr w:type="gramStart"/>
      <w:r w:rsidRPr="0055510E">
        <w:rPr>
          <w:color w:val="0F1115"/>
        </w:rPr>
        <w:t>Berrang</w:t>
      </w:r>
      <w:proofErr w:type="spellEnd"/>
      <w:r w:rsidRPr="0055510E">
        <w:rPr>
          <w:color w:val="0F1115"/>
        </w:rPr>
        <w:t xml:space="preserve">-Ford, L., Siders, A. R., &amp; </w:t>
      </w:r>
      <w:proofErr w:type="spellStart"/>
      <w:r w:rsidRPr="0055510E">
        <w:rPr>
          <w:color w:val="0F1115"/>
        </w:rPr>
        <w:t>Lesnikowski</w:t>
      </w:r>
      <w:proofErr w:type="spellEnd"/>
      <w:r w:rsidRPr="0055510E">
        <w:rPr>
          <w:color w:val="0F1115"/>
        </w:rPr>
        <w:t>, A. (2021).</w:t>
      </w:r>
      <w:proofErr w:type="gramEnd"/>
      <w:r w:rsidRPr="0055510E">
        <w:rPr>
          <w:color w:val="0F1115"/>
        </w:rPr>
        <w:t xml:space="preserve"> </w:t>
      </w:r>
      <w:proofErr w:type="gramStart"/>
      <w:r w:rsidRPr="0055510E">
        <w:rPr>
          <w:color w:val="0F1115"/>
        </w:rPr>
        <w:t>Equity in climate adaptation research.</w:t>
      </w:r>
      <w:proofErr w:type="gramEnd"/>
      <w:r w:rsidRPr="0055510E">
        <w:rPr>
          <w:color w:val="0F1115"/>
        </w:rPr>
        <w:t> </w:t>
      </w:r>
      <w:r w:rsidRPr="0055510E">
        <w:rPr>
          <w:rStyle w:val="Emphasis"/>
          <w:color w:val="0F1115"/>
        </w:rPr>
        <w:t>Nature Climate Change</w:t>
      </w:r>
      <w:r w:rsidRPr="0055510E">
        <w:rPr>
          <w:color w:val="0F1115"/>
        </w:rPr>
        <w:t>, 11(10), 827-832.</w:t>
      </w: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Creswell, J. W., &amp; Plano Clark, V. L. (2017).</w:t>
      </w:r>
      <w:proofErr w:type="gramEnd"/>
      <w:r w:rsidRPr="00857AC4">
        <w:rPr>
          <w:rFonts w:ascii="Times New Roman" w:eastAsia="Times New Roman" w:hAnsi="Times New Roman" w:cs="Times New Roman"/>
          <w:sz w:val="24"/>
          <w:szCs w:val="24"/>
        </w:rPr>
        <w:t xml:space="preserve"> </w:t>
      </w:r>
      <w:r w:rsidRPr="00857AC4">
        <w:rPr>
          <w:rFonts w:ascii="Times New Roman" w:eastAsia="Times New Roman" w:hAnsi="Times New Roman" w:cs="Times New Roman"/>
          <w:i/>
          <w:iCs/>
          <w:sz w:val="24"/>
          <w:szCs w:val="24"/>
        </w:rPr>
        <w:t>Designing and conducting mixed methods research</w:t>
      </w:r>
      <w:r w:rsidRPr="00857AC4">
        <w:rPr>
          <w:rFonts w:ascii="Times New Roman" w:eastAsia="Times New Roman" w:hAnsi="Times New Roman" w:cs="Times New Roman"/>
          <w:sz w:val="24"/>
          <w:szCs w:val="24"/>
        </w:rPr>
        <w:t xml:space="preserve"> (3rd </w:t>
      </w:r>
      <w:proofErr w:type="gramStart"/>
      <w:r w:rsidRPr="00857AC4">
        <w:rPr>
          <w:rFonts w:ascii="Times New Roman" w:eastAsia="Times New Roman" w:hAnsi="Times New Roman" w:cs="Times New Roman"/>
          <w:sz w:val="24"/>
          <w:szCs w:val="24"/>
        </w:rPr>
        <w:t>ed</w:t>
      </w:r>
      <w:proofErr w:type="gramEnd"/>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sz w:val="24"/>
          <w:szCs w:val="24"/>
        </w:rPr>
        <w:t>Sage Publications.</w:t>
      </w:r>
      <w:proofErr w:type="gramEnd"/>
    </w:p>
    <w:p w:rsidR="00A86403" w:rsidRPr="0055510E" w:rsidRDefault="00A86403" w:rsidP="00A86403">
      <w:pPr>
        <w:pStyle w:val="ds-markdown-paragraph"/>
        <w:shd w:val="clear" w:color="auto" w:fill="FFFFFF"/>
        <w:spacing w:before="240" w:beforeAutospacing="0" w:after="240" w:afterAutospacing="0" w:line="276" w:lineRule="auto"/>
        <w:jc w:val="both"/>
        <w:rPr>
          <w:color w:val="0F1115"/>
        </w:rPr>
      </w:pPr>
      <w:proofErr w:type="spellStart"/>
      <w:proofErr w:type="gramStart"/>
      <w:r w:rsidRPr="0055510E">
        <w:rPr>
          <w:color w:val="0F1115"/>
        </w:rPr>
        <w:t>Dodman</w:t>
      </w:r>
      <w:proofErr w:type="spellEnd"/>
      <w:r w:rsidRPr="0055510E">
        <w:rPr>
          <w:color w:val="0F1115"/>
        </w:rPr>
        <w:t xml:space="preserve">, D., Hayward, B., &amp; </w:t>
      </w:r>
      <w:proofErr w:type="spellStart"/>
      <w:r w:rsidRPr="0055510E">
        <w:rPr>
          <w:color w:val="0F1115"/>
        </w:rPr>
        <w:t>Pelling</w:t>
      </w:r>
      <w:proofErr w:type="spellEnd"/>
      <w:r w:rsidRPr="0055510E">
        <w:rPr>
          <w:color w:val="0F1115"/>
        </w:rPr>
        <w:t>, M. (2022).</w:t>
      </w:r>
      <w:proofErr w:type="gramEnd"/>
      <w:r w:rsidRPr="0055510E">
        <w:rPr>
          <w:color w:val="0F1115"/>
        </w:rPr>
        <w:t xml:space="preserve"> Climate change and cities: Towards climate resilience. </w:t>
      </w:r>
      <w:proofErr w:type="gramStart"/>
      <w:r w:rsidRPr="0055510E">
        <w:rPr>
          <w:rStyle w:val="Emphasis"/>
          <w:color w:val="0F1115"/>
        </w:rPr>
        <w:t>Cities</w:t>
      </w:r>
      <w:r w:rsidRPr="0055510E">
        <w:rPr>
          <w:color w:val="0F1115"/>
        </w:rPr>
        <w:t>, 120, 103448.</w:t>
      </w:r>
      <w:proofErr w:type="gramEnd"/>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proofErr w:type="spellStart"/>
      <w:proofErr w:type="gramStart"/>
      <w:r w:rsidRPr="008B7D4C">
        <w:rPr>
          <w:color w:val="0F1115"/>
        </w:rPr>
        <w:t>Ebi</w:t>
      </w:r>
      <w:proofErr w:type="spellEnd"/>
      <w:r w:rsidRPr="008B7D4C">
        <w:rPr>
          <w:color w:val="0F1115"/>
        </w:rPr>
        <w:t xml:space="preserve">, K. L., </w:t>
      </w:r>
      <w:proofErr w:type="spellStart"/>
      <w:r w:rsidRPr="008B7D4C">
        <w:rPr>
          <w:color w:val="0F1115"/>
        </w:rPr>
        <w:t>Vanos</w:t>
      </w:r>
      <w:proofErr w:type="spellEnd"/>
      <w:r w:rsidRPr="008B7D4C">
        <w:rPr>
          <w:color w:val="0F1115"/>
        </w:rPr>
        <w:t>, J., &amp; Baldwin, J. W. (2021).</w:t>
      </w:r>
      <w:proofErr w:type="gramEnd"/>
      <w:r w:rsidRPr="008B7D4C">
        <w:rPr>
          <w:color w:val="0F1115"/>
        </w:rPr>
        <w:t xml:space="preserve"> Extreme weather and climate change: Population health and health system implications. </w:t>
      </w:r>
      <w:r w:rsidRPr="008B7D4C">
        <w:rPr>
          <w:rStyle w:val="Emphasis"/>
          <w:color w:val="0F1115"/>
        </w:rPr>
        <w:t>Annual Review of Public Health</w:t>
      </w:r>
      <w:r w:rsidRPr="008B7D4C">
        <w:rPr>
          <w:color w:val="0F1115"/>
        </w:rPr>
        <w:t>, 42, 293-315.</w:t>
      </w:r>
    </w:p>
    <w:p w:rsidR="001503C8" w:rsidRPr="00B33A7B" w:rsidRDefault="001503C8" w:rsidP="001503C8">
      <w:pPr>
        <w:pStyle w:val="NormalWeb"/>
        <w:spacing w:line="276" w:lineRule="auto"/>
        <w:jc w:val="both"/>
      </w:pPr>
      <w:proofErr w:type="gramStart"/>
      <w:r w:rsidRPr="00B33A7B">
        <w:t>FAO.</w:t>
      </w:r>
      <w:proofErr w:type="gramEnd"/>
      <w:r w:rsidRPr="00B33A7B">
        <w:t xml:space="preserve"> </w:t>
      </w:r>
      <w:proofErr w:type="gramStart"/>
      <w:r w:rsidRPr="00B33A7B">
        <w:t xml:space="preserve">(2024). </w:t>
      </w:r>
      <w:r w:rsidRPr="00B33A7B">
        <w:rPr>
          <w:rStyle w:val="Emphasis"/>
        </w:rPr>
        <w:t>Ethiopia food security update</w:t>
      </w:r>
      <w:r w:rsidRPr="00B33A7B">
        <w:t>.</w:t>
      </w:r>
      <w:proofErr w:type="gramEnd"/>
      <w:r w:rsidRPr="00B33A7B">
        <w:t xml:space="preserve"> </w:t>
      </w:r>
      <w:hyperlink r:id="rId24" w:tgtFrame="_blank" w:history="1">
        <w:r w:rsidRPr="00B33A7B">
          <w:rPr>
            <w:rStyle w:val="Hyperlink"/>
          </w:rPr>
          <w:t>http://www.fao.org/giews/country-analysis/en/</w:t>
        </w:r>
      </w:hyperlink>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Federal Democratic Republic of Ethiopia Ministry of Science and Technology.</w:t>
      </w:r>
      <w:proofErr w:type="gramEnd"/>
      <w:r w:rsidRPr="00857AC4">
        <w:rPr>
          <w:rFonts w:ascii="Times New Roman" w:eastAsia="Times New Roman" w:hAnsi="Times New Roman" w:cs="Times New Roman"/>
          <w:sz w:val="24"/>
          <w:szCs w:val="24"/>
        </w:rPr>
        <w:t xml:space="preserve"> (2014). </w:t>
      </w:r>
      <w:r w:rsidRPr="00857AC4">
        <w:rPr>
          <w:rFonts w:ascii="Times New Roman" w:eastAsia="Times New Roman" w:hAnsi="Times New Roman" w:cs="Times New Roman"/>
          <w:i/>
          <w:iCs/>
          <w:sz w:val="24"/>
          <w:szCs w:val="24"/>
        </w:rPr>
        <w:t>National research ethics review guideline</w:t>
      </w:r>
      <w:r w:rsidRPr="00857AC4">
        <w:rPr>
          <w:rFonts w:ascii="Times New Roman" w:eastAsia="Times New Roman" w:hAnsi="Times New Roman" w:cs="Times New Roman"/>
          <w:sz w:val="24"/>
          <w:szCs w:val="24"/>
        </w:rPr>
        <w:t xml:space="preserve"> (5th </w:t>
      </w:r>
      <w:proofErr w:type="gramStart"/>
      <w:r w:rsidRPr="00857AC4">
        <w:rPr>
          <w:rFonts w:ascii="Times New Roman" w:eastAsia="Times New Roman" w:hAnsi="Times New Roman" w:cs="Times New Roman"/>
          <w:sz w:val="24"/>
          <w:szCs w:val="24"/>
        </w:rPr>
        <w:t>ed</w:t>
      </w:r>
      <w:proofErr w:type="gramEnd"/>
      <w:r w:rsidRPr="00857AC4">
        <w:rPr>
          <w:rFonts w:ascii="Times New Roman" w:eastAsia="Times New Roman" w:hAnsi="Times New Roman" w:cs="Times New Roman"/>
          <w:sz w:val="24"/>
          <w:szCs w:val="24"/>
        </w:rPr>
        <w:t xml:space="preserve">.). </w:t>
      </w:r>
      <w:hyperlink r:id="rId25" w:tgtFrame="_blank" w:history="1">
        <w:r w:rsidRPr="00857AC4">
          <w:rPr>
            <w:rFonts w:ascii="Times New Roman" w:eastAsia="Times New Roman" w:hAnsi="Times New Roman" w:cs="Times New Roman"/>
            <w:color w:val="0000FF"/>
            <w:sz w:val="24"/>
            <w:szCs w:val="24"/>
            <w:u w:val="single"/>
          </w:rPr>
          <w:t>https://www.ccghr.ca/wp-content/uploads/2013/11/national-research-ethics-review-guidline.pdf</w:t>
        </w:r>
      </w:hyperlink>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Federal Ministry of Health, Ethiopia.</w:t>
      </w:r>
      <w:proofErr w:type="gramEnd"/>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sz w:val="24"/>
          <w:szCs w:val="24"/>
        </w:rPr>
        <w:t xml:space="preserve">(2018). </w:t>
      </w:r>
      <w:r w:rsidRPr="00857AC4">
        <w:rPr>
          <w:rFonts w:ascii="Times New Roman" w:eastAsia="Times New Roman" w:hAnsi="Times New Roman" w:cs="Times New Roman"/>
          <w:i/>
          <w:iCs/>
          <w:sz w:val="24"/>
          <w:szCs w:val="24"/>
        </w:rPr>
        <w:t>National health adaptation plan to climate change 2018-2020</w:t>
      </w:r>
      <w:r w:rsidRPr="00857AC4">
        <w:rPr>
          <w:rFonts w:ascii="Times New Roman" w:eastAsia="Times New Roman" w:hAnsi="Times New Roman" w:cs="Times New Roman"/>
          <w:sz w:val="24"/>
          <w:szCs w:val="24"/>
        </w:rPr>
        <w:t>.</w:t>
      </w:r>
      <w:proofErr w:type="gramEnd"/>
      <w:r w:rsidRPr="00857AC4">
        <w:rPr>
          <w:rFonts w:ascii="Times New Roman" w:eastAsia="Times New Roman" w:hAnsi="Times New Roman" w:cs="Times New Roman"/>
          <w:sz w:val="24"/>
          <w:szCs w:val="24"/>
        </w:rPr>
        <w:t xml:space="preserve"> Retrieved from </w:t>
      </w:r>
      <w:hyperlink r:id="rId26" w:tgtFrame="_blank" w:history="1">
        <w:r w:rsidRPr="00857AC4">
          <w:rPr>
            <w:rFonts w:ascii="Times New Roman" w:eastAsia="Times New Roman" w:hAnsi="Times New Roman" w:cs="Times New Roman"/>
            <w:color w:val="0000FF"/>
            <w:sz w:val="24"/>
            <w:szCs w:val="24"/>
            <w:u w:val="single"/>
          </w:rPr>
          <w:t>https://climahealth.info/wp-content/uploads/2022/02/national-health-adaptation-plan-to-climate-change_Ethiopia-1.pdf</w:t>
        </w:r>
      </w:hyperlink>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gramStart"/>
      <w:r w:rsidRPr="00F67F43">
        <w:rPr>
          <w:color w:val="0F1115"/>
        </w:rPr>
        <w:t>FDRE Ministry of Health.</w:t>
      </w:r>
      <w:proofErr w:type="gramEnd"/>
      <w:r w:rsidRPr="00F67F43">
        <w:rPr>
          <w:color w:val="0F1115"/>
        </w:rPr>
        <w:t xml:space="preserve"> (2023). </w:t>
      </w:r>
      <w:r w:rsidRPr="00F67F43">
        <w:rPr>
          <w:rStyle w:val="Emphasis"/>
          <w:color w:val="0F1115"/>
        </w:rPr>
        <w:t>National adaptation plan: Health sector</w:t>
      </w:r>
      <w:r w:rsidRPr="00F67F43">
        <w:rPr>
          <w:color w:val="0F1115"/>
        </w:rPr>
        <w:t xml:space="preserve">. </w:t>
      </w:r>
      <w:proofErr w:type="gramStart"/>
      <w:r w:rsidRPr="00F67F43">
        <w:rPr>
          <w:color w:val="0F1115"/>
        </w:rPr>
        <w:t>Federal Democratic Republic of Ethiopia.</w:t>
      </w:r>
      <w:proofErr w:type="gramEnd"/>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proofErr w:type="gramStart"/>
      <w:r w:rsidRPr="008B7D4C">
        <w:rPr>
          <w:color w:val="0F1115"/>
        </w:rPr>
        <w:lastRenderedPageBreak/>
        <w:t xml:space="preserve">Ford, J. D., King, N., &amp; </w:t>
      </w:r>
      <w:proofErr w:type="spellStart"/>
      <w:r w:rsidRPr="008B7D4C">
        <w:rPr>
          <w:color w:val="0F1115"/>
        </w:rPr>
        <w:t>Galappaththi</w:t>
      </w:r>
      <w:proofErr w:type="spellEnd"/>
      <w:r w:rsidRPr="008B7D4C">
        <w:rPr>
          <w:color w:val="0F1115"/>
        </w:rPr>
        <w:t>, E. K. (2020).</w:t>
      </w:r>
      <w:proofErr w:type="gramEnd"/>
      <w:r w:rsidRPr="008B7D4C">
        <w:rPr>
          <w:color w:val="0F1115"/>
        </w:rPr>
        <w:t xml:space="preserve"> </w:t>
      </w:r>
      <w:proofErr w:type="gramStart"/>
      <w:r w:rsidRPr="008B7D4C">
        <w:rPr>
          <w:color w:val="0F1115"/>
        </w:rPr>
        <w:t>The resilience of Indigenous Peoples to environmental change.</w:t>
      </w:r>
      <w:proofErr w:type="gramEnd"/>
      <w:r w:rsidRPr="008B7D4C">
        <w:rPr>
          <w:color w:val="0F1115"/>
        </w:rPr>
        <w:t> </w:t>
      </w:r>
      <w:r w:rsidRPr="008B7D4C">
        <w:rPr>
          <w:rStyle w:val="Emphasis"/>
          <w:color w:val="0F1115"/>
        </w:rPr>
        <w:t>One Earth</w:t>
      </w:r>
      <w:r w:rsidRPr="008B7D4C">
        <w:rPr>
          <w:color w:val="0F1115"/>
        </w:rPr>
        <w:t>, 2(6), 532-543.</w:t>
      </w:r>
    </w:p>
    <w:p w:rsidR="00A076FC" w:rsidRPr="0064146F" w:rsidRDefault="00A076FC" w:rsidP="00A076FC">
      <w:pPr>
        <w:pStyle w:val="NormalWeb"/>
        <w:spacing w:line="276" w:lineRule="auto"/>
        <w:jc w:val="both"/>
      </w:pPr>
      <w:proofErr w:type="spellStart"/>
      <w:proofErr w:type="gramStart"/>
      <w:r w:rsidRPr="0064146F">
        <w:t>Getahun</w:t>
      </w:r>
      <w:proofErr w:type="spellEnd"/>
      <w:r w:rsidRPr="0064146F">
        <w:t xml:space="preserve">, A., </w:t>
      </w:r>
      <w:proofErr w:type="spellStart"/>
      <w:r w:rsidRPr="0064146F">
        <w:t>Assefa</w:t>
      </w:r>
      <w:proofErr w:type="spellEnd"/>
      <w:r w:rsidRPr="0064146F">
        <w:t xml:space="preserve">, A., &amp; </w:t>
      </w:r>
      <w:proofErr w:type="spellStart"/>
      <w:r w:rsidRPr="0064146F">
        <w:t>Tesfaye</w:t>
      </w:r>
      <w:proofErr w:type="spellEnd"/>
      <w:r w:rsidRPr="0064146F">
        <w:t>, G. (2025).</w:t>
      </w:r>
      <w:proofErr w:type="gramEnd"/>
      <w:r w:rsidRPr="0064146F">
        <w:t xml:space="preserve"> Impact of climate change on human health: A qualitative study in Ethiopia. </w:t>
      </w:r>
      <w:proofErr w:type="spellStart"/>
      <w:proofErr w:type="gramStart"/>
      <w:r w:rsidRPr="0064146F">
        <w:rPr>
          <w:rStyle w:val="Emphasis"/>
        </w:rPr>
        <w:t>medRxiv</w:t>
      </w:r>
      <w:proofErr w:type="spellEnd"/>
      <w:proofErr w:type="gramEnd"/>
      <w:r w:rsidRPr="0064146F">
        <w:t xml:space="preserve">. </w:t>
      </w:r>
      <w:hyperlink r:id="rId27" w:tgtFrame="_blank" w:history="1">
        <w:r w:rsidRPr="0064146F">
          <w:rPr>
            <w:rStyle w:val="Hyperlink"/>
          </w:rPr>
          <w:t>https://doi.org/10.1101/2025.04.26.25326478</w:t>
        </w:r>
      </w:hyperlink>
    </w:p>
    <w:p w:rsidR="001503C8" w:rsidRPr="00B33A7B" w:rsidRDefault="001503C8" w:rsidP="001503C8">
      <w:pPr>
        <w:pStyle w:val="NormalWeb"/>
        <w:spacing w:line="276" w:lineRule="auto"/>
        <w:jc w:val="both"/>
      </w:pPr>
      <w:proofErr w:type="gramStart"/>
      <w:r w:rsidRPr="00B33A7B">
        <w:t>GIZ.</w:t>
      </w:r>
      <w:proofErr w:type="gramEnd"/>
      <w:r w:rsidRPr="00B33A7B">
        <w:t xml:space="preserve"> (2021). </w:t>
      </w:r>
      <w:r w:rsidRPr="00B33A7B">
        <w:rPr>
          <w:rStyle w:val="Emphasis"/>
        </w:rPr>
        <w:t>Climate risk profile: Ethiopia</w:t>
      </w:r>
      <w:r w:rsidRPr="00B33A7B">
        <w:t xml:space="preserve">. </w:t>
      </w:r>
      <w:hyperlink r:id="rId28" w:tgtFrame="_blank" w:history="1">
        <w:r w:rsidRPr="00B33A7B">
          <w:rPr>
            <w:rStyle w:val="Hyperlink"/>
          </w:rPr>
          <w:t>https://www.adaptationcommunity.net/wp-content/uploads/2021/02/GIZ_Climate-risk-profile-Ethiopia_EN_final.pdf</w:t>
        </w:r>
      </w:hyperlink>
    </w:p>
    <w:p w:rsidR="001503C8" w:rsidRPr="00B33A7B" w:rsidRDefault="001503C8" w:rsidP="001503C8">
      <w:pPr>
        <w:pStyle w:val="NormalWeb"/>
        <w:spacing w:line="276" w:lineRule="auto"/>
        <w:jc w:val="both"/>
      </w:pPr>
      <w:proofErr w:type="gramStart"/>
      <w:r w:rsidRPr="00B33A7B">
        <w:t>IISD.</w:t>
      </w:r>
      <w:proofErr w:type="gramEnd"/>
      <w:r w:rsidRPr="00B33A7B">
        <w:t xml:space="preserve"> </w:t>
      </w:r>
      <w:proofErr w:type="gramStart"/>
      <w:r w:rsidRPr="00B33A7B">
        <w:t xml:space="preserve">(2024). </w:t>
      </w:r>
      <w:r w:rsidRPr="00B33A7B">
        <w:rPr>
          <w:rStyle w:val="Emphasis"/>
        </w:rPr>
        <w:t>Tackling flash floods, urban heat, and other climate change threats in three sub-Saharan African cities</w:t>
      </w:r>
      <w:r w:rsidRPr="00B33A7B">
        <w:t>.</w:t>
      </w:r>
      <w:proofErr w:type="gramEnd"/>
      <w:r w:rsidRPr="00B33A7B">
        <w:t xml:space="preserve"> </w:t>
      </w:r>
      <w:hyperlink r:id="rId29" w:tgtFrame="_blank" w:history="1">
        <w:r w:rsidRPr="00B33A7B">
          <w:rPr>
            <w:rStyle w:val="Hyperlink"/>
          </w:rPr>
          <w:t>https://reliefweb.int/report/ethiopia/tackling-flash-floods-urban-heat-and-other-climate-change-threats-three-sub-saharan-african-cities</w:t>
        </w:r>
      </w:hyperlink>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International Institute for Sustainable Development (IISD).</w:t>
      </w:r>
      <w:proofErr w:type="gramEnd"/>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sz w:val="24"/>
          <w:szCs w:val="24"/>
        </w:rPr>
        <w:t xml:space="preserve">(2024). </w:t>
      </w:r>
      <w:r w:rsidRPr="00857AC4">
        <w:rPr>
          <w:rFonts w:ascii="Times New Roman" w:eastAsia="Times New Roman" w:hAnsi="Times New Roman" w:cs="Times New Roman"/>
          <w:i/>
          <w:iCs/>
          <w:sz w:val="24"/>
          <w:szCs w:val="24"/>
        </w:rPr>
        <w:t>Tackling flash floods, urban heat, and other climate change threats in three sub-Saharan African cities</w:t>
      </w:r>
      <w:r w:rsidRPr="00857AC4">
        <w:rPr>
          <w:rFonts w:ascii="Times New Roman" w:eastAsia="Times New Roman" w:hAnsi="Times New Roman" w:cs="Times New Roman"/>
          <w:sz w:val="24"/>
          <w:szCs w:val="24"/>
        </w:rPr>
        <w:t>.</w:t>
      </w:r>
      <w:proofErr w:type="gramEnd"/>
      <w:r w:rsidRPr="00857AC4">
        <w:rPr>
          <w:rFonts w:ascii="Times New Roman" w:eastAsia="Times New Roman" w:hAnsi="Times New Roman" w:cs="Times New Roman"/>
          <w:sz w:val="24"/>
          <w:szCs w:val="24"/>
        </w:rPr>
        <w:t xml:space="preserve"> Retrieved from </w:t>
      </w:r>
      <w:hyperlink r:id="rId30" w:tgtFrame="_blank" w:history="1">
        <w:r w:rsidRPr="00857AC4">
          <w:rPr>
            <w:rFonts w:ascii="Times New Roman" w:eastAsia="Times New Roman" w:hAnsi="Times New Roman" w:cs="Times New Roman"/>
            <w:color w:val="0000FF"/>
            <w:sz w:val="24"/>
            <w:szCs w:val="24"/>
            <w:u w:val="single"/>
          </w:rPr>
          <w:t>https://reliefweb.int/report/ethiopia/tackling-flash-floods-urban-heat-and-other-climate-change-threats-three-sub-saharan-african-cities</w:t>
        </w:r>
      </w:hyperlink>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gramStart"/>
      <w:r w:rsidRPr="00F67F43">
        <w:rPr>
          <w:color w:val="0F1115"/>
        </w:rPr>
        <w:t>IPCC.</w:t>
      </w:r>
      <w:proofErr w:type="gramEnd"/>
      <w:r w:rsidRPr="00F67F43">
        <w:rPr>
          <w:color w:val="0F1115"/>
        </w:rPr>
        <w:t xml:space="preserve"> (2022). </w:t>
      </w:r>
      <w:r w:rsidRPr="00F67F43">
        <w:rPr>
          <w:rStyle w:val="Emphasis"/>
          <w:color w:val="0F1115"/>
        </w:rPr>
        <w:t>Climate change 2022: Impacts, adaptation and vulnerability</w:t>
      </w:r>
      <w:r w:rsidRPr="00F67F43">
        <w:rPr>
          <w:color w:val="0F1115"/>
        </w:rPr>
        <w:t xml:space="preserve">. </w:t>
      </w:r>
      <w:proofErr w:type="gramStart"/>
      <w:r w:rsidRPr="00F67F43">
        <w:rPr>
          <w:color w:val="0F1115"/>
        </w:rPr>
        <w:t>Contribution of Working Group II to the Sixth Assessment Report of the Intergovernmental Panel on Climate Change.</w:t>
      </w:r>
      <w:proofErr w:type="gramEnd"/>
      <w:r w:rsidRPr="00F67F43">
        <w:rPr>
          <w:color w:val="0F1115"/>
        </w:rPr>
        <w:t xml:space="preserve"> </w:t>
      </w:r>
      <w:proofErr w:type="gramStart"/>
      <w:r w:rsidRPr="00F67F43">
        <w:rPr>
          <w:color w:val="0F1115"/>
        </w:rPr>
        <w:t>Cambridge University Press.</w:t>
      </w:r>
      <w:proofErr w:type="gramEnd"/>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spellStart"/>
      <w:proofErr w:type="gramStart"/>
      <w:r w:rsidRPr="00857AC4">
        <w:rPr>
          <w:rFonts w:ascii="Times New Roman" w:eastAsia="Times New Roman" w:hAnsi="Times New Roman" w:cs="Times New Roman"/>
          <w:sz w:val="24"/>
          <w:szCs w:val="24"/>
        </w:rPr>
        <w:t>Kasim</w:t>
      </w:r>
      <w:proofErr w:type="spellEnd"/>
      <w:r w:rsidRPr="00857AC4">
        <w:rPr>
          <w:rFonts w:ascii="Times New Roman" w:eastAsia="Times New Roman" w:hAnsi="Times New Roman" w:cs="Times New Roman"/>
          <w:sz w:val="24"/>
          <w:szCs w:val="24"/>
        </w:rPr>
        <w:t xml:space="preserve">, O. F., </w:t>
      </w:r>
      <w:proofErr w:type="spellStart"/>
      <w:r w:rsidRPr="00857AC4">
        <w:rPr>
          <w:rFonts w:ascii="Times New Roman" w:eastAsia="Times New Roman" w:hAnsi="Times New Roman" w:cs="Times New Roman"/>
          <w:sz w:val="24"/>
          <w:szCs w:val="24"/>
        </w:rPr>
        <w:t>Abshare</w:t>
      </w:r>
      <w:proofErr w:type="spellEnd"/>
      <w:r w:rsidRPr="00857AC4">
        <w:rPr>
          <w:rFonts w:ascii="Times New Roman" w:eastAsia="Times New Roman" w:hAnsi="Times New Roman" w:cs="Times New Roman"/>
          <w:sz w:val="24"/>
          <w:szCs w:val="24"/>
        </w:rPr>
        <w:t xml:space="preserve">, M. W., &amp; </w:t>
      </w:r>
      <w:proofErr w:type="spellStart"/>
      <w:r w:rsidRPr="00857AC4">
        <w:rPr>
          <w:rFonts w:ascii="Times New Roman" w:eastAsia="Times New Roman" w:hAnsi="Times New Roman" w:cs="Times New Roman"/>
          <w:sz w:val="24"/>
          <w:szCs w:val="24"/>
        </w:rPr>
        <w:t>Agbola</w:t>
      </w:r>
      <w:proofErr w:type="spellEnd"/>
      <w:r w:rsidRPr="00857AC4">
        <w:rPr>
          <w:rFonts w:ascii="Times New Roman" w:eastAsia="Times New Roman" w:hAnsi="Times New Roman" w:cs="Times New Roman"/>
          <w:sz w:val="24"/>
          <w:szCs w:val="24"/>
        </w:rPr>
        <w:t>, S. B. (2018).</w:t>
      </w:r>
      <w:proofErr w:type="gramEnd"/>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sz w:val="24"/>
          <w:szCs w:val="24"/>
        </w:rPr>
        <w:t>Analysis of air quality in Dire Dawa, Ethiopia.</w:t>
      </w:r>
      <w:proofErr w:type="gramEnd"/>
      <w:r w:rsidRPr="00857AC4">
        <w:rPr>
          <w:rFonts w:ascii="Times New Roman" w:eastAsia="Times New Roman" w:hAnsi="Times New Roman" w:cs="Times New Roman"/>
          <w:sz w:val="24"/>
          <w:szCs w:val="24"/>
        </w:rPr>
        <w:t xml:space="preserve"> </w:t>
      </w:r>
      <w:r w:rsidRPr="00857AC4">
        <w:rPr>
          <w:rFonts w:ascii="Times New Roman" w:eastAsia="Times New Roman" w:hAnsi="Times New Roman" w:cs="Times New Roman"/>
          <w:i/>
          <w:iCs/>
          <w:sz w:val="24"/>
          <w:szCs w:val="24"/>
        </w:rPr>
        <w:t>Journal of the Air &amp; Waste Management Association, 68</w:t>
      </w:r>
      <w:r w:rsidRPr="00857AC4">
        <w:rPr>
          <w:rFonts w:ascii="Times New Roman" w:eastAsia="Times New Roman" w:hAnsi="Times New Roman" w:cs="Times New Roman"/>
          <w:sz w:val="24"/>
          <w:szCs w:val="24"/>
        </w:rPr>
        <w:t xml:space="preserve">(7), 801-811. </w:t>
      </w:r>
      <w:hyperlink r:id="rId31" w:tgtFrame="_blank" w:history="1">
        <w:r w:rsidRPr="00857AC4">
          <w:rPr>
            <w:rFonts w:ascii="Times New Roman" w:eastAsia="Times New Roman" w:hAnsi="Times New Roman" w:cs="Times New Roman"/>
            <w:color w:val="0000FF"/>
            <w:sz w:val="24"/>
            <w:szCs w:val="24"/>
            <w:u w:val="single"/>
          </w:rPr>
          <w:t>https://doi.org/10.1080/10962247.2017.1413020</w:t>
        </w:r>
      </w:hyperlink>
    </w:p>
    <w:p w:rsidR="00A076FC" w:rsidRPr="0064146F" w:rsidRDefault="00A076FC" w:rsidP="00A076FC">
      <w:pPr>
        <w:pStyle w:val="NormalWeb"/>
        <w:spacing w:line="276" w:lineRule="auto"/>
        <w:jc w:val="both"/>
      </w:pPr>
      <w:proofErr w:type="gramStart"/>
      <w:r w:rsidRPr="0064146F">
        <w:t>Lancet Countdown.</w:t>
      </w:r>
      <w:proofErr w:type="gramEnd"/>
      <w:r w:rsidRPr="0064146F">
        <w:t xml:space="preserve"> (2025). </w:t>
      </w:r>
      <w:r w:rsidRPr="0064146F">
        <w:rPr>
          <w:rStyle w:val="Emphasis"/>
        </w:rPr>
        <w:t>Ethiopia: Information sheet on climate change, air pollution, and health</w:t>
      </w:r>
      <w:r w:rsidRPr="0064146F">
        <w:t xml:space="preserve">. </w:t>
      </w:r>
      <w:hyperlink r:id="rId32" w:tgtFrame="_blank" w:history="1">
        <w:r w:rsidRPr="0064146F">
          <w:rPr>
            <w:rStyle w:val="Hyperlink"/>
          </w:rPr>
          <w:t>https://lancetcountdown.org/wp-content/uploads/2025/09/Ethiopia_Info-Sheet_Lancet-Countdown.pdf</w:t>
        </w:r>
      </w:hyperlink>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proofErr w:type="spellStart"/>
      <w:proofErr w:type="gramStart"/>
      <w:r w:rsidRPr="008B7D4C">
        <w:rPr>
          <w:color w:val="0F1115"/>
        </w:rPr>
        <w:t>Lesnikowski</w:t>
      </w:r>
      <w:proofErr w:type="spellEnd"/>
      <w:r w:rsidRPr="008B7D4C">
        <w:rPr>
          <w:color w:val="0F1115"/>
        </w:rPr>
        <w:t xml:space="preserve">, A., Ford, J., &amp; </w:t>
      </w:r>
      <w:proofErr w:type="spellStart"/>
      <w:r w:rsidRPr="008B7D4C">
        <w:rPr>
          <w:color w:val="0F1115"/>
        </w:rPr>
        <w:t>Biesbroek</w:t>
      </w:r>
      <w:proofErr w:type="spellEnd"/>
      <w:r w:rsidRPr="008B7D4C">
        <w:rPr>
          <w:color w:val="0F1115"/>
        </w:rPr>
        <w:t>, R. (2019).</w:t>
      </w:r>
      <w:proofErr w:type="gramEnd"/>
      <w:r w:rsidRPr="008B7D4C">
        <w:rPr>
          <w:color w:val="0F1115"/>
        </w:rPr>
        <w:t xml:space="preserve"> Policy implementation styles and local governments: The case of climate change adaptation. </w:t>
      </w:r>
      <w:r w:rsidRPr="008B7D4C">
        <w:rPr>
          <w:rStyle w:val="Emphasis"/>
          <w:color w:val="0F1115"/>
        </w:rPr>
        <w:t>Environmental Politics</w:t>
      </w:r>
      <w:r w:rsidRPr="008B7D4C">
        <w:rPr>
          <w:color w:val="0F1115"/>
        </w:rPr>
        <w:t>, 28(2), 216-238.</w:t>
      </w:r>
    </w:p>
    <w:p w:rsidR="001503C8" w:rsidRDefault="00857AC4" w:rsidP="00857AC4">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Ministry of Health, Addis Ababa.</w:t>
      </w:r>
      <w:proofErr w:type="gramEnd"/>
      <w:r w:rsidRPr="00857AC4">
        <w:rPr>
          <w:rFonts w:ascii="Times New Roman" w:eastAsia="Times New Roman" w:hAnsi="Times New Roman" w:cs="Times New Roman"/>
          <w:sz w:val="24"/>
          <w:szCs w:val="24"/>
        </w:rPr>
        <w:t xml:space="preserve"> (2024). </w:t>
      </w:r>
      <w:r w:rsidRPr="00857AC4">
        <w:rPr>
          <w:rFonts w:ascii="Times New Roman" w:eastAsia="Times New Roman" w:hAnsi="Times New Roman" w:cs="Times New Roman"/>
          <w:i/>
          <w:iCs/>
          <w:sz w:val="24"/>
          <w:szCs w:val="24"/>
        </w:rPr>
        <w:t>Health National Adaptation Plan-II (2024-2028) Revised Version</w:t>
      </w:r>
      <w:r w:rsidRPr="00857AC4">
        <w:rPr>
          <w:rFonts w:ascii="Times New Roman" w:eastAsia="Times New Roman" w:hAnsi="Times New Roman" w:cs="Times New Roman"/>
          <w:sz w:val="24"/>
          <w:szCs w:val="24"/>
        </w:rPr>
        <w:t xml:space="preserve">. Retrieved from </w:t>
      </w:r>
      <w:hyperlink r:id="rId33" w:tgtFrame="_blank" w:history="1">
        <w:r w:rsidRPr="00857AC4">
          <w:rPr>
            <w:rFonts w:ascii="Times New Roman" w:eastAsia="Times New Roman" w:hAnsi="Times New Roman" w:cs="Times New Roman"/>
            <w:color w:val="0000FF"/>
            <w:sz w:val="24"/>
            <w:szCs w:val="24"/>
            <w:u w:val="single"/>
          </w:rPr>
          <w:t>https://www.atachcommunity.com/fileadmin/uploads/atach/Documents/Country_documents/Ethiopia_HNAP_II.pdf</w:t>
        </w:r>
      </w:hyperlink>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spellStart"/>
      <w:proofErr w:type="gramStart"/>
      <w:r w:rsidRPr="00F67F43">
        <w:rPr>
          <w:color w:val="0F1115"/>
        </w:rPr>
        <w:t>Mengiste</w:t>
      </w:r>
      <w:proofErr w:type="spellEnd"/>
      <w:r w:rsidRPr="00F67F43">
        <w:rPr>
          <w:color w:val="0F1115"/>
        </w:rPr>
        <w:t xml:space="preserve">, A., </w:t>
      </w:r>
      <w:proofErr w:type="spellStart"/>
      <w:r w:rsidRPr="00F67F43">
        <w:rPr>
          <w:color w:val="0F1115"/>
        </w:rPr>
        <w:t>Asfaw</w:t>
      </w:r>
      <w:proofErr w:type="spellEnd"/>
      <w:r w:rsidRPr="00F67F43">
        <w:rPr>
          <w:color w:val="0F1115"/>
        </w:rPr>
        <w:t xml:space="preserve">, D., &amp; </w:t>
      </w:r>
      <w:proofErr w:type="spellStart"/>
      <w:r w:rsidRPr="00F67F43">
        <w:rPr>
          <w:color w:val="0F1115"/>
        </w:rPr>
        <w:t>Terefe</w:t>
      </w:r>
      <w:proofErr w:type="spellEnd"/>
      <w:r w:rsidRPr="00F67F43">
        <w:rPr>
          <w:color w:val="0F1115"/>
        </w:rPr>
        <w:t>, B. (2020).</w:t>
      </w:r>
      <w:proofErr w:type="gramEnd"/>
      <w:r w:rsidRPr="00F67F43">
        <w:rPr>
          <w:color w:val="0F1115"/>
        </w:rPr>
        <w:t xml:space="preserve"> </w:t>
      </w:r>
      <w:proofErr w:type="gramStart"/>
      <w:r w:rsidRPr="00F67F43">
        <w:rPr>
          <w:color w:val="0F1115"/>
        </w:rPr>
        <w:t>Urban heat island effect and its health implications in Dire Dawa city, Ethiopia.</w:t>
      </w:r>
      <w:proofErr w:type="gramEnd"/>
      <w:r w:rsidRPr="00F67F43">
        <w:rPr>
          <w:color w:val="0F1115"/>
        </w:rPr>
        <w:t> </w:t>
      </w:r>
      <w:proofErr w:type="gramStart"/>
      <w:r w:rsidRPr="00F67F43">
        <w:rPr>
          <w:rStyle w:val="Emphasis"/>
          <w:color w:val="0F1115"/>
        </w:rPr>
        <w:t>Journal of Environmental and Public Health</w:t>
      </w:r>
      <w:r w:rsidRPr="00F67F43">
        <w:rPr>
          <w:color w:val="0F1115"/>
        </w:rPr>
        <w:t>, 2020, 8812347.</w:t>
      </w:r>
      <w:proofErr w:type="gramEnd"/>
    </w:p>
    <w:p w:rsidR="00A076FC" w:rsidRPr="0064146F" w:rsidRDefault="00A076FC" w:rsidP="00A076FC">
      <w:pPr>
        <w:pStyle w:val="NormalWeb"/>
        <w:spacing w:line="276" w:lineRule="auto"/>
        <w:jc w:val="both"/>
      </w:pPr>
      <w:r w:rsidRPr="0064146F">
        <w:lastRenderedPageBreak/>
        <w:t xml:space="preserve">NAP Global Network. </w:t>
      </w:r>
      <w:proofErr w:type="gramStart"/>
      <w:r w:rsidRPr="0064146F">
        <w:t xml:space="preserve">(2025). </w:t>
      </w:r>
      <w:proofErr w:type="spellStart"/>
      <w:r w:rsidRPr="0064146F">
        <w:rPr>
          <w:rStyle w:val="Emphasis"/>
        </w:rPr>
        <w:t>Stocktake</w:t>
      </w:r>
      <w:proofErr w:type="spellEnd"/>
      <w:r w:rsidRPr="0064146F">
        <w:rPr>
          <w:rStyle w:val="Emphasis"/>
        </w:rPr>
        <w:t xml:space="preserve"> of climate change adaptation interventions in Ethiopia</w:t>
      </w:r>
      <w:r w:rsidRPr="0064146F">
        <w:t>.</w:t>
      </w:r>
      <w:proofErr w:type="gramEnd"/>
      <w:r w:rsidRPr="0064146F">
        <w:t xml:space="preserve"> </w:t>
      </w:r>
      <w:hyperlink r:id="rId34" w:tgtFrame="_blank" w:history="1">
        <w:r w:rsidRPr="0064146F">
          <w:rPr>
            <w:rStyle w:val="Hyperlink"/>
          </w:rPr>
          <w:t>https://napglobalnetwork.org/wp-content/uploads/2025/04/ethiopia-stocktake-climate-change-adaptation-last-final.pdf</w:t>
        </w:r>
      </w:hyperlink>
    </w:p>
    <w:p w:rsidR="001503C8" w:rsidRPr="00B33A7B" w:rsidRDefault="001503C8" w:rsidP="001503C8">
      <w:pPr>
        <w:pStyle w:val="NormalWeb"/>
        <w:spacing w:line="276" w:lineRule="auto"/>
        <w:jc w:val="both"/>
      </w:pPr>
      <w:proofErr w:type="spellStart"/>
      <w:proofErr w:type="gramStart"/>
      <w:r w:rsidRPr="00B33A7B">
        <w:t>PreventionWeb</w:t>
      </w:r>
      <w:proofErr w:type="spellEnd"/>
      <w:r w:rsidRPr="00B33A7B">
        <w:t>.</w:t>
      </w:r>
      <w:proofErr w:type="gramEnd"/>
      <w:r w:rsidRPr="00B33A7B">
        <w:t xml:space="preserve"> (2024). </w:t>
      </w:r>
      <w:r w:rsidRPr="00B33A7B">
        <w:rPr>
          <w:rStyle w:val="Emphasis"/>
        </w:rPr>
        <w:t>Climate and health vulnerability assessment: Ethiopia</w:t>
      </w:r>
      <w:r w:rsidRPr="00B33A7B">
        <w:t xml:space="preserve">. </w:t>
      </w:r>
      <w:hyperlink r:id="rId35" w:tgtFrame="_blank" w:history="1">
        <w:r w:rsidRPr="00B33A7B">
          <w:rPr>
            <w:rStyle w:val="Hyperlink"/>
          </w:rPr>
          <w:t>https://www.preventionweb.net/media/98085/download</w:t>
        </w:r>
      </w:hyperlink>
    </w:p>
    <w:p w:rsidR="001503C8" w:rsidRPr="00857AC4" w:rsidRDefault="001503C8" w:rsidP="001503C8">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Red Cross Red Crescent Climate Centre.</w:t>
      </w:r>
      <w:proofErr w:type="gramEnd"/>
      <w:r w:rsidRPr="00857AC4">
        <w:rPr>
          <w:rFonts w:ascii="Times New Roman" w:eastAsia="Times New Roman" w:hAnsi="Times New Roman" w:cs="Times New Roman"/>
          <w:sz w:val="24"/>
          <w:szCs w:val="24"/>
        </w:rPr>
        <w:t xml:space="preserve"> (2021). </w:t>
      </w:r>
      <w:r w:rsidRPr="00857AC4">
        <w:rPr>
          <w:rFonts w:ascii="Times New Roman" w:eastAsia="Times New Roman" w:hAnsi="Times New Roman" w:cs="Times New Roman"/>
          <w:i/>
          <w:iCs/>
          <w:sz w:val="24"/>
          <w:szCs w:val="24"/>
        </w:rPr>
        <w:t>Climate change impacts on health: Ethiopia assessment</w:t>
      </w:r>
      <w:r w:rsidRPr="00857AC4">
        <w:rPr>
          <w:rFonts w:ascii="Times New Roman" w:eastAsia="Times New Roman" w:hAnsi="Times New Roman" w:cs="Times New Roman"/>
          <w:sz w:val="24"/>
          <w:szCs w:val="24"/>
        </w:rPr>
        <w:t xml:space="preserve">. Retrieved from </w:t>
      </w:r>
      <w:hyperlink r:id="rId36" w:tgtFrame="_blank" w:history="1">
        <w:r w:rsidRPr="00857AC4">
          <w:rPr>
            <w:rFonts w:ascii="Times New Roman" w:eastAsia="Times New Roman" w:hAnsi="Times New Roman" w:cs="Times New Roman"/>
            <w:color w:val="0000FF"/>
            <w:sz w:val="24"/>
            <w:szCs w:val="24"/>
            <w:u w:val="single"/>
          </w:rPr>
          <w:t>https://www.climatecentre.org/wp-content/uploads/RCRC_IFRC-Country-assessments-Ethiopia-Final3.pdf</w:t>
        </w:r>
      </w:hyperlink>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spellStart"/>
      <w:r w:rsidRPr="00857AC4">
        <w:rPr>
          <w:rFonts w:ascii="Times New Roman" w:eastAsia="Times New Roman" w:hAnsi="Times New Roman" w:cs="Times New Roman"/>
          <w:sz w:val="24"/>
          <w:szCs w:val="24"/>
        </w:rPr>
        <w:t>Simane</w:t>
      </w:r>
      <w:proofErr w:type="spellEnd"/>
      <w:r w:rsidRPr="00857AC4">
        <w:rPr>
          <w:rFonts w:ascii="Times New Roman" w:eastAsia="Times New Roman" w:hAnsi="Times New Roman" w:cs="Times New Roman"/>
          <w:sz w:val="24"/>
          <w:szCs w:val="24"/>
        </w:rPr>
        <w:t xml:space="preserve">, B., </w:t>
      </w:r>
      <w:proofErr w:type="spellStart"/>
      <w:r w:rsidRPr="00857AC4">
        <w:rPr>
          <w:rFonts w:ascii="Times New Roman" w:eastAsia="Times New Roman" w:hAnsi="Times New Roman" w:cs="Times New Roman"/>
          <w:sz w:val="24"/>
          <w:szCs w:val="24"/>
        </w:rPr>
        <w:t>Beyene</w:t>
      </w:r>
      <w:proofErr w:type="spellEnd"/>
      <w:r w:rsidRPr="00857AC4">
        <w:rPr>
          <w:rFonts w:ascii="Times New Roman" w:eastAsia="Times New Roman" w:hAnsi="Times New Roman" w:cs="Times New Roman"/>
          <w:sz w:val="24"/>
          <w:szCs w:val="24"/>
        </w:rPr>
        <w:t xml:space="preserve">, H., </w:t>
      </w:r>
      <w:proofErr w:type="spellStart"/>
      <w:r w:rsidRPr="00857AC4">
        <w:rPr>
          <w:rFonts w:ascii="Times New Roman" w:eastAsia="Times New Roman" w:hAnsi="Times New Roman" w:cs="Times New Roman"/>
          <w:sz w:val="24"/>
          <w:szCs w:val="24"/>
        </w:rPr>
        <w:t>Deressa</w:t>
      </w:r>
      <w:proofErr w:type="spellEnd"/>
      <w:r w:rsidRPr="00857AC4">
        <w:rPr>
          <w:rFonts w:ascii="Times New Roman" w:eastAsia="Times New Roman" w:hAnsi="Times New Roman" w:cs="Times New Roman"/>
          <w:sz w:val="24"/>
          <w:szCs w:val="24"/>
        </w:rPr>
        <w:t xml:space="preserve">, W., </w:t>
      </w:r>
      <w:proofErr w:type="spellStart"/>
      <w:r w:rsidRPr="00857AC4">
        <w:rPr>
          <w:rFonts w:ascii="Times New Roman" w:eastAsia="Times New Roman" w:hAnsi="Times New Roman" w:cs="Times New Roman"/>
          <w:sz w:val="24"/>
          <w:szCs w:val="24"/>
        </w:rPr>
        <w:t>Kumie</w:t>
      </w:r>
      <w:proofErr w:type="spellEnd"/>
      <w:r w:rsidRPr="00857AC4">
        <w:rPr>
          <w:rFonts w:ascii="Times New Roman" w:eastAsia="Times New Roman" w:hAnsi="Times New Roman" w:cs="Times New Roman"/>
          <w:sz w:val="24"/>
          <w:szCs w:val="24"/>
        </w:rPr>
        <w:t xml:space="preserve">, A., </w:t>
      </w:r>
      <w:proofErr w:type="spellStart"/>
      <w:r w:rsidRPr="00857AC4">
        <w:rPr>
          <w:rFonts w:ascii="Times New Roman" w:eastAsia="Times New Roman" w:hAnsi="Times New Roman" w:cs="Times New Roman"/>
          <w:sz w:val="24"/>
          <w:szCs w:val="24"/>
        </w:rPr>
        <w:t>Berhane</w:t>
      </w:r>
      <w:proofErr w:type="spellEnd"/>
      <w:r w:rsidRPr="00857AC4">
        <w:rPr>
          <w:rFonts w:ascii="Times New Roman" w:eastAsia="Times New Roman" w:hAnsi="Times New Roman" w:cs="Times New Roman"/>
          <w:sz w:val="24"/>
          <w:szCs w:val="24"/>
        </w:rPr>
        <w:t xml:space="preserve">, K., &amp; </w:t>
      </w:r>
      <w:proofErr w:type="spellStart"/>
      <w:r w:rsidRPr="00857AC4">
        <w:rPr>
          <w:rFonts w:ascii="Times New Roman" w:eastAsia="Times New Roman" w:hAnsi="Times New Roman" w:cs="Times New Roman"/>
          <w:sz w:val="24"/>
          <w:szCs w:val="24"/>
        </w:rPr>
        <w:t>Samet</w:t>
      </w:r>
      <w:proofErr w:type="spellEnd"/>
      <w:r w:rsidRPr="00857AC4">
        <w:rPr>
          <w:rFonts w:ascii="Times New Roman" w:eastAsia="Times New Roman" w:hAnsi="Times New Roman" w:cs="Times New Roman"/>
          <w:sz w:val="24"/>
          <w:szCs w:val="24"/>
        </w:rPr>
        <w:t xml:space="preserve">, J. (2016). Review of climate change and health in Ethiopia: Status and gap analysis. </w:t>
      </w:r>
      <w:r w:rsidRPr="00857AC4">
        <w:rPr>
          <w:rFonts w:ascii="Times New Roman" w:eastAsia="Times New Roman" w:hAnsi="Times New Roman" w:cs="Times New Roman"/>
          <w:i/>
          <w:iCs/>
          <w:sz w:val="24"/>
          <w:szCs w:val="24"/>
        </w:rPr>
        <w:t>Ethiopian Journal of Health Development, 30</w:t>
      </w:r>
      <w:r w:rsidRPr="00857AC4">
        <w:rPr>
          <w:rFonts w:ascii="Times New Roman" w:eastAsia="Times New Roman" w:hAnsi="Times New Roman" w:cs="Times New Roman"/>
          <w:sz w:val="24"/>
          <w:szCs w:val="24"/>
        </w:rPr>
        <w:t xml:space="preserve">(1 Spec </w:t>
      </w:r>
      <w:proofErr w:type="spellStart"/>
      <w:r w:rsidRPr="00857AC4">
        <w:rPr>
          <w:rFonts w:ascii="Times New Roman" w:eastAsia="Times New Roman" w:hAnsi="Times New Roman" w:cs="Times New Roman"/>
          <w:sz w:val="24"/>
          <w:szCs w:val="24"/>
        </w:rPr>
        <w:t>Iss</w:t>
      </w:r>
      <w:proofErr w:type="spellEnd"/>
      <w:r w:rsidRPr="00857AC4">
        <w:rPr>
          <w:rFonts w:ascii="Times New Roman" w:eastAsia="Times New Roman" w:hAnsi="Times New Roman" w:cs="Times New Roman"/>
          <w:sz w:val="24"/>
          <w:szCs w:val="24"/>
        </w:rPr>
        <w:t xml:space="preserve">), 28–41. </w:t>
      </w:r>
      <w:hyperlink r:id="rId37" w:tgtFrame="_blank" w:history="1">
        <w:r w:rsidRPr="00857AC4">
          <w:rPr>
            <w:rFonts w:ascii="Times New Roman" w:eastAsia="Times New Roman" w:hAnsi="Times New Roman" w:cs="Times New Roman"/>
            <w:color w:val="0000FF"/>
            <w:sz w:val="24"/>
            <w:szCs w:val="24"/>
            <w:u w:val="single"/>
          </w:rPr>
          <w:t>https://www.ncbi.nlm.nih.gov/pmc/articles/PMC5578710/</w:t>
        </w:r>
      </w:hyperlink>
    </w:p>
    <w:p w:rsidR="00770BAE" w:rsidRPr="0064146F" w:rsidRDefault="00770BAE" w:rsidP="00770BAE">
      <w:pPr>
        <w:pStyle w:val="NormalWeb"/>
        <w:spacing w:line="276" w:lineRule="auto"/>
        <w:jc w:val="both"/>
      </w:pPr>
      <w:proofErr w:type="spellStart"/>
      <w:proofErr w:type="gramStart"/>
      <w:r w:rsidRPr="0064146F">
        <w:t>Tadesse</w:t>
      </w:r>
      <w:proofErr w:type="spellEnd"/>
      <w:r w:rsidRPr="0064146F">
        <w:t xml:space="preserve">, F. G., </w:t>
      </w:r>
      <w:proofErr w:type="spellStart"/>
      <w:r w:rsidRPr="0064146F">
        <w:t>Assefa</w:t>
      </w:r>
      <w:proofErr w:type="spellEnd"/>
      <w:r w:rsidRPr="0064146F">
        <w:t xml:space="preserve">, A., &amp; </w:t>
      </w:r>
      <w:proofErr w:type="spellStart"/>
      <w:r w:rsidRPr="0064146F">
        <w:t>Tesfaye</w:t>
      </w:r>
      <w:proofErr w:type="spellEnd"/>
      <w:r w:rsidRPr="0064146F">
        <w:t>, A. (2025).</w:t>
      </w:r>
      <w:proofErr w:type="gramEnd"/>
      <w:r w:rsidRPr="0064146F">
        <w:t xml:space="preserve"> Knowledge about the health impact of climate change and associated factors among women in Northeastern Ethiopia: A community-based cross-sectional study. </w:t>
      </w:r>
      <w:proofErr w:type="gramStart"/>
      <w:r w:rsidRPr="0064146F">
        <w:rPr>
          <w:rStyle w:val="Emphasis"/>
        </w:rPr>
        <w:t>Scientific Reports, 15</w:t>
      </w:r>
      <w:r w:rsidRPr="0064146F">
        <w:t>(1), 6235.</w:t>
      </w:r>
      <w:proofErr w:type="gramEnd"/>
      <w:r w:rsidRPr="0064146F">
        <w:t xml:space="preserve"> </w:t>
      </w:r>
      <w:hyperlink r:id="rId38" w:tgtFrame="_blank" w:history="1">
        <w:r w:rsidRPr="0064146F">
          <w:rPr>
            <w:rStyle w:val="Hyperlink"/>
          </w:rPr>
          <w:t>https://doi.org/10.1038/s41598-025-06235-y</w:t>
        </w:r>
      </w:hyperlink>
    </w:p>
    <w:p w:rsidR="00104B67" w:rsidRPr="00F67F43" w:rsidRDefault="00104B67" w:rsidP="00104B67">
      <w:pPr>
        <w:pStyle w:val="ds-markdown-paragraph"/>
        <w:shd w:val="clear" w:color="auto" w:fill="FFFFFF"/>
        <w:spacing w:before="240" w:beforeAutospacing="0" w:after="240" w:afterAutospacing="0" w:line="276" w:lineRule="auto"/>
        <w:jc w:val="both"/>
        <w:rPr>
          <w:color w:val="0F1115"/>
        </w:rPr>
      </w:pPr>
      <w:proofErr w:type="spellStart"/>
      <w:proofErr w:type="gramStart"/>
      <w:r w:rsidRPr="00F67F43">
        <w:rPr>
          <w:color w:val="0F1115"/>
        </w:rPr>
        <w:t>Taye</w:t>
      </w:r>
      <w:proofErr w:type="spellEnd"/>
      <w:r w:rsidRPr="00F67F43">
        <w:rPr>
          <w:color w:val="0F1115"/>
        </w:rPr>
        <w:t xml:space="preserve">, M., </w:t>
      </w:r>
      <w:proofErr w:type="spellStart"/>
      <w:r w:rsidRPr="00F67F43">
        <w:rPr>
          <w:color w:val="0F1115"/>
        </w:rPr>
        <w:t>Dinka</w:t>
      </w:r>
      <w:proofErr w:type="spellEnd"/>
      <w:r w:rsidRPr="00F67F43">
        <w:rPr>
          <w:color w:val="0F1115"/>
        </w:rPr>
        <w:t xml:space="preserve">, M. O., &amp; </w:t>
      </w:r>
      <w:proofErr w:type="spellStart"/>
      <w:r w:rsidRPr="00F67F43">
        <w:rPr>
          <w:color w:val="0F1115"/>
        </w:rPr>
        <w:t>Tsegaye</w:t>
      </w:r>
      <w:proofErr w:type="spellEnd"/>
      <w:r w:rsidRPr="00F67F43">
        <w:rPr>
          <w:color w:val="0F1115"/>
        </w:rPr>
        <w:t>, D. (2021).</w:t>
      </w:r>
      <w:proofErr w:type="gramEnd"/>
      <w:r w:rsidRPr="00F67F43">
        <w:rPr>
          <w:color w:val="0F1115"/>
        </w:rPr>
        <w:t xml:space="preserve"> Early warning systems for climate-sensitive diseases in Ethiopia: Challenges and opportunities. </w:t>
      </w:r>
      <w:proofErr w:type="gramStart"/>
      <w:r w:rsidRPr="00F67F43">
        <w:rPr>
          <w:rStyle w:val="Emphasis"/>
          <w:color w:val="0F1115"/>
        </w:rPr>
        <w:t>International Journal of Environmental Research and Public Health</w:t>
      </w:r>
      <w:r w:rsidRPr="00F67F43">
        <w:rPr>
          <w:color w:val="0F1115"/>
        </w:rPr>
        <w:t>, 18(16), 8421.</w:t>
      </w:r>
      <w:proofErr w:type="gramEnd"/>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spellStart"/>
      <w:proofErr w:type="gram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 &amp; </w:t>
      </w:r>
      <w:proofErr w:type="spellStart"/>
      <w:r w:rsidRPr="00857AC4">
        <w:rPr>
          <w:rFonts w:ascii="Times New Roman" w:eastAsia="Times New Roman" w:hAnsi="Times New Roman" w:cs="Times New Roman"/>
          <w:sz w:val="24"/>
          <w:szCs w:val="24"/>
        </w:rPr>
        <w:t>Bekele</w:t>
      </w:r>
      <w:proofErr w:type="spellEnd"/>
      <w:r w:rsidRPr="00857AC4">
        <w:rPr>
          <w:rFonts w:ascii="Times New Roman" w:eastAsia="Times New Roman" w:hAnsi="Times New Roman" w:cs="Times New Roman"/>
          <w:sz w:val="24"/>
          <w:szCs w:val="24"/>
        </w:rPr>
        <w:t>, G. (2023).</w:t>
      </w:r>
      <w:proofErr w:type="gramEnd"/>
      <w:r w:rsidRPr="00857AC4">
        <w:rPr>
          <w:rFonts w:ascii="Times New Roman" w:eastAsia="Times New Roman" w:hAnsi="Times New Roman" w:cs="Times New Roman"/>
          <w:sz w:val="24"/>
          <w:szCs w:val="24"/>
        </w:rPr>
        <w:t xml:space="preserve"> Water challenges of Dire Dawa city of Ethiopia: An assessment of urban growth and groundwater supply. </w:t>
      </w:r>
      <w:r w:rsidRPr="00857AC4">
        <w:rPr>
          <w:rFonts w:ascii="Times New Roman" w:eastAsia="Times New Roman" w:hAnsi="Times New Roman" w:cs="Times New Roman"/>
          <w:i/>
          <w:iCs/>
          <w:sz w:val="24"/>
          <w:szCs w:val="24"/>
        </w:rPr>
        <w:t>Environmental Challenges, 10</w:t>
      </w:r>
      <w:r w:rsidRPr="00857AC4">
        <w:rPr>
          <w:rFonts w:ascii="Times New Roman" w:eastAsia="Times New Roman" w:hAnsi="Times New Roman" w:cs="Times New Roman"/>
          <w:sz w:val="24"/>
          <w:szCs w:val="24"/>
        </w:rPr>
        <w:t xml:space="preserve">, Article 100738. </w:t>
      </w:r>
      <w:hyperlink r:id="rId39" w:tgtFrame="_blank" w:history="1">
        <w:r w:rsidRPr="00857AC4">
          <w:rPr>
            <w:rFonts w:ascii="Times New Roman" w:eastAsia="Times New Roman" w:hAnsi="Times New Roman" w:cs="Times New Roman"/>
            <w:color w:val="0000FF"/>
            <w:sz w:val="24"/>
            <w:szCs w:val="24"/>
            <w:u w:val="single"/>
          </w:rPr>
          <w:t>https://doi.org/10.1016/j.envc.2023.100738</w:t>
        </w:r>
      </w:hyperlink>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spellStart"/>
      <w:proofErr w:type="gram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 </w:t>
      </w:r>
      <w:proofErr w:type="spellStart"/>
      <w:r w:rsidRPr="00857AC4">
        <w:rPr>
          <w:rFonts w:ascii="Times New Roman" w:eastAsia="Times New Roman" w:hAnsi="Times New Roman" w:cs="Times New Roman"/>
          <w:sz w:val="24"/>
          <w:szCs w:val="24"/>
        </w:rPr>
        <w:t>Gebrehiwot</w:t>
      </w:r>
      <w:proofErr w:type="spellEnd"/>
      <w:r w:rsidRPr="00857AC4">
        <w:rPr>
          <w:rFonts w:ascii="Times New Roman" w:eastAsia="Times New Roman" w:hAnsi="Times New Roman" w:cs="Times New Roman"/>
          <w:sz w:val="24"/>
          <w:szCs w:val="24"/>
        </w:rPr>
        <w:t>, T., &amp; Belay, M. (2024).</w:t>
      </w:r>
      <w:proofErr w:type="gramEnd"/>
      <w:r w:rsidRPr="00857AC4">
        <w:rPr>
          <w:rFonts w:ascii="Times New Roman" w:eastAsia="Times New Roman" w:hAnsi="Times New Roman" w:cs="Times New Roman"/>
          <w:sz w:val="24"/>
          <w:szCs w:val="24"/>
        </w:rPr>
        <w:t xml:space="preserve"> Livelihood vulnerability to climate change health impacts among Amhara </w:t>
      </w:r>
      <w:proofErr w:type="spellStart"/>
      <w:r w:rsidRPr="00857AC4">
        <w:rPr>
          <w:rFonts w:ascii="Times New Roman" w:eastAsia="Times New Roman" w:hAnsi="Times New Roman" w:cs="Times New Roman"/>
          <w:sz w:val="24"/>
          <w:szCs w:val="24"/>
        </w:rPr>
        <w:t>Sayint</w:t>
      </w:r>
      <w:proofErr w:type="spellEnd"/>
      <w:r w:rsidRPr="00857AC4">
        <w:rPr>
          <w:rFonts w:ascii="Times New Roman" w:eastAsia="Times New Roman" w:hAnsi="Times New Roman" w:cs="Times New Roman"/>
          <w:sz w:val="24"/>
          <w:szCs w:val="24"/>
        </w:rPr>
        <w:t xml:space="preserve"> district community, northeastern Ethiopia: A composite index approach. </w:t>
      </w:r>
      <w:proofErr w:type="spellStart"/>
      <w:proofErr w:type="gramStart"/>
      <w:r w:rsidRPr="00857AC4">
        <w:rPr>
          <w:rFonts w:ascii="Times New Roman" w:eastAsia="Times New Roman" w:hAnsi="Times New Roman" w:cs="Times New Roman"/>
          <w:i/>
          <w:iCs/>
          <w:sz w:val="24"/>
          <w:szCs w:val="24"/>
        </w:rPr>
        <w:t>Heliyon</w:t>
      </w:r>
      <w:proofErr w:type="spellEnd"/>
      <w:r w:rsidRPr="00857AC4">
        <w:rPr>
          <w:rFonts w:ascii="Times New Roman" w:eastAsia="Times New Roman" w:hAnsi="Times New Roman" w:cs="Times New Roman"/>
          <w:i/>
          <w:iCs/>
          <w:sz w:val="24"/>
          <w:szCs w:val="24"/>
        </w:rPr>
        <w:t>, 10</w:t>
      </w:r>
      <w:r w:rsidRPr="00857AC4">
        <w:rPr>
          <w:rFonts w:ascii="Times New Roman" w:eastAsia="Times New Roman" w:hAnsi="Times New Roman" w:cs="Times New Roman"/>
          <w:sz w:val="24"/>
          <w:szCs w:val="24"/>
        </w:rPr>
        <w:t>(18), Article e38166.</w:t>
      </w:r>
      <w:proofErr w:type="gramEnd"/>
      <w:r w:rsidRPr="00857AC4">
        <w:rPr>
          <w:rFonts w:ascii="Times New Roman" w:eastAsia="Times New Roman" w:hAnsi="Times New Roman" w:cs="Times New Roman"/>
          <w:sz w:val="24"/>
          <w:szCs w:val="24"/>
        </w:rPr>
        <w:t xml:space="preserve"> </w:t>
      </w:r>
      <w:hyperlink r:id="rId40" w:tgtFrame="_blank" w:history="1">
        <w:r w:rsidRPr="00857AC4">
          <w:rPr>
            <w:rFonts w:ascii="Times New Roman" w:eastAsia="Times New Roman" w:hAnsi="Times New Roman" w:cs="Times New Roman"/>
            <w:color w:val="0000FF"/>
            <w:sz w:val="24"/>
            <w:szCs w:val="24"/>
            <w:u w:val="single"/>
          </w:rPr>
          <w:t>https://doi.org/10.1016/j.heliyon.2024.e38166</w:t>
        </w:r>
      </w:hyperlink>
    </w:p>
    <w:p w:rsid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spellStart"/>
      <w:proofErr w:type="gram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A.,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xml:space="preserve">, B., &amp; </w:t>
      </w:r>
      <w:proofErr w:type="spellStart"/>
      <w:r w:rsidRPr="00857AC4">
        <w:rPr>
          <w:rFonts w:ascii="Times New Roman" w:eastAsia="Times New Roman" w:hAnsi="Times New Roman" w:cs="Times New Roman"/>
          <w:sz w:val="24"/>
          <w:szCs w:val="24"/>
        </w:rPr>
        <w:t>Tesfaye</w:t>
      </w:r>
      <w:proofErr w:type="spellEnd"/>
      <w:r w:rsidRPr="00857AC4">
        <w:rPr>
          <w:rFonts w:ascii="Times New Roman" w:eastAsia="Times New Roman" w:hAnsi="Times New Roman" w:cs="Times New Roman"/>
          <w:sz w:val="24"/>
          <w:szCs w:val="24"/>
        </w:rPr>
        <w:t>, G. (2025).</w:t>
      </w:r>
      <w:proofErr w:type="gramEnd"/>
      <w:r w:rsidRPr="00857AC4">
        <w:rPr>
          <w:rFonts w:ascii="Times New Roman" w:eastAsia="Times New Roman" w:hAnsi="Times New Roman" w:cs="Times New Roman"/>
          <w:sz w:val="24"/>
          <w:szCs w:val="24"/>
        </w:rPr>
        <w:t xml:space="preserve"> Knowledge about the health impacts of climate change and associated factors among women in Northeastern Ethiopia: A community-based cross-sectional study. </w:t>
      </w:r>
      <w:r w:rsidRPr="00857AC4">
        <w:rPr>
          <w:rFonts w:ascii="Times New Roman" w:eastAsia="Times New Roman" w:hAnsi="Times New Roman" w:cs="Times New Roman"/>
          <w:i/>
          <w:iCs/>
          <w:sz w:val="24"/>
          <w:szCs w:val="24"/>
        </w:rPr>
        <w:t>Scientific Reports, 15</w:t>
      </w:r>
      <w:r w:rsidRPr="00857AC4">
        <w:rPr>
          <w:rFonts w:ascii="Times New Roman" w:eastAsia="Times New Roman" w:hAnsi="Times New Roman" w:cs="Times New Roman"/>
          <w:sz w:val="24"/>
          <w:szCs w:val="24"/>
        </w:rPr>
        <w:t xml:space="preserve">, Article 6235. </w:t>
      </w:r>
      <w:hyperlink r:id="rId41" w:tgtFrame="_blank" w:history="1">
        <w:r w:rsidRPr="00857AC4">
          <w:rPr>
            <w:rFonts w:ascii="Times New Roman" w:eastAsia="Times New Roman" w:hAnsi="Times New Roman" w:cs="Times New Roman"/>
            <w:color w:val="0000FF"/>
            <w:sz w:val="24"/>
            <w:szCs w:val="24"/>
            <w:u w:val="single"/>
          </w:rPr>
          <w:t>https://doi.org/10.1038/s41598-025-06235-y</w:t>
        </w:r>
      </w:hyperlink>
    </w:p>
    <w:p w:rsidR="00770BAE" w:rsidRPr="0064146F" w:rsidRDefault="00770BAE" w:rsidP="00770BAE">
      <w:pPr>
        <w:pStyle w:val="NormalWeb"/>
        <w:spacing w:line="276" w:lineRule="auto"/>
        <w:jc w:val="both"/>
      </w:pPr>
      <w:proofErr w:type="spellStart"/>
      <w:proofErr w:type="gramStart"/>
      <w:r w:rsidRPr="0064146F">
        <w:t>Tesfaye</w:t>
      </w:r>
      <w:proofErr w:type="spellEnd"/>
      <w:r w:rsidRPr="0064146F">
        <w:t xml:space="preserve">, A., </w:t>
      </w:r>
      <w:proofErr w:type="spellStart"/>
      <w:r w:rsidRPr="0064146F">
        <w:t>Gebrehiwot</w:t>
      </w:r>
      <w:proofErr w:type="spellEnd"/>
      <w:r w:rsidRPr="0064146F">
        <w:t>, T., &amp; Belay, M. (2025).</w:t>
      </w:r>
      <w:proofErr w:type="gramEnd"/>
      <w:r w:rsidRPr="0064146F">
        <w:t xml:space="preserve"> </w:t>
      </w:r>
      <w:proofErr w:type="gramStart"/>
      <w:r w:rsidRPr="0064146F">
        <w:t>Exploring health system challenges and gaps for crisis response in Ethiopia.</w:t>
      </w:r>
      <w:proofErr w:type="gramEnd"/>
      <w:r w:rsidRPr="0064146F">
        <w:t xml:space="preserve"> </w:t>
      </w:r>
      <w:proofErr w:type="gramStart"/>
      <w:r w:rsidRPr="0064146F">
        <w:rPr>
          <w:rStyle w:val="Emphasis"/>
        </w:rPr>
        <w:t>BMC Health Services Research, 25</w:t>
      </w:r>
      <w:r w:rsidRPr="0064146F">
        <w:t>(1), 789.</w:t>
      </w:r>
      <w:proofErr w:type="gramEnd"/>
      <w:r w:rsidRPr="0064146F">
        <w:t xml:space="preserve"> </w:t>
      </w:r>
      <w:hyperlink r:id="rId42" w:tgtFrame="_blank" w:history="1">
        <w:r w:rsidRPr="0064146F">
          <w:rPr>
            <w:rStyle w:val="Hyperlink"/>
          </w:rPr>
          <w:t>https://doi.org/10.1186/s12913-025-09876-5</w:t>
        </w:r>
      </w:hyperlink>
    </w:p>
    <w:p w:rsidR="00283B69" w:rsidRPr="00B33A7B" w:rsidRDefault="00283B69" w:rsidP="00283B69">
      <w:pPr>
        <w:pStyle w:val="NormalWeb"/>
        <w:spacing w:line="276" w:lineRule="auto"/>
        <w:jc w:val="both"/>
      </w:pPr>
      <w:proofErr w:type="gramStart"/>
      <w:r w:rsidRPr="00B33A7B">
        <w:lastRenderedPageBreak/>
        <w:t>UNICEF.</w:t>
      </w:r>
      <w:proofErr w:type="gramEnd"/>
      <w:r w:rsidRPr="00B33A7B">
        <w:t xml:space="preserve"> </w:t>
      </w:r>
      <w:proofErr w:type="gramStart"/>
      <w:r w:rsidRPr="00B33A7B">
        <w:t xml:space="preserve">(2024). </w:t>
      </w:r>
      <w:r w:rsidRPr="00B33A7B">
        <w:rPr>
          <w:rStyle w:val="Emphasis"/>
        </w:rPr>
        <w:t>Ethiopia water, sanitation and hygiene update</w:t>
      </w:r>
      <w:r w:rsidRPr="00B33A7B">
        <w:t>.</w:t>
      </w:r>
      <w:proofErr w:type="gramEnd"/>
      <w:r w:rsidRPr="00B33A7B">
        <w:t xml:space="preserve"> </w:t>
      </w:r>
      <w:hyperlink r:id="rId43" w:tgtFrame="_blank" w:history="1">
        <w:r w:rsidRPr="00B33A7B">
          <w:rPr>
            <w:rStyle w:val="Hyperlink"/>
          </w:rPr>
          <w:t>https://www.unicef.org/ethiopia/reports/water-sanitation-and-hygiene</w:t>
        </w:r>
      </w:hyperlink>
    </w:p>
    <w:p w:rsidR="00283B69" w:rsidRPr="00B33A7B" w:rsidRDefault="00283B69" w:rsidP="00283B69">
      <w:pPr>
        <w:pStyle w:val="NormalWeb"/>
        <w:spacing w:line="276" w:lineRule="auto"/>
        <w:jc w:val="both"/>
      </w:pPr>
      <w:proofErr w:type="gramStart"/>
      <w:r w:rsidRPr="00B33A7B">
        <w:t>WHO.</w:t>
      </w:r>
      <w:proofErr w:type="gramEnd"/>
      <w:r w:rsidRPr="00B33A7B">
        <w:t xml:space="preserve"> (2024). </w:t>
      </w:r>
      <w:r w:rsidRPr="00B33A7B">
        <w:rPr>
          <w:rStyle w:val="Emphasis"/>
        </w:rPr>
        <w:t>Climate change and health: Ethiopia profile</w:t>
      </w:r>
      <w:r w:rsidRPr="00B33A7B">
        <w:t xml:space="preserve">. </w:t>
      </w:r>
      <w:hyperlink r:id="rId44" w:tgtFrame="_blank" w:history="1">
        <w:r w:rsidRPr="00B33A7B">
          <w:rPr>
            <w:rStyle w:val="Hyperlink"/>
          </w:rPr>
          <w:t>https://www.who.int/news-room/fact-sheets/detail/climate-change-and-health</w:t>
        </w:r>
      </w:hyperlink>
    </w:p>
    <w:p w:rsidR="0055510E" w:rsidRPr="008B7D4C" w:rsidRDefault="0055510E" w:rsidP="0055510E">
      <w:pPr>
        <w:pStyle w:val="ds-markdown-paragraph"/>
        <w:shd w:val="clear" w:color="auto" w:fill="FFFFFF"/>
        <w:spacing w:before="240" w:beforeAutospacing="0" w:after="240" w:afterAutospacing="0" w:line="276" w:lineRule="auto"/>
        <w:jc w:val="both"/>
        <w:rPr>
          <w:color w:val="0F1115"/>
        </w:rPr>
      </w:pPr>
      <w:proofErr w:type="gramStart"/>
      <w:r w:rsidRPr="008B7D4C">
        <w:rPr>
          <w:color w:val="0F1115"/>
        </w:rPr>
        <w:t>WHO.</w:t>
      </w:r>
      <w:proofErr w:type="gramEnd"/>
      <w:r w:rsidRPr="008B7D4C">
        <w:rPr>
          <w:color w:val="0F1115"/>
        </w:rPr>
        <w:t xml:space="preserve"> </w:t>
      </w:r>
      <w:proofErr w:type="gramStart"/>
      <w:r w:rsidRPr="008B7D4C">
        <w:rPr>
          <w:color w:val="0F1115"/>
        </w:rPr>
        <w:t>(2021). </w:t>
      </w:r>
      <w:r w:rsidRPr="008B7D4C">
        <w:rPr>
          <w:rStyle w:val="Emphasis"/>
          <w:color w:val="0F1115"/>
        </w:rPr>
        <w:t>Climate change and health</w:t>
      </w:r>
      <w:r w:rsidRPr="008B7D4C">
        <w:rPr>
          <w:color w:val="0F1115"/>
        </w:rPr>
        <w:t>.</w:t>
      </w:r>
      <w:proofErr w:type="gramEnd"/>
      <w:r w:rsidRPr="008B7D4C">
        <w:rPr>
          <w:color w:val="0F1115"/>
        </w:rPr>
        <w:t xml:space="preserve"> </w:t>
      </w:r>
      <w:proofErr w:type="gramStart"/>
      <w:r w:rsidRPr="008B7D4C">
        <w:rPr>
          <w:color w:val="0F1115"/>
        </w:rPr>
        <w:t>World Health Organization.</w:t>
      </w:r>
      <w:proofErr w:type="gramEnd"/>
    </w:p>
    <w:p w:rsidR="00857AC4" w:rsidRDefault="00857AC4" w:rsidP="00857AC4">
      <w:pPr>
        <w:spacing w:before="100" w:beforeAutospacing="1" w:after="100" w:afterAutospacing="1"/>
        <w:jc w:val="both"/>
        <w:rPr>
          <w:rFonts w:ascii="Times New Roman" w:eastAsia="Times New Roman" w:hAnsi="Times New Roman" w:cs="Times New Roman"/>
          <w:sz w:val="24"/>
          <w:szCs w:val="24"/>
        </w:rPr>
      </w:pPr>
      <w:proofErr w:type="gramStart"/>
      <w:r w:rsidRPr="00857AC4">
        <w:rPr>
          <w:rFonts w:ascii="Times New Roman" w:eastAsia="Times New Roman" w:hAnsi="Times New Roman" w:cs="Times New Roman"/>
          <w:sz w:val="24"/>
          <w:szCs w:val="24"/>
        </w:rPr>
        <w:t>World Health Organization.</w:t>
      </w:r>
      <w:proofErr w:type="gramEnd"/>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sz w:val="24"/>
          <w:szCs w:val="24"/>
        </w:rPr>
        <w:t>(</w:t>
      </w:r>
      <w:proofErr w:type="spellStart"/>
      <w:r w:rsidRPr="00857AC4">
        <w:rPr>
          <w:rFonts w:ascii="Times New Roman" w:eastAsia="Times New Roman" w:hAnsi="Times New Roman" w:cs="Times New Roman"/>
          <w:sz w:val="24"/>
          <w:szCs w:val="24"/>
        </w:rPr>
        <w:t>n.d.</w:t>
      </w:r>
      <w:proofErr w:type="spellEnd"/>
      <w:r w:rsidRPr="00857AC4">
        <w:rPr>
          <w:rFonts w:ascii="Times New Roman" w:eastAsia="Times New Roman" w:hAnsi="Times New Roman" w:cs="Times New Roman"/>
          <w:sz w:val="24"/>
          <w:szCs w:val="24"/>
        </w:rPr>
        <w:t>).</w:t>
      </w:r>
      <w:proofErr w:type="gramEnd"/>
      <w:r w:rsidRPr="00857AC4">
        <w:rPr>
          <w:rFonts w:ascii="Times New Roman" w:eastAsia="Times New Roman" w:hAnsi="Times New Roman" w:cs="Times New Roman"/>
          <w:sz w:val="24"/>
          <w:szCs w:val="24"/>
        </w:rPr>
        <w:t xml:space="preserve"> </w:t>
      </w:r>
      <w:proofErr w:type="gramStart"/>
      <w:r w:rsidRPr="00857AC4">
        <w:rPr>
          <w:rFonts w:ascii="Times New Roman" w:eastAsia="Times New Roman" w:hAnsi="Times New Roman" w:cs="Times New Roman"/>
          <w:i/>
          <w:iCs/>
          <w:sz w:val="24"/>
          <w:szCs w:val="24"/>
        </w:rPr>
        <w:t>Building adaptation to climate change in health in least developed countries through resilient Water, Sanitation and Hygiene (WASH) project - Ethiopia</w:t>
      </w:r>
      <w:r w:rsidRPr="00857AC4">
        <w:rPr>
          <w:rFonts w:ascii="Times New Roman" w:eastAsia="Times New Roman" w:hAnsi="Times New Roman" w:cs="Times New Roman"/>
          <w:sz w:val="24"/>
          <w:szCs w:val="24"/>
        </w:rPr>
        <w:t>.</w:t>
      </w:r>
      <w:proofErr w:type="gramEnd"/>
      <w:r w:rsidRPr="00857AC4">
        <w:rPr>
          <w:rFonts w:ascii="Times New Roman" w:eastAsia="Times New Roman" w:hAnsi="Times New Roman" w:cs="Times New Roman"/>
          <w:sz w:val="24"/>
          <w:szCs w:val="24"/>
        </w:rPr>
        <w:t xml:space="preserve"> Retrieved from </w:t>
      </w:r>
      <w:hyperlink r:id="rId45" w:tgtFrame="_blank" w:history="1">
        <w:r w:rsidRPr="00857AC4">
          <w:rPr>
            <w:rFonts w:ascii="Times New Roman" w:eastAsia="Times New Roman" w:hAnsi="Times New Roman" w:cs="Times New Roman"/>
            <w:color w:val="0000FF"/>
            <w:sz w:val="24"/>
            <w:szCs w:val="24"/>
            <w:u w:val="single"/>
          </w:rPr>
          <w:t>https://cdn.who.int/media/docs/default-source/climate-change/ethiopia-health-sector.pdf?sfvrsn=4380516f_3</w:t>
        </w:r>
      </w:hyperlink>
    </w:p>
    <w:p w:rsidR="00283B69" w:rsidRPr="008B7D4C" w:rsidRDefault="00283B69" w:rsidP="00283B69">
      <w:pPr>
        <w:pStyle w:val="ds-markdown-paragraph"/>
        <w:shd w:val="clear" w:color="auto" w:fill="FFFFFF"/>
        <w:spacing w:before="240" w:beforeAutospacing="0" w:after="240" w:afterAutospacing="0" w:line="276" w:lineRule="auto"/>
        <w:jc w:val="both"/>
        <w:rPr>
          <w:color w:val="0F1115"/>
        </w:rPr>
      </w:pPr>
      <w:proofErr w:type="gramStart"/>
      <w:r w:rsidRPr="008B7D4C">
        <w:rPr>
          <w:color w:val="0F1115"/>
        </w:rPr>
        <w:t>World Bank.</w:t>
      </w:r>
      <w:proofErr w:type="gramEnd"/>
      <w:r w:rsidRPr="008B7D4C">
        <w:rPr>
          <w:color w:val="0F1115"/>
        </w:rPr>
        <w:t xml:space="preserve"> (2022). </w:t>
      </w:r>
      <w:r w:rsidRPr="008B7D4C">
        <w:rPr>
          <w:rStyle w:val="Emphasis"/>
          <w:color w:val="0F1115"/>
        </w:rPr>
        <w:t>Climate and health vulnerability assessments: A practical guide</w:t>
      </w:r>
      <w:r w:rsidRPr="008B7D4C">
        <w:rPr>
          <w:color w:val="0F1115"/>
        </w:rPr>
        <w:t>. World Bank Group.</w:t>
      </w:r>
    </w:p>
    <w:p w:rsidR="00283B69" w:rsidRPr="00B33A7B" w:rsidRDefault="00283B69" w:rsidP="00283B69">
      <w:pPr>
        <w:pStyle w:val="NormalWeb"/>
        <w:spacing w:line="276" w:lineRule="auto"/>
        <w:jc w:val="both"/>
      </w:pPr>
      <w:proofErr w:type="gramStart"/>
      <w:r w:rsidRPr="00B33A7B">
        <w:t>World Bank.</w:t>
      </w:r>
      <w:proofErr w:type="gramEnd"/>
      <w:r w:rsidRPr="00B33A7B">
        <w:t xml:space="preserve"> </w:t>
      </w:r>
      <w:proofErr w:type="gramStart"/>
      <w:r w:rsidRPr="00B33A7B">
        <w:t xml:space="preserve">(2024). </w:t>
      </w:r>
      <w:r w:rsidRPr="00B33A7B">
        <w:rPr>
          <w:rStyle w:val="Emphasis"/>
        </w:rPr>
        <w:t>Ethiopia environmental health report</w:t>
      </w:r>
      <w:r w:rsidRPr="00B33A7B">
        <w:t>.</w:t>
      </w:r>
      <w:proofErr w:type="gramEnd"/>
      <w:r w:rsidRPr="00B33A7B">
        <w:t xml:space="preserve"> </w:t>
      </w:r>
      <w:hyperlink r:id="rId46" w:tgtFrame="_blank" w:history="1">
        <w:r w:rsidRPr="00B33A7B">
          <w:rPr>
            <w:rStyle w:val="Hyperlink"/>
          </w:rPr>
          <w:t>https://www.worldbank.org/en/country/ethiopia</w:t>
        </w:r>
      </w:hyperlink>
    </w:p>
    <w:p w:rsidR="00691EC2" w:rsidRDefault="00104B67" w:rsidP="00691EC2">
      <w:pPr>
        <w:pStyle w:val="ds-markdown-paragraph"/>
        <w:shd w:val="clear" w:color="auto" w:fill="FFFFFF"/>
        <w:spacing w:before="240" w:beforeAutospacing="0" w:after="240" w:afterAutospacing="0" w:line="276" w:lineRule="auto"/>
        <w:jc w:val="both"/>
        <w:rPr>
          <w:color w:val="0F1115"/>
        </w:rPr>
      </w:pPr>
      <w:proofErr w:type="gramStart"/>
      <w:r w:rsidRPr="00F67F43">
        <w:rPr>
          <w:color w:val="0F1115"/>
        </w:rPr>
        <w:t>World Bank.</w:t>
      </w:r>
      <w:proofErr w:type="gramEnd"/>
      <w:r w:rsidRPr="00F67F43">
        <w:rPr>
          <w:color w:val="0F1115"/>
        </w:rPr>
        <w:t xml:space="preserve"> (2022). </w:t>
      </w:r>
      <w:r w:rsidRPr="00F67F43">
        <w:rPr>
          <w:rStyle w:val="Emphasis"/>
          <w:color w:val="0F1115"/>
        </w:rPr>
        <w:t>Climate risk profile: Ethiopia</w:t>
      </w:r>
      <w:r w:rsidRPr="00F67F43">
        <w:rPr>
          <w:color w:val="0F1115"/>
        </w:rPr>
        <w:t>. World Bank Group.</w:t>
      </w:r>
    </w:p>
    <w:p w:rsidR="00770BAE" w:rsidRPr="0064146F" w:rsidRDefault="00770BAE" w:rsidP="00770BAE">
      <w:pPr>
        <w:pStyle w:val="NormalWeb"/>
        <w:spacing w:line="276" w:lineRule="auto"/>
        <w:jc w:val="both"/>
      </w:pPr>
      <w:proofErr w:type="gramStart"/>
      <w:r w:rsidRPr="0064146F">
        <w:t>World Bank.</w:t>
      </w:r>
      <w:proofErr w:type="gramEnd"/>
      <w:r w:rsidRPr="0064146F">
        <w:t xml:space="preserve"> </w:t>
      </w:r>
      <w:proofErr w:type="gramStart"/>
      <w:r w:rsidRPr="0064146F">
        <w:t xml:space="preserve">(2024). </w:t>
      </w:r>
      <w:r w:rsidRPr="0064146F">
        <w:rPr>
          <w:rStyle w:val="Emphasis"/>
        </w:rPr>
        <w:t>Ethiopia - Climate and health vulnerability assessment</w:t>
      </w:r>
      <w:r w:rsidRPr="0064146F">
        <w:t>.</w:t>
      </w:r>
      <w:proofErr w:type="gramEnd"/>
      <w:r w:rsidRPr="0064146F">
        <w:t xml:space="preserve"> </w:t>
      </w:r>
      <w:hyperlink r:id="rId47" w:tgtFrame="_blank" w:history="1">
        <w:r w:rsidRPr="0064146F">
          <w:rPr>
            <w:rStyle w:val="Hyperlink"/>
          </w:rPr>
          <w:t>https://documents.worldbank.org/en/publication/documents-reports/documentdetail/099070324141519567</w:t>
        </w:r>
      </w:hyperlink>
    </w:p>
    <w:p w:rsidR="00770BAE" w:rsidRPr="00104B67" w:rsidRDefault="00770BAE" w:rsidP="00691EC2">
      <w:pPr>
        <w:pStyle w:val="ds-markdown-paragraph"/>
        <w:shd w:val="clear" w:color="auto" w:fill="FFFFFF"/>
        <w:spacing w:before="240" w:beforeAutospacing="0" w:after="240" w:afterAutospacing="0" w:line="276" w:lineRule="auto"/>
        <w:jc w:val="both"/>
        <w:rPr>
          <w:color w:val="0F1115"/>
        </w:rPr>
      </w:pPr>
    </w:p>
    <w:p w:rsidR="00691EC2" w:rsidRPr="00F67F43" w:rsidRDefault="00691EC2" w:rsidP="00104B67">
      <w:pPr>
        <w:pStyle w:val="ds-markdown-paragraph"/>
        <w:shd w:val="clear" w:color="auto" w:fill="FFFFFF"/>
        <w:spacing w:before="240" w:beforeAutospacing="0" w:after="240" w:afterAutospacing="0" w:line="276" w:lineRule="auto"/>
        <w:jc w:val="both"/>
        <w:rPr>
          <w:color w:val="0F1115"/>
        </w:rPr>
      </w:pPr>
    </w:p>
    <w:p w:rsidR="00104B67" w:rsidRPr="00857AC4" w:rsidRDefault="00104B67" w:rsidP="00857AC4">
      <w:pPr>
        <w:spacing w:before="100" w:beforeAutospacing="1" w:after="100" w:afterAutospacing="1"/>
        <w:jc w:val="both"/>
        <w:rPr>
          <w:rFonts w:ascii="Times New Roman" w:eastAsia="Times New Roman" w:hAnsi="Times New Roman" w:cs="Times New Roman"/>
          <w:sz w:val="24"/>
          <w:szCs w:val="24"/>
        </w:rPr>
      </w:pPr>
    </w:p>
    <w:p w:rsidR="00857AC4" w:rsidRPr="00857AC4" w:rsidRDefault="00857AC4" w:rsidP="00857AC4">
      <w:pPr>
        <w:spacing w:before="100" w:beforeAutospacing="1" w:after="100" w:afterAutospacing="1"/>
        <w:jc w:val="both"/>
        <w:rPr>
          <w:rFonts w:ascii="Times New Roman" w:eastAsia="Times New Roman" w:hAnsi="Times New Roman" w:cs="Times New Roman"/>
          <w:sz w:val="24"/>
          <w:szCs w:val="24"/>
        </w:rPr>
      </w:pPr>
    </w:p>
    <w:p w:rsidR="005C6C1A" w:rsidRDefault="005C6C1A"/>
    <w:sectPr w:rsidR="005C6C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F3673"/>
    <w:multiLevelType w:val="hybridMultilevel"/>
    <w:tmpl w:val="D076C6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E30B49"/>
    <w:multiLevelType w:val="multilevel"/>
    <w:tmpl w:val="D332D01E"/>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BA85F95"/>
    <w:multiLevelType w:val="multilevel"/>
    <w:tmpl w:val="5A6A1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94177E"/>
    <w:multiLevelType w:val="multilevel"/>
    <w:tmpl w:val="3118AB3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3C6457A"/>
    <w:multiLevelType w:val="hybridMultilevel"/>
    <w:tmpl w:val="1D52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AC4"/>
    <w:rsid w:val="00075DCC"/>
    <w:rsid w:val="000B6814"/>
    <w:rsid w:val="00104B67"/>
    <w:rsid w:val="001503C8"/>
    <w:rsid w:val="001A689D"/>
    <w:rsid w:val="00283B69"/>
    <w:rsid w:val="002D7ABC"/>
    <w:rsid w:val="00387F13"/>
    <w:rsid w:val="00514A47"/>
    <w:rsid w:val="0055510E"/>
    <w:rsid w:val="005C6C1A"/>
    <w:rsid w:val="00617DA6"/>
    <w:rsid w:val="0064146F"/>
    <w:rsid w:val="0067593A"/>
    <w:rsid w:val="00691EC2"/>
    <w:rsid w:val="00770BAE"/>
    <w:rsid w:val="00857AC4"/>
    <w:rsid w:val="008B7D4C"/>
    <w:rsid w:val="008C6BE5"/>
    <w:rsid w:val="009F0442"/>
    <w:rsid w:val="00A076FC"/>
    <w:rsid w:val="00A86403"/>
    <w:rsid w:val="00B33A7B"/>
    <w:rsid w:val="00DB231B"/>
    <w:rsid w:val="00E14ECC"/>
    <w:rsid w:val="00EB2118"/>
    <w:rsid w:val="00F33D3D"/>
    <w:rsid w:val="00F67F43"/>
    <w:rsid w:val="00F93485"/>
    <w:rsid w:val="00FA6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B6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7A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57A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7AC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57AC4"/>
    <w:rPr>
      <w:rFonts w:ascii="Times New Roman" w:eastAsia="Times New Roman" w:hAnsi="Times New Roman" w:cs="Times New Roman"/>
      <w:b/>
      <w:bCs/>
      <w:sz w:val="24"/>
      <w:szCs w:val="24"/>
    </w:rPr>
  </w:style>
  <w:style w:type="paragraph" w:customStyle="1" w:styleId="break-words">
    <w:name w:val="break-words"/>
    <w:basedOn w:val="Normal"/>
    <w:rsid w:val="00857A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flex">
    <w:name w:val="inline-flex"/>
    <w:basedOn w:val="DefaultParagraphFont"/>
    <w:rsid w:val="00857AC4"/>
  </w:style>
  <w:style w:type="character" w:styleId="Hyperlink">
    <w:name w:val="Hyperlink"/>
    <w:basedOn w:val="DefaultParagraphFont"/>
    <w:uiPriority w:val="99"/>
    <w:semiHidden/>
    <w:unhideWhenUsed/>
    <w:rsid w:val="00857AC4"/>
    <w:rPr>
      <w:color w:val="0000FF"/>
      <w:u w:val="single"/>
    </w:rPr>
  </w:style>
  <w:style w:type="character" w:styleId="Strong">
    <w:name w:val="Strong"/>
    <w:basedOn w:val="DefaultParagraphFont"/>
    <w:uiPriority w:val="22"/>
    <w:qFormat/>
    <w:rsid w:val="00857AC4"/>
    <w:rPr>
      <w:b/>
      <w:bCs/>
    </w:rPr>
  </w:style>
  <w:style w:type="character" w:styleId="Emphasis">
    <w:name w:val="Emphasis"/>
    <w:basedOn w:val="DefaultParagraphFont"/>
    <w:uiPriority w:val="20"/>
    <w:qFormat/>
    <w:rsid w:val="00857AC4"/>
    <w:rPr>
      <w:i/>
      <w:iCs/>
    </w:rPr>
  </w:style>
  <w:style w:type="character" w:customStyle="1" w:styleId="capitalize">
    <w:name w:val="capitalize"/>
    <w:basedOn w:val="DefaultParagraphFont"/>
    <w:rsid w:val="00857AC4"/>
  </w:style>
  <w:style w:type="character" w:customStyle="1" w:styleId="whitespace-pre-wrap">
    <w:name w:val="whitespace-pre-wrap"/>
    <w:basedOn w:val="DefaultParagraphFont"/>
    <w:rsid w:val="00857AC4"/>
  </w:style>
  <w:style w:type="character" w:customStyle="1" w:styleId="truncate">
    <w:name w:val="truncate"/>
    <w:basedOn w:val="DefaultParagraphFont"/>
    <w:rsid w:val="00857AC4"/>
  </w:style>
  <w:style w:type="character" w:customStyle="1" w:styleId="katex-mathml">
    <w:name w:val="katex-mathml"/>
    <w:basedOn w:val="DefaultParagraphFont"/>
    <w:rsid w:val="00857AC4"/>
  </w:style>
  <w:style w:type="character" w:customStyle="1" w:styleId="mord">
    <w:name w:val="mord"/>
    <w:basedOn w:val="DefaultParagraphFont"/>
    <w:rsid w:val="00857AC4"/>
  </w:style>
  <w:style w:type="character" w:customStyle="1" w:styleId="mrel">
    <w:name w:val="mrel"/>
    <w:basedOn w:val="DefaultParagraphFont"/>
    <w:rsid w:val="00857AC4"/>
  </w:style>
  <w:style w:type="character" w:customStyle="1" w:styleId="mopen">
    <w:name w:val="mopen"/>
    <w:basedOn w:val="DefaultParagraphFont"/>
    <w:rsid w:val="00857AC4"/>
  </w:style>
  <w:style w:type="character" w:customStyle="1" w:styleId="vlist-s">
    <w:name w:val="vlist-s"/>
    <w:basedOn w:val="DefaultParagraphFont"/>
    <w:rsid w:val="00857AC4"/>
  </w:style>
  <w:style w:type="character" w:customStyle="1" w:styleId="mclose">
    <w:name w:val="mclose"/>
    <w:basedOn w:val="DefaultParagraphFont"/>
    <w:rsid w:val="00857AC4"/>
  </w:style>
  <w:style w:type="character" w:customStyle="1" w:styleId="mbin">
    <w:name w:val="mbin"/>
    <w:basedOn w:val="DefaultParagraphFont"/>
    <w:rsid w:val="00857AC4"/>
  </w:style>
  <w:style w:type="paragraph" w:styleId="BalloonText">
    <w:name w:val="Balloon Text"/>
    <w:basedOn w:val="Normal"/>
    <w:link w:val="BalloonTextChar"/>
    <w:uiPriority w:val="99"/>
    <w:semiHidden/>
    <w:unhideWhenUsed/>
    <w:rsid w:val="00857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AC4"/>
    <w:rPr>
      <w:rFonts w:ascii="Tahoma" w:hAnsi="Tahoma" w:cs="Tahoma"/>
      <w:sz w:val="16"/>
      <w:szCs w:val="16"/>
    </w:rPr>
  </w:style>
  <w:style w:type="paragraph" w:styleId="ListParagraph">
    <w:name w:val="List Paragraph"/>
    <w:basedOn w:val="Normal"/>
    <w:uiPriority w:val="34"/>
    <w:qFormat/>
    <w:rsid w:val="00857AC4"/>
    <w:pPr>
      <w:ind w:left="720"/>
      <w:contextualSpacing/>
    </w:pPr>
  </w:style>
  <w:style w:type="character" w:styleId="PlaceholderText">
    <w:name w:val="Placeholder Text"/>
    <w:basedOn w:val="DefaultParagraphFont"/>
    <w:uiPriority w:val="99"/>
    <w:semiHidden/>
    <w:rsid w:val="008C6BE5"/>
    <w:rPr>
      <w:color w:val="808080"/>
    </w:rPr>
  </w:style>
  <w:style w:type="character" w:customStyle="1" w:styleId="Heading2Char">
    <w:name w:val="Heading 2 Char"/>
    <w:basedOn w:val="DefaultParagraphFont"/>
    <w:link w:val="Heading2"/>
    <w:uiPriority w:val="9"/>
    <w:semiHidden/>
    <w:rsid w:val="000B6814"/>
    <w:rPr>
      <w:rFonts w:asciiTheme="majorHAnsi" w:eastAsiaTheme="majorEastAsia" w:hAnsiTheme="majorHAnsi" w:cstheme="majorBidi"/>
      <w:b/>
      <w:bCs/>
      <w:color w:val="4F81BD" w:themeColor="accent1"/>
      <w:sz w:val="26"/>
      <w:szCs w:val="26"/>
    </w:rPr>
  </w:style>
  <w:style w:type="paragraph" w:customStyle="1" w:styleId="ds-markdown-paragraph">
    <w:name w:val="ds-markdown-paragraph"/>
    <w:basedOn w:val="Normal"/>
    <w:rsid w:val="000B681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33A7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B6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7A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57A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7AC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57AC4"/>
    <w:rPr>
      <w:rFonts w:ascii="Times New Roman" w:eastAsia="Times New Roman" w:hAnsi="Times New Roman" w:cs="Times New Roman"/>
      <w:b/>
      <w:bCs/>
      <w:sz w:val="24"/>
      <w:szCs w:val="24"/>
    </w:rPr>
  </w:style>
  <w:style w:type="paragraph" w:customStyle="1" w:styleId="break-words">
    <w:name w:val="break-words"/>
    <w:basedOn w:val="Normal"/>
    <w:rsid w:val="00857A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flex">
    <w:name w:val="inline-flex"/>
    <w:basedOn w:val="DefaultParagraphFont"/>
    <w:rsid w:val="00857AC4"/>
  </w:style>
  <w:style w:type="character" w:styleId="Hyperlink">
    <w:name w:val="Hyperlink"/>
    <w:basedOn w:val="DefaultParagraphFont"/>
    <w:uiPriority w:val="99"/>
    <w:semiHidden/>
    <w:unhideWhenUsed/>
    <w:rsid w:val="00857AC4"/>
    <w:rPr>
      <w:color w:val="0000FF"/>
      <w:u w:val="single"/>
    </w:rPr>
  </w:style>
  <w:style w:type="character" w:styleId="Strong">
    <w:name w:val="Strong"/>
    <w:basedOn w:val="DefaultParagraphFont"/>
    <w:uiPriority w:val="22"/>
    <w:qFormat/>
    <w:rsid w:val="00857AC4"/>
    <w:rPr>
      <w:b/>
      <w:bCs/>
    </w:rPr>
  </w:style>
  <w:style w:type="character" w:styleId="Emphasis">
    <w:name w:val="Emphasis"/>
    <w:basedOn w:val="DefaultParagraphFont"/>
    <w:uiPriority w:val="20"/>
    <w:qFormat/>
    <w:rsid w:val="00857AC4"/>
    <w:rPr>
      <w:i/>
      <w:iCs/>
    </w:rPr>
  </w:style>
  <w:style w:type="character" w:customStyle="1" w:styleId="capitalize">
    <w:name w:val="capitalize"/>
    <w:basedOn w:val="DefaultParagraphFont"/>
    <w:rsid w:val="00857AC4"/>
  </w:style>
  <w:style w:type="character" w:customStyle="1" w:styleId="whitespace-pre-wrap">
    <w:name w:val="whitespace-pre-wrap"/>
    <w:basedOn w:val="DefaultParagraphFont"/>
    <w:rsid w:val="00857AC4"/>
  </w:style>
  <w:style w:type="character" w:customStyle="1" w:styleId="truncate">
    <w:name w:val="truncate"/>
    <w:basedOn w:val="DefaultParagraphFont"/>
    <w:rsid w:val="00857AC4"/>
  </w:style>
  <w:style w:type="character" w:customStyle="1" w:styleId="katex-mathml">
    <w:name w:val="katex-mathml"/>
    <w:basedOn w:val="DefaultParagraphFont"/>
    <w:rsid w:val="00857AC4"/>
  </w:style>
  <w:style w:type="character" w:customStyle="1" w:styleId="mord">
    <w:name w:val="mord"/>
    <w:basedOn w:val="DefaultParagraphFont"/>
    <w:rsid w:val="00857AC4"/>
  </w:style>
  <w:style w:type="character" w:customStyle="1" w:styleId="mrel">
    <w:name w:val="mrel"/>
    <w:basedOn w:val="DefaultParagraphFont"/>
    <w:rsid w:val="00857AC4"/>
  </w:style>
  <w:style w:type="character" w:customStyle="1" w:styleId="mopen">
    <w:name w:val="mopen"/>
    <w:basedOn w:val="DefaultParagraphFont"/>
    <w:rsid w:val="00857AC4"/>
  </w:style>
  <w:style w:type="character" w:customStyle="1" w:styleId="vlist-s">
    <w:name w:val="vlist-s"/>
    <w:basedOn w:val="DefaultParagraphFont"/>
    <w:rsid w:val="00857AC4"/>
  </w:style>
  <w:style w:type="character" w:customStyle="1" w:styleId="mclose">
    <w:name w:val="mclose"/>
    <w:basedOn w:val="DefaultParagraphFont"/>
    <w:rsid w:val="00857AC4"/>
  </w:style>
  <w:style w:type="character" w:customStyle="1" w:styleId="mbin">
    <w:name w:val="mbin"/>
    <w:basedOn w:val="DefaultParagraphFont"/>
    <w:rsid w:val="00857AC4"/>
  </w:style>
  <w:style w:type="paragraph" w:styleId="BalloonText">
    <w:name w:val="Balloon Text"/>
    <w:basedOn w:val="Normal"/>
    <w:link w:val="BalloonTextChar"/>
    <w:uiPriority w:val="99"/>
    <w:semiHidden/>
    <w:unhideWhenUsed/>
    <w:rsid w:val="00857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AC4"/>
    <w:rPr>
      <w:rFonts w:ascii="Tahoma" w:hAnsi="Tahoma" w:cs="Tahoma"/>
      <w:sz w:val="16"/>
      <w:szCs w:val="16"/>
    </w:rPr>
  </w:style>
  <w:style w:type="paragraph" w:styleId="ListParagraph">
    <w:name w:val="List Paragraph"/>
    <w:basedOn w:val="Normal"/>
    <w:uiPriority w:val="34"/>
    <w:qFormat/>
    <w:rsid w:val="00857AC4"/>
    <w:pPr>
      <w:ind w:left="720"/>
      <w:contextualSpacing/>
    </w:pPr>
  </w:style>
  <w:style w:type="character" w:styleId="PlaceholderText">
    <w:name w:val="Placeholder Text"/>
    <w:basedOn w:val="DefaultParagraphFont"/>
    <w:uiPriority w:val="99"/>
    <w:semiHidden/>
    <w:rsid w:val="008C6BE5"/>
    <w:rPr>
      <w:color w:val="808080"/>
    </w:rPr>
  </w:style>
  <w:style w:type="character" w:customStyle="1" w:styleId="Heading2Char">
    <w:name w:val="Heading 2 Char"/>
    <w:basedOn w:val="DefaultParagraphFont"/>
    <w:link w:val="Heading2"/>
    <w:uiPriority w:val="9"/>
    <w:semiHidden/>
    <w:rsid w:val="000B6814"/>
    <w:rPr>
      <w:rFonts w:asciiTheme="majorHAnsi" w:eastAsiaTheme="majorEastAsia" w:hAnsiTheme="majorHAnsi" w:cstheme="majorBidi"/>
      <w:b/>
      <w:bCs/>
      <w:color w:val="4F81BD" w:themeColor="accent1"/>
      <w:sz w:val="26"/>
      <w:szCs w:val="26"/>
    </w:rPr>
  </w:style>
  <w:style w:type="paragraph" w:customStyle="1" w:styleId="ds-markdown-paragraph">
    <w:name w:val="ds-markdown-paragraph"/>
    <w:basedOn w:val="Normal"/>
    <w:rsid w:val="000B681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33A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64596">
      <w:bodyDiv w:val="1"/>
      <w:marLeft w:val="0"/>
      <w:marRight w:val="0"/>
      <w:marTop w:val="0"/>
      <w:marBottom w:val="0"/>
      <w:divBdr>
        <w:top w:val="none" w:sz="0" w:space="0" w:color="auto"/>
        <w:left w:val="none" w:sz="0" w:space="0" w:color="auto"/>
        <w:bottom w:val="none" w:sz="0" w:space="0" w:color="auto"/>
        <w:right w:val="none" w:sz="0" w:space="0" w:color="auto"/>
      </w:divBdr>
    </w:div>
    <w:div w:id="503056039">
      <w:bodyDiv w:val="1"/>
      <w:marLeft w:val="0"/>
      <w:marRight w:val="0"/>
      <w:marTop w:val="0"/>
      <w:marBottom w:val="0"/>
      <w:divBdr>
        <w:top w:val="none" w:sz="0" w:space="0" w:color="auto"/>
        <w:left w:val="none" w:sz="0" w:space="0" w:color="auto"/>
        <w:bottom w:val="none" w:sz="0" w:space="0" w:color="auto"/>
        <w:right w:val="none" w:sz="0" w:space="0" w:color="auto"/>
      </w:divBdr>
      <w:divsChild>
        <w:div w:id="812068548">
          <w:marLeft w:val="0"/>
          <w:marRight w:val="0"/>
          <w:marTop w:val="0"/>
          <w:marBottom w:val="0"/>
          <w:divBdr>
            <w:top w:val="none" w:sz="0" w:space="0" w:color="auto"/>
            <w:left w:val="none" w:sz="0" w:space="0" w:color="auto"/>
            <w:bottom w:val="none" w:sz="0" w:space="0" w:color="auto"/>
            <w:right w:val="none" w:sz="0" w:space="0" w:color="auto"/>
          </w:divBdr>
          <w:divsChild>
            <w:div w:id="14347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2174">
      <w:bodyDiv w:val="1"/>
      <w:marLeft w:val="0"/>
      <w:marRight w:val="0"/>
      <w:marTop w:val="0"/>
      <w:marBottom w:val="0"/>
      <w:divBdr>
        <w:top w:val="none" w:sz="0" w:space="0" w:color="auto"/>
        <w:left w:val="none" w:sz="0" w:space="0" w:color="auto"/>
        <w:bottom w:val="none" w:sz="0" w:space="0" w:color="auto"/>
        <w:right w:val="none" w:sz="0" w:space="0" w:color="auto"/>
      </w:divBdr>
    </w:div>
    <w:div w:id="929313211">
      <w:bodyDiv w:val="1"/>
      <w:marLeft w:val="0"/>
      <w:marRight w:val="0"/>
      <w:marTop w:val="0"/>
      <w:marBottom w:val="0"/>
      <w:divBdr>
        <w:top w:val="none" w:sz="0" w:space="0" w:color="auto"/>
        <w:left w:val="none" w:sz="0" w:space="0" w:color="auto"/>
        <w:bottom w:val="none" w:sz="0" w:space="0" w:color="auto"/>
        <w:right w:val="none" w:sz="0" w:space="0" w:color="auto"/>
      </w:divBdr>
    </w:div>
    <w:div w:id="1080910061">
      <w:bodyDiv w:val="1"/>
      <w:marLeft w:val="0"/>
      <w:marRight w:val="0"/>
      <w:marTop w:val="0"/>
      <w:marBottom w:val="0"/>
      <w:divBdr>
        <w:top w:val="none" w:sz="0" w:space="0" w:color="auto"/>
        <w:left w:val="none" w:sz="0" w:space="0" w:color="auto"/>
        <w:bottom w:val="none" w:sz="0" w:space="0" w:color="auto"/>
        <w:right w:val="none" w:sz="0" w:space="0" w:color="auto"/>
      </w:divBdr>
      <w:divsChild>
        <w:div w:id="2014599193">
          <w:marLeft w:val="0"/>
          <w:marRight w:val="0"/>
          <w:marTop w:val="0"/>
          <w:marBottom w:val="0"/>
          <w:divBdr>
            <w:top w:val="none" w:sz="0" w:space="0" w:color="auto"/>
            <w:left w:val="none" w:sz="0" w:space="0" w:color="auto"/>
            <w:bottom w:val="none" w:sz="0" w:space="0" w:color="auto"/>
            <w:right w:val="none" w:sz="0" w:space="0" w:color="auto"/>
          </w:divBdr>
          <w:divsChild>
            <w:div w:id="122429449">
              <w:marLeft w:val="0"/>
              <w:marRight w:val="0"/>
              <w:marTop w:val="0"/>
              <w:marBottom w:val="0"/>
              <w:divBdr>
                <w:top w:val="none" w:sz="0" w:space="0" w:color="auto"/>
                <w:left w:val="none" w:sz="0" w:space="0" w:color="auto"/>
                <w:bottom w:val="none" w:sz="0" w:space="0" w:color="auto"/>
                <w:right w:val="none" w:sz="0" w:space="0" w:color="auto"/>
              </w:divBdr>
              <w:divsChild>
                <w:div w:id="1038242738">
                  <w:marLeft w:val="0"/>
                  <w:marRight w:val="0"/>
                  <w:marTop w:val="0"/>
                  <w:marBottom w:val="0"/>
                  <w:divBdr>
                    <w:top w:val="none" w:sz="0" w:space="0" w:color="auto"/>
                    <w:left w:val="none" w:sz="0" w:space="0" w:color="auto"/>
                    <w:bottom w:val="none" w:sz="0" w:space="0" w:color="auto"/>
                    <w:right w:val="none" w:sz="0" w:space="0" w:color="auto"/>
                  </w:divBdr>
                  <w:divsChild>
                    <w:div w:id="1583686606">
                      <w:marLeft w:val="0"/>
                      <w:marRight w:val="0"/>
                      <w:marTop w:val="0"/>
                      <w:marBottom w:val="0"/>
                      <w:divBdr>
                        <w:top w:val="none" w:sz="0" w:space="0" w:color="auto"/>
                        <w:left w:val="none" w:sz="0" w:space="0" w:color="auto"/>
                        <w:bottom w:val="none" w:sz="0" w:space="0" w:color="auto"/>
                        <w:right w:val="none" w:sz="0" w:space="0" w:color="auto"/>
                      </w:divBdr>
                    </w:div>
                    <w:div w:id="1253664500">
                      <w:marLeft w:val="0"/>
                      <w:marRight w:val="0"/>
                      <w:marTop w:val="0"/>
                      <w:marBottom w:val="0"/>
                      <w:divBdr>
                        <w:top w:val="none" w:sz="0" w:space="0" w:color="auto"/>
                        <w:left w:val="none" w:sz="0" w:space="0" w:color="auto"/>
                        <w:bottom w:val="none" w:sz="0" w:space="0" w:color="auto"/>
                        <w:right w:val="none" w:sz="0" w:space="0" w:color="auto"/>
                      </w:divBdr>
                      <w:divsChild>
                        <w:div w:id="1673482848">
                          <w:marLeft w:val="0"/>
                          <w:marRight w:val="0"/>
                          <w:marTop w:val="0"/>
                          <w:marBottom w:val="0"/>
                          <w:divBdr>
                            <w:top w:val="none" w:sz="0" w:space="0" w:color="auto"/>
                            <w:left w:val="none" w:sz="0" w:space="0" w:color="auto"/>
                            <w:bottom w:val="none" w:sz="0" w:space="0" w:color="auto"/>
                            <w:right w:val="none" w:sz="0" w:space="0" w:color="auto"/>
                          </w:divBdr>
                          <w:divsChild>
                            <w:div w:id="1887258401">
                              <w:marLeft w:val="0"/>
                              <w:marRight w:val="0"/>
                              <w:marTop w:val="0"/>
                              <w:marBottom w:val="0"/>
                              <w:divBdr>
                                <w:top w:val="none" w:sz="0" w:space="0" w:color="auto"/>
                                <w:left w:val="none" w:sz="0" w:space="0" w:color="auto"/>
                                <w:bottom w:val="none" w:sz="0" w:space="0" w:color="auto"/>
                                <w:right w:val="none" w:sz="0" w:space="0" w:color="auto"/>
                              </w:divBdr>
                              <w:divsChild>
                                <w:div w:id="1153722115">
                                  <w:marLeft w:val="0"/>
                                  <w:marRight w:val="0"/>
                                  <w:marTop w:val="0"/>
                                  <w:marBottom w:val="0"/>
                                  <w:divBdr>
                                    <w:top w:val="none" w:sz="0" w:space="0" w:color="auto"/>
                                    <w:left w:val="none" w:sz="0" w:space="0" w:color="auto"/>
                                    <w:bottom w:val="none" w:sz="0" w:space="0" w:color="auto"/>
                                    <w:right w:val="none" w:sz="0" w:space="0" w:color="auto"/>
                                  </w:divBdr>
                                  <w:divsChild>
                                    <w:div w:id="936207789">
                                      <w:marLeft w:val="0"/>
                                      <w:marRight w:val="0"/>
                                      <w:marTop w:val="0"/>
                                      <w:marBottom w:val="0"/>
                                      <w:divBdr>
                                        <w:top w:val="none" w:sz="0" w:space="0" w:color="auto"/>
                                        <w:left w:val="none" w:sz="0" w:space="0" w:color="auto"/>
                                        <w:bottom w:val="none" w:sz="0" w:space="0" w:color="auto"/>
                                        <w:right w:val="none" w:sz="0" w:space="0" w:color="auto"/>
                                      </w:divBdr>
                                    </w:div>
                                  </w:divsChild>
                                </w:div>
                                <w:div w:id="823083816">
                                  <w:marLeft w:val="0"/>
                                  <w:marRight w:val="0"/>
                                  <w:marTop w:val="0"/>
                                  <w:marBottom w:val="0"/>
                                  <w:divBdr>
                                    <w:top w:val="none" w:sz="0" w:space="0" w:color="auto"/>
                                    <w:left w:val="none" w:sz="0" w:space="0" w:color="auto"/>
                                    <w:bottom w:val="none" w:sz="0" w:space="0" w:color="auto"/>
                                    <w:right w:val="none" w:sz="0" w:space="0" w:color="auto"/>
                                  </w:divBdr>
                                  <w:divsChild>
                                    <w:div w:id="2023042943">
                                      <w:marLeft w:val="0"/>
                                      <w:marRight w:val="0"/>
                                      <w:marTop w:val="0"/>
                                      <w:marBottom w:val="0"/>
                                      <w:divBdr>
                                        <w:top w:val="none" w:sz="0" w:space="0" w:color="auto"/>
                                        <w:left w:val="none" w:sz="0" w:space="0" w:color="auto"/>
                                        <w:bottom w:val="none" w:sz="0" w:space="0" w:color="auto"/>
                                        <w:right w:val="none" w:sz="0" w:space="0" w:color="auto"/>
                                      </w:divBdr>
                                    </w:div>
                                  </w:divsChild>
                                </w:div>
                                <w:div w:id="503059744">
                                  <w:marLeft w:val="0"/>
                                  <w:marRight w:val="0"/>
                                  <w:marTop w:val="0"/>
                                  <w:marBottom w:val="0"/>
                                  <w:divBdr>
                                    <w:top w:val="none" w:sz="0" w:space="0" w:color="auto"/>
                                    <w:left w:val="none" w:sz="0" w:space="0" w:color="auto"/>
                                    <w:bottom w:val="none" w:sz="0" w:space="0" w:color="auto"/>
                                    <w:right w:val="none" w:sz="0" w:space="0" w:color="auto"/>
                                  </w:divBdr>
                                  <w:divsChild>
                                    <w:div w:id="1631663986">
                                      <w:marLeft w:val="0"/>
                                      <w:marRight w:val="0"/>
                                      <w:marTop w:val="0"/>
                                      <w:marBottom w:val="0"/>
                                      <w:divBdr>
                                        <w:top w:val="none" w:sz="0" w:space="0" w:color="auto"/>
                                        <w:left w:val="none" w:sz="0" w:space="0" w:color="auto"/>
                                        <w:bottom w:val="none" w:sz="0" w:space="0" w:color="auto"/>
                                        <w:right w:val="none" w:sz="0" w:space="0" w:color="auto"/>
                                      </w:divBdr>
                                    </w:div>
                                  </w:divsChild>
                                </w:div>
                                <w:div w:id="19379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593756">
              <w:marLeft w:val="0"/>
              <w:marRight w:val="0"/>
              <w:marTop w:val="0"/>
              <w:marBottom w:val="0"/>
              <w:divBdr>
                <w:top w:val="none" w:sz="0" w:space="0" w:color="auto"/>
                <w:left w:val="none" w:sz="0" w:space="0" w:color="auto"/>
                <w:bottom w:val="none" w:sz="0" w:space="0" w:color="auto"/>
                <w:right w:val="none" w:sz="0" w:space="0" w:color="auto"/>
              </w:divBdr>
              <w:divsChild>
                <w:div w:id="1691877652">
                  <w:marLeft w:val="0"/>
                  <w:marRight w:val="0"/>
                  <w:marTop w:val="0"/>
                  <w:marBottom w:val="0"/>
                  <w:divBdr>
                    <w:top w:val="none" w:sz="0" w:space="0" w:color="auto"/>
                    <w:left w:val="none" w:sz="0" w:space="0" w:color="auto"/>
                    <w:bottom w:val="none" w:sz="0" w:space="0" w:color="auto"/>
                    <w:right w:val="none" w:sz="0" w:space="0" w:color="auto"/>
                  </w:divBdr>
                  <w:divsChild>
                    <w:div w:id="2879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31193">
          <w:marLeft w:val="0"/>
          <w:marRight w:val="0"/>
          <w:marTop w:val="0"/>
          <w:marBottom w:val="0"/>
          <w:divBdr>
            <w:top w:val="none" w:sz="0" w:space="0" w:color="auto"/>
            <w:left w:val="none" w:sz="0" w:space="0" w:color="auto"/>
            <w:bottom w:val="none" w:sz="0" w:space="0" w:color="auto"/>
            <w:right w:val="none" w:sz="0" w:space="0" w:color="auto"/>
          </w:divBdr>
          <w:divsChild>
            <w:div w:id="961575043">
              <w:marLeft w:val="0"/>
              <w:marRight w:val="0"/>
              <w:marTop w:val="0"/>
              <w:marBottom w:val="0"/>
              <w:divBdr>
                <w:top w:val="none" w:sz="0" w:space="0" w:color="auto"/>
                <w:left w:val="none" w:sz="0" w:space="0" w:color="auto"/>
                <w:bottom w:val="none" w:sz="0" w:space="0" w:color="auto"/>
                <w:right w:val="none" w:sz="0" w:space="0" w:color="auto"/>
              </w:divBdr>
              <w:divsChild>
                <w:div w:id="914628575">
                  <w:marLeft w:val="0"/>
                  <w:marRight w:val="0"/>
                  <w:marTop w:val="0"/>
                  <w:marBottom w:val="0"/>
                  <w:divBdr>
                    <w:top w:val="none" w:sz="0" w:space="0" w:color="auto"/>
                    <w:left w:val="none" w:sz="0" w:space="0" w:color="auto"/>
                    <w:bottom w:val="none" w:sz="0" w:space="0" w:color="auto"/>
                    <w:right w:val="none" w:sz="0" w:space="0" w:color="auto"/>
                  </w:divBdr>
                  <w:divsChild>
                    <w:div w:id="1190608451">
                      <w:marLeft w:val="0"/>
                      <w:marRight w:val="0"/>
                      <w:marTop w:val="0"/>
                      <w:marBottom w:val="0"/>
                      <w:divBdr>
                        <w:top w:val="none" w:sz="0" w:space="0" w:color="auto"/>
                        <w:left w:val="none" w:sz="0" w:space="0" w:color="auto"/>
                        <w:bottom w:val="none" w:sz="0" w:space="0" w:color="auto"/>
                        <w:right w:val="none" w:sz="0" w:space="0" w:color="auto"/>
                      </w:divBdr>
                      <w:divsChild>
                        <w:div w:id="14328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4439">
              <w:marLeft w:val="0"/>
              <w:marRight w:val="0"/>
              <w:marTop w:val="0"/>
              <w:marBottom w:val="0"/>
              <w:divBdr>
                <w:top w:val="none" w:sz="0" w:space="0" w:color="auto"/>
                <w:left w:val="none" w:sz="0" w:space="0" w:color="auto"/>
                <w:bottom w:val="none" w:sz="0" w:space="0" w:color="auto"/>
                <w:right w:val="none" w:sz="0" w:space="0" w:color="auto"/>
              </w:divBdr>
              <w:divsChild>
                <w:div w:id="445005622">
                  <w:marLeft w:val="0"/>
                  <w:marRight w:val="0"/>
                  <w:marTop w:val="0"/>
                  <w:marBottom w:val="0"/>
                  <w:divBdr>
                    <w:top w:val="none" w:sz="0" w:space="0" w:color="auto"/>
                    <w:left w:val="none" w:sz="0" w:space="0" w:color="auto"/>
                    <w:bottom w:val="none" w:sz="0" w:space="0" w:color="auto"/>
                    <w:right w:val="none" w:sz="0" w:space="0" w:color="auto"/>
                  </w:divBdr>
                  <w:divsChild>
                    <w:div w:id="2081823710">
                      <w:marLeft w:val="0"/>
                      <w:marRight w:val="0"/>
                      <w:marTop w:val="0"/>
                      <w:marBottom w:val="0"/>
                      <w:divBdr>
                        <w:top w:val="none" w:sz="0" w:space="0" w:color="auto"/>
                        <w:left w:val="none" w:sz="0" w:space="0" w:color="auto"/>
                        <w:bottom w:val="none" w:sz="0" w:space="0" w:color="auto"/>
                        <w:right w:val="none" w:sz="0" w:space="0" w:color="auto"/>
                      </w:divBdr>
                      <w:divsChild>
                        <w:div w:id="848955519">
                          <w:marLeft w:val="0"/>
                          <w:marRight w:val="0"/>
                          <w:marTop w:val="0"/>
                          <w:marBottom w:val="0"/>
                          <w:divBdr>
                            <w:top w:val="none" w:sz="0" w:space="0" w:color="auto"/>
                            <w:left w:val="none" w:sz="0" w:space="0" w:color="auto"/>
                            <w:bottom w:val="none" w:sz="0" w:space="0" w:color="auto"/>
                            <w:right w:val="none" w:sz="0" w:space="0" w:color="auto"/>
                          </w:divBdr>
                          <w:divsChild>
                            <w:div w:id="1958676469">
                              <w:marLeft w:val="0"/>
                              <w:marRight w:val="0"/>
                              <w:marTop w:val="0"/>
                              <w:marBottom w:val="0"/>
                              <w:divBdr>
                                <w:top w:val="none" w:sz="0" w:space="0" w:color="auto"/>
                                <w:left w:val="none" w:sz="0" w:space="0" w:color="auto"/>
                                <w:bottom w:val="none" w:sz="0" w:space="0" w:color="auto"/>
                                <w:right w:val="none" w:sz="0" w:space="0" w:color="auto"/>
                              </w:divBdr>
                              <w:divsChild>
                                <w:div w:id="174656632">
                                  <w:marLeft w:val="0"/>
                                  <w:marRight w:val="0"/>
                                  <w:marTop w:val="0"/>
                                  <w:marBottom w:val="0"/>
                                  <w:divBdr>
                                    <w:top w:val="none" w:sz="0" w:space="0" w:color="auto"/>
                                    <w:left w:val="none" w:sz="0" w:space="0" w:color="auto"/>
                                    <w:bottom w:val="none" w:sz="0" w:space="0" w:color="auto"/>
                                    <w:right w:val="none" w:sz="0" w:space="0" w:color="auto"/>
                                  </w:divBdr>
                                  <w:divsChild>
                                    <w:div w:id="235938385">
                                      <w:marLeft w:val="0"/>
                                      <w:marRight w:val="0"/>
                                      <w:marTop w:val="0"/>
                                      <w:marBottom w:val="0"/>
                                      <w:divBdr>
                                        <w:top w:val="none" w:sz="0" w:space="0" w:color="auto"/>
                                        <w:left w:val="none" w:sz="0" w:space="0" w:color="auto"/>
                                        <w:bottom w:val="none" w:sz="0" w:space="0" w:color="auto"/>
                                        <w:right w:val="none" w:sz="0" w:space="0" w:color="auto"/>
                                      </w:divBdr>
                                      <w:divsChild>
                                        <w:div w:id="2116365732">
                                          <w:marLeft w:val="0"/>
                                          <w:marRight w:val="0"/>
                                          <w:marTop w:val="0"/>
                                          <w:marBottom w:val="0"/>
                                          <w:divBdr>
                                            <w:top w:val="none" w:sz="0" w:space="0" w:color="auto"/>
                                            <w:left w:val="none" w:sz="0" w:space="0" w:color="auto"/>
                                            <w:bottom w:val="none" w:sz="0" w:space="0" w:color="auto"/>
                                            <w:right w:val="none" w:sz="0" w:space="0" w:color="auto"/>
                                          </w:divBdr>
                                          <w:divsChild>
                                            <w:div w:id="1821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8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427">
      <w:bodyDiv w:val="1"/>
      <w:marLeft w:val="0"/>
      <w:marRight w:val="0"/>
      <w:marTop w:val="0"/>
      <w:marBottom w:val="0"/>
      <w:divBdr>
        <w:top w:val="none" w:sz="0" w:space="0" w:color="auto"/>
        <w:left w:val="none" w:sz="0" w:space="0" w:color="auto"/>
        <w:bottom w:val="none" w:sz="0" w:space="0" w:color="auto"/>
        <w:right w:val="none" w:sz="0" w:space="0" w:color="auto"/>
      </w:divBdr>
    </w:div>
    <w:div w:id="1272010111">
      <w:bodyDiv w:val="1"/>
      <w:marLeft w:val="0"/>
      <w:marRight w:val="0"/>
      <w:marTop w:val="0"/>
      <w:marBottom w:val="0"/>
      <w:divBdr>
        <w:top w:val="none" w:sz="0" w:space="0" w:color="auto"/>
        <w:left w:val="none" w:sz="0" w:space="0" w:color="auto"/>
        <w:bottom w:val="none" w:sz="0" w:space="0" w:color="auto"/>
        <w:right w:val="none" w:sz="0" w:space="0" w:color="auto"/>
      </w:divBdr>
    </w:div>
    <w:div w:id="1428774483">
      <w:bodyDiv w:val="1"/>
      <w:marLeft w:val="0"/>
      <w:marRight w:val="0"/>
      <w:marTop w:val="0"/>
      <w:marBottom w:val="0"/>
      <w:divBdr>
        <w:top w:val="none" w:sz="0" w:space="0" w:color="auto"/>
        <w:left w:val="none" w:sz="0" w:space="0" w:color="auto"/>
        <w:bottom w:val="none" w:sz="0" w:space="0" w:color="auto"/>
        <w:right w:val="none" w:sz="0" w:space="0" w:color="auto"/>
      </w:divBdr>
    </w:div>
    <w:div w:id="1454708468">
      <w:bodyDiv w:val="1"/>
      <w:marLeft w:val="0"/>
      <w:marRight w:val="0"/>
      <w:marTop w:val="0"/>
      <w:marBottom w:val="0"/>
      <w:divBdr>
        <w:top w:val="none" w:sz="0" w:space="0" w:color="auto"/>
        <w:left w:val="none" w:sz="0" w:space="0" w:color="auto"/>
        <w:bottom w:val="none" w:sz="0" w:space="0" w:color="auto"/>
        <w:right w:val="none" w:sz="0" w:space="0" w:color="auto"/>
      </w:divBdr>
    </w:div>
    <w:div w:id="165625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climahealth.info/wp-content/uploads/2022/02/national-health-adaptation-plan-to-climate-change_Ethiopia-1.pdf" TargetMode="External"/><Relationship Id="rId39" Type="http://schemas.openxmlformats.org/officeDocument/2006/relationships/hyperlink" Target="https://doi.org/10.1016/j.envc.2023.100738"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s://napglobalnetwork.org/wp-content/uploads/2025/04/ethiopia-stocktake-climate-change-adaptation-last-final.pdf" TargetMode="External"/><Relationship Id="rId42" Type="http://schemas.openxmlformats.org/officeDocument/2006/relationships/hyperlink" Target="https://doi.org/10.1186/s12913-025-09876-5" TargetMode="External"/><Relationship Id="rId47" Type="http://schemas.openxmlformats.org/officeDocument/2006/relationships/hyperlink" Target="https://documents.worldbank.org/en/publication/documents-reports/documentdetail/099070324141519567"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ccghr.ca/wp-content/uploads/2013/11/national-research-ethics-review-guidline.pdf" TargetMode="External"/><Relationship Id="rId33" Type="http://schemas.openxmlformats.org/officeDocument/2006/relationships/hyperlink" Target="https://www.atachcommunity.com/fileadmin/uploads/atach/Documents/Country_documents/Ethiopia_HNAP_II.pdf" TargetMode="External"/><Relationship Id="rId38" Type="http://schemas.openxmlformats.org/officeDocument/2006/relationships/hyperlink" Target="https://doi.org/10.1038/s41598-025-06235-y" TargetMode="External"/><Relationship Id="rId46" Type="http://schemas.openxmlformats.org/officeDocument/2006/relationships/hyperlink" Target="https://www.worldbank.org/en/country/ethiopia"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reliefweb.int/report/ethiopia/tackling-flash-floods-urban-heat-and-other-climate-change-threats-three-sub-saharan-african-cities" TargetMode="External"/><Relationship Id="rId41" Type="http://schemas.openxmlformats.org/officeDocument/2006/relationships/hyperlink" Target="https://doi.org/10.1038/s41598-025-06235-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fao.org/giews/country-analysis/en/" TargetMode="External"/><Relationship Id="rId32" Type="http://schemas.openxmlformats.org/officeDocument/2006/relationships/hyperlink" Target="https://lancetcountdown.org/wp-content/uploads/2025/09/Ethiopia_Info-Sheet_Lancet-Countdown.pdf" TargetMode="External"/><Relationship Id="rId37" Type="http://schemas.openxmlformats.org/officeDocument/2006/relationships/hyperlink" Target="https://www.ncbi.nlm.nih.gov/pmc/articles/PMC5578710/" TargetMode="External"/><Relationship Id="rId40" Type="http://schemas.openxmlformats.org/officeDocument/2006/relationships/hyperlink" Target="https://doi.org/10.1016/j.heliyon.2024.e38166" TargetMode="External"/><Relationship Id="rId45" Type="http://schemas.openxmlformats.org/officeDocument/2006/relationships/hyperlink" Target="https://cdn.who.int/media/docs/default-source/climate-change/ethiopia-health-sector.pdf?sfvrsn=4380516f_3"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3389/fclim.2025.1555383" TargetMode="External"/><Relationship Id="rId28" Type="http://schemas.openxmlformats.org/officeDocument/2006/relationships/hyperlink" Target="https://www.adaptationcommunity.net/wp-content/uploads/2021/02/GIZ_Climate-risk-profile-Ethiopia_EN_final.pdf" TargetMode="External"/><Relationship Id="rId36" Type="http://schemas.openxmlformats.org/officeDocument/2006/relationships/hyperlink" Target="https://www.climatecentre.org/wp-content/uploads/RCRC_IFRC-Country-assessments-Ethiopia-Final3.pdf"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doi.org/10.1080/10962247.2017.1413020" TargetMode="External"/><Relationship Id="rId44" Type="http://schemas.openxmlformats.org/officeDocument/2006/relationships/hyperlink" Target="https://www.who.int/news-room/fact-sheets/detail/climate-change-and-health"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climatecentre.org/wp-content/uploads/RCRC_IFRC-Country-assessments-Ethiopia-Final3.pdf" TargetMode="External"/><Relationship Id="rId27" Type="http://schemas.openxmlformats.org/officeDocument/2006/relationships/hyperlink" Target="https://doi.org/10.1101/2025.04.26.25326478" TargetMode="External"/><Relationship Id="rId30" Type="http://schemas.openxmlformats.org/officeDocument/2006/relationships/hyperlink" Target="https://reliefweb.int/report/ethiopia/tackling-flash-floods-urban-heat-and-other-climate-change-threats-three-sub-saharan-african-cities" TargetMode="External"/><Relationship Id="rId35" Type="http://schemas.openxmlformats.org/officeDocument/2006/relationships/hyperlink" Target="https://www.preventionweb.net/media/98085/download" TargetMode="External"/><Relationship Id="rId43" Type="http://schemas.openxmlformats.org/officeDocument/2006/relationships/hyperlink" Target="https://www.unicef.org/ethiopia/reports/water-sanitation-and-hygiene"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37</Pages>
  <Words>12307</Words>
  <Characters>70154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2025-09-19T07:15:00Z</dcterms:created>
  <dcterms:modified xsi:type="dcterms:W3CDTF">2025-09-23T08:23:00Z</dcterms:modified>
</cp:coreProperties>
</file>