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742FE" w14:textId="4B17C845" w:rsidR="00897E30" w:rsidRPr="00231C83" w:rsidRDefault="00897E30" w:rsidP="00897E30">
      <w:pPr>
        <w:pStyle w:val="NoSpacing"/>
        <w:jc w:val="center"/>
        <w:rPr>
          <w:rFonts w:ascii="Book Antiqua" w:hAnsi="Book Antiqua"/>
          <w:sz w:val="24"/>
          <w:szCs w:val="24"/>
        </w:rPr>
      </w:pPr>
      <w:r w:rsidRPr="00231C83">
        <w:rPr>
          <w:rFonts w:ascii="Book Antiqua" w:hAnsi="Book Antiqua"/>
          <w:sz w:val="24"/>
          <w:szCs w:val="24"/>
        </w:rPr>
        <w:t>Lived Experiences of the Public Elementary School Teachers in Managing</w:t>
      </w:r>
    </w:p>
    <w:p w14:paraId="354E47DC" w14:textId="4FAF80CB" w:rsidR="00897E30" w:rsidRPr="00231C83" w:rsidRDefault="00897E30" w:rsidP="00897E30">
      <w:pPr>
        <w:pStyle w:val="NoSpacing"/>
        <w:jc w:val="center"/>
        <w:rPr>
          <w:rFonts w:ascii="Book Antiqua" w:hAnsi="Book Antiqua"/>
          <w:sz w:val="24"/>
          <w:szCs w:val="24"/>
        </w:rPr>
      </w:pPr>
      <w:r w:rsidRPr="00231C83">
        <w:rPr>
          <w:rFonts w:ascii="Book Antiqua" w:hAnsi="Book Antiqua"/>
          <w:sz w:val="24"/>
          <w:szCs w:val="24"/>
        </w:rPr>
        <w:t>Classroom Challenges and Addressing Learning Gaps</w:t>
      </w:r>
    </w:p>
    <w:p w14:paraId="1AECCAD5" w14:textId="77777777" w:rsidR="00897E30" w:rsidRPr="00231C83" w:rsidRDefault="00897E30" w:rsidP="00897E30">
      <w:pPr>
        <w:pStyle w:val="NoSpacing"/>
        <w:jc w:val="center"/>
        <w:rPr>
          <w:rFonts w:ascii="Book Antiqua" w:hAnsi="Book Antiqua"/>
          <w:sz w:val="24"/>
          <w:szCs w:val="24"/>
        </w:rPr>
      </w:pPr>
    </w:p>
    <w:p w14:paraId="02CF2447" w14:textId="69ACFDE4" w:rsidR="00A0531B" w:rsidRPr="00231C83" w:rsidRDefault="00A0531B" w:rsidP="00897E30">
      <w:pPr>
        <w:pStyle w:val="NoSpacing"/>
        <w:jc w:val="center"/>
        <w:rPr>
          <w:rFonts w:ascii="Book Antiqua" w:hAnsi="Book Antiqua"/>
          <w:sz w:val="24"/>
          <w:szCs w:val="24"/>
        </w:rPr>
      </w:pPr>
      <w:r w:rsidRPr="00231C83">
        <w:rPr>
          <w:rFonts w:ascii="Book Antiqua" w:hAnsi="Book Antiqua"/>
          <w:sz w:val="24"/>
          <w:szCs w:val="24"/>
        </w:rPr>
        <w:t>Estrellieta Cabusas-Marapao</w:t>
      </w:r>
      <w:r w:rsidR="003F6384" w:rsidRPr="00231C83">
        <w:rPr>
          <w:rFonts w:ascii="Book Antiqua" w:hAnsi="Book Antiqua"/>
          <w:sz w:val="24"/>
          <w:szCs w:val="24"/>
        </w:rPr>
        <w:t xml:space="preserve">, LPT, </w:t>
      </w:r>
      <w:r w:rsidRPr="00231C83">
        <w:rPr>
          <w:rFonts w:ascii="Book Antiqua" w:hAnsi="Book Antiqua"/>
          <w:sz w:val="24"/>
          <w:szCs w:val="24"/>
        </w:rPr>
        <w:t xml:space="preserve"> Teacher III</w:t>
      </w:r>
      <w:r w:rsidR="003F6384" w:rsidRPr="00231C83">
        <w:rPr>
          <w:rFonts w:ascii="Book Antiqua" w:hAnsi="Book Antiqua"/>
          <w:sz w:val="24"/>
          <w:szCs w:val="24"/>
        </w:rPr>
        <w:t>,</w:t>
      </w:r>
      <w:r w:rsidRPr="00231C83">
        <w:rPr>
          <w:rFonts w:ascii="Book Antiqua" w:hAnsi="Book Antiqua"/>
          <w:sz w:val="24"/>
          <w:szCs w:val="24"/>
        </w:rPr>
        <w:t xml:space="preserve"> Mapaga Elementary School Prosperidad, Agusan del Sur</w:t>
      </w:r>
      <w:r w:rsidR="00DF5486">
        <w:rPr>
          <w:rFonts w:ascii="Book Antiqua" w:hAnsi="Book Antiqua"/>
          <w:sz w:val="24"/>
          <w:szCs w:val="24"/>
        </w:rPr>
        <w:t xml:space="preserve">, </w:t>
      </w:r>
      <w:bookmarkStart w:id="0" w:name="_Hlk224435779"/>
      <w:r w:rsidR="00DF5486">
        <w:rPr>
          <w:rFonts w:ascii="Book Antiqua" w:hAnsi="Book Antiqua"/>
          <w:sz w:val="24"/>
          <w:szCs w:val="24"/>
        </w:rPr>
        <w:t>Philippines</w:t>
      </w:r>
      <w:bookmarkEnd w:id="0"/>
      <w:r w:rsidRPr="00231C83">
        <w:rPr>
          <w:rFonts w:ascii="Book Antiqua" w:hAnsi="Book Antiqua"/>
          <w:sz w:val="24"/>
          <w:szCs w:val="24"/>
        </w:rPr>
        <w:t xml:space="preserve"> </w:t>
      </w:r>
      <w:hyperlink r:id="rId7" w:history="1">
        <w:r w:rsidRPr="00231C83">
          <w:rPr>
            <w:rStyle w:val="Hyperlink"/>
            <w:rFonts w:ascii="Book Antiqua" w:hAnsi="Book Antiqua"/>
            <w:color w:val="auto"/>
            <w:sz w:val="24"/>
            <w:szCs w:val="24"/>
            <w:u w:val="none"/>
          </w:rPr>
          <w:t>estrellieta.marapao@deped.gov.ph</w:t>
        </w:r>
      </w:hyperlink>
    </w:p>
    <w:p w14:paraId="4FA2375C" w14:textId="77777777" w:rsidR="003F6384" w:rsidRPr="00231C83" w:rsidRDefault="003F6384" w:rsidP="00897E30">
      <w:pPr>
        <w:pStyle w:val="NoSpacing"/>
        <w:jc w:val="center"/>
        <w:rPr>
          <w:rFonts w:ascii="Book Antiqua" w:hAnsi="Book Antiqua"/>
          <w:sz w:val="24"/>
          <w:szCs w:val="24"/>
        </w:rPr>
      </w:pPr>
    </w:p>
    <w:p w14:paraId="00D21D8D" w14:textId="2B605FBC" w:rsidR="00A0531B" w:rsidRPr="00231C83" w:rsidRDefault="00A0531B" w:rsidP="00897E30">
      <w:pPr>
        <w:pStyle w:val="NoSpacing"/>
        <w:jc w:val="center"/>
        <w:rPr>
          <w:rFonts w:ascii="Book Antiqua" w:hAnsi="Book Antiqua"/>
          <w:sz w:val="24"/>
          <w:szCs w:val="24"/>
        </w:rPr>
      </w:pPr>
      <w:r w:rsidRPr="00231C83">
        <w:rPr>
          <w:rFonts w:ascii="Book Antiqua" w:hAnsi="Book Antiqua"/>
          <w:sz w:val="24"/>
          <w:szCs w:val="24"/>
        </w:rPr>
        <w:t>Elvira B. Sumbalan,</w:t>
      </w:r>
      <w:r w:rsidR="003F6384" w:rsidRPr="00231C83">
        <w:rPr>
          <w:rFonts w:ascii="Book Antiqua" w:hAnsi="Book Antiqua"/>
          <w:sz w:val="24"/>
          <w:szCs w:val="24"/>
        </w:rPr>
        <w:t xml:space="preserve"> PhD, </w:t>
      </w:r>
      <w:r w:rsidRPr="00231C83">
        <w:rPr>
          <w:rFonts w:ascii="Book Antiqua" w:hAnsi="Book Antiqua"/>
          <w:sz w:val="24"/>
          <w:szCs w:val="24"/>
        </w:rPr>
        <w:t xml:space="preserve"> Malaybalay City</w:t>
      </w:r>
      <w:r w:rsidR="00DF5486">
        <w:rPr>
          <w:rFonts w:ascii="Book Antiqua" w:hAnsi="Book Antiqua"/>
          <w:sz w:val="24"/>
          <w:szCs w:val="24"/>
        </w:rPr>
        <w:t xml:space="preserve">, </w:t>
      </w:r>
      <w:r w:rsidR="00DF5486">
        <w:rPr>
          <w:rFonts w:ascii="Book Antiqua" w:hAnsi="Book Antiqua"/>
          <w:sz w:val="24"/>
          <w:szCs w:val="24"/>
        </w:rPr>
        <w:t>Philippines</w:t>
      </w:r>
    </w:p>
    <w:p w14:paraId="75585113" w14:textId="77777777" w:rsidR="00A0531B" w:rsidRPr="00231C83" w:rsidRDefault="00A0531B" w:rsidP="00897E30">
      <w:pPr>
        <w:pStyle w:val="NoSpacing"/>
        <w:jc w:val="center"/>
        <w:rPr>
          <w:rFonts w:ascii="Book Antiqua" w:hAnsi="Book Antiqua"/>
          <w:sz w:val="24"/>
          <w:szCs w:val="24"/>
        </w:rPr>
      </w:pPr>
    </w:p>
    <w:p w14:paraId="5C06D627" w14:textId="77777777" w:rsidR="00231C83" w:rsidRPr="00231C83" w:rsidRDefault="00231C83" w:rsidP="00231C83">
      <w:pPr>
        <w:pStyle w:val="NoSpacing"/>
        <w:jc w:val="both"/>
        <w:rPr>
          <w:rFonts w:ascii="Book Antiqua" w:hAnsi="Book Antiqua"/>
          <w:sz w:val="24"/>
          <w:szCs w:val="24"/>
        </w:rPr>
      </w:pPr>
      <w:r w:rsidRPr="00231C83">
        <w:rPr>
          <w:rFonts w:ascii="Book Antiqua" w:hAnsi="Book Antiqua"/>
          <w:sz w:val="24"/>
          <w:szCs w:val="24"/>
        </w:rPr>
        <w:t>This study explored the lived experiences of public elementary school teachers following the COVID-19 pandemic school closures. It was conducted at Mapaga Elementary School in Prosperidad District, Division of Agusan del Sur, during the School Year 2023–2024. The school was among those that resumed full face-to-face classes in August 2022 after the pandemic-related shutdown. The research sought to understand how teachers navigated the transition back to in-person instruction and addressed emerging academic and behavioral concerns among learners.</w:t>
      </w:r>
    </w:p>
    <w:p w14:paraId="0D526AB1" w14:textId="77777777" w:rsidR="00231C83" w:rsidRPr="00231C83" w:rsidRDefault="00231C83" w:rsidP="00231C83">
      <w:pPr>
        <w:pStyle w:val="NoSpacing"/>
        <w:jc w:val="both"/>
        <w:rPr>
          <w:rFonts w:ascii="Book Antiqua" w:hAnsi="Book Antiqua"/>
          <w:sz w:val="24"/>
          <w:szCs w:val="24"/>
        </w:rPr>
      </w:pPr>
    </w:p>
    <w:p w14:paraId="2DD3B795" w14:textId="77777777" w:rsidR="00231C83" w:rsidRPr="00231C83" w:rsidRDefault="00231C83" w:rsidP="00231C83">
      <w:pPr>
        <w:pStyle w:val="NoSpacing"/>
        <w:jc w:val="both"/>
        <w:rPr>
          <w:rFonts w:ascii="Book Antiqua" w:hAnsi="Book Antiqua"/>
          <w:sz w:val="24"/>
          <w:szCs w:val="24"/>
        </w:rPr>
      </w:pPr>
      <w:r w:rsidRPr="00231C83">
        <w:rPr>
          <w:rFonts w:ascii="Book Antiqua" w:hAnsi="Book Antiqua"/>
          <w:sz w:val="24"/>
          <w:szCs w:val="24"/>
        </w:rPr>
        <w:t>A qualitative-descriptive research design was employed, specifically utilizing the phenomenological approach outlined by Creswell (2012). Seven (7) purposively selected teachers from Kindergarten to Grade 6 participated in the study. All participants had at least five years of teaching experience and had taught the same grade level before and during the pandemic, ensuring rich and relevant insights. Data were gathered through semi-structured interviews that allowed participants to share detailed accounts of their experiences. Significant statements were extracted, coded, and organized into categories and themes using non-statistical methods. Data analysis followed Colaizzi’s (1978) seven-step phenomenological procedure to ensure systematic interpretation and credibility.</w:t>
      </w:r>
    </w:p>
    <w:p w14:paraId="2E369A35" w14:textId="77777777" w:rsidR="00231C83" w:rsidRPr="00231C83" w:rsidRDefault="00231C83" w:rsidP="00231C83">
      <w:pPr>
        <w:pStyle w:val="NoSpacing"/>
        <w:jc w:val="both"/>
        <w:rPr>
          <w:rFonts w:ascii="Book Antiqua" w:hAnsi="Book Antiqua"/>
          <w:sz w:val="24"/>
          <w:szCs w:val="24"/>
        </w:rPr>
      </w:pPr>
    </w:p>
    <w:p w14:paraId="4BEE9080" w14:textId="2BEA3EBC" w:rsidR="00231C83" w:rsidRDefault="00231C83" w:rsidP="00231C83">
      <w:pPr>
        <w:pStyle w:val="NoSpacing"/>
        <w:jc w:val="both"/>
        <w:rPr>
          <w:rFonts w:ascii="Book Antiqua" w:hAnsi="Book Antiqua"/>
          <w:sz w:val="24"/>
          <w:szCs w:val="24"/>
        </w:rPr>
      </w:pPr>
      <w:r w:rsidRPr="00231C83">
        <w:rPr>
          <w:rFonts w:ascii="Book Antiqua" w:hAnsi="Book Antiqua"/>
          <w:sz w:val="24"/>
          <w:szCs w:val="24"/>
        </w:rPr>
        <w:t>Findings revealed six major themes that characterized teachers’ post-pandemic experiences: struggles in teaching, changes in learners’ behavior toward learning, widening learning gaps, teacher adaptability and resourcefulness, teaching as challenging yet rewarding, and the provision of supportive and engaging learning environments. These themes highlight both the difficulties encountered and the resilience demonstrated by teachers in restoring effective classroom instruction after the pandemic.</w:t>
      </w:r>
    </w:p>
    <w:p w14:paraId="54758012" w14:textId="77777777" w:rsidR="00AE455E" w:rsidRDefault="00AE455E" w:rsidP="00231C83">
      <w:pPr>
        <w:pStyle w:val="NoSpacing"/>
        <w:jc w:val="both"/>
        <w:rPr>
          <w:rFonts w:ascii="Book Antiqua" w:hAnsi="Book Antiqua"/>
          <w:sz w:val="24"/>
          <w:szCs w:val="24"/>
        </w:rPr>
      </w:pPr>
    </w:p>
    <w:p w14:paraId="5531E6B2" w14:textId="4B5C739C" w:rsidR="00AE455E" w:rsidRPr="00AE455E" w:rsidRDefault="00AE455E" w:rsidP="00AE455E">
      <w:pPr>
        <w:pStyle w:val="NoSpacing"/>
        <w:rPr>
          <w:rFonts w:ascii="Book Antiqua" w:hAnsi="Book Antiqua"/>
          <w:i/>
          <w:iCs/>
          <w:sz w:val="24"/>
          <w:szCs w:val="24"/>
        </w:rPr>
      </w:pPr>
      <w:r w:rsidRPr="00AE455E">
        <w:rPr>
          <w:rFonts w:ascii="Book Antiqua" w:hAnsi="Book Antiqua"/>
          <w:i/>
          <w:iCs/>
          <w:sz w:val="24"/>
          <w:szCs w:val="24"/>
        </w:rPr>
        <w:t>Keywords: Lived Experiences, Public Elementary School Teachers, Managing</w:t>
      </w:r>
    </w:p>
    <w:p w14:paraId="766C1CBE" w14:textId="0BBB4F9F" w:rsidR="00AE455E" w:rsidRPr="00AE455E" w:rsidRDefault="00AE455E" w:rsidP="00AE455E">
      <w:pPr>
        <w:pStyle w:val="NoSpacing"/>
        <w:jc w:val="center"/>
        <w:rPr>
          <w:rFonts w:ascii="Book Antiqua" w:hAnsi="Book Antiqua"/>
          <w:i/>
          <w:iCs/>
          <w:sz w:val="24"/>
          <w:szCs w:val="24"/>
        </w:rPr>
      </w:pPr>
      <w:r w:rsidRPr="00AE455E">
        <w:rPr>
          <w:rFonts w:ascii="Book Antiqua" w:hAnsi="Book Antiqua"/>
          <w:i/>
          <w:iCs/>
          <w:sz w:val="24"/>
          <w:szCs w:val="24"/>
        </w:rPr>
        <w:t>Classroom Challenges, Learning Gaps</w:t>
      </w:r>
    </w:p>
    <w:p w14:paraId="6E260946" w14:textId="2C979C50" w:rsidR="00AE455E" w:rsidRPr="00AE455E" w:rsidRDefault="00AE455E" w:rsidP="00231C83">
      <w:pPr>
        <w:pStyle w:val="NoSpacing"/>
        <w:jc w:val="both"/>
        <w:rPr>
          <w:rFonts w:ascii="Book Antiqua" w:hAnsi="Book Antiqua"/>
          <w:i/>
          <w:iCs/>
          <w:sz w:val="24"/>
          <w:szCs w:val="24"/>
        </w:rPr>
      </w:pPr>
    </w:p>
    <w:p w14:paraId="63EB0607" w14:textId="3F2DC193" w:rsidR="00231C83" w:rsidRDefault="00231C83" w:rsidP="00231C83">
      <w:pPr>
        <w:pStyle w:val="NoSpacing"/>
        <w:jc w:val="both"/>
        <w:rPr>
          <w:rFonts w:ascii="Book Antiqua" w:hAnsi="Book Antiqua"/>
          <w:sz w:val="24"/>
          <w:szCs w:val="24"/>
        </w:rPr>
      </w:pPr>
    </w:p>
    <w:p w14:paraId="366590AB" w14:textId="1A2A4D7A" w:rsidR="00A0531B" w:rsidRPr="00231C83" w:rsidRDefault="00A0531B" w:rsidP="00231C83">
      <w:pPr>
        <w:pStyle w:val="NoSpacing"/>
        <w:jc w:val="both"/>
        <w:rPr>
          <w:rFonts w:ascii="Book Antiqua" w:eastAsia="Times New Roman" w:hAnsi="Book Antiqua" w:cs="Times New Roman"/>
          <w:b/>
          <w:bCs/>
          <w:sz w:val="24"/>
          <w:szCs w:val="24"/>
          <w:lang w:bidi="ar-SA"/>
        </w:rPr>
      </w:pPr>
      <w:r w:rsidRPr="00231C83">
        <w:rPr>
          <w:rFonts w:ascii="Book Antiqua" w:eastAsia="Times New Roman" w:hAnsi="Book Antiqua" w:cs="Times New Roman"/>
          <w:b/>
          <w:bCs/>
          <w:sz w:val="24"/>
          <w:szCs w:val="24"/>
          <w:lang w:bidi="ar-SA"/>
        </w:rPr>
        <w:t>1. Introduction</w:t>
      </w:r>
    </w:p>
    <w:p w14:paraId="716BC59A"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sz w:val="24"/>
          <w:szCs w:val="24"/>
          <w:lang w:bidi="ar-SA"/>
        </w:rPr>
        <w:t xml:space="preserve">Basic public education in the Philippines has for decades faced chronic challenges such as overcrowded classes, limited teaching time, and learner diversity impacting performance and motivation. These challenges worsened during the COVID-19 pandemic when schools shifted to remote and modular learning models, disrupting classroom routines and instructional continuity. When classes resumed face-to-face in </w:t>
      </w:r>
      <w:r w:rsidRPr="00231C83">
        <w:rPr>
          <w:rFonts w:ascii="Book Antiqua" w:eastAsia="Times New Roman" w:hAnsi="Book Antiqua" w:cs="Times New Roman"/>
          <w:sz w:val="24"/>
          <w:szCs w:val="24"/>
          <w:lang w:bidi="ar-SA"/>
        </w:rPr>
        <w:lastRenderedPageBreak/>
        <w:t>Prosperidad District, teachers encountered a complex learning environment characterized by varied academic readiness, behavioral challenges, and significant learning regression.</w:t>
      </w:r>
    </w:p>
    <w:p w14:paraId="4E889F87"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sz w:val="24"/>
          <w:szCs w:val="24"/>
          <w:lang w:bidi="ar-SA"/>
        </w:rPr>
        <w:t>This study examines the lived experiences of public elementary teachers in addressing the compounded classroom difficulties and learning gaps post-pandemic. It aims to provide nuanced understanding and insights into teachers’ strategies for rebuilding engaging and supportive learning spaces.</w:t>
      </w:r>
    </w:p>
    <w:p w14:paraId="07C43FEA" w14:textId="77777777" w:rsidR="00A0531B" w:rsidRPr="00231C83" w:rsidRDefault="00A0531B" w:rsidP="00A0531B">
      <w:pPr>
        <w:pStyle w:val="NoSpacing"/>
        <w:jc w:val="both"/>
        <w:rPr>
          <w:rFonts w:ascii="Book Antiqua" w:eastAsia="Times New Roman" w:hAnsi="Book Antiqua" w:cs="Times New Roman"/>
          <w:b/>
          <w:bCs/>
          <w:sz w:val="24"/>
          <w:szCs w:val="24"/>
          <w:lang w:bidi="ar-SA"/>
        </w:rPr>
      </w:pPr>
      <w:r w:rsidRPr="00231C83">
        <w:rPr>
          <w:rFonts w:ascii="Book Antiqua" w:eastAsia="Times New Roman" w:hAnsi="Book Antiqua" w:cs="Times New Roman"/>
          <w:b/>
          <w:bCs/>
          <w:sz w:val="24"/>
          <w:szCs w:val="24"/>
          <w:lang w:bidi="ar-SA"/>
        </w:rPr>
        <w:t>2. Statement of the Problem and Objectives</w:t>
      </w:r>
    </w:p>
    <w:p w14:paraId="0ED4A623"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b/>
          <w:bCs/>
          <w:sz w:val="24"/>
          <w:szCs w:val="24"/>
          <w:lang w:bidi="ar-SA"/>
        </w:rPr>
        <w:t>General Objective:</w:t>
      </w:r>
      <w:r w:rsidRPr="00231C83">
        <w:rPr>
          <w:rFonts w:ascii="Book Antiqua" w:eastAsia="Times New Roman" w:hAnsi="Book Antiqua" w:cs="Times New Roman"/>
          <w:sz w:val="24"/>
          <w:szCs w:val="24"/>
          <w:lang w:bidi="ar-SA"/>
        </w:rPr>
        <w:t xml:space="preserve"> To explore how public elementary teachers in Prosperidad District manage post-pandemic classroom challenges and learning gaps while fostering engaging and supportive classrooms during the 2023-2024 school year.</w:t>
      </w:r>
    </w:p>
    <w:p w14:paraId="0EF6540D"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b/>
          <w:bCs/>
          <w:sz w:val="24"/>
          <w:szCs w:val="24"/>
          <w:lang w:bidi="ar-SA"/>
        </w:rPr>
        <w:t>Specific Objectives:</w:t>
      </w:r>
    </w:p>
    <w:p w14:paraId="1B032734"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sz w:val="24"/>
          <w:szCs w:val="24"/>
          <w:lang w:bidi="ar-SA"/>
        </w:rPr>
        <w:t>Describe teachers’ lived experiences managing classroom challenges and student learning gaps intensified by COVID-19.</w:t>
      </w:r>
    </w:p>
    <w:p w14:paraId="6303BD5F"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sz w:val="24"/>
          <w:szCs w:val="24"/>
          <w:lang w:bidi="ar-SA"/>
        </w:rPr>
        <w:t>Examine their approaches to creating engaging, supportive classrooms despite these difficulties.</w:t>
      </w:r>
    </w:p>
    <w:p w14:paraId="7E515E7B" w14:textId="77777777" w:rsidR="00A0531B" w:rsidRPr="00231C83" w:rsidRDefault="00A0531B" w:rsidP="00A0531B">
      <w:pPr>
        <w:pStyle w:val="NoSpacing"/>
        <w:jc w:val="both"/>
        <w:rPr>
          <w:rFonts w:ascii="Book Antiqua" w:eastAsia="Times New Roman" w:hAnsi="Book Antiqua" w:cs="Times New Roman"/>
          <w:b/>
          <w:bCs/>
          <w:sz w:val="24"/>
          <w:szCs w:val="24"/>
          <w:lang w:bidi="ar-SA"/>
        </w:rPr>
      </w:pPr>
      <w:r w:rsidRPr="00231C83">
        <w:rPr>
          <w:rFonts w:ascii="Book Antiqua" w:eastAsia="Times New Roman" w:hAnsi="Book Antiqua" w:cs="Times New Roman"/>
          <w:b/>
          <w:bCs/>
          <w:sz w:val="24"/>
          <w:szCs w:val="24"/>
          <w:lang w:bidi="ar-SA"/>
        </w:rPr>
        <w:t>3. Conceptual Framework</w:t>
      </w:r>
    </w:p>
    <w:p w14:paraId="12A2A094"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sz w:val="24"/>
          <w:szCs w:val="24"/>
          <w:lang w:bidi="ar-SA"/>
        </w:rPr>
        <w:t>Rooted in Fiedler’s Contingency Theory, this study posits that no universal instructional or management approach fits all post-pandemic classroom contexts. Instead, teachers adapt their strategies responsively based on dynamic classroom realities. Phenomenology underpins the research design to capture the essence of teachers' lived experiences, reflecting their personal and professional adaptations to emerging classroom demands.</w:t>
      </w:r>
    </w:p>
    <w:p w14:paraId="36AF70EB" w14:textId="77777777" w:rsidR="00A0531B" w:rsidRPr="00231C83" w:rsidRDefault="00A0531B" w:rsidP="00A0531B">
      <w:pPr>
        <w:pStyle w:val="NoSpacing"/>
        <w:jc w:val="both"/>
        <w:rPr>
          <w:rFonts w:ascii="Book Antiqua" w:eastAsia="Times New Roman" w:hAnsi="Book Antiqua" w:cs="Times New Roman"/>
          <w:b/>
          <w:bCs/>
          <w:sz w:val="24"/>
          <w:szCs w:val="24"/>
          <w:lang w:bidi="ar-SA"/>
        </w:rPr>
      </w:pPr>
      <w:r w:rsidRPr="00231C83">
        <w:rPr>
          <w:rFonts w:ascii="Book Antiqua" w:eastAsia="Times New Roman" w:hAnsi="Book Antiqua" w:cs="Times New Roman"/>
          <w:b/>
          <w:bCs/>
          <w:sz w:val="24"/>
          <w:szCs w:val="24"/>
          <w:lang w:bidi="ar-SA"/>
        </w:rPr>
        <w:t>4. Review of Related Literature</w:t>
      </w:r>
    </w:p>
    <w:p w14:paraId="038BC58F"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sz w:val="24"/>
          <w:szCs w:val="24"/>
          <w:lang w:bidi="ar-SA"/>
        </w:rPr>
        <w:t>Previous studies document pandemic-induced learning crises with increased numbers of struggling and non-readers, socio-emotional challenges, and instructional discontinuity. Teachers faced the daunting need to balance curriculum demands with psychosocial support amid resource scarcity and health concerns. Seminars and specialized training improved teacher adaptability and teaching effectiveness. Yet, firsthand accounts reflecting how teachers negotiate these challenges daily remain sparse, emphasizing the importance of phenomenological inquiry.</w:t>
      </w:r>
    </w:p>
    <w:p w14:paraId="7D721BED" w14:textId="77777777" w:rsidR="00A0531B" w:rsidRPr="00231C83" w:rsidRDefault="00A0531B" w:rsidP="00A0531B">
      <w:pPr>
        <w:pStyle w:val="NoSpacing"/>
        <w:jc w:val="both"/>
        <w:rPr>
          <w:rFonts w:ascii="Book Antiqua" w:eastAsia="Times New Roman" w:hAnsi="Book Antiqua" w:cs="Times New Roman"/>
          <w:b/>
          <w:bCs/>
          <w:sz w:val="24"/>
          <w:szCs w:val="24"/>
          <w:lang w:bidi="ar-SA"/>
        </w:rPr>
      </w:pPr>
      <w:r w:rsidRPr="00231C83">
        <w:rPr>
          <w:rFonts w:ascii="Book Antiqua" w:eastAsia="Times New Roman" w:hAnsi="Book Antiqua" w:cs="Times New Roman"/>
          <w:b/>
          <w:bCs/>
          <w:sz w:val="24"/>
          <w:szCs w:val="24"/>
          <w:lang w:bidi="ar-SA"/>
        </w:rPr>
        <w:t>5. Research Methodology</w:t>
      </w:r>
    </w:p>
    <w:p w14:paraId="1DA65D6B"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sz w:val="24"/>
          <w:szCs w:val="24"/>
          <w:lang w:bidi="ar-SA"/>
        </w:rPr>
        <w:t>A qualitative descriptive phenomenological approach was employed. Seven purposively selected public elementary teachers were interviewed using semi-structured protocols to deeply investigate their lived experiences before, during, and after the pandemic’s peak. Data analysis followed Colaizzi’s seven-step method ensuring rigor, validity, and faithful representation of participants’ narratives.</w:t>
      </w:r>
    </w:p>
    <w:p w14:paraId="37866450" w14:textId="77777777" w:rsidR="00A0531B" w:rsidRPr="00231C83" w:rsidRDefault="00A0531B" w:rsidP="00A0531B">
      <w:pPr>
        <w:pStyle w:val="NoSpacing"/>
        <w:jc w:val="both"/>
        <w:rPr>
          <w:rFonts w:ascii="Book Antiqua" w:eastAsia="Times New Roman" w:hAnsi="Book Antiqua" w:cs="Times New Roman"/>
          <w:b/>
          <w:bCs/>
          <w:sz w:val="24"/>
          <w:szCs w:val="24"/>
          <w:lang w:bidi="ar-SA"/>
        </w:rPr>
      </w:pPr>
      <w:r w:rsidRPr="00231C83">
        <w:rPr>
          <w:rFonts w:ascii="Book Antiqua" w:eastAsia="Times New Roman" w:hAnsi="Book Antiqua" w:cs="Times New Roman"/>
          <w:b/>
          <w:bCs/>
          <w:sz w:val="24"/>
          <w:szCs w:val="24"/>
          <w:lang w:bidi="ar-SA"/>
        </w:rPr>
        <w:t>6. Results and Discussion</w:t>
      </w:r>
    </w:p>
    <w:p w14:paraId="39C32342"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sz w:val="24"/>
          <w:szCs w:val="24"/>
          <w:lang w:bidi="ar-SA"/>
        </w:rPr>
        <w:t>The results are categorized into six interconnected thematic areas, correlating with the study’s two research objectives.</w:t>
      </w:r>
    </w:p>
    <w:p w14:paraId="5C089665" w14:textId="77777777" w:rsidR="00A0531B" w:rsidRPr="00231C83" w:rsidRDefault="00A0531B" w:rsidP="00A0531B">
      <w:pPr>
        <w:pStyle w:val="NoSpacing"/>
        <w:jc w:val="both"/>
        <w:rPr>
          <w:rFonts w:ascii="Book Antiqua" w:eastAsia="Times New Roman" w:hAnsi="Book Antiqua" w:cs="Times New Roman"/>
          <w:b/>
          <w:bCs/>
          <w:sz w:val="24"/>
          <w:szCs w:val="24"/>
          <w:lang w:bidi="ar-SA"/>
        </w:rPr>
      </w:pPr>
      <w:r w:rsidRPr="00231C83">
        <w:rPr>
          <w:rFonts w:ascii="Book Antiqua" w:eastAsia="Times New Roman" w:hAnsi="Book Antiqua" w:cs="Times New Roman"/>
          <w:b/>
          <w:bCs/>
          <w:sz w:val="24"/>
          <w:szCs w:val="24"/>
          <w:lang w:bidi="ar-SA"/>
        </w:rPr>
        <w:t>6.1 Struggles in Teaching</w:t>
      </w:r>
    </w:p>
    <w:p w14:paraId="507E956E"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sz w:val="24"/>
          <w:szCs w:val="24"/>
          <w:lang w:bidi="ar-SA"/>
        </w:rPr>
        <w:t xml:space="preserve">Teachers consistently reported acute instructional burdens due to learners’ diminished readiness, absenteeism, and foundational skill deficits. Participants narrated adapting </w:t>
      </w:r>
      <w:r w:rsidRPr="00231C83">
        <w:rPr>
          <w:rFonts w:ascii="Book Antiqua" w:eastAsia="Times New Roman" w:hAnsi="Book Antiqua" w:cs="Times New Roman"/>
          <w:sz w:val="24"/>
          <w:szCs w:val="24"/>
          <w:lang w:bidi="ar-SA"/>
        </w:rPr>
        <w:lastRenderedPageBreak/>
        <w:t>lesson pacing, often slowing down or reteaching basic concepts such as reading comprehension and numeracy. For example, one teacher said, "I had to repeatedly review basics because many students could not follow grade-level lessons". These teaching challenges caused emotional strain, manifesting as stress and pressure to meet expectations despite time and resource limitations.</w:t>
      </w:r>
    </w:p>
    <w:p w14:paraId="233776A7"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sz w:val="24"/>
          <w:szCs w:val="24"/>
          <w:lang w:bidi="ar-SA"/>
        </w:rPr>
        <w:t>This finding aligns with literature emphasizing instructional disruption’s lasting effects and the intensified demands placed on teachers in the post-pandemic environment.</w:t>
      </w:r>
    </w:p>
    <w:p w14:paraId="367C590D" w14:textId="77777777" w:rsidR="00A0531B" w:rsidRPr="00231C83" w:rsidRDefault="00A0531B" w:rsidP="00A0531B">
      <w:pPr>
        <w:pStyle w:val="NoSpacing"/>
        <w:jc w:val="both"/>
        <w:rPr>
          <w:rFonts w:ascii="Book Antiqua" w:eastAsia="Times New Roman" w:hAnsi="Book Antiqua" w:cs="Times New Roman"/>
          <w:b/>
          <w:bCs/>
          <w:sz w:val="24"/>
          <w:szCs w:val="24"/>
          <w:lang w:bidi="ar-SA"/>
        </w:rPr>
      </w:pPr>
      <w:r w:rsidRPr="00231C83">
        <w:rPr>
          <w:rFonts w:ascii="Book Antiqua" w:eastAsia="Times New Roman" w:hAnsi="Book Antiqua" w:cs="Times New Roman"/>
          <w:b/>
          <w:bCs/>
          <w:sz w:val="24"/>
          <w:szCs w:val="24"/>
          <w:lang w:bidi="ar-SA"/>
        </w:rPr>
        <w:t>6.2 Behavior Toward Learning</w:t>
      </w:r>
    </w:p>
    <w:p w14:paraId="5B711532"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sz w:val="24"/>
          <w:szCs w:val="24"/>
          <w:lang w:bidi="ar-SA"/>
        </w:rPr>
        <w:t>Post-pandemic learner attitudes and behaviors were mixed. Teachers observed enthusiasm and eagerness in some students, especially for social interaction and group activities. However, anxiety and reluctance marked others, often influenced by health fears and prolonged isolation. A participant described learners' “mixed feelings about returning to school, some glad, some hesitant due to safety concerns”.</w:t>
      </w:r>
    </w:p>
    <w:p w14:paraId="1C471853"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sz w:val="24"/>
          <w:szCs w:val="24"/>
          <w:lang w:bidi="ar-SA"/>
        </w:rPr>
        <w:t>Teachers creatively leveraged varied engagement strategies—including board work, games, and group tasks—to accommodate shifting poise and motivation levels among pupils. These stories reinforce findings that post-pandemic classrooms have complex socio-emotional dynamics that require multi-faceted teacher responses.</w:t>
      </w:r>
    </w:p>
    <w:p w14:paraId="4B1BB1F5" w14:textId="77777777" w:rsidR="00A0531B" w:rsidRPr="00231C83" w:rsidRDefault="00A0531B" w:rsidP="00A0531B">
      <w:pPr>
        <w:pStyle w:val="NoSpacing"/>
        <w:jc w:val="both"/>
        <w:rPr>
          <w:rFonts w:ascii="Book Antiqua" w:eastAsia="Times New Roman" w:hAnsi="Book Antiqua" w:cs="Times New Roman"/>
          <w:b/>
          <w:bCs/>
          <w:sz w:val="24"/>
          <w:szCs w:val="24"/>
          <w:lang w:bidi="ar-SA"/>
        </w:rPr>
      </w:pPr>
      <w:r w:rsidRPr="00231C83">
        <w:rPr>
          <w:rFonts w:ascii="Book Antiqua" w:eastAsia="Times New Roman" w:hAnsi="Book Antiqua" w:cs="Times New Roman"/>
          <w:b/>
          <w:bCs/>
          <w:sz w:val="24"/>
          <w:szCs w:val="24"/>
          <w:lang w:bidi="ar-SA"/>
        </w:rPr>
        <w:t>6.3 Learning Gaps</w:t>
      </w:r>
    </w:p>
    <w:p w14:paraId="0086D575"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sz w:val="24"/>
          <w:szCs w:val="24"/>
          <w:lang w:bidi="ar-SA"/>
        </w:rPr>
        <w:t>A critical and persistent theme was the widening of learning gaps, particularly impacting reading and numeracy skills. Incidents of non- and struggling readers in higher grades surfaced frequently, highlighting foundational skill deficiencies aggravated during the modular and remote learning periods.</w:t>
      </w:r>
    </w:p>
    <w:p w14:paraId="4FB787A0"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sz w:val="24"/>
          <w:szCs w:val="24"/>
          <w:lang w:bidi="ar-SA"/>
        </w:rPr>
        <w:t>The teachers emphasized the urgent need for remediation and targeted interventions. One participant expressed concern about “many learners falling behind because of disrupted schooling”. These local experiences validate broader studies underscoring the pandemic’s disproportionate impact on foundational learning.</w:t>
      </w:r>
    </w:p>
    <w:p w14:paraId="3DC54593" w14:textId="77777777" w:rsidR="00A0531B" w:rsidRPr="00231C83" w:rsidRDefault="00A0531B" w:rsidP="00A0531B">
      <w:pPr>
        <w:pStyle w:val="NoSpacing"/>
        <w:jc w:val="both"/>
        <w:rPr>
          <w:rFonts w:ascii="Book Antiqua" w:eastAsia="Times New Roman" w:hAnsi="Book Antiqua" w:cs="Times New Roman"/>
          <w:b/>
          <w:bCs/>
          <w:sz w:val="24"/>
          <w:szCs w:val="24"/>
          <w:lang w:bidi="ar-SA"/>
        </w:rPr>
      </w:pPr>
      <w:r w:rsidRPr="00231C83">
        <w:rPr>
          <w:rFonts w:ascii="Book Antiqua" w:eastAsia="Times New Roman" w:hAnsi="Book Antiqua" w:cs="Times New Roman"/>
          <w:b/>
          <w:bCs/>
          <w:sz w:val="24"/>
          <w:szCs w:val="24"/>
          <w:lang w:bidi="ar-SA"/>
        </w:rPr>
        <w:t>6.4 Teacher Adaptability and Resourcefulness</w:t>
      </w:r>
    </w:p>
    <w:p w14:paraId="540AE6ED"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sz w:val="24"/>
          <w:szCs w:val="24"/>
          <w:lang w:bidi="ar-SA"/>
        </w:rPr>
        <w:t>In response to evolving classroom realities, teachers demonstrated keen adaptability and ingenuity. They differentiated instruction, repurposed available materials, and restructured lessons to meet diverse learner needs. As one teacher shared: “We improvised teaching aids and modified activities to keep learners focused despite shortages”.</w:t>
      </w:r>
    </w:p>
    <w:p w14:paraId="4149F9B9"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sz w:val="24"/>
          <w:szCs w:val="24"/>
          <w:lang w:bidi="ar-SA"/>
        </w:rPr>
        <w:t>Furthermore, teachers actively participated in online seminars and trainings to upgrade instructional strategies, bridging gaps caused by pandemic-induced instructional shifts. Their adaptability exemplifies the contingency theoretical construct—effective leadership and teaching depend on contextual responsiveness.</w:t>
      </w:r>
    </w:p>
    <w:p w14:paraId="26BB1832" w14:textId="77777777" w:rsidR="00A0531B" w:rsidRPr="00231C83" w:rsidRDefault="00A0531B" w:rsidP="00A0531B">
      <w:pPr>
        <w:pStyle w:val="NoSpacing"/>
        <w:jc w:val="both"/>
        <w:rPr>
          <w:rFonts w:ascii="Book Antiqua" w:eastAsia="Times New Roman" w:hAnsi="Book Antiqua" w:cs="Times New Roman"/>
          <w:b/>
          <w:bCs/>
          <w:sz w:val="24"/>
          <w:szCs w:val="24"/>
          <w:lang w:bidi="ar-SA"/>
        </w:rPr>
      </w:pPr>
      <w:r w:rsidRPr="00231C83">
        <w:rPr>
          <w:rFonts w:ascii="Book Antiqua" w:eastAsia="Times New Roman" w:hAnsi="Book Antiqua" w:cs="Times New Roman"/>
          <w:b/>
          <w:bCs/>
          <w:sz w:val="24"/>
          <w:szCs w:val="24"/>
          <w:lang w:bidi="ar-SA"/>
        </w:rPr>
        <w:t>6.5 Teaching as Challenging Yet Rewarding</w:t>
      </w:r>
    </w:p>
    <w:p w14:paraId="729BFC98"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sz w:val="24"/>
          <w:szCs w:val="24"/>
          <w:lang w:bidi="ar-SA"/>
        </w:rPr>
        <w:t>Teachers expressed a nuanced emotional landscape wherein intense challenges coexisted with rewarding moments. While stress and fatigue were common, witnessing student progress and increased engagement provided deeply satisfying professional fulfillment. A participant reflected, “Though it’s hard, seeing learners improve bit by bit is truly rewarding”.</w:t>
      </w:r>
    </w:p>
    <w:p w14:paraId="65364987"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sz w:val="24"/>
          <w:szCs w:val="24"/>
          <w:lang w:bidi="ar-SA"/>
        </w:rPr>
        <w:lastRenderedPageBreak/>
        <w:t>This complex experience motivates teachers to persist despite hardships and fuels ongoing pedagogical innovation, aligning with research that values reflective practice and resilience in post-pandemic education.</w:t>
      </w:r>
    </w:p>
    <w:p w14:paraId="665B0EF9" w14:textId="77777777" w:rsidR="00A0531B" w:rsidRPr="00231C83" w:rsidRDefault="00A0531B" w:rsidP="00A0531B">
      <w:pPr>
        <w:pStyle w:val="NoSpacing"/>
        <w:jc w:val="both"/>
        <w:rPr>
          <w:rFonts w:ascii="Book Antiqua" w:eastAsia="Times New Roman" w:hAnsi="Book Antiqua" w:cs="Times New Roman"/>
          <w:b/>
          <w:bCs/>
          <w:sz w:val="24"/>
          <w:szCs w:val="24"/>
          <w:lang w:bidi="ar-SA"/>
        </w:rPr>
      </w:pPr>
      <w:r w:rsidRPr="00231C83">
        <w:rPr>
          <w:rFonts w:ascii="Book Antiqua" w:eastAsia="Times New Roman" w:hAnsi="Book Antiqua" w:cs="Times New Roman"/>
          <w:b/>
          <w:bCs/>
          <w:sz w:val="24"/>
          <w:szCs w:val="24"/>
          <w:lang w:bidi="ar-SA"/>
        </w:rPr>
        <w:t>6.6 Provision of Supportive and Engaging Learning Environments</w:t>
      </w:r>
    </w:p>
    <w:p w14:paraId="4E5A4BFC"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sz w:val="24"/>
          <w:szCs w:val="24"/>
          <w:lang w:bidi="ar-SA"/>
        </w:rPr>
        <w:t>Teachers actively created positive, inclusive classrooms through psychosocial support, positive reinforcement, and trauma-informed approaches. They cultivated safe spaces that nurtured learner well-being essential for academic recovery. As noted by a teacher, “We prioritize a friendly classroom atmosphere so learners feel comfortable and motivated”.</w:t>
      </w:r>
    </w:p>
    <w:p w14:paraId="7921E11A"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sz w:val="24"/>
          <w:szCs w:val="24"/>
          <w:lang w:bidi="ar-SA"/>
        </w:rPr>
        <w:t>These practices reflect calls for holistic educational approaches integrating academic and socio-emotional dimensions in recovery efforts.</w:t>
      </w:r>
    </w:p>
    <w:p w14:paraId="059858B3"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b/>
          <w:bCs/>
          <w:sz w:val="24"/>
          <w:szCs w:val="24"/>
          <w:lang w:bidi="ar-SA"/>
        </w:rPr>
        <w:t>Presentation, Analysis, and Interpretation of Data</w:t>
      </w:r>
    </w:p>
    <w:p w14:paraId="408F77E9"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sz w:val="24"/>
          <w:szCs w:val="24"/>
          <w:lang w:bidi="ar-SA"/>
        </w:rPr>
        <w:t>This chapter presents the findings from the semi-structured interviews conducted with public elementary school teachers in Prosperidad District, division of Agusan del Sur, during School Year 2023–2024. It focuses on their lived experiences managing classroom challenges and addressing learning gaps heightened by the Covid-19 pandemic, as well as their strategies for creating engaging and supportive environments despite these adversities.</w:t>
      </w:r>
    </w:p>
    <w:p w14:paraId="5AF7F7EA"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sz w:val="24"/>
          <w:szCs w:val="24"/>
          <w:lang w:bidi="ar-SA"/>
        </w:rPr>
        <w:t>The thematic analysis framework used followed Colaizzi’s (1978) seven-step method, allowing for in-depth exploration and systematic presentation of emergent themes derived from significant statements of the seven participants across various grade levels.</w:t>
      </w:r>
    </w:p>
    <w:p w14:paraId="61E6EA46" w14:textId="77777777" w:rsidR="00A0531B" w:rsidRPr="00231C83" w:rsidRDefault="00A0531B" w:rsidP="00A0531B">
      <w:pPr>
        <w:pStyle w:val="NoSpacing"/>
        <w:jc w:val="both"/>
        <w:rPr>
          <w:rFonts w:ascii="Book Antiqua" w:eastAsia="Times New Roman" w:hAnsi="Book Antiqua" w:cs="Times New Roman"/>
          <w:b/>
          <w:bCs/>
          <w:sz w:val="24"/>
          <w:szCs w:val="24"/>
          <w:lang w:bidi="ar-SA"/>
        </w:rPr>
      </w:pPr>
      <w:r w:rsidRPr="00231C83">
        <w:rPr>
          <w:rFonts w:ascii="Book Antiqua" w:eastAsia="Times New Roman" w:hAnsi="Book Antiqua" w:cs="Times New Roman"/>
          <w:b/>
          <w:bCs/>
          <w:sz w:val="24"/>
          <w:szCs w:val="24"/>
          <w:lang w:bidi="ar-SA"/>
        </w:rPr>
        <w:t>Lived Experiences of Public Elementary School Teachers Managing Classroom Challenges and Addressing Learning Gaps</w:t>
      </w:r>
    </w:p>
    <w:p w14:paraId="72B6748A" w14:textId="77777777" w:rsidR="00A0531B" w:rsidRPr="00231C83" w:rsidRDefault="00A0531B" w:rsidP="00A0531B">
      <w:pPr>
        <w:pStyle w:val="NoSpacing"/>
        <w:jc w:val="both"/>
        <w:rPr>
          <w:rFonts w:ascii="Book Antiqua" w:eastAsia="Times New Roman" w:hAnsi="Book Antiqua" w:cs="Times New Roman"/>
          <w:b/>
          <w:bCs/>
          <w:sz w:val="24"/>
          <w:szCs w:val="24"/>
          <w:lang w:bidi="ar-SA"/>
        </w:rPr>
      </w:pPr>
      <w:r w:rsidRPr="00231C83">
        <w:rPr>
          <w:rFonts w:ascii="Book Antiqua" w:eastAsia="Times New Roman" w:hAnsi="Book Antiqua" w:cs="Times New Roman"/>
          <w:b/>
          <w:bCs/>
          <w:sz w:val="24"/>
          <w:szCs w:val="24"/>
          <w:lang w:bidi="ar-SA"/>
        </w:rPr>
        <w:t>Emerging Theme 1: Struggles in Teaching</w:t>
      </w:r>
    </w:p>
    <w:p w14:paraId="5CA1CEAA"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sz w:val="24"/>
          <w:szCs w:val="24"/>
          <w:lang w:bidi="ar-SA"/>
        </w:rPr>
        <w:t>Teachers unanimously reported significant struggles when returning to face-to-face classes. These challenges stemmed from learners’ poor preparedness, disrupted learning continuity, and limited social interaction during the pandemic.</w:t>
      </w:r>
    </w:p>
    <w:p w14:paraId="46822567"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b/>
          <w:bCs/>
          <w:sz w:val="24"/>
          <w:szCs w:val="24"/>
          <w:lang w:bidi="ar-SA"/>
        </w:rPr>
        <w:t>Participant 1:</w:t>
      </w:r>
      <w:r w:rsidRPr="00231C83">
        <w:rPr>
          <w:rFonts w:ascii="Book Antiqua" w:eastAsia="Times New Roman" w:hAnsi="Book Antiqua" w:cs="Times New Roman"/>
          <w:sz w:val="24"/>
          <w:szCs w:val="24"/>
          <w:lang w:bidi="ar-SA"/>
        </w:rPr>
        <w:t xml:space="preserve"> “My learners are not ready as their social interaction is weak aside from learning loss, I have struggle in communicating with them. They are very hesitant to answer when I asked them.”</w:t>
      </w:r>
    </w:p>
    <w:p w14:paraId="09E1AB80"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b/>
          <w:bCs/>
          <w:sz w:val="24"/>
          <w:szCs w:val="24"/>
          <w:lang w:bidi="ar-SA"/>
        </w:rPr>
        <w:t>Participant 5:</w:t>
      </w:r>
      <w:r w:rsidRPr="00231C83">
        <w:rPr>
          <w:rFonts w:ascii="Book Antiqua" w:eastAsia="Times New Roman" w:hAnsi="Book Antiqua" w:cs="Times New Roman"/>
          <w:sz w:val="24"/>
          <w:szCs w:val="24"/>
          <w:lang w:bidi="ar-SA"/>
        </w:rPr>
        <w:t xml:space="preserve"> “Many of our learners returned with weak fundamental skills in computation and reading comprehension... I am stressed in dealing with them.”</w:t>
      </w:r>
    </w:p>
    <w:p w14:paraId="317D0120"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b/>
          <w:bCs/>
          <w:sz w:val="24"/>
          <w:szCs w:val="24"/>
          <w:lang w:bidi="ar-SA"/>
        </w:rPr>
        <w:t>Participant 4:</w:t>
      </w:r>
      <w:r w:rsidRPr="00231C83">
        <w:rPr>
          <w:rFonts w:ascii="Book Antiqua" w:eastAsia="Times New Roman" w:hAnsi="Book Antiqua" w:cs="Times New Roman"/>
          <w:sz w:val="24"/>
          <w:szCs w:val="24"/>
          <w:lang w:bidi="ar-SA"/>
        </w:rPr>
        <w:t xml:space="preserve"> “They are not ready, I have difficulty encouraging them … absenteeism is a common problem.”</w:t>
      </w:r>
    </w:p>
    <w:p w14:paraId="23A1083C"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b/>
          <w:bCs/>
          <w:sz w:val="24"/>
          <w:szCs w:val="24"/>
          <w:lang w:bidi="ar-SA"/>
        </w:rPr>
        <w:t>Participant 3:</w:t>
      </w:r>
      <w:r w:rsidRPr="00231C83">
        <w:rPr>
          <w:rFonts w:ascii="Book Antiqua" w:eastAsia="Times New Roman" w:hAnsi="Book Antiqua" w:cs="Times New Roman"/>
          <w:sz w:val="24"/>
          <w:szCs w:val="24"/>
          <w:lang w:bidi="ar-SA"/>
        </w:rPr>
        <w:t xml:space="preserve"> “I struggle actually, learners need to relearn the basics. I felt like I was heavily burdened with pressure.”</w:t>
      </w:r>
    </w:p>
    <w:p w14:paraId="73C5B6F1"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b/>
          <w:bCs/>
          <w:sz w:val="24"/>
          <w:szCs w:val="24"/>
          <w:lang w:bidi="ar-SA"/>
        </w:rPr>
        <w:t>Participant 6:</w:t>
      </w:r>
      <w:r w:rsidRPr="00231C83">
        <w:rPr>
          <w:rFonts w:ascii="Book Antiqua" w:eastAsia="Times New Roman" w:hAnsi="Book Antiqua" w:cs="Times New Roman"/>
          <w:sz w:val="24"/>
          <w:szCs w:val="24"/>
          <w:lang w:bidi="ar-SA"/>
        </w:rPr>
        <w:t xml:space="preserve"> “I had trouble in teaching, pupils are not ready and behind in any learning areas.”</w:t>
      </w:r>
    </w:p>
    <w:p w14:paraId="030830E4"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sz w:val="24"/>
          <w:szCs w:val="24"/>
          <w:lang w:bidi="ar-SA"/>
        </w:rPr>
        <w:t>These quotes reveal the heavy burden teachers felt as they had to cover gaps intensified by the prolonged closures and remote learning modalities. In particular, teachers expressed stress relating to learners' lack of readiness and inability to perform at grade level.</w:t>
      </w:r>
    </w:p>
    <w:p w14:paraId="2F8BBA02" w14:textId="77777777" w:rsidR="00A0531B" w:rsidRPr="00231C83" w:rsidRDefault="00A0531B" w:rsidP="00A0531B">
      <w:pPr>
        <w:pStyle w:val="NoSpacing"/>
        <w:jc w:val="both"/>
        <w:rPr>
          <w:rFonts w:ascii="Book Antiqua" w:eastAsia="Times New Roman" w:hAnsi="Book Antiqua" w:cs="Times New Roman"/>
          <w:b/>
          <w:bCs/>
          <w:sz w:val="24"/>
          <w:szCs w:val="24"/>
          <w:lang w:bidi="ar-SA"/>
        </w:rPr>
      </w:pPr>
      <w:r w:rsidRPr="00231C83">
        <w:rPr>
          <w:rFonts w:ascii="Book Antiqua" w:eastAsia="Times New Roman" w:hAnsi="Book Antiqua" w:cs="Times New Roman"/>
          <w:b/>
          <w:bCs/>
          <w:sz w:val="24"/>
          <w:szCs w:val="24"/>
          <w:lang w:bidi="ar-SA"/>
        </w:rPr>
        <w:t>Emerging Theme 2: Behavior towards Learning</w:t>
      </w:r>
    </w:p>
    <w:p w14:paraId="1E6BABD5"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sz w:val="24"/>
          <w:szCs w:val="24"/>
          <w:lang w:bidi="ar-SA"/>
        </w:rPr>
        <w:lastRenderedPageBreak/>
        <w:t>Teachers observed mixed emotional responses and behavioral changes among learners upon returning to the classroom. While some were excited about reconnecting with peers, many were hesitant, anxious, or fearful due to health concerns and readjusting to school routines.</w:t>
      </w:r>
    </w:p>
    <w:p w14:paraId="23ABBA56"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b/>
          <w:bCs/>
          <w:sz w:val="24"/>
          <w:szCs w:val="24"/>
          <w:lang w:bidi="ar-SA"/>
        </w:rPr>
        <w:t>Participant 2:</w:t>
      </w:r>
      <w:r w:rsidRPr="00231C83">
        <w:rPr>
          <w:rFonts w:ascii="Book Antiqua" w:eastAsia="Times New Roman" w:hAnsi="Book Antiqua" w:cs="Times New Roman"/>
          <w:sz w:val="24"/>
          <w:szCs w:val="24"/>
          <w:lang w:bidi="ar-SA"/>
        </w:rPr>
        <w:t xml:space="preserve"> “Some had mixed feelings returning to school. Some were glad, some weren’t … unsure of safety.”</w:t>
      </w:r>
    </w:p>
    <w:p w14:paraId="0E183250"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b/>
          <w:bCs/>
          <w:sz w:val="24"/>
          <w:szCs w:val="24"/>
          <w:lang w:bidi="ar-SA"/>
        </w:rPr>
        <w:t>Participant 1:</w:t>
      </w:r>
      <w:r w:rsidRPr="00231C83">
        <w:rPr>
          <w:rFonts w:ascii="Book Antiqua" w:eastAsia="Times New Roman" w:hAnsi="Book Antiqua" w:cs="Times New Roman"/>
          <w:sz w:val="24"/>
          <w:szCs w:val="24"/>
          <w:lang w:bidi="ar-SA"/>
        </w:rPr>
        <w:t xml:space="preserve"> “Learners were excited to be back. They missed their classmates and the energy of face-to-face interaction.”</w:t>
      </w:r>
    </w:p>
    <w:p w14:paraId="514EDBF6"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b/>
          <w:bCs/>
          <w:sz w:val="24"/>
          <w:szCs w:val="24"/>
          <w:lang w:bidi="ar-SA"/>
        </w:rPr>
        <w:t>Participant 3:</w:t>
      </w:r>
      <w:r w:rsidRPr="00231C83">
        <w:rPr>
          <w:rFonts w:ascii="Book Antiqua" w:eastAsia="Times New Roman" w:hAnsi="Book Antiqua" w:cs="Times New Roman"/>
          <w:sz w:val="24"/>
          <w:szCs w:val="24"/>
          <w:lang w:bidi="ar-SA"/>
        </w:rPr>
        <w:t xml:space="preserve"> “They were eager to participate, especially in group activities, board work, and other games, but hesitant to do so.”</w:t>
      </w:r>
    </w:p>
    <w:p w14:paraId="59594F59"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b/>
          <w:bCs/>
          <w:sz w:val="24"/>
          <w:szCs w:val="24"/>
          <w:lang w:bidi="ar-SA"/>
        </w:rPr>
        <w:t>Participant 5:</w:t>
      </w:r>
      <w:r w:rsidRPr="00231C83">
        <w:rPr>
          <w:rFonts w:ascii="Book Antiqua" w:eastAsia="Times New Roman" w:hAnsi="Book Antiqua" w:cs="Times New Roman"/>
          <w:sz w:val="24"/>
          <w:szCs w:val="24"/>
          <w:lang w:bidi="ar-SA"/>
        </w:rPr>
        <w:t xml:space="preserve"> “… reluctant to participate in any interactive activities involving group work, manipulative games, and real-world applications.”</w:t>
      </w:r>
    </w:p>
    <w:p w14:paraId="5245E126"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b/>
          <w:bCs/>
          <w:sz w:val="24"/>
          <w:szCs w:val="24"/>
          <w:lang w:bidi="ar-SA"/>
        </w:rPr>
        <w:t>Participant 7:</w:t>
      </w:r>
      <w:r w:rsidRPr="00231C83">
        <w:rPr>
          <w:rFonts w:ascii="Book Antiqua" w:eastAsia="Times New Roman" w:hAnsi="Book Antiqua" w:cs="Times New Roman"/>
          <w:sz w:val="24"/>
          <w:szCs w:val="24"/>
          <w:lang w:bidi="ar-SA"/>
        </w:rPr>
        <w:t xml:space="preserve"> “Learners really missed school, it is just that sometimes our learners lose focus because of fear.”</w:t>
      </w:r>
    </w:p>
    <w:p w14:paraId="7F3C95FB" w14:textId="5A29AFE4" w:rsidR="00A0531B" w:rsidRPr="00231C83" w:rsidRDefault="00A0531B" w:rsidP="00A0531B">
      <w:pPr>
        <w:pStyle w:val="NoSpacing"/>
        <w:jc w:val="both"/>
        <w:rPr>
          <w:rFonts w:ascii="Book Antiqua" w:eastAsia="Times New Roman" w:hAnsi="Book Antiqua" w:cs="Times New Roman"/>
          <w:b/>
          <w:bCs/>
          <w:sz w:val="24"/>
          <w:szCs w:val="24"/>
          <w:lang w:bidi="ar-SA"/>
        </w:rPr>
      </w:pPr>
      <w:r w:rsidRPr="00231C83">
        <w:rPr>
          <w:rFonts w:ascii="Book Antiqua" w:eastAsia="Times New Roman" w:hAnsi="Book Antiqua" w:cs="Times New Roman"/>
          <w:sz w:val="24"/>
          <w:szCs w:val="24"/>
          <w:lang w:bidi="ar-SA"/>
        </w:rPr>
        <w:t>Teachers linked these behaviors to the emotional impact of isolation and disruption caused by the pandemic, leading to difficulties in student engagement and focus during interactive lessons.</w:t>
      </w:r>
      <w:r w:rsidRPr="00231C83">
        <w:rPr>
          <w:rFonts w:ascii="Book Antiqua" w:eastAsia="Times New Roman" w:hAnsi="Book Antiqua" w:cs="Times New Roman"/>
          <w:b/>
          <w:bCs/>
          <w:sz w:val="24"/>
          <w:szCs w:val="24"/>
          <w:lang w:bidi="ar-SA"/>
        </w:rPr>
        <w:t>Emerging Theme 3: Learning Gap</w:t>
      </w:r>
    </w:p>
    <w:p w14:paraId="5252C2A8"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sz w:val="24"/>
          <w:szCs w:val="24"/>
          <w:lang w:bidi="ar-SA"/>
        </w:rPr>
        <w:t>A pronounced theme was the notable regression in academic skills, especially foundational competencies in reading comprehension and numeracy. Teachers recounted learners returning with significant gaps due to the limitations of modular and online learning formats, often completed with adult assistance that hindered independent mastery.</w:t>
      </w:r>
    </w:p>
    <w:p w14:paraId="4C028644"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b/>
          <w:bCs/>
          <w:sz w:val="24"/>
          <w:szCs w:val="24"/>
          <w:lang w:bidi="ar-SA"/>
        </w:rPr>
        <w:t>Participant 1:</w:t>
      </w:r>
      <w:r w:rsidRPr="00231C83">
        <w:rPr>
          <w:rFonts w:ascii="Book Antiqua" w:eastAsia="Times New Roman" w:hAnsi="Book Antiqua" w:cs="Times New Roman"/>
          <w:sz w:val="24"/>
          <w:szCs w:val="24"/>
          <w:lang w:bidi="ar-SA"/>
        </w:rPr>
        <w:t xml:space="preserve"> “After the pandemic, they cannot answer because there is nothing (learned) and they don’t know.”</w:t>
      </w:r>
    </w:p>
    <w:p w14:paraId="17E5B360"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b/>
          <w:bCs/>
          <w:sz w:val="24"/>
          <w:szCs w:val="24"/>
          <w:lang w:bidi="ar-SA"/>
        </w:rPr>
        <w:t>Participant 5:</w:t>
      </w:r>
      <w:r w:rsidRPr="00231C83">
        <w:rPr>
          <w:rFonts w:ascii="Book Antiqua" w:eastAsia="Times New Roman" w:hAnsi="Book Antiqua" w:cs="Times New Roman"/>
          <w:sz w:val="24"/>
          <w:szCs w:val="24"/>
          <w:lang w:bidi="ar-SA"/>
        </w:rPr>
        <w:t xml:space="preserve"> “Because of modular instruction, mostly the mothers are the ones who answer, unlike before…”</w:t>
      </w:r>
    </w:p>
    <w:p w14:paraId="621F2717"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b/>
          <w:bCs/>
          <w:sz w:val="24"/>
          <w:szCs w:val="24"/>
          <w:lang w:bidi="ar-SA"/>
        </w:rPr>
        <w:t>Participant 2:</w:t>
      </w:r>
      <w:r w:rsidRPr="00231C83">
        <w:rPr>
          <w:rFonts w:ascii="Book Antiqua" w:eastAsia="Times New Roman" w:hAnsi="Book Antiqua" w:cs="Times New Roman"/>
          <w:sz w:val="24"/>
          <w:szCs w:val="24"/>
          <w:lang w:bidi="ar-SA"/>
        </w:rPr>
        <w:t xml:space="preserve"> “Their learning stopped… their skills never leveled up, especially reading comprehension and numeracy skills.”</w:t>
      </w:r>
    </w:p>
    <w:p w14:paraId="602B868E"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sz w:val="24"/>
          <w:szCs w:val="24"/>
          <w:lang w:bidi="ar-SA"/>
        </w:rPr>
        <w:t>Teachers encountered non-readers and struggling readers across various grade levels, forcing them to adopt back-to-basics methods before allowing progress to more complex topics.</w:t>
      </w:r>
    </w:p>
    <w:p w14:paraId="25A5D8B8" w14:textId="77777777" w:rsidR="00A0531B" w:rsidRPr="00231C83" w:rsidRDefault="00A0531B" w:rsidP="00A0531B">
      <w:pPr>
        <w:pStyle w:val="NoSpacing"/>
        <w:jc w:val="both"/>
        <w:rPr>
          <w:rFonts w:ascii="Book Antiqua" w:eastAsia="Times New Roman" w:hAnsi="Book Antiqua" w:cs="Times New Roman"/>
          <w:b/>
          <w:bCs/>
          <w:sz w:val="24"/>
          <w:szCs w:val="24"/>
          <w:lang w:bidi="ar-SA"/>
        </w:rPr>
      </w:pPr>
      <w:r w:rsidRPr="00231C83">
        <w:rPr>
          <w:rFonts w:ascii="Book Antiqua" w:eastAsia="Times New Roman" w:hAnsi="Book Antiqua" w:cs="Times New Roman"/>
          <w:b/>
          <w:bCs/>
          <w:sz w:val="24"/>
          <w:szCs w:val="24"/>
          <w:lang w:bidi="ar-SA"/>
        </w:rPr>
        <w:t>Analysis and Discussion of Themes 1-3</w:t>
      </w:r>
    </w:p>
    <w:p w14:paraId="6677D925"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sz w:val="24"/>
          <w:szCs w:val="24"/>
          <w:lang w:bidi="ar-SA"/>
        </w:rPr>
        <w:t>The identified themes of struggles in teaching, behavior towards learning, and persistent learning gaps clearly depict the multidimensional challenges faced by public elementary school teachers in the post-Covid classroom setting. These findings align with global educational research indicating the wide-ranging impact of the pandemic on instructional effectiveness and learner development.</w:t>
      </w:r>
    </w:p>
    <w:p w14:paraId="1ED23EAB"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sz w:val="24"/>
          <w:szCs w:val="24"/>
          <w:lang w:bidi="ar-SA"/>
        </w:rPr>
        <w:t>Teachers functioned as both facilitators and emotional supporters to mitigate these challenges. They dealt with a classroom atmosphere marked by academic decline and emotional volatility. The behavioral hesitance observed indicates the need for psychosocial support integrated into educational recovery.</w:t>
      </w:r>
    </w:p>
    <w:p w14:paraId="02BAD63B"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sz w:val="24"/>
          <w:szCs w:val="24"/>
          <w:lang w:bidi="ar-SA"/>
        </w:rPr>
        <w:lastRenderedPageBreak/>
        <w:t>The learning regression especially signals the need for remedial and differentiated instruction targeted at essential skills, in line with the literature citing foundational learning as critical for sustained academic success.</w:t>
      </w:r>
    </w:p>
    <w:p w14:paraId="60F5BDEC" w14:textId="77777777" w:rsidR="00A0531B" w:rsidRPr="00231C83" w:rsidRDefault="00A0531B" w:rsidP="00A0531B">
      <w:pPr>
        <w:pStyle w:val="NoSpacing"/>
        <w:jc w:val="both"/>
        <w:rPr>
          <w:rFonts w:ascii="Book Antiqua" w:eastAsia="Times New Roman" w:hAnsi="Book Antiqua" w:cs="Times New Roman"/>
          <w:b/>
          <w:bCs/>
          <w:sz w:val="24"/>
          <w:szCs w:val="24"/>
          <w:lang w:bidi="ar-SA"/>
        </w:rPr>
      </w:pPr>
      <w:r w:rsidRPr="00231C83">
        <w:rPr>
          <w:rFonts w:ascii="Book Antiqua" w:eastAsia="Times New Roman" w:hAnsi="Book Antiqua" w:cs="Times New Roman"/>
          <w:b/>
          <w:bCs/>
          <w:sz w:val="24"/>
          <w:szCs w:val="24"/>
          <w:lang w:bidi="ar-SA"/>
        </w:rPr>
        <w:t>Different Ways of Public Elementary School Teachers Create Engaging and Supportive Classrooms Despite the Challenges and Learning Gaps</w:t>
      </w:r>
    </w:p>
    <w:p w14:paraId="4E840177"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sz w:val="24"/>
          <w:szCs w:val="24"/>
          <w:lang w:bidi="ar-SA"/>
        </w:rPr>
        <w:t>The second set of emergent themes captures the adaptive responses, emotional processing, and resilience demonstrated by teachers in fostering recovery and engagement.</w:t>
      </w:r>
    </w:p>
    <w:p w14:paraId="5F98FD4B" w14:textId="77777777" w:rsidR="00A0531B" w:rsidRPr="00231C83" w:rsidRDefault="00A0531B" w:rsidP="00A0531B">
      <w:pPr>
        <w:pStyle w:val="NoSpacing"/>
        <w:jc w:val="both"/>
        <w:rPr>
          <w:rFonts w:ascii="Book Antiqua" w:eastAsia="Times New Roman" w:hAnsi="Book Antiqua" w:cs="Times New Roman"/>
          <w:b/>
          <w:bCs/>
          <w:sz w:val="24"/>
          <w:szCs w:val="24"/>
          <w:lang w:bidi="ar-SA"/>
        </w:rPr>
      </w:pPr>
      <w:r w:rsidRPr="00231C83">
        <w:rPr>
          <w:rFonts w:ascii="Book Antiqua" w:eastAsia="Times New Roman" w:hAnsi="Book Antiqua" w:cs="Times New Roman"/>
          <w:b/>
          <w:bCs/>
          <w:sz w:val="24"/>
          <w:szCs w:val="24"/>
          <w:lang w:bidi="ar-SA"/>
        </w:rPr>
        <w:t>Emerging Theme 4: Teacher Adaptability and Resourcefulness</w:t>
      </w:r>
    </w:p>
    <w:p w14:paraId="0B39FF7D"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sz w:val="24"/>
          <w:szCs w:val="24"/>
          <w:lang w:bidi="ar-SA"/>
        </w:rPr>
        <w:t>Teachers employed an array of flexible, inventive, and learner-centered strategies to address academic deficits and motivational difficulties:</w:t>
      </w:r>
    </w:p>
    <w:p w14:paraId="4B0B1EB3"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sz w:val="24"/>
          <w:szCs w:val="24"/>
          <w:lang w:bidi="ar-SA"/>
        </w:rPr>
        <w:t>Use of differentiated instruction tailored to diverse learner needs.</w:t>
      </w:r>
    </w:p>
    <w:p w14:paraId="04A58D07"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sz w:val="24"/>
          <w:szCs w:val="24"/>
          <w:lang w:bidi="ar-SA"/>
        </w:rPr>
        <w:t>Employing learning stations to promote social learning and varied tasks.</w:t>
      </w:r>
    </w:p>
    <w:p w14:paraId="5E1FEA68"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sz w:val="24"/>
          <w:szCs w:val="24"/>
          <w:lang w:bidi="ar-SA"/>
        </w:rPr>
        <w:t>Integrating review and remediation sessions into daily routines to reinforce basics.</w:t>
      </w:r>
    </w:p>
    <w:p w14:paraId="09707FB6"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sz w:val="24"/>
          <w:szCs w:val="24"/>
          <w:lang w:bidi="ar-SA"/>
        </w:rPr>
        <w:t>Breaking lessons into smaller parts and using manipulatives and colorful aids.</w:t>
      </w:r>
    </w:p>
    <w:p w14:paraId="3BE01A1F"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sz w:val="24"/>
          <w:szCs w:val="24"/>
          <w:lang w:bidi="ar-SA"/>
        </w:rPr>
        <w:t>Designing hands-on activities, role-playing, bilingual instructions, and peer-assisted learning to enhance inclusivity.</w:t>
      </w:r>
    </w:p>
    <w:p w14:paraId="1F56E929"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sz w:val="24"/>
          <w:szCs w:val="24"/>
          <w:lang w:bidi="ar-SA"/>
        </w:rPr>
        <w:t>Using games, group tasks, and real-life examples to make lessons relevant.</w:t>
      </w:r>
    </w:p>
    <w:p w14:paraId="643B91D3"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sz w:val="24"/>
          <w:szCs w:val="24"/>
          <w:lang w:bidi="ar-SA"/>
        </w:rPr>
        <w:t>Quotes illustrating this adaptability include:</w:t>
      </w:r>
    </w:p>
    <w:p w14:paraId="5C5633E0"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b/>
          <w:bCs/>
          <w:sz w:val="24"/>
          <w:szCs w:val="24"/>
          <w:lang w:bidi="ar-SA"/>
        </w:rPr>
        <w:t>Participant 6:</w:t>
      </w:r>
      <w:r w:rsidRPr="00231C83">
        <w:rPr>
          <w:rFonts w:ascii="Book Antiqua" w:eastAsia="Times New Roman" w:hAnsi="Book Antiqua" w:cs="Times New Roman"/>
          <w:sz w:val="24"/>
          <w:szCs w:val="24"/>
          <w:lang w:bidi="ar-SA"/>
        </w:rPr>
        <w:t xml:space="preserve"> “I used differentiated instruction to meet individual needs…”</w:t>
      </w:r>
    </w:p>
    <w:p w14:paraId="72110B9D"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b/>
          <w:bCs/>
          <w:sz w:val="24"/>
          <w:szCs w:val="24"/>
          <w:lang w:bidi="ar-SA"/>
        </w:rPr>
        <w:t>Participant 2:</w:t>
      </w:r>
      <w:r w:rsidRPr="00231C83">
        <w:rPr>
          <w:rFonts w:ascii="Book Antiqua" w:eastAsia="Times New Roman" w:hAnsi="Book Antiqua" w:cs="Times New Roman"/>
          <w:sz w:val="24"/>
          <w:szCs w:val="24"/>
          <w:lang w:bidi="ar-SA"/>
        </w:rPr>
        <w:t xml:space="preserve"> “I used learning stations to reintroduce social learning and differentiated tasks…”</w:t>
      </w:r>
    </w:p>
    <w:p w14:paraId="12F76DD0"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b/>
          <w:bCs/>
          <w:sz w:val="24"/>
          <w:szCs w:val="24"/>
          <w:lang w:bidi="ar-SA"/>
        </w:rPr>
        <w:t>Participant 5:</w:t>
      </w:r>
      <w:r w:rsidRPr="00231C83">
        <w:rPr>
          <w:rFonts w:ascii="Book Antiqua" w:eastAsia="Times New Roman" w:hAnsi="Book Antiqua" w:cs="Times New Roman"/>
          <w:sz w:val="24"/>
          <w:szCs w:val="24"/>
          <w:lang w:bidi="ar-SA"/>
        </w:rPr>
        <w:t xml:space="preserve"> “I broke lessons into smaller parts, used manipulatives and more colorful visual aids…”</w:t>
      </w:r>
    </w:p>
    <w:p w14:paraId="393C8E11"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b/>
          <w:bCs/>
          <w:sz w:val="24"/>
          <w:szCs w:val="24"/>
          <w:lang w:bidi="ar-SA"/>
        </w:rPr>
        <w:t>Participant 1:</w:t>
      </w:r>
      <w:r w:rsidRPr="00231C83">
        <w:rPr>
          <w:rFonts w:ascii="Book Antiqua" w:eastAsia="Times New Roman" w:hAnsi="Book Antiqua" w:cs="Times New Roman"/>
          <w:sz w:val="24"/>
          <w:szCs w:val="24"/>
          <w:lang w:bidi="ar-SA"/>
        </w:rPr>
        <w:t xml:space="preserve"> “I designed hands-on activities … role-playing… bilingual instructions and peer assisted learning to ensure inclusivity.”</w:t>
      </w:r>
    </w:p>
    <w:p w14:paraId="63230348"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b/>
          <w:bCs/>
          <w:sz w:val="24"/>
          <w:szCs w:val="24"/>
          <w:lang w:bidi="ar-SA"/>
        </w:rPr>
        <w:t>Participant 3:</w:t>
      </w:r>
      <w:r w:rsidRPr="00231C83">
        <w:rPr>
          <w:rFonts w:ascii="Book Antiqua" w:eastAsia="Times New Roman" w:hAnsi="Book Antiqua" w:cs="Times New Roman"/>
          <w:sz w:val="24"/>
          <w:szCs w:val="24"/>
          <w:lang w:bidi="ar-SA"/>
        </w:rPr>
        <w:t xml:space="preserve"> “We doubled our efforts in teaching, conducted remediation…”</w:t>
      </w:r>
    </w:p>
    <w:p w14:paraId="5141CA94"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sz w:val="24"/>
          <w:szCs w:val="24"/>
          <w:lang w:bidi="ar-SA"/>
        </w:rPr>
        <w:t>These responses show how teachers innovatively redesigned their pedagogical approaches to compensate for learning loss and to stimulate participation.</w:t>
      </w:r>
    </w:p>
    <w:p w14:paraId="41F5AB59" w14:textId="77777777" w:rsidR="00A0531B" w:rsidRPr="00231C83" w:rsidRDefault="00A0531B" w:rsidP="00A0531B">
      <w:pPr>
        <w:pStyle w:val="NoSpacing"/>
        <w:jc w:val="both"/>
        <w:rPr>
          <w:rFonts w:ascii="Book Antiqua" w:eastAsia="Times New Roman" w:hAnsi="Book Antiqua" w:cs="Times New Roman"/>
          <w:b/>
          <w:bCs/>
          <w:sz w:val="24"/>
          <w:szCs w:val="24"/>
          <w:lang w:bidi="ar-SA"/>
        </w:rPr>
      </w:pPr>
      <w:r w:rsidRPr="00231C83">
        <w:rPr>
          <w:rFonts w:ascii="Book Antiqua" w:eastAsia="Times New Roman" w:hAnsi="Book Antiqua" w:cs="Times New Roman"/>
          <w:b/>
          <w:bCs/>
          <w:sz w:val="24"/>
          <w:szCs w:val="24"/>
          <w:lang w:bidi="ar-SA"/>
        </w:rPr>
        <w:t>Emerging Theme 5: Challenging Yet Rewarding</w:t>
      </w:r>
    </w:p>
    <w:p w14:paraId="08BB44C2"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sz w:val="24"/>
          <w:szCs w:val="24"/>
          <w:lang w:bidi="ar-SA"/>
        </w:rPr>
        <w:t>Teachers expressed a complex blend of emotions. While the workload intensified due to remediation and behavioral considerations, they found re-engagement with learners deeply meaningful and professionally fulfilling.</w:t>
      </w:r>
    </w:p>
    <w:p w14:paraId="13498EA3"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b/>
          <w:bCs/>
          <w:sz w:val="24"/>
          <w:szCs w:val="24"/>
          <w:lang w:bidi="ar-SA"/>
        </w:rPr>
        <w:t>Participant 6:</w:t>
      </w:r>
      <w:r w:rsidRPr="00231C83">
        <w:rPr>
          <w:rFonts w:ascii="Book Antiqua" w:eastAsia="Times New Roman" w:hAnsi="Book Antiqua" w:cs="Times New Roman"/>
          <w:sz w:val="24"/>
          <w:szCs w:val="24"/>
          <w:lang w:bidi="ar-SA"/>
        </w:rPr>
        <w:t xml:space="preserve"> “Happy but challenged since I need to adapt teaching methods to accommodate learning gaps and emotional needs.”</w:t>
      </w:r>
    </w:p>
    <w:p w14:paraId="07F1B39F"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b/>
          <w:bCs/>
          <w:sz w:val="24"/>
          <w:szCs w:val="24"/>
          <w:lang w:bidi="ar-SA"/>
        </w:rPr>
        <w:t>Participant 3:</w:t>
      </w:r>
      <w:r w:rsidRPr="00231C83">
        <w:rPr>
          <w:rFonts w:ascii="Book Antiqua" w:eastAsia="Times New Roman" w:hAnsi="Book Antiqua" w:cs="Times New Roman"/>
          <w:sz w:val="24"/>
          <w:szCs w:val="24"/>
          <w:lang w:bidi="ar-SA"/>
        </w:rPr>
        <w:t xml:space="preserve"> “Teaching has been meaningful with challenges, bringing joy and growth as I help my pupils learn.”</w:t>
      </w:r>
    </w:p>
    <w:p w14:paraId="5E849B46"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b/>
          <w:bCs/>
          <w:sz w:val="24"/>
          <w:szCs w:val="24"/>
          <w:lang w:bidi="ar-SA"/>
        </w:rPr>
        <w:t>Participant 5:</w:t>
      </w:r>
      <w:r w:rsidRPr="00231C83">
        <w:rPr>
          <w:rFonts w:ascii="Book Antiqua" w:eastAsia="Times New Roman" w:hAnsi="Book Antiqua" w:cs="Times New Roman"/>
          <w:sz w:val="24"/>
          <w:szCs w:val="24"/>
          <w:lang w:bidi="ar-SA"/>
        </w:rPr>
        <w:t xml:space="preserve"> “There were challenges and pressure, but it brings me joy.”</w:t>
      </w:r>
    </w:p>
    <w:p w14:paraId="2045B555"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b/>
          <w:bCs/>
          <w:sz w:val="24"/>
          <w:szCs w:val="24"/>
          <w:lang w:bidi="ar-SA"/>
        </w:rPr>
        <w:t>Participant 4:</w:t>
      </w:r>
      <w:r w:rsidRPr="00231C83">
        <w:rPr>
          <w:rFonts w:ascii="Book Antiqua" w:eastAsia="Times New Roman" w:hAnsi="Book Antiqua" w:cs="Times New Roman"/>
          <w:sz w:val="24"/>
          <w:szCs w:val="24"/>
          <w:lang w:bidi="ar-SA"/>
        </w:rPr>
        <w:t xml:space="preserve"> “I felt happy when my pupils returned to face-to-face classes. It brought back the joy of real interaction and made learning more meaningful.”</w:t>
      </w:r>
    </w:p>
    <w:p w14:paraId="2D4A3CBF"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sz w:val="24"/>
          <w:szCs w:val="24"/>
          <w:lang w:bidi="ar-SA"/>
        </w:rPr>
        <w:t>This shared sentiment reflects the intrinsic motivation driving teachers through pandemic-induced hardships, highlighting their dedication and growth mindset.</w:t>
      </w:r>
    </w:p>
    <w:p w14:paraId="14092E13" w14:textId="663D4552" w:rsidR="00A0531B" w:rsidRPr="00231C83" w:rsidRDefault="00A0531B" w:rsidP="00A0531B">
      <w:pPr>
        <w:pStyle w:val="NoSpacing"/>
        <w:jc w:val="both"/>
        <w:rPr>
          <w:rFonts w:ascii="Book Antiqua" w:eastAsia="Times New Roman" w:hAnsi="Book Antiqua" w:cs="Times New Roman"/>
          <w:sz w:val="24"/>
          <w:szCs w:val="24"/>
          <w:lang w:bidi="ar-SA"/>
        </w:rPr>
      </w:pPr>
    </w:p>
    <w:p w14:paraId="3F395BB4" w14:textId="77777777" w:rsidR="00A0531B" w:rsidRPr="00231C83" w:rsidRDefault="00A0531B" w:rsidP="00A0531B">
      <w:pPr>
        <w:pStyle w:val="NoSpacing"/>
        <w:jc w:val="both"/>
        <w:rPr>
          <w:rFonts w:ascii="Book Antiqua" w:eastAsia="Times New Roman" w:hAnsi="Book Antiqua" w:cs="Times New Roman"/>
          <w:b/>
          <w:bCs/>
          <w:sz w:val="24"/>
          <w:szCs w:val="24"/>
          <w:lang w:bidi="ar-SA"/>
        </w:rPr>
      </w:pPr>
      <w:r w:rsidRPr="00231C83">
        <w:rPr>
          <w:rFonts w:ascii="Book Antiqua" w:eastAsia="Times New Roman" w:hAnsi="Book Antiqua" w:cs="Times New Roman"/>
          <w:b/>
          <w:bCs/>
          <w:sz w:val="24"/>
          <w:szCs w:val="24"/>
          <w:lang w:bidi="ar-SA"/>
        </w:rPr>
        <w:lastRenderedPageBreak/>
        <w:t>Emerging Theme 6: Provision of Supportive and Engaging Learning Environments</w:t>
      </w:r>
    </w:p>
    <w:p w14:paraId="167FE933"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sz w:val="24"/>
          <w:szCs w:val="24"/>
          <w:lang w:bidi="ar-SA"/>
        </w:rPr>
        <w:t>Closely linked to adaptability and emotional challenges, teachers also stressed developing safe, supportive, and flexible classroom spaces that promote learner confidence and academic recovery.</w:t>
      </w:r>
    </w:p>
    <w:p w14:paraId="44221714"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b/>
          <w:bCs/>
          <w:sz w:val="24"/>
          <w:szCs w:val="24"/>
          <w:lang w:bidi="ar-SA"/>
        </w:rPr>
        <w:t>Participant 4:</w:t>
      </w:r>
      <w:r w:rsidRPr="00231C83">
        <w:rPr>
          <w:rFonts w:ascii="Book Antiqua" w:eastAsia="Times New Roman" w:hAnsi="Book Antiqua" w:cs="Times New Roman"/>
          <w:sz w:val="24"/>
          <w:szCs w:val="24"/>
          <w:lang w:bidi="ar-SA"/>
        </w:rPr>
        <w:t xml:space="preserve"> “With renewed sense of purpose and deep commitment… remained motivated by the opportunity to reconnect with the learners.”</w:t>
      </w:r>
    </w:p>
    <w:p w14:paraId="6ADC3407"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b/>
          <w:bCs/>
          <w:sz w:val="24"/>
          <w:szCs w:val="24"/>
          <w:lang w:bidi="ar-SA"/>
        </w:rPr>
        <w:t>Participant 3:</w:t>
      </w:r>
      <w:r w:rsidRPr="00231C83">
        <w:rPr>
          <w:rFonts w:ascii="Book Antiqua" w:eastAsia="Times New Roman" w:hAnsi="Book Antiqua" w:cs="Times New Roman"/>
          <w:sz w:val="24"/>
          <w:szCs w:val="24"/>
          <w:lang w:bidi="ar-SA"/>
        </w:rPr>
        <w:t xml:space="preserve"> “I approached it with empathy and patience… focused on creating a safe, supportive, and flexible learning space.”</w:t>
      </w:r>
    </w:p>
    <w:p w14:paraId="1CC4E19D"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b/>
          <w:bCs/>
          <w:sz w:val="24"/>
          <w:szCs w:val="24"/>
          <w:lang w:bidi="ar-SA"/>
        </w:rPr>
        <w:t>Participant 5:</w:t>
      </w:r>
      <w:r w:rsidRPr="00231C83">
        <w:rPr>
          <w:rFonts w:ascii="Book Antiqua" w:eastAsia="Times New Roman" w:hAnsi="Book Antiqua" w:cs="Times New Roman"/>
          <w:sz w:val="24"/>
          <w:szCs w:val="24"/>
          <w:lang w:bidi="ar-SA"/>
        </w:rPr>
        <w:t xml:space="preserve"> “I adjusted my teaching style and expectations, and in my own ability to guide them.”</w:t>
      </w:r>
    </w:p>
    <w:p w14:paraId="480FFB42"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b/>
          <w:bCs/>
          <w:sz w:val="24"/>
          <w:szCs w:val="24"/>
          <w:lang w:bidi="ar-SA"/>
        </w:rPr>
        <w:t>Participant 7:</w:t>
      </w:r>
      <w:r w:rsidRPr="00231C83">
        <w:rPr>
          <w:rFonts w:ascii="Book Antiqua" w:eastAsia="Times New Roman" w:hAnsi="Book Antiqua" w:cs="Times New Roman"/>
          <w:sz w:val="24"/>
          <w:szCs w:val="24"/>
          <w:lang w:bidi="ar-SA"/>
        </w:rPr>
        <w:t xml:space="preserve"> “I remained dedicated to adapting my strategies and materials to meet their needs. I felt fulfilled knowing that my efforts contributed to their recovery and progress.”</w:t>
      </w:r>
    </w:p>
    <w:p w14:paraId="2826E7CC"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sz w:val="24"/>
          <w:szCs w:val="24"/>
          <w:lang w:bidi="ar-SA"/>
        </w:rPr>
        <w:t>These narratives emphasize the importance of emotional responsiveness, patience, and continuous pedagogical adjustment in successfully navigating post-pandemic challenges.</w:t>
      </w:r>
    </w:p>
    <w:p w14:paraId="01BC134D" w14:textId="77777777" w:rsidR="00A0531B" w:rsidRPr="00231C83" w:rsidRDefault="00A0531B" w:rsidP="00A0531B">
      <w:pPr>
        <w:pStyle w:val="NoSpacing"/>
        <w:jc w:val="both"/>
        <w:rPr>
          <w:rFonts w:ascii="Book Antiqua" w:eastAsia="Times New Roman" w:hAnsi="Book Antiqua" w:cs="Times New Roman"/>
          <w:b/>
          <w:bCs/>
          <w:sz w:val="24"/>
          <w:szCs w:val="24"/>
          <w:lang w:bidi="ar-SA"/>
        </w:rPr>
      </w:pPr>
      <w:r w:rsidRPr="00231C83">
        <w:rPr>
          <w:rFonts w:ascii="Book Antiqua" w:eastAsia="Times New Roman" w:hAnsi="Book Antiqua" w:cs="Times New Roman"/>
          <w:b/>
          <w:bCs/>
          <w:sz w:val="24"/>
          <w:szCs w:val="24"/>
          <w:lang w:bidi="ar-SA"/>
        </w:rPr>
        <w:t>Analysis and Discussion of Themes 4-6</w:t>
      </w:r>
    </w:p>
    <w:p w14:paraId="273D2640"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sz w:val="24"/>
          <w:szCs w:val="24"/>
          <w:lang w:bidi="ar-SA"/>
        </w:rPr>
        <w:t>The themes collectively demonstrate teachers’ resilience and professional commitment. The adaptive strategies mirror best practices in differentiated instruction and inclusive pedagogy supported by educational theories emphasizing learner-centered approaches, especially in recovery contexts.</w:t>
      </w:r>
    </w:p>
    <w:p w14:paraId="6FF11E58"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sz w:val="24"/>
          <w:szCs w:val="24"/>
          <w:lang w:bidi="ar-SA"/>
        </w:rPr>
        <w:t>Teachers not only focused on curricular catch-up but also attended to emotional and social reintegration needs of learners, creating environments sensitive to trauma and anxiety effects resulting from the pandemic. Their "challenging yet rewarding" experiences reveal an ongoing process of professional growth and reflection.</w:t>
      </w:r>
    </w:p>
    <w:p w14:paraId="1026168D" w14:textId="235785DD"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sz w:val="24"/>
          <w:szCs w:val="24"/>
          <w:lang w:bidi="ar-SA"/>
        </w:rPr>
        <w:t>The provision of supportive classrooms underscores the psychosocial dimension of teaching, particularly notable as many learners returned with fears and hesitations impacting their learning disposition.</w:t>
      </w:r>
    </w:p>
    <w:p w14:paraId="2DC23A69"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b/>
          <w:bCs/>
          <w:sz w:val="24"/>
          <w:szCs w:val="24"/>
          <w:lang w:bidi="ar-SA"/>
        </w:rPr>
        <w:t>Summary</w:t>
      </w:r>
      <w:r w:rsidRPr="00231C83">
        <w:rPr>
          <w:rFonts w:ascii="Book Antiqua" w:eastAsia="Times New Roman" w:hAnsi="Book Antiqua" w:cs="Times New Roman"/>
          <w:sz w:val="24"/>
          <w:szCs w:val="24"/>
          <w:lang w:bidi="ar-SA"/>
        </w:rPr>
        <w:t xml:space="preserve"> This qualitative phenomenological study explored the lived experiences of seven public elementary school teachers in Prosperidad District, Agusan del Sur, Philippines during the 2023–2024 school year. It focused on how they managed classroom challenges and addressed student learning gaps intensified by COVID-19 disruptions. Using semi-structured interviews and analyzed through Colaizzi’s (1978) seven-step method, the study revealed themes concerning teachers’ struggles with academic regression, behavioral issues, and learner unpreparedness following prolonged school closures and shifting instructional modalities. Despite these difficulties, teachers demonstrated adaptability by employing differentiated strategies, inventive engagement techniques, and psychosocial support to rebuild learners’ skills and confidence. Their resourcefulness supported the creation of engaging and supportive learning environments, fostering positive classroom climates essential for educational recovery.</w:t>
      </w:r>
    </w:p>
    <w:p w14:paraId="0F47A37E"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b/>
          <w:bCs/>
          <w:sz w:val="24"/>
          <w:szCs w:val="24"/>
          <w:lang w:bidi="ar-SA"/>
        </w:rPr>
        <w:t>Findings</w:t>
      </w:r>
      <w:r w:rsidRPr="00231C83">
        <w:rPr>
          <w:rFonts w:ascii="Book Antiqua" w:eastAsia="Times New Roman" w:hAnsi="Book Antiqua" w:cs="Times New Roman"/>
          <w:sz w:val="24"/>
          <w:szCs w:val="24"/>
          <w:lang w:bidi="ar-SA"/>
        </w:rPr>
        <w:t xml:space="preserve"> Based on the participants’ narratives and thematic analysis, the significant findings include:</w:t>
      </w:r>
    </w:p>
    <w:p w14:paraId="4A57C7FA"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b/>
          <w:bCs/>
          <w:sz w:val="24"/>
          <w:szCs w:val="24"/>
          <w:lang w:bidi="ar-SA"/>
        </w:rPr>
        <w:lastRenderedPageBreak/>
        <w:t>Struggles in Teaching:</w:t>
      </w:r>
      <w:r w:rsidRPr="00231C83">
        <w:rPr>
          <w:rFonts w:ascii="Book Antiqua" w:eastAsia="Times New Roman" w:hAnsi="Book Antiqua" w:cs="Times New Roman"/>
          <w:sz w:val="24"/>
          <w:szCs w:val="24"/>
          <w:lang w:bidi="ar-SA"/>
        </w:rPr>
        <w:t xml:space="preserve"> Teachers faced multiple challenges including learner academic regression, difficulties in lesson delivery, and managing increased behavioral concerns post-pandemic.</w:t>
      </w:r>
    </w:p>
    <w:p w14:paraId="249FAC4C"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b/>
          <w:bCs/>
          <w:sz w:val="24"/>
          <w:szCs w:val="24"/>
          <w:lang w:bidi="ar-SA"/>
        </w:rPr>
        <w:t>Behavior Towards Learning:</w:t>
      </w:r>
      <w:r w:rsidRPr="00231C83">
        <w:rPr>
          <w:rFonts w:ascii="Book Antiqua" w:eastAsia="Times New Roman" w:hAnsi="Book Antiqua" w:cs="Times New Roman"/>
          <w:sz w:val="24"/>
          <w:szCs w:val="24"/>
          <w:lang w:bidi="ar-SA"/>
        </w:rPr>
        <w:t xml:space="preserve"> Learners exhibited mixed emotional and behavioral responses ranging from excitement and eagerness to anxiety, reluctance, and low motivation, complicating engagement efforts.</w:t>
      </w:r>
    </w:p>
    <w:p w14:paraId="1CA1975C"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b/>
          <w:bCs/>
          <w:sz w:val="24"/>
          <w:szCs w:val="24"/>
          <w:lang w:bidi="ar-SA"/>
        </w:rPr>
        <w:t>Learning Gaps:</w:t>
      </w:r>
      <w:r w:rsidRPr="00231C83">
        <w:rPr>
          <w:rFonts w:ascii="Book Antiqua" w:eastAsia="Times New Roman" w:hAnsi="Book Antiqua" w:cs="Times New Roman"/>
          <w:sz w:val="24"/>
          <w:szCs w:val="24"/>
          <w:lang w:bidi="ar-SA"/>
        </w:rPr>
        <w:t xml:space="preserve"> Particularly notable were foundational skill deficits in literacy and numeracy, with many students classified as non-readers or struggling learners needing additional support.</w:t>
      </w:r>
    </w:p>
    <w:p w14:paraId="7E385D4A"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b/>
          <w:bCs/>
          <w:sz w:val="24"/>
          <w:szCs w:val="24"/>
          <w:lang w:bidi="ar-SA"/>
        </w:rPr>
        <w:t>Teacher Adaptability and Resourcefulness:</w:t>
      </w:r>
      <w:r w:rsidRPr="00231C83">
        <w:rPr>
          <w:rFonts w:ascii="Book Antiqua" w:eastAsia="Times New Roman" w:hAnsi="Book Antiqua" w:cs="Times New Roman"/>
          <w:sz w:val="24"/>
          <w:szCs w:val="24"/>
          <w:lang w:bidi="ar-SA"/>
        </w:rPr>
        <w:t xml:space="preserve"> Educators adapted their teaching styles and materials creatively, employed diverse instructional strategies, and engaged in continuous professional development to meet learners’ varied needs.</w:t>
      </w:r>
    </w:p>
    <w:p w14:paraId="535FDAEA"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b/>
          <w:bCs/>
          <w:sz w:val="24"/>
          <w:szCs w:val="24"/>
          <w:lang w:bidi="ar-SA"/>
        </w:rPr>
        <w:t>Challenging Yet Rewarding Experiences:</w:t>
      </w:r>
      <w:r w:rsidRPr="00231C83">
        <w:rPr>
          <w:rFonts w:ascii="Book Antiqua" w:eastAsia="Times New Roman" w:hAnsi="Book Antiqua" w:cs="Times New Roman"/>
          <w:sz w:val="24"/>
          <w:szCs w:val="24"/>
          <w:lang w:bidi="ar-SA"/>
        </w:rPr>
        <w:t xml:space="preserve"> Despite heightened challenges, teachers found fulfillment in overcoming obstacles and witnessing student progress.</w:t>
      </w:r>
    </w:p>
    <w:p w14:paraId="1F5E26BD"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b/>
          <w:bCs/>
          <w:sz w:val="24"/>
          <w:szCs w:val="24"/>
          <w:lang w:bidi="ar-SA"/>
        </w:rPr>
        <w:t>Provision of Supportive and Engaging Learning Environments:</w:t>
      </w:r>
      <w:r w:rsidRPr="00231C83">
        <w:rPr>
          <w:rFonts w:ascii="Book Antiqua" w:eastAsia="Times New Roman" w:hAnsi="Book Antiqua" w:cs="Times New Roman"/>
          <w:sz w:val="24"/>
          <w:szCs w:val="24"/>
          <w:lang w:bidi="ar-SA"/>
        </w:rPr>
        <w:t xml:space="preserve"> Teachers fostered safe, inclusive, and motivating classrooms by integrating psychosocial support, positive discipline, and active learner engagement strategies to support recovery and sustained learning.</w:t>
      </w:r>
    </w:p>
    <w:p w14:paraId="7A00F16E" w14:textId="77777777"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sz w:val="24"/>
          <w:szCs w:val="24"/>
          <w:lang w:bidi="ar-SA"/>
        </w:rPr>
        <w:t>Overall, the study concludes that the pandemic reshaped classroom realities but highlighted teacher resilience and innovation as key to bridging learning losses and creating meaningful educational experiences in the post-pandemic era</w:t>
      </w:r>
    </w:p>
    <w:p w14:paraId="6FB746B9" w14:textId="6521266F" w:rsidR="00A0531B" w:rsidRPr="00231C83" w:rsidRDefault="00A0531B" w:rsidP="00A0531B">
      <w:pPr>
        <w:pStyle w:val="NoSpacing"/>
        <w:jc w:val="both"/>
        <w:rPr>
          <w:rFonts w:ascii="Book Antiqua" w:eastAsia="Times New Roman" w:hAnsi="Book Antiqua" w:cs="Times New Roman"/>
          <w:sz w:val="24"/>
          <w:szCs w:val="24"/>
          <w:lang w:bidi="ar-SA"/>
        </w:rPr>
      </w:pPr>
    </w:p>
    <w:p w14:paraId="43CC5AA6" w14:textId="5830619E" w:rsidR="00A0531B" w:rsidRPr="00231C83" w:rsidRDefault="00A0531B" w:rsidP="00A0531B">
      <w:pPr>
        <w:pStyle w:val="NoSpacing"/>
        <w:jc w:val="both"/>
        <w:rPr>
          <w:rFonts w:ascii="Book Antiqua" w:eastAsia="Times New Roman" w:hAnsi="Book Antiqua" w:cs="Times New Roman"/>
          <w:sz w:val="24"/>
          <w:szCs w:val="24"/>
          <w:lang w:bidi="ar-SA"/>
        </w:rPr>
      </w:pPr>
      <w:r w:rsidRPr="00231C83">
        <w:rPr>
          <w:rFonts w:ascii="Book Antiqua" w:eastAsia="Times New Roman" w:hAnsi="Book Antiqua" w:cs="Times New Roman"/>
          <w:sz w:val="24"/>
          <w:szCs w:val="24"/>
          <w:lang w:bidi="ar-SA"/>
        </w:rPr>
        <w:t xml:space="preserve">References </w:t>
      </w:r>
    </w:p>
    <w:p w14:paraId="462965FF" w14:textId="77777777" w:rsidR="00A0531B" w:rsidRPr="00231C83" w:rsidRDefault="00A0531B" w:rsidP="00231C83">
      <w:pPr>
        <w:pStyle w:val="NoSpacing"/>
        <w:spacing w:line="276" w:lineRule="auto"/>
        <w:jc w:val="both"/>
        <w:rPr>
          <w:rFonts w:ascii="Book Antiqua" w:eastAsia="Times New Roman" w:hAnsi="Book Antiqua" w:cs="Times New Roman"/>
          <w:i/>
          <w:iCs/>
          <w:sz w:val="24"/>
          <w:szCs w:val="24"/>
          <w:lang w:bidi="ar-SA"/>
        </w:rPr>
      </w:pPr>
      <w:r w:rsidRPr="00231C83">
        <w:rPr>
          <w:rFonts w:ascii="Book Antiqua" w:eastAsia="Times New Roman" w:hAnsi="Book Antiqua" w:cs="Times New Roman"/>
          <w:i/>
          <w:iCs/>
          <w:sz w:val="24"/>
          <w:szCs w:val="24"/>
          <w:lang w:bidi="ar-SA"/>
        </w:rPr>
        <w:t>Amar, et al. (2023). [Discussed experiences and adjustments of elementary teachers following the COVID-19 pandemic, highlighting significant issues related to learning gaps and academic progress, and recommending reinforcements via professional development] [T7, p. 22].</w:t>
      </w:r>
    </w:p>
    <w:p w14:paraId="3D3ABA6F" w14:textId="77777777" w:rsidR="00A0531B" w:rsidRPr="00231C83" w:rsidRDefault="00A0531B" w:rsidP="00231C83">
      <w:pPr>
        <w:pStyle w:val="NoSpacing"/>
        <w:spacing w:line="276" w:lineRule="auto"/>
        <w:jc w:val="both"/>
        <w:rPr>
          <w:rFonts w:ascii="Book Antiqua" w:eastAsia="Times New Roman" w:hAnsi="Book Antiqua" w:cs="Times New Roman"/>
          <w:i/>
          <w:iCs/>
          <w:sz w:val="24"/>
          <w:szCs w:val="24"/>
          <w:lang w:bidi="ar-SA"/>
        </w:rPr>
      </w:pPr>
      <w:r w:rsidRPr="00231C83">
        <w:rPr>
          <w:rFonts w:ascii="Book Antiqua" w:eastAsia="Times New Roman" w:hAnsi="Book Antiqua" w:cs="Times New Roman"/>
          <w:i/>
          <w:iCs/>
          <w:sz w:val="24"/>
          <w:szCs w:val="24"/>
          <w:lang w:bidi="ar-SA"/>
        </w:rPr>
        <w:t>Campbell, et al. (2020). Definition of "Experiences" as knowledge and skills gained over time [T5, p.12].</w:t>
      </w:r>
    </w:p>
    <w:p w14:paraId="110F0327" w14:textId="77777777" w:rsidR="00A0531B" w:rsidRPr="00231C83" w:rsidRDefault="00A0531B" w:rsidP="00231C83">
      <w:pPr>
        <w:pStyle w:val="NoSpacing"/>
        <w:spacing w:line="276" w:lineRule="auto"/>
        <w:jc w:val="both"/>
        <w:rPr>
          <w:rFonts w:ascii="Book Antiqua" w:eastAsia="Times New Roman" w:hAnsi="Book Antiqua" w:cs="Times New Roman"/>
          <w:i/>
          <w:iCs/>
          <w:sz w:val="24"/>
          <w:szCs w:val="24"/>
          <w:lang w:bidi="ar-SA"/>
        </w:rPr>
      </w:pPr>
      <w:r w:rsidRPr="00231C83">
        <w:rPr>
          <w:rFonts w:ascii="Book Antiqua" w:eastAsia="Times New Roman" w:hAnsi="Book Antiqua" w:cs="Times New Roman"/>
          <w:i/>
          <w:iCs/>
          <w:sz w:val="24"/>
          <w:szCs w:val="24"/>
          <w:lang w:bidi="ar-SA"/>
        </w:rPr>
        <w:t>Colaizzi, P. F. (1978). Seven-step analysis method used for qualitative data analysis [T5, p.12; T19, p.74].</w:t>
      </w:r>
    </w:p>
    <w:p w14:paraId="07F8A5F2" w14:textId="77777777" w:rsidR="00A0531B" w:rsidRPr="00231C83" w:rsidRDefault="00A0531B" w:rsidP="00231C83">
      <w:pPr>
        <w:pStyle w:val="NoSpacing"/>
        <w:spacing w:line="276" w:lineRule="auto"/>
        <w:jc w:val="both"/>
        <w:rPr>
          <w:rFonts w:ascii="Book Antiqua" w:eastAsia="Times New Roman" w:hAnsi="Book Antiqua" w:cs="Times New Roman"/>
          <w:i/>
          <w:iCs/>
          <w:sz w:val="24"/>
          <w:szCs w:val="24"/>
          <w:lang w:bidi="ar-SA"/>
        </w:rPr>
      </w:pPr>
      <w:r w:rsidRPr="00231C83">
        <w:rPr>
          <w:rFonts w:ascii="Book Antiqua" w:eastAsia="Times New Roman" w:hAnsi="Book Antiqua" w:cs="Times New Roman"/>
          <w:i/>
          <w:iCs/>
          <w:sz w:val="24"/>
          <w:szCs w:val="24"/>
          <w:lang w:bidi="ar-SA"/>
        </w:rPr>
        <w:t>Creswell, J. W. (2012). Phenomenological approach guiding this qualitative descriptive research design [T5, p.11; T19, p.74].</w:t>
      </w:r>
    </w:p>
    <w:p w14:paraId="6902DFEC" w14:textId="77777777" w:rsidR="00A0531B" w:rsidRPr="00231C83" w:rsidRDefault="00A0531B" w:rsidP="00231C83">
      <w:pPr>
        <w:pStyle w:val="NoSpacing"/>
        <w:spacing w:line="276" w:lineRule="auto"/>
        <w:jc w:val="both"/>
        <w:rPr>
          <w:rFonts w:ascii="Book Antiqua" w:eastAsia="Times New Roman" w:hAnsi="Book Antiqua" w:cs="Times New Roman"/>
          <w:i/>
          <w:iCs/>
          <w:sz w:val="24"/>
          <w:szCs w:val="24"/>
          <w:lang w:bidi="ar-SA"/>
        </w:rPr>
      </w:pPr>
      <w:r w:rsidRPr="00231C83">
        <w:rPr>
          <w:rFonts w:ascii="Book Antiqua" w:eastAsia="Times New Roman" w:hAnsi="Book Antiqua" w:cs="Times New Roman"/>
          <w:i/>
          <w:iCs/>
          <w:sz w:val="24"/>
          <w:szCs w:val="24"/>
          <w:lang w:bidi="ar-SA"/>
        </w:rPr>
        <w:t>Creswell, J. W. (2013). Explanation on phenomenological research appropriateness for investigating lived experience in educational settings [T9, p.31].</w:t>
      </w:r>
    </w:p>
    <w:p w14:paraId="2E55449D" w14:textId="77777777" w:rsidR="00A0531B" w:rsidRPr="00231C83" w:rsidRDefault="00A0531B" w:rsidP="00231C83">
      <w:pPr>
        <w:pStyle w:val="NoSpacing"/>
        <w:spacing w:line="276" w:lineRule="auto"/>
        <w:jc w:val="both"/>
        <w:rPr>
          <w:rFonts w:ascii="Book Antiqua" w:eastAsia="Times New Roman" w:hAnsi="Book Antiqua" w:cs="Times New Roman"/>
          <w:i/>
          <w:iCs/>
          <w:sz w:val="24"/>
          <w:szCs w:val="24"/>
          <w:lang w:bidi="ar-SA"/>
        </w:rPr>
      </w:pPr>
      <w:r w:rsidRPr="00231C83">
        <w:rPr>
          <w:rFonts w:ascii="Book Antiqua" w:eastAsia="Times New Roman" w:hAnsi="Book Antiqua" w:cs="Times New Roman"/>
          <w:i/>
          <w:iCs/>
          <w:sz w:val="24"/>
          <w:szCs w:val="24"/>
          <w:lang w:bidi="ar-SA"/>
        </w:rPr>
        <w:t>Fiedler, Fred E. (1960). Contingency theory anchoring the study’s conceptual framework about management and leadership depending on context [T2, p.4; T3, p.8].</w:t>
      </w:r>
    </w:p>
    <w:p w14:paraId="183619BF" w14:textId="77777777" w:rsidR="00A0531B" w:rsidRPr="00231C83" w:rsidRDefault="00A0531B" w:rsidP="00231C83">
      <w:pPr>
        <w:pStyle w:val="NoSpacing"/>
        <w:spacing w:line="276" w:lineRule="auto"/>
        <w:jc w:val="both"/>
        <w:rPr>
          <w:rFonts w:ascii="Book Antiqua" w:eastAsia="Times New Roman" w:hAnsi="Book Antiqua" w:cs="Times New Roman"/>
          <w:i/>
          <w:iCs/>
          <w:sz w:val="24"/>
          <w:szCs w:val="24"/>
          <w:lang w:bidi="ar-SA"/>
        </w:rPr>
      </w:pPr>
      <w:r w:rsidRPr="00231C83">
        <w:rPr>
          <w:rFonts w:ascii="Book Antiqua" w:eastAsia="Times New Roman" w:hAnsi="Book Antiqua" w:cs="Times New Roman"/>
          <w:i/>
          <w:iCs/>
          <w:sz w:val="24"/>
          <w:szCs w:val="24"/>
          <w:lang w:bidi="ar-SA"/>
        </w:rPr>
        <w:t>Gill, et al. (2008). Justification for use of semi-structured interviews as data gathering tool [T12, p.34].</w:t>
      </w:r>
    </w:p>
    <w:p w14:paraId="6E867EA3" w14:textId="77777777" w:rsidR="00A0531B" w:rsidRPr="00231C83" w:rsidRDefault="00A0531B" w:rsidP="00231C83">
      <w:pPr>
        <w:pStyle w:val="NoSpacing"/>
        <w:spacing w:line="276" w:lineRule="auto"/>
        <w:jc w:val="both"/>
        <w:rPr>
          <w:rFonts w:ascii="Book Antiqua" w:eastAsia="Times New Roman" w:hAnsi="Book Antiqua" w:cs="Times New Roman"/>
          <w:i/>
          <w:iCs/>
          <w:sz w:val="24"/>
          <w:szCs w:val="24"/>
          <w:lang w:bidi="ar-SA"/>
        </w:rPr>
      </w:pPr>
      <w:r w:rsidRPr="00231C83">
        <w:rPr>
          <w:rFonts w:ascii="Book Antiqua" w:eastAsia="Times New Roman" w:hAnsi="Book Antiqua" w:cs="Times New Roman"/>
          <w:i/>
          <w:iCs/>
          <w:sz w:val="24"/>
          <w:szCs w:val="24"/>
          <w:lang w:bidi="ar-SA"/>
        </w:rPr>
        <w:t>Origenes &amp; Alejandro (2023). Trauma-informed education and positive discipline contributing to safe learning spaces post-pandemic [T18, p.71].</w:t>
      </w:r>
    </w:p>
    <w:p w14:paraId="38B533A5" w14:textId="77777777" w:rsidR="00A0531B" w:rsidRPr="00231C83" w:rsidRDefault="00A0531B" w:rsidP="00231C83">
      <w:pPr>
        <w:pStyle w:val="NoSpacing"/>
        <w:spacing w:line="276" w:lineRule="auto"/>
        <w:jc w:val="both"/>
        <w:rPr>
          <w:rFonts w:ascii="Book Antiqua" w:eastAsia="Times New Roman" w:hAnsi="Book Antiqua" w:cs="Times New Roman"/>
          <w:i/>
          <w:iCs/>
          <w:sz w:val="24"/>
          <w:szCs w:val="24"/>
          <w:lang w:bidi="ar-SA"/>
        </w:rPr>
      </w:pPr>
      <w:r w:rsidRPr="00231C83">
        <w:rPr>
          <w:rFonts w:ascii="Book Antiqua" w:eastAsia="Times New Roman" w:hAnsi="Book Antiqua" w:cs="Times New Roman"/>
          <w:i/>
          <w:iCs/>
          <w:sz w:val="24"/>
          <w:szCs w:val="24"/>
          <w:lang w:bidi="ar-SA"/>
        </w:rPr>
        <w:lastRenderedPageBreak/>
        <w:t>Qutoshi, S. B. (2018). Value of phenomenology for examining teacher consciousness especially in crisis-altered professional practice [T9, p.31].</w:t>
      </w:r>
    </w:p>
    <w:p w14:paraId="1A8B014F" w14:textId="77777777" w:rsidR="00A0531B" w:rsidRPr="00231C83" w:rsidRDefault="00A0531B" w:rsidP="00231C83">
      <w:pPr>
        <w:pStyle w:val="NoSpacing"/>
        <w:spacing w:line="276" w:lineRule="auto"/>
        <w:jc w:val="both"/>
        <w:rPr>
          <w:rFonts w:ascii="Book Antiqua" w:eastAsia="Times New Roman" w:hAnsi="Book Antiqua" w:cs="Times New Roman"/>
          <w:i/>
          <w:iCs/>
          <w:sz w:val="24"/>
          <w:szCs w:val="24"/>
          <w:lang w:bidi="ar-SA"/>
        </w:rPr>
      </w:pPr>
      <w:r w:rsidRPr="00231C83">
        <w:rPr>
          <w:rFonts w:ascii="Book Antiqua" w:eastAsia="Times New Roman" w:hAnsi="Book Antiqua" w:cs="Times New Roman"/>
          <w:i/>
          <w:iCs/>
          <w:sz w:val="24"/>
          <w:szCs w:val="24"/>
          <w:lang w:bidi="ar-SA"/>
        </w:rPr>
        <w:t>Reyes, et al. (2023). Teachers’ concerns about non-readers, mental/social unpreparedness post-pandemic, need for new strategies, and reading intervention [T7, p.22].</w:t>
      </w:r>
    </w:p>
    <w:p w14:paraId="61BDE84C" w14:textId="77777777" w:rsidR="00A0531B" w:rsidRPr="00231C83" w:rsidRDefault="00A0531B" w:rsidP="00231C83">
      <w:pPr>
        <w:pStyle w:val="NoSpacing"/>
        <w:spacing w:line="276" w:lineRule="auto"/>
        <w:jc w:val="both"/>
        <w:rPr>
          <w:rFonts w:ascii="Book Antiqua" w:eastAsia="Times New Roman" w:hAnsi="Book Antiqua" w:cs="Times New Roman"/>
          <w:i/>
          <w:iCs/>
          <w:sz w:val="24"/>
          <w:szCs w:val="24"/>
          <w:lang w:bidi="ar-SA"/>
        </w:rPr>
      </w:pPr>
      <w:r w:rsidRPr="00231C83">
        <w:rPr>
          <w:rFonts w:ascii="Book Antiqua" w:eastAsia="Times New Roman" w:hAnsi="Book Antiqua" w:cs="Times New Roman"/>
          <w:i/>
          <w:iCs/>
          <w:sz w:val="24"/>
          <w:szCs w:val="24"/>
          <w:lang w:bidi="ar-SA"/>
        </w:rPr>
        <w:t>Torres, (2021). Teachers’ adaptability, resourcefulness, and attempts to foster inclusive classrooms post-pandemic [T1, p.3].</w:t>
      </w:r>
    </w:p>
    <w:p w14:paraId="11C76C47" w14:textId="77777777" w:rsidR="00A0531B" w:rsidRPr="00231C83" w:rsidRDefault="00A0531B" w:rsidP="00231C83">
      <w:pPr>
        <w:pStyle w:val="NoSpacing"/>
        <w:spacing w:line="276" w:lineRule="auto"/>
        <w:jc w:val="both"/>
        <w:rPr>
          <w:rFonts w:ascii="Book Antiqua" w:eastAsia="Times New Roman" w:hAnsi="Book Antiqua" w:cs="Times New Roman"/>
          <w:i/>
          <w:iCs/>
          <w:sz w:val="24"/>
          <w:szCs w:val="24"/>
          <w:lang w:bidi="ar-SA"/>
        </w:rPr>
      </w:pPr>
    </w:p>
    <w:p w14:paraId="203BC703" w14:textId="76F2BF89" w:rsidR="00A0531B" w:rsidRPr="00231C83" w:rsidRDefault="00A0531B" w:rsidP="00231C83">
      <w:pPr>
        <w:pStyle w:val="NoSpacing"/>
        <w:spacing w:line="276" w:lineRule="auto"/>
        <w:jc w:val="both"/>
        <w:rPr>
          <w:rFonts w:ascii="Book Antiqua" w:eastAsia="Times New Roman" w:hAnsi="Book Antiqua" w:cs="Times New Roman"/>
          <w:i/>
          <w:iCs/>
          <w:sz w:val="24"/>
          <w:szCs w:val="24"/>
          <w:lang w:bidi="ar-SA"/>
        </w:rPr>
      </w:pPr>
    </w:p>
    <w:sectPr w:rsidR="00A0531B" w:rsidRPr="00231C8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4DA2E" w14:textId="77777777" w:rsidR="00343258" w:rsidRDefault="00343258" w:rsidP="0090039F">
      <w:pPr>
        <w:spacing w:after="0" w:line="240" w:lineRule="auto"/>
      </w:pPr>
      <w:r>
        <w:separator/>
      </w:r>
    </w:p>
  </w:endnote>
  <w:endnote w:type="continuationSeparator" w:id="0">
    <w:p w14:paraId="014F24E9" w14:textId="77777777" w:rsidR="00343258" w:rsidRDefault="00343258" w:rsidP="00900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Book Antiqua">
    <w:panose1 w:val="02040602050305030304"/>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1097255"/>
      <w:docPartObj>
        <w:docPartGallery w:val="Page Numbers (Bottom of Page)"/>
        <w:docPartUnique/>
      </w:docPartObj>
    </w:sdtPr>
    <w:sdtEndPr>
      <w:rPr>
        <w:noProof/>
      </w:rPr>
    </w:sdtEndPr>
    <w:sdtContent>
      <w:p w14:paraId="6DB1861B" w14:textId="1FBBF4D8" w:rsidR="0090039F" w:rsidRDefault="009003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A18CB3" w14:textId="77777777" w:rsidR="0090039F" w:rsidRDefault="009003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61C2D" w14:textId="77777777" w:rsidR="00343258" w:rsidRDefault="00343258" w:rsidP="0090039F">
      <w:pPr>
        <w:spacing w:after="0" w:line="240" w:lineRule="auto"/>
      </w:pPr>
      <w:r>
        <w:separator/>
      </w:r>
    </w:p>
  </w:footnote>
  <w:footnote w:type="continuationSeparator" w:id="0">
    <w:p w14:paraId="3004C3FD" w14:textId="77777777" w:rsidR="00343258" w:rsidRDefault="00343258" w:rsidP="009003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96899"/>
    <w:multiLevelType w:val="multilevel"/>
    <w:tmpl w:val="0DAAAAF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DA323D"/>
    <w:multiLevelType w:val="multilevel"/>
    <w:tmpl w:val="0580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9D44B4"/>
    <w:multiLevelType w:val="multilevel"/>
    <w:tmpl w:val="C5504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D64146"/>
    <w:multiLevelType w:val="multilevel"/>
    <w:tmpl w:val="A68CC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2630E7"/>
    <w:multiLevelType w:val="multilevel"/>
    <w:tmpl w:val="A5F8A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6A574D"/>
    <w:multiLevelType w:val="multilevel"/>
    <w:tmpl w:val="BA0AB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D80685"/>
    <w:multiLevelType w:val="multilevel"/>
    <w:tmpl w:val="99527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1C1FF7"/>
    <w:multiLevelType w:val="multilevel"/>
    <w:tmpl w:val="0AF8446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EF60E5"/>
    <w:multiLevelType w:val="multilevel"/>
    <w:tmpl w:val="10725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7F7CC6"/>
    <w:multiLevelType w:val="multilevel"/>
    <w:tmpl w:val="1D826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CD7CF3"/>
    <w:multiLevelType w:val="multilevel"/>
    <w:tmpl w:val="74742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3B7DFD"/>
    <w:multiLevelType w:val="multilevel"/>
    <w:tmpl w:val="52ECB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723000"/>
    <w:multiLevelType w:val="multilevel"/>
    <w:tmpl w:val="6D7A7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6F6B8B"/>
    <w:multiLevelType w:val="multilevel"/>
    <w:tmpl w:val="24FC1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10D0BDB"/>
    <w:multiLevelType w:val="multilevel"/>
    <w:tmpl w:val="EF38E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3E1D9E"/>
    <w:multiLevelType w:val="multilevel"/>
    <w:tmpl w:val="F282F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5C05138"/>
    <w:multiLevelType w:val="multilevel"/>
    <w:tmpl w:val="1C3EF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F36DA9"/>
    <w:multiLevelType w:val="multilevel"/>
    <w:tmpl w:val="993C1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1A631E"/>
    <w:multiLevelType w:val="multilevel"/>
    <w:tmpl w:val="96E8E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6"/>
  </w:num>
  <w:num w:numId="3">
    <w:abstractNumId w:val="5"/>
  </w:num>
  <w:num w:numId="4">
    <w:abstractNumId w:val="1"/>
  </w:num>
  <w:num w:numId="5">
    <w:abstractNumId w:val="7"/>
  </w:num>
  <w:num w:numId="6">
    <w:abstractNumId w:val="14"/>
  </w:num>
  <w:num w:numId="7">
    <w:abstractNumId w:val="9"/>
  </w:num>
  <w:num w:numId="8">
    <w:abstractNumId w:val="8"/>
  </w:num>
  <w:num w:numId="9">
    <w:abstractNumId w:val="15"/>
  </w:num>
  <w:num w:numId="10">
    <w:abstractNumId w:val="17"/>
  </w:num>
  <w:num w:numId="11">
    <w:abstractNumId w:val="3"/>
  </w:num>
  <w:num w:numId="12">
    <w:abstractNumId w:val="12"/>
  </w:num>
  <w:num w:numId="13">
    <w:abstractNumId w:val="4"/>
  </w:num>
  <w:num w:numId="14">
    <w:abstractNumId w:val="11"/>
  </w:num>
  <w:num w:numId="15">
    <w:abstractNumId w:val="18"/>
  </w:num>
  <w:num w:numId="16">
    <w:abstractNumId w:val="0"/>
  </w:num>
  <w:num w:numId="17">
    <w:abstractNumId w:val="2"/>
  </w:num>
  <w:num w:numId="18">
    <w:abstractNumId w:val="16"/>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31B"/>
    <w:rsid w:val="000675F2"/>
    <w:rsid w:val="00231C83"/>
    <w:rsid w:val="002B020E"/>
    <w:rsid w:val="00343258"/>
    <w:rsid w:val="003F6384"/>
    <w:rsid w:val="005F66BC"/>
    <w:rsid w:val="00897E30"/>
    <w:rsid w:val="0090039F"/>
    <w:rsid w:val="0091374B"/>
    <w:rsid w:val="00A0531B"/>
    <w:rsid w:val="00AE455E"/>
    <w:rsid w:val="00BD63FD"/>
    <w:rsid w:val="00DF5486"/>
    <w:rsid w:val="00F913C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8A8B6"/>
  <w15:chartTrackingRefBased/>
  <w15:docId w15:val="{6BA5C962-D7C0-40F2-8D69-47C8F93BF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053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0531B"/>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NoSpacing">
    <w:name w:val="No Spacing"/>
    <w:uiPriority w:val="1"/>
    <w:qFormat/>
    <w:rsid w:val="00A0531B"/>
    <w:pPr>
      <w:spacing w:after="0" w:line="240" w:lineRule="auto"/>
    </w:pPr>
  </w:style>
  <w:style w:type="character" w:styleId="Hyperlink">
    <w:name w:val="Hyperlink"/>
    <w:basedOn w:val="DefaultParagraphFont"/>
    <w:uiPriority w:val="99"/>
    <w:unhideWhenUsed/>
    <w:rsid w:val="00A0531B"/>
    <w:rPr>
      <w:color w:val="0563C1" w:themeColor="hyperlink"/>
      <w:u w:val="single"/>
    </w:rPr>
  </w:style>
  <w:style w:type="character" w:styleId="UnresolvedMention">
    <w:name w:val="Unresolved Mention"/>
    <w:basedOn w:val="DefaultParagraphFont"/>
    <w:uiPriority w:val="99"/>
    <w:semiHidden/>
    <w:unhideWhenUsed/>
    <w:rsid w:val="00A0531B"/>
    <w:rPr>
      <w:color w:val="605E5C"/>
      <w:shd w:val="clear" w:color="auto" w:fill="E1DFDD"/>
    </w:rPr>
  </w:style>
  <w:style w:type="paragraph" w:styleId="Header">
    <w:name w:val="header"/>
    <w:basedOn w:val="Normal"/>
    <w:link w:val="HeaderChar"/>
    <w:uiPriority w:val="99"/>
    <w:unhideWhenUsed/>
    <w:rsid w:val="009003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039F"/>
  </w:style>
  <w:style w:type="paragraph" w:styleId="Footer">
    <w:name w:val="footer"/>
    <w:basedOn w:val="Normal"/>
    <w:link w:val="FooterChar"/>
    <w:uiPriority w:val="99"/>
    <w:unhideWhenUsed/>
    <w:rsid w:val="009003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03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22774">
      <w:bodyDiv w:val="1"/>
      <w:marLeft w:val="0"/>
      <w:marRight w:val="0"/>
      <w:marTop w:val="0"/>
      <w:marBottom w:val="0"/>
      <w:divBdr>
        <w:top w:val="none" w:sz="0" w:space="0" w:color="auto"/>
        <w:left w:val="none" w:sz="0" w:space="0" w:color="auto"/>
        <w:bottom w:val="none" w:sz="0" w:space="0" w:color="auto"/>
        <w:right w:val="none" w:sz="0" w:space="0" w:color="auto"/>
      </w:divBdr>
    </w:div>
    <w:div w:id="301080173">
      <w:bodyDiv w:val="1"/>
      <w:marLeft w:val="0"/>
      <w:marRight w:val="0"/>
      <w:marTop w:val="0"/>
      <w:marBottom w:val="0"/>
      <w:divBdr>
        <w:top w:val="none" w:sz="0" w:space="0" w:color="auto"/>
        <w:left w:val="none" w:sz="0" w:space="0" w:color="auto"/>
        <w:bottom w:val="none" w:sz="0" w:space="0" w:color="auto"/>
        <w:right w:val="none" w:sz="0" w:space="0" w:color="auto"/>
      </w:divBdr>
    </w:div>
    <w:div w:id="750464340">
      <w:bodyDiv w:val="1"/>
      <w:marLeft w:val="0"/>
      <w:marRight w:val="0"/>
      <w:marTop w:val="0"/>
      <w:marBottom w:val="0"/>
      <w:divBdr>
        <w:top w:val="none" w:sz="0" w:space="0" w:color="auto"/>
        <w:left w:val="none" w:sz="0" w:space="0" w:color="auto"/>
        <w:bottom w:val="none" w:sz="0" w:space="0" w:color="auto"/>
        <w:right w:val="none" w:sz="0" w:space="0" w:color="auto"/>
      </w:divBdr>
    </w:div>
    <w:div w:id="778112455">
      <w:bodyDiv w:val="1"/>
      <w:marLeft w:val="0"/>
      <w:marRight w:val="0"/>
      <w:marTop w:val="0"/>
      <w:marBottom w:val="0"/>
      <w:divBdr>
        <w:top w:val="none" w:sz="0" w:space="0" w:color="auto"/>
        <w:left w:val="none" w:sz="0" w:space="0" w:color="auto"/>
        <w:bottom w:val="none" w:sz="0" w:space="0" w:color="auto"/>
        <w:right w:val="none" w:sz="0" w:space="0" w:color="auto"/>
      </w:divBdr>
      <w:divsChild>
        <w:div w:id="1074819359">
          <w:marLeft w:val="0"/>
          <w:marRight w:val="0"/>
          <w:marTop w:val="0"/>
          <w:marBottom w:val="0"/>
          <w:divBdr>
            <w:top w:val="none" w:sz="0" w:space="0" w:color="auto"/>
            <w:left w:val="none" w:sz="0" w:space="0" w:color="auto"/>
            <w:bottom w:val="none" w:sz="0" w:space="0" w:color="auto"/>
            <w:right w:val="none" w:sz="0" w:space="0" w:color="auto"/>
          </w:divBdr>
          <w:divsChild>
            <w:div w:id="1484354336">
              <w:marLeft w:val="0"/>
              <w:marRight w:val="0"/>
              <w:marTop w:val="0"/>
              <w:marBottom w:val="0"/>
              <w:divBdr>
                <w:top w:val="none" w:sz="0" w:space="0" w:color="auto"/>
                <w:left w:val="none" w:sz="0" w:space="0" w:color="auto"/>
                <w:bottom w:val="none" w:sz="0" w:space="0" w:color="auto"/>
                <w:right w:val="none" w:sz="0" w:space="0" w:color="auto"/>
              </w:divBdr>
            </w:div>
          </w:divsChild>
        </w:div>
        <w:div w:id="1331133181">
          <w:marLeft w:val="0"/>
          <w:marRight w:val="0"/>
          <w:marTop w:val="0"/>
          <w:marBottom w:val="0"/>
          <w:divBdr>
            <w:top w:val="none" w:sz="0" w:space="0" w:color="auto"/>
            <w:left w:val="none" w:sz="0" w:space="0" w:color="auto"/>
            <w:bottom w:val="none" w:sz="0" w:space="0" w:color="auto"/>
            <w:right w:val="none" w:sz="0" w:space="0" w:color="auto"/>
          </w:divBdr>
          <w:divsChild>
            <w:div w:id="722756387">
              <w:marLeft w:val="0"/>
              <w:marRight w:val="0"/>
              <w:marTop w:val="0"/>
              <w:marBottom w:val="0"/>
              <w:divBdr>
                <w:top w:val="none" w:sz="0" w:space="0" w:color="auto"/>
                <w:left w:val="none" w:sz="0" w:space="0" w:color="auto"/>
                <w:bottom w:val="none" w:sz="0" w:space="0" w:color="auto"/>
                <w:right w:val="none" w:sz="0" w:space="0" w:color="auto"/>
              </w:divBdr>
            </w:div>
          </w:divsChild>
        </w:div>
        <w:div w:id="828712044">
          <w:marLeft w:val="0"/>
          <w:marRight w:val="0"/>
          <w:marTop w:val="0"/>
          <w:marBottom w:val="0"/>
          <w:divBdr>
            <w:top w:val="none" w:sz="0" w:space="0" w:color="auto"/>
            <w:left w:val="none" w:sz="0" w:space="0" w:color="auto"/>
            <w:bottom w:val="none" w:sz="0" w:space="0" w:color="auto"/>
            <w:right w:val="none" w:sz="0" w:space="0" w:color="auto"/>
          </w:divBdr>
          <w:divsChild>
            <w:div w:id="1135491427">
              <w:marLeft w:val="0"/>
              <w:marRight w:val="0"/>
              <w:marTop w:val="0"/>
              <w:marBottom w:val="0"/>
              <w:divBdr>
                <w:top w:val="none" w:sz="0" w:space="0" w:color="auto"/>
                <w:left w:val="none" w:sz="0" w:space="0" w:color="auto"/>
                <w:bottom w:val="none" w:sz="0" w:space="0" w:color="auto"/>
                <w:right w:val="none" w:sz="0" w:space="0" w:color="auto"/>
              </w:divBdr>
              <w:divsChild>
                <w:div w:id="48308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704613">
      <w:bodyDiv w:val="1"/>
      <w:marLeft w:val="0"/>
      <w:marRight w:val="0"/>
      <w:marTop w:val="0"/>
      <w:marBottom w:val="0"/>
      <w:divBdr>
        <w:top w:val="none" w:sz="0" w:space="0" w:color="auto"/>
        <w:left w:val="none" w:sz="0" w:space="0" w:color="auto"/>
        <w:bottom w:val="none" w:sz="0" w:space="0" w:color="auto"/>
        <w:right w:val="none" w:sz="0" w:space="0" w:color="auto"/>
      </w:divBdr>
    </w:div>
    <w:div w:id="1219853506">
      <w:bodyDiv w:val="1"/>
      <w:marLeft w:val="0"/>
      <w:marRight w:val="0"/>
      <w:marTop w:val="0"/>
      <w:marBottom w:val="0"/>
      <w:divBdr>
        <w:top w:val="none" w:sz="0" w:space="0" w:color="auto"/>
        <w:left w:val="none" w:sz="0" w:space="0" w:color="auto"/>
        <w:bottom w:val="none" w:sz="0" w:space="0" w:color="auto"/>
        <w:right w:val="none" w:sz="0" w:space="0" w:color="auto"/>
      </w:divBdr>
    </w:div>
    <w:div w:id="167773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strellieta.marapao@deped.gov.p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9</Pages>
  <Words>3444</Words>
  <Characters>19631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alsolbal@hotmail.com</dc:creator>
  <cp:keywords/>
  <dc:description/>
  <cp:lastModifiedBy>alsolbal@hotmail.com</cp:lastModifiedBy>
  <cp:revision>9</cp:revision>
  <dcterms:created xsi:type="dcterms:W3CDTF">2026-03-04T21:41:00Z</dcterms:created>
  <dcterms:modified xsi:type="dcterms:W3CDTF">2026-03-14T18:56:00Z</dcterms:modified>
</cp:coreProperties>
</file>