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8BB00" w14:textId="77777777" w:rsidR="00484334" w:rsidRDefault="00484334" w:rsidP="00484334">
      <w:pPr>
        <w:rPr>
          <w:rFonts w:ascii="Times New Roman" w:hAnsi="Times New Roman" w:cs="Times New Roman"/>
          <w:b/>
          <w:bCs/>
        </w:rPr>
      </w:pPr>
      <w:r w:rsidRPr="00484334">
        <w:rPr>
          <w:rFonts w:ascii="Times New Roman" w:hAnsi="Times New Roman" w:cs="Times New Roman"/>
          <w:b/>
          <w:bCs/>
        </w:rPr>
        <w:t>Influence of Geotechnical Characteristics on Highway Subgrade Performance Along the Emure–Oba Road, Southwestern Nigeria</w:t>
      </w:r>
    </w:p>
    <w:p w14:paraId="2499A040" w14:textId="0761A7D6" w:rsidR="00484334" w:rsidRDefault="00484334" w:rsidP="00484334">
      <w:pPr>
        <w:jc w:val="both"/>
        <w:rPr>
          <w:rFonts w:ascii="Times New Roman" w:hAnsi="Times New Roman" w:cs="Times New Roman"/>
          <w:b/>
          <w:sz w:val="20"/>
        </w:rPr>
      </w:pPr>
      <w:r>
        <w:rPr>
          <w:rFonts w:ascii="Times New Roman" w:hAnsi="Times New Roman" w:cs="Times New Roman"/>
          <w:b/>
          <w:sz w:val="20"/>
        </w:rPr>
        <w:t xml:space="preserve"/>
      </w:r>
      <w:r w:rsidR="009E0433">
        <w:rPr>
          <w:rFonts w:ascii="Times New Roman" w:hAnsi="Times New Roman" w:cs="Times New Roman"/>
          <w:b/>
          <w:sz w:val="20"/>
        </w:rPr>
        <w:t/>
      </w:r>
      <w:r w:rsidR="009E0433">
        <w:rPr>
          <w:rFonts w:ascii="Times New Roman" w:hAnsi="Times New Roman" w:cs="Times New Roman"/>
          <w:b/>
          <w:sz w:val="20"/>
        </w:rPr>
        <w:t xml:space="preserve"/>
      </w:r>
      <w:r w:rsidR="009E0433">
        <w:rPr>
          <w:rFonts w:ascii="Times New Roman" w:hAnsi="Times New Roman" w:cs="Times New Roman"/>
          <w:b/>
          <w:sz w:val="20"/>
        </w:rPr>
        <w:t xml:space="preserve"/>
      </w:r>
    </w:p>
    <w:p w14:paraId="34A5791D" w14:textId="487070D1" w:rsidR="00484334" w:rsidRDefault="00484334" w:rsidP="00484334">
      <w:pPr>
        <w:pStyle w:val="NoSpacing"/>
        <w:rPr>
          <w:rFonts w:ascii="Times New Roman" w:hAnsi="Times New Roman" w:cs="Times New Roman"/>
          <w:sz w:val="20"/>
        </w:rPr>
      </w:pPr>
      <w:r>
        <w:rPr>
          <w:rFonts w:ascii="Times New Roman" w:hAnsi="Times New Roman" w:cs="Times New Roman"/>
          <w:sz w:val="20"/>
        </w:rPr>
        <w:t/>
      </w:r>
    </w:p>
    <w:p w14:paraId="431615EC" w14:textId="77777777" w:rsidR="00484334" w:rsidRDefault="00484334" w:rsidP="00484334">
      <w:pPr>
        <w:pStyle w:val="NoSpacing"/>
        <w:rPr>
          <w:rFonts w:ascii="Times New Roman" w:hAnsi="Times New Roman" w:cs="Times New Roman"/>
          <w:sz w:val="20"/>
        </w:rPr>
      </w:pPr>
      <w:r>
        <w:rPr>
          <w:rFonts w:ascii="Times New Roman" w:hAnsi="Times New Roman" w:cs="Times New Roman"/>
          <w:sz w:val="20"/>
        </w:rPr>
        <w:t xml:space="preserve"/>
      </w:r>
      <w:r>
        <w:rPr>
          <w:rFonts w:ascii="Times New Roman" w:hAnsi="Times New Roman" w:cs="Times New Roman"/>
          <w:sz w:val="20"/>
          <w:vertAlign w:val="superscript"/>
        </w:rPr>
        <w:t/>
      </w:r>
      <w:r>
        <w:rPr>
          <w:rFonts w:ascii="Times New Roman" w:hAnsi="Times New Roman" w:cs="Times New Roman"/>
          <w:sz w:val="20"/>
        </w:rPr>
        <w:t xml:space="preserve"/>
      </w:r>
      <w:hyperlink r:id="rId5" w:history="1">
        <w:r>
          <w:rPr>
            <w:rStyle w:val="Hyperlink"/>
            <w:rFonts w:ascii="Times New Roman" w:hAnsi="Times New Roman" w:cs="Times New Roman"/>
            <w:sz w:val="20"/>
          </w:rPr>
          <w:t/>
        </w:r>
      </w:hyperlink>
      <w:r>
        <w:rPr>
          <w:rFonts w:ascii="Times New Roman" w:hAnsi="Times New Roman" w:cs="Times New Roman"/>
          <w:sz w:val="20"/>
        </w:rPr>
        <w:t xml:space="preserve"/>
      </w:r>
      <w:hyperlink r:id="rId6" w:history="1">
        <w:r>
          <w:rPr>
            <w:rStyle w:val="Hyperlink"/>
            <w:rFonts w:ascii="Times New Roman" w:hAnsi="Times New Roman" w:cs="Times New Roman"/>
            <w:sz w:val="20"/>
            <w:u w:val="none"/>
          </w:rPr>
          <w:t/>
        </w:r>
      </w:hyperlink>
      <w:r>
        <w:rPr>
          <w:rFonts w:ascii="Times New Roman" w:hAnsi="Times New Roman" w:cs="Times New Roman"/>
          <w:sz w:val="20"/>
        </w:rPr>
        <w:t xml:space="preserve"/>
      </w:r>
    </w:p>
    <w:p w14:paraId="4153C82A" w14:textId="77777777" w:rsidR="00484334" w:rsidRPr="005D0BF1" w:rsidRDefault="00484334" w:rsidP="00484334">
      <w:pPr>
        <w:spacing w:before="200" w:after="200"/>
        <w:rPr>
          <w:rFonts w:ascii="Times New Roman" w:hAnsi="Times New Roman" w:cs="Times New Roman"/>
          <w:b/>
          <w:bCs/>
        </w:rPr>
      </w:pPr>
      <w:r w:rsidRPr="005D0BF1">
        <w:rPr>
          <w:rFonts w:ascii="Times New Roman" w:hAnsi="Times New Roman" w:cs="Times New Roman"/>
          <w:b/>
          <w:bCs/>
        </w:rPr>
        <w:t>Abstract</w:t>
      </w:r>
    </w:p>
    <w:p w14:paraId="6021DAB2" w14:textId="77777777" w:rsidR="009E0433" w:rsidRDefault="009E0433" w:rsidP="009E0433">
      <w:pPr>
        <w:jc w:val="both"/>
        <w:rPr>
          <w:rFonts w:ascii="Times New Roman" w:hAnsi="Times New Roman" w:cs="Times New Roman"/>
        </w:rPr>
      </w:pPr>
      <w:r w:rsidRPr="009E0433">
        <w:rPr>
          <w:rFonts w:ascii="Times New Roman" w:hAnsi="Times New Roman" w:cs="Times New Roman"/>
        </w:rPr>
        <w:t>The engineering performance of flexible pavements depends largely on the geotechnical properties of the supporting subgrade soils. This study evaluates the influence of index and strength characteristics of lateritic subgrade soils along the Emure–Oba Highway in Southwestern Nigeria. Representative soil samples were collected from failed and stable pavement sections and subjected to laboratory analyses in accordance with ASTM and AASHTO specifications. The tests included natural moisture content, grain size distribution, Atterberg limits, compaction, California Bearing Ratio (CBR), and soil classification. The liquid limit ranges from 24.60% to 43.20%, while the plasticity index ranges from 4.30% to 19.72%. Maximum dry density ranges from 1903 kg/m³ to 2185 kg/m³, while soaked CBR ranges from 14% to 76%. The results indicate that failed pavement sections are associated with higher fines content, higher plasticity, lower density, and lower bearing capacity. Stable sections exhibit lower plasticity, improved compaction, and significantly higher CBR values. The study demonstrates that geotechnical properties remain the principal engineering indicators of pavement performance and emphasises the need for detailed site-specific subgrade investigations before highway construction.</w:t>
      </w:r>
    </w:p>
    <w:p w14:paraId="29141040" w14:textId="7BFAD09C" w:rsidR="00484334" w:rsidRPr="00484334" w:rsidRDefault="00484334" w:rsidP="009E0433">
      <w:pPr>
        <w:jc w:val="both"/>
        <w:rPr>
          <w:rFonts w:ascii="Times New Roman" w:hAnsi="Times New Roman" w:cs="Times New Roman"/>
        </w:rPr>
      </w:pPr>
      <w:r w:rsidRPr="00484334">
        <w:rPr>
          <w:rFonts w:ascii="Times New Roman" w:hAnsi="Times New Roman" w:cs="Times New Roman"/>
        </w:rPr>
        <w:t xml:space="preserve">Keywords: </w:t>
      </w:r>
      <w:r w:rsidR="009E0433" w:rsidRPr="00484334">
        <w:rPr>
          <w:rFonts w:ascii="Times New Roman" w:hAnsi="Times New Roman" w:cs="Times New Roman"/>
        </w:rPr>
        <w:t>Subgrade</w:t>
      </w:r>
      <w:r w:rsidR="009E0433">
        <w:rPr>
          <w:rFonts w:ascii="Times New Roman" w:hAnsi="Times New Roman" w:cs="Times New Roman"/>
        </w:rPr>
        <w:t>-</w:t>
      </w:r>
      <w:r w:rsidRPr="00484334">
        <w:rPr>
          <w:rFonts w:ascii="Times New Roman" w:hAnsi="Times New Roman" w:cs="Times New Roman"/>
        </w:rPr>
        <w:t>Lateritic</w:t>
      </w:r>
      <w:r w:rsidR="009E0433">
        <w:rPr>
          <w:rFonts w:ascii="Times New Roman" w:hAnsi="Times New Roman" w:cs="Times New Roman"/>
        </w:rPr>
        <w:t>-</w:t>
      </w:r>
      <w:r w:rsidRPr="00484334">
        <w:rPr>
          <w:rFonts w:ascii="Times New Roman" w:hAnsi="Times New Roman" w:cs="Times New Roman"/>
        </w:rPr>
        <w:t>soil; Atterberg</w:t>
      </w:r>
      <w:r w:rsidR="009E0433">
        <w:rPr>
          <w:rFonts w:ascii="Times New Roman" w:hAnsi="Times New Roman" w:cs="Times New Roman"/>
        </w:rPr>
        <w:t>-</w:t>
      </w:r>
      <w:r w:rsidRPr="00484334">
        <w:rPr>
          <w:rFonts w:ascii="Times New Roman" w:hAnsi="Times New Roman" w:cs="Times New Roman"/>
        </w:rPr>
        <w:t>limits; California</w:t>
      </w:r>
      <w:r w:rsidR="009E0433">
        <w:rPr>
          <w:rFonts w:ascii="Times New Roman" w:hAnsi="Times New Roman" w:cs="Times New Roman"/>
        </w:rPr>
        <w:t>-</w:t>
      </w:r>
      <w:r w:rsidRPr="00484334">
        <w:rPr>
          <w:rFonts w:ascii="Times New Roman" w:hAnsi="Times New Roman" w:cs="Times New Roman"/>
        </w:rPr>
        <w:t>Bearing</w:t>
      </w:r>
      <w:r w:rsidR="009E0433">
        <w:rPr>
          <w:rFonts w:ascii="Times New Roman" w:hAnsi="Times New Roman" w:cs="Times New Roman"/>
        </w:rPr>
        <w:t>-</w:t>
      </w:r>
      <w:r w:rsidRPr="00484334">
        <w:rPr>
          <w:rFonts w:ascii="Times New Roman" w:hAnsi="Times New Roman" w:cs="Times New Roman"/>
        </w:rPr>
        <w:t>Ratio; Grain</w:t>
      </w:r>
      <w:r w:rsidR="009E0433">
        <w:rPr>
          <w:rFonts w:ascii="Times New Roman" w:hAnsi="Times New Roman" w:cs="Times New Roman"/>
        </w:rPr>
        <w:t>-</w:t>
      </w:r>
      <w:r w:rsidRPr="00484334">
        <w:rPr>
          <w:rFonts w:ascii="Times New Roman" w:hAnsi="Times New Roman" w:cs="Times New Roman"/>
        </w:rPr>
        <w:t>size</w:t>
      </w:r>
      <w:r w:rsidR="009E0433">
        <w:rPr>
          <w:rFonts w:ascii="Times New Roman" w:hAnsi="Times New Roman" w:cs="Times New Roman"/>
        </w:rPr>
        <w:t>-</w:t>
      </w:r>
      <w:r w:rsidRPr="00484334">
        <w:rPr>
          <w:rFonts w:ascii="Times New Roman" w:hAnsi="Times New Roman" w:cs="Times New Roman"/>
        </w:rPr>
        <w:t>distribution; Compaction</w:t>
      </w:r>
      <w:r w:rsidR="009E0433">
        <w:rPr>
          <w:rFonts w:ascii="Times New Roman" w:hAnsi="Times New Roman" w:cs="Times New Roman"/>
        </w:rPr>
        <w:t>-of-</w:t>
      </w:r>
      <w:r w:rsidRPr="00484334">
        <w:rPr>
          <w:rFonts w:ascii="Times New Roman" w:hAnsi="Times New Roman" w:cs="Times New Roman"/>
        </w:rPr>
        <w:t>Flexible</w:t>
      </w:r>
      <w:r w:rsidR="009E0433">
        <w:rPr>
          <w:rFonts w:ascii="Times New Roman" w:hAnsi="Times New Roman" w:cs="Times New Roman"/>
        </w:rPr>
        <w:t>-</w:t>
      </w:r>
      <w:r w:rsidRPr="00484334">
        <w:rPr>
          <w:rFonts w:ascii="Times New Roman" w:hAnsi="Times New Roman" w:cs="Times New Roman"/>
        </w:rPr>
        <w:t>pavement</w:t>
      </w:r>
      <w:r w:rsidR="009E0433">
        <w:rPr>
          <w:rFonts w:ascii="Times New Roman" w:hAnsi="Times New Roman" w:cs="Times New Roman"/>
        </w:rPr>
        <w:t>-of-</w:t>
      </w:r>
      <w:r w:rsidRPr="00484334">
        <w:rPr>
          <w:rFonts w:ascii="Times New Roman" w:hAnsi="Times New Roman" w:cs="Times New Roman"/>
        </w:rPr>
        <w:t>Southwestern</w:t>
      </w:r>
      <w:r w:rsidR="009E0433">
        <w:rPr>
          <w:rFonts w:ascii="Times New Roman" w:hAnsi="Times New Roman" w:cs="Times New Roman"/>
        </w:rPr>
        <w:t>-</w:t>
      </w:r>
      <w:r w:rsidRPr="00484334">
        <w:rPr>
          <w:rFonts w:ascii="Times New Roman" w:hAnsi="Times New Roman" w:cs="Times New Roman"/>
        </w:rPr>
        <w:t>Nigeria.</w:t>
      </w:r>
    </w:p>
    <w:p w14:paraId="4415A8FD" w14:textId="77777777" w:rsidR="00484334" w:rsidRPr="00484334" w:rsidRDefault="00484334" w:rsidP="00484334">
      <w:pPr>
        <w:rPr>
          <w:rFonts w:ascii="Times New Roman" w:hAnsi="Times New Roman" w:cs="Times New Roman"/>
          <w:b/>
          <w:bCs/>
        </w:rPr>
      </w:pPr>
      <w:r w:rsidRPr="00484334">
        <w:rPr>
          <w:rFonts w:ascii="Times New Roman" w:hAnsi="Times New Roman" w:cs="Times New Roman"/>
          <w:b/>
          <w:bCs/>
        </w:rPr>
        <w:t>1. Introduction</w:t>
      </w:r>
    </w:p>
    <w:p w14:paraId="0E00D2B9"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Highway pavements constructed on tropical lateritic soils frequently experience premature failure due to inadequate understanding of the engineering behaviour of the supporting subgrade. Flexible pavements derive a substantial proportion of their structural capacity from the strength and stiffness of the underlying soils. Consequently, the engineering characteristics of the subgrade largely determine pavement durability, service life, maintenance requirements, and overall construction cost (Ola, 1983; Das &amp; Sobhan, 2018).</w:t>
      </w:r>
    </w:p>
    <w:p w14:paraId="50A0C166"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The Emure–Oba Highway constitutes an important transportation corridor linking several agricultural and commercial centres in Southwestern Nigeria. Like many highways developed on weathered crystalline rocks, portions of the pavement have experienced repeated failures characterized by rutting, longitudinal cracking, edge failures, potholes, and differential settlement. Although several maintenance operations have been undertaken, many failed sections continue to deteriorate shortly after rehabilitation. These observations suggest that the fundamental causes of failure originate within the subgrade rather than the pavement surface.</w:t>
      </w:r>
    </w:p>
    <w:p w14:paraId="422836C1"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lastRenderedPageBreak/>
        <w:t>Previous investigations in Nigeria have shown that variations in engineering behaviour are strongly influenced by parent rock lithology, weathering intensity, drainage conditions, clay mineral composition, and moisture fluctuations (Rahaman, 1988; Obaje, 2009; Ademila, 2018). However, many pavement investigations continue to rely primarily on visual inspection or limited laboratory testing without adequately integrating geotechnical characterization into pavement design. As a result, highway failures remain widespread throughout the tropical Basement Complex terrain.</w:t>
      </w:r>
    </w:p>
    <w:p w14:paraId="1BC955A5"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The engineering suitability of lateritic soils is commonly evaluated using index properties such as grain size distribution, Atterberg limits, linear shrinkage, compaction characteristics, and California Bearing Ratio. These parameters provide important information regarding soil classification, workability, compressibility, strength, permeability, and moisture sensitivity. High plasticity and excessive fines generally reduce engineering performance because they increase water retention, swelling, shrinkage, and deformation under repeated traffic loading. Conversely, well-graded soils containing adequate coarse particles usually develop higher dry densities and improved bearing capacity (Bowles, 1992; Mitchell &amp; Soga, 2005).</w:t>
      </w:r>
    </w:p>
    <w:p w14:paraId="15E75204"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This study investigates the geotechnical properties of lateritic subgrade soils along the Emure–Oba Highway and evaluates their influence on pavement performance. The objectives are to determine the index and strength characteristics of representative subgrade soils, classify the engineering behaviour of the materials using internationally accepted standards, establish relationships among key engineering parameters, and identify the geotechnical factors responsible for pavement deterioration.</w:t>
      </w:r>
    </w:p>
    <w:p w14:paraId="135EF8A4" w14:textId="4A23959D" w:rsidR="00484334" w:rsidRPr="00484334" w:rsidRDefault="00484334" w:rsidP="00484334">
      <w:pPr>
        <w:rPr>
          <w:rFonts w:ascii="Times New Roman" w:hAnsi="Times New Roman" w:cs="Times New Roman"/>
          <w:b/>
          <w:bCs/>
        </w:rPr>
      </w:pPr>
      <w:r w:rsidRPr="00484334">
        <w:rPr>
          <w:rFonts w:ascii="Times New Roman" w:hAnsi="Times New Roman" w:cs="Times New Roman"/>
          <w:b/>
          <w:bCs/>
        </w:rPr>
        <w:t>2. Geological Setting</w:t>
      </w:r>
      <w:r w:rsidR="005318E5">
        <w:rPr>
          <w:rFonts w:ascii="Times New Roman" w:hAnsi="Times New Roman" w:cs="Times New Roman"/>
          <w:b/>
          <w:bCs/>
        </w:rPr>
        <w:t xml:space="preserve"> and study Area</w:t>
      </w:r>
    </w:p>
    <w:p w14:paraId="3D75656C" w14:textId="274C4B86" w:rsidR="00484334" w:rsidRDefault="00484334" w:rsidP="00484334">
      <w:pPr>
        <w:jc w:val="both"/>
        <w:rPr>
          <w:rFonts w:ascii="Times New Roman" w:hAnsi="Times New Roman" w:cs="Times New Roman"/>
        </w:rPr>
      </w:pPr>
      <w:r w:rsidRPr="00484334">
        <w:rPr>
          <w:rFonts w:ascii="Times New Roman" w:hAnsi="Times New Roman" w:cs="Times New Roman"/>
        </w:rPr>
        <w:t>The Emure–Oba Highway</w:t>
      </w:r>
      <w:r w:rsidR="005318E5">
        <w:rPr>
          <w:rFonts w:ascii="Times New Roman" w:hAnsi="Times New Roman" w:cs="Times New Roman"/>
        </w:rPr>
        <w:t xml:space="preserve"> </w:t>
      </w:r>
      <w:r w:rsidR="005318E5" w:rsidRPr="005318E5">
        <w:rPr>
          <w:rFonts w:ascii="Times New Roman" w:hAnsi="Times New Roman" w:cs="Times New Roman"/>
          <w:i/>
          <w:iCs/>
        </w:rPr>
        <w:t>(Figure 1)</w:t>
      </w:r>
      <w:r w:rsidRPr="00484334">
        <w:rPr>
          <w:rFonts w:ascii="Times New Roman" w:hAnsi="Times New Roman" w:cs="Times New Roman"/>
        </w:rPr>
        <w:t xml:space="preserve"> is situated within the Precambrian Basement Complex of Southwestern Nigeria between latitudes approximately 7°00′N and 7°30′N and longitudes 5°15′E and 5°45′E. The area forms part of the crystalline terrain of the Nigerian Basement Complex, which comprises migmatitic gneisses, banded gneisses, quartzites, schists, charnockites, granites, pegmatites, and Pan-African granitoids (Rahaman, 1988; Obaje, 2009).</w:t>
      </w:r>
    </w:p>
    <w:p w14:paraId="5BC0C2C4" w14:textId="390BA28B" w:rsidR="00484334" w:rsidRPr="00484334" w:rsidRDefault="00484334" w:rsidP="00484334">
      <w:pPr>
        <w:jc w:val="both"/>
        <w:rPr>
          <w:rFonts w:ascii="Times New Roman" w:hAnsi="Times New Roman" w:cs="Times New Roman"/>
        </w:rPr>
      </w:pPr>
      <w:r w:rsidRPr="00484334">
        <w:rPr>
          <w:rFonts w:ascii="Times New Roman" w:hAnsi="Times New Roman" w:cs="Times New Roman"/>
        </w:rPr>
        <w:t>The Basement Complex rocks</w:t>
      </w:r>
      <w:r w:rsidR="005318E5">
        <w:rPr>
          <w:rFonts w:ascii="Times New Roman" w:hAnsi="Times New Roman" w:cs="Times New Roman"/>
        </w:rPr>
        <w:t xml:space="preserve"> </w:t>
      </w:r>
      <w:r w:rsidR="005318E5" w:rsidRPr="005318E5">
        <w:rPr>
          <w:rFonts w:ascii="Times New Roman" w:hAnsi="Times New Roman" w:cs="Times New Roman"/>
          <w:i/>
          <w:iCs/>
        </w:rPr>
        <w:t>(Figure 1)</w:t>
      </w:r>
      <w:r w:rsidRPr="005318E5">
        <w:rPr>
          <w:rFonts w:ascii="Times New Roman" w:hAnsi="Times New Roman" w:cs="Times New Roman"/>
          <w:i/>
          <w:iCs/>
        </w:rPr>
        <w:t xml:space="preserve"> </w:t>
      </w:r>
      <w:r w:rsidRPr="00484334">
        <w:rPr>
          <w:rFonts w:ascii="Times New Roman" w:hAnsi="Times New Roman" w:cs="Times New Roman"/>
        </w:rPr>
        <w:t>have undergone multiple tectonic episodes, including the Liberian, Eburnean, Kibaran, and Pan-African orogenies. These events produced extensive joint systems, foliations, fractures, and faults that control groundwater movement and weathering patterns. The resulting structural framework exerts considerable influence on the thickness and engineering behaviour of the overlying residual soils (Oyawoye, 1964; Elueze, 1986).</w:t>
      </w:r>
    </w:p>
    <w:p w14:paraId="0CFCAD93" w14:textId="77777777" w:rsidR="00484334" w:rsidRDefault="00484334" w:rsidP="00484334">
      <w:pPr>
        <w:jc w:val="both"/>
        <w:rPr>
          <w:rFonts w:ascii="Times New Roman" w:hAnsi="Times New Roman" w:cs="Times New Roman"/>
        </w:rPr>
      </w:pPr>
      <w:r w:rsidRPr="00484334">
        <w:rPr>
          <w:rFonts w:ascii="Times New Roman" w:hAnsi="Times New Roman" w:cs="Times New Roman"/>
        </w:rPr>
        <w:t xml:space="preserve">The study area experiences a humid tropical climate characterized by distinct wet and dry seasons. Mean annual rainfall ranges from approximately 1200 mm to 1600 mm, while average temperatures vary between 25°C and 32°C. High rainfall and elevated temperatures promote intense chemical weathering of feldspar-rich crystalline rocks, leading to the development of thick </w:t>
      </w:r>
      <w:r w:rsidRPr="00484334">
        <w:rPr>
          <w:rFonts w:ascii="Times New Roman" w:hAnsi="Times New Roman" w:cs="Times New Roman"/>
        </w:rPr>
        <w:lastRenderedPageBreak/>
        <w:t>lateritic weathering profiles. The weathering profile typically consists of topsoil, ferruginous laterite, mottled clay, saprolite, and partially weathered bedrock.</w:t>
      </w:r>
    </w:p>
    <w:p w14:paraId="1A7E6515" w14:textId="7DF8A3BA" w:rsidR="005318E5" w:rsidRDefault="005318E5" w:rsidP="00484334">
      <w:pPr>
        <w:jc w:val="both"/>
        <w:rPr>
          <w:rFonts w:ascii="Times New Roman" w:hAnsi="Times New Roman" w:cs="Times New Roman"/>
        </w:rPr>
      </w:pPr>
      <w:r>
        <w:rPr>
          <w:rFonts w:ascii="Times New Roman" w:eastAsia="Times New Roman" w:hAnsi="Times New Roman" w:cs="Times New Roman"/>
          <w:bCs/>
          <w:noProof/>
          <w:kern w:val="36"/>
        </w:rPr>
        <w:drawing>
          <wp:inline distT="0" distB="0" distL="0" distR="0" wp14:anchorId="46AE1340" wp14:editId="1F2561AF">
            <wp:extent cx="5916641" cy="2226624"/>
            <wp:effectExtent l="19050" t="19050" r="27305" b="2159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a:off x="0" y="0"/>
                      <a:ext cx="5916641" cy="2226624"/>
                    </a:xfrm>
                    <a:prstGeom prst="rect">
                      <a:avLst/>
                    </a:prstGeom>
                    <a:ln w="3175" cap="flat" cmpd="sng">
                      <a:solidFill>
                        <a:srgbClr val="000000"/>
                      </a:solidFill>
                      <a:prstDash val="solid"/>
                      <a:round/>
                      <a:headEnd/>
                      <a:tailEnd/>
                    </a:ln>
                  </pic:spPr>
                </pic:pic>
              </a:graphicData>
            </a:graphic>
          </wp:inline>
        </w:drawing>
      </w:r>
    </w:p>
    <w:p w14:paraId="54A28619" w14:textId="77777777" w:rsidR="005318E5" w:rsidRPr="005318E5" w:rsidRDefault="005318E5" w:rsidP="005318E5">
      <w:pPr>
        <w:spacing w:before="100" w:beforeAutospacing="1" w:after="100" w:afterAutospacing="1" w:line="240" w:lineRule="auto"/>
        <w:jc w:val="center"/>
        <w:outlineLvl w:val="0"/>
        <w:rPr>
          <w:rFonts w:ascii="Times New Roman" w:eastAsia="Times New Roman" w:hAnsi="Times New Roman" w:cs="Times New Roman"/>
          <w:bCs/>
          <w:i/>
          <w:iCs/>
          <w:kern w:val="36"/>
          <w:sz w:val="22"/>
          <w:szCs w:val="22"/>
        </w:rPr>
      </w:pPr>
      <w:r w:rsidRPr="005318E5">
        <w:rPr>
          <w:rFonts w:ascii="Times New Roman" w:eastAsia="Times New Roman" w:hAnsi="Times New Roman" w:cs="Times New Roman"/>
          <w:bCs/>
          <w:i/>
          <w:iCs/>
          <w:kern w:val="36"/>
          <w:sz w:val="22"/>
          <w:szCs w:val="22"/>
        </w:rPr>
        <w:t>Figure 1: Sample points and drainage of the study area</w:t>
      </w:r>
    </w:p>
    <w:p w14:paraId="549BA81C"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Drainage within the area is predominantly dendritic and controlled by both lithology and topography. Surface runoff during the rainy season increases infiltration into the weathered profile, resulting in seasonal fluctuations in moisture content. These fluctuations significantly influence the plasticity, density, strength, and bearing capacity of the subgrade soils. Poor drainage promotes prolonged saturation, which weakens the soil structure and accelerates pavement deterioration.</w:t>
      </w:r>
    </w:p>
    <w:p w14:paraId="728D0D7D" w14:textId="77777777" w:rsidR="00484334" w:rsidRDefault="00484334" w:rsidP="00484334">
      <w:pPr>
        <w:jc w:val="both"/>
        <w:rPr>
          <w:rFonts w:ascii="Times New Roman" w:hAnsi="Times New Roman" w:cs="Times New Roman"/>
        </w:rPr>
      </w:pPr>
      <w:r w:rsidRPr="00484334">
        <w:rPr>
          <w:rFonts w:ascii="Times New Roman" w:hAnsi="Times New Roman" w:cs="Times New Roman"/>
        </w:rPr>
        <w:t>The parent rocks weather to produce lateritic soils exhibiting considerable spatial variation in grain size distribution, clay content, and engineering behaviour. Quartz-rich granitic rocks generally produce sandy lateritic soils possessing relatively high strength and permeability, whereas feldspathic gneisses and schists generate clay-rich residual soils characterized by higher plasticity and lower bearing capacity. Consequently, the geological framework of the area exerts direct control on the engineering performance of the highway.</w:t>
      </w:r>
    </w:p>
    <w:p w14:paraId="021B7E09" w14:textId="012BAB09" w:rsidR="00484334" w:rsidRPr="00484334" w:rsidRDefault="005318E5" w:rsidP="00484334">
      <w:pPr>
        <w:jc w:val="both"/>
        <w:rPr>
          <w:rFonts w:ascii="Times New Roman" w:hAnsi="Times New Roman" w:cs="Times New Roman"/>
        </w:rPr>
      </w:pPr>
      <w:r>
        <w:rPr>
          <w:rFonts w:ascii="Times New Roman" w:eastAsia="Times New Roman" w:hAnsi="Times New Roman" w:cs="Times New Roman"/>
          <w:bCs/>
          <w:noProof/>
          <w:kern w:val="36"/>
        </w:rPr>
        <w:lastRenderedPageBreak/>
        <w:drawing>
          <wp:inline distT="0" distB="0" distL="0" distR="0" wp14:anchorId="034D17E5" wp14:editId="3F9A5255">
            <wp:extent cx="5880100" cy="3816350"/>
            <wp:effectExtent l="19050" t="19050" r="25400" b="12700"/>
            <wp:docPr id="10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8" cstate="print"/>
                    <a:srcRect/>
                    <a:stretch/>
                  </pic:blipFill>
                  <pic:spPr>
                    <a:xfrm>
                      <a:off x="0" y="0"/>
                      <a:ext cx="5880100" cy="3816350"/>
                    </a:xfrm>
                    <a:prstGeom prst="rect">
                      <a:avLst/>
                    </a:prstGeom>
                    <a:ln w="3175" cap="flat" cmpd="sng">
                      <a:solidFill>
                        <a:srgbClr val="000000"/>
                      </a:solidFill>
                      <a:prstDash val="solid"/>
                      <a:round/>
                      <a:headEnd/>
                      <a:tailEnd/>
                    </a:ln>
                  </pic:spPr>
                </pic:pic>
              </a:graphicData>
            </a:graphic>
          </wp:inline>
        </w:drawing>
      </w:r>
    </w:p>
    <w:p w14:paraId="284B7404" w14:textId="76A267FE" w:rsidR="00484334" w:rsidRPr="006E5E9E" w:rsidRDefault="00484334" w:rsidP="00484334">
      <w:pPr>
        <w:rPr>
          <w:rFonts w:ascii="Times New Roman" w:hAnsi="Times New Roman" w:cs="Times New Roman"/>
          <w:i/>
          <w:iCs/>
        </w:rPr>
      </w:pPr>
      <w:r w:rsidRPr="006E5E9E">
        <w:rPr>
          <w:rFonts w:ascii="Times New Roman" w:hAnsi="Times New Roman" w:cs="Times New Roman"/>
          <w:i/>
          <w:iCs/>
        </w:rPr>
        <w:t xml:space="preserve">Figure </w:t>
      </w:r>
      <w:r w:rsidR="007D052B">
        <w:rPr>
          <w:rFonts w:ascii="Times New Roman" w:hAnsi="Times New Roman" w:cs="Times New Roman"/>
          <w:i/>
          <w:iCs/>
        </w:rPr>
        <w:t>2</w:t>
      </w:r>
      <w:r w:rsidRPr="006E5E9E">
        <w:rPr>
          <w:rFonts w:ascii="Times New Roman" w:hAnsi="Times New Roman" w:cs="Times New Roman"/>
          <w:i/>
          <w:iCs/>
        </w:rPr>
        <w:t xml:space="preserve">. Geological map of the Emure–Oba Highway showing </w:t>
      </w:r>
      <w:r w:rsidR="005318E5">
        <w:rPr>
          <w:rFonts w:ascii="Times New Roman" w:hAnsi="Times New Roman" w:cs="Times New Roman"/>
          <w:i/>
          <w:iCs/>
        </w:rPr>
        <w:t>rock</w:t>
      </w:r>
      <w:r w:rsidRPr="006E5E9E">
        <w:rPr>
          <w:rFonts w:ascii="Times New Roman" w:hAnsi="Times New Roman" w:cs="Times New Roman"/>
          <w:i/>
          <w:iCs/>
        </w:rPr>
        <w:t xml:space="preserve"> units, drainage network, and sampling locations</w:t>
      </w:r>
      <w:r w:rsidR="006E5E9E" w:rsidRPr="006E5E9E">
        <w:rPr>
          <w:rFonts w:ascii="Times New Roman" w:hAnsi="Times New Roman" w:cs="Times New Roman"/>
          <w:i/>
          <w:iCs/>
        </w:rPr>
        <w:t>.</w:t>
      </w:r>
    </w:p>
    <w:p w14:paraId="4E1D95E3" w14:textId="77777777" w:rsidR="00484334" w:rsidRPr="00484334" w:rsidRDefault="00484334" w:rsidP="00484334">
      <w:pPr>
        <w:rPr>
          <w:rFonts w:ascii="Times New Roman" w:hAnsi="Times New Roman" w:cs="Times New Roman"/>
          <w:b/>
          <w:bCs/>
        </w:rPr>
      </w:pPr>
      <w:r w:rsidRPr="00484334">
        <w:rPr>
          <w:rFonts w:ascii="Times New Roman" w:hAnsi="Times New Roman" w:cs="Times New Roman"/>
          <w:b/>
          <w:bCs/>
        </w:rPr>
        <w:t>3. Materials and Methods</w:t>
      </w:r>
    </w:p>
    <w:p w14:paraId="600C1315"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Representative disturbed soil samples were collected from seven locations distributed along failed and stable sections of the Emure–Oba Highway. Sampling depths varied between 1.0 m and 2.0 m, corresponding to the natural subgrade beneath the pavement structure. All laboratory tests were performed in accordance with internationally accepted standards.</w:t>
      </w:r>
    </w:p>
    <w:p w14:paraId="4A4502DE"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Natural moisture content was determined following ASTM D2216 and AASHTO T265. Approximately 100 g of each soil sample was weighed, oven-dried at 105–110°C, and reweighed after 24 hours. The percentage moisture content was calculated as the ratio of the mass of water lost to the mass of the dry soil.</w:t>
      </w:r>
    </w:p>
    <w:p w14:paraId="548BCA40"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Grain size distribution was determined using mechanical sieve analysis for coarse fractions in accordance with ASTM D6913 and AASHTO T27, while the fine fraction passing the 75 μm sieve was determined by hydrometer analysis following ASTM D7928. The results were used to establish particle size distribution curves and evaluate soil grading characteristics.</w:t>
      </w:r>
    </w:p>
    <w:p w14:paraId="11DADDA8"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 xml:space="preserve">Atterberg limits were determined in accordance with ASTM D4318 and AASHTO T89/T90. Liquid limit was measured using the Casagrande cup apparatus, while plastic limit was determined by rolling soil threads until a diameter of 3 mm was attained. The plasticity index was calculated </w:t>
      </w:r>
      <w:r w:rsidRPr="00484334">
        <w:rPr>
          <w:rFonts w:ascii="Times New Roman" w:hAnsi="Times New Roman" w:cs="Times New Roman"/>
        </w:rPr>
        <w:lastRenderedPageBreak/>
        <w:t>as the difference between the liquid limit and the plastic limit. These parameters were subsequently used for soil classification and assessment of shrink–swell potential.</w:t>
      </w:r>
    </w:p>
    <w:p w14:paraId="147638CC" w14:textId="77777777" w:rsidR="00484334" w:rsidRPr="00484334" w:rsidRDefault="00484334" w:rsidP="00484334">
      <w:pPr>
        <w:jc w:val="both"/>
        <w:rPr>
          <w:rFonts w:ascii="Times New Roman" w:hAnsi="Times New Roman" w:cs="Times New Roman"/>
        </w:rPr>
      </w:pPr>
      <w:r w:rsidRPr="00484334">
        <w:rPr>
          <w:rFonts w:ascii="Times New Roman" w:hAnsi="Times New Roman" w:cs="Times New Roman"/>
        </w:rPr>
        <w:t>Compaction characteristics were determined using the Standard Proctor method in accordance with ASTM D698 and AASHTO T99. Soil specimens were compacted at varying moisture contents to determine the Maximum Dry Density (MDD) and Optimum Moisture Content (OMC). These parameters were used to evaluate field compaction requirements and the moisture–density relationship of the subgrade soils.</w:t>
      </w:r>
    </w:p>
    <w:p w14:paraId="055A7FA5" w14:textId="7149B0A0" w:rsidR="00484334" w:rsidRPr="00484334" w:rsidRDefault="00484334" w:rsidP="00484334">
      <w:pPr>
        <w:jc w:val="both"/>
        <w:rPr>
          <w:rFonts w:ascii="Times New Roman" w:hAnsi="Times New Roman" w:cs="Times New Roman"/>
        </w:rPr>
      </w:pPr>
      <w:r w:rsidRPr="00484334">
        <w:rPr>
          <w:rFonts w:ascii="Times New Roman" w:hAnsi="Times New Roman" w:cs="Times New Roman"/>
        </w:rPr>
        <w:t>California Bearing Ratio (CBR) tests were conducted following ASTM D1883 and AASHTO T193 under soaked conditions to evaluate the load-bearing capacity of the compacted soils. The CBR values were compared with standard highway specifications to assess the suitability of the materials as subgrade support.</w:t>
      </w:r>
      <w:r w:rsidR="005318E5">
        <w:rPr>
          <w:rFonts w:ascii="Times New Roman" w:hAnsi="Times New Roman" w:cs="Times New Roman"/>
        </w:rPr>
        <w:t xml:space="preserve"> </w:t>
      </w:r>
      <w:r w:rsidRPr="00484334">
        <w:rPr>
          <w:rFonts w:ascii="Times New Roman" w:hAnsi="Times New Roman" w:cs="Times New Roman"/>
        </w:rPr>
        <w:t>The soils were finally classified using both the Unified Soil Classification System (USCS) and the AASHTO Soil Classification System, thereby enabling comparison of engineering behaviour with internationally accepted standards.</w:t>
      </w:r>
    </w:p>
    <w:p w14:paraId="5B4FADB7" w14:textId="77777777" w:rsidR="00484334" w:rsidRPr="00484334" w:rsidRDefault="00484334" w:rsidP="00484334">
      <w:pPr>
        <w:rPr>
          <w:rFonts w:ascii="Times New Roman" w:hAnsi="Times New Roman" w:cs="Times New Roman"/>
          <w:b/>
          <w:bCs/>
        </w:rPr>
      </w:pPr>
      <w:r w:rsidRPr="00484334">
        <w:rPr>
          <w:rFonts w:ascii="Times New Roman" w:hAnsi="Times New Roman" w:cs="Times New Roman"/>
          <w:b/>
          <w:bCs/>
        </w:rPr>
        <w:t>4. Results and Discussion</w:t>
      </w:r>
    </w:p>
    <w:p w14:paraId="1AC82444"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4.1 Geotechnical Characteristics of the Subgrade Soils</w:t>
      </w:r>
    </w:p>
    <w:p w14:paraId="0B2415EE" w14:textId="77777777" w:rsidR="00484334" w:rsidRPr="00484334" w:rsidRDefault="00484334" w:rsidP="005318E5">
      <w:pPr>
        <w:jc w:val="both"/>
        <w:rPr>
          <w:rFonts w:ascii="Times New Roman" w:hAnsi="Times New Roman" w:cs="Times New Roman"/>
        </w:rPr>
      </w:pPr>
      <w:r w:rsidRPr="00484334">
        <w:rPr>
          <w:rFonts w:ascii="Times New Roman" w:hAnsi="Times New Roman" w:cs="Times New Roman"/>
        </w:rPr>
        <w:t>The results of the laboratory investigations are presented in Table 1. The engineering properties exhibit considerable spatial variation along the Emure–Oba Highway, reflecting differences in parent rock weathering, drainage conditions, clay mineral content, and field moisture conditions. The data indicate that the engineering performance of the pavement is controlled primarily by the combined effects of plasticity, grading characteristics, compaction behaviour, and bearing capacity.</w:t>
      </w:r>
    </w:p>
    <w:p w14:paraId="0269FB0B"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Table 1. Geotechnical properties of representative subgrade soils along the Emure–Oba Highway.</w:t>
      </w:r>
    </w:p>
    <w:tbl>
      <w:tblPr>
        <w:tblStyle w:val="PlainTable5"/>
        <w:tblW w:w="0" w:type="auto"/>
        <w:tblLook w:val="04A0" w:firstRow="1" w:lastRow="0" w:firstColumn="1" w:lastColumn="0" w:noHBand="0" w:noVBand="1"/>
      </w:tblPr>
      <w:tblGrid>
        <w:gridCol w:w="982"/>
        <w:gridCol w:w="792"/>
        <w:gridCol w:w="794"/>
        <w:gridCol w:w="785"/>
        <w:gridCol w:w="875"/>
        <w:gridCol w:w="1091"/>
        <w:gridCol w:w="875"/>
        <w:gridCol w:w="1148"/>
        <w:gridCol w:w="1180"/>
        <w:gridCol w:w="838"/>
      </w:tblGrid>
      <w:tr w:rsidR="00484334" w:rsidRPr="00484334" w14:paraId="1F24F837" w14:textId="77777777" w:rsidTr="004843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36D09596" w14:textId="77777777" w:rsidR="00484334" w:rsidRPr="00484334" w:rsidRDefault="00484334" w:rsidP="00484334">
            <w:pPr>
              <w:spacing w:after="160" w:line="278" w:lineRule="auto"/>
              <w:jc w:val="left"/>
              <w:rPr>
                <w:rFonts w:ascii="Times New Roman" w:hAnsi="Times New Roman" w:cs="Times New Roman"/>
              </w:rPr>
            </w:pPr>
            <w:r w:rsidRPr="00484334">
              <w:rPr>
                <w:rFonts w:ascii="Times New Roman" w:hAnsi="Times New Roman" w:cs="Times New Roman"/>
              </w:rPr>
              <w:t>Sample</w:t>
            </w:r>
          </w:p>
        </w:tc>
        <w:tc>
          <w:tcPr>
            <w:tcW w:w="0" w:type="auto"/>
            <w:tcBorders>
              <w:top w:val="single" w:sz="4" w:space="0" w:color="auto"/>
            </w:tcBorders>
            <w:hideMark/>
          </w:tcPr>
          <w:p w14:paraId="7B0764FF"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LL (%)</w:t>
            </w:r>
          </w:p>
        </w:tc>
        <w:tc>
          <w:tcPr>
            <w:tcW w:w="0" w:type="auto"/>
            <w:tcBorders>
              <w:top w:val="single" w:sz="4" w:space="0" w:color="auto"/>
            </w:tcBorders>
            <w:hideMark/>
          </w:tcPr>
          <w:p w14:paraId="65BA82BF"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PL (%)</w:t>
            </w:r>
          </w:p>
        </w:tc>
        <w:tc>
          <w:tcPr>
            <w:tcW w:w="0" w:type="auto"/>
            <w:tcBorders>
              <w:top w:val="single" w:sz="4" w:space="0" w:color="auto"/>
            </w:tcBorders>
            <w:hideMark/>
          </w:tcPr>
          <w:p w14:paraId="3F36B9D2"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PI (%)</w:t>
            </w:r>
          </w:p>
        </w:tc>
        <w:tc>
          <w:tcPr>
            <w:tcW w:w="0" w:type="auto"/>
            <w:tcBorders>
              <w:top w:val="single" w:sz="4" w:space="0" w:color="auto"/>
            </w:tcBorders>
            <w:hideMark/>
          </w:tcPr>
          <w:p w14:paraId="31837E5D"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Fines (%)</w:t>
            </w:r>
          </w:p>
        </w:tc>
        <w:tc>
          <w:tcPr>
            <w:tcW w:w="0" w:type="auto"/>
            <w:tcBorders>
              <w:top w:val="single" w:sz="4" w:space="0" w:color="auto"/>
            </w:tcBorders>
            <w:hideMark/>
          </w:tcPr>
          <w:p w14:paraId="1C937DCB"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MDD (kg/m³)</w:t>
            </w:r>
          </w:p>
        </w:tc>
        <w:tc>
          <w:tcPr>
            <w:tcW w:w="0" w:type="auto"/>
            <w:tcBorders>
              <w:top w:val="single" w:sz="4" w:space="0" w:color="auto"/>
            </w:tcBorders>
            <w:hideMark/>
          </w:tcPr>
          <w:p w14:paraId="614D9D93"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OMC (%)</w:t>
            </w:r>
          </w:p>
        </w:tc>
        <w:tc>
          <w:tcPr>
            <w:tcW w:w="0" w:type="auto"/>
            <w:tcBorders>
              <w:top w:val="single" w:sz="4" w:space="0" w:color="auto"/>
            </w:tcBorders>
            <w:hideMark/>
          </w:tcPr>
          <w:p w14:paraId="79A2FF85"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Soaked CBR (%)</w:t>
            </w:r>
          </w:p>
        </w:tc>
        <w:tc>
          <w:tcPr>
            <w:tcW w:w="0" w:type="auto"/>
            <w:tcBorders>
              <w:top w:val="single" w:sz="4" w:space="0" w:color="auto"/>
            </w:tcBorders>
            <w:hideMark/>
          </w:tcPr>
          <w:p w14:paraId="7D317977"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AASHTO</w:t>
            </w:r>
          </w:p>
        </w:tc>
        <w:tc>
          <w:tcPr>
            <w:tcW w:w="0" w:type="auto"/>
            <w:tcBorders>
              <w:top w:val="single" w:sz="4" w:space="0" w:color="auto"/>
            </w:tcBorders>
            <w:hideMark/>
          </w:tcPr>
          <w:p w14:paraId="6E0DB6A6" w14:textId="77777777" w:rsidR="00484334" w:rsidRPr="00484334" w:rsidRDefault="00484334" w:rsidP="00484334">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USCS</w:t>
            </w:r>
          </w:p>
        </w:tc>
      </w:tr>
      <w:tr w:rsidR="00484334" w:rsidRPr="00484334" w14:paraId="62FF1CC5" w14:textId="77777777" w:rsidTr="00484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31DD6"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Jn3a</w:t>
            </w:r>
          </w:p>
        </w:tc>
        <w:tc>
          <w:tcPr>
            <w:tcW w:w="0" w:type="auto"/>
            <w:hideMark/>
          </w:tcPr>
          <w:p w14:paraId="57AC7BF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42.20</w:t>
            </w:r>
          </w:p>
        </w:tc>
        <w:tc>
          <w:tcPr>
            <w:tcW w:w="0" w:type="auto"/>
            <w:hideMark/>
          </w:tcPr>
          <w:p w14:paraId="0F1DDD00"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22.48</w:t>
            </w:r>
          </w:p>
        </w:tc>
        <w:tc>
          <w:tcPr>
            <w:tcW w:w="0" w:type="auto"/>
            <w:hideMark/>
          </w:tcPr>
          <w:p w14:paraId="07B40A0B"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19.72</w:t>
            </w:r>
          </w:p>
        </w:tc>
        <w:tc>
          <w:tcPr>
            <w:tcW w:w="0" w:type="auto"/>
            <w:hideMark/>
          </w:tcPr>
          <w:p w14:paraId="20F1EE96"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62.60</w:t>
            </w:r>
          </w:p>
        </w:tc>
        <w:tc>
          <w:tcPr>
            <w:tcW w:w="0" w:type="auto"/>
            <w:hideMark/>
          </w:tcPr>
          <w:p w14:paraId="7C5AB8D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1923</w:t>
            </w:r>
          </w:p>
        </w:tc>
        <w:tc>
          <w:tcPr>
            <w:tcW w:w="0" w:type="auto"/>
            <w:hideMark/>
          </w:tcPr>
          <w:p w14:paraId="3F732EA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16.2</w:t>
            </w:r>
          </w:p>
        </w:tc>
        <w:tc>
          <w:tcPr>
            <w:tcW w:w="0" w:type="auto"/>
            <w:hideMark/>
          </w:tcPr>
          <w:p w14:paraId="40D2CA2A"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16</w:t>
            </w:r>
          </w:p>
        </w:tc>
        <w:tc>
          <w:tcPr>
            <w:tcW w:w="0" w:type="auto"/>
            <w:hideMark/>
          </w:tcPr>
          <w:p w14:paraId="71A277E2"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A-7-6</w:t>
            </w:r>
          </w:p>
        </w:tc>
        <w:tc>
          <w:tcPr>
            <w:tcW w:w="0" w:type="auto"/>
            <w:hideMark/>
          </w:tcPr>
          <w:p w14:paraId="00DE1603"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CL</w:t>
            </w:r>
          </w:p>
        </w:tc>
      </w:tr>
      <w:tr w:rsidR="00484334" w:rsidRPr="00484334" w14:paraId="63B1A684" w14:textId="77777777" w:rsidTr="00484334">
        <w:tc>
          <w:tcPr>
            <w:cnfStyle w:val="001000000000" w:firstRow="0" w:lastRow="0" w:firstColumn="1" w:lastColumn="0" w:oddVBand="0" w:evenVBand="0" w:oddHBand="0" w:evenHBand="0" w:firstRowFirstColumn="0" w:firstRowLastColumn="0" w:lastRowFirstColumn="0" w:lastRowLastColumn="0"/>
            <w:tcW w:w="0" w:type="auto"/>
            <w:hideMark/>
          </w:tcPr>
          <w:p w14:paraId="6FFFADCC"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Jn3b</w:t>
            </w:r>
          </w:p>
        </w:tc>
        <w:tc>
          <w:tcPr>
            <w:tcW w:w="0" w:type="auto"/>
            <w:hideMark/>
          </w:tcPr>
          <w:p w14:paraId="3EBB568F"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24.60</w:t>
            </w:r>
          </w:p>
        </w:tc>
        <w:tc>
          <w:tcPr>
            <w:tcW w:w="0" w:type="auto"/>
            <w:hideMark/>
          </w:tcPr>
          <w:p w14:paraId="33F471B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20.30</w:t>
            </w:r>
          </w:p>
        </w:tc>
        <w:tc>
          <w:tcPr>
            <w:tcW w:w="0" w:type="auto"/>
            <w:hideMark/>
          </w:tcPr>
          <w:p w14:paraId="43BB0AB7"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4.30</w:t>
            </w:r>
          </w:p>
        </w:tc>
        <w:tc>
          <w:tcPr>
            <w:tcW w:w="0" w:type="auto"/>
            <w:hideMark/>
          </w:tcPr>
          <w:p w14:paraId="7996DFC6"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53.70</w:t>
            </w:r>
          </w:p>
        </w:tc>
        <w:tc>
          <w:tcPr>
            <w:tcW w:w="0" w:type="auto"/>
            <w:hideMark/>
          </w:tcPr>
          <w:p w14:paraId="2C13B23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2185</w:t>
            </w:r>
          </w:p>
        </w:tc>
        <w:tc>
          <w:tcPr>
            <w:tcW w:w="0" w:type="auto"/>
            <w:hideMark/>
          </w:tcPr>
          <w:p w14:paraId="0AA857BA"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10.4</w:t>
            </w:r>
          </w:p>
        </w:tc>
        <w:tc>
          <w:tcPr>
            <w:tcW w:w="0" w:type="auto"/>
            <w:hideMark/>
          </w:tcPr>
          <w:p w14:paraId="773A1E1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76</w:t>
            </w:r>
          </w:p>
        </w:tc>
        <w:tc>
          <w:tcPr>
            <w:tcW w:w="0" w:type="auto"/>
            <w:hideMark/>
          </w:tcPr>
          <w:p w14:paraId="0BA10F9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A-2-4</w:t>
            </w:r>
          </w:p>
        </w:tc>
        <w:tc>
          <w:tcPr>
            <w:tcW w:w="0" w:type="auto"/>
            <w:hideMark/>
          </w:tcPr>
          <w:p w14:paraId="3CDF75A9"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SM</w:t>
            </w:r>
          </w:p>
        </w:tc>
      </w:tr>
      <w:tr w:rsidR="00484334" w:rsidRPr="00484334" w14:paraId="2DC63E7F" w14:textId="77777777" w:rsidTr="00484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DF2CA"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Jn6a</w:t>
            </w:r>
          </w:p>
        </w:tc>
        <w:tc>
          <w:tcPr>
            <w:tcW w:w="0" w:type="auto"/>
            <w:hideMark/>
          </w:tcPr>
          <w:p w14:paraId="16680B3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43.20</w:t>
            </w:r>
          </w:p>
        </w:tc>
        <w:tc>
          <w:tcPr>
            <w:tcW w:w="0" w:type="auto"/>
            <w:hideMark/>
          </w:tcPr>
          <w:p w14:paraId="30843DE3"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28.30</w:t>
            </w:r>
          </w:p>
        </w:tc>
        <w:tc>
          <w:tcPr>
            <w:tcW w:w="0" w:type="auto"/>
            <w:hideMark/>
          </w:tcPr>
          <w:p w14:paraId="5C470AAD"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14.90</w:t>
            </w:r>
          </w:p>
        </w:tc>
        <w:tc>
          <w:tcPr>
            <w:tcW w:w="0" w:type="auto"/>
            <w:hideMark/>
          </w:tcPr>
          <w:p w14:paraId="2C716731"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60.80</w:t>
            </w:r>
          </w:p>
        </w:tc>
        <w:tc>
          <w:tcPr>
            <w:tcW w:w="0" w:type="auto"/>
            <w:hideMark/>
          </w:tcPr>
          <w:p w14:paraId="15907C33"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1903</w:t>
            </w:r>
          </w:p>
        </w:tc>
        <w:tc>
          <w:tcPr>
            <w:tcW w:w="0" w:type="auto"/>
            <w:hideMark/>
          </w:tcPr>
          <w:p w14:paraId="62F9693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17.5</w:t>
            </w:r>
          </w:p>
        </w:tc>
        <w:tc>
          <w:tcPr>
            <w:tcW w:w="0" w:type="auto"/>
            <w:hideMark/>
          </w:tcPr>
          <w:p w14:paraId="154782FC"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14</w:t>
            </w:r>
          </w:p>
        </w:tc>
        <w:tc>
          <w:tcPr>
            <w:tcW w:w="0" w:type="auto"/>
            <w:hideMark/>
          </w:tcPr>
          <w:p w14:paraId="7378C301"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A-7-5</w:t>
            </w:r>
          </w:p>
        </w:tc>
        <w:tc>
          <w:tcPr>
            <w:tcW w:w="0" w:type="auto"/>
            <w:hideMark/>
          </w:tcPr>
          <w:p w14:paraId="7ADDE5C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CL</w:t>
            </w:r>
          </w:p>
        </w:tc>
      </w:tr>
      <w:tr w:rsidR="00484334" w:rsidRPr="00484334" w14:paraId="1AAA7B89" w14:textId="77777777" w:rsidTr="00484334">
        <w:tc>
          <w:tcPr>
            <w:cnfStyle w:val="001000000000" w:firstRow="0" w:lastRow="0" w:firstColumn="1" w:lastColumn="0" w:oddVBand="0" w:evenVBand="0" w:oddHBand="0" w:evenHBand="0" w:firstRowFirstColumn="0" w:firstRowLastColumn="0" w:lastRowFirstColumn="0" w:lastRowLastColumn="0"/>
            <w:tcW w:w="0" w:type="auto"/>
            <w:hideMark/>
          </w:tcPr>
          <w:p w14:paraId="29585133"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Jn6b</w:t>
            </w:r>
          </w:p>
        </w:tc>
        <w:tc>
          <w:tcPr>
            <w:tcW w:w="0" w:type="auto"/>
            <w:hideMark/>
          </w:tcPr>
          <w:p w14:paraId="3C2FDACF"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27.50</w:t>
            </w:r>
          </w:p>
        </w:tc>
        <w:tc>
          <w:tcPr>
            <w:tcW w:w="0" w:type="auto"/>
            <w:hideMark/>
          </w:tcPr>
          <w:p w14:paraId="12EA0368"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20.66</w:t>
            </w:r>
          </w:p>
        </w:tc>
        <w:tc>
          <w:tcPr>
            <w:tcW w:w="0" w:type="auto"/>
            <w:hideMark/>
          </w:tcPr>
          <w:p w14:paraId="369155D8"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6.84</w:t>
            </w:r>
          </w:p>
        </w:tc>
        <w:tc>
          <w:tcPr>
            <w:tcW w:w="0" w:type="auto"/>
            <w:hideMark/>
          </w:tcPr>
          <w:p w14:paraId="009707A1"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52.50</w:t>
            </w:r>
          </w:p>
        </w:tc>
        <w:tc>
          <w:tcPr>
            <w:tcW w:w="0" w:type="auto"/>
            <w:hideMark/>
          </w:tcPr>
          <w:p w14:paraId="3D0C5BE4"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2170</w:t>
            </w:r>
          </w:p>
        </w:tc>
        <w:tc>
          <w:tcPr>
            <w:tcW w:w="0" w:type="auto"/>
            <w:hideMark/>
          </w:tcPr>
          <w:p w14:paraId="1E2E20B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11.0</w:t>
            </w:r>
          </w:p>
        </w:tc>
        <w:tc>
          <w:tcPr>
            <w:tcW w:w="0" w:type="auto"/>
            <w:hideMark/>
          </w:tcPr>
          <w:p w14:paraId="6AA98DC1"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67</w:t>
            </w:r>
          </w:p>
        </w:tc>
        <w:tc>
          <w:tcPr>
            <w:tcW w:w="0" w:type="auto"/>
            <w:hideMark/>
          </w:tcPr>
          <w:p w14:paraId="05B00254"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A-2-6</w:t>
            </w:r>
          </w:p>
        </w:tc>
        <w:tc>
          <w:tcPr>
            <w:tcW w:w="0" w:type="auto"/>
            <w:hideMark/>
          </w:tcPr>
          <w:p w14:paraId="4C56027E"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SM</w:t>
            </w:r>
          </w:p>
        </w:tc>
      </w:tr>
      <w:tr w:rsidR="00484334" w:rsidRPr="00484334" w14:paraId="221DEED9" w14:textId="77777777" w:rsidTr="00484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1EF7E"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Op4</w:t>
            </w:r>
          </w:p>
        </w:tc>
        <w:tc>
          <w:tcPr>
            <w:tcW w:w="0" w:type="auto"/>
            <w:hideMark/>
          </w:tcPr>
          <w:p w14:paraId="775D7B81"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33.20</w:t>
            </w:r>
          </w:p>
        </w:tc>
        <w:tc>
          <w:tcPr>
            <w:tcW w:w="0" w:type="auto"/>
            <w:hideMark/>
          </w:tcPr>
          <w:p w14:paraId="5857EFA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21.36</w:t>
            </w:r>
          </w:p>
        </w:tc>
        <w:tc>
          <w:tcPr>
            <w:tcW w:w="0" w:type="auto"/>
            <w:hideMark/>
          </w:tcPr>
          <w:p w14:paraId="4092F519"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11.84</w:t>
            </w:r>
          </w:p>
        </w:tc>
        <w:tc>
          <w:tcPr>
            <w:tcW w:w="0" w:type="auto"/>
            <w:hideMark/>
          </w:tcPr>
          <w:p w14:paraId="60D1A8D5"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50.30</w:t>
            </w:r>
          </w:p>
        </w:tc>
        <w:tc>
          <w:tcPr>
            <w:tcW w:w="0" w:type="auto"/>
            <w:hideMark/>
          </w:tcPr>
          <w:p w14:paraId="6646CAAB"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2155</w:t>
            </w:r>
          </w:p>
        </w:tc>
        <w:tc>
          <w:tcPr>
            <w:tcW w:w="0" w:type="auto"/>
            <w:hideMark/>
          </w:tcPr>
          <w:p w14:paraId="44D9F36A"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11.6</w:t>
            </w:r>
          </w:p>
        </w:tc>
        <w:tc>
          <w:tcPr>
            <w:tcW w:w="0" w:type="auto"/>
            <w:hideMark/>
          </w:tcPr>
          <w:p w14:paraId="785BF58F"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74</w:t>
            </w:r>
          </w:p>
        </w:tc>
        <w:tc>
          <w:tcPr>
            <w:tcW w:w="0" w:type="auto"/>
            <w:hideMark/>
          </w:tcPr>
          <w:p w14:paraId="7AE856CC"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A-2-6</w:t>
            </w:r>
          </w:p>
        </w:tc>
        <w:tc>
          <w:tcPr>
            <w:tcW w:w="0" w:type="auto"/>
            <w:hideMark/>
          </w:tcPr>
          <w:p w14:paraId="3E56C705"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SC</w:t>
            </w:r>
          </w:p>
        </w:tc>
      </w:tr>
      <w:tr w:rsidR="00484334" w:rsidRPr="00484334" w14:paraId="25CF68E1" w14:textId="77777777" w:rsidTr="00484334">
        <w:tc>
          <w:tcPr>
            <w:cnfStyle w:val="001000000000" w:firstRow="0" w:lastRow="0" w:firstColumn="1" w:lastColumn="0" w:oddVBand="0" w:evenVBand="0" w:oddHBand="0" w:evenHBand="0" w:firstRowFirstColumn="0" w:firstRowLastColumn="0" w:lastRowFirstColumn="0" w:lastRowLastColumn="0"/>
            <w:tcW w:w="0" w:type="auto"/>
            <w:hideMark/>
          </w:tcPr>
          <w:p w14:paraId="7160C11D"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Op5</w:t>
            </w:r>
          </w:p>
        </w:tc>
        <w:tc>
          <w:tcPr>
            <w:tcW w:w="0" w:type="auto"/>
            <w:hideMark/>
          </w:tcPr>
          <w:p w14:paraId="27DD5DE9"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28.60</w:t>
            </w:r>
          </w:p>
        </w:tc>
        <w:tc>
          <w:tcPr>
            <w:tcW w:w="0" w:type="auto"/>
            <w:hideMark/>
          </w:tcPr>
          <w:p w14:paraId="72688E88"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20.79</w:t>
            </w:r>
          </w:p>
        </w:tc>
        <w:tc>
          <w:tcPr>
            <w:tcW w:w="0" w:type="auto"/>
            <w:hideMark/>
          </w:tcPr>
          <w:p w14:paraId="3030DDE9"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7.81</w:t>
            </w:r>
          </w:p>
        </w:tc>
        <w:tc>
          <w:tcPr>
            <w:tcW w:w="0" w:type="auto"/>
            <w:hideMark/>
          </w:tcPr>
          <w:p w14:paraId="5DBDF9B3"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71.70</w:t>
            </w:r>
          </w:p>
        </w:tc>
        <w:tc>
          <w:tcPr>
            <w:tcW w:w="0" w:type="auto"/>
            <w:hideMark/>
          </w:tcPr>
          <w:p w14:paraId="5C2141DC"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1933</w:t>
            </w:r>
          </w:p>
        </w:tc>
        <w:tc>
          <w:tcPr>
            <w:tcW w:w="0" w:type="auto"/>
            <w:hideMark/>
          </w:tcPr>
          <w:p w14:paraId="02E87C1A"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15.8</w:t>
            </w:r>
          </w:p>
        </w:tc>
        <w:tc>
          <w:tcPr>
            <w:tcW w:w="0" w:type="auto"/>
            <w:hideMark/>
          </w:tcPr>
          <w:p w14:paraId="2BEDA97E"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18</w:t>
            </w:r>
          </w:p>
        </w:tc>
        <w:tc>
          <w:tcPr>
            <w:tcW w:w="0" w:type="auto"/>
            <w:hideMark/>
          </w:tcPr>
          <w:p w14:paraId="578C1B85"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A-7-6</w:t>
            </w:r>
          </w:p>
        </w:tc>
        <w:tc>
          <w:tcPr>
            <w:tcW w:w="0" w:type="auto"/>
            <w:hideMark/>
          </w:tcPr>
          <w:p w14:paraId="35089881" w14:textId="77777777" w:rsidR="00484334" w:rsidRPr="00484334" w:rsidRDefault="00484334" w:rsidP="00484334">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CL</w:t>
            </w:r>
          </w:p>
        </w:tc>
      </w:tr>
      <w:tr w:rsidR="00484334" w:rsidRPr="00484334" w14:paraId="0AED1D71" w14:textId="77777777" w:rsidTr="00484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20F73550" w14:textId="77777777" w:rsidR="00484334" w:rsidRPr="00484334" w:rsidRDefault="00484334" w:rsidP="00484334">
            <w:pPr>
              <w:spacing w:after="160" w:line="278" w:lineRule="auto"/>
              <w:rPr>
                <w:rFonts w:ascii="Times New Roman" w:hAnsi="Times New Roman" w:cs="Times New Roman"/>
              </w:rPr>
            </w:pPr>
            <w:r w:rsidRPr="00484334">
              <w:rPr>
                <w:rFonts w:ascii="Times New Roman" w:hAnsi="Times New Roman" w:cs="Times New Roman"/>
              </w:rPr>
              <w:t>Op8</w:t>
            </w:r>
          </w:p>
        </w:tc>
        <w:tc>
          <w:tcPr>
            <w:tcW w:w="0" w:type="auto"/>
            <w:tcBorders>
              <w:bottom w:val="single" w:sz="4" w:space="0" w:color="auto"/>
            </w:tcBorders>
            <w:hideMark/>
          </w:tcPr>
          <w:p w14:paraId="46C51308"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37.80</w:t>
            </w:r>
          </w:p>
        </w:tc>
        <w:tc>
          <w:tcPr>
            <w:tcW w:w="0" w:type="auto"/>
            <w:tcBorders>
              <w:bottom w:val="single" w:sz="4" w:space="0" w:color="auto"/>
            </w:tcBorders>
            <w:hideMark/>
          </w:tcPr>
          <w:p w14:paraId="1177F300"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21.93</w:t>
            </w:r>
          </w:p>
        </w:tc>
        <w:tc>
          <w:tcPr>
            <w:tcW w:w="0" w:type="auto"/>
            <w:tcBorders>
              <w:bottom w:val="single" w:sz="4" w:space="0" w:color="auto"/>
            </w:tcBorders>
            <w:hideMark/>
          </w:tcPr>
          <w:p w14:paraId="41B1F95A"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15.87</w:t>
            </w:r>
          </w:p>
        </w:tc>
        <w:tc>
          <w:tcPr>
            <w:tcW w:w="0" w:type="auto"/>
            <w:tcBorders>
              <w:bottom w:val="single" w:sz="4" w:space="0" w:color="auto"/>
            </w:tcBorders>
            <w:hideMark/>
          </w:tcPr>
          <w:p w14:paraId="63B7CDEE"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63.80</w:t>
            </w:r>
          </w:p>
        </w:tc>
        <w:tc>
          <w:tcPr>
            <w:tcW w:w="0" w:type="auto"/>
            <w:tcBorders>
              <w:bottom w:val="single" w:sz="4" w:space="0" w:color="auto"/>
            </w:tcBorders>
            <w:hideMark/>
          </w:tcPr>
          <w:p w14:paraId="1D64144E"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1912</w:t>
            </w:r>
          </w:p>
        </w:tc>
        <w:tc>
          <w:tcPr>
            <w:tcW w:w="0" w:type="auto"/>
            <w:tcBorders>
              <w:bottom w:val="single" w:sz="4" w:space="0" w:color="auto"/>
            </w:tcBorders>
            <w:hideMark/>
          </w:tcPr>
          <w:p w14:paraId="236BBCF2"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16.9</w:t>
            </w:r>
          </w:p>
        </w:tc>
        <w:tc>
          <w:tcPr>
            <w:tcW w:w="0" w:type="auto"/>
            <w:tcBorders>
              <w:bottom w:val="single" w:sz="4" w:space="0" w:color="auto"/>
            </w:tcBorders>
            <w:hideMark/>
          </w:tcPr>
          <w:p w14:paraId="773C43C3"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16</w:t>
            </w:r>
          </w:p>
        </w:tc>
        <w:tc>
          <w:tcPr>
            <w:tcW w:w="0" w:type="auto"/>
            <w:tcBorders>
              <w:bottom w:val="single" w:sz="4" w:space="0" w:color="auto"/>
            </w:tcBorders>
            <w:hideMark/>
          </w:tcPr>
          <w:p w14:paraId="5E00845A"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A-7-5</w:t>
            </w:r>
          </w:p>
        </w:tc>
        <w:tc>
          <w:tcPr>
            <w:tcW w:w="0" w:type="auto"/>
            <w:tcBorders>
              <w:bottom w:val="single" w:sz="4" w:space="0" w:color="auto"/>
            </w:tcBorders>
            <w:hideMark/>
          </w:tcPr>
          <w:p w14:paraId="54E25BEB" w14:textId="77777777" w:rsidR="00484334" w:rsidRPr="00484334" w:rsidRDefault="00484334" w:rsidP="00484334">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4334">
              <w:rPr>
                <w:rFonts w:ascii="Times New Roman" w:hAnsi="Times New Roman" w:cs="Times New Roman"/>
              </w:rPr>
              <w:t>CL</w:t>
            </w:r>
          </w:p>
        </w:tc>
      </w:tr>
    </w:tbl>
    <w:p w14:paraId="68737526" w14:textId="06A424EA" w:rsidR="00484334" w:rsidRPr="00484334" w:rsidRDefault="00484334" w:rsidP="00484334">
      <w:pPr>
        <w:jc w:val="both"/>
        <w:rPr>
          <w:rFonts w:ascii="Times New Roman" w:hAnsi="Times New Roman" w:cs="Times New Roman"/>
        </w:rPr>
      </w:pPr>
      <w:r w:rsidRPr="00484334">
        <w:rPr>
          <w:rFonts w:ascii="Times New Roman" w:hAnsi="Times New Roman" w:cs="Times New Roman"/>
        </w:rPr>
        <w:lastRenderedPageBreak/>
        <w:t>The liquid limit</w:t>
      </w:r>
      <w:r w:rsidR="007D052B">
        <w:rPr>
          <w:rFonts w:ascii="Times New Roman" w:hAnsi="Times New Roman" w:cs="Times New Roman"/>
        </w:rPr>
        <w:t xml:space="preserve"> (</w:t>
      </w:r>
      <w:r w:rsidR="007D052B" w:rsidRPr="007D052B">
        <w:rPr>
          <w:rFonts w:ascii="Times New Roman" w:hAnsi="Times New Roman" w:cs="Times New Roman"/>
          <w:i/>
          <w:iCs/>
        </w:rPr>
        <w:t>Figure 3</w:t>
      </w:r>
      <w:r w:rsidR="007D052B">
        <w:rPr>
          <w:rFonts w:ascii="Times New Roman" w:hAnsi="Times New Roman" w:cs="Times New Roman"/>
        </w:rPr>
        <w:t>)</w:t>
      </w:r>
      <w:r w:rsidRPr="00484334">
        <w:rPr>
          <w:rFonts w:ascii="Times New Roman" w:hAnsi="Times New Roman" w:cs="Times New Roman"/>
        </w:rPr>
        <w:t xml:space="preserve"> varies from 24.60% to 43.20%, indicating considerable variation in clay activity across the study area. Sample Jn6a possesses the highest liquid limit (43.20%), suggesting greater moisture retention and compressibility, whereas Jn3b records the lowest value (24.60%), indicating comparatively better engineering behaviour. The high liquid limits observed in Jn3a and Jn6a reflect advanced weathering and higher clay mineral content, which increase the susceptibility of the subgrade to deformation during seasonal moisture fluctuations.</w:t>
      </w:r>
    </w:p>
    <w:p w14:paraId="65DE5368" w14:textId="6228CB98" w:rsidR="00AC40D0" w:rsidRPr="00484334" w:rsidRDefault="00484334" w:rsidP="00AC40D0">
      <w:pPr>
        <w:jc w:val="both"/>
        <w:rPr>
          <w:rFonts w:ascii="Times New Roman" w:hAnsi="Times New Roman" w:cs="Times New Roman"/>
        </w:rPr>
      </w:pPr>
      <w:r w:rsidRPr="00484334">
        <w:rPr>
          <w:rFonts w:ascii="Times New Roman" w:hAnsi="Times New Roman" w:cs="Times New Roman"/>
        </w:rPr>
        <w:t xml:space="preserve">Plasticity index </w:t>
      </w:r>
      <w:r w:rsidR="007D052B">
        <w:rPr>
          <w:rFonts w:ascii="Times New Roman" w:hAnsi="Times New Roman" w:cs="Times New Roman"/>
        </w:rPr>
        <w:t>(</w:t>
      </w:r>
      <w:r w:rsidR="007D052B" w:rsidRPr="007D052B">
        <w:rPr>
          <w:rFonts w:ascii="Times New Roman" w:hAnsi="Times New Roman" w:cs="Times New Roman"/>
          <w:i/>
          <w:iCs/>
        </w:rPr>
        <w:t>Figure 3</w:t>
      </w:r>
      <w:r w:rsidR="007D052B">
        <w:rPr>
          <w:rFonts w:ascii="Times New Roman" w:hAnsi="Times New Roman" w:cs="Times New Roman"/>
        </w:rPr>
        <w:t>)</w:t>
      </w:r>
      <w:r w:rsidR="007D052B" w:rsidRPr="00484334">
        <w:rPr>
          <w:rFonts w:ascii="Times New Roman" w:hAnsi="Times New Roman" w:cs="Times New Roman"/>
        </w:rPr>
        <w:t xml:space="preserve"> </w:t>
      </w:r>
      <w:r w:rsidRPr="00484334">
        <w:rPr>
          <w:rFonts w:ascii="Times New Roman" w:hAnsi="Times New Roman" w:cs="Times New Roman"/>
        </w:rPr>
        <w:t>values range from 4.30% to 19.72%. The highest plasticity index occurs in Jn3a (19.72%), followed by Op8 (15.87%) and Jn6a (14.90%), indicating moderate to high plasticity. High PI values signify greater volume change potential and increased susceptibility to shrink–swell behaviour, which commonly results in pavement cracking and differential settlement. In contrast, Jn3b exhibits the lowest PI (4.30%), indicating a relatively stable soil with minimal shrinkage potential.</w:t>
      </w:r>
      <w:r w:rsidR="00AC40D0">
        <w:rPr>
          <w:rFonts w:ascii="Times New Roman" w:hAnsi="Times New Roman" w:cs="Times New Roman"/>
        </w:rPr>
        <w:t xml:space="preserve"> </w:t>
      </w:r>
      <w:r w:rsidR="00AC40D0" w:rsidRPr="00484334">
        <w:rPr>
          <w:rFonts w:ascii="Times New Roman" w:hAnsi="Times New Roman" w:cs="Times New Roman"/>
        </w:rPr>
        <w:t xml:space="preserve">The percentage of fines ranges between 50.30% and 71.70%. Sample Op5 contains the highest fines content (71.70%), while Op4 contains the lowest (50.30%). High fines content reduces permeability and promotes water retention, thereby increasing pore water pressure under traffic loading. Consequently, soils containing excessive fines </w:t>
      </w:r>
      <w:r w:rsidR="007D052B">
        <w:rPr>
          <w:rFonts w:ascii="Times New Roman" w:hAnsi="Times New Roman" w:cs="Times New Roman"/>
        </w:rPr>
        <w:t>(</w:t>
      </w:r>
      <w:r w:rsidR="007D052B" w:rsidRPr="007D052B">
        <w:rPr>
          <w:rFonts w:ascii="Times New Roman" w:hAnsi="Times New Roman" w:cs="Times New Roman"/>
          <w:i/>
          <w:iCs/>
        </w:rPr>
        <w:t>Figur</w:t>
      </w:r>
      <w:r w:rsidR="007D052B">
        <w:rPr>
          <w:rFonts w:ascii="Times New Roman" w:hAnsi="Times New Roman" w:cs="Times New Roman"/>
          <w:i/>
          <w:iCs/>
        </w:rPr>
        <w:t>es</w:t>
      </w:r>
      <w:r w:rsidR="007D052B" w:rsidRPr="007D052B">
        <w:rPr>
          <w:rFonts w:ascii="Times New Roman" w:hAnsi="Times New Roman" w:cs="Times New Roman"/>
          <w:i/>
          <w:iCs/>
        </w:rPr>
        <w:t xml:space="preserve"> 3c and d</w:t>
      </w:r>
      <w:r w:rsidR="007D052B">
        <w:rPr>
          <w:rFonts w:ascii="Times New Roman" w:hAnsi="Times New Roman" w:cs="Times New Roman"/>
        </w:rPr>
        <w:t xml:space="preserve">) </w:t>
      </w:r>
      <w:r w:rsidR="00AC40D0" w:rsidRPr="00484334">
        <w:rPr>
          <w:rFonts w:ascii="Times New Roman" w:hAnsi="Times New Roman" w:cs="Times New Roman"/>
        </w:rPr>
        <w:t>generally exhibit reduced bearing capacity and accelerated pavement deterioration.</w:t>
      </w:r>
    </w:p>
    <w:p w14:paraId="66DBF754" w14:textId="729E20B9" w:rsidR="00D23D66" w:rsidRDefault="00336628" w:rsidP="00B30AF4">
      <w:pPr>
        <w:jc w:val="center"/>
        <w:rPr>
          <w:rFonts w:ascii="Times New Roman" w:hAnsi="Times New Roman" w:cs="Times New Roman"/>
        </w:rPr>
      </w:pPr>
      <w:r>
        <w:rPr>
          <w:noProof/>
        </w:rPr>
        <w:drawing>
          <wp:inline distT="0" distB="0" distL="0" distR="0" wp14:anchorId="43527176" wp14:editId="2C363C77">
            <wp:extent cx="3517899" cy="1949450"/>
            <wp:effectExtent l="0" t="0" r="6985" b="0"/>
            <wp:docPr id="1200378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881" cy="1986014"/>
                    </a:xfrm>
                    <a:prstGeom prst="rect">
                      <a:avLst/>
                    </a:prstGeom>
                    <a:noFill/>
                    <a:ln>
                      <a:noFill/>
                    </a:ln>
                  </pic:spPr>
                </pic:pic>
              </a:graphicData>
            </a:graphic>
          </wp:inline>
        </w:drawing>
      </w:r>
    </w:p>
    <w:p w14:paraId="6E855095" w14:textId="204EFD9C" w:rsidR="005318E5" w:rsidRPr="00D23D66" w:rsidRDefault="005318E5" w:rsidP="00D578E8">
      <w:pPr>
        <w:spacing w:after="0"/>
        <w:jc w:val="center"/>
        <w:rPr>
          <w:rFonts w:ascii="Times New Roman" w:hAnsi="Times New Roman" w:cs="Times New Roman"/>
          <w:i/>
          <w:iCs/>
          <w:sz w:val="20"/>
          <w:szCs w:val="20"/>
        </w:rPr>
      </w:pPr>
      <w:r w:rsidRPr="00D23D66">
        <w:rPr>
          <w:rFonts w:ascii="Times New Roman" w:hAnsi="Times New Roman" w:cs="Times New Roman"/>
          <w:i/>
          <w:iCs/>
          <w:sz w:val="20"/>
          <w:szCs w:val="20"/>
        </w:rPr>
        <w:t>Figure 3</w:t>
      </w:r>
      <w:r w:rsidR="00DE3B20" w:rsidRPr="00D23D66">
        <w:rPr>
          <w:rFonts w:ascii="Times New Roman" w:hAnsi="Times New Roman" w:cs="Times New Roman"/>
          <w:i/>
          <w:iCs/>
          <w:sz w:val="20"/>
          <w:szCs w:val="20"/>
        </w:rPr>
        <w:t xml:space="preserve">: Relationships chart of LL vs PI </w:t>
      </w:r>
      <w:r w:rsidRPr="00D23D66">
        <w:rPr>
          <w:rFonts w:ascii="Times New Roman" w:hAnsi="Times New Roman" w:cs="Times New Roman"/>
          <w:i/>
          <w:iCs/>
          <w:sz w:val="20"/>
          <w:szCs w:val="20"/>
        </w:rPr>
        <w:t>of the subgrade soils</w:t>
      </w:r>
      <w:r w:rsidR="00DE3B20" w:rsidRPr="00D23D66">
        <w:rPr>
          <w:rFonts w:ascii="Times New Roman" w:hAnsi="Times New Roman" w:cs="Times New Roman"/>
          <w:i/>
          <w:iCs/>
          <w:sz w:val="20"/>
          <w:szCs w:val="20"/>
        </w:rPr>
        <w:t>.</w:t>
      </w:r>
    </w:p>
    <w:p w14:paraId="7C1F8D1D" w14:textId="56C7957F" w:rsidR="00AC40D0" w:rsidRDefault="00AC40D0" w:rsidP="00D23D66">
      <w:pPr>
        <w:jc w:val="center"/>
        <w:rPr>
          <w:rFonts w:ascii="Times New Roman" w:hAnsi="Times New Roman" w:cs="Times New Roman"/>
          <w:i/>
          <w:iCs/>
          <w:sz w:val="22"/>
          <w:szCs w:val="22"/>
        </w:rPr>
      </w:pPr>
      <w:r>
        <w:rPr>
          <w:noProof/>
        </w:rPr>
        <w:drawing>
          <wp:inline distT="0" distB="0" distL="0" distR="0" wp14:anchorId="08FE934F" wp14:editId="2039B242">
            <wp:extent cx="4164965" cy="2228850"/>
            <wp:effectExtent l="0" t="0" r="6985" b="0"/>
            <wp:docPr id="358947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5416" cy="2239794"/>
                    </a:xfrm>
                    <a:prstGeom prst="rect">
                      <a:avLst/>
                    </a:prstGeom>
                    <a:noFill/>
                    <a:ln>
                      <a:noFill/>
                    </a:ln>
                  </pic:spPr>
                </pic:pic>
              </a:graphicData>
            </a:graphic>
          </wp:inline>
        </w:drawing>
      </w:r>
    </w:p>
    <w:p w14:paraId="482F248E" w14:textId="6D7F69EC" w:rsidR="00D23D66" w:rsidRPr="005318E5" w:rsidRDefault="00D23D66" w:rsidP="00D23D66">
      <w:pPr>
        <w:jc w:val="center"/>
        <w:rPr>
          <w:rFonts w:ascii="Times New Roman" w:hAnsi="Times New Roman" w:cs="Times New Roman"/>
          <w:i/>
          <w:iCs/>
          <w:sz w:val="22"/>
          <w:szCs w:val="22"/>
        </w:rPr>
      </w:pPr>
      <w:r>
        <w:rPr>
          <w:rFonts w:ascii="Times New Roman" w:hAnsi="Times New Roman" w:cs="Times New Roman"/>
          <w:i/>
          <w:iCs/>
          <w:sz w:val="22"/>
          <w:szCs w:val="22"/>
        </w:rPr>
        <w:t>Figures 4: OMC vs MDD of subgrade soils</w:t>
      </w:r>
    </w:p>
    <w:p w14:paraId="613547CD" w14:textId="1DBB6DF6" w:rsidR="00484334" w:rsidRDefault="00484334" w:rsidP="00484334">
      <w:pPr>
        <w:jc w:val="both"/>
        <w:rPr>
          <w:rFonts w:ascii="Times New Roman" w:hAnsi="Times New Roman" w:cs="Times New Roman"/>
        </w:rPr>
      </w:pPr>
      <w:r w:rsidRPr="00484334">
        <w:rPr>
          <w:rFonts w:ascii="Times New Roman" w:hAnsi="Times New Roman" w:cs="Times New Roman"/>
        </w:rPr>
        <w:lastRenderedPageBreak/>
        <w:t>Compaction characteristics</w:t>
      </w:r>
      <w:r w:rsidR="00E1773E">
        <w:rPr>
          <w:rFonts w:ascii="Times New Roman" w:hAnsi="Times New Roman" w:cs="Times New Roman"/>
        </w:rPr>
        <w:t xml:space="preserve"> (</w:t>
      </w:r>
      <w:r w:rsidR="00E1773E" w:rsidRPr="00E1773E">
        <w:rPr>
          <w:rFonts w:ascii="Times New Roman" w:hAnsi="Times New Roman" w:cs="Times New Roman"/>
          <w:i/>
          <w:iCs/>
          <w:sz w:val="22"/>
          <w:szCs w:val="22"/>
        </w:rPr>
        <w:t>Figure 4</w:t>
      </w:r>
      <w:r w:rsidR="00E1773E">
        <w:rPr>
          <w:rFonts w:ascii="Times New Roman" w:hAnsi="Times New Roman" w:cs="Times New Roman"/>
        </w:rPr>
        <w:t>)</w:t>
      </w:r>
      <w:r w:rsidRPr="00484334">
        <w:rPr>
          <w:rFonts w:ascii="Times New Roman" w:hAnsi="Times New Roman" w:cs="Times New Roman"/>
        </w:rPr>
        <w:t xml:space="preserve"> also vary significantly. Maximum Dry Density (MDD) ranges from 1903 kg/m³ to 2185 kg/m³, whereas Optimum Moisture Content (OMC) varies from 10.4% to 17.5%. Stable pavement sections exhibit relatively higher MDD and lower OMC, indicating efficient particle packing and stronger soil structure. Failed sections are characterized by lower dry density and higher moisture requirements, reflecting weaker soil skeletons and greater compressibility.</w:t>
      </w:r>
    </w:p>
    <w:p w14:paraId="60E28241" w14:textId="29D717AD" w:rsidR="005B16A0" w:rsidRDefault="00484334" w:rsidP="005B16A0">
      <w:pPr>
        <w:jc w:val="both"/>
        <w:rPr>
          <w:rFonts w:ascii="Times New Roman" w:hAnsi="Times New Roman" w:cs="Times New Roman"/>
        </w:rPr>
      </w:pPr>
      <w:r w:rsidRPr="00484334">
        <w:rPr>
          <w:rFonts w:ascii="Times New Roman" w:hAnsi="Times New Roman" w:cs="Times New Roman"/>
        </w:rPr>
        <w:t>California Bearing Ratio (CBR) values show the greatest engineering contrast. The soaked CBR ranges from 14% at Jn6a to 76% at Jn3b. These results clearly demonstrate that stable pavement sections possess substantially greater load-bearing capacity than failed sections. The low CBR values recorded in Jn3a, Jn6a, Op5, and Op8 indicate that these soils are unsuitable for direct use as highway subgrade without stabilization.</w:t>
      </w:r>
    </w:p>
    <w:p w14:paraId="5C637E3F" w14:textId="254E21C1" w:rsidR="006E37B4" w:rsidRPr="006E37B4" w:rsidRDefault="00AC40D0" w:rsidP="005B16A0">
      <w:pPr>
        <w:jc w:val="center"/>
        <w:rPr>
          <w:rFonts w:ascii="Times New Roman" w:hAnsi="Times New Roman" w:cs="Times New Roman"/>
          <w:i/>
          <w:iCs/>
        </w:rPr>
      </w:pPr>
      <w:r>
        <w:rPr>
          <w:noProof/>
        </w:rPr>
        <w:drawing>
          <wp:inline distT="0" distB="0" distL="0" distR="0" wp14:anchorId="7FF8DFB3" wp14:editId="28406B30">
            <wp:extent cx="5943600" cy="3098800"/>
            <wp:effectExtent l="0" t="0" r="0" b="6350"/>
            <wp:docPr id="1892940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a:noFill/>
                    </a:ln>
                  </pic:spPr>
                </pic:pic>
              </a:graphicData>
            </a:graphic>
          </wp:inline>
        </w:drawing>
      </w:r>
      <w:r w:rsidR="006E37B4" w:rsidRPr="006E37B4">
        <w:rPr>
          <w:rFonts w:ascii="Times New Roman" w:hAnsi="Times New Roman" w:cs="Times New Roman"/>
          <w:i/>
          <w:iCs/>
        </w:rPr>
        <w:t xml:space="preserve">Figure </w:t>
      </w:r>
      <w:r w:rsidR="005B16A0">
        <w:rPr>
          <w:rFonts w:ascii="Times New Roman" w:hAnsi="Times New Roman" w:cs="Times New Roman"/>
          <w:i/>
          <w:iCs/>
        </w:rPr>
        <w:t>6</w:t>
      </w:r>
      <w:r w:rsidR="006E37B4" w:rsidRPr="006E37B4">
        <w:rPr>
          <w:rFonts w:ascii="Times New Roman" w:hAnsi="Times New Roman" w:cs="Times New Roman"/>
          <w:i/>
          <w:iCs/>
        </w:rPr>
        <w:t>. Casagrande Plasticity Chart for the Subgrade Soils.</w:t>
      </w:r>
    </w:p>
    <w:p w14:paraId="13A750F1" w14:textId="4408FF8C" w:rsidR="00BC6EB9" w:rsidRDefault="00BC6EB9" w:rsidP="00BC6EB9">
      <w:pPr>
        <w:jc w:val="both"/>
        <w:rPr>
          <w:rFonts w:ascii="Times New Roman" w:hAnsi="Times New Roman" w:cs="Times New Roman"/>
        </w:rPr>
      </w:pPr>
      <w:r w:rsidRPr="00BC6EB9">
        <w:rPr>
          <w:rFonts w:ascii="Times New Roman" w:hAnsi="Times New Roman" w:cs="Times New Roman"/>
        </w:rPr>
        <w:t>The Casagrande plasticity chart</w:t>
      </w:r>
      <w:r>
        <w:rPr>
          <w:rFonts w:ascii="Times New Roman" w:hAnsi="Times New Roman" w:cs="Times New Roman"/>
        </w:rPr>
        <w:t xml:space="preserve"> (</w:t>
      </w:r>
      <w:r w:rsidRPr="006E37B4">
        <w:rPr>
          <w:rFonts w:ascii="Times New Roman" w:hAnsi="Times New Roman" w:cs="Times New Roman"/>
          <w:i/>
          <w:iCs/>
        </w:rPr>
        <w:t xml:space="preserve">Figure </w:t>
      </w:r>
      <w:r w:rsidR="005B16A0">
        <w:rPr>
          <w:rFonts w:ascii="Times New Roman" w:hAnsi="Times New Roman" w:cs="Times New Roman"/>
          <w:i/>
          <w:iCs/>
        </w:rPr>
        <w:t>6</w:t>
      </w:r>
      <w:r>
        <w:rPr>
          <w:rFonts w:ascii="Times New Roman" w:hAnsi="Times New Roman" w:cs="Times New Roman"/>
        </w:rPr>
        <w:t>)</w:t>
      </w:r>
      <w:r w:rsidRPr="00BC6EB9">
        <w:rPr>
          <w:rFonts w:ascii="Times New Roman" w:hAnsi="Times New Roman" w:cs="Times New Roman"/>
        </w:rPr>
        <w:t xml:space="preserve"> indicates that the tested soils exhibit low to medium plasticity. Four samples, namely Jn3a, Jn6b, Op4, and Op8, plot above the A-line, indicating that they are predominantly clayey soils. These soils contain sufficient active clay minerals to influence engineering behaviour and are expected to exhibit greater compressibility, lower permeability, and increased moisture sensitivity. Such characteristics reduce subgrade stability and increase susceptibility to pavement deformation under repeated traffic loading.</w:t>
      </w:r>
      <w:r>
        <w:rPr>
          <w:rFonts w:ascii="Times New Roman" w:hAnsi="Times New Roman" w:cs="Times New Roman"/>
        </w:rPr>
        <w:t xml:space="preserve"> </w:t>
      </w:r>
      <w:r w:rsidRPr="00BC6EB9">
        <w:rPr>
          <w:rFonts w:ascii="Times New Roman" w:hAnsi="Times New Roman" w:cs="Times New Roman"/>
        </w:rPr>
        <w:t xml:space="preserve">Samples Jn3b, Jn6a, and Op5 plot on or slightly below the A-line. These materials exhibit comparatively lower clay activity and contain a higher proportion of silt-sized particles or inactive clay minerals. Jn3b, with a Liquid Limit of 24.60% and Plasticity Index of 4.30%, is the least plastic soil and corresponds to the highest soaked CBR value (76%), indicating excellent engineering performance. Conversely, Jn3a, which has the highest Plasticity Index (19.72%), corresponds to a very low soaked CBR (16%), </w:t>
      </w:r>
      <w:r w:rsidRPr="00BC6EB9">
        <w:rPr>
          <w:rFonts w:ascii="Times New Roman" w:hAnsi="Times New Roman" w:cs="Times New Roman"/>
        </w:rPr>
        <w:lastRenderedPageBreak/>
        <w:t>demonstrating that increasing plasticity significantly reduces load-bearing capacity.</w:t>
      </w:r>
      <w:r>
        <w:rPr>
          <w:rFonts w:ascii="Times New Roman" w:hAnsi="Times New Roman" w:cs="Times New Roman"/>
        </w:rPr>
        <w:t xml:space="preserve"> </w:t>
      </w:r>
      <w:r w:rsidRPr="00BC6EB9">
        <w:rPr>
          <w:rFonts w:ascii="Times New Roman" w:hAnsi="Times New Roman" w:cs="Times New Roman"/>
        </w:rPr>
        <w:t>Overall, the plasticity chart confirms that the subgrade soils are dominated by inorganic clay and silty clay materials of low to intermediate plasticity. The samples plotting above the A-line are expected to experience greater shrink–swell behaviour and reduced stability during seasonal moisture fluctuations. These soils require moisture control, adequate drainage, and, where necessary, stabilization before use as highway subgrade materials. The chart also supports the observed inverse relationship between plasticity and soaked CBR, confirming that increasing plasticity adversely affects the engineering performance of the pavement foundation.</w:t>
      </w:r>
    </w:p>
    <w:p w14:paraId="6E01447D" w14:textId="2E31ED8A" w:rsidR="00B30AF4" w:rsidRPr="00BC6EB9" w:rsidRDefault="00B30AF4" w:rsidP="00B30AF4">
      <w:pPr>
        <w:jc w:val="center"/>
        <w:rPr>
          <w:rFonts w:ascii="Times New Roman" w:hAnsi="Times New Roman" w:cs="Times New Roman"/>
        </w:rPr>
      </w:pPr>
      <w:r>
        <w:rPr>
          <w:noProof/>
        </w:rPr>
        <w:drawing>
          <wp:inline distT="0" distB="0" distL="0" distR="0" wp14:anchorId="4C7291E9" wp14:editId="31087326">
            <wp:extent cx="4121150" cy="1993265"/>
            <wp:effectExtent l="0" t="0" r="0" b="6985"/>
            <wp:docPr id="131589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0184" cy="2031491"/>
                    </a:xfrm>
                    <a:prstGeom prst="rect">
                      <a:avLst/>
                    </a:prstGeom>
                    <a:noFill/>
                    <a:ln>
                      <a:noFill/>
                    </a:ln>
                  </pic:spPr>
                </pic:pic>
              </a:graphicData>
            </a:graphic>
          </wp:inline>
        </w:drawing>
      </w:r>
    </w:p>
    <w:p w14:paraId="59C11BA5" w14:textId="0352EA1A" w:rsidR="006E37B4" w:rsidRPr="006E37B4" w:rsidRDefault="006E37B4" w:rsidP="00B30AF4">
      <w:pPr>
        <w:jc w:val="center"/>
        <w:rPr>
          <w:rFonts w:ascii="Times New Roman" w:hAnsi="Times New Roman" w:cs="Times New Roman"/>
          <w:i/>
          <w:iCs/>
        </w:rPr>
      </w:pPr>
      <w:r w:rsidRPr="006E37B4">
        <w:rPr>
          <w:rFonts w:ascii="Times New Roman" w:hAnsi="Times New Roman" w:cs="Times New Roman"/>
          <w:i/>
          <w:iCs/>
        </w:rPr>
        <w:t xml:space="preserve">Figure </w:t>
      </w:r>
      <w:r w:rsidR="00D578E8">
        <w:rPr>
          <w:rFonts w:ascii="Times New Roman" w:hAnsi="Times New Roman" w:cs="Times New Roman"/>
          <w:i/>
          <w:iCs/>
        </w:rPr>
        <w:t>5</w:t>
      </w:r>
      <w:r w:rsidRPr="006E37B4">
        <w:rPr>
          <w:rFonts w:ascii="Times New Roman" w:hAnsi="Times New Roman" w:cs="Times New Roman"/>
          <w:i/>
          <w:iCs/>
        </w:rPr>
        <w:t>. Relationship between Liquid Limit and Plasticity Index.</w:t>
      </w:r>
    </w:p>
    <w:p w14:paraId="768DD475" w14:textId="65A80FE4"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The positive relationship between Liquid Limit and Plasticity Index </w:t>
      </w:r>
      <w:r w:rsidR="00D578E8" w:rsidRPr="00D578E8">
        <w:rPr>
          <w:rFonts w:ascii="Times New Roman" w:hAnsi="Times New Roman" w:cs="Times New Roman"/>
          <w:i/>
          <w:iCs/>
        </w:rPr>
        <w:t>(Figure 5)</w:t>
      </w:r>
      <w:r w:rsidR="00D578E8">
        <w:rPr>
          <w:rFonts w:ascii="Times New Roman" w:hAnsi="Times New Roman" w:cs="Times New Roman"/>
        </w:rPr>
        <w:t xml:space="preserve"> </w:t>
      </w:r>
      <w:r w:rsidRPr="00484334">
        <w:rPr>
          <w:rFonts w:ascii="Times New Roman" w:hAnsi="Times New Roman" w:cs="Times New Roman"/>
        </w:rPr>
        <w:t>demonstrates that increasing moisture-holding capacity is accompanied by increased plasticity. As the Liquid Limit increases from 24.60% to 43.20%, the Plasticity Index generally increases from 4.30% to 19.72%. This relationship confirms that moisture-sensitive soils are also highly plastic and therefore exhibit greater susceptibility to swelling, shrinkage, and differential settlement. Such behaviour significantly reduces pavement durability under repeated traffic loading.</w:t>
      </w:r>
    </w:p>
    <w:p w14:paraId="743D8E46"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4.3 Relationship Between Plasticity Index and California Bearing Ratio</w:t>
      </w:r>
    </w:p>
    <w:p w14:paraId="4A2FAFDE" w14:textId="77777777" w:rsidR="00B30AF4" w:rsidRDefault="00B30AF4" w:rsidP="00B30AF4">
      <w:pPr>
        <w:jc w:val="center"/>
        <w:rPr>
          <w:rFonts w:ascii="Times New Roman" w:hAnsi="Times New Roman" w:cs="Times New Roman"/>
        </w:rPr>
      </w:pPr>
      <w:r>
        <w:rPr>
          <w:noProof/>
        </w:rPr>
        <w:drawing>
          <wp:inline distT="0" distB="0" distL="0" distR="0" wp14:anchorId="12036875" wp14:editId="68EEED09">
            <wp:extent cx="3765550" cy="1905000"/>
            <wp:effectExtent l="0" t="0" r="6350" b="0"/>
            <wp:docPr id="1339173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0952" cy="1933028"/>
                    </a:xfrm>
                    <a:prstGeom prst="rect">
                      <a:avLst/>
                    </a:prstGeom>
                    <a:noFill/>
                    <a:ln>
                      <a:noFill/>
                    </a:ln>
                  </pic:spPr>
                </pic:pic>
              </a:graphicData>
            </a:graphic>
          </wp:inline>
        </w:drawing>
      </w:r>
    </w:p>
    <w:p w14:paraId="339FB146" w14:textId="27FA4F07" w:rsidR="006E37B4" w:rsidRPr="00B30AF4" w:rsidRDefault="006E37B4" w:rsidP="00B30AF4">
      <w:pPr>
        <w:jc w:val="center"/>
        <w:rPr>
          <w:rFonts w:ascii="Times New Roman" w:hAnsi="Times New Roman" w:cs="Times New Roman"/>
          <w:i/>
          <w:iCs/>
        </w:rPr>
      </w:pPr>
      <w:r w:rsidRPr="00B30AF4">
        <w:rPr>
          <w:rFonts w:ascii="Times New Roman" w:hAnsi="Times New Roman" w:cs="Times New Roman"/>
          <w:i/>
          <w:iCs/>
        </w:rPr>
        <w:t xml:space="preserve">Figure </w:t>
      </w:r>
      <w:r w:rsidR="00D578E8">
        <w:rPr>
          <w:rFonts w:ascii="Times New Roman" w:hAnsi="Times New Roman" w:cs="Times New Roman"/>
          <w:i/>
          <w:iCs/>
        </w:rPr>
        <w:t>6:</w:t>
      </w:r>
      <w:r w:rsidRPr="00B30AF4">
        <w:rPr>
          <w:rFonts w:ascii="Times New Roman" w:hAnsi="Times New Roman" w:cs="Times New Roman"/>
          <w:i/>
          <w:iCs/>
        </w:rPr>
        <w:t xml:space="preserve"> Relationship between Plasticity Index and Soaked California Bearing Ratio.</w:t>
      </w:r>
    </w:p>
    <w:p w14:paraId="01369614" w14:textId="65E19D2C" w:rsidR="00484334" w:rsidRPr="00484334" w:rsidRDefault="00D578E8" w:rsidP="006E37B4">
      <w:pPr>
        <w:jc w:val="both"/>
        <w:rPr>
          <w:rFonts w:ascii="Times New Roman" w:hAnsi="Times New Roman" w:cs="Times New Roman"/>
        </w:rPr>
      </w:pPr>
      <w:r w:rsidRPr="00D578E8">
        <w:rPr>
          <w:rFonts w:ascii="Times New Roman" w:hAnsi="Times New Roman" w:cs="Times New Roman"/>
        </w:rPr>
        <w:lastRenderedPageBreak/>
        <w:t xml:space="preserve">Figure 6 </w:t>
      </w:r>
      <w:r w:rsidR="00484334" w:rsidRPr="00484334">
        <w:rPr>
          <w:rFonts w:ascii="Times New Roman" w:hAnsi="Times New Roman" w:cs="Times New Roman"/>
        </w:rPr>
        <w:t>demonstrates a strong inverse correlation between Plasticity Index and soaked California Bearing Ratio. Samples with low plasticity, such as Jn3b (PI = 4.30%), exhibit the highest soaked CBR (76%), whereas highly plastic soils such as Jn3a (PI = 19.72%) possess very low CBR (16%). This trend confirms that increasing plasticity reduces soil strength because clay particles absorb more water, weaken particle contacts, and reduce resistance to penetration.</w:t>
      </w:r>
      <w:r w:rsidR="006E37B4">
        <w:rPr>
          <w:rFonts w:ascii="Times New Roman" w:hAnsi="Times New Roman" w:cs="Times New Roman"/>
        </w:rPr>
        <w:t xml:space="preserve"> </w:t>
      </w:r>
      <w:r w:rsidR="00484334" w:rsidRPr="00484334">
        <w:rPr>
          <w:rFonts w:ascii="Times New Roman" w:hAnsi="Times New Roman" w:cs="Times New Roman"/>
        </w:rPr>
        <w:t xml:space="preserve">The inverse relationship </w:t>
      </w:r>
      <w:r w:rsidR="006E37B4">
        <w:rPr>
          <w:rFonts w:ascii="Times New Roman" w:hAnsi="Times New Roman" w:cs="Times New Roman"/>
        </w:rPr>
        <w:t>(</w:t>
      </w:r>
      <w:r w:rsidR="006E37B4" w:rsidRPr="006E37B4">
        <w:rPr>
          <w:rFonts w:ascii="Times New Roman" w:hAnsi="Times New Roman" w:cs="Times New Roman"/>
          <w:i/>
          <w:iCs/>
        </w:rPr>
        <w:t>Figure 4</w:t>
      </w:r>
      <w:r w:rsidR="006E37B4">
        <w:rPr>
          <w:rFonts w:ascii="Times New Roman" w:hAnsi="Times New Roman" w:cs="Times New Roman"/>
        </w:rPr>
        <w:t xml:space="preserve">) </w:t>
      </w:r>
      <w:r w:rsidR="00484334" w:rsidRPr="00484334">
        <w:rPr>
          <w:rFonts w:ascii="Times New Roman" w:hAnsi="Times New Roman" w:cs="Times New Roman"/>
        </w:rPr>
        <w:t>indicates that Plasticity Index may serve as a rapid engineering indicator for estimating subgrade bearing capacity where CBR testing is unavailable.</w:t>
      </w:r>
    </w:p>
    <w:p w14:paraId="6BBDDEE8" w14:textId="6F038DAF" w:rsidR="00484334" w:rsidRPr="00484334" w:rsidRDefault="00484334" w:rsidP="00484334">
      <w:pPr>
        <w:rPr>
          <w:rFonts w:ascii="Times New Roman" w:hAnsi="Times New Roman" w:cs="Times New Roman"/>
        </w:rPr>
      </w:pPr>
      <w:r w:rsidRPr="00484334">
        <w:rPr>
          <w:rFonts w:ascii="Times New Roman" w:hAnsi="Times New Roman" w:cs="Times New Roman"/>
        </w:rPr>
        <w:t>4.4 Relationship Between Fines Content and California Bearing Ratio</w:t>
      </w:r>
    </w:p>
    <w:p w14:paraId="103FB060" w14:textId="77777777" w:rsidR="00B30AF4" w:rsidRDefault="00B30AF4" w:rsidP="00B30AF4">
      <w:pPr>
        <w:jc w:val="center"/>
        <w:rPr>
          <w:rFonts w:ascii="Times New Roman" w:hAnsi="Times New Roman" w:cs="Times New Roman"/>
          <w:i/>
          <w:iCs/>
        </w:rPr>
      </w:pPr>
      <w:r>
        <w:rPr>
          <w:noProof/>
        </w:rPr>
        <w:drawing>
          <wp:inline distT="0" distB="0" distL="0" distR="0" wp14:anchorId="2FBE56E1" wp14:editId="521774F6">
            <wp:extent cx="3911600" cy="2489200"/>
            <wp:effectExtent l="0" t="0" r="0" b="6350"/>
            <wp:docPr id="1810011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5101" cy="2504155"/>
                    </a:xfrm>
                    <a:prstGeom prst="rect">
                      <a:avLst/>
                    </a:prstGeom>
                    <a:noFill/>
                    <a:ln>
                      <a:noFill/>
                    </a:ln>
                  </pic:spPr>
                </pic:pic>
              </a:graphicData>
            </a:graphic>
          </wp:inline>
        </w:drawing>
      </w:r>
    </w:p>
    <w:p w14:paraId="3248813B" w14:textId="0762F311" w:rsidR="006E37B4" w:rsidRPr="006E37B4" w:rsidRDefault="006E37B4" w:rsidP="00B30AF4">
      <w:pPr>
        <w:jc w:val="center"/>
        <w:rPr>
          <w:rFonts w:ascii="Times New Roman" w:hAnsi="Times New Roman" w:cs="Times New Roman"/>
          <w:i/>
          <w:iCs/>
        </w:rPr>
      </w:pPr>
      <w:r w:rsidRPr="006E37B4">
        <w:rPr>
          <w:rFonts w:ascii="Times New Roman" w:hAnsi="Times New Roman" w:cs="Times New Roman"/>
          <w:i/>
          <w:iCs/>
        </w:rPr>
        <w:t xml:space="preserve">Figure </w:t>
      </w:r>
      <w:r w:rsidR="00D578E8">
        <w:rPr>
          <w:rFonts w:ascii="Times New Roman" w:hAnsi="Times New Roman" w:cs="Times New Roman"/>
          <w:i/>
          <w:iCs/>
        </w:rPr>
        <w:t>7</w:t>
      </w:r>
      <w:r w:rsidRPr="006E37B4">
        <w:rPr>
          <w:rFonts w:ascii="Times New Roman" w:hAnsi="Times New Roman" w:cs="Times New Roman"/>
          <w:i/>
          <w:iCs/>
        </w:rPr>
        <w:t>. Relationship between Fines Content and Soaked California Bearing Ratio.</w:t>
      </w:r>
    </w:p>
    <w:p w14:paraId="7AF6C7CE" w14:textId="5BED71A5"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The relationship between fines content and soaked CBR </w:t>
      </w:r>
      <w:r w:rsidR="006E37B4">
        <w:rPr>
          <w:rFonts w:ascii="Times New Roman" w:hAnsi="Times New Roman" w:cs="Times New Roman"/>
        </w:rPr>
        <w:t>(</w:t>
      </w:r>
      <w:r w:rsidR="006E37B4" w:rsidRPr="006E37B4">
        <w:rPr>
          <w:rFonts w:ascii="Times New Roman" w:hAnsi="Times New Roman" w:cs="Times New Roman"/>
          <w:i/>
          <w:iCs/>
        </w:rPr>
        <w:t xml:space="preserve">Figure </w:t>
      </w:r>
      <w:r w:rsidR="00D578E8">
        <w:rPr>
          <w:rFonts w:ascii="Times New Roman" w:hAnsi="Times New Roman" w:cs="Times New Roman"/>
          <w:i/>
          <w:iCs/>
        </w:rPr>
        <w:t>7</w:t>
      </w:r>
      <w:r w:rsidR="006E37B4">
        <w:rPr>
          <w:rFonts w:ascii="Times New Roman" w:hAnsi="Times New Roman" w:cs="Times New Roman"/>
        </w:rPr>
        <w:t xml:space="preserve">) </w:t>
      </w:r>
      <w:r w:rsidRPr="00484334">
        <w:rPr>
          <w:rFonts w:ascii="Times New Roman" w:hAnsi="Times New Roman" w:cs="Times New Roman"/>
        </w:rPr>
        <w:t>shows a pronounced negative trend. Samples containing 50.30% fines exhibit soaked CBR values of approximately 74%, whereas soils containing 71.70% fines possess CBR values as low as 18%. The increase in fines results in greater water absorption, reduced permeability, higher pore-water pressure, and weaker particle interlocking.</w:t>
      </w:r>
      <w:r w:rsidR="006E37B4">
        <w:rPr>
          <w:rFonts w:ascii="Times New Roman" w:hAnsi="Times New Roman" w:cs="Times New Roman"/>
        </w:rPr>
        <w:t xml:space="preserve"> </w:t>
      </w:r>
      <w:r w:rsidRPr="00484334">
        <w:rPr>
          <w:rFonts w:ascii="Times New Roman" w:hAnsi="Times New Roman" w:cs="Times New Roman"/>
        </w:rPr>
        <w:t>These observations demonstrate that excessive fines constitute one of the principal causes of pavement deterioration along the Emure–Oba Highway. Consequently, reducing the percentage of fines through blending or stabilization would significantly improve pavement performance and increase service life.</w:t>
      </w:r>
    </w:p>
    <w:p w14:paraId="419F5E57"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4.5 Engineering Implications of the Geotechnical Properties</w:t>
      </w:r>
    </w:p>
    <w:p w14:paraId="4A46F781" w14:textId="77923AE4"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engineering behaviour of the lateritic subgrade soils along the Emure–Oba Highway is primarily governed by the interaction among plasticity, fines content, compaction characteristics, and bearing capacity. These parameters collectively determine the ability of the subgrade to withstand repeated traffic loading under varying environmental conditions.</w:t>
      </w:r>
      <w:r w:rsidR="006E37B4">
        <w:rPr>
          <w:rFonts w:ascii="Times New Roman" w:hAnsi="Times New Roman" w:cs="Times New Roman"/>
        </w:rPr>
        <w:t xml:space="preserve"> </w:t>
      </w:r>
      <w:r w:rsidRPr="00484334">
        <w:rPr>
          <w:rFonts w:ascii="Times New Roman" w:hAnsi="Times New Roman" w:cs="Times New Roman"/>
        </w:rPr>
        <w:t xml:space="preserve">The liquid limit values ranging from 24.60% to 43.20% indicate that the soils exhibit low to moderately high compressibility. Samples Jn3a (42.20%) and Jn6a (43.20%) possess comparatively higher liquid limits and therefore retain larger quantities of moisture during the rainy season. The retained </w:t>
      </w:r>
      <w:r w:rsidRPr="00484334">
        <w:rPr>
          <w:rFonts w:ascii="Times New Roman" w:hAnsi="Times New Roman" w:cs="Times New Roman"/>
        </w:rPr>
        <w:lastRenderedPageBreak/>
        <w:t>moisture softens the soil matrix, reduces effective stress, and accelerates pavement deformation. Conversely, Jn3b (24.60%) exhibits lower compressibility and provides a more competent foundation for pavement support.</w:t>
      </w:r>
      <w:r w:rsidR="006E37B4">
        <w:rPr>
          <w:rFonts w:ascii="Times New Roman" w:hAnsi="Times New Roman" w:cs="Times New Roman"/>
        </w:rPr>
        <w:t xml:space="preserve"> </w:t>
      </w:r>
      <w:r w:rsidRPr="00484334">
        <w:rPr>
          <w:rFonts w:ascii="Times New Roman" w:hAnsi="Times New Roman" w:cs="Times New Roman"/>
        </w:rPr>
        <w:t>Plasticity Index remains one of the most reliable indicators of engineering behaviour. The increase in PI from 4.30% to 19.72% corresponds to a marked reduction in soaked CBR from 76% to 16%. This relationship confirms that highly plastic soils are more susceptible to shrinkage, swelling, and long-term deformation. During prolonged rainfall, clay particles absorb water and expand, while subsequent drying produces shrinkage cracks that facilitate further infiltration and progressive pavement deterioration.</w:t>
      </w:r>
    </w:p>
    <w:p w14:paraId="3C9CC61B" w14:textId="6293055B"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percentage of fines exerts considerable influence on drainage characteristics. Samples containing more than 60% fines, such as Jn3a (62.60%), Jn6a (60.80%), Op5 (71.70%), and Op8 (63.80%), exhibit relatively low permeability and prolonged moisture retention. Water trapped within the subgrade increases pore-water pressure and reduces shear strength under repeated wheel loads. Consequently, these soils are associated with rutting, pumping, and differential settlement.</w:t>
      </w:r>
      <w:r w:rsidR="006E37B4">
        <w:rPr>
          <w:rFonts w:ascii="Times New Roman" w:hAnsi="Times New Roman" w:cs="Times New Roman"/>
        </w:rPr>
        <w:t xml:space="preserve"> </w:t>
      </w:r>
      <w:r w:rsidRPr="00484334">
        <w:rPr>
          <w:rFonts w:ascii="Times New Roman" w:hAnsi="Times New Roman" w:cs="Times New Roman"/>
        </w:rPr>
        <w:t>Compaction characteristics further distinguish stable and unstable pavement sections. The relatively high Maximum Dry Density values of 2185 kg/m³ at Jn3b and 2170 kg/m³ at Jn6b indicate excellent particle packing and strong interparticle contact. In contrast, samples exhibiting Maximum Dry Density values below 1950 kg/m³ possess weaker soil structures and lower resistance to deformation. The corresponding Optimum Moisture Content values indicate that weak soils require greater quantities of water before achieving maximum compaction, thereby increasing construction difficulties during field operations.</w:t>
      </w:r>
    </w:p>
    <w:p w14:paraId="7FEB8BBA" w14:textId="3B146BE4"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soaked California Bearing Ratio provides the clearest indication of engineering suitability. Samples possessing CBR values exceeding 70% exhibit excellent load-bearing capacity and are suitable for highway subgrade support with minimal treatment. Conversely, soils exhibiting soaked CBR values below 20% require stabilization using lime, cement, fly ash, or other chemical additives before incorporation into pavement structures.</w:t>
      </w:r>
      <w:r w:rsidR="006E37B4">
        <w:rPr>
          <w:rFonts w:ascii="Times New Roman" w:hAnsi="Times New Roman" w:cs="Times New Roman"/>
        </w:rPr>
        <w:t xml:space="preserve"> T</w:t>
      </w:r>
      <w:r w:rsidRPr="00484334">
        <w:rPr>
          <w:rFonts w:ascii="Times New Roman" w:hAnsi="Times New Roman" w:cs="Times New Roman"/>
        </w:rPr>
        <w:t>he engineering performance of the highway is controlled by the combined effects of moisture sensitivity, clay content, particle size distribution, density, and bearing capacity rather than by any single geotechnical parameter.</w:t>
      </w:r>
    </w:p>
    <w:p w14:paraId="122BA072"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4.6 Implications for Highway Design and Construction</w:t>
      </w:r>
    </w:p>
    <w:p w14:paraId="39BDE840" w14:textId="637C805D"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results of this investigation have important implications for pavement design within tropical Basement Complex terrains. Conventional highway investigations frequently rely on a limited number of geotechnical tests performed at widely spaced intervals. The present study demonstrates that substantial spatial variation exists over relatively short distances due to differences in lithology, weathering intensity, drainage conditions, and residual soil development.</w:t>
      </w:r>
      <w:r w:rsidR="006E37B4">
        <w:rPr>
          <w:rFonts w:ascii="Times New Roman" w:hAnsi="Times New Roman" w:cs="Times New Roman"/>
        </w:rPr>
        <w:t xml:space="preserve"> </w:t>
      </w:r>
      <w:r w:rsidRPr="00484334">
        <w:rPr>
          <w:rFonts w:ascii="Times New Roman" w:hAnsi="Times New Roman" w:cs="Times New Roman"/>
        </w:rPr>
        <w:t>The observed variations indicate that pavement design should be preceded by detailed engineering geological investigations incorporating closely spaced sampling and comprehensive laboratory testing. Subgrade soils exhibiting high plasticity, excessive fines, low Maximum Dry Density, and low soaked California Bearing Ratio should be improved before construction through appropriate stabilization techniques.</w:t>
      </w:r>
    </w:p>
    <w:p w14:paraId="69F8D22C" w14:textId="77ED2EA7" w:rsidR="00484334" w:rsidRPr="00484334" w:rsidRDefault="00484334" w:rsidP="006E37B4">
      <w:pPr>
        <w:jc w:val="both"/>
        <w:rPr>
          <w:rFonts w:ascii="Times New Roman" w:hAnsi="Times New Roman" w:cs="Times New Roman"/>
        </w:rPr>
      </w:pPr>
      <w:r w:rsidRPr="00484334">
        <w:rPr>
          <w:rFonts w:ascii="Times New Roman" w:hAnsi="Times New Roman" w:cs="Times New Roman"/>
        </w:rPr>
        <w:lastRenderedPageBreak/>
        <w:t>Improved drainage systems are equally important because prolonged saturation significantly reduces soil strength. Proper side drains, subsoil drainage, and adequate cross-fall should therefore accompany stabilization measures to minimize water infiltration into the pavement structure.</w:t>
      </w:r>
      <w:r w:rsidR="006E37B4">
        <w:rPr>
          <w:rFonts w:ascii="Times New Roman" w:hAnsi="Times New Roman" w:cs="Times New Roman"/>
        </w:rPr>
        <w:t xml:space="preserve"> </w:t>
      </w:r>
      <w:r w:rsidRPr="00484334">
        <w:rPr>
          <w:rFonts w:ascii="Times New Roman" w:hAnsi="Times New Roman" w:cs="Times New Roman"/>
        </w:rPr>
        <w:t>The engineering geological approach adopted in this study provides a more reliable basis for pavement design than conventional classification methods alone because it integrates soil genesis, weathering characteristics, and engineering behaviour into a unified assessment of subgrade performance.</w:t>
      </w:r>
    </w:p>
    <w:p w14:paraId="6B1B6BCB" w14:textId="77777777" w:rsidR="00484334" w:rsidRPr="00484334" w:rsidRDefault="00484334" w:rsidP="00484334">
      <w:pPr>
        <w:rPr>
          <w:rFonts w:ascii="Times New Roman" w:hAnsi="Times New Roman" w:cs="Times New Roman"/>
        </w:rPr>
      </w:pPr>
      <w:r w:rsidRPr="00484334">
        <w:rPr>
          <w:rFonts w:ascii="Times New Roman" w:hAnsi="Times New Roman" w:cs="Times New Roman"/>
        </w:rPr>
        <w:t>5. Conclusions</w:t>
      </w:r>
    </w:p>
    <w:p w14:paraId="16034209"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This study demonstrates that the engineering performance of the Emure–Oba Highway is fundamentally controlled by the geotechnical characteristics of the underlying lateritic subgrade soils developed over the Precambrian Basement Complex of Southwestern Nigeria.</w:t>
      </w:r>
    </w:p>
    <w:p w14:paraId="789B4237" w14:textId="5ACBB1D9"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laboratory results reveal considerable variation in engineering properties along the highway. Liquid limit ranges between 24.60% and 43.20%, while Plasticity Index varies from 4.30% to 19.72%. The highest plasticity values occur within failed pavement sections, indicating increased moisture sensitivity and greater susceptibility to shrink–swell deformation. Stable pavement sections exhibit lower plasticity and improved engineering competence.</w:t>
      </w:r>
      <w:r w:rsidR="006E37B4">
        <w:rPr>
          <w:rFonts w:ascii="Times New Roman" w:hAnsi="Times New Roman" w:cs="Times New Roman"/>
        </w:rPr>
        <w:t xml:space="preserve"> </w:t>
      </w:r>
      <w:r w:rsidRPr="00484334">
        <w:rPr>
          <w:rFonts w:ascii="Times New Roman" w:hAnsi="Times New Roman" w:cs="Times New Roman"/>
        </w:rPr>
        <w:t>The percentage of fines varies from 50.30% to 71.70%, demonstrating significant differences in particle size distribution. High fines contents reduce permeability, promote water retention, and contribute to progressive weakening of the pavement foundation. These soils consistently exhibit lower California Bearing Ratio values and greater deformation potential.</w:t>
      </w:r>
      <w:r w:rsidR="006E37B4">
        <w:rPr>
          <w:rFonts w:ascii="Times New Roman" w:hAnsi="Times New Roman" w:cs="Times New Roman"/>
        </w:rPr>
        <w:t xml:space="preserve"> </w:t>
      </w:r>
      <w:r w:rsidRPr="00484334">
        <w:rPr>
          <w:rFonts w:ascii="Times New Roman" w:hAnsi="Times New Roman" w:cs="Times New Roman"/>
        </w:rPr>
        <w:t>Maximum Dry Density ranges from 1903 kg/m³ to 2185 kg/m³, whereas soaked California Bearing Ratio varies from 14% to 76%. Stable pavement sections are characterized by higher density and substantially greater bearing capacity, confirming the importance of adequate compaction during construction.</w:t>
      </w:r>
    </w:p>
    <w:p w14:paraId="2616920D" w14:textId="74A04F94" w:rsidR="00484334" w:rsidRPr="00484334" w:rsidRDefault="00484334" w:rsidP="006E37B4">
      <w:pPr>
        <w:jc w:val="both"/>
        <w:rPr>
          <w:rFonts w:ascii="Times New Roman" w:hAnsi="Times New Roman" w:cs="Times New Roman"/>
        </w:rPr>
      </w:pPr>
      <w:r w:rsidRPr="00484334">
        <w:rPr>
          <w:rFonts w:ascii="Times New Roman" w:hAnsi="Times New Roman" w:cs="Times New Roman"/>
        </w:rPr>
        <w:t>The relationships developed between Plasticity Index and California Bearing Ratio, and between fines content and California Bearing Ratio, demonstrate strong inverse correlations. Increasing plasticity and increasing fines both reduce the engineering quality of the subgrade. These parameters therefore provide reliable indicators for predicting pavement performance in tropical lateritic environments.</w:t>
      </w:r>
      <w:r w:rsidR="006E37B4">
        <w:rPr>
          <w:rFonts w:ascii="Times New Roman" w:hAnsi="Times New Roman" w:cs="Times New Roman"/>
        </w:rPr>
        <w:t xml:space="preserve"> </w:t>
      </w:r>
      <w:r w:rsidRPr="00484334">
        <w:rPr>
          <w:rFonts w:ascii="Times New Roman" w:hAnsi="Times New Roman" w:cs="Times New Roman"/>
        </w:rPr>
        <w:t>The study concludes that successful pavement construction within Basement Complex terrains requires detailed geotechnical characterization, proper drainage design, careful moisture control during compaction, and stabilization of weak subgrade materials before construction. Integrating these measures into highway design will significantly improve pavement durability and reduce maintenance costs.</w:t>
      </w:r>
    </w:p>
    <w:p w14:paraId="4AA72C34" w14:textId="77777777" w:rsidR="00484334" w:rsidRPr="006E5E9E" w:rsidRDefault="00484334" w:rsidP="00484334">
      <w:pPr>
        <w:rPr>
          <w:rFonts w:ascii="Times New Roman" w:hAnsi="Times New Roman" w:cs="Times New Roman"/>
          <w:b/>
          <w:bCs/>
        </w:rPr>
      </w:pPr>
      <w:r w:rsidRPr="006E5E9E">
        <w:rPr>
          <w:rFonts w:ascii="Times New Roman" w:hAnsi="Times New Roman" w:cs="Times New Roman"/>
          <w:b/>
          <w:bCs/>
        </w:rPr>
        <w:t>References</w:t>
      </w:r>
    </w:p>
    <w:p w14:paraId="0A57A4B4"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ASTM International. (2022). </w:t>
      </w:r>
      <w:r w:rsidRPr="00484334">
        <w:rPr>
          <w:rFonts w:ascii="Times New Roman" w:hAnsi="Times New Roman" w:cs="Times New Roman"/>
          <w:i/>
          <w:iCs/>
        </w:rPr>
        <w:t>Annual Book of ASTM Standards</w:t>
      </w:r>
      <w:r w:rsidRPr="00484334">
        <w:rPr>
          <w:rFonts w:ascii="Times New Roman" w:hAnsi="Times New Roman" w:cs="Times New Roman"/>
        </w:rPr>
        <w:t>. Volumes 04.08 and 04.09. West Conshohocken, Pennsylvania.</w:t>
      </w:r>
    </w:p>
    <w:p w14:paraId="5F5650C0"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AASHTO. (2020). </w:t>
      </w:r>
      <w:r w:rsidRPr="00484334">
        <w:rPr>
          <w:rFonts w:ascii="Times New Roman" w:hAnsi="Times New Roman" w:cs="Times New Roman"/>
          <w:i/>
          <w:iCs/>
        </w:rPr>
        <w:t>Standard Specifications for Transportation Materials and Methods of Sampling and Testing</w:t>
      </w:r>
      <w:r w:rsidRPr="00484334">
        <w:rPr>
          <w:rFonts w:ascii="Times New Roman" w:hAnsi="Times New Roman" w:cs="Times New Roman"/>
        </w:rPr>
        <w:t>. Washington, DC.</w:t>
      </w:r>
    </w:p>
    <w:p w14:paraId="0D64BAE8"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lastRenderedPageBreak/>
        <w:t xml:space="preserve">Ademila, O. (2018). Engineering geological evaluation of residual lateritic soils for road construction in southwestern Nigeria. </w:t>
      </w:r>
      <w:r w:rsidRPr="00484334">
        <w:rPr>
          <w:rFonts w:ascii="Times New Roman" w:hAnsi="Times New Roman" w:cs="Times New Roman"/>
          <w:i/>
          <w:iCs/>
        </w:rPr>
        <w:t>Environmental Earth Sciences</w:t>
      </w:r>
      <w:r w:rsidRPr="00484334">
        <w:rPr>
          <w:rFonts w:ascii="Times New Roman" w:hAnsi="Times New Roman" w:cs="Times New Roman"/>
        </w:rPr>
        <w:t>, 77(18), 646.</w:t>
      </w:r>
    </w:p>
    <w:p w14:paraId="6C6311FF"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Adekunle, T. A., Adebayo, O. O., &amp; Olatunji, A. S. (2024). Engineering characterization of lateritic subgrade soils for flexible pavement construction in southwestern Nigeria. </w:t>
      </w:r>
      <w:r w:rsidRPr="00484334">
        <w:rPr>
          <w:rFonts w:ascii="Times New Roman" w:hAnsi="Times New Roman" w:cs="Times New Roman"/>
          <w:i/>
          <w:iCs/>
        </w:rPr>
        <w:t>Bulletin of Engineering Geology and the Environment</w:t>
      </w:r>
      <w:r w:rsidRPr="00484334">
        <w:rPr>
          <w:rFonts w:ascii="Times New Roman" w:hAnsi="Times New Roman" w:cs="Times New Roman"/>
        </w:rPr>
        <w:t>, 83, 118.</w:t>
      </w:r>
    </w:p>
    <w:p w14:paraId="2FB65AED"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Bowles, J. E. (1992). </w:t>
      </w:r>
      <w:r w:rsidRPr="00484334">
        <w:rPr>
          <w:rFonts w:ascii="Times New Roman" w:hAnsi="Times New Roman" w:cs="Times New Roman"/>
          <w:i/>
          <w:iCs/>
        </w:rPr>
        <w:t>Engineering Properties of Soils and Their Measurement</w:t>
      </w:r>
      <w:r w:rsidRPr="00484334">
        <w:rPr>
          <w:rFonts w:ascii="Times New Roman" w:hAnsi="Times New Roman" w:cs="Times New Roman"/>
        </w:rPr>
        <w:t xml:space="preserve"> (4th ed.). McGraw-Hill.</w:t>
      </w:r>
    </w:p>
    <w:p w14:paraId="01CAF02C"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Das, B. M., &amp; Sobhan, K. (2018). </w:t>
      </w:r>
      <w:r w:rsidRPr="00484334">
        <w:rPr>
          <w:rFonts w:ascii="Times New Roman" w:hAnsi="Times New Roman" w:cs="Times New Roman"/>
          <w:i/>
          <w:iCs/>
        </w:rPr>
        <w:t>Principles of Geotechnical Engineering</w:t>
      </w:r>
      <w:r w:rsidRPr="00484334">
        <w:rPr>
          <w:rFonts w:ascii="Times New Roman" w:hAnsi="Times New Roman" w:cs="Times New Roman"/>
        </w:rPr>
        <w:t xml:space="preserve"> (9th ed.). Cengage Learning.</w:t>
      </w:r>
    </w:p>
    <w:p w14:paraId="616C72B1"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Elueze, A. A. (1986). Petrology and gold mineralization of the Precambrian rocks of Nigeria. </w:t>
      </w:r>
      <w:r w:rsidRPr="00484334">
        <w:rPr>
          <w:rFonts w:ascii="Times New Roman" w:hAnsi="Times New Roman" w:cs="Times New Roman"/>
          <w:i/>
          <w:iCs/>
        </w:rPr>
        <w:t>Journal of African Earth Sciences</w:t>
      </w:r>
      <w:r w:rsidRPr="00484334">
        <w:rPr>
          <w:rFonts w:ascii="Times New Roman" w:hAnsi="Times New Roman" w:cs="Times New Roman"/>
        </w:rPr>
        <w:t>, 5(2), 191–198.</w:t>
      </w:r>
    </w:p>
    <w:p w14:paraId="1878DEAD"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Mitchell, J. K., &amp; Soga, K. (2005). </w:t>
      </w:r>
      <w:r w:rsidRPr="00484334">
        <w:rPr>
          <w:rFonts w:ascii="Times New Roman" w:hAnsi="Times New Roman" w:cs="Times New Roman"/>
          <w:i/>
          <w:iCs/>
        </w:rPr>
        <w:t>Fundamentals of Soil Behavior</w:t>
      </w:r>
      <w:r w:rsidRPr="00484334">
        <w:rPr>
          <w:rFonts w:ascii="Times New Roman" w:hAnsi="Times New Roman" w:cs="Times New Roman"/>
        </w:rPr>
        <w:t xml:space="preserve"> (3rd ed.). John Wiley &amp; Sons.</w:t>
      </w:r>
    </w:p>
    <w:p w14:paraId="70034C51" w14:textId="15A8C764" w:rsidR="00484334" w:rsidRPr="00484334" w:rsidRDefault="00484334" w:rsidP="00484334">
      <w:pPr>
        <w:rPr>
          <w:rFonts w:ascii="Times New Roman" w:hAnsi="Times New Roman" w:cs="Times New Roman"/>
        </w:rPr>
      </w:pPr>
      <w:r w:rsidRPr="001641E1">
        <w:rPr>
          <w:rFonts w:ascii="Times New Roman" w:hAnsi="Times New Roman" w:cs="Times New Roman"/>
        </w:rPr>
        <w:t xml:space="preserve">Obaje, N. G. (2009). </w:t>
      </w:r>
      <w:r w:rsidRPr="001641E1">
        <w:rPr>
          <w:rFonts w:ascii="Times New Roman" w:hAnsi="Times New Roman" w:cs="Times New Roman"/>
          <w:i/>
          <w:iCs/>
        </w:rPr>
        <w:t>Geology and Mineral Resources of Nigeria</w:t>
      </w:r>
      <w:r w:rsidR="001641E1" w:rsidRPr="001641E1">
        <w:rPr>
          <w:rFonts w:ascii="Times New Roman" w:hAnsi="Times New Roman" w:cs="Times New Roman"/>
          <w:i/>
          <w:iCs/>
        </w:rPr>
        <w:t xml:space="preserve"> lecture notes</w:t>
      </w:r>
      <w:r w:rsidRPr="001641E1">
        <w:rPr>
          <w:rFonts w:ascii="Times New Roman" w:hAnsi="Times New Roman" w:cs="Times New Roman"/>
        </w:rPr>
        <w:t>.</w:t>
      </w:r>
      <w:r w:rsidR="00D578E8" w:rsidRPr="001641E1">
        <w:rPr>
          <w:rFonts w:ascii="Times New Roman" w:hAnsi="Times New Roman" w:cs="Times New Roman"/>
        </w:rPr>
        <w:t xml:space="preserve"> </w:t>
      </w:r>
      <w:r w:rsidRPr="001641E1">
        <w:rPr>
          <w:rFonts w:ascii="Times New Roman" w:hAnsi="Times New Roman" w:cs="Times New Roman"/>
        </w:rPr>
        <w:t>Springer</w:t>
      </w:r>
      <w:r w:rsidR="001641E1" w:rsidRPr="001641E1">
        <w:rPr>
          <w:rFonts w:ascii="Times New Roman" w:hAnsi="Times New Roman" w:cs="Times New Roman"/>
        </w:rPr>
        <w:t>-Verlag Vol. 20:</w:t>
      </w:r>
      <w:r w:rsidR="001641E1">
        <w:rPr>
          <w:rFonts w:ascii="Times New Roman" w:hAnsi="Times New Roman" w:cs="Times New Roman"/>
        </w:rPr>
        <w:t xml:space="preserve"> </w:t>
      </w:r>
      <w:r w:rsidR="001641E1" w:rsidRPr="001641E1">
        <w:rPr>
          <w:rFonts w:ascii="Times New Roman" w:hAnsi="Times New Roman" w:cs="Times New Roman"/>
        </w:rPr>
        <w:t>https://doi.org/10.1007/978-3-540-92685-6</w:t>
      </w:r>
    </w:p>
    <w:p w14:paraId="4993A57A"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Ola, S. A. (1983). Geotechnical properties and behaviour of some Nigerian lateritic soils. In </w:t>
      </w:r>
      <w:r w:rsidRPr="00484334">
        <w:rPr>
          <w:rFonts w:ascii="Times New Roman" w:hAnsi="Times New Roman" w:cs="Times New Roman"/>
          <w:i/>
          <w:iCs/>
        </w:rPr>
        <w:t>Tropical Soils of Nigeria in Engineering Practice</w:t>
      </w:r>
      <w:r w:rsidRPr="00484334">
        <w:rPr>
          <w:rFonts w:ascii="Times New Roman" w:hAnsi="Times New Roman" w:cs="Times New Roman"/>
        </w:rPr>
        <w:t>. A. A. Balkema, Rotterdam, pp. 61–84.</w:t>
      </w:r>
    </w:p>
    <w:p w14:paraId="40402272"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Olorunfemi, M. O., &amp; Fasuyi, S. A. (2020). Engineering geological factors controlling highway pavement failure in crystalline basement terrains of southwestern Nigeria. </w:t>
      </w:r>
      <w:r w:rsidRPr="00484334">
        <w:rPr>
          <w:rFonts w:ascii="Times New Roman" w:hAnsi="Times New Roman" w:cs="Times New Roman"/>
          <w:i/>
          <w:iCs/>
        </w:rPr>
        <w:t>Journal of African Earth Sciences</w:t>
      </w:r>
      <w:r w:rsidRPr="00484334">
        <w:rPr>
          <w:rFonts w:ascii="Times New Roman" w:hAnsi="Times New Roman" w:cs="Times New Roman"/>
        </w:rPr>
        <w:t>, 168, 103883.</w:t>
      </w:r>
    </w:p>
    <w:p w14:paraId="7776432E"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Oyawoye, M. O. (1964). The geology of the Nigerian Basement Complex. </w:t>
      </w:r>
      <w:r w:rsidRPr="00484334">
        <w:rPr>
          <w:rFonts w:ascii="Times New Roman" w:hAnsi="Times New Roman" w:cs="Times New Roman"/>
          <w:i/>
          <w:iCs/>
        </w:rPr>
        <w:t>Journal of Mining and Geology</w:t>
      </w:r>
      <w:r w:rsidRPr="00484334">
        <w:rPr>
          <w:rFonts w:ascii="Times New Roman" w:hAnsi="Times New Roman" w:cs="Times New Roman"/>
        </w:rPr>
        <w:t>, 1(1), 87–102.</w:t>
      </w:r>
    </w:p>
    <w:p w14:paraId="0EFC3EC4" w14:textId="77777777" w:rsidR="00484334" w:rsidRPr="00484334" w:rsidRDefault="00484334" w:rsidP="006E37B4">
      <w:pPr>
        <w:jc w:val="both"/>
        <w:rPr>
          <w:rFonts w:ascii="Times New Roman" w:hAnsi="Times New Roman" w:cs="Times New Roman"/>
        </w:rPr>
      </w:pPr>
      <w:r w:rsidRPr="00484334">
        <w:rPr>
          <w:rFonts w:ascii="Times New Roman" w:hAnsi="Times New Roman" w:cs="Times New Roman"/>
        </w:rPr>
        <w:t xml:space="preserve">Rahaman, M. A. (1988). Recent advances in the study of the Basement Complex of Nigeria. In </w:t>
      </w:r>
      <w:r w:rsidRPr="00484334">
        <w:rPr>
          <w:rFonts w:ascii="Times New Roman" w:hAnsi="Times New Roman" w:cs="Times New Roman"/>
          <w:i/>
          <w:iCs/>
        </w:rPr>
        <w:t>Precambrian Geology of Nigeria</w:t>
      </w:r>
      <w:r w:rsidRPr="00484334">
        <w:rPr>
          <w:rFonts w:ascii="Times New Roman" w:hAnsi="Times New Roman" w:cs="Times New Roman"/>
        </w:rPr>
        <w:t>. Geological Survey of Nigeria, Kaduna, pp. 11–43.</w:t>
      </w:r>
    </w:p>
    <w:p w14:paraId="43602609" w14:textId="77777777" w:rsidR="00F176CD" w:rsidRPr="00484334" w:rsidRDefault="00F176CD">
      <w:pPr>
        <w:rPr>
          <w:rFonts w:ascii="Times New Roman" w:hAnsi="Times New Roman" w:cs="Times New Roman"/>
        </w:rPr>
      </w:pPr>
    </w:p>
    <w:sectPr w:rsidR="00F176CD" w:rsidRPr="004843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963E9"/>
    <w:multiLevelType w:val="multilevel"/>
    <w:tmpl w:val="6F0C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102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334"/>
    <w:rsid w:val="000E08A5"/>
    <w:rsid w:val="0012499B"/>
    <w:rsid w:val="001641E1"/>
    <w:rsid w:val="00336628"/>
    <w:rsid w:val="00484334"/>
    <w:rsid w:val="005318E5"/>
    <w:rsid w:val="005B16A0"/>
    <w:rsid w:val="006E37B4"/>
    <w:rsid w:val="006E5E9E"/>
    <w:rsid w:val="00702C8B"/>
    <w:rsid w:val="00794483"/>
    <w:rsid w:val="007D052B"/>
    <w:rsid w:val="009C674D"/>
    <w:rsid w:val="009E0433"/>
    <w:rsid w:val="00AC40D0"/>
    <w:rsid w:val="00B30AF4"/>
    <w:rsid w:val="00BC6EB9"/>
    <w:rsid w:val="00D23D66"/>
    <w:rsid w:val="00D578E8"/>
    <w:rsid w:val="00DE3B20"/>
    <w:rsid w:val="00E1773E"/>
    <w:rsid w:val="00F17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E056"/>
  <w15:chartTrackingRefBased/>
  <w15:docId w15:val="{3E1EEF1F-57CF-4149-9C22-6D4C92C9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4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4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4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4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4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4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4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4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4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4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334"/>
    <w:rPr>
      <w:rFonts w:eastAsiaTheme="majorEastAsia" w:cstheme="majorBidi"/>
      <w:color w:val="272727" w:themeColor="text1" w:themeTint="D8"/>
    </w:rPr>
  </w:style>
  <w:style w:type="paragraph" w:styleId="Title">
    <w:name w:val="Title"/>
    <w:basedOn w:val="Normal"/>
    <w:next w:val="Normal"/>
    <w:link w:val="TitleChar"/>
    <w:uiPriority w:val="10"/>
    <w:qFormat/>
    <w:rsid w:val="00484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334"/>
    <w:pPr>
      <w:spacing w:before="160"/>
      <w:jc w:val="center"/>
    </w:pPr>
    <w:rPr>
      <w:i/>
      <w:iCs/>
      <w:color w:val="404040" w:themeColor="text1" w:themeTint="BF"/>
    </w:rPr>
  </w:style>
  <w:style w:type="character" w:customStyle="1" w:styleId="QuoteChar">
    <w:name w:val="Quote Char"/>
    <w:basedOn w:val="DefaultParagraphFont"/>
    <w:link w:val="Quote"/>
    <w:uiPriority w:val="29"/>
    <w:rsid w:val="00484334"/>
    <w:rPr>
      <w:i/>
      <w:iCs/>
      <w:color w:val="404040" w:themeColor="text1" w:themeTint="BF"/>
    </w:rPr>
  </w:style>
  <w:style w:type="paragraph" w:styleId="ListParagraph">
    <w:name w:val="List Paragraph"/>
    <w:basedOn w:val="Normal"/>
    <w:uiPriority w:val="34"/>
    <w:qFormat/>
    <w:rsid w:val="00484334"/>
    <w:pPr>
      <w:ind w:left="720"/>
      <w:contextualSpacing/>
    </w:pPr>
  </w:style>
  <w:style w:type="character" w:styleId="IntenseEmphasis">
    <w:name w:val="Intense Emphasis"/>
    <w:basedOn w:val="DefaultParagraphFont"/>
    <w:uiPriority w:val="21"/>
    <w:qFormat/>
    <w:rsid w:val="00484334"/>
    <w:rPr>
      <w:i/>
      <w:iCs/>
      <w:color w:val="2F5496" w:themeColor="accent1" w:themeShade="BF"/>
    </w:rPr>
  </w:style>
  <w:style w:type="paragraph" w:styleId="IntenseQuote">
    <w:name w:val="Intense Quote"/>
    <w:basedOn w:val="Normal"/>
    <w:next w:val="Normal"/>
    <w:link w:val="IntenseQuoteChar"/>
    <w:uiPriority w:val="30"/>
    <w:qFormat/>
    <w:rsid w:val="00484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4334"/>
    <w:rPr>
      <w:i/>
      <w:iCs/>
      <w:color w:val="2F5496" w:themeColor="accent1" w:themeShade="BF"/>
    </w:rPr>
  </w:style>
  <w:style w:type="character" w:styleId="IntenseReference">
    <w:name w:val="Intense Reference"/>
    <w:basedOn w:val="DefaultParagraphFont"/>
    <w:uiPriority w:val="32"/>
    <w:qFormat/>
    <w:rsid w:val="00484334"/>
    <w:rPr>
      <w:b/>
      <w:bCs/>
      <w:smallCaps/>
      <w:color w:val="2F5496" w:themeColor="accent1" w:themeShade="BF"/>
      <w:spacing w:val="5"/>
    </w:rPr>
  </w:style>
  <w:style w:type="paragraph" w:styleId="NoSpacing">
    <w:name w:val="No Spacing"/>
    <w:uiPriority w:val="1"/>
    <w:qFormat/>
    <w:rsid w:val="00484334"/>
    <w:pPr>
      <w:spacing w:after="0" w:line="240" w:lineRule="auto"/>
    </w:pPr>
    <w:rPr>
      <w:rFonts w:ascii="Calibri" w:eastAsia="Calibri" w:hAnsi="Calibri" w:cs="SimSun"/>
      <w:kern w:val="0"/>
      <w:sz w:val="22"/>
      <w:szCs w:val="22"/>
      <w14:ligatures w14:val="none"/>
    </w:rPr>
  </w:style>
  <w:style w:type="character" w:styleId="Hyperlink">
    <w:name w:val="Hyperlink"/>
    <w:basedOn w:val="DefaultParagraphFont"/>
    <w:uiPriority w:val="99"/>
    <w:rsid w:val="00484334"/>
    <w:rPr>
      <w:color w:val="0563C1"/>
      <w:u w:val="single"/>
    </w:rPr>
  </w:style>
  <w:style w:type="table" w:styleId="PlainTable5">
    <w:name w:val="Plain Table 5"/>
    <w:basedOn w:val="TableNormal"/>
    <w:uiPriority w:val="45"/>
    <w:rsid w:val="004843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wemesamuelng@gmaail.com" TargetMode="External"/><Relationship Id="rId11" Type="http://schemas.openxmlformats.org/officeDocument/2006/relationships/image" Target="media/image5.png"/><Relationship Id="rId5" Type="http://schemas.openxmlformats.org/officeDocument/2006/relationships/hyperlink" Target="mailto:soidowu@futa.edu.ng"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12</Pages>
  <Words>3960</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Simeon IDOWU</dc:creator>
  <cp:keywords/>
  <dc:description/>
  <cp:lastModifiedBy>Simeon IDOWU</cp:lastModifiedBy>
  <cp:revision>9</cp:revision>
  <dcterms:created xsi:type="dcterms:W3CDTF">2026-07-03T22:50:00Z</dcterms:created>
  <dcterms:modified xsi:type="dcterms:W3CDTF">2026-07-07T16:11:00Z</dcterms:modified>
</cp:coreProperties>
</file>