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C0E51">
      <w:pPr>
        <w:bidi w:val="0"/>
        <w:spacing w:line="240" w:lineRule="auto"/>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Rebirth Of Hope, Resilience And Optimism:  Insights Of Lakan Members In Their New Career Paths</w:t>
      </w:r>
    </w:p>
    <w:p w14:paraId="5787FC3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val="0"/>
          <w:iCs w:val="0"/>
          <w:sz w:val="24"/>
          <w:szCs w:val="24"/>
          <w:lang w:val="en-US"/>
        </w:rPr>
      </w:pPr>
    </w:p>
    <w:p w14:paraId="0E9FA4D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i w:val="0"/>
          <w:iCs w:val="0"/>
          <w:sz w:val="24"/>
          <w:szCs w:val="24"/>
          <w:vertAlign w:val="superscript"/>
          <w:lang w:val="en-US"/>
        </w:rPr>
      </w:pPr>
      <w:r>
        <w:rPr>
          <w:rFonts w:hint="default" w:ascii="Times New Roman" w:hAnsi="Times New Roman" w:cs="Times New Roman"/>
          <w:b/>
          <w:bCs/>
          <w:i w:val="0"/>
          <w:iCs w:val="0"/>
          <w:sz w:val="24"/>
          <w:szCs w:val="24"/>
          <w:lang w:val="en-US"/>
        </w:rPr>
        <w:t>GUILBERT B. MANSUETO</w:t>
      </w:r>
      <w:r>
        <w:rPr>
          <w:rFonts w:hint="default" w:ascii="Times New Roman" w:hAnsi="Times New Roman" w:cs="Times New Roman"/>
          <w:b/>
          <w:bCs/>
          <w:i w:val="0"/>
          <w:iCs w:val="0"/>
          <w:sz w:val="24"/>
          <w:szCs w:val="24"/>
          <w:vertAlign w:val="superscript"/>
          <w:lang w:val="en-US"/>
        </w:rPr>
        <w:t xml:space="preserve">1 </w:t>
      </w:r>
      <w:r>
        <w:rPr>
          <w:rFonts w:hint="default" w:ascii="Times New Roman" w:hAnsi="Times New Roman" w:cs="Times New Roman"/>
          <w:b/>
          <w:bCs/>
          <w:i w:val="0"/>
          <w:iCs w:val="0"/>
          <w:sz w:val="24"/>
          <w:szCs w:val="24"/>
          <w:vertAlign w:val="baseline"/>
          <w:lang w:val="en-US"/>
        </w:rPr>
        <w:t xml:space="preserve"> / </w:t>
      </w:r>
      <w:r>
        <w:rPr>
          <w:rFonts w:hint="default" w:ascii="Times New Roman" w:hAnsi="Times New Roman" w:cs="Times New Roman"/>
          <w:b/>
          <w:bCs/>
          <w:i w:val="0"/>
          <w:iCs w:val="0"/>
          <w:sz w:val="24"/>
          <w:szCs w:val="24"/>
          <w:vertAlign w:val="baseline"/>
          <w:lang w:val="en-US"/>
        </w:rPr>
        <w:fldChar w:fldCharType="begin"/>
      </w:r>
      <w:r>
        <w:rPr>
          <w:rFonts w:hint="default" w:ascii="Times New Roman" w:hAnsi="Times New Roman" w:cs="Times New Roman"/>
          <w:b/>
          <w:bCs/>
          <w:i w:val="0"/>
          <w:iCs w:val="0"/>
          <w:sz w:val="24"/>
          <w:szCs w:val="24"/>
          <w:vertAlign w:val="baseline"/>
          <w:lang w:val="en-US"/>
        </w:rPr>
        <w:instrText xml:space="preserve"> HYPERLINK "mailto:gbmansueto@gmail.com" </w:instrText>
      </w:r>
      <w:r>
        <w:rPr>
          <w:rFonts w:hint="default" w:ascii="Times New Roman" w:hAnsi="Times New Roman" w:cs="Times New Roman"/>
          <w:b/>
          <w:bCs/>
          <w:i w:val="0"/>
          <w:iCs w:val="0"/>
          <w:sz w:val="24"/>
          <w:szCs w:val="24"/>
          <w:vertAlign w:val="baseline"/>
          <w:lang w:val="en-US"/>
        </w:rPr>
        <w:fldChar w:fldCharType="separate"/>
      </w:r>
      <w:r>
        <w:rPr>
          <w:rStyle w:val="19"/>
          <w:rFonts w:hint="default" w:ascii="Times New Roman" w:hAnsi="Times New Roman" w:cs="Times New Roman"/>
          <w:b/>
          <w:bCs/>
          <w:i w:val="0"/>
          <w:iCs w:val="0"/>
          <w:sz w:val="24"/>
          <w:szCs w:val="24"/>
          <w:vertAlign w:val="baseline"/>
          <w:lang w:val="en-US"/>
        </w:rPr>
        <w:t>gbmansueto@gmail.com</w:t>
      </w:r>
      <w:r>
        <w:rPr>
          <w:rFonts w:hint="default" w:ascii="Times New Roman" w:hAnsi="Times New Roman" w:cs="Times New Roman"/>
          <w:b/>
          <w:bCs/>
          <w:i w:val="0"/>
          <w:iCs w:val="0"/>
          <w:sz w:val="24"/>
          <w:szCs w:val="24"/>
          <w:vertAlign w:val="baseline"/>
          <w:lang w:val="en-US"/>
        </w:rPr>
        <w:fldChar w:fldCharType="end"/>
      </w:r>
      <w:r>
        <w:rPr>
          <w:rFonts w:hint="default" w:ascii="Times New Roman" w:hAnsi="Times New Roman" w:cs="Times New Roman"/>
          <w:b/>
          <w:bCs/>
          <w:i w:val="0"/>
          <w:iCs w:val="0"/>
          <w:sz w:val="24"/>
          <w:szCs w:val="24"/>
          <w:vertAlign w:val="baseline"/>
          <w:lang w:val="en-US"/>
        </w:rPr>
        <w:t xml:space="preserve"> / 09668166630,</w:t>
      </w:r>
      <w:r>
        <w:rPr>
          <w:rFonts w:hint="default" w:ascii="Times New Roman" w:hAnsi="Times New Roman" w:cs="Times New Roman"/>
          <w:b/>
          <w:bCs/>
          <w:i w:val="0"/>
          <w:iCs w:val="0"/>
          <w:sz w:val="24"/>
          <w:szCs w:val="24"/>
          <w:vertAlign w:val="superscript"/>
          <w:lang w:val="en-US"/>
        </w:rPr>
        <w:t xml:space="preserve"> </w:t>
      </w:r>
      <w:r>
        <w:rPr>
          <w:rFonts w:hint="default" w:ascii="Times New Roman" w:hAnsi="Times New Roman" w:cs="Times New Roman"/>
          <w:b/>
          <w:bCs/>
          <w:i w:val="0"/>
          <w:iCs w:val="0"/>
          <w:sz w:val="24"/>
          <w:szCs w:val="24"/>
          <w:lang w:val="en-US"/>
        </w:rPr>
        <w:t xml:space="preserve"> DR PAULINO V. PIOQUINTO</w:t>
      </w:r>
      <w:r>
        <w:rPr>
          <w:rFonts w:hint="default" w:ascii="Times New Roman" w:hAnsi="Times New Roman" w:cs="Times New Roman"/>
          <w:b/>
          <w:bCs/>
          <w:i w:val="0"/>
          <w:iCs w:val="0"/>
          <w:sz w:val="24"/>
          <w:szCs w:val="24"/>
          <w:vertAlign w:val="superscript"/>
          <w:lang w:val="en-US"/>
        </w:rPr>
        <w:t>2</w:t>
      </w:r>
      <w:r>
        <w:rPr>
          <w:rFonts w:hint="default" w:ascii="Times New Roman" w:hAnsi="Times New Roman" w:cs="Times New Roman"/>
          <w:b/>
          <w:bCs/>
          <w:i w:val="0"/>
          <w:iCs w:val="0"/>
          <w:sz w:val="24"/>
          <w:szCs w:val="24"/>
          <w:vertAlign w:val="baseline"/>
          <w:lang w:val="en-US"/>
        </w:rPr>
        <w:t xml:space="preserve"> / </w:t>
      </w:r>
      <w:r>
        <w:rPr>
          <w:rFonts w:hint="default" w:ascii="Times New Roman" w:hAnsi="Times New Roman" w:cs="Times New Roman"/>
          <w:b/>
          <w:bCs/>
          <w:i w:val="0"/>
          <w:iCs w:val="0"/>
          <w:sz w:val="24"/>
          <w:szCs w:val="24"/>
          <w:vertAlign w:val="baseline"/>
          <w:lang w:val="en-US"/>
        </w:rPr>
        <w:fldChar w:fldCharType="begin"/>
      </w:r>
      <w:r>
        <w:rPr>
          <w:rFonts w:hint="default" w:ascii="Times New Roman" w:hAnsi="Times New Roman" w:cs="Times New Roman"/>
          <w:b/>
          <w:bCs/>
          <w:i w:val="0"/>
          <w:iCs w:val="0"/>
          <w:sz w:val="24"/>
          <w:szCs w:val="24"/>
          <w:vertAlign w:val="baseline"/>
          <w:lang w:val="en-US"/>
        </w:rPr>
        <w:instrText xml:space="preserve"> HYPERLINK "mailto:ppioquinto@uc.edu.ph" </w:instrText>
      </w:r>
      <w:r>
        <w:rPr>
          <w:rFonts w:hint="default" w:ascii="Times New Roman" w:hAnsi="Times New Roman" w:cs="Times New Roman"/>
          <w:b/>
          <w:bCs/>
          <w:i w:val="0"/>
          <w:iCs w:val="0"/>
          <w:sz w:val="24"/>
          <w:szCs w:val="24"/>
          <w:vertAlign w:val="baseline"/>
          <w:lang w:val="en-US"/>
        </w:rPr>
        <w:fldChar w:fldCharType="separate"/>
      </w:r>
      <w:r>
        <w:rPr>
          <w:rStyle w:val="19"/>
          <w:rFonts w:hint="default" w:ascii="Times New Roman" w:hAnsi="Times New Roman" w:cs="Times New Roman"/>
          <w:b/>
          <w:bCs/>
          <w:i w:val="0"/>
          <w:iCs w:val="0"/>
          <w:sz w:val="24"/>
          <w:szCs w:val="24"/>
          <w:vertAlign w:val="baseline"/>
          <w:lang w:val="en-US"/>
        </w:rPr>
        <w:t>ppioquinto@uc.edu.ph</w:t>
      </w:r>
      <w:r>
        <w:rPr>
          <w:rFonts w:hint="default" w:ascii="Times New Roman" w:hAnsi="Times New Roman" w:cs="Times New Roman"/>
          <w:b/>
          <w:bCs/>
          <w:i w:val="0"/>
          <w:iCs w:val="0"/>
          <w:sz w:val="24"/>
          <w:szCs w:val="24"/>
          <w:vertAlign w:val="baseline"/>
          <w:lang w:val="en-US"/>
        </w:rPr>
        <w:fldChar w:fldCharType="end"/>
      </w:r>
      <w:r>
        <w:rPr>
          <w:rFonts w:hint="default" w:ascii="Times New Roman" w:hAnsi="Times New Roman" w:cs="Times New Roman"/>
          <w:b/>
          <w:bCs/>
          <w:i w:val="0"/>
          <w:iCs w:val="0"/>
          <w:sz w:val="24"/>
          <w:szCs w:val="24"/>
          <w:vertAlign w:val="baseline"/>
          <w:lang w:val="en-US"/>
        </w:rPr>
        <w:t xml:space="preserve"> / 09336294485</w:t>
      </w:r>
      <w:r>
        <w:rPr>
          <w:rFonts w:hint="default" w:ascii="Times New Roman" w:hAnsi="Times New Roman" w:cs="Times New Roman"/>
          <w:b/>
          <w:bCs/>
          <w:i w:val="0"/>
          <w:iCs w:val="0"/>
          <w:sz w:val="24"/>
          <w:szCs w:val="24"/>
          <w:lang w:val="en-US"/>
        </w:rPr>
        <w:t xml:space="preserve">, </w:t>
      </w:r>
      <w:r>
        <w:rPr>
          <w:rStyle w:val="22"/>
          <w:rFonts w:hint="default" w:ascii="Times New Roman" w:hAnsi="Times New Roman" w:cs="Times New Roman"/>
          <w:b/>
          <w:bCs/>
          <w:sz w:val="24"/>
          <w:szCs w:val="24"/>
        </w:rPr>
        <w:t>DR. YOLANDA C. SAYSON</w:t>
      </w:r>
      <w:r>
        <w:rPr>
          <w:rStyle w:val="22"/>
          <w:rFonts w:hint="default" w:ascii="Times New Roman" w:hAnsi="Times New Roman" w:cs="Times New Roman"/>
          <w:b/>
          <w:bCs/>
          <w:sz w:val="24"/>
          <w:szCs w:val="24"/>
          <w:vertAlign w:val="superscript"/>
          <w:lang w:val="en-US"/>
        </w:rPr>
        <w:t xml:space="preserve">3 </w:t>
      </w:r>
      <w:r>
        <w:rPr>
          <w:rStyle w:val="22"/>
          <w:rFonts w:hint="default" w:ascii="Times New Roman" w:hAnsi="Times New Roman" w:cs="Times New Roman"/>
          <w:b/>
          <w:bCs/>
          <w:sz w:val="24"/>
          <w:szCs w:val="24"/>
          <w:vertAlign w:val="baseline"/>
          <w:lang w:val="en-US"/>
        </w:rPr>
        <w:fldChar w:fldCharType="begin"/>
      </w:r>
      <w:r>
        <w:rPr>
          <w:rStyle w:val="22"/>
          <w:rFonts w:hint="default" w:ascii="Times New Roman" w:hAnsi="Times New Roman" w:cs="Times New Roman"/>
          <w:b/>
          <w:bCs/>
          <w:sz w:val="24"/>
          <w:szCs w:val="24"/>
          <w:vertAlign w:val="baseline"/>
          <w:lang w:val="en-US"/>
        </w:rPr>
        <w:instrText xml:space="preserve"> HYPERLINK "mailto:ysayson@uc.edu.ph" </w:instrText>
      </w:r>
      <w:r>
        <w:rPr>
          <w:rStyle w:val="22"/>
          <w:rFonts w:hint="default" w:ascii="Times New Roman" w:hAnsi="Times New Roman" w:cs="Times New Roman"/>
          <w:b/>
          <w:bCs/>
          <w:sz w:val="24"/>
          <w:szCs w:val="24"/>
          <w:vertAlign w:val="baseline"/>
          <w:lang w:val="en-US"/>
        </w:rPr>
        <w:fldChar w:fldCharType="separate"/>
      </w:r>
      <w:r>
        <w:rPr>
          <w:rStyle w:val="19"/>
          <w:rFonts w:hint="default" w:ascii="Times New Roman" w:hAnsi="Times New Roman" w:cs="Times New Roman"/>
          <w:b/>
          <w:bCs/>
          <w:sz w:val="24"/>
          <w:szCs w:val="24"/>
          <w:vertAlign w:val="baseline"/>
          <w:lang w:val="en-US"/>
        </w:rPr>
        <w:t>ysayson@uc.edu.ph</w:t>
      </w:r>
      <w:r>
        <w:rPr>
          <w:rStyle w:val="22"/>
          <w:rFonts w:hint="default" w:ascii="Times New Roman" w:hAnsi="Times New Roman" w:cs="Times New Roman"/>
          <w:b/>
          <w:bCs/>
          <w:sz w:val="24"/>
          <w:szCs w:val="24"/>
          <w:vertAlign w:val="baseline"/>
          <w:lang w:val="en-US"/>
        </w:rPr>
        <w:fldChar w:fldCharType="end"/>
      </w:r>
      <w:r>
        <w:rPr>
          <w:rFonts w:hint="default" w:ascii="Times New Roman" w:hAnsi="Times New Roman" w:cs="Times New Roman"/>
          <w:b/>
          <w:bCs/>
          <w:sz w:val="24"/>
          <w:szCs w:val="24"/>
        </w:rPr>
        <w:t xml:space="preserve">, </w:t>
      </w:r>
      <w:r>
        <w:rPr>
          <w:rStyle w:val="22"/>
          <w:rFonts w:hint="default" w:ascii="Times New Roman" w:hAnsi="Times New Roman" w:cs="Times New Roman"/>
          <w:b/>
          <w:bCs/>
          <w:sz w:val="24"/>
          <w:szCs w:val="24"/>
        </w:rPr>
        <w:t>ATTY. DODELON F. SABIJON</w:t>
      </w:r>
      <w:r>
        <w:rPr>
          <w:rFonts w:hint="default" w:ascii="Times New Roman" w:hAnsi="Times New Roman" w:cs="Times New Roman"/>
          <w:b/>
          <w:bCs/>
          <w:sz w:val="24"/>
          <w:szCs w:val="24"/>
        </w:rPr>
        <w:t>,</w:t>
      </w:r>
      <w:r>
        <w:rPr>
          <w:rFonts w:hint="default" w:ascii="Times New Roman" w:hAnsi="Times New Roman" w:cs="Times New Roman"/>
          <w:b/>
          <w:bCs/>
          <w:sz w:val="24"/>
          <w:szCs w:val="24"/>
          <w:lang w:val="en-US"/>
        </w:rPr>
        <w:t xml:space="preserve"> </w:t>
      </w:r>
      <w:r>
        <w:rPr>
          <w:rStyle w:val="22"/>
          <w:rFonts w:hint="default" w:ascii="Times New Roman" w:hAnsi="Times New Roman" w:cs="Times New Roman"/>
          <w:b/>
          <w:bCs/>
          <w:sz w:val="24"/>
          <w:szCs w:val="24"/>
          <w:lang w:val="en-US"/>
        </w:rPr>
        <w:t>Ph.D</w:t>
      </w:r>
      <w:r>
        <w:rPr>
          <w:rStyle w:val="22"/>
          <w:rFonts w:hint="default" w:ascii="Times New Roman" w:hAnsi="Times New Roman" w:cs="Times New Roman"/>
          <w:b/>
          <w:bCs/>
          <w:sz w:val="24"/>
          <w:szCs w:val="24"/>
          <w:vertAlign w:val="superscript"/>
          <w:lang w:val="en-US"/>
        </w:rPr>
        <w:t>4</w:t>
      </w:r>
      <w:r>
        <w:rPr>
          <w:rStyle w:val="22"/>
          <w:rFonts w:hint="default" w:ascii="Times New Roman" w:hAnsi="Times New Roman" w:cs="Times New Roman"/>
          <w:b/>
          <w:bCs/>
          <w:sz w:val="24"/>
          <w:szCs w:val="24"/>
          <w:vertAlign w:val="baseline"/>
          <w:lang w:val="en-US"/>
        </w:rPr>
        <w:t xml:space="preserve"> </w:t>
      </w:r>
      <w:r>
        <w:rPr>
          <w:rStyle w:val="22"/>
          <w:rFonts w:hint="default" w:ascii="Times New Roman" w:hAnsi="Times New Roman" w:cs="Times New Roman"/>
          <w:b/>
          <w:bCs/>
          <w:sz w:val="24"/>
          <w:szCs w:val="24"/>
          <w:vertAlign w:val="baseline"/>
          <w:lang w:val="en-US"/>
        </w:rPr>
        <w:fldChar w:fldCharType="begin"/>
      </w:r>
      <w:r>
        <w:rPr>
          <w:rStyle w:val="22"/>
          <w:rFonts w:hint="default" w:ascii="Times New Roman" w:hAnsi="Times New Roman" w:cs="Times New Roman"/>
          <w:b/>
          <w:bCs/>
          <w:sz w:val="24"/>
          <w:szCs w:val="24"/>
          <w:vertAlign w:val="baseline"/>
          <w:lang w:val="en-US"/>
        </w:rPr>
        <w:instrText xml:space="preserve"> HYPERLINK "mailto:dsabijon@uc.edu.ph" </w:instrText>
      </w:r>
      <w:r>
        <w:rPr>
          <w:rStyle w:val="22"/>
          <w:rFonts w:hint="default" w:ascii="Times New Roman" w:hAnsi="Times New Roman" w:cs="Times New Roman"/>
          <w:b/>
          <w:bCs/>
          <w:sz w:val="24"/>
          <w:szCs w:val="24"/>
          <w:vertAlign w:val="baseline"/>
          <w:lang w:val="en-US"/>
        </w:rPr>
        <w:fldChar w:fldCharType="separate"/>
      </w:r>
      <w:r>
        <w:rPr>
          <w:rStyle w:val="19"/>
          <w:rFonts w:hint="default" w:ascii="Times New Roman" w:hAnsi="Times New Roman" w:cs="Times New Roman"/>
          <w:b/>
          <w:bCs/>
          <w:sz w:val="24"/>
          <w:szCs w:val="24"/>
          <w:vertAlign w:val="baseline"/>
          <w:lang w:val="en-US"/>
        </w:rPr>
        <w:t>dsabijon@uc.edu.ph</w:t>
      </w:r>
      <w:r>
        <w:rPr>
          <w:rStyle w:val="22"/>
          <w:rFonts w:hint="default" w:ascii="Times New Roman" w:hAnsi="Times New Roman" w:cs="Times New Roman"/>
          <w:b/>
          <w:bCs/>
          <w:sz w:val="24"/>
          <w:szCs w:val="24"/>
          <w:vertAlign w:val="baseline"/>
          <w:lang w:val="en-US"/>
        </w:rPr>
        <w:fldChar w:fldCharType="end"/>
      </w:r>
      <w:r>
        <w:rPr>
          <w:rFonts w:hint="default" w:ascii="Times New Roman" w:hAnsi="Times New Roman" w:cs="Times New Roman"/>
          <w:b/>
          <w:bCs/>
          <w:sz w:val="24"/>
          <w:szCs w:val="24"/>
        </w:rPr>
        <w:t xml:space="preserve">, </w:t>
      </w:r>
      <w:r>
        <w:rPr>
          <w:rStyle w:val="22"/>
          <w:rFonts w:hint="default" w:ascii="Times New Roman" w:hAnsi="Times New Roman" w:cs="Times New Roman"/>
          <w:b/>
          <w:bCs/>
          <w:sz w:val="24"/>
          <w:szCs w:val="24"/>
        </w:rPr>
        <w:t>DR. ESMERALDO DAMUAG</w:t>
      </w:r>
      <w:r>
        <w:rPr>
          <w:rStyle w:val="22"/>
          <w:rFonts w:hint="default" w:ascii="Times New Roman" w:hAnsi="Times New Roman" w:cs="Times New Roman"/>
          <w:b/>
          <w:bCs/>
          <w:sz w:val="24"/>
          <w:szCs w:val="24"/>
          <w:vertAlign w:val="superscript"/>
          <w:lang w:val="en-US"/>
        </w:rPr>
        <w:t xml:space="preserve">5 </w:t>
      </w:r>
      <w:r>
        <w:rPr>
          <w:rStyle w:val="22"/>
          <w:rFonts w:hint="default" w:ascii="Times New Roman" w:hAnsi="Times New Roman" w:cs="Times New Roman"/>
          <w:b/>
          <w:bCs/>
          <w:sz w:val="24"/>
          <w:szCs w:val="24"/>
          <w:vertAlign w:val="baseline"/>
          <w:lang w:val="en-US"/>
        </w:rPr>
        <w:fldChar w:fldCharType="begin"/>
      </w:r>
      <w:r>
        <w:rPr>
          <w:rStyle w:val="22"/>
          <w:rFonts w:hint="default" w:ascii="Times New Roman" w:hAnsi="Times New Roman" w:cs="Times New Roman"/>
          <w:b/>
          <w:bCs/>
          <w:sz w:val="24"/>
          <w:szCs w:val="24"/>
          <w:vertAlign w:val="baseline"/>
          <w:lang w:val="en-US"/>
        </w:rPr>
        <w:instrText xml:space="preserve"> HYPERLINK "mailto:edamuag@uc.ed.ph" </w:instrText>
      </w:r>
      <w:r>
        <w:rPr>
          <w:rStyle w:val="22"/>
          <w:rFonts w:hint="default" w:ascii="Times New Roman" w:hAnsi="Times New Roman" w:cs="Times New Roman"/>
          <w:b/>
          <w:bCs/>
          <w:sz w:val="24"/>
          <w:szCs w:val="24"/>
          <w:vertAlign w:val="baseline"/>
          <w:lang w:val="en-US"/>
        </w:rPr>
        <w:fldChar w:fldCharType="separate"/>
      </w:r>
      <w:r>
        <w:rPr>
          <w:rStyle w:val="19"/>
          <w:rFonts w:hint="default" w:ascii="Times New Roman" w:hAnsi="Times New Roman" w:cs="Times New Roman"/>
          <w:b/>
          <w:bCs/>
          <w:sz w:val="24"/>
          <w:szCs w:val="24"/>
          <w:vertAlign w:val="baseline"/>
          <w:lang w:val="en-US"/>
        </w:rPr>
        <w:t>edamuag@uc.ed.ph</w:t>
      </w:r>
      <w:r>
        <w:rPr>
          <w:rStyle w:val="22"/>
          <w:rFonts w:hint="default" w:ascii="Times New Roman" w:hAnsi="Times New Roman" w:cs="Times New Roman"/>
          <w:b/>
          <w:bCs/>
          <w:sz w:val="24"/>
          <w:szCs w:val="24"/>
          <w:vertAlign w:val="baseline"/>
          <w:lang w:val="en-US"/>
        </w:rPr>
        <w:fldChar w:fldCharType="end"/>
      </w:r>
      <w:r>
        <w:rPr>
          <w:rStyle w:val="22"/>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r>
        <w:rPr>
          <w:rStyle w:val="22"/>
          <w:rFonts w:hint="default" w:ascii="Times New Roman" w:hAnsi="Times New Roman" w:cs="Times New Roman"/>
          <w:b/>
          <w:bCs/>
          <w:sz w:val="24"/>
          <w:szCs w:val="24"/>
        </w:rPr>
        <w:t>DR. RENATO C. SAGAYNO</w:t>
      </w:r>
      <w:r>
        <w:rPr>
          <w:rStyle w:val="22"/>
          <w:rFonts w:hint="default" w:ascii="Times New Roman" w:hAnsi="Times New Roman" w:cs="Times New Roman"/>
          <w:b/>
          <w:bCs/>
          <w:sz w:val="24"/>
          <w:szCs w:val="24"/>
          <w:vertAlign w:val="superscript"/>
          <w:lang w:val="en-US"/>
        </w:rPr>
        <w:t xml:space="preserve">6 </w:t>
      </w:r>
      <w:r>
        <w:rPr>
          <w:rStyle w:val="22"/>
          <w:rFonts w:hint="default" w:ascii="Times New Roman" w:hAnsi="Times New Roman" w:cs="Times New Roman"/>
          <w:b/>
          <w:bCs/>
          <w:sz w:val="24"/>
          <w:szCs w:val="24"/>
          <w:vertAlign w:val="baseline"/>
          <w:lang w:val="en-US"/>
        </w:rPr>
        <w:fldChar w:fldCharType="begin"/>
      </w:r>
      <w:r>
        <w:rPr>
          <w:rStyle w:val="22"/>
          <w:rFonts w:hint="default" w:ascii="Times New Roman" w:hAnsi="Times New Roman" w:cs="Times New Roman"/>
          <w:b/>
          <w:bCs/>
          <w:sz w:val="24"/>
          <w:szCs w:val="24"/>
          <w:vertAlign w:val="baseline"/>
          <w:lang w:val="en-US"/>
        </w:rPr>
        <w:instrText xml:space="preserve"> HYPERLINK "mailto:rsagayno@uc.edu.ph" </w:instrText>
      </w:r>
      <w:r>
        <w:rPr>
          <w:rStyle w:val="22"/>
          <w:rFonts w:hint="default" w:ascii="Times New Roman" w:hAnsi="Times New Roman" w:cs="Times New Roman"/>
          <w:b/>
          <w:bCs/>
          <w:sz w:val="24"/>
          <w:szCs w:val="24"/>
          <w:vertAlign w:val="baseline"/>
          <w:lang w:val="en-US"/>
        </w:rPr>
        <w:fldChar w:fldCharType="separate"/>
      </w:r>
      <w:r>
        <w:rPr>
          <w:rStyle w:val="19"/>
          <w:rFonts w:hint="default" w:ascii="Times New Roman" w:hAnsi="Times New Roman" w:cs="Times New Roman"/>
          <w:b/>
          <w:bCs/>
          <w:sz w:val="24"/>
          <w:szCs w:val="24"/>
          <w:vertAlign w:val="baseline"/>
          <w:lang w:val="en-US"/>
        </w:rPr>
        <w:t>rsagayno@uc.edu.ph</w:t>
      </w:r>
      <w:r>
        <w:rPr>
          <w:rStyle w:val="22"/>
          <w:rFonts w:hint="default" w:ascii="Times New Roman" w:hAnsi="Times New Roman" w:cs="Times New Roman"/>
          <w:b/>
          <w:bCs/>
          <w:sz w:val="24"/>
          <w:szCs w:val="24"/>
          <w:vertAlign w:val="baseline"/>
          <w:lang w:val="en-US"/>
        </w:rPr>
        <w:fldChar w:fldCharType="end"/>
      </w:r>
      <w:r>
        <w:rPr>
          <w:rFonts w:hint="default" w:ascii="Times New Roman" w:hAnsi="Times New Roman" w:cs="Times New Roman"/>
          <w:b/>
          <w:bCs/>
          <w:i w:val="0"/>
          <w:iCs w:val="0"/>
          <w:sz w:val="24"/>
          <w:szCs w:val="24"/>
          <w:lang w:val="en-US"/>
        </w:rPr>
        <w:t xml:space="preserve"> </w:t>
      </w:r>
    </w:p>
    <w:p w14:paraId="219DBE5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val="0"/>
          <w:iCs w:val="0"/>
          <w:sz w:val="28"/>
          <w:szCs w:val="28"/>
          <w:lang w:val="en-US"/>
        </w:rPr>
      </w:pPr>
    </w:p>
    <w:p w14:paraId="4068FF4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b/>
          <w:bCs/>
          <w:i w:val="0"/>
          <w:iCs w:val="0"/>
          <w:color w:val="auto"/>
          <w:sz w:val="24"/>
          <w:szCs w:val="24"/>
          <w:lang w:val="en-US"/>
        </w:rPr>
      </w:pPr>
      <w:r>
        <w:rPr>
          <w:rFonts w:hint="default" w:ascii="Times New Roman" w:hAnsi="Times New Roman"/>
          <w:b/>
          <w:bCs/>
          <w:i w:val="0"/>
          <w:iCs w:val="0"/>
          <w:color w:val="auto"/>
          <w:sz w:val="24"/>
          <w:szCs w:val="24"/>
          <w:lang w:val="en-US"/>
        </w:rPr>
        <w:t>A Dissertation Presented to the Faculty of the Graduate School of the University of Cebu Main Campus, Cebu City. In Partial Fulfillment of the Requirements for the Doctor of Philosophy in Criminal Justice with specialization in Criminology</w:t>
      </w:r>
    </w:p>
    <w:p w14:paraId="73F2668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b/>
          <w:bCs/>
          <w:i w:val="0"/>
          <w:iCs w:val="0"/>
          <w:color w:val="auto"/>
          <w:sz w:val="24"/>
          <w:szCs w:val="24"/>
          <w:lang w:val="en-US"/>
        </w:rPr>
      </w:pPr>
    </w:p>
    <w:p w14:paraId="659FB89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b/>
          <w:bCs/>
          <w:i w:val="0"/>
          <w:iCs w:val="0"/>
          <w:color w:val="auto"/>
          <w:sz w:val="24"/>
          <w:szCs w:val="24"/>
          <w:lang w:val="en-US"/>
        </w:rPr>
      </w:pPr>
    </w:p>
    <w:p w14:paraId="23C23FCB">
      <w:pPr>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ABSTRACT</w:t>
      </w:r>
    </w:p>
    <w:p w14:paraId="59BB0507">
      <w:pPr>
        <w:pStyle w:val="20"/>
        <w:keepNext w:val="0"/>
        <w:keepLines w:val="0"/>
        <w:widowControl/>
        <w:suppressLineNumbers w:val="0"/>
        <w:ind w:firstLine="720" w:firstLineChars="0"/>
        <w:jc w:val="both"/>
        <w:rPr>
          <w:rFonts w:hint="default"/>
          <w:sz w:val="24"/>
          <w:szCs w:val="24"/>
          <w:lang w:val="en-US"/>
        </w:rPr>
      </w:pPr>
      <w:r>
        <w:rPr>
          <w:rFonts w:hint="default"/>
          <w:sz w:val="24"/>
          <w:szCs w:val="24"/>
          <w:lang w:val="en-US"/>
        </w:rPr>
        <w:t>This study explored the lived experiences of Lakan members of the Philippine National Police Academy (PNPA) who were administratively separated from the Philippine National Police (PNP), Bureau of Fire Protection (BFP) and Bureau of Jail Management and Penology (BJMP) and subsequently pursued new career paths within the field of criminal justice and public safety. Specifically, the study examined the experiences encountered by the informants after separation, the strategies they employed in rebuilding their lives and their present outlook toward their new career trajectories.</w:t>
      </w:r>
    </w:p>
    <w:p w14:paraId="779E0F7D">
      <w:pPr>
        <w:pStyle w:val="20"/>
        <w:keepNext w:val="0"/>
        <w:keepLines w:val="0"/>
        <w:widowControl/>
        <w:suppressLineNumbers w:val="0"/>
        <w:ind w:firstLine="720" w:firstLineChars="0"/>
        <w:jc w:val="both"/>
        <w:rPr>
          <w:rFonts w:hint="default"/>
          <w:sz w:val="24"/>
          <w:szCs w:val="24"/>
          <w:lang w:val="en-US"/>
        </w:rPr>
      </w:pPr>
      <w:r>
        <w:rPr>
          <w:rFonts w:hint="default"/>
          <w:sz w:val="24"/>
          <w:szCs w:val="24"/>
          <w:lang w:val="en-US"/>
        </w:rPr>
        <w:t>A qualitative transcendental phenomenological approach was used to explore the lived experiences of ten purposively selected Lakan members following their separation from uniformed service. Data were gathered through a Focus Group Discussion with six informants and Individual In-Depth Interviews with four informants in the Visayas region. Using validated semi-structured interview guides, the data were analyzed through horizontalization, thematic clustering and the synthesis of textural and structural descriptions.</w:t>
      </w:r>
    </w:p>
    <w:p w14:paraId="7A396A74">
      <w:pPr>
        <w:pStyle w:val="20"/>
        <w:keepNext w:val="0"/>
        <w:keepLines w:val="0"/>
        <w:widowControl/>
        <w:suppressLineNumbers w:val="0"/>
        <w:ind w:firstLine="720" w:firstLineChars="0"/>
        <w:jc w:val="both"/>
        <w:rPr>
          <w:rFonts w:hint="default"/>
          <w:i/>
          <w:iCs/>
          <w:sz w:val="24"/>
          <w:szCs w:val="24"/>
          <w:lang w:val="en-US"/>
        </w:rPr>
      </w:pPr>
      <w:r>
        <w:rPr>
          <w:rFonts w:hint="default"/>
          <w:sz w:val="24"/>
          <w:szCs w:val="24"/>
          <w:lang w:val="en-US"/>
        </w:rPr>
        <w:t xml:space="preserve">The analysis generated fifteen emergent themes grouped into three major domains: experiences after administrative separation, strategies for rebuilding new careers and present life outlook. The findings revealed that separation initially resulted in </w:t>
      </w:r>
      <w:r>
        <w:rPr>
          <w:rFonts w:hint="default"/>
          <w:i/>
          <w:iCs/>
          <w:sz w:val="24"/>
          <w:szCs w:val="24"/>
          <w:lang w:val="en-US"/>
        </w:rPr>
        <w:t>identity disruption, stigma, financial instability and loss of institutional trust</w:t>
      </w:r>
      <w:r>
        <w:rPr>
          <w:rFonts w:hint="default"/>
          <w:sz w:val="24"/>
          <w:szCs w:val="24"/>
          <w:lang w:val="en-US"/>
        </w:rPr>
        <w:t xml:space="preserve">. However, through </w:t>
      </w:r>
      <w:r>
        <w:rPr>
          <w:rFonts w:hint="default"/>
          <w:i/>
          <w:iCs/>
          <w:sz w:val="24"/>
          <w:szCs w:val="24"/>
          <w:lang w:val="en-US"/>
        </w:rPr>
        <w:t>acceptance, discipline, faith, family support, professional networks and the rediscovery of transferable competencies</w:t>
      </w:r>
      <w:r>
        <w:rPr>
          <w:rFonts w:hint="default"/>
          <w:sz w:val="24"/>
          <w:szCs w:val="24"/>
          <w:lang w:val="en-US"/>
        </w:rPr>
        <w:t xml:space="preserve">, the informants were able to </w:t>
      </w:r>
      <w:r>
        <w:rPr>
          <w:rFonts w:hint="default"/>
          <w:i/>
          <w:iCs/>
          <w:sz w:val="24"/>
          <w:szCs w:val="24"/>
          <w:lang w:val="en-US"/>
        </w:rPr>
        <w:t>reconstruct meaningful careers and reaffirm their commitment to public service beyond the uniform.</w:t>
      </w:r>
    </w:p>
    <w:p w14:paraId="180AA863">
      <w:pPr>
        <w:pStyle w:val="20"/>
        <w:keepNext w:val="0"/>
        <w:keepLines w:val="0"/>
        <w:widowControl/>
        <w:suppressLineNumbers w:val="0"/>
        <w:ind w:firstLine="720" w:firstLineChars="0"/>
        <w:jc w:val="both"/>
        <w:rPr>
          <w:rFonts w:hint="default"/>
          <w:sz w:val="24"/>
          <w:szCs w:val="24"/>
          <w:lang w:val="en-US"/>
        </w:rPr>
      </w:pPr>
      <w:r>
        <w:rPr>
          <w:rFonts w:hint="default"/>
          <w:sz w:val="24"/>
          <w:szCs w:val="24"/>
          <w:lang w:val="en-US"/>
        </w:rPr>
        <w:t>The study concludes that administrative separation, while profoundly disruptive, can become a catalyst for personal growth, resilience and renewed purpose. It recommends the development of reintegration programs, counseling support and alum-based networks within the PNPA and its tri-bureau services to support separated officers in rebuilding productive and dignified lives.</w:t>
      </w:r>
    </w:p>
    <w:p w14:paraId="5B73F24F">
      <w:pPr>
        <w:pStyle w:val="20"/>
        <w:keepNext w:val="0"/>
        <w:keepLines w:val="0"/>
        <w:widowControl/>
        <w:suppressLineNumbers w:val="0"/>
        <w:ind w:firstLine="720" w:firstLineChars="0"/>
        <w:jc w:val="both"/>
        <w:rPr>
          <w:rFonts w:hint="default" w:ascii="Times New Roman" w:hAnsi="Times New Roman" w:cs="Times New Roman"/>
          <w:bCs/>
          <w:i w:val="0"/>
          <w:iCs w:val="0"/>
          <w:color w:val="auto"/>
          <w:sz w:val="21"/>
          <w:szCs w:val="24"/>
          <w:lang w:val="en-US"/>
        </w:rPr>
      </w:pPr>
      <w:r>
        <w:rPr>
          <w:rFonts w:hint="default"/>
          <w:b/>
          <w:bCs/>
          <w:i/>
          <w:iCs/>
          <w:sz w:val="24"/>
          <w:szCs w:val="24"/>
          <w:lang w:val="en-US"/>
        </w:rPr>
        <w:t xml:space="preserve">Keywords: </w:t>
      </w:r>
      <w:r>
        <w:rPr>
          <w:rFonts w:hint="default"/>
          <w:i/>
          <w:iCs/>
          <w:sz w:val="24"/>
          <w:szCs w:val="24"/>
          <w:lang w:val="en-US"/>
        </w:rPr>
        <w:t>Lakan Members, Administrative Separation, Career Transition, Transcendental Phenomenology, Resilience.</w:t>
      </w:r>
    </w:p>
    <w:p w14:paraId="6D24ECEC">
      <w:pPr>
        <w:spacing w:line="240" w:lineRule="auto"/>
        <w:jc w:val="both"/>
        <w:rPr>
          <w:rFonts w:hint="default" w:ascii="Times New Roman" w:hAnsi="Times New Roman" w:cs="Times New Roman"/>
          <w:b/>
          <w:bCs/>
          <w:i w:val="0"/>
          <w:iCs w:val="0"/>
          <w:color w:val="auto"/>
          <w:sz w:val="28"/>
          <w:szCs w:val="28"/>
          <w:lang w:val="en-US"/>
        </w:rPr>
      </w:pPr>
      <w:r>
        <w:rPr>
          <w:rFonts w:hint="default" w:ascii="Times New Roman" w:hAnsi="Times New Roman" w:cs="Times New Roman"/>
          <w:b/>
          <w:bCs/>
          <w:i w:val="0"/>
          <w:iCs w:val="0"/>
          <w:color w:val="auto"/>
          <w:sz w:val="28"/>
          <w:szCs w:val="28"/>
          <w:lang w:val="en-US"/>
        </w:rPr>
        <w:t>INTRODUCTION</w:t>
      </w:r>
    </w:p>
    <w:p w14:paraId="52BA255D">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Across the globe, increasing scholarly attention has been directed toward the life transitions of uniformed personnel, particularly those involving involuntary separation from service. Studies on military veterans and law enforcement officers have consistently highlighted the psychological and social consequences of such transitions, including identity disruption, loss of belonging, stigma and reintegration challenges. At the same time, emerging research emphasizes the potential for post-adversity growth, demonstrating that individuals may develop renewed purpose and resilience following highly disruptive experiences.</w:t>
      </w:r>
    </w:p>
    <w:p w14:paraId="37C788A3">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In the Philippine context, the Philippine National Police Academy (PNPA) serves as the premier institution for training commissioned officers for the Philippine National Police (PNP), Bureau of Fire Protection (BFP) and Bureau of Jail Management and Penology (BJMP). Its graduates, known as Lakan members, undergo rigorous academic and paramilitary preparation designed to instill discipline, leadership and a strong sense of service. The Lakan identity carries both institutional and cultural significance, symbolizing honor, integrity and responsibility to protect the community.</w:t>
      </w:r>
    </w:p>
    <w:p w14:paraId="10027E36">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While many PNPA graduates complete their careers in uniformed service, others experience administrative separation through dismissal or other disciplinary actions. Such involuntary exits often lead to profound personal and professional consequences, including emotional distress, social stigma, financial instability and disruption of identity. Despite these challenges, some separated Lakan members are able to reconstruct their lives, pursue alternative career paths and rediscover meaning, resilience and optimism beyond the uniform.</w:t>
      </w:r>
    </w:p>
    <w:p w14:paraId="665B91BD">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Existing research in the Philippines has largely focused on active-duty personnel, occupational stress and organizational performance. Although these studies provide valuable insights into the demands of uniformed service, they offer limited understanding of the experiences of those who have been administratively separated. In particular, the life trajectories, coping mechanisms and identity reconstruction processes of PNPA graduates who have undergone forced separation remain largely unexplored in both academic literature and public discourse.</w:t>
      </w:r>
    </w:p>
    <w:p w14:paraId="37A63366">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The present study addresses this gap by examining the lived experiences of administratively separated Lakan members who have successfully transitioned into new careers. Drawing on Transition Theory, Self-Efficacy Theory and Resilience Theory, the study explores how individuals interpret their separation, mobilize internal and external resources and reconstruct their identities in the aftermath of institutional loss. These theoretical perspectives collectively provide a framework for understanding how individuals navigate change, sustain motivation and adapt positively to adversity.</w:t>
      </w:r>
    </w:p>
    <w:p w14:paraId="58E817E5">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Transition Theory emphasizes that life changes disrupt established roles, relationships and routines, requiring individuals to reinterpret their circumstances and mobilize coping resources. Self-Efficacy Theory highlights the role of belief in one’s capabilities in shaping motivation, persistence and behavioral outcomes. Resilience Theory, in turn, explains how individuals adapt and reorganize in response to adversity through the interaction of personal strengths and environmental supports. Together, these frameworks offer a multidimensional lens for examining the complex processes of adjustment and reinvention.</w:t>
      </w:r>
    </w:p>
    <w:p w14:paraId="4195BBB5">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In addition to theoretical considerations, this study is situated within a broader legal and institutional context. Philippine laws and administrative frameworks establish clear mechanisms for discipline and dismissal within uniformed services, ensuring accountability and adherence to professional standards. However, these frameworks primarily focus on regulation and enforcement, with limited attention given to post-separation support, reintegration or career transition. This absence of structured support systems further underscores the importance of understanding how separated personnel navigate life beyond service.</w:t>
      </w:r>
    </w:p>
    <w:p w14:paraId="521A1D50">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By focusing on Lakan members in the Visayas region, this study provides a contextually grounded perspective that reflects both institutional and cultural influences on transition experiences. Filipino values such as strong family ties, community solidarity and collective support systems play a significant role in shaping coping processes and resilience. These cultural dimensions highlight that adaptation is not solely an individual endeavor but is deeply embedded within relational and social contexts.</w:t>
      </w:r>
    </w:p>
    <w:p w14:paraId="5AF334AD">
      <w:pPr>
        <w:spacing w:line="240" w:lineRule="auto"/>
        <w:ind w:firstLine="720" w:firstLineChars="0"/>
        <w:jc w:val="both"/>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Ultimately, this study seeks to contribute to criminology, public administration and organizational studies by providing empirical insights into a largely underexplored population. It aims to illuminate how administratively separated Lakan members experience transition, rebuild their professional identities and cultivate renewed hope, resilience and optimism in forging meaningful post-service careers. In doing so, the study not only advances academic discourse but also informs policy development and support mechanisms for uniformed personnel undergoing similar life transitions.</w:t>
      </w:r>
    </w:p>
    <w:p w14:paraId="3F099BB6">
      <w:pPr>
        <w:spacing w:line="240" w:lineRule="auto"/>
        <w:jc w:val="both"/>
        <w:outlineLvl w:val="1"/>
        <w:rPr>
          <w:rFonts w:hint="default" w:ascii="Times New Roman" w:hAnsi="Times New Roman" w:cs="Times New Roman"/>
          <w:b/>
          <w:bCs/>
          <w:i w:val="0"/>
          <w:iCs w:val="0"/>
          <w:sz w:val="28"/>
          <w:szCs w:val="28"/>
          <w:lang w:val="en-US"/>
        </w:rPr>
      </w:pPr>
      <w:bookmarkStart w:id="0" w:name="_Toc31552"/>
      <w:r>
        <w:rPr>
          <w:rFonts w:hint="default" w:ascii="Times New Roman" w:hAnsi="Times New Roman" w:cs="Times New Roman"/>
          <w:b/>
          <w:bCs/>
          <w:i w:val="0"/>
          <w:iCs w:val="0"/>
          <w:sz w:val="28"/>
          <w:szCs w:val="28"/>
          <w:lang w:val="en-US"/>
        </w:rPr>
        <w:t>METHODOLOGY</w:t>
      </w:r>
      <w:bookmarkEnd w:id="0"/>
    </w:p>
    <w:p w14:paraId="0FDBE264">
      <w:pPr>
        <w:spacing w:line="240" w:lineRule="auto"/>
        <w:jc w:val="both"/>
        <w:outlineLvl w:val="1"/>
        <w:rPr>
          <w:rFonts w:hint="default" w:ascii="Times New Roman" w:hAnsi="Times New Roman" w:cs="Times New Roman"/>
          <w:b w:val="0"/>
          <w:bCs w:val="0"/>
          <w:i w:val="0"/>
          <w:iCs w:val="0"/>
          <w:sz w:val="24"/>
          <w:szCs w:val="24"/>
          <w:lang w:val="en-US"/>
        </w:rPr>
      </w:pPr>
      <w:bookmarkStart w:id="1" w:name="_Toc24026"/>
      <w:r>
        <w:rPr>
          <w:rFonts w:hint="default" w:ascii="Times New Roman" w:hAnsi="Times New Roman" w:cs="Times New Roman"/>
          <w:b w:val="0"/>
          <w:bCs w:val="0"/>
          <w:i w:val="0"/>
          <w:iCs w:val="0"/>
          <w:sz w:val="24"/>
          <w:szCs w:val="24"/>
          <w:lang w:val="en-US"/>
        </w:rPr>
        <w:t>A. Research Design</w:t>
      </w:r>
    </w:p>
    <w:p w14:paraId="233162A1">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This study employed a qualitative research approach using a transcendental phenomenological design grounded in the works of Husserl and operationalized by Moustakas. This approach was selected to explore and describe the essence of the lived experiences of Lakan members who were administratively separated from uniformed service and subsequently reconstructed their professional and personal lives.</w:t>
      </w:r>
    </w:p>
    <w:p w14:paraId="5E92CC8A">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Transcendental phenomenology focuses on understanding how individuals perceive and make meaning of a phenomenon. In this study, it enabled the examination of both what the participants experienced and how they experienced the transition following administrative separation. To ensure rigor, the researcher practiced bracketing (epoché) by consciously setting aside personal assumptions and prior experiences, thereby allowing the participants’ perspectives to emerge as the primary source of meaning.</w:t>
      </w:r>
    </w:p>
    <w:p w14:paraId="650DAB11">
      <w:pPr>
        <w:spacing w:line="240" w:lineRule="auto"/>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B. Research Environment</w:t>
      </w:r>
    </w:p>
    <w:p w14:paraId="4DD61E2C">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The study was conducted in the Visayas region of the Philippines, focusing on Lakan members who were former graduates of the Philippine National Police Academy (PNPA) and were administratively separated from the Philippine National Police (PNP), Bureau of Fire Protection (BFP)and Bureau of Jail Management and Penology (BJMP).</w:t>
      </w:r>
    </w:p>
    <w:p w14:paraId="10A78835">
      <w:pPr>
        <w:spacing w:line="240" w:lineRule="auto"/>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The Visayas provided a relevant context due to its mix of urban and rural settings, strong community ties and cultural values that influence reintegration and coping processes. This setting allowed for the examination of how regional and socio-cultural factors shape the experiences of separated Lakan members as they transition to civilian life.</w:t>
      </w:r>
    </w:p>
    <w:p w14:paraId="3BCB5A6E">
      <w:pPr>
        <w:spacing w:line="240" w:lineRule="auto"/>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C. Research Informants</w:t>
      </w:r>
    </w:p>
    <w:p w14:paraId="08F82B29">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A total of ten (10) Lakan members participated in the study. Four (4) informants were involved in individual in-depth interviews, while six (6) participated in a Focus Group Discussion (FGD). Participants were selected through purposive and snowball sampling to ensure that they had direct experience of the phenomenon under investigation.</w:t>
      </w:r>
    </w:p>
    <w:p w14:paraId="7AF665DD">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The inclusion criteria required that participants: (1) be graduates of the PNPA (Lakan); (2) have been administratively separated from the PNP, BFP or BJMP between 1995 and 2010; (3) have established new careers related to criminal justice or public safety; (4) be residing in the Visayas region; and (5) be willing to provide in-depth accounts of their experiences.</w:t>
      </w:r>
    </w:p>
    <w:p w14:paraId="2E275F9B">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The sample included representation from the three bureaus, ensuring a balanced perspective across institutional backgrounds. Participants were engaged in various fields such as security management, consultancy, academe, disaster response and community safety initiatives.</w:t>
      </w:r>
    </w:p>
    <w:p w14:paraId="2100720F">
      <w:pPr>
        <w:numPr>
          <w:ilvl w:val="0"/>
          <w:numId w:val="1"/>
        </w:numPr>
        <w:spacing w:line="240" w:lineRule="auto"/>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Research Instruments</w:t>
      </w:r>
    </w:p>
    <w:p w14:paraId="146BF913">
      <w:pPr>
        <w:numPr>
          <w:ilvl w:val="0"/>
          <w:numId w:val="0"/>
        </w:num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Data were collected using semi-structured interview guides and a Focus Group Discussion (FGD) guide. The instruments consisted of open-ended questions designed to elicit detailed narratives related to the participants’ experiences, coping strategies and career transitions.</w:t>
      </w:r>
    </w:p>
    <w:p w14:paraId="7FF84094">
      <w:pPr>
        <w:numPr>
          <w:ilvl w:val="0"/>
          <w:numId w:val="0"/>
        </w:num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The interview guide was organized according to the study’s research questions and was validated by experts in criminology, qualitative research and law enforcement. The semi-structured format allowed for consistency across interviews while providing flexibility for participants to express their perspectives fully.</w:t>
      </w:r>
    </w:p>
    <w:p w14:paraId="3968BBA9">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The FGD guide facilitated collective reflection and validation of emerging themes, enabling participants to share insights, compare experiences and deepen the discussion of key issues.</w:t>
      </w:r>
    </w:p>
    <w:p w14:paraId="3D8EE303">
      <w:pPr>
        <w:spacing w:line="240" w:lineRule="auto"/>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E. Data Collection Procedures</w:t>
      </w:r>
    </w:p>
    <w:p w14:paraId="0CE0F6FD">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Data collection involved individual in-depth interviews and a Focus Group Discussion. Interviews lasted approximately 60 to 90 minutes and were conducted either face-to-face or through a secure online platform, depending on participant availability and logistical considerations. The FGD was conducted online to accommodate geographic constraints.</w:t>
      </w:r>
    </w:p>
    <w:p w14:paraId="5792E81E">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With informed consent, all sessions were audio recorded. Field notes were also taken to capture non-verbal cues, contextual observations and initial reflections. All recordings were transcribed verbatim to ensure accuracy and completeness of the data.</w:t>
      </w:r>
    </w:p>
    <w:p w14:paraId="47B1123E">
      <w:pPr>
        <w:spacing w:line="240" w:lineRule="auto"/>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F. Data Analysis</w:t>
      </w:r>
    </w:p>
    <w:p w14:paraId="28A2C38E">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Data were analyzed using phenomenological procedures guided by Moustakas and supported by thematic analysis techniques. The analysis followed a systematic process that included:</w:t>
      </w:r>
    </w:p>
    <w:p w14:paraId="404E37F0">
      <w:pPr>
        <w:numPr>
          <w:ilvl w:val="0"/>
          <w:numId w:val="2"/>
        </w:numPr>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Transcription and Familiarization – Repeated reading of transcripts to gain immersion in the data.</w:t>
      </w:r>
    </w:p>
    <w:p w14:paraId="467C6C26">
      <w:pPr>
        <w:numPr>
          <w:ilvl w:val="0"/>
          <w:numId w:val="2"/>
        </w:numPr>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Horizontalization – Identification of significant statements related to the phenomenon.</w:t>
      </w:r>
    </w:p>
    <w:p w14:paraId="05B5EE51">
      <w:pPr>
        <w:numPr>
          <w:ilvl w:val="0"/>
          <w:numId w:val="2"/>
        </w:numPr>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Coding and Clustering – Grouping of statements into meaning units and thematic clusters.</w:t>
      </w:r>
    </w:p>
    <w:p w14:paraId="4740B62C">
      <w:pPr>
        <w:numPr>
          <w:ilvl w:val="0"/>
          <w:numId w:val="2"/>
        </w:numPr>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Textural and Structural Description – Description of what was experienced and how it was experienced.</w:t>
      </w:r>
    </w:p>
    <w:p w14:paraId="000A3713">
      <w:pPr>
        <w:numPr>
          <w:ilvl w:val="0"/>
          <w:numId w:val="2"/>
        </w:numPr>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Synthesis of Essence – Integration of findings to capture the core meaning of the lived experiences.</w:t>
      </w:r>
    </w:p>
    <w:p w14:paraId="6616066D">
      <w:pPr>
        <w:numPr>
          <w:ilvl w:val="0"/>
          <w:numId w:val="2"/>
        </w:numPr>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Member checking was conducted to validate the accuracy of interpretations, ensuring that the findings reflected the participants’ intended meanings.</w:t>
      </w:r>
    </w:p>
    <w:p w14:paraId="7A4B0482">
      <w:pPr>
        <w:spacing w:line="240" w:lineRule="auto"/>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G. Ethical Considerations</w:t>
      </w:r>
    </w:p>
    <w:p w14:paraId="20C60461">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The study adhered to the ethical principles of beneficence, non-maleficence, autonomy and justice. Participants were fully informed about the purpose, procedures, risks and benefits of the study prior to participation and written informed consent was obtained.</w:t>
      </w:r>
    </w:p>
    <w:p w14:paraId="37D37835">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 xml:space="preserve">Confidentiality was strictly maintained through the use of pseudonyms and secure data storage. Participants were informed of their right to withdraw at any time and to decline answering any question. The researcher conducted all interactions with sensitivity, particularly given the potentially distressing nature of discussing administrative separation. </w:t>
      </w:r>
    </w:p>
    <w:p w14:paraId="6E75CA4E">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This study involving human participants was reviewed and approved by the University Research Office of the University of Cebu. All participants provided informed consent prior to participation and the study adhered to established ethical standards for research involving human subjects.</w:t>
      </w:r>
    </w:p>
    <w:p w14:paraId="43C9D6E7">
      <w:pPr>
        <w:spacing w:line="240" w:lineRule="auto"/>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H. Trustworthiness of the Study</w:t>
      </w:r>
    </w:p>
    <w:p w14:paraId="2A966845">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To ensure rigor, the study followed established criteria for trustworthiness, including:</w:t>
      </w:r>
    </w:p>
    <w:p w14:paraId="2A595B2E">
      <w:pPr>
        <w:numPr>
          <w:ilvl w:val="0"/>
          <w:numId w:val="3"/>
        </w:numPr>
        <w:tabs>
          <w:tab w:val="clear" w:pos="840"/>
        </w:tabs>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Credibility through prolonged engagement, triangulation and member checking</w:t>
      </w:r>
    </w:p>
    <w:p w14:paraId="1603108E">
      <w:pPr>
        <w:numPr>
          <w:ilvl w:val="0"/>
          <w:numId w:val="3"/>
        </w:numPr>
        <w:tabs>
          <w:tab w:val="clear" w:pos="840"/>
        </w:tabs>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Transferability through detailed contextual descriptions</w:t>
      </w:r>
    </w:p>
    <w:p w14:paraId="191C4CDD">
      <w:pPr>
        <w:numPr>
          <w:ilvl w:val="0"/>
          <w:numId w:val="3"/>
        </w:numPr>
        <w:tabs>
          <w:tab w:val="clear" w:pos="840"/>
        </w:tabs>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Dependability through an audit trail and consistent procedures</w:t>
      </w:r>
    </w:p>
    <w:p w14:paraId="2BD294EE">
      <w:pPr>
        <w:numPr>
          <w:ilvl w:val="0"/>
          <w:numId w:val="3"/>
        </w:numPr>
        <w:tabs>
          <w:tab w:val="clear" w:pos="840"/>
        </w:tabs>
        <w:spacing w:line="240" w:lineRule="auto"/>
        <w:ind w:left="840" w:leftChars="0" w:hanging="4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Confirmability through reflexivity and peer debriefing</w:t>
      </w:r>
    </w:p>
    <w:p w14:paraId="06862B50">
      <w:pPr>
        <w:spacing w:line="240" w:lineRule="auto"/>
        <w:ind w:firstLine="720" w:firstLineChars="0"/>
        <w:jc w:val="both"/>
        <w:outlineLvl w:val="1"/>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Bracketing and reflexivity were continuously practiced to minimize researcher bias and ensure that interpretations were grounded in participants’ lived experiences.</w:t>
      </w:r>
    </w:p>
    <w:bookmarkEnd w:id="1"/>
    <w:p w14:paraId="347D32C3">
      <w:pPr>
        <w:numPr>
          <w:ilvl w:val="0"/>
          <w:numId w:val="0"/>
        </w:numPr>
        <w:spacing w:after="0" w:line="480" w:lineRule="auto"/>
        <w:jc w:val="both"/>
        <w:rPr>
          <w:rFonts w:hint="default" w:ascii="Times New Roman" w:hAnsi="Times New Roman"/>
          <w:b w:val="0"/>
          <w:bCs/>
          <w:sz w:val="24"/>
          <w:szCs w:val="24"/>
        </w:rPr>
      </w:pPr>
      <w:r>
        <w:rPr>
          <w:rFonts w:hint="default" w:ascii="Times New Roman" w:hAnsi="Times New Roman"/>
          <w:b/>
          <w:sz w:val="28"/>
          <w:szCs w:val="28"/>
        </w:rPr>
        <w:t>RESULTS</w:t>
      </w:r>
    </w:p>
    <w:p w14:paraId="4C9D1B71">
      <w:pPr>
        <w:numPr>
          <w:ilvl w:val="0"/>
          <w:numId w:val="0"/>
        </w:numPr>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The analysis of qualitative data generated fifteen (15) emergent themes, organized into three major domains: (1) experiences following administrative separation, (2) strategies for rebuilding new career </w:t>
      </w:r>
      <w:r>
        <w:rPr>
          <w:rFonts w:hint="default" w:ascii="Times New Roman" w:hAnsi="Times New Roman"/>
          <w:b w:val="0"/>
          <w:bCs/>
          <w:sz w:val="24"/>
          <w:szCs w:val="24"/>
          <w:lang w:val="en-US"/>
        </w:rPr>
        <w:t>paths and</w:t>
      </w:r>
      <w:r>
        <w:rPr>
          <w:rFonts w:hint="default" w:ascii="Times New Roman" w:hAnsi="Times New Roman"/>
          <w:b w:val="0"/>
          <w:bCs/>
          <w:sz w:val="24"/>
          <w:szCs w:val="24"/>
        </w:rPr>
        <w:t xml:space="preserve"> (3) present life outlook. These themes collectively describe the lived realities, adaptive </w:t>
      </w:r>
      <w:r>
        <w:rPr>
          <w:rFonts w:hint="default" w:ascii="Times New Roman" w:hAnsi="Times New Roman"/>
          <w:b w:val="0"/>
          <w:bCs/>
          <w:sz w:val="24"/>
          <w:szCs w:val="24"/>
          <w:lang w:val="en-US"/>
        </w:rPr>
        <w:t>processes and</w:t>
      </w:r>
      <w:r>
        <w:rPr>
          <w:rFonts w:hint="default" w:ascii="Times New Roman" w:hAnsi="Times New Roman"/>
          <w:b w:val="0"/>
          <w:bCs/>
          <w:sz w:val="24"/>
          <w:szCs w:val="24"/>
        </w:rPr>
        <w:t xml:space="preserve"> identity reconstruction of Lakan members after separation.</w:t>
      </w:r>
    </w:p>
    <w:p w14:paraId="3A7A5A12">
      <w:pPr>
        <w:numPr>
          <w:ilvl w:val="0"/>
          <w:numId w:val="0"/>
        </w:numPr>
        <w:spacing w:after="0" w:line="240" w:lineRule="auto"/>
        <w:ind w:firstLine="720" w:firstLineChars="0"/>
        <w:jc w:val="both"/>
        <w:rPr>
          <w:rFonts w:hint="default" w:ascii="Times New Roman" w:hAnsi="Times New Roman"/>
          <w:b w:val="0"/>
          <w:bCs/>
          <w:sz w:val="24"/>
          <w:szCs w:val="24"/>
        </w:rPr>
      </w:pPr>
    </w:p>
    <w:p w14:paraId="75DEB7F3">
      <w:pPr>
        <w:numPr>
          <w:ilvl w:val="0"/>
          <w:numId w:val="0"/>
        </w:numPr>
        <w:spacing w:after="0" w:line="240" w:lineRule="auto"/>
        <w:jc w:val="both"/>
        <w:rPr>
          <w:rFonts w:hint="default" w:ascii="Times New Roman" w:hAnsi="Times New Roman"/>
          <w:b w:val="0"/>
          <w:bCs/>
          <w:sz w:val="24"/>
          <w:szCs w:val="24"/>
        </w:rPr>
      </w:pPr>
      <w:r>
        <w:rPr>
          <w:rFonts w:hint="default" w:ascii="Times New Roman" w:hAnsi="Times New Roman"/>
          <w:b w:val="0"/>
          <w:bCs/>
          <w:sz w:val="24"/>
          <w:szCs w:val="24"/>
        </w:rPr>
        <w:t>A. Experiences after Administrative Separation</w:t>
      </w:r>
    </w:p>
    <w:p w14:paraId="383B58F8">
      <w:pPr>
        <w:numPr>
          <w:ilvl w:val="0"/>
          <w:numId w:val="0"/>
        </w:numPr>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This domain comprises five themes that reflect the immediate and profound impact of administrative separation on the informants’ emotional, </w:t>
      </w:r>
      <w:r>
        <w:rPr>
          <w:rFonts w:hint="default" w:ascii="Times New Roman" w:hAnsi="Times New Roman"/>
          <w:b w:val="0"/>
          <w:bCs/>
          <w:sz w:val="24"/>
          <w:szCs w:val="24"/>
          <w:lang w:val="en-US"/>
        </w:rPr>
        <w:t>social and</w:t>
      </w:r>
      <w:r>
        <w:rPr>
          <w:rFonts w:hint="default" w:ascii="Times New Roman" w:hAnsi="Times New Roman"/>
          <w:b w:val="0"/>
          <w:bCs/>
          <w:sz w:val="24"/>
          <w:szCs w:val="24"/>
        </w:rPr>
        <w:t xml:space="preserve"> professional lives.</w:t>
      </w:r>
    </w:p>
    <w:p w14:paraId="4F25DDAD">
      <w:pPr>
        <w:numPr>
          <w:ilvl w:val="0"/>
          <w:numId w:val="0"/>
        </w:numPr>
        <w:spacing w:after="0" w:line="240" w:lineRule="auto"/>
        <w:ind w:firstLine="720" w:firstLineChars="0"/>
        <w:jc w:val="both"/>
        <w:rPr>
          <w:rFonts w:hint="default" w:ascii="Times New Roman" w:hAnsi="Times New Roman"/>
          <w:b w:val="0"/>
          <w:bCs/>
          <w:sz w:val="24"/>
          <w:szCs w:val="24"/>
        </w:rPr>
      </w:pPr>
    </w:p>
    <w:p w14:paraId="2BE4D8AD">
      <w:pPr>
        <w:numPr>
          <w:ilvl w:val="0"/>
          <w:numId w:val="0"/>
        </w:numPr>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1. Shattered Professional Identity and Emotional Dislocation</w:t>
      </w:r>
      <w:r>
        <w:rPr>
          <w:rFonts w:hint="default" w:ascii="Times New Roman" w:hAnsi="Times New Roman"/>
          <w:b w:val="0"/>
          <w:bCs/>
          <w:sz w:val="24"/>
          <w:szCs w:val="24"/>
          <w:lang w:val="en-US"/>
        </w:rPr>
        <w:t xml:space="preserve">. </w:t>
      </w:r>
      <w:r>
        <w:rPr>
          <w:rFonts w:hint="default" w:ascii="Times New Roman" w:hAnsi="Times New Roman"/>
          <w:b w:val="0"/>
          <w:bCs/>
          <w:sz w:val="24"/>
          <w:szCs w:val="24"/>
        </w:rPr>
        <w:t xml:space="preserve">Administrative separation resulted in a significant disruption of identity. Informants experienced the loss of the uniform as the collapse of a deeply internalized professional self, leading to emotional instability, </w:t>
      </w:r>
      <w:r>
        <w:rPr>
          <w:rFonts w:hint="default" w:ascii="Times New Roman" w:hAnsi="Times New Roman"/>
          <w:b w:val="0"/>
          <w:bCs/>
          <w:sz w:val="24"/>
          <w:szCs w:val="24"/>
          <w:lang w:val="en-US"/>
        </w:rPr>
        <w:t>disorientation and</w:t>
      </w:r>
      <w:r>
        <w:rPr>
          <w:rFonts w:hint="default" w:ascii="Times New Roman" w:hAnsi="Times New Roman"/>
          <w:b w:val="0"/>
          <w:bCs/>
          <w:sz w:val="24"/>
          <w:szCs w:val="24"/>
        </w:rPr>
        <w:t xml:space="preserve"> uncertainty about their place in society. The experience extended beyond occupational loss and was perceived as an existential disruption.</w:t>
      </w:r>
    </w:p>
    <w:p w14:paraId="2BEF1E1D">
      <w:pPr>
        <w:numPr>
          <w:ilvl w:val="0"/>
          <w:numId w:val="0"/>
        </w:numPr>
        <w:spacing w:after="0" w:line="240" w:lineRule="auto"/>
        <w:ind w:firstLine="720" w:firstLineChars="0"/>
        <w:jc w:val="both"/>
        <w:rPr>
          <w:rFonts w:hint="default" w:ascii="Times New Roman" w:hAnsi="Times New Roman"/>
          <w:b w:val="0"/>
          <w:bCs/>
          <w:sz w:val="24"/>
          <w:szCs w:val="24"/>
        </w:rPr>
      </w:pPr>
    </w:p>
    <w:p w14:paraId="47261A8E">
      <w:pPr>
        <w:numPr>
          <w:ilvl w:val="0"/>
          <w:numId w:val="0"/>
        </w:numPr>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2. Stigma, </w:t>
      </w:r>
      <w:r>
        <w:rPr>
          <w:rFonts w:hint="default" w:ascii="Times New Roman" w:hAnsi="Times New Roman"/>
          <w:b w:val="0"/>
          <w:bCs/>
          <w:sz w:val="24"/>
          <w:szCs w:val="24"/>
          <w:lang w:val="en-US"/>
        </w:rPr>
        <w:t>Shame and</w:t>
      </w:r>
      <w:r>
        <w:rPr>
          <w:rFonts w:hint="default" w:ascii="Times New Roman" w:hAnsi="Times New Roman"/>
          <w:b w:val="0"/>
          <w:bCs/>
          <w:sz w:val="24"/>
          <w:szCs w:val="24"/>
        </w:rPr>
        <w:t xml:space="preserve"> Social Withdrawal</w:t>
      </w:r>
      <w:r>
        <w:rPr>
          <w:rFonts w:hint="default" w:ascii="Times New Roman" w:hAnsi="Times New Roman"/>
          <w:b w:val="0"/>
          <w:bCs/>
          <w:sz w:val="24"/>
          <w:szCs w:val="24"/>
          <w:lang w:val="en-US"/>
        </w:rPr>
        <w:t xml:space="preserve">. </w:t>
      </w:r>
      <w:r>
        <w:rPr>
          <w:rFonts w:hint="default" w:ascii="Times New Roman" w:hAnsi="Times New Roman"/>
          <w:b w:val="0"/>
          <w:bCs/>
          <w:sz w:val="24"/>
          <w:szCs w:val="24"/>
        </w:rPr>
        <w:t>Informants encountered stigma and social judgment, which contributed to feelings of shame and diminished self-worth. These experiences led to both external marginalization and voluntary withdrawal from social interactions, as individuals sought to avoid perceived judgment and protect their dignity.</w:t>
      </w:r>
    </w:p>
    <w:p w14:paraId="020C0F6D">
      <w:pPr>
        <w:numPr>
          <w:ilvl w:val="0"/>
          <w:numId w:val="0"/>
        </w:numPr>
        <w:spacing w:after="0" w:line="240" w:lineRule="auto"/>
        <w:ind w:firstLine="720" w:firstLineChars="0"/>
        <w:jc w:val="both"/>
        <w:rPr>
          <w:rFonts w:hint="default" w:ascii="Times New Roman" w:hAnsi="Times New Roman"/>
          <w:b w:val="0"/>
          <w:bCs/>
          <w:sz w:val="24"/>
          <w:szCs w:val="24"/>
        </w:rPr>
      </w:pPr>
    </w:p>
    <w:p w14:paraId="4E336E47">
      <w:pPr>
        <w:numPr>
          <w:ilvl w:val="0"/>
          <w:numId w:val="0"/>
        </w:numPr>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3. Financial Instability and Survival Pressure</w:t>
      </w:r>
      <w:r>
        <w:rPr>
          <w:rFonts w:hint="default" w:ascii="Times New Roman" w:hAnsi="Times New Roman"/>
          <w:b w:val="0"/>
          <w:bCs/>
          <w:sz w:val="24"/>
          <w:szCs w:val="24"/>
          <w:lang w:val="en-US"/>
        </w:rPr>
        <w:t xml:space="preserve">. </w:t>
      </w:r>
      <w:r>
        <w:rPr>
          <w:rFonts w:hint="default" w:ascii="Times New Roman" w:hAnsi="Times New Roman"/>
          <w:b w:val="0"/>
          <w:bCs/>
          <w:sz w:val="24"/>
          <w:szCs w:val="24"/>
        </w:rPr>
        <w:t>Administrative separation triggered immediate financial instability, particularly for those serving as primary providers. Economic pressures intensified emotional distress and shifted priorities toward survival and income generation, often delaying emotional recovery.</w:t>
      </w:r>
    </w:p>
    <w:p w14:paraId="41818872">
      <w:pPr>
        <w:numPr>
          <w:ilvl w:val="0"/>
          <w:numId w:val="0"/>
        </w:numPr>
        <w:spacing w:after="0" w:line="240" w:lineRule="auto"/>
        <w:ind w:firstLine="720" w:firstLineChars="0"/>
        <w:jc w:val="both"/>
        <w:rPr>
          <w:rFonts w:hint="default" w:ascii="Times New Roman" w:hAnsi="Times New Roman"/>
          <w:b w:val="0"/>
          <w:bCs/>
          <w:sz w:val="24"/>
          <w:szCs w:val="24"/>
        </w:rPr>
      </w:pPr>
    </w:p>
    <w:p w14:paraId="13FCB1FA">
      <w:pPr>
        <w:numPr>
          <w:ilvl w:val="0"/>
          <w:numId w:val="0"/>
        </w:numPr>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4. Family Burden, </w:t>
      </w:r>
      <w:r>
        <w:rPr>
          <w:rFonts w:hint="default" w:ascii="Times New Roman" w:hAnsi="Times New Roman"/>
          <w:b w:val="0"/>
          <w:bCs/>
          <w:sz w:val="24"/>
          <w:szCs w:val="24"/>
          <w:lang w:val="en-US"/>
        </w:rPr>
        <w:t>Responsibility and</w:t>
      </w:r>
      <w:r>
        <w:rPr>
          <w:rFonts w:hint="default" w:ascii="Times New Roman" w:hAnsi="Times New Roman"/>
          <w:b w:val="0"/>
          <w:bCs/>
          <w:sz w:val="24"/>
          <w:szCs w:val="24"/>
        </w:rPr>
        <w:t xml:space="preserve"> Shared Resilience</w:t>
      </w:r>
      <w:r>
        <w:rPr>
          <w:rFonts w:hint="default" w:ascii="Times New Roman" w:hAnsi="Times New Roman"/>
          <w:b w:val="0"/>
          <w:bCs/>
          <w:sz w:val="24"/>
          <w:szCs w:val="24"/>
          <w:lang w:val="en-US"/>
        </w:rPr>
        <w:t xml:space="preserve">. </w:t>
      </w:r>
      <w:r>
        <w:rPr>
          <w:rFonts w:hint="default" w:ascii="Times New Roman" w:hAnsi="Times New Roman"/>
          <w:b w:val="0"/>
          <w:bCs/>
          <w:sz w:val="24"/>
          <w:szCs w:val="24"/>
        </w:rPr>
        <w:t>Separation imposed emotional and financial strain on families; however, family support emerged as a critical protective factor. Informants demonstrated a strong sense of responsibility toward their families, which served both as a source of pressure and motivation, ultimately strengthening familial bonds and resilience.</w:t>
      </w:r>
    </w:p>
    <w:p w14:paraId="5F12ED89">
      <w:pPr>
        <w:numPr>
          <w:ilvl w:val="0"/>
          <w:numId w:val="0"/>
        </w:numPr>
        <w:spacing w:after="0" w:line="240" w:lineRule="auto"/>
        <w:ind w:firstLine="720" w:firstLineChars="0"/>
        <w:jc w:val="both"/>
        <w:rPr>
          <w:rFonts w:hint="default" w:ascii="Times New Roman" w:hAnsi="Times New Roman"/>
          <w:b w:val="0"/>
          <w:bCs/>
          <w:sz w:val="24"/>
          <w:szCs w:val="24"/>
        </w:rPr>
      </w:pPr>
    </w:p>
    <w:p w14:paraId="75B0BCFA">
      <w:pPr>
        <w:numPr>
          <w:ilvl w:val="0"/>
          <w:numId w:val="0"/>
        </w:numPr>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5. Loss of Institutional Trust and Forced Self-Reliance</w:t>
      </w:r>
      <w:r>
        <w:rPr>
          <w:rFonts w:hint="default" w:ascii="Times New Roman" w:hAnsi="Times New Roman"/>
          <w:b w:val="0"/>
          <w:bCs/>
          <w:sz w:val="24"/>
          <w:szCs w:val="24"/>
          <w:lang w:val="en-US"/>
        </w:rPr>
        <w:t xml:space="preserve">. </w:t>
      </w:r>
      <w:r>
        <w:rPr>
          <w:rFonts w:hint="default" w:ascii="Times New Roman" w:hAnsi="Times New Roman"/>
          <w:b w:val="0"/>
          <w:bCs/>
          <w:sz w:val="24"/>
          <w:szCs w:val="24"/>
        </w:rPr>
        <w:t>Informants experienced a loss of trust in institutional systems, accompanied by feelings of abandonment and perceived injustice. This shift prompted a transition from institutional dependence to self-reliance, as individuals assumed full responsibility for rebuilding their lives and future directions.</w:t>
      </w:r>
    </w:p>
    <w:p w14:paraId="3F235292">
      <w:pPr>
        <w:numPr>
          <w:ilvl w:val="0"/>
          <w:numId w:val="0"/>
        </w:numPr>
        <w:spacing w:after="0" w:line="240" w:lineRule="auto"/>
        <w:ind w:firstLine="720" w:firstLineChars="0"/>
        <w:jc w:val="both"/>
        <w:rPr>
          <w:rFonts w:hint="default" w:ascii="Times New Roman" w:hAnsi="Times New Roman"/>
          <w:b w:val="0"/>
          <w:bCs/>
          <w:sz w:val="24"/>
          <w:szCs w:val="24"/>
        </w:rPr>
      </w:pPr>
    </w:p>
    <w:p w14:paraId="0E383249">
      <w:pPr>
        <w:numPr>
          <w:ilvl w:val="0"/>
          <w:numId w:val="0"/>
        </w:numPr>
        <w:spacing w:after="0" w:line="240" w:lineRule="auto"/>
        <w:jc w:val="both"/>
        <w:rPr>
          <w:rFonts w:hint="default" w:ascii="Times New Roman" w:hAnsi="Times New Roman"/>
          <w:b w:val="0"/>
          <w:bCs/>
          <w:sz w:val="24"/>
          <w:szCs w:val="24"/>
        </w:rPr>
      </w:pPr>
      <w:r>
        <w:rPr>
          <w:rFonts w:hint="default" w:ascii="Times New Roman" w:hAnsi="Times New Roman"/>
          <w:b w:val="0"/>
          <w:bCs/>
          <w:sz w:val="24"/>
          <w:szCs w:val="24"/>
        </w:rPr>
        <w:t>B. Strategies Toward New Career Paths</w:t>
      </w:r>
    </w:p>
    <w:p w14:paraId="3F0FBF87">
      <w:pPr>
        <w:numPr>
          <w:ilvl w:val="0"/>
          <w:numId w:val="0"/>
        </w:numPr>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This domain includes six themes that describe the adaptive strategies employed by informants in reconstructing their careers and restoring a sense of agency.</w:t>
      </w:r>
    </w:p>
    <w:p w14:paraId="0D1953C4">
      <w:pPr>
        <w:numPr>
          <w:ilvl w:val="0"/>
          <w:numId w:val="0"/>
        </w:numPr>
        <w:spacing w:after="0" w:line="240" w:lineRule="auto"/>
        <w:ind w:firstLine="720" w:firstLineChars="0"/>
        <w:jc w:val="both"/>
        <w:rPr>
          <w:rFonts w:hint="default" w:ascii="Times New Roman" w:hAnsi="Times New Roman"/>
          <w:b w:val="0"/>
          <w:bCs/>
          <w:sz w:val="24"/>
          <w:szCs w:val="24"/>
        </w:rPr>
      </w:pPr>
    </w:p>
    <w:p w14:paraId="06BE0A8F">
      <w:pPr>
        <w:numPr>
          <w:ilvl w:val="0"/>
          <w:numId w:val="0"/>
        </w:numPr>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1. Acceptance and Cognitive </w:t>
      </w:r>
      <w:r>
        <w:rPr>
          <w:rFonts w:hint="default" w:ascii="Times New Roman" w:hAnsi="Times New Roman"/>
          <w:b w:val="0"/>
          <w:bCs/>
          <w:sz w:val="24"/>
          <w:szCs w:val="24"/>
          <w:lang w:val="en-US"/>
        </w:rPr>
        <w:t xml:space="preserve">Re-framing. </w:t>
      </w:r>
      <w:r>
        <w:rPr>
          <w:rFonts w:hint="default" w:ascii="Times New Roman" w:hAnsi="Times New Roman"/>
          <w:b w:val="0"/>
          <w:bCs/>
          <w:sz w:val="24"/>
          <w:szCs w:val="24"/>
        </w:rPr>
        <w:t>Acceptance of separation emerged as a critical turning point in the recovery process. Informants reinterpreted their experiences as opportunities for growth and redirection, enabling them to move from emotional distress toward purposeful action.</w:t>
      </w:r>
    </w:p>
    <w:p w14:paraId="6EFC1BD7">
      <w:pPr>
        <w:numPr>
          <w:ilvl w:val="0"/>
          <w:numId w:val="0"/>
        </w:numPr>
        <w:spacing w:after="0" w:line="240" w:lineRule="auto"/>
        <w:ind w:firstLine="720" w:firstLineChars="0"/>
        <w:jc w:val="both"/>
        <w:rPr>
          <w:rFonts w:hint="default" w:ascii="Times New Roman" w:hAnsi="Times New Roman"/>
          <w:b w:val="0"/>
          <w:bCs/>
          <w:sz w:val="24"/>
          <w:szCs w:val="24"/>
        </w:rPr>
      </w:pPr>
    </w:p>
    <w:p w14:paraId="14085057">
      <w:pPr>
        <w:numPr>
          <w:ilvl w:val="0"/>
          <w:numId w:val="0"/>
        </w:numPr>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2. Discipline and Resilience as Survival Anchors</w:t>
      </w:r>
      <w:r>
        <w:rPr>
          <w:rFonts w:hint="default" w:ascii="Times New Roman" w:hAnsi="Times New Roman"/>
          <w:b w:val="0"/>
          <w:bCs/>
          <w:sz w:val="24"/>
          <w:szCs w:val="24"/>
          <w:lang w:val="en-US"/>
        </w:rPr>
        <w:t xml:space="preserve">. </w:t>
      </w:r>
      <w:r>
        <w:rPr>
          <w:rFonts w:hint="default" w:ascii="Times New Roman" w:hAnsi="Times New Roman"/>
          <w:b w:val="0"/>
          <w:bCs/>
          <w:sz w:val="24"/>
          <w:szCs w:val="24"/>
        </w:rPr>
        <w:t xml:space="preserve">Discipline, </w:t>
      </w:r>
      <w:r>
        <w:rPr>
          <w:rFonts w:hint="default" w:ascii="Times New Roman" w:hAnsi="Times New Roman"/>
          <w:b w:val="0"/>
          <w:bCs/>
          <w:sz w:val="24"/>
          <w:szCs w:val="24"/>
          <w:lang w:val="en-US"/>
        </w:rPr>
        <w:t>resilience and</w:t>
      </w:r>
      <w:r>
        <w:rPr>
          <w:rFonts w:hint="default" w:ascii="Times New Roman" w:hAnsi="Times New Roman"/>
          <w:b w:val="0"/>
          <w:bCs/>
          <w:sz w:val="24"/>
          <w:szCs w:val="24"/>
        </w:rPr>
        <w:t xml:space="preserve"> mental toughness developed during cadetship functioned as foundational coping mechanisms. These attributes enabled informants to endure adversity, maintain </w:t>
      </w:r>
      <w:r>
        <w:rPr>
          <w:rFonts w:hint="default" w:ascii="Times New Roman" w:hAnsi="Times New Roman"/>
          <w:b w:val="0"/>
          <w:bCs/>
          <w:sz w:val="24"/>
          <w:szCs w:val="24"/>
          <w:lang w:val="en-US"/>
        </w:rPr>
        <w:t>structure and</w:t>
      </w:r>
      <w:r>
        <w:rPr>
          <w:rFonts w:hint="default" w:ascii="Times New Roman" w:hAnsi="Times New Roman"/>
          <w:b w:val="0"/>
          <w:bCs/>
          <w:sz w:val="24"/>
          <w:szCs w:val="24"/>
        </w:rPr>
        <w:t xml:space="preserve"> persist in rebuilding their lives.</w:t>
      </w:r>
    </w:p>
    <w:p w14:paraId="37E5D83F">
      <w:pPr>
        <w:numPr>
          <w:ilvl w:val="0"/>
          <w:numId w:val="0"/>
        </w:numPr>
        <w:spacing w:after="0" w:line="240" w:lineRule="auto"/>
        <w:ind w:firstLine="720" w:firstLineChars="0"/>
        <w:jc w:val="both"/>
        <w:rPr>
          <w:rFonts w:hint="default" w:ascii="Times New Roman" w:hAnsi="Times New Roman"/>
          <w:b w:val="0"/>
          <w:bCs/>
          <w:sz w:val="24"/>
          <w:szCs w:val="24"/>
        </w:rPr>
      </w:pPr>
    </w:p>
    <w:p w14:paraId="12BFC016">
      <w:pPr>
        <w:numPr>
          <w:ilvl w:val="0"/>
          <w:numId w:val="0"/>
        </w:numPr>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3. Faith and Spiritual Meaning-Making</w:t>
      </w:r>
      <w:r>
        <w:rPr>
          <w:rFonts w:hint="default" w:ascii="Times New Roman" w:hAnsi="Times New Roman"/>
          <w:b w:val="0"/>
          <w:bCs/>
          <w:sz w:val="24"/>
          <w:szCs w:val="24"/>
          <w:lang w:val="en-US"/>
        </w:rPr>
        <w:t xml:space="preserve">. </w:t>
      </w:r>
      <w:r>
        <w:rPr>
          <w:rFonts w:hint="default" w:ascii="Times New Roman" w:hAnsi="Times New Roman"/>
          <w:b w:val="0"/>
          <w:bCs/>
          <w:sz w:val="24"/>
          <w:szCs w:val="24"/>
        </w:rPr>
        <w:t xml:space="preserve">Faith and spiritual reflection provided emotional grounding and facilitated meaning-making. Informants reinterpreted their experiences within a broader perspective, which supported acceptance, </w:t>
      </w:r>
      <w:r>
        <w:rPr>
          <w:rFonts w:hint="default" w:ascii="Times New Roman" w:hAnsi="Times New Roman"/>
          <w:b w:val="0"/>
          <w:bCs/>
          <w:sz w:val="24"/>
          <w:szCs w:val="24"/>
          <w:lang w:val="en-US"/>
        </w:rPr>
        <w:t>hope and</w:t>
      </w:r>
      <w:r>
        <w:rPr>
          <w:rFonts w:hint="default" w:ascii="Times New Roman" w:hAnsi="Times New Roman"/>
          <w:b w:val="0"/>
          <w:bCs/>
          <w:sz w:val="24"/>
          <w:szCs w:val="24"/>
        </w:rPr>
        <w:t xml:space="preserve"> psychological recovery.</w:t>
      </w:r>
    </w:p>
    <w:p w14:paraId="7ACFAF95">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3178A69E">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4. Brotherhood and Peer Support</w:t>
      </w:r>
      <w:r>
        <w:rPr>
          <w:rFonts w:hint="default" w:ascii="Times New Roman" w:hAnsi="Times New Roman"/>
          <w:b w:val="0"/>
          <w:bCs/>
          <w:sz w:val="24"/>
          <w:szCs w:val="24"/>
          <w:lang w:val="en-US"/>
        </w:rPr>
        <w:t xml:space="preserve">. </w:t>
      </w:r>
      <w:r>
        <w:rPr>
          <w:rFonts w:hint="default" w:ascii="Times New Roman" w:hAnsi="Times New Roman"/>
          <w:b w:val="0"/>
          <w:bCs/>
          <w:sz w:val="24"/>
          <w:szCs w:val="24"/>
        </w:rPr>
        <w:t xml:space="preserve">Peer support and shared experiences with fellow Lakan members provided emotional validation and encouragement. These support systems contributed to restoring confidence, normalizing </w:t>
      </w:r>
      <w:r>
        <w:rPr>
          <w:rFonts w:hint="default" w:ascii="Times New Roman" w:hAnsi="Times New Roman"/>
          <w:b w:val="0"/>
          <w:bCs/>
          <w:sz w:val="24"/>
          <w:szCs w:val="24"/>
          <w:lang w:val="en-US"/>
        </w:rPr>
        <w:t>challenges and</w:t>
      </w:r>
      <w:r>
        <w:rPr>
          <w:rFonts w:hint="default" w:ascii="Times New Roman" w:hAnsi="Times New Roman"/>
          <w:b w:val="0"/>
          <w:bCs/>
          <w:sz w:val="24"/>
          <w:szCs w:val="24"/>
        </w:rPr>
        <w:t xml:space="preserve"> reinforcing a sense of belonging.</w:t>
      </w:r>
    </w:p>
    <w:p w14:paraId="30087F46">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3A49FB3F">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5. Rediscovery of Transferable Competence</w:t>
      </w:r>
      <w:r>
        <w:rPr>
          <w:rFonts w:hint="default" w:ascii="Times New Roman" w:hAnsi="Times New Roman"/>
          <w:b w:val="0"/>
          <w:bCs/>
          <w:sz w:val="24"/>
          <w:szCs w:val="24"/>
          <w:lang w:val="en-US"/>
        </w:rPr>
        <w:t xml:space="preserve">. </w:t>
      </w:r>
      <w:r>
        <w:rPr>
          <w:rFonts w:hint="default" w:ascii="Times New Roman" w:hAnsi="Times New Roman"/>
          <w:b w:val="0"/>
          <w:bCs/>
          <w:sz w:val="24"/>
          <w:szCs w:val="24"/>
        </w:rPr>
        <w:t>Informants recognized that the skills and competencies developed during their service remained relevant and applicable in other professional contexts. This realization contributed to renewed confidence and facilitated career repositioning.</w:t>
      </w:r>
    </w:p>
    <w:p w14:paraId="3AC46651">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1D99D2DF">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6. Strategic Career Rebuilding through Learning and Service</w:t>
      </w:r>
      <w:r>
        <w:rPr>
          <w:rFonts w:hint="default" w:ascii="Times New Roman" w:hAnsi="Times New Roman"/>
          <w:b w:val="0"/>
          <w:bCs/>
          <w:sz w:val="24"/>
          <w:szCs w:val="24"/>
          <w:lang w:val="en-US"/>
        </w:rPr>
        <w:t xml:space="preserve">. </w:t>
      </w:r>
      <w:r>
        <w:rPr>
          <w:rFonts w:hint="default" w:ascii="Times New Roman" w:hAnsi="Times New Roman"/>
          <w:b w:val="0"/>
          <w:bCs/>
          <w:sz w:val="24"/>
          <w:szCs w:val="24"/>
        </w:rPr>
        <w:t xml:space="preserve">Informants engaged in continuous learning, skill </w:t>
      </w:r>
      <w:r>
        <w:rPr>
          <w:rFonts w:hint="default" w:ascii="Times New Roman" w:hAnsi="Times New Roman"/>
          <w:b w:val="0"/>
          <w:bCs/>
          <w:sz w:val="24"/>
          <w:szCs w:val="24"/>
          <w:lang w:val="en-US"/>
        </w:rPr>
        <w:t>development and</w:t>
      </w:r>
      <w:r>
        <w:rPr>
          <w:rFonts w:hint="default" w:ascii="Times New Roman" w:hAnsi="Times New Roman"/>
          <w:b w:val="0"/>
          <w:bCs/>
          <w:sz w:val="24"/>
          <w:szCs w:val="24"/>
        </w:rPr>
        <w:t xml:space="preserve"> service-oriented activities to rebuild their careers. These strategies enhanced professional credibility, restored </w:t>
      </w:r>
      <w:r>
        <w:rPr>
          <w:rFonts w:hint="default" w:ascii="Times New Roman" w:hAnsi="Times New Roman"/>
          <w:b w:val="0"/>
          <w:bCs/>
          <w:sz w:val="24"/>
          <w:szCs w:val="24"/>
          <w:lang w:val="en-US"/>
        </w:rPr>
        <w:t>self-worth and</w:t>
      </w:r>
      <w:r>
        <w:rPr>
          <w:rFonts w:hint="default" w:ascii="Times New Roman" w:hAnsi="Times New Roman"/>
          <w:b w:val="0"/>
          <w:bCs/>
          <w:sz w:val="24"/>
          <w:szCs w:val="24"/>
        </w:rPr>
        <w:t xml:space="preserve"> opened opportunities in new fields aligned with their values and competencies.</w:t>
      </w:r>
    </w:p>
    <w:p w14:paraId="63172770">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7027EC02">
      <w:pPr>
        <w:numPr>
          <w:ilvl w:val="0"/>
          <w:numId w:val="0"/>
        </w:numPr>
        <w:tabs>
          <w:tab w:val="left" w:pos="440"/>
        </w:tabs>
        <w:spacing w:after="0" w:line="240" w:lineRule="auto"/>
        <w:jc w:val="both"/>
        <w:rPr>
          <w:rFonts w:hint="default" w:ascii="Times New Roman" w:hAnsi="Times New Roman"/>
          <w:b w:val="0"/>
          <w:bCs/>
          <w:sz w:val="24"/>
          <w:szCs w:val="24"/>
        </w:rPr>
      </w:pPr>
      <w:r>
        <w:rPr>
          <w:rFonts w:hint="default" w:ascii="Times New Roman" w:hAnsi="Times New Roman"/>
          <w:b w:val="0"/>
          <w:bCs/>
          <w:sz w:val="24"/>
          <w:szCs w:val="24"/>
        </w:rPr>
        <w:t>C. Present Life Outlook</w:t>
      </w:r>
    </w:p>
    <w:p w14:paraId="127F7523">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This domain comprises four themes that reflect the informants’ reconstructed identity, renewed </w:t>
      </w:r>
      <w:r>
        <w:rPr>
          <w:rFonts w:hint="default" w:ascii="Times New Roman" w:hAnsi="Times New Roman"/>
          <w:b w:val="0"/>
          <w:bCs/>
          <w:sz w:val="24"/>
          <w:szCs w:val="24"/>
          <w:lang w:val="en-US"/>
        </w:rPr>
        <w:t>purpose and</w:t>
      </w:r>
      <w:r>
        <w:rPr>
          <w:rFonts w:hint="default" w:ascii="Times New Roman" w:hAnsi="Times New Roman"/>
          <w:b w:val="0"/>
          <w:bCs/>
          <w:sz w:val="24"/>
          <w:szCs w:val="24"/>
        </w:rPr>
        <w:t xml:space="preserve"> future orientation.</w:t>
      </w:r>
    </w:p>
    <w:p w14:paraId="7209692C">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0EAEAAE3">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1. Redemption through Integrity and Accountability</w:t>
      </w:r>
      <w:r>
        <w:rPr>
          <w:rFonts w:hint="default" w:ascii="Times New Roman" w:hAnsi="Times New Roman"/>
          <w:b w:val="0"/>
          <w:bCs/>
          <w:sz w:val="24"/>
          <w:szCs w:val="24"/>
          <w:lang w:val="en-US"/>
        </w:rPr>
        <w:t xml:space="preserve">. </w:t>
      </w:r>
      <w:r>
        <w:rPr>
          <w:rFonts w:hint="default" w:ascii="Times New Roman" w:hAnsi="Times New Roman"/>
          <w:b w:val="0"/>
          <w:bCs/>
          <w:sz w:val="24"/>
          <w:szCs w:val="24"/>
        </w:rPr>
        <w:t xml:space="preserve">Redemption was understood as a process of personal growth grounded in integrity, </w:t>
      </w:r>
      <w:r>
        <w:rPr>
          <w:rFonts w:hint="default" w:ascii="Times New Roman" w:hAnsi="Times New Roman"/>
          <w:b w:val="0"/>
          <w:bCs/>
          <w:sz w:val="24"/>
          <w:szCs w:val="24"/>
          <w:lang w:val="en-US"/>
        </w:rPr>
        <w:t>accountability and</w:t>
      </w:r>
      <w:r>
        <w:rPr>
          <w:rFonts w:hint="default" w:ascii="Times New Roman" w:hAnsi="Times New Roman"/>
          <w:b w:val="0"/>
          <w:bCs/>
          <w:sz w:val="24"/>
          <w:szCs w:val="24"/>
        </w:rPr>
        <w:t xml:space="preserve"> ethical living. Informants redefined success in terms of character development rather than institutional reinstatement.</w:t>
      </w:r>
    </w:p>
    <w:p w14:paraId="298FE4F9">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0AFAEC4D">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2. Continuity of Service beyond the Uniform</w:t>
      </w:r>
      <w:r>
        <w:rPr>
          <w:rFonts w:hint="default" w:ascii="Times New Roman" w:hAnsi="Times New Roman"/>
          <w:b w:val="0"/>
          <w:bCs/>
          <w:sz w:val="24"/>
          <w:szCs w:val="24"/>
          <w:lang w:val="en-US"/>
        </w:rPr>
        <w:t xml:space="preserve">. </w:t>
      </w:r>
      <w:r>
        <w:rPr>
          <w:rFonts w:hint="default" w:ascii="Times New Roman" w:hAnsi="Times New Roman"/>
          <w:b w:val="0"/>
          <w:bCs/>
          <w:sz w:val="24"/>
          <w:szCs w:val="24"/>
        </w:rPr>
        <w:t>Informants maintained a strong commitment to service despite their separation from uniformed roles. Service was internalized as a core value and expressed through alternative professional and community-based engagements.</w:t>
      </w:r>
    </w:p>
    <w:p w14:paraId="6964E0A2">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3AECF6AE">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3. Reconstructed Identity Rooted in Values</w:t>
      </w:r>
      <w:r>
        <w:rPr>
          <w:rFonts w:hint="default" w:ascii="Times New Roman" w:hAnsi="Times New Roman"/>
          <w:b w:val="0"/>
          <w:bCs/>
          <w:sz w:val="24"/>
          <w:szCs w:val="24"/>
          <w:lang w:val="en-US"/>
        </w:rPr>
        <w:t xml:space="preserve">. </w:t>
      </w:r>
      <w:r>
        <w:rPr>
          <w:rFonts w:hint="default" w:ascii="Times New Roman" w:hAnsi="Times New Roman"/>
          <w:b w:val="0"/>
          <w:bCs/>
          <w:sz w:val="24"/>
          <w:szCs w:val="24"/>
        </w:rPr>
        <w:t xml:space="preserve">Informants developed a reconstructed identity anchored in enduring values such as discipline, </w:t>
      </w:r>
      <w:r>
        <w:rPr>
          <w:rFonts w:hint="default" w:ascii="Times New Roman" w:hAnsi="Times New Roman"/>
          <w:b w:val="0"/>
          <w:bCs/>
          <w:sz w:val="24"/>
          <w:szCs w:val="24"/>
          <w:lang w:val="en-US"/>
        </w:rPr>
        <w:t>integrity and</w:t>
      </w:r>
      <w:r>
        <w:rPr>
          <w:rFonts w:hint="default" w:ascii="Times New Roman" w:hAnsi="Times New Roman"/>
          <w:b w:val="0"/>
          <w:bCs/>
          <w:sz w:val="24"/>
          <w:szCs w:val="24"/>
        </w:rPr>
        <w:t xml:space="preserve"> service. This identity transcended institutional affiliation and reflected personal growth, </w:t>
      </w:r>
      <w:r>
        <w:rPr>
          <w:rFonts w:hint="default" w:ascii="Times New Roman" w:hAnsi="Times New Roman"/>
          <w:b w:val="0"/>
          <w:bCs/>
          <w:sz w:val="24"/>
          <w:szCs w:val="24"/>
          <w:lang w:val="en-US"/>
        </w:rPr>
        <w:t>maturity and</w:t>
      </w:r>
      <w:r>
        <w:rPr>
          <w:rFonts w:hint="default" w:ascii="Times New Roman" w:hAnsi="Times New Roman"/>
          <w:b w:val="0"/>
          <w:bCs/>
          <w:sz w:val="24"/>
          <w:szCs w:val="24"/>
        </w:rPr>
        <w:t xml:space="preserve"> adaptability.</w:t>
      </w:r>
    </w:p>
    <w:p w14:paraId="1798DD4B">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069A8FA5">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4. Renewed Hope, </w:t>
      </w:r>
      <w:r>
        <w:rPr>
          <w:rFonts w:hint="default" w:ascii="Times New Roman" w:hAnsi="Times New Roman"/>
          <w:b w:val="0"/>
          <w:bCs/>
          <w:sz w:val="24"/>
          <w:szCs w:val="24"/>
          <w:lang w:val="en-US"/>
        </w:rPr>
        <w:t>Optimism and</w:t>
      </w:r>
      <w:r>
        <w:rPr>
          <w:rFonts w:hint="default" w:ascii="Times New Roman" w:hAnsi="Times New Roman"/>
          <w:b w:val="0"/>
          <w:bCs/>
          <w:sz w:val="24"/>
          <w:szCs w:val="24"/>
        </w:rPr>
        <w:t xml:space="preserve"> Future-Oriented Purpose</w:t>
      </w:r>
      <w:r>
        <w:rPr>
          <w:rFonts w:hint="default" w:ascii="Times New Roman" w:hAnsi="Times New Roman"/>
          <w:b w:val="0"/>
          <w:bCs/>
          <w:sz w:val="24"/>
          <w:szCs w:val="24"/>
          <w:lang w:val="en-US"/>
        </w:rPr>
        <w:t xml:space="preserve">. </w:t>
      </w:r>
      <w:r>
        <w:rPr>
          <w:rFonts w:hint="default" w:ascii="Times New Roman" w:hAnsi="Times New Roman"/>
          <w:b w:val="0"/>
          <w:bCs/>
          <w:sz w:val="24"/>
          <w:szCs w:val="24"/>
        </w:rPr>
        <w:t>Informants demonstrated a renewed sense of hope and optimism, supported by increased confidence and stability. Their outlook shifted toward a future-oriented perspective characterized by purposeful living and continued contribution to society.</w:t>
      </w:r>
    </w:p>
    <w:p w14:paraId="6528F60D">
      <w:pPr>
        <w:numPr>
          <w:ilvl w:val="0"/>
          <w:numId w:val="0"/>
        </w:numPr>
        <w:tabs>
          <w:tab w:val="left" w:pos="440"/>
        </w:tabs>
        <w:spacing w:after="0" w:line="240" w:lineRule="auto"/>
        <w:ind w:firstLine="720" w:firstLineChars="0"/>
        <w:jc w:val="both"/>
        <w:rPr>
          <w:rFonts w:hint="default" w:ascii="Times New Roman" w:hAnsi="Times New Roman"/>
          <w:b w:val="0"/>
          <w:bCs/>
          <w:sz w:val="24"/>
          <w:szCs w:val="24"/>
        </w:rPr>
      </w:pPr>
    </w:p>
    <w:p w14:paraId="49724038">
      <w:pPr>
        <w:numPr>
          <w:ilvl w:val="0"/>
          <w:numId w:val="0"/>
        </w:numPr>
        <w:tabs>
          <w:tab w:val="left" w:pos="440"/>
        </w:tabs>
        <w:spacing w:after="0" w:line="240" w:lineRule="auto"/>
        <w:ind w:firstLine="720" w:firstLineChars="0"/>
        <w:jc w:val="both"/>
        <w:rPr>
          <w:rFonts w:hint="default" w:ascii="Times New Roman" w:hAnsi="Times New Roman"/>
          <w:b/>
          <w:sz w:val="24"/>
          <w:szCs w:val="24"/>
        </w:rPr>
      </w:pPr>
      <w:r>
        <w:rPr>
          <w:rFonts w:hint="default" w:ascii="Times New Roman" w:hAnsi="Times New Roman"/>
          <w:b w:val="0"/>
          <w:bCs/>
          <w:sz w:val="24"/>
          <w:szCs w:val="24"/>
        </w:rPr>
        <w:t xml:space="preserve">The findings indicate that administrative separation initially resulted in identity disruption, stigma, financial </w:t>
      </w:r>
      <w:r>
        <w:rPr>
          <w:rFonts w:hint="default" w:ascii="Times New Roman" w:hAnsi="Times New Roman"/>
          <w:b w:val="0"/>
          <w:bCs/>
          <w:sz w:val="24"/>
          <w:szCs w:val="24"/>
          <w:lang w:val="en-US"/>
        </w:rPr>
        <w:t>instability and</w:t>
      </w:r>
      <w:r>
        <w:rPr>
          <w:rFonts w:hint="default" w:ascii="Times New Roman" w:hAnsi="Times New Roman"/>
          <w:b w:val="0"/>
          <w:bCs/>
          <w:sz w:val="24"/>
          <w:szCs w:val="24"/>
        </w:rPr>
        <w:t xml:space="preserve"> loss of institutional trust. However, through adaptive strategies such as acceptance, resilience, faith, peer </w:t>
      </w:r>
      <w:r>
        <w:rPr>
          <w:rFonts w:hint="default" w:ascii="Times New Roman" w:hAnsi="Times New Roman"/>
          <w:b w:val="0"/>
          <w:bCs/>
          <w:sz w:val="24"/>
          <w:szCs w:val="24"/>
          <w:lang w:val="en-US"/>
        </w:rPr>
        <w:t>support and</w:t>
      </w:r>
      <w:r>
        <w:rPr>
          <w:rFonts w:hint="default" w:ascii="Times New Roman" w:hAnsi="Times New Roman"/>
          <w:b w:val="0"/>
          <w:bCs/>
          <w:sz w:val="24"/>
          <w:szCs w:val="24"/>
        </w:rPr>
        <w:t xml:space="preserve"> continuous learning, informants successfully reconstructed their identities, rebuilt their </w:t>
      </w:r>
      <w:r>
        <w:rPr>
          <w:rFonts w:hint="default" w:ascii="Times New Roman" w:hAnsi="Times New Roman"/>
          <w:b w:val="0"/>
          <w:bCs/>
          <w:sz w:val="24"/>
          <w:szCs w:val="24"/>
          <w:lang w:val="en-US"/>
        </w:rPr>
        <w:t>careers and</w:t>
      </w:r>
      <w:r>
        <w:rPr>
          <w:rFonts w:hint="default" w:ascii="Times New Roman" w:hAnsi="Times New Roman"/>
          <w:b w:val="0"/>
          <w:bCs/>
          <w:sz w:val="24"/>
          <w:szCs w:val="24"/>
        </w:rPr>
        <w:t xml:space="preserve"> developed a renewed sense of purpose, </w:t>
      </w:r>
      <w:r>
        <w:rPr>
          <w:rFonts w:hint="default" w:ascii="Times New Roman" w:hAnsi="Times New Roman"/>
          <w:b w:val="0"/>
          <w:bCs/>
          <w:sz w:val="24"/>
          <w:szCs w:val="24"/>
          <w:lang w:val="en-US"/>
        </w:rPr>
        <w:t>resilience and</w:t>
      </w:r>
      <w:r>
        <w:rPr>
          <w:rFonts w:hint="default" w:ascii="Times New Roman" w:hAnsi="Times New Roman"/>
          <w:b w:val="0"/>
          <w:bCs/>
          <w:sz w:val="24"/>
          <w:szCs w:val="24"/>
        </w:rPr>
        <w:t xml:space="preserve"> optimism.</w:t>
      </w:r>
      <w:bookmarkStart w:id="2" w:name="_Toc17447"/>
    </w:p>
    <w:bookmarkEnd w:id="2"/>
    <w:p w14:paraId="27F27C67">
      <w:pPr>
        <w:numPr>
          <w:ilvl w:val="0"/>
          <w:numId w:val="0"/>
        </w:numPr>
        <w:spacing w:beforeLines="0" w:afterLines="0" w:line="240" w:lineRule="auto"/>
        <w:jc w:val="both"/>
        <w:rPr>
          <w:rFonts w:hint="default" w:ascii="Times New Roman" w:hAnsi="Times New Roman"/>
          <w:b/>
          <w:bCs w:val="0"/>
          <w:sz w:val="28"/>
          <w:szCs w:val="28"/>
        </w:rPr>
      </w:pPr>
    </w:p>
    <w:p w14:paraId="1B05708F">
      <w:pPr>
        <w:numPr>
          <w:ilvl w:val="0"/>
          <w:numId w:val="0"/>
        </w:numPr>
        <w:spacing w:beforeLines="0" w:afterLines="0" w:line="240" w:lineRule="auto"/>
        <w:jc w:val="both"/>
        <w:rPr>
          <w:rFonts w:hint="default" w:ascii="Times New Roman" w:hAnsi="Times New Roman"/>
          <w:b w:val="0"/>
          <w:bCs/>
          <w:sz w:val="24"/>
          <w:szCs w:val="24"/>
        </w:rPr>
      </w:pPr>
      <w:r>
        <w:rPr>
          <w:rFonts w:hint="default" w:ascii="Times New Roman" w:hAnsi="Times New Roman"/>
          <w:b/>
          <w:bCs w:val="0"/>
          <w:sz w:val="28"/>
          <w:szCs w:val="28"/>
        </w:rPr>
        <w:t>DISCUSSION</w:t>
      </w:r>
    </w:p>
    <w:p w14:paraId="743C4511">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The findings of this study provide a comprehensive understanding of how administratively separated Lakan members experienced, </w:t>
      </w:r>
      <w:r>
        <w:rPr>
          <w:rFonts w:hint="default" w:ascii="Times New Roman" w:hAnsi="Times New Roman"/>
          <w:b w:val="0"/>
          <w:bCs/>
          <w:sz w:val="24"/>
          <w:szCs w:val="24"/>
          <w:lang w:val="en-US"/>
        </w:rPr>
        <w:t>interpreted and</w:t>
      </w:r>
      <w:r>
        <w:rPr>
          <w:rFonts w:hint="default" w:ascii="Times New Roman" w:hAnsi="Times New Roman"/>
          <w:b w:val="0"/>
          <w:bCs/>
          <w:sz w:val="24"/>
          <w:szCs w:val="24"/>
        </w:rPr>
        <w:t xml:space="preserve"> adapted to a disruptive life transition. The discussion is organized according to the three major domains identified in the results: experiences following separation, strategies for career </w:t>
      </w:r>
      <w:r>
        <w:rPr>
          <w:rFonts w:hint="default" w:ascii="Times New Roman" w:hAnsi="Times New Roman"/>
          <w:b w:val="0"/>
          <w:bCs/>
          <w:sz w:val="24"/>
          <w:szCs w:val="24"/>
          <w:lang w:val="en-US"/>
        </w:rPr>
        <w:t>reconstruction and</w:t>
      </w:r>
      <w:r>
        <w:rPr>
          <w:rFonts w:hint="default" w:ascii="Times New Roman" w:hAnsi="Times New Roman"/>
          <w:b w:val="0"/>
          <w:bCs/>
          <w:sz w:val="24"/>
          <w:szCs w:val="24"/>
        </w:rPr>
        <w:t xml:space="preserve"> present life outlook. These domains are interpreted through the lenses of Transition Theory, Self-Efficacy </w:t>
      </w:r>
      <w:r>
        <w:rPr>
          <w:rFonts w:hint="default" w:ascii="Times New Roman" w:hAnsi="Times New Roman"/>
          <w:b w:val="0"/>
          <w:bCs/>
          <w:sz w:val="24"/>
          <w:szCs w:val="24"/>
          <w:lang w:val="en-US"/>
        </w:rPr>
        <w:t>Theory and</w:t>
      </w:r>
      <w:r>
        <w:rPr>
          <w:rFonts w:hint="default" w:ascii="Times New Roman" w:hAnsi="Times New Roman"/>
          <w:b w:val="0"/>
          <w:bCs/>
          <w:sz w:val="24"/>
          <w:szCs w:val="24"/>
        </w:rPr>
        <w:t xml:space="preserve"> Resilience Theory.</w:t>
      </w:r>
    </w:p>
    <w:p w14:paraId="361A5DE4">
      <w:pPr>
        <w:numPr>
          <w:ilvl w:val="0"/>
          <w:numId w:val="0"/>
        </w:numPr>
        <w:spacing w:beforeLines="0" w:afterLines="0" w:line="240" w:lineRule="auto"/>
        <w:jc w:val="both"/>
        <w:rPr>
          <w:rFonts w:hint="default" w:ascii="Times New Roman" w:hAnsi="Times New Roman"/>
          <w:b w:val="0"/>
          <w:bCs/>
          <w:sz w:val="24"/>
          <w:szCs w:val="24"/>
        </w:rPr>
      </w:pPr>
      <w:r>
        <w:rPr>
          <w:rFonts w:hint="default" w:ascii="Times New Roman" w:hAnsi="Times New Roman"/>
          <w:b w:val="0"/>
          <w:bCs/>
          <w:sz w:val="24"/>
          <w:szCs w:val="24"/>
        </w:rPr>
        <w:t>A. Experiences Following Administrative Separation</w:t>
      </w:r>
    </w:p>
    <w:p w14:paraId="74E04EE5">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The findings demonstrate that administrative separation constituted a profound and non-normative life transition characterized by identity disruption, stigma, financial instability, family </w:t>
      </w:r>
      <w:r>
        <w:rPr>
          <w:rFonts w:hint="default" w:ascii="Times New Roman" w:hAnsi="Times New Roman"/>
          <w:b w:val="0"/>
          <w:bCs/>
          <w:sz w:val="24"/>
          <w:szCs w:val="24"/>
          <w:lang w:val="en-US"/>
        </w:rPr>
        <w:t>strain and</w:t>
      </w:r>
      <w:r>
        <w:rPr>
          <w:rFonts w:hint="default" w:ascii="Times New Roman" w:hAnsi="Times New Roman"/>
          <w:b w:val="0"/>
          <w:bCs/>
          <w:sz w:val="24"/>
          <w:szCs w:val="24"/>
        </w:rPr>
        <w:t xml:space="preserve"> diminished institutional trust. These experiences align with the core assumptions of Transition Theory, which emphasizes that involuntary transitions disrupt established roles, </w:t>
      </w:r>
      <w:r>
        <w:rPr>
          <w:rFonts w:hint="default" w:ascii="Times New Roman" w:hAnsi="Times New Roman"/>
          <w:b w:val="0"/>
          <w:bCs/>
          <w:sz w:val="24"/>
          <w:szCs w:val="24"/>
          <w:lang w:val="en-US"/>
        </w:rPr>
        <w:t>routines and</w:t>
      </w:r>
      <w:r>
        <w:rPr>
          <w:rFonts w:hint="default" w:ascii="Times New Roman" w:hAnsi="Times New Roman"/>
          <w:b w:val="0"/>
          <w:bCs/>
          <w:sz w:val="24"/>
          <w:szCs w:val="24"/>
        </w:rPr>
        <w:t xml:space="preserve"> assumptions about the self.</w:t>
      </w:r>
    </w:p>
    <w:p w14:paraId="15EE708D">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theme of shattered professional identity reflects the extent to which occupational roles were deeply internalized by the informants. The abrupt loss of institutional affiliation destabilized their sense of self, supporting the view that identity is closely tied to professional roles in structured organizations. This disruption illustrates how unanticipated transitions can lead to emotional disorientation and psychological distress when individuals are forced to redefine themselves outside familiar contexts.</w:t>
      </w:r>
    </w:p>
    <w:p w14:paraId="30E0E91B">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emergence of stigma and social withdrawal further highlights the social dimension of transition. The findings indicate that administrative separation carries not only professional consequences but also social labeling that affects personal relationships and community integration. This supports the understanding that transitions are shaped not only by internal perceptions but also by external social responses, which can either facilitate or hinder adaptation.</w:t>
      </w:r>
    </w:p>
    <w:p w14:paraId="1C46D777">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theme of financial instability underscores the role of situational factors in shaping the transition experience. The sudden loss of income and security intensified stress and redirected attention toward immediate survival needs. This finding reinforces the importance of material resources in transition adjustment, as financial pressure can limit coping capacity and delay psychological recovery.</w:t>
      </w:r>
    </w:p>
    <w:p w14:paraId="5CE07923">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Similarly, family responsibility and shared resilience highlight the dual role of family as both a source of pressure and support. While separation imposed additional burdens, family relationships also functioned as protective factors that sustained motivation and emotional stability. This finding supports the notion that adaptation is influenced by relational systems and that resilience is often embedded within family dynamics.</w:t>
      </w:r>
    </w:p>
    <w:p w14:paraId="24FBF9AB">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theme of loss of institutional trust reflects a critical shift in the informants’ perception of organizational support. The experience of perceived abandonment contributed to disillusionment but also prompted a transition toward self-reliance. This aligns with the idea that transitions involving institutional disengagement often require individuals to reconstruct their sense of agency independently.</w:t>
      </w:r>
    </w:p>
    <w:p w14:paraId="6E9A388E">
      <w:pPr>
        <w:numPr>
          <w:ilvl w:val="0"/>
          <w:numId w:val="0"/>
        </w:numPr>
        <w:spacing w:beforeLines="0" w:afterLines="0" w:line="240" w:lineRule="auto"/>
        <w:jc w:val="both"/>
        <w:rPr>
          <w:rFonts w:hint="default" w:ascii="Times New Roman" w:hAnsi="Times New Roman"/>
          <w:b w:val="0"/>
          <w:bCs/>
          <w:sz w:val="24"/>
          <w:szCs w:val="24"/>
        </w:rPr>
      </w:pPr>
      <w:r>
        <w:rPr>
          <w:rFonts w:hint="default" w:ascii="Times New Roman" w:hAnsi="Times New Roman"/>
          <w:b w:val="0"/>
          <w:bCs/>
          <w:sz w:val="24"/>
          <w:szCs w:val="24"/>
        </w:rPr>
        <w:t>B. Strategies Toward Career Reconstruction</w:t>
      </w:r>
    </w:p>
    <w:p w14:paraId="676762BC">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The findings reveal that Lakan members actively engaged in adaptive strategies to navigate their transition and rebuild their careers. These strategies reflect the dynamic interaction between personal resources, social </w:t>
      </w:r>
      <w:r>
        <w:rPr>
          <w:rFonts w:hint="default" w:ascii="Times New Roman" w:hAnsi="Times New Roman"/>
          <w:b w:val="0"/>
          <w:bCs/>
          <w:sz w:val="24"/>
          <w:szCs w:val="24"/>
          <w:lang w:val="en-US"/>
        </w:rPr>
        <w:t>support and</w:t>
      </w:r>
      <w:r>
        <w:rPr>
          <w:rFonts w:hint="default" w:ascii="Times New Roman" w:hAnsi="Times New Roman"/>
          <w:b w:val="0"/>
          <w:bCs/>
          <w:sz w:val="24"/>
          <w:szCs w:val="24"/>
        </w:rPr>
        <w:t xml:space="preserve"> coping mechanisms, as described in Transition Theory.</w:t>
      </w:r>
    </w:p>
    <w:p w14:paraId="0A8E0C1B">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The theme of acceptance and cognitive </w:t>
      </w:r>
      <w:r>
        <w:rPr>
          <w:rFonts w:hint="default" w:ascii="Times New Roman" w:hAnsi="Times New Roman"/>
          <w:b w:val="0"/>
          <w:bCs/>
          <w:sz w:val="24"/>
          <w:szCs w:val="24"/>
          <w:lang w:val="en-US"/>
        </w:rPr>
        <w:t>re-framing</w:t>
      </w:r>
      <w:r>
        <w:rPr>
          <w:rFonts w:hint="default" w:ascii="Times New Roman" w:hAnsi="Times New Roman"/>
          <w:b w:val="0"/>
          <w:bCs/>
          <w:sz w:val="24"/>
          <w:szCs w:val="24"/>
        </w:rPr>
        <w:t xml:space="preserve"> represents a critical psychological turning point. The ability to reinterpret separation as a form of redirection rather than failure facilitated emotional recovery and restored a sense of control. This process aligns with the concept of meaning-making in transition, where individuals reconstruct their understanding of adverse events to enable forward movement.</w:t>
      </w:r>
    </w:p>
    <w:p w14:paraId="5C741319">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role of discipline and resilience as survival anchors highlights the enduring impact of prior training and life experiences. The findings suggest that competencies developed during cadetship remained operative beyond institutional boundaries, providing structure and psychological stability during uncertainty. This supports the view that resilience is built over time and can be mobilized in new contexts.</w:t>
      </w:r>
    </w:p>
    <w:p w14:paraId="331B5439">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Faith and spiritual meaning-making emerged as important mechanisms for coping and interpretation. Spiritual frameworks enabled informants to process adversity, reduce self-blame</w:t>
      </w:r>
      <w:r>
        <w:rPr>
          <w:rFonts w:hint="default" w:ascii="Times New Roman" w:hAnsi="Times New Roman"/>
          <w:b w:val="0"/>
          <w:bCs/>
          <w:sz w:val="24"/>
          <w:szCs w:val="24"/>
          <w:lang w:val="en-US"/>
        </w:rPr>
        <w:t xml:space="preserve"> and</w:t>
      </w:r>
      <w:r>
        <w:rPr>
          <w:rFonts w:hint="default" w:ascii="Times New Roman" w:hAnsi="Times New Roman"/>
          <w:b w:val="0"/>
          <w:bCs/>
          <w:sz w:val="24"/>
          <w:szCs w:val="24"/>
        </w:rPr>
        <w:t xml:space="preserve"> maintain hope. This reflects the role of belief systems in facilitating emotional regulation and meaning construction during transitions.</w:t>
      </w:r>
    </w:p>
    <w:p w14:paraId="70AF6736">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The significance of peer support and brotherhood underscores the importance of social networks in adaptation. Informants benefited from shared experiences, </w:t>
      </w:r>
      <w:r>
        <w:rPr>
          <w:rFonts w:hint="default" w:ascii="Times New Roman" w:hAnsi="Times New Roman"/>
          <w:b w:val="0"/>
          <w:bCs/>
          <w:sz w:val="24"/>
          <w:szCs w:val="24"/>
          <w:lang w:val="en-US"/>
        </w:rPr>
        <w:t>validation and</w:t>
      </w:r>
      <w:r>
        <w:rPr>
          <w:rFonts w:hint="default" w:ascii="Times New Roman" w:hAnsi="Times New Roman"/>
          <w:b w:val="0"/>
          <w:bCs/>
          <w:sz w:val="24"/>
          <w:szCs w:val="24"/>
        </w:rPr>
        <w:t xml:space="preserve"> encouragement from peers, which contributed to restoring confidence and reducing isolation. This finding reinforces the idea that social support is a critical resource in managing life transitions.</w:t>
      </w:r>
    </w:p>
    <w:p w14:paraId="5E01007D">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rediscovery of transferable competence represents a shift in self-perception, where informants recognized that their skills remained valuable beyond uniformed service. This process aligns closely with Self-Efficacy Theory, as renewed confidence in one’s abilities enabled individuals to pursue new opportunities and engage in goal-directed behavior.</w:t>
      </w:r>
    </w:p>
    <w:p w14:paraId="02967B24">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Finally, strategic career rebuilding through learning and service illustrates how informants actively constructed new professional pathways. Continuous learning, skill </w:t>
      </w:r>
      <w:r>
        <w:rPr>
          <w:rFonts w:hint="default" w:ascii="Times New Roman" w:hAnsi="Times New Roman"/>
          <w:b w:val="0"/>
          <w:bCs/>
          <w:sz w:val="24"/>
          <w:szCs w:val="24"/>
          <w:lang w:val="en-US"/>
        </w:rPr>
        <w:t>development and</w:t>
      </w:r>
      <w:r>
        <w:rPr>
          <w:rFonts w:hint="default" w:ascii="Times New Roman" w:hAnsi="Times New Roman"/>
          <w:b w:val="0"/>
          <w:bCs/>
          <w:sz w:val="24"/>
          <w:szCs w:val="24"/>
        </w:rPr>
        <w:t xml:space="preserve"> service-oriented engagement enhanced employability and reinforced a sense of purpose. These strategies demonstrate that adaptation involves not only coping but also proactive reinvention.</w:t>
      </w:r>
    </w:p>
    <w:p w14:paraId="19678D79">
      <w:pPr>
        <w:numPr>
          <w:ilvl w:val="0"/>
          <w:numId w:val="0"/>
        </w:numPr>
        <w:spacing w:beforeLines="0" w:afterLines="0" w:line="240" w:lineRule="auto"/>
        <w:jc w:val="both"/>
        <w:rPr>
          <w:rFonts w:hint="default" w:ascii="Times New Roman" w:hAnsi="Times New Roman"/>
          <w:b w:val="0"/>
          <w:bCs/>
          <w:sz w:val="24"/>
          <w:szCs w:val="24"/>
        </w:rPr>
      </w:pPr>
      <w:r>
        <w:rPr>
          <w:rFonts w:hint="default" w:ascii="Times New Roman" w:hAnsi="Times New Roman"/>
          <w:b w:val="0"/>
          <w:bCs/>
          <w:sz w:val="24"/>
          <w:szCs w:val="24"/>
        </w:rPr>
        <w:t>C. Present Life Outlook and Identity Reconstruction</w:t>
      </w:r>
    </w:p>
    <w:p w14:paraId="0BE977B4">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findings indicate that Lakan members ultimately achieved a reconstructed sense of identity characterized by redemption, continuity of service, value-based self-concept</w:t>
      </w:r>
      <w:r>
        <w:rPr>
          <w:rFonts w:hint="default" w:ascii="Times New Roman" w:hAnsi="Times New Roman"/>
          <w:b w:val="0"/>
          <w:bCs/>
          <w:sz w:val="24"/>
          <w:szCs w:val="24"/>
          <w:lang w:val="en-US"/>
        </w:rPr>
        <w:t xml:space="preserve"> and</w:t>
      </w:r>
      <w:r>
        <w:rPr>
          <w:rFonts w:hint="default" w:ascii="Times New Roman" w:hAnsi="Times New Roman"/>
          <w:b w:val="0"/>
          <w:bCs/>
          <w:sz w:val="24"/>
          <w:szCs w:val="24"/>
        </w:rPr>
        <w:t xml:space="preserve"> future-oriented purpose. This phase reflects successful adaptation, where individuals integrate past experiences into a coherent and meaningful life narrative.</w:t>
      </w:r>
    </w:p>
    <w:p w14:paraId="0A820EE4">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The theme of redemption through integrity and accountability highlights the shift from external validation to internal standards of success. Informants redefined redemption as a process of ethical living and personal growth, emphasizing accountability and consistent behavior. This reflects the role of self-regulation and moral agency in rebuilding identity</w:t>
      </w:r>
    </w:p>
    <w:p w14:paraId="1CF220B1">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Continuity of service beyond the uniform demonstrates that core values persisted despite institutional separation. Informants maintained their commitment to service through alternative roles, indicating that identity can be sustained through values rather than formal positions. This finding supports the idea that meaningful engagement contributes to psychological recovery and purpose.</w:t>
      </w:r>
    </w:p>
    <w:p w14:paraId="74244110">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The emergence of a reconstructed identity rooted in values illustrates how informants redefined themselves beyond institutional affiliation. By anchoring identity in enduring principles such as discipline, </w:t>
      </w:r>
      <w:r>
        <w:rPr>
          <w:rFonts w:hint="default" w:ascii="Times New Roman" w:hAnsi="Times New Roman"/>
          <w:b w:val="0"/>
          <w:bCs/>
          <w:sz w:val="24"/>
          <w:szCs w:val="24"/>
          <w:lang w:val="en-US"/>
        </w:rPr>
        <w:t>integrity and</w:t>
      </w:r>
      <w:r>
        <w:rPr>
          <w:rFonts w:hint="default" w:ascii="Times New Roman" w:hAnsi="Times New Roman"/>
          <w:b w:val="0"/>
          <w:bCs/>
          <w:sz w:val="24"/>
          <w:szCs w:val="24"/>
        </w:rPr>
        <w:t xml:space="preserve"> service, they achieved continuity despite disruption. This process reflects the integration phase of transition, where individuals reconcile past and present identities.</w:t>
      </w:r>
    </w:p>
    <w:p w14:paraId="4636144B">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Finally, renewed hope and future-oriented purpose represent the culmination of the transition process. Informants developed optimism and confidence grounded in their ability to navigate challenges and pursue meaningful goals. This outcome aligns with both Self-Efficacy Theory and Resilience Theory, as increased confidence and adaptive capacity contributed to sustained motivation and forward-looking perspectives.</w:t>
      </w:r>
    </w:p>
    <w:p w14:paraId="30642F4A">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Taken together, the findings illustrate that administrative separation, while initially experienced as a disruptive and destabilizing event, became a catalyst for transformation. The transition process involved movement from identity disruption and survival pressures toward adaptive coping, strategic </w:t>
      </w:r>
      <w:r>
        <w:rPr>
          <w:rFonts w:hint="default" w:ascii="Times New Roman" w:hAnsi="Times New Roman"/>
          <w:b w:val="0"/>
          <w:bCs/>
          <w:sz w:val="24"/>
          <w:szCs w:val="24"/>
          <w:lang w:val="en-US"/>
        </w:rPr>
        <w:t>reinvention and</w:t>
      </w:r>
      <w:r>
        <w:rPr>
          <w:rFonts w:hint="default" w:ascii="Times New Roman" w:hAnsi="Times New Roman"/>
          <w:b w:val="0"/>
          <w:bCs/>
          <w:sz w:val="24"/>
          <w:szCs w:val="24"/>
        </w:rPr>
        <w:t xml:space="preserve"> eventual identity reconstruction.</w:t>
      </w:r>
    </w:p>
    <w:p w14:paraId="769E5804">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Transition Theory provides a comprehensive framework for understanding this progression, highlighting the interplay between situational factors, personal resources, support </w:t>
      </w:r>
      <w:r>
        <w:rPr>
          <w:rFonts w:hint="default" w:ascii="Times New Roman" w:hAnsi="Times New Roman"/>
          <w:b w:val="0"/>
          <w:bCs/>
          <w:sz w:val="24"/>
          <w:szCs w:val="24"/>
          <w:lang w:val="en-US"/>
        </w:rPr>
        <w:t>system sand</w:t>
      </w:r>
      <w:r>
        <w:rPr>
          <w:rFonts w:hint="default" w:ascii="Times New Roman" w:hAnsi="Times New Roman"/>
          <w:b w:val="0"/>
          <w:bCs/>
          <w:sz w:val="24"/>
          <w:szCs w:val="24"/>
        </w:rPr>
        <w:t xml:space="preserve"> coping strategies. Self-Efficacy Theory explains how belief in one’s capabilities influenced motivation and career reconstruction, while Resilience Theory underscores the dynamic process through which individuals adapted positively despite adversity.</w:t>
      </w:r>
    </w:p>
    <w:p w14:paraId="2B795B4C">
      <w:pPr>
        <w:numPr>
          <w:ilvl w:val="0"/>
          <w:numId w:val="0"/>
        </w:numPr>
        <w:spacing w:beforeLines="0" w:afterLines="0" w:line="240" w:lineRule="auto"/>
        <w:ind w:firstLine="720" w:firstLineChars="0"/>
        <w:jc w:val="both"/>
        <w:rPr>
          <w:rFonts w:hint="default" w:ascii="Times New Roman" w:hAnsi="Times New Roman"/>
          <w:b w:val="0"/>
          <w:bCs/>
          <w:sz w:val="24"/>
          <w:szCs w:val="24"/>
        </w:rPr>
      </w:pPr>
      <w:r>
        <w:rPr>
          <w:rFonts w:hint="default" w:ascii="Times New Roman" w:hAnsi="Times New Roman"/>
          <w:b w:val="0"/>
          <w:bCs/>
          <w:sz w:val="24"/>
          <w:szCs w:val="24"/>
        </w:rPr>
        <w:t xml:space="preserve">Overall, the study demonstrates that recovery from administrative separation is not linear but involves a complex process of meaning-making, </w:t>
      </w:r>
      <w:r>
        <w:rPr>
          <w:rFonts w:hint="default" w:ascii="Times New Roman" w:hAnsi="Times New Roman"/>
          <w:b w:val="0"/>
          <w:bCs/>
          <w:sz w:val="24"/>
          <w:szCs w:val="24"/>
          <w:lang w:val="en-US"/>
        </w:rPr>
        <w:t>adaptation and</w:t>
      </w:r>
      <w:r>
        <w:rPr>
          <w:rFonts w:hint="default" w:ascii="Times New Roman" w:hAnsi="Times New Roman"/>
          <w:b w:val="0"/>
          <w:bCs/>
          <w:sz w:val="24"/>
          <w:szCs w:val="24"/>
        </w:rPr>
        <w:t xml:space="preserve"> growth. The findings affirm that identity grounded in enduring values, supported by social connections and sustained by personal agency, can enable individuals to transform adversity into opportunities for renewal, </w:t>
      </w:r>
      <w:r>
        <w:rPr>
          <w:rFonts w:hint="default" w:ascii="Times New Roman" w:hAnsi="Times New Roman"/>
          <w:b w:val="0"/>
          <w:bCs/>
          <w:sz w:val="24"/>
          <w:szCs w:val="24"/>
          <w:lang w:val="en-US"/>
        </w:rPr>
        <w:t>resilience and</w:t>
      </w:r>
      <w:r>
        <w:rPr>
          <w:rFonts w:hint="default" w:ascii="Times New Roman" w:hAnsi="Times New Roman"/>
          <w:b w:val="0"/>
          <w:bCs/>
          <w:sz w:val="24"/>
          <w:szCs w:val="24"/>
        </w:rPr>
        <w:t xml:space="preserve"> purposeful living.</w:t>
      </w:r>
    </w:p>
    <w:p w14:paraId="41ABBA3A">
      <w:pPr>
        <w:numPr>
          <w:ilvl w:val="0"/>
          <w:numId w:val="0"/>
        </w:numPr>
        <w:spacing w:beforeLines="0" w:afterLines="0" w:line="240" w:lineRule="auto"/>
        <w:ind w:firstLine="720" w:firstLineChars="0"/>
        <w:jc w:val="both"/>
        <w:rPr>
          <w:rFonts w:hint="default" w:ascii="Times New Roman" w:hAnsi="Times New Roman"/>
          <w:b w:val="0"/>
          <w:bCs/>
          <w:sz w:val="24"/>
          <w:szCs w:val="24"/>
          <w:lang w:val="en-US"/>
        </w:rPr>
      </w:pPr>
    </w:p>
    <w:p w14:paraId="388E5B61">
      <w:pPr>
        <w:spacing w:line="240" w:lineRule="auto"/>
        <w:jc w:val="both"/>
        <w:outlineLvl w:val="1"/>
        <w:rPr>
          <w:rFonts w:hint="default" w:ascii="Times New Roman" w:hAnsi="Times New Roman"/>
          <w:b/>
          <w:bCs w:val="0"/>
          <w:sz w:val="28"/>
          <w:szCs w:val="28"/>
        </w:rPr>
      </w:pPr>
      <w:r>
        <w:rPr>
          <w:rFonts w:hint="default" w:ascii="Times New Roman" w:hAnsi="Times New Roman"/>
          <w:b/>
          <w:bCs w:val="0"/>
          <w:sz w:val="28"/>
          <w:szCs w:val="28"/>
        </w:rPr>
        <w:t>CONCLUSION</w:t>
      </w:r>
    </w:p>
    <w:p w14:paraId="46D90EDB">
      <w:pPr>
        <w:spacing w:line="240" w:lineRule="auto"/>
        <w:ind w:firstLine="720" w:firstLineChars="0"/>
        <w:jc w:val="both"/>
        <w:outlineLvl w:val="1"/>
        <w:rPr>
          <w:rFonts w:hint="default" w:ascii="Times New Roman" w:hAnsi="Times New Roman"/>
          <w:b w:val="0"/>
          <w:bCs/>
          <w:sz w:val="24"/>
          <w:szCs w:val="24"/>
        </w:rPr>
      </w:pPr>
      <w:r>
        <w:rPr>
          <w:rFonts w:hint="default" w:ascii="Times New Roman" w:hAnsi="Times New Roman"/>
          <w:b w:val="0"/>
          <w:bCs/>
          <w:sz w:val="24"/>
          <w:szCs w:val="24"/>
        </w:rPr>
        <w:t xml:space="preserve">This study examined the lived experiences of Lakan members who were administratively separated from uniformed service and subsequently established new career paths within the Visayas region. The findings reveal that administrative separation is not merely an organizational outcome but a profound life transition that disrupts identity, social standing, financial </w:t>
      </w:r>
      <w:r>
        <w:rPr>
          <w:rFonts w:hint="default" w:ascii="Times New Roman" w:hAnsi="Times New Roman"/>
          <w:b w:val="0"/>
          <w:bCs/>
          <w:sz w:val="24"/>
          <w:szCs w:val="24"/>
          <w:lang w:val="en-US"/>
        </w:rPr>
        <w:t>stability and</w:t>
      </w:r>
      <w:r>
        <w:rPr>
          <w:rFonts w:hint="default" w:ascii="Times New Roman" w:hAnsi="Times New Roman"/>
          <w:b w:val="0"/>
          <w:bCs/>
          <w:sz w:val="24"/>
          <w:szCs w:val="24"/>
        </w:rPr>
        <w:t xml:space="preserve"> institutional trust.</w:t>
      </w:r>
    </w:p>
    <w:p w14:paraId="2F8A0DC9">
      <w:pPr>
        <w:spacing w:line="240" w:lineRule="auto"/>
        <w:ind w:firstLine="720" w:firstLineChars="0"/>
        <w:jc w:val="both"/>
        <w:outlineLvl w:val="1"/>
        <w:rPr>
          <w:rFonts w:hint="default" w:ascii="Times New Roman" w:hAnsi="Times New Roman"/>
          <w:b w:val="0"/>
          <w:bCs/>
          <w:sz w:val="24"/>
          <w:szCs w:val="24"/>
          <w:lang w:val="en-US"/>
        </w:rPr>
      </w:pPr>
      <w:r>
        <w:rPr>
          <w:rFonts w:hint="default" w:ascii="Times New Roman" w:hAnsi="Times New Roman"/>
          <w:b w:val="0"/>
          <w:bCs/>
          <w:sz w:val="24"/>
          <w:szCs w:val="24"/>
        </w:rPr>
        <w:t xml:space="preserve">The results demonstrate that separation initially produces a phase of vulnerability characterized by identity dislocation, stigma, economic </w:t>
      </w:r>
      <w:r>
        <w:rPr>
          <w:rFonts w:hint="default" w:ascii="Times New Roman" w:hAnsi="Times New Roman"/>
          <w:b w:val="0"/>
          <w:bCs/>
          <w:sz w:val="24"/>
          <w:szCs w:val="24"/>
          <w:lang w:val="en-US"/>
        </w:rPr>
        <w:t>uncertainty and</w:t>
      </w:r>
      <w:r>
        <w:rPr>
          <w:rFonts w:hint="default" w:ascii="Times New Roman" w:hAnsi="Times New Roman"/>
          <w:b w:val="0"/>
          <w:bCs/>
          <w:sz w:val="24"/>
          <w:szCs w:val="24"/>
        </w:rPr>
        <w:t xml:space="preserve"> heightened family responsibility. These conditions collectively create a complex environment in which individuals must navigate both emotional and practical challenges simultaneously. The loss of institutional affiliation further intensifies this disruption, compelling individuals to rely on personal agency rather than organizational support</w:t>
      </w:r>
      <w:r>
        <w:rPr>
          <w:rFonts w:hint="default" w:ascii="Times New Roman" w:hAnsi="Times New Roman"/>
          <w:b w:val="0"/>
          <w:bCs/>
          <w:sz w:val="24"/>
          <w:szCs w:val="24"/>
          <w:lang w:val="en-US"/>
        </w:rPr>
        <w:t>.</w:t>
      </w:r>
    </w:p>
    <w:p w14:paraId="07ED2495">
      <w:pPr>
        <w:spacing w:line="240" w:lineRule="auto"/>
        <w:ind w:firstLine="720" w:firstLineChars="0"/>
        <w:jc w:val="both"/>
        <w:outlineLvl w:val="1"/>
        <w:rPr>
          <w:rFonts w:hint="default" w:ascii="Times New Roman" w:hAnsi="Times New Roman"/>
          <w:b w:val="0"/>
          <w:bCs/>
          <w:sz w:val="24"/>
          <w:szCs w:val="24"/>
        </w:rPr>
      </w:pPr>
      <w:r>
        <w:rPr>
          <w:rFonts w:hint="default" w:ascii="Times New Roman" w:hAnsi="Times New Roman"/>
          <w:b w:val="0"/>
          <w:bCs/>
          <w:sz w:val="24"/>
          <w:szCs w:val="24"/>
        </w:rPr>
        <w:t xml:space="preserve">Despite these challenges, the study shows that Lakan members actively engaged in adaptive strategies that enabled recovery and reinvention. Key processes such as acceptance, cognitive </w:t>
      </w:r>
      <w:r>
        <w:rPr>
          <w:rFonts w:hint="default" w:ascii="Times New Roman" w:hAnsi="Times New Roman"/>
          <w:b w:val="0"/>
          <w:bCs/>
          <w:sz w:val="24"/>
          <w:szCs w:val="24"/>
          <w:lang w:val="en-US"/>
        </w:rPr>
        <w:t>re-framing</w:t>
      </w:r>
      <w:r>
        <w:rPr>
          <w:rFonts w:hint="default" w:ascii="Times New Roman" w:hAnsi="Times New Roman"/>
          <w:b w:val="0"/>
          <w:bCs/>
          <w:sz w:val="24"/>
          <w:szCs w:val="24"/>
        </w:rPr>
        <w:t xml:space="preserve">, discipline, resilience, faith, peer </w:t>
      </w:r>
      <w:r>
        <w:rPr>
          <w:rFonts w:hint="default" w:ascii="Times New Roman" w:hAnsi="Times New Roman"/>
          <w:b w:val="0"/>
          <w:bCs/>
          <w:sz w:val="24"/>
          <w:szCs w:val="24"/>
          <w:lang w:val="en-US"/>
        </w:rPr>
        <w:t>support and</w:t>
      </w:r>
      <w:r>
        <w:rPr>
          <w:rFonts w:hint="default" w:ascii="Times New Roman" w:hAnsi="Times New Roman"/>
          <w:b w:val="0"/>
          <w:bCs/>
          <w:sz w:val="24"/>
          <w:szCs w:val="24"/>
        </w:rPr>
        <w:t xml:space="preserve"> the recognition of transferable competencies played a critical role in restoring confidence and facilitating career reconstruction. These strategies illustrate that transition is not a passive experience but an intentional and evolving process shaped by internal and external resources.</w:t>
      </w:r>
    </w:p>
    <w:p w14:paraId="09A4E71B">
      <w:pPr>
        <w:spacing w:line="240" w:lineRule="auto"/>
        <w:ind w:firstLine="720" w:firstLineChars="0"/>
        <w:jc w:val="both"/>
        <w:outlineLvl w:val="1"/>
        <w:rPr>
          <w:rFonts w:hint="default" w:ascii="Times New Roman" w:hAnsi="Times New Roman"/>
          <w:b w:val="0"/>
          <w:bCs/>
          <w:sz w:val="24"/>
          <w:szCs w:val="24"/>
        </w:rPr>
      </w:pPr>
      <w:r>
        <w:rPr>
          <w:rFonts w:hint="default" w:ascii="Times New Roman" w:hAnsi="Times New Roman"/>
          <w:b w:val="0"/>
          <w:bCs/>
          <w:sz w:val="24"/>
          <w:szCs w:val="24"/>
        </w:rPr>
        <w:t xml:space="preserve">The findings further indicate that the informants achieved a reconstructed identity grounded in enduring values such as integrity, discipline, </w:t>
      </w:r>
      <w:r>
        <w:rPr>
          <w:rFonts w:hint="default" w:ascii="Times New Roman" w:hAnsi="Times New Roman"/>
          <w:b w:val="0"/>
          <w:bCs/>
          <w:sz w:val="24"/>
          <w:szCs w:val="24"/>
          <w:lang w:val="en-US"/>
        </w:rPr>
        <w:t>accountability and</w:t>
      </w:r>
      <w:r>
        <w:rPr>
          <w:rFonts w:hint="default" w:ascii="Times New Roman" w:hAnsi="Times New Roman"/>
          <w:b w:val="0"/>
          <w:bCs/>
          <w:sz w:val="24"/>
          <w:szCs w:val="24"/>
        </w:rPr>
        <w:t xml:space="preserve"> service. Rather than abandoning their Lakan identity, they redefined it beyond institutional affiliation, demonstrating continuity of purpose through alternative professional and community roles. This transformation reflects a shift from role-based identity to values-based identity, enabling sustained meaning and direction despite separation.</w:t>
      </w:r>
    </w:p>
    <w:p w14:paraId="6DD085E9">
      <w:pPr>
        <w:spacing w:line="240" w:lineRule="auto"/>
        <w:ind w:firstLine="720" w:firstLineChars="0"/>
        <w:jc w:val="both"/>
        <w:outlineLvl w:val="1"/>
        <w:rPr>
          <w:rFonts w:hint="default" w:ascii="Times New Roman" w:hAnsi="Times New Roman"/>
          <w:b w:val="0"/>
          <w:bCs/>
          <w:sz w:val="24"/>
          <w:szCs w:val="24"/>
        </w:rPr>
      </w:pPr>
      <w:r>
        <w:rPr>
          <w:rFonts w:hint="default" w:ascii="Times New Roman" w:hAnsi="Times New Roman"/>
          <w:b w:val="0"/>
          <w:bCs/>
          <w:sz w:val="24"/>
          <w:szCs w:val="24"/>
        </w:rPr>
        <w:t xml:space="preserve">Ultimately, the study concludes that administrative separation, while initially experienced as a disruptive and destabilizing event, can become a transformative turning point. Through adaptive coping, strategic </w:t>
      </w:r>
      <w:r>
        <w:rPr>
          <w:rFonts w:hint="default" w:ascii="Times New Roman" w:hAnsi="Times New Roman"/>
          <w:b w:val="0"/>
          <w:bCs/>
          <w:sz w:val="24"/>
          <w:szCs w:val="24"/>
          <w:lang w:val="en-US"/>
        </w:rPr>
        <w:t>action and</w:t>
      </w:r>
      <w:r>
        <w:rPr>
          <w:rFonts w:hint="default" w:ascii="Times New Roman" w:hAnsi="Times New Roman"/>
          <w:b w:val="0"/>
          <w:bCs/>
          <w:sz w:val="24"/>
          <w:szCs w:val="24"/>
        </w:rPr>
        <w:t xml:space="preserve"> value-driven identity reconstruction, Lakan members were able to convert adversity into opportunities for growth, </w:t>
      </w:r>
      <w:r>
        <w:rPr>
          <w:rFonts w:hint="default" w:ascii="Times New Roman" w:hAnsi="Times New Roman"/>
          <w:b w:val="0"/>
          <w:bCs/>
          <w:sz w:val="24"/>
          <w:szCs w:val="24"/>
          <w:lang w:val="en-US"/>
        </w:rPr>
        <w:t>resilience and</w:t>
      </w:r>
      <w:r>
        <w:rPr>
          <w:rFonts w:hint="default" w:ascii="Times New Roman" w:hAnsi="Times New Roman"/>
          <w:b w:val="0"/>
          <w:bCs/>
          <w:sz w:val="24"/>
          <w:szCs w:val="24"/>
        </w:rPr>
        <w:t xml:space="preserve"> renewed purpose. Their present life outlook is characterized by integration rather than rupture, where past experiences are incorporated into a coherent and forward-looking sense of self.</w:t>
      </w:r>
    </w:p>
    <w:p w14:paraId="4F0912D8">
      <w:pPr>
        <w:spacing w:line="240" w:lineRule="auto"/>
        <w:ind w:firstLine="720" w:firstLineChars="0"/>
        <w:jc w:val="both"/>
        <w:outlineLvl w:val="1"/>
        <w:rPr>
          <w:rFonts w:hint="default" w:ascii="Times New Roman" w:hAnsi="Times New Roman"/>
          <w:b/>
          <w:bCs/>
          <w:i w:val="0"/>
          <w:iCs w:val="0"/>
          <w:sz w:val="24"/>
          <w:szCs w:val="24"/>
          <w:lang w:val="en-US"/>
        </w:rPr>
      </w:pPr>
      <w:r>
        <w:rPr>
          <w:rFonts w:hint="default" w:ascii="Times New Roman" w:hAnsi="Times New Roman"/>
          <w:b w:val="0"/>
          <w:bCs/>
          <w:sz w:val="24"/>
          <w:szCs w:val="24"/>
        </w:rPr>
        <w:t>In sum, the findings affirm that resilience, self-efficacy</w:t>
      </w:r>
      <w:r>
        <w:rPr>
          <w:rFonts w:hint="default" w:ascii="Times New Roman" w:hAnsi="Times New Roman"/>
          <w:b w:val="0"/>
          <w:bCs/>
          <w:sz w:val="24"/>
          <w:szCs w:val="24"/>
          <w:lang w:val="en-US"/>
        </w:rPr>
        <w:t xml:space="preserve"> and</w:t>
      </w:r>
      <w:r>
        <w:rPr>
          <w:rFonts w:hint="default" w:ascii="Times New Roman" w:hAnsi="Times New Roman"/>
          <w:b w:val="0"/>
          <w:bCs/>
          <w:sz w:val="24"/>
          <w:szCs w:val="24"/>
        </w:rPr>
        <w:t xml:space="preserve"> meaningful transition processes enable individuals to rebuild their lives beyond institutional loss. The journey of the Lakan members reflects not only recovery but a process of renewal, demonstrating that hope, </w:t>
      </w:r>
      <w:r>
        <w:rPr>
          <w:rFonts w:hint="default" w:ascii="Times New Roman" w:hAnsi="Times New Roman"/>
          <w:b w:val="0"/>
          <w:bCs/>
          <w:sz w:val="24"/>
          <w:szCs w:val="24"/>
          <w:lang w:val="en-US"/>
        </w:rPr>
        <w:t>optimism and</w:t>
      </w:r>
      <w:r>
        <w:rPr>
          <w:rFonts w:hint="default" w:ascii="Times New Roman" w:hAnsi="Times New Roman"/>
          <w:b w:val="0"/>
          <w:bCs/>
          <w:sz w:val="24"/>
          <w:szCs w:val="24"/>
        </w:rPr>
        <w:t xml:space="preserve"> purposeful living remain attainable even after significant professional and personal disruption.</w:t>
      </w:r>
    </w:p>
    <w:p w14:paraId="1F5A23BC">
      <w:pPr>
        <w:pStyle w:val="2"/>
        <w:keepNext w:val="0"/>
        <w:keepLines w:val="0"/>
        <w:widowControl/>
        <w:suppressLineNumbers w:val="0"/>
        <w:jc w:val="both"/>
        <w:rPr>
          <w:rFonts w:hint="default"/>
          <w:sz w:val="28"/>
          <w:szCs w:val="28"/>
          <w:lang w:val="en-US"/>
        </w:rPr>
      </w:pPr>
      <w:r>
        <w:rPr>
          <w:rStyle w:val="22"/>
          <w:rFonts w:hint="default" w:ascii="Times New Roman" w:hAnsi="Times New Roman" w:cs="Times New Roman"/>
          <w:color w:val="000000" w:themeColor="text1"/>
          <w:sz w:val="28"/>
          <w:szCs w:val="28"/>
          <w14:textFill>
            <w14:solidFill>
              <w14:schemeClr w14:val="tx1"/>
            </w14:solidFill>
          </w14:textFill>
        </w:rPr>
        <w:t>ACKNOWLEDGEMENT</w:t>
      </w:r>
      <w:r>
        <w:rPr>
          <w:rStyle w:val="22"/>
          <w:rFonts w:hint="default" w:ascii="Times New Roman" w:hAnsi="Times New Roman" w:cs="Times New Roman"/>
          <w:color w:val="000000" w:themeColor="text1"/>
          <w:sz w:val="28"/>
          <w:szCs w:val="28"/>
          <w:lang w:val="en-US"/>
          <w14:textFill>
            <w14:solidFill>
              <w14:schemeClr w14:val="tx1"/>
            </w14:solidFill>
          </w14:textFill>
        </w:rPr>
        <w:t>S</w:t>
      </w:r>
    </w:p>
    <w:p w14:paraId="5FC6211E">
      <w:pPr>
        <w:pStyle w:val="20"/>
        <w:keepNext w:val="0"/>
        <w:keepLines w:val="0"/>
        <w:widowControl/>
        <w:suppressLineNumbers w:val="0"/>
        <w:ind w:firstLine="720" w:firstLineChars="0"/>
        <w:jc w:val="both"/>
        <w:rPr>
          <w:sz w:val="24"/>
          <w:szCs w:val="24"/>
        </w:rPr>
      </w:pPr>
      <w:r>
        <w:rPr>
          <w:sz w:val="24"/>
          <w:szCs w:val="24"/>
        </w:rPr>
        <w:t>The researcher sincerely extends his heartfelt gratitude to everyone who has supported and mentored him throughout the completion of this dissertation.</w:t>
      </w:r>
    </w:p>
    <w:p w14:paraId="21BCED1F">
      <w:pPr>
        <w:pStyle w:val="20"/>
        <w:keepNext w:val="0"/>
        <w:keepLines w:val="0"/>
        <w:widowControl/>
        <w:suppressLineNumbers w:val="0"/>
        <w:ind w:firstLine="720" w:firstLineChars="0"/>
        <w:jc w:val="both"/>
        <w:rPr>
          <w:sz w:val="24"/>
          <w:szCs w:val="24"/>
        </w:rPr>
      </w:pPr>
      <w:r>
        <w:rPr>
          <w:sz w:val="24"/>
          <w:szCs w:val="24"/>
        </w:rPr>
        <w:t xml:space="preserve">First and foremost, the researcher gives thanks to </w:t>
      </w:r>
      <w:r>
        <w:rPr>
          <w:rStyle w:val="22"/>
          <w:b w:val="0"/>
          <w:bCs w:val="0"/>
          <w:sz w:val="24"/>
          <w:szCs w:val="24"/>
        </w:rPr>
        <w:t>God Almighty</w:t>
      </w:r>
      <w:r>
        <w:rPr>
          <w:sz w:val="24"/>
          <w:szCs w:val="24"/>
        </w:rPr>
        <w:t xml:space="preserve"> for granting him the courage, wisdom, strength and perseverance to begin and successfully complete this academic endeavor. Through every challenge and moment of doubt, His guidance remained constant.</w:t>
      </w:r>
    </w:p>
    <w:p w14:paraId="25505F43">
      <w:pPr>
        <w:pStyle w:val="20"/>
        <w:keepNext w:val="0"/>
        <w:keepLines w:val="0"/>
        <w:widowControl/>
        <w:suppressLineNumbers w:val="0"/>
        <w:ind w:firstLine="720" w:firstLineChars="0"/>
        <w:jc w:val="both"/>
        <w:rPr>
          <w:sz w:val="24"/>
          <w:szCs w:val="24"/>
        </w:rPr>
      </w:pPr>
      <w:r>
        <w:rPr>
          <w:sz w:val="24"/>
          <w:szCs w:val="24"/>
        </w:rPr>
        <w:t xml:space="preserve">Second, the researcher is profoundly grateful to his loving wife, </w:t>
      </w:r>
      <w:r>
        <w:rPr>
          <w:rStyle w:val="22"/>
          <w:b w:val="0"/>
          <w:bCs w:val="0"/>
          <w:sz w:val="24"/>
          <w:szCs w:val="24"/>
        </w:rPr>
        <w:t>Brenda</w:t>
      </w:r>
      <w:r>
        <w:rPr>
          <w:b w:val="0"/>
          <w:bCs w:val="0"/>
          <w:sz w:val="24"/>
          <w:szCs w:val="24"/>
        </w:rPr>
        <w:t xml:space="preserve"> and his son, </w:t>
      </w:r>
      <w:r>
        <w:rPr>
          <w:rStyle w:val="22"/>
          <w:b w:val="0"/>
          <w:bCs w:val="0"/>
          <w:sz w:val="24"/>
          <w:szCs w:val="24"/>
        </w:rPr>
        <w:t>Guilbert Ace</w:t>
      </w:r>
      <w:r>
        <w:rPr>
          <w:sz w:val="24"/>
          <w:szCs w:val="24"/>
        </w:rPr>
        <w:t>, whose patience, understanding and unconditional support made every obstacle bearable and every milestone meaningful.</w:t>
      </w:r>
    </w:p>
    <w:p w14:paraId="652CDAE5">
      <w:pPr>
        <w:pStyle w:val="20"/>
        <w:keepNext w:val="0"/>
        <w:keepLines w:val="0"/>
        <w:widowControl/>
        <w:suppressLineNumbers w:val="0"/>
        <w:ind w:firstLine="720" w:firstLineChars="0"/>
        <w:jc w:val="both"/>
        <w:rPr>
          <w:sz w:val="24"/>
          <w:szCs w:val="24"/>
        </w:rPr>
      </w:pPr>
      <w:r>
        <w:rPr>
          <w:rFonts w:hint="default"/>
          <w:sz w:val="24"/>
          <w:szCs w:val="24"/>
          <w:lang w:val="en-US"/>
        </w:rPr>
        <w:t>Third</w:t>
      </w:r>
      <w:r>
        <w:rPr>
          <w:sz w:val="24"/>
          <w:szCs w:val="24"/>
        </w:rPr>
        <w:t>, the researcher extends his sincere gratitude to the informants of this study. Their trust, openness and willingness to share their lived experiences made this research possible and meaningful.</w:t>
      </w:r>
    </w:p>
    <w:p w14:paraId="27B297BB">
      <w:pPr>
        <w:pStyle w:val="20"/>
        <w:keepNext w:val="0"/>
        <w:keepLines w:val="0"/>
        <w:widowControl/>
        <w:suppressLineNumbers w:val="0"/>
        <w:ind w:firstLine="720" w:firstLineChars="0"/>
        <w:jc w:val="both"/>
        <w:rPr>
          <w:sz w:val="24"/>
          <w:szCs w:val="24"/>
        </w:rPr>
      </w:pPr>
      <w:r>
        <w:rPr>
          <w:sz w:val="24"/>
          <w:szCs w:val="24"/>
        </w:rPr>
        <w:t xml:space="preserve">Lastly, the researcher conveys his deepest appreciation to </w:t>
      </w:r>
      <w:r>
        <w:rPr>
          <w:rStyle w:val="22"/>
          <w:b w:val="0"/>
          <w:bCs w:val="0"/>
          <w:sz w:val="24"/>
          <w:szCs w:val="24"/>
        </w:rPr>
        <w:t xml:space="preserve">Dr. Paulino V. Pioquinto, </w:t>
      </w:r>
      <w:r>
        <w:rPr>
          <w:rStyle w:val="22"/>
          <w:rFonts w:hint="default"/>
          <w:b w:val="0"/>
          <w:bCs w:val="0"/>
          <w:sz w:val="24"/>
          <w:szCs w:val="24"/>
          <w:lang w:val="en-US"/>
        </w:rPr>
        <w:t>Ph.D.</w:t>
      </w:r>
      <w:r>
        <w:rPr>
          <w:sz w:val="24"/>
          <w:szCs w:val="24"/>
        </w:rPr>
        <w:t xml:space="preserve">, his </w:t>
      </w:r>
      <w:r>
        <w:rPr>
          <w:rFonts w:hint="default"/>
          <w:sz w:val="24"/>
          <w:szCs w:val="24"/>
          <w:lang w:val="en-US"/>
        </w:rPr>
        <w:t>dissertation</w:t>
      </w:r>
      <w:r>
        <w:rPr>
          <w:sz w:val="24"/>
          <w:szCs w:val="24"/>
        </w:rPr>
        <w:t xml:space="preserve"> adviser, for his consistent guidance, </w:t>
      </w:r>
      <w:r>
        <w:rPr>
          <w:sz w:val="24"/>
          <w:szCs w:val="24"/>
          <w:lang w:val="en-US"/>
        </w:rPr>
        <w:t>patience and</w:t>
      </w:r>
      <w:r>
        <w:rPr>
          <w:sz w:val="24"/>
          <w:szCs w:val="24"/>
        </w:rPr>
        <w:t xml:space="preserve"> scholarly direction. He likewise extends his gratitude to </w:t>
      </w:r>
      <w:r>
        <w:rPr>
          <w:rStyle w:val="22"/>
          <w:b w:val="0"/>
          <w:bCs w:val="0"/>
          <w:sz w:val="24"/>
          <w:szCs w:val="24"/>
        </w:rPr>
        <w:t>Dr. Yolanda C. Sayson</w:t>
      </w:r>
      <w:r>
        <w:rPr>
          <w:b w:val="0"/>
          <w:bCs w:val="0"/>
          <w:sz w:val="24"/>
          <w:szCs w:val="24"/>
        </w:rPr>
        <w:t xml:space="preserve">, </w:t>
      </w:r>
      <w:r>
        <w:rPr>
          <w:rStyle w:val="22"/>
          <w:b w:val="0"/>
          <w:bCs w:val="0"/>
          <w:sz w:val="24"/>
          <w:szCs w:val="24"/>
        </w:rPr>
        <w:t>Atty. Dodelon F. Sabijon</w:t>
      </w:r>
      <w:r>
        <w:rPr>
          <w:b w:val="0"/>
          <w:bCs w:val="0"/>
          <w:sz w:val="24"/>
          <w:szCs w:val="24"/>
        </w:rPr>
        <w:t>,</w:t>
      </w:r>
      <w:r>
        <w:rPr>
          <w:rFonts w:hint="default"/>
          <w:b w:val="0"/>
          <w:bCs w:val="0"/>
          <w:sz w:val="24"/>
          <w:szCs w:val="24"/>
          <w:lang w:val="en-US"/>
        </w:rPr>
        <w:t xml:space="preserve"> </w:t>
      </w:r>
      <w:r>
        <w:rPr>
          <w:rStyle w:val="22"/>
          <w:rFonts w:hint="default"/>
          <w:b w:val="0"/>
          <w:bCs w:val="0"/>
          <w:sz w:val="24"/>
          <w:szCs w:val="24"/>
          <w:lang w:val="en-US"/>
        </w:rPr>
        <w:t>Ph.D.</w:t>
      </w:r>
      <w:r>
        <w:rPr>
          <w:sz w:val="24"/>
          <w:szCs w:val="24"/>
        </w:rPr>
        <w:t>,</w:t>
      </w:r>
      <w:r>
        <w:rPr>
          <w:b w:val="0"/>
          <w:bCs w:val="0"/>
          <w:sz w:val="24"/>
          <w:szCs w:val="24"/>
        </w:rPr>
        <w:t xml:space="preserve"> </w:t>
      </w:r>
      <w:r>
        <w:rPr>
          <w:rStyle w:val="22"/>
          <w:b w:val="0"/>
          <w:bCs w:val="0"/>
          <w:sz w:val="24"/>
          <w:szCs w:val="24"/>
        </w:rPr>
        <w:t>Dr. Esmeraldo Damuag</w:t>
      </w:r>
      <w:r>
        <w:rPr>
          <w:rStyle w:val="22"/>
          <w:rFonts w:hint="default"/>
          <w:b w:val="0"/>
          <w:bCs w:val="0"/>
          <w:sz w:val="24"/>
          <w:szCs w:val="24"/>
          <w:lang w:val="en-US"/>
        </w:rPr>
        <w:t xml:space="preserve"> </w:t>
      </w:r>
      <w:r>
        <w:rPr>
          <w:b w:val="0"/>
          <w:bCs w:val="0"/>
          <w:sz w:val="24"/>
          <w:szCs w:val="24"/>
          <w:lang w:val="en-US"/>
        </w:rPr>
        <w:t>and</w:t>
      </w:r>
      <w:r>
        <w:rPr>
          <w:sz w:val="24"/>
          <w:szCs w:val="24"/>
        </w:rPr>
        <w:t xml:space="preserve"> </w:t>
      </w:r>
      <w:r>
        <w:rPr>
          <w:rStyle w:val="22"/>
          <w:b w:val="0"/>
          <w:bCs w:val="0"/>
          <w:sz w:val="24"/>
          <w:szCs w:val="24"/>
        </w:rPr>
        <w:t>Dr. Renato C. Sagayno</w:t>
      </w:r>
      <w:r>
        <w:rPr>
          <w:b w:val="0"/>
          <w:bCs w:val="0"/>
          <w:sz w:val="24"/>
          <w:szCs w:val="24"/>
        </w:rPr>
        <w:t xml:space="preserve">, </w:t>
      </w:r>
      <w:r>
        <w:rPr>
          <w:sz w:val="24"/>
          <w:szCs w:val="24"/>
        </w:rPr>
        <w:t>members of the panel, for their valuable insights, constructive recommendations and encouragement that strengthened this dissertation.</w:t>
      </w:r>
    </w:p>
    <w:p w14:paraId="3D53AC93">
      <w:pPr>
        <w:pStyle w:val="20"/>
        <w:keepNext w:val="0"/>
        <w:keepLines w:val="0"/>
        <w:widowControl/>
        <w:suppressLineNumbers w:val="0"/>
        <w:ind w:firstLine="720" w:firstLineChars="0"/>
        <w:jc w:val="both"/>
        <w:rPr>
          <w:sz w:val="24"/>
          <w:szCs w:val="24"/>
        </w:rPr>
      </w:pPr>
      <w:r>
        <w:rPr>
          <w:sz w:val="24"/>
          <w:szCs w:val="24"/>
        </w:rPr>
        <w:t>To all who have been part of this journey, the researcher offers his sincere thanks and lasting appreciation.</w:t>
      </w:r>
    </w:p>
    <w:p w14:paraId="70814A1A">
      <w:pPr>
        <w:pStyle w:val="20"/>
        <w:keepNext w:val="0"/>
        <w:keepLines w:val="0"/>
        <w:widowControl/>
        <w:suppressLineNumbers w:val="0"/>
        <w:ind w:left="7920" w:leftChars="0" w:firstLine="720" w:firstLineChars="0"/>
        <w:jc w:val="both"/>
        <w:rPr>
          <w:rFonts w:hint="default"/>
          <w:sz w:val="24"/>
          <w:szCs w:val="24"/>
          <w:lang w:val="en-US"/>
        </w:rPr>
      </w:pPr>
      <w:r>
        <w:rPr>
          <w:rFonts w:hint="default"/>
          <w:sz w:val="24"/>
          <w:szCs w:val="24"/>
          <w:lang w:val="en-US"/>
        </w:rPr>
        <w:t>- Guilbert B. Mansueto</w:t>
      </w:r>
    </w:p>
    <w:p w14:paraId="5B2AC38F">
      <w:pPr>
        <w:spacing w:line="240" w:lineRule="auto"/>
        <w:jc w:val="both"/>
        <w:outlineLvl w:val="1"/>
        <w:rPr>
          <w:rFonts w:hint="default" w:ascii="Times New Roman" w:hAnsi="Times New Roman"/>
          <w:b/>
          <w:bCs/>
          <w:i w:val="0"/>
          <w:iCs w:val="0"/>
          <w:sz w:val="28"/>
          <w:szCs w:val="28"/>
          <w:lang w:val="en-US"/>
        </w:rPr>
      </w:pPr>
      <w:bookmarkStart w:id="3" w:name="_Toc23223"/>
      <w:r>
        <w:rPr>
          <w:rFonts w:hint="default" w:ascii="Times New Roman" w:hAnsi="Times New Roman"/>
          <w:b/>
          <w:bCs/>
          <w:i w:val="0"/>
          <w:iCs w:val="0"/>
          <w:sz w:val="28"/>
          <w:szCs w:val="28"/>
          <w:lang w:val="en-US"/>
        </w:rPr>
        <w:t>REFERENCES</w:t>
      </w:r>
      <w:bookmarkEnd w:id="3"/>
    </w:p>
    <w:p w14:paraId="5E17CAEE">
      <w:pPr>
        <w:spacing w:line="240" w:lineRule="auto"/>
        <w:jc w:val="left"/>
        <w:outlineLvl w:val="1"/>
        <w:rPr>
          <w:rFonts w:hint="default" w:ascii="Times New Roman" w:hAnsi="Times New Roman"/>
          <w:b w:val="0"/>
          <w:bCs w:val="0"/>
          <w:i w:val="0"/>
          <w:iCs w:val="0"/>
          <w:sz w:val="22"/>
          <w:szCs w:val="22"/>
          <w:lang w:val="en-US"/>
        </w:rPr>
      </w:pPr>
      <w:r>
        <w:rPr>
          <w:rFonts w:hint="default" w:ascii="Times New Roman" w:hAnsi="Times New Roman"/>
          <w:b/>
          <w:bCs/>
          <w:i w:val="0"/>
          <w:iCs w:val="0"/>
          <w:sz w:val="22"/>
          <w:szCs w:val="22"/>
          <w:lang w:val="en-US"/>
        </w:rPr>
        <w:t>Books</w:t>
      </w:r>
    </w:p>
    <w:p w14:paraId="2AF58131">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Bandura, A. (1977). Self-efficacy: Toward a unifying theory of behavioral change. </w:t>
      </w:r>
      <w:r>
        <w:rPr>
          <w:rFonts w:hint="default" w:ascii="Times New Roman" w:hAnsi="Times New Roman" w:cs="Times New Roman"/>
          <w:i/>
          <w:iCs/>
          <w:sz w:val="24"/>
          <w:szCs w:val="24"/>
          <w:lang w:val="en-US"/>
        </w:rPr>
        <w:t>Psychological Review Press</w:t>
      </w:r>
      <w:r>
        <w:rPr>
          <w:rFonts w:hint="default" w:ascii="Times New Roman" w:hAnsi="Times New Roman" w:cs="Times New Roman"/>
          <w:sz w:val="24"/>
          <w:szCs w:val="24"/>
          <w:lang w:val="en-US"/>
        </w:rPr>
        <w:t>.</w:t>
      </w:r>
    </w:p>
    <w:p w14:paraId="0DC3E3EA">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Bandura, A. (1997). Self-efficacy: The exercise of control. W. H. Freeman.</w:t>
      </w:r>
    </w:p>
    <w:p w14:paraId="15D93788">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Bridges, W. (2004). Transitions: </w:t>
      </w:r>
      <w:r>
        <w:rPr>
          <w:rFonts w:hint="default" w:ascii="Times New Roman" w:hAnsi="Times New Roman" w:cs="Times New Roman"/>
          <w:i/>
          <w:iCs/>
          <w:sz w:val="24"/>
          <w:szCs w:val="24"/>
          <w:lang w:val="en-US"/>
        </w:rPr>
        <w:t>Making sense of life’s changes</w:t>
      </w:r>
      <w:r>
        <w:rPr>
          <w:rFonts w:hint="default" w:ascii="Times New Roman" w:hAnsi="Times New Roman" w:cs="Times New Roman"/>
          <w:sz w:val="24"/>
          <w:szCs w:val="24"/>
          <w:lang w:val="en-US"/>
        </w:rPr>
        <w:t xml:space="preserve"> (2nd ed.). Da Capo Press.</w:t>
      </w:r>
    </w:p>
    <w:p w14:paraId="51A3C123">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Colaizzi, P. F. (1978). Psychological research as the phenomenologist views it. In R. S. Valle &amp; M. King (Eds.), </w:t>
      </w:r>
      <w:r>
        <w:rPr>
          <w:rFonts w:hint="default" w:ascii="Times New Roman" w:hAnsi="Times New Roman" w:cs="Times New Roman"/>
          <w:i/>
          <w:iCs/>
          <w:sz w:val="24"/>
          <w:szCs w:val="24"/>
          <w:lang w:val="en-US"/>
        </w:rPr>
        <w:t>Existential phenomenological alternatives for psychology</w:t>
      </w:r>
      <w:r>
        <w:rPr>
          <w:rFonts w:hint="default" w:ascii="Times New Roman" w:hAnsi="Times New Roman" w:cs="Times New Roman"/>
          <w:sz w:val="24"/>
          <w:szCs w:val="24"/>
          <w:lang w:val="en-US"/>
        </w:rPr>
        <w:t xml:space="preserve"> (pp. 48–71). Oxford University Press.</w:t>
      </w:r>
    </w:p>
    <w:p w14:paraId="21C4A14F">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Enriquez, V. G. (1992). </w:t>
      </w:r>
      <w:r>
        <w:rPr>
          <w:rFonts w:hint="default" w:ascii="Times New Roman" w:hAnsi="Times New Roman" w:cs="Times New Roman"/>
          <w:i/>
          <w:iCs/>
          <w:sz w:val="24"/>
          <w:szCs w:val="24"/>
          <w:lang w:val="en-US"/>
        </w:rPr>
        <w:t>From colonial to liberation psychology: The Philippine experience.</w:t>
      </w:r>
      <w:r>
        <w:rPr>
          <w:rFonts w:hint="default" w:ascii="Times New Roman" w:hAnsi="Times New Roman" w:cs="Times New Roman"/>
          <w:sz w:val="24"/>
          <w:szCs w:val="24"/>
          <w:lang w:val="en-US"/>
        </w:rPr>
        <w:t xml:space="preserve"> University of the Philippines Press.</w:t>
      </w:r>
    </w:p>
    <w:p w14:paraId="46CF6911">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Husserl, E. (1931). Ideas: General introduction to pure phenomenology. George Allen &amp; Unwin.</w:t>
      </w:r>
    </w:p>
    <w:p w14:paraId="44D6EC49">
      <w:pPr>
        <w:numPr>
          <w:ilvl w:val="0"/>
          <w:numId w:val="4"/>
        </w:numPr>
        <w:spacing w:before="100" w:beforeLines="0" w:beforeAutospacing="1" w:after="100" w:afterLines="0" w:afterAutospacing="1"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cs="Times New Roman"/>
          <w:kern w:val="0"/>
          <w:sz w:val="24"/>
          <w:szCs w:val="24"/>
          <w:lang w:eastAsia="en-PH"/>
        </w:rPr>
        <w:t xml:space="preserve">Jocano, F. L. (1999). </w:t>
      </w:r>
      <w:r>
        <w:rPr>
          <w:rFonts w:hint="default" w:ascii="Times New Roman" w:cs="Times New Roman"/>
          <w:i/>
          <w:kern w:val="0"/>
          <w:sz w:val="24"/>
          <w:szCs w:val="24"/>
          <w:lang w:eastAsia="en-PH"/>
        </w:rPr>
        <w:t>Working with Filipinos: A cross-cultural experience</w:t>
      </w:r>
      <w:r>
        <w:rPr>
          <w:rFonts w:hint="default" w:ascii="Times New Roman" w:cs="Times New Roman"/>
          <w:kern w:val="0"/>
          <w:sz w:val="24"/>
          <w:szCs w:val="24"/>
          <w:lang w:eastAsia="en-PH"/>
        </w:rPr>
        <w:t>. Punlad Research House.</w:t>
      </w:r>
    </w:p>
    <w:p w14:paraId="3C5168C1">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Lincoln, Y. S., &amp; Guba, E. G. (1985). Naturalistic inquiry. </w:t>
      </w:r>
      <w:r>
        <w:rPr>
          <w:rFonts w:hint="default" w:ascii="Times New Roman" w:hAnsi="Times New Roman" w:cs="Times New Roman"/>
          <w:i/>
          <w:iCs/>
          <w:sz w:val="24"/>
          <w:szCs w:val="24"/>
          <w:lang w:val="en-US"/>
        </w:rPr>
        <w:t>Sage Publications</w:t>
      </w:r>
      <w:r>
        <w:rPr>
          <w:rFonts w:hint="default" w:ascii="Times New Roman" w:hAnsi="Times New Roman" w:cs="Times New Roman"/>
          <w:sz w:val="24"/>
          <w:szCs w:val="24"/>
          <w:lang w:val="en-US"/>
        </w:rPr>
        <w:t>.</w:t>
      </w:r>
    </w:p>
    <w:p w14:paraId="56F35748">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Masten, A. S. (2001). Ordinary magic: Resilience processes in development. </w:t>
      </w:r>
      <w:r>
        <w:rPr>
          <w:rFonts w:hint="default" w:ascii="Times New Roman" w:hAnsi="Times New Roman" w:cs="Times New Roman"/>
          <w:i/>
          <w:iCs/>
          <w:sz w:val="24"/>
          <w:szCs w:val="24"/>
          <w:lang w:val="en-US"/>
        </w:rPr>
        <w:t>American Psychologist Press</w:t>
      </w:r>
      <w:r>
        <w:rPr>
          <w:rFonts w:hint="default" w:ascii="Times New Roman" w:hAnsi="Times New Roman" w:cs="Times New Roman"/>
          <w:sz w:val="24"/>
          <w:szCs w:val="24"/>
          <w:lang w:val="en-US"/>
        </w:rPr>
        <w:t>.</w:t>
      </w:r>
    </w:p>
    <w:p w14:paraId="5164B4D2">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Medina, B. T. G. (2001). </w:t>
      </w:r>
      <w:r>
        <w:rPr>
          <w:rFonts w:hint="default" w:ascii="Times New Roman" w:hAnsi="Times New Roman" w:cs="Times New Roman"/>
          <w:i/>
          <w:iCs/>
          <w:sz w:val="24"/>
          <w:szCs w:val="24"/>
          <w:lang w:val="en-US"/>
        </w:rPr>
        <w:t>The Filipino family</w:t>
      </w:r>
      <w:r>
        <w:rPr>
          <w:rFonts w:hint="default" w:ascii="Times New Roman" w:hAnsi="Times New Roman" w:cs="Times New Roman"/>
          <w:sz w:val="24"/>
          <w:szCs w:val="24"/>
          <w:lang w:val="en-US"/>
        </w:rPr>
        <w:t xml:space="preserve"> (2nd ed.). University of the Philippines Press.</w:t>
      </w:r>
    </w:p>
    <w:p w14:paraId="0E59EB95">
      <w:pPr>
        <w:pStyle w:val="47"/>
        <w:numPr>
          <w:ilvl w:val="0"/>
          <w:numId w:val="4"/>
        </w:numPr>
        <w:bidi w:val="0"/>
        <w:spacing w:line="240" w:lineRule="auto"/>
        <w:ind w:left="845" w:leftChars="0" w:hanging="425" w:firstLineChars="0"/>
        <w:jc w:val="both"/>
        <w:rPr>
          <w:rFonts w:hint="default" w:ascii="Times New Roman" w:hAnsi="Times New Roman" w:cs="Times New Roman"/>
          <w:i/>
          <w:iCs/>
          <w:sz w:val="24"/>
          <w:szCs w:val="24"/>
          <w:lang w:val="en-US"/>
        </w:rPr>
      </w:pPr>
      <w:r>
        <w:rPr>
          <w:rFonts w:hint="default" w:ascii="Times New Roman" w:hAnsi="Times New Roman" w:cs="Times New Roman"/>
          <w:sz w:val="24"/>
          <w:szCs w:val="24"/>
          <w:lang w:val="en-US"/>
        </w:rPr>
        <w:t xml:space="preserve">Moustakas, C. (1994). Phenomenological research methods. </w:t>
      </w:r>
      <w:r>
        <w:rPr>
          <w:rFonts w:hint="default" w:ascii="Times New Roman" w:hAnsi="Times New Roman" w:cs="Times New Roman"/>
          <w:i/>
          <w:iCs/>
          <w:sz w:val="24"/>
          <w:szCs w:val="24"/>
          <w:lang w:val="en-US"/>
        </w:rPr>
        <w:t>Sage Publications.</w:t>
      </w:r>
    </w:p>
    <w:p w14:paraId="400C5070">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Patton, M. Q. (2015). Qualitative research and evaluation methods (4th ed.). Sage Publications.</w:t>
      </w:r>
    </w:p>
    <w:p w14:paraId="011E042A">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Tedeschi, R. G., &amp; Calhoun, L. G. (2004). Posttraumatic growth: Conceptual foundations and empirical evidence. </w:t>
      </w:r>
      <w:r>
        <w:rPr>
          <w:rFonts w:hint="default" w:ascii="Times New Roman" w:hAnsi="Times New Roman" w:cs="Times New Roman"/>
          <w:i/>
          <w:iCs/>
          <w:sz w:val="24"/>
          <w:szCs w:val="24"/>
          <w:lang w:val="en-US"/>
        </w:rPr>
        <w:t>Psychological Inquiry Press.</w:t>
      </w:r>
    </w:p>
    <w:p w14:paraId="49838544">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cs="Times New Roman"/>
          <w:kern w:val="0"/>
          <w:sz w:val="24"/>
          <w:szCs w:val="24"/>
          <w:lang w:eastAsia="en-PH"/>
        </w:rPr>
        <w:t xml:space="preserve">Schlossberg, N. K. (1981). A model for analyzing human adaptation to transition. </w:t>
      </w:r>
      <w:r>
        <w:rPr>
          <w:rFonts w:hint="default" w:ascii="Times New Roman" w:cs="Times New Roman"/>
          <w:i/>
          <w:kern w:val="0"/>
          <w:sz w:val="24"/>
          <w:szCs w:val="24"/>
          <w:lang w:eastAsia="en-PH"/>
        </w:rPr>
        <w:t>The Counseling Psychologist</w:t>
      </w:r>
      <w:r>
        <w:rPr>
          <w:rFonts w:hint="default" w:ascii="Times New Roman" w:cs="Times New Roman"/>
          <w:kern w:val="0"/>
          <w:sz w:val="24"/>
          <w:szCs w:val="24"/>
          <w:lang w:eastAsia="en-PH"/>
        </w:rPr>
        <w:t>, 9(2), 2–18.</w:t>
      </w:r>
    </w:p>
    <w:p w14:paraId="2ACC7798">
      <w:pPr>
        <w:pStyle w:val="47"/>
        <w:bidi w:val="0"/>
        <w:spacing w:line="240" w:lineRule="auto"/>
        <w:jc w:val="both"/>
        <w:rPr>
          <w:rFonts w:hint="default" w:ascii="Times New Roman" w:hAnsi="Times New Roman" w:cs="Times New Roman"/>
          <w:b/>
          <w:bCs/>
          <w:sz w:val="24"/>
          <w:szCs w:val="24"/>
          <w:lang w:val="en-US"/>
        </w:rPr>
      </w:pPr>
    </w:p>
    <w:p w14:paraId="3562E78C">
      <w:pPr>
        <w:pStyle w:val="47"/>
        <w:numPr>
          <w:ilvl w:val="0"/>
          <w:numId w:val="0"/>
        </w:numPr>
        <w:bidi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Journals / Scholarly Articles</w:t>
      </w:r>
    </w:p>
    <w:p w14:paraId="4DFD1B67">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Agbayani-Siewert, P., &amp; Revilla, L. (1995). Filipino Americans and their coping strategies. Families in Society, 76(3), 193–201.</w:t>
      </w:r>
    </w:p>
    <w:p w14:paraId="4F1D1B10">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Anderson, M. L., Goodman, J., &amp; Schlossberg, N. K. (2012). Counseling adults in transition (4th ed.). Springer</w:t>
      </w:r>
      <w:r>
        <w:rPr>
          <w:rFonts w:hint="default" w:ascii="Times New Roman" w:hAnsi="Times New Roman" w:cs="Times New Roman"/>
          <w:sz w:val="24"/>
          <w:szCs w:val="24"/>
          <w:lang w:val="en-US" w:eastAsia="en-PH"/>
        </w:rPr>
        <w:t>.</w:t>
      </w:r>
    </w:p>
    <w:p w14:paraId="440B5366">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Bonanno, G. A. (2004). Loss, trauma and human resilience. American Psychologist, 59(1), 20–28.</w:t>
      </w:r>
    </w:p>
    <w:p w14:paraId="721EF82C">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eastAsia="en-PH"/>
        </w:rPr>
        <w:t>Cooper, C., et al. (2018). Transition experiences of former military personnel. Journal of Occupational Health Psychology.</w:t>
      </w:r>
    </w:p>
    <w:p w14:paraId="1DB504AC">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Cruz, J. (2024). Occupational stress and aggression among police personnel. Philippine Journal of Criminology.</w:t>
      </w:r>
    </w:p>
    <w:p w14:paraId="0FDA6C51">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Demers, A. (2011). When veterans return: The role of community in reintegration. Journal of Loss and Trauma, 16(2), 160–179.</w:t>
      </w:r>
    </w:p>
    <w:p w14:paraId="3B6E58A4">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Denzin, N. K. (1989). Interpretive interactionism. Qualitative Research Methods Series.</w:t>
      </w:r>
    </w:p>
    <w:p w14:paraId="28FB2293">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Finlay, L. (2002). Negotiating the swamp: Reflexivity in research practice. Qualitative Research, 2(2), 209–230.</w:t>
      </w:r>
    </w:p>
    <w:p w14:paraId="6F22B283">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Fugate, M., Kinicki, A. J., &amp; Ashforth, B. E. (2004). Employability: A psycho-social construct. Journal of Vocational Behavior, 65(1), 14–38.</w:t>
      </w:r>
    </w:p>
    <w:p w14:paraId="3F04BE42">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Ibarra, H. (2003). Working identity: Unconventional strategies for reinventing your career. Harvard Business School Press.</w:t>
      </w:r>
    </w:p>
    <w:p w14:paraId="0FD0D403">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Lopez, R. (2024). Occupational stress and coping among police officers. Philippine Journal of Public Safety.</w:t>
      </w:r>
    </w:p>
    <w:p w14:paraId="58F083B9">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Olivar, R., et al. (2024). Resilience and mental health among police personnel. Philippine Journal of Psychology.</w:t>
      </w:r>
    </w:p>
    <w:p w14:paraId="213A8F09">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Papagayo, M. (2024). Work-life balance and psychological wellbeing. Philippine Social Science Review.</w:t>
      </w:r>
    </w:p>
    <w:p w14:paraId="3126A056">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Papazoglou, K., &amp; Andersen, J. P. (2014). Police resilience training. Journal of Police and Criminal Psychology, 29(2), 120–129.</w:t>
      </w:r>
    </w:p>
    <w:p w14:paraId="1BA2F6CB">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Pasquin, J. (2023). Resilience and coping among police personnel in Iloilo. Philippine Journal of Criminology.</w:t>
      </w:r>
    </w:p>
    <w:p w14:paraId="52BE4963">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Patton, M. Q. (1999). Enhancing quality and credibility in qualitative analysis. Health Services Research, 34(5), 1189–1208.</w:t>
      </w:r>
    </w:p>
    <w:p w14:paraId="531319FD">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Resurreccion, A. (2024). Quality of life and resilience among police officers. Philippine Journal of Behavioral Science.</w:t>
      </w:r>
    </w:p>
    <w:p w14:paraId="75C0EBED">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Savickas, M. L., &amp; Porfeli, E. J. (2012). Career adaptability. Journal of Vocational Behavior, 80(3), 661–673.</w:t>
      </w:r>
    </w:p>
    <w:p w14:paraId="4166944D">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Shenton, A. K. (2004). Strategies for ensuring trustworthiness. Education for Information, 22(2), 63–75.</w:t>
      </w:r>
    </w:p>
    <w:p w14:paraId="1BCB861E">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Tedeschi, R. G., &amp; Calhoun, L. G. (2004). Post-traumatic growth. Psychological Inquiry, 15(1), 1–18.</w:t>
      </w:r>
    </w:p>
    <w:p w14:paraId="227B8A00">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Tuason, M. T. (2013). Filipino resilience and coping. Journal of Pacific Rim Psychology, 7(2), 107–120.</w:t>
      </w:r>
    </w:p>
    <w:p w14:paraId="7E3AEE7F">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Ungar, M. (2011). The social ecology of resilience. American Journal of Orthopsychiatry, 81(1), 1–17.</w:t>
      </w:r>
    </w:p>
    <w:p w14:paraId="2496BF97">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van Manen, M. (1990). Researching lived experience. State University of New York Press.</w:t>
      </w:r>
    </w:p>
    <w:p w14:paraId="521C452C">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Westwood, M. J., et al. (2010). Group-based interventions for veterans. Journal of Counseling Psychology, 57(1), 1–10.</w:t>
      </w:r>
    </w:p>
    <w:p w14:paraId="74BF6C17">
      <w:pPr>
        <w:pStyle w:val="47"/>
        <w:bidi w:val="0"/>
        <w:spacing w:line="240" w:lineRule="auto"/>
        <w:jc w:val="both"/>
        <w:rPr>
          <w:rFonts w:hint="default" w:ascii="Times New Roman" w:hAnsi="Times New Roman" w:cs="Times New Roman"/>
          <w:sz w:val="24"/>
          <w:szCs w:val="24"/>
          <w:lang w:val="en-US"/>
        </w:rPr>
      </w:pPr>
    </w:p>
    <w:p w14:paraId="330B942F">
      <w:pPr>
        <w:pStyle w:val="47"/>
        <w:numPr>
          <w:ilvl w:val="0"/>
          <w:numId w:val="0"/>
        </w:numPr>
        <w:bidi w:val="0"/>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Internet Sources / Legal / Policy Sources</w:t>
      </w:r>
    </w:p>
    <w:p w14:paraId="67BCB985">
      <w:pPr>
        <w:pStyle w:val="47"/>
        <w:bidi w:val="0"/>
        <w:spacing w:line="240" w:lineRule="auto"/>
        <w:jc w:val="both"/>
        <w:rPr>
          <w:rFonts w:hint="default" w:ascii="Times New Roman" w:hAnsi="Times New Roman" w:cs="Times New Roman"/>
          <w:b/>
          <w:bCs/>
          <w:sz w:val="24"/>
          <w:szCs w:val="24"/>
          <w:lang w:val="en-US"/>
        </w:rPr>
      </w:pPr>
    </w:p>
    <w:p w14:paraId="3B9D134E">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Belmont Report. (1979). Ethical principles and guidelines for the protection of human subjects of research. </w:t>
      </w:r>
      <w:r>
        <w:rPr>
          <w:rFonts w:hint="default" w:ascii="Times New Roman" w:hAnsi="Times New Roman" w:cs="Times New Roman"/>
          <w:i/>
          <w:iCs/>
          <w:sz w:val="24"/>
          <w:szCs w:val="24"/>
          <w:lang w:val="en-US"/>
        </w:rPr>
        <w:t>U.S. Department of Health and Human Services.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"https://www.hhs.gov/ohrp/regulations-and-policy/belmont-report/" </w:instrText>
      </w:r>
      <w:r>
        <w:rPr>
          <w:rFonts w:hint="default" w:ascii="Times New Roman" w:hAnsi="Times New Roman" w:cs="Times New Roman"/>
          <w:sz w:val="24"/>
          <w:szCs w:val="24"/>
          <w:lang w:val="en-US"/>
        </w:rPr>
        <w:fldChar w:fldCharType="separate"/>
      </w:r>
      <w:r>
        <w:rPr>
          <w:rStyle w:val="19"/>
          <w:rFonts w:hint="default" w:ascii="Times New Roman" w:hAnsi="Times New Roman" w:cs="Times New Roman"/>
          <w:color w:val="auto"/>
          <w:sz w:val="24"/>
          <w:szCs w:val="24"/>
          <w:lang w:val="en-US"/>
        </w:rPr>
        <w:t>https://www.hhs.gov/ohrp/regulations-and-policy/belmont-report/</w:t>
      </w:r>
      <w:r>
        <w:rPr>
          <w:rFonts w:hint="default" w:ascii="Times New Roman" w:hAnsi="Times New Roman" w:cs="Times New Roman"/>
          <w:sz w:val="24"/>
          <w:szCs w:val="24"/>
          <w:lang w:val="en-US"/>
        </w:rPr>
        <w:fldChar w:fldCharType="end"/>
      </w:r>
    </w:p>
    <w:p w14:paraId="4EB8DD6A">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eastAsia="en-PH"/>
        </w:rPr>
        <w:t xml:space="preserve">Beauchamp, T. L., &amp; Childress, J. F. (2019). </w:t>
      </w:r>
      <w:r>
        <w:rPr>
          <w:rFonts w:hint="default" w:ascii="Times New Roman" w:hAnsi="Times New Roman" w:cs="Times New Roman"/>
          <w:i/>
          <w:iCs/>
          <w:sz w:val="24"/>
          <w:szCs w:val="24"/>
          <w:lang w:eastAsia="en-PH"/>
        </w:rPr>
        <w:t>Principles of biomedical ethics</w:t>
      </w:r>
      <w:r>
        <w:rPr>
          <w:rFonts w:hint="default" w:ascii="Times New Roman" w:hAnsi="Times New Roman" w:cs="Times New Roman"/>
          <w:sz w:val="24"/>
          <w:szCs w:val="24"/>
          <w:lang w:eastAsia="en-PH"/>
        </w:rPr>
        <w:t xml:space="preserve"> (8th ed.). Oxford University Press.</w:t>
      </w:r>
    </w:p>
    <w:p w14:paraId="4BEB380C">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Republic Act No. 6975. (1990). Department of the Interior and Local Government Act of 1990. </w:t>
      </w:r>
      <w:r>
        <w:rPr>
          <w:rFonts w:hint="default" w:ascii="Times New Roman" w:hAnsi="Times New Roman" w:cs="Times New Roman"/>
          <w:i/>
          <w:iCs/>
          <w:sz w:val="24"/>
          <w:szCs w:val="24"/>
          <w:lang w:val="en-US"/>
        </w:rPr>
        <w:t>Official Gazette of the Republic of the Philippines.</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en-US"/>
        </w:rPr>
        <w:fldChar w:fldCharType="begin"/>
      </w:r>
      <w:r>
        <w:rPr>
          <w:rFonts w:hint="default" w:ascii="Times New Roman" w:hAnsi="Times New Roman" w:cs="Times New Roman"/>
          <w:color w:val="auto"/>
          <w:sz w:val="24"/>
          <w:szCs w:val="24"/>
          <w:lang w:val="en-US"/>
        </w:rPr>
        <w:instrText xml:space="preserve"> HYPERLINK "https://www.officialgazette.gov.ph" </w:instrText>
      </w:r>
      <w:r>
        <w:rPr>
          <w:rFonts w:hint="default" w:ascii="Times New Roman" w:hAnsi="Times New Roman" w:cs="Times New Roman"/>
          <w:color w:val="auto"/>
          <w:sz w:val="24"/>
          <w:szCs w:val="24"/>
          <w:lang w:val="en-US"/>
        </w:rPr>
        <w:fldChar w:fldCharType="separate"/>
      </w:r>
      <w:r>
        <w:rPr>
          <w:rStyle w:val="19"/>
          <w:rFonts w:hint="default" w:ascii="Times New Roman" w:hAnsi="Times New Roman" w:cs="Times New Roman"/>
          <w:color w:val="auto"/>
          <w:sz w:val="24"/>
          <w:szCs w:val="24"/>
          <w:lang w:val="en-US"/>
        </w:rPr>
        <w:t>https://www.officialgazette.gov.ph</w:t>
      </w:r>
      <w:r>
        <w:rPr>
          <w:rFonts w:hint="default" w:ascii="Times New Roman" w:hAnsi="Times New Roman" w:cs="Times New Roman"/>
          <w:color w:val="auto"/>
          <w:sz w:val="24"/>
          <w:szCs w:val="24"/>
          <w:lang w:val="en-US"/>
        </w:rPr>
        <w:fldChar w:fldCharType="end"/>
      </w:r>
    </w:p>
    <w:p w14:paraId="4BB8BD78">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Republic Act No. 8551. (1998). Philippine National Police Reform and Reorganization Act.</w:t>
      </w:r>
      <w:r>
        <w:rPr>
          <w:rFonts w:hint="default" w:ascii="Times New Roman" w:hAnsi="Times New Roman" w:cs="Times New Roman"/>
          <w:i/>
          <w:iCs/>
          <w:sz w:val="24"/>
          <w:szCs w:val="24"/>
          <w:lang w:val="en-US"/>
        </w:rPr>
        <w:t xml:space="preserve"> Official Gazette of the Republic of the Philippines.</w:t>
      </w:r>
      <w:r>
        <w:rPr>
          <w:rFonts w:hint="default" w:ascii="Times New Roman" w:hAnsi="Times New Roman" w:cs="Times New Roman"/>
          <w:sz w:val="24"/>
          <w:szCs w:val="24"/>
          <w:lang w:val="en-US"/>
        </w:rPr>
        <w:t xml:space="preserve"> </w:t>
      </w:r>
      <w:r>
        <w:rPr>
          <w:rFonts w:hint="default" w:ascii="Times New Roman" w:hAnsi="Times New Roman" w:cs="Times New Roman"/>
          <w:color w:val="auto"/>
          <w:sz w:val="24"/>
          <w:szCs w:val="24"/>
          <w:lang w:val="en-US"/>
        </w:rPr>
        <w:fldChar w:fldCharType="begin"/>
      </w:r>
      <w:r>
        <w:rPr>
          <w:rFonts w:hint="default" w:ascii="Times New Roman" w:hAnsi="Times New Roman" w:cs="Times New Roman"/>
          <w:color w:val="auto"/>
          <w:sz w:val="24"/>
          <w:szCs w:val="24"/>
          <w:lang w:val="en-US"/>
        </w:rPr>
        <w:instrText xml:space="preserve"> HYPERLINK "https://www.officialgazette.gov.ph" </w:instrText>
      </w:r>
      <w:r>
        <w:rPr>
          <w:rFonts w:hint="default" w:ascii="Times New Roman" w:hAnsi="Times New Roman" w:cs="Times New Roman"/>
          <w:color w:val="auto"/>
          <w:sz w:val="24"/>
          <w:szCs w:val="24"/>
          <w:lang w:val="en-US"/>
        </w:rPr>
        <w:fldChar w:fldCharType="separate"/>
      </w:r>
      <w:r>
        <w:rPr>
          <w:rStyle w:val="19"/>
          <w:rFonts w:hint="default" w:ascii="Times New Roman" w:hAnsi="Times New Roman" w:cs="Times New Roman"/>
          <w:color w:val="auto"/>
          <w:sz w:val="24"/>
          <w:szCs w:val="24"/>
          <w:lang w:val="en-US"/>
        </w:rPr>
        <w:t>https://www.officialgazette.gov.ph</w:t>
      </w:r>
      <w:r>
        <w:rPr>
          <w:rFonts w:hint="default" w:ascii="Times New Roman" w:hAnsi="Times New Roman" w:cs="Times New Roman"/>
          <w:color w:val="auto"/>
          <w:sz w:val="24"/>
          <w:szCs w:val="24"/>
          <w:lang w:val="en-US"/>
        </w:rPr>
        <w:fldChar w:fldCharType="end"/>
      </w:r>
    </w:p>
    <w:p w14:paraId="30273358">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Republic Act No. 11279. (2019). An Act transferring the Philippine National Police Academy to the PNP. </w:t>
      </w:r>
      <w:r>
        <w:rPr>
          <w:rFonts w:hint="default" w:ascii="Times New Roman" w:hAnsi="Times New Roman" w:cs="Times New Roman"/>
          <w:i/>
          <w:iCs/>
          <w:sz w:val="24"/>
          <w:szCs w:val="24"/>
          <w:lang w:val="en-US"/>
        </w:rPr>
        <w:t>Official Gazette of the Republic of the Philippines.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"https://www.officialgazette.gov.ph" </w:instrText>
      </w:r>
      <w:r>
        <w:rPr>
          <w:rFonts w:hint="default" w:ascii="Times New Roman" w:hAnsi="Times New Roman" w:cs="Times New Roman"/>
          <w:sz w:val="24"/>
          <w:szCs w:val="24"/>
          <w:lang w:val="en-US"/>
        </w:rPr>
        <w:fldChar w:fldCharType="separate"/>
      </w:r>
      <w:r>
        <w:rPr>
          <w:rStyle w:val="19"/>
          <w:rFonts w:hint="default" w:ascii="Times New Roman" w:hAnsi="Times New Roman" w:cs="Times New Roman"/>
          <w:color w:val="auto"/>
          <w:sz w:val="24"/>
          <w:szCs w:val="24"/>
          <w:lang w:val="en-US"/>
        </w:rPr>
        <w:t>https://www.officialgazette.gov.ph</w:t>
      </w:r>
      <w:r>
        <w:rPr>
          <w:rFonts w:hint="default" w:ascii="Times New Roman" w:hAnsi="Times New Roman" w:cs="Times New Roman"/>
          <w:sz w:val="24"/>
          <w:szCs w:val="24"/>
          <w:lang w:val="en-US"/>
        </w:rPr>
        <w:fldChar w:fldCharType="end"/>
      </w:r>
    </w:p>
    <w:p w14:paraId="7051FC27">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Republic Act No. 6770. (1989). An Act Providing for the Functional and Structural Organization of the Office of the Ombudsman and for Other Purposes (Ombudsman Act of 1989). </w:t>
      </w:r>
      <w:r>
        <w:rPr>
          <w:rFonts w:hint="default" w:ascii="Times New Roman" w:hAnsi="Times New Roman" w:cs="Times New Roman"/>
          <w:i/>
          <w:iCs/>
          <w:sz w:val="24"/>
          <w:szCs w:val="24"/>
          <w:lang w:val="en-US"/>
        </w:rPr>
        <w:t>Official Gazette of the Republic of the Philippine</w:t>
      </w:r>
      <w:r>
        <w:rPr>
          <w:rFonts w:hint="default" w:ascii="Times New Roman" w:hAnsi="Times New Roman" w:cs="Times New Roman"/>
          <w:i/>
          <w:iCs/>
          <w:color w:val="auto"/>
          <w:sz w:val="24"/>
          <w:szCs w:val="24"/>
          <w:lang w:val="en-US"/>
        </w:rPr>
        <w:t>s.</w:t>
      </w:r>
      <w:r>
        <w:rPr>
          <w:rFonts w:hint="default" w:ascii="Times New Roman" w:hAnsi="Times New Roman" w:cs="Times New Roman"/>
          <w:color w:val="auto"/>
          <w:sz w:val="24"/>
          <w:szCs w:val="24"/>
          <w:lang w:val="en-US"/>
        </w:rPr>
        <w:t xml:space="preserve"> </w:t>
      </w:r>
      <w:r>
        <w:rPr>
          <w:rFonts w:hint="default" w:ascii="Times New Roman" w:hAnsi="Times New Roman" w:cs="Times New Roman"/>
          <w:i/>
          <w:iCs/>
          <w:color w:val="auto"/>
          <w:sz w:val="24"/>
          <w:szCs w:val="24"/>
          <w:lang w:val="en-US"/>
        </w:rPr>
        <w:fldChar w:fldCharType="begin"/>
      </w:r>
      <w:r>
        <w:rPr>
          <w:rFonts w:hint="default" w:ascii="Times New Roman" w:hAnsi="Times New Roman" w:cs="Times New Roman"/>
          <w:i/>
          <w:iCs/>
          <w:color w:val="auto"/>
          <w:sz w:val="24"/>
          <w:szCs w:val="24"/>
          <w:lang w:val="en-US"/>
        </w:rPr>
        <w:instrText xml:space="preserve"> HYPERLINK "https://www.officialgazette.gov.ph/1989/11/17/republic-act-no-6770/" </w:instrText>
      </w:r>
      <w:r>
        <w:rPr>
          <w:rFonts w:hint="default" w:ascii="Times New Roman" w:hAnsi="Times New Roman" w:cs="Times New Roman"/>
          <w:i/>
          <w:iCs/>
          <w:color w:val="auto"/>
          <w:sz w:val="24"/>
          <w:szCs w:val="24"/>
          <w:lang w:val="en-US"/>
        </w:rPr>
        <w:fldChar w:fldCharType="separate"/>
      </w:r>
      <w:r>
        <w:rPr>
          <w:rStyle w:val="19"/>
          <w:rFonts w:hint="default" w:ascii="Times New Roman" w:hAnsi="Times New Roman" w:cs="Times New Roman"/>
          <w:i/>
          <w:iCs/>
          <w:color w:val="auto"/>
          <w:sz w:val="24"/>
          <w:szCs w:val="24"/>
          <w:lang w:val="en-US"/>
        </w:rPr>
        <w:t>https://www.officialgazette.gov.ph/1989/11/17/republic-act-no-6770/</w:t>
      </w:r>
      <w:r>
        <w:rPr>
          <w:rFonts w:hint="default" w:ascii="Times New Roman" w:hAnsi="Times New Roman" w:cs="Times New Roman"/>
          <w:i/>
          <w:iCs/>
          <w:color w:val="auto"/>
          <w:sz w:val="24"/>
          <w:szCs w:val="24"/>
          <w:lang w:val="en-US"/>
        </w:rPr>
        <w:fldChar w:fldCharType="end"/>
      </w:r>
    </w:p>
    <w:p w14:paraId="56C5ADE1">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Presidential Decree No. 1780. (1981). Providing for the Professionalization of the Integrated National Police under the Ministry of National Defense. Official Gazette of the Republic of the Philippines. </w:t>
      </w:r>
      <w:r>
        <w:rPr>
          <w:rFonts w:hint="default" w:ascii="Times New Roman" w:hAnsi="Times New Roman" w:cs="Times New Roman"/>
          <w:color w:val="auto"/>
          <w:sz w:val="24"/>
          <w:szCs w:val="24"/>
          <w:lang w:val="en-US"/>
        </w:rPr>
        <w:fldChar w:fldCharType="begin"/>
      </w:r>
      <w:r>
        <w:rPr>
          <w:rFonts w:hint="default" w:ascii="Times New Roman" w:hAnsi="Times New Roman" w:cs="Times New Roman"/>
          <w:color w:val="auto"/>
          <w:sz w:val="24"/>
          <w:szCs w:val="24"/>
          <w:lang w:val="en-US"/>
        </w:rPr>
        <w:instrText xml:space="preserve"> HYPERLINK "https://www.officialgazette.gov.ph/1981/01/16/presidential-decree-no-1780-s-1981/" </w:instrText>
      </w:r>
      <w:r>
        <w:rPr>
          <w:rFonts w:hint="default" w:ascii="Times New Roman" w:hAnsi="Times New Roman" w:cs="Times New Roman"/>
          <w:color w:val="auto"/>
          <w:sz w:val="24"/>
          <w:szCs w:val="24"/>
          <w:lang w:val="en-US"/>
        </w:rPr>
        <w:fldChar w:fldCharType="separate"/>
      </w:r>
      <w:r>
        <w:rPr>
          <w:rStyle w:val="19"/>
          <w:rFonts w:hint="default" w:ascii="Times New Roman" w:hAnsi="Times New Roman" w:cs="Times New Roman"/>
          <w:color w:val="auto"/>
          <w:sz w:val="24"/>
          <w:szCs w:val="24"/>
          <w:lang w:val="en-US"/>
        </w:rPr>
        <w:t>https://www.officialgazette.gov.ph/1981/01/16/presidential-decree-no-1780-s-1981/</w:t>
      </w:r>
      <w:r>
        <w:rPr>
          <w:rFonts w:hint="default" w:ascii="Times New Roman" w:hAnsi="Times New Roman" w:cs="Times New Roman"/>
          <w:color w:val="auto"/>
          <w:sz w:val="24"/>
          <w:szCs w:val="24"/>
          <w:lang w:val="en-US"/>
        </w:rPr>
        <w:fldChar w:fldCharType="end"/>
      </w:r>
    </w:p>
    <w:p w14:paraId="6F5AE8B4">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Civil Service Commission. (2017). Revised Rules on Administrative Cases in the Civil Service (RACCS).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"https://www.csc.gov.ph" </w:instrText>
      </w:r>
      <w:r>
        <w:rPr>
          <w:rFonts w:hint="default" w:ascii="Times New Roman" w:hAnsi="Times New Roman" w:cs="Times New Roman"/>
          <w:sz w:val="24"/>
          <w:szCs w:val="24"/>
          <w:lang w:val="en-US"/>
        </w:rPr>
        <w:fldChar w:fldCharType="separate"/>
      </w:r>
      <w:r>
        <w:rPr>
          <w:rStyle w:val="19"/>
          <w:rFonts w:hint="default" w:ascii="Times New Roman" w:hAnsi="Times New Roman" w:cs="Times New Roman"/>
          <w:color w:val="auto"/>
          <w:sz w:val="24"/>
          <w:szCs w:val="24"/>
          <w:lang w:val="en-US"/>
        </w:rPr>
        <w:t>https://www.csc.gov.ph</w:t>
      </w:r>
      <w:r>
        <w:rPr>
          <w:rFonts w:hint="default" w:ascii="Times New Roman" w:hAnsi="Times New Roman" w:cs="Times New Roman"/>
          <w:sz w:val="24"/>
          <w:szCs w:val="24"/>
          <w:lang w:val="en-US"/>
        </w:rPr>
        <w:fldChar w:fldCharType="end"/>
      </w:r>
    </w:p>
    <w:p w14:paraId="1F1394FA">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Republic Act No. 6770. (1989). An Act Providing for the Functional and Structural Organization of the Office of the Ombudsman and for Other Purposes (Ombudsman Act of 1989). Official Gazette of the Republic of the Philippines. https://www.officialgazette.gov.ph/1989/11/17/republic-act-no-6770/</w:t>
      </w:r>
    </w:p>
    <w:p w14:paraId="4409FB78">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Presidential Decree No. 1780. (1981). Providing for the Professionalization of the Integrated National Police under the Ministry of National Defense. Official Gazette of the Republic of the Philippines. </w:t>
      </w:r>
      <w:r>
        <w:rPr>
          <w:rFonts w:hint="default" w:ascii="Times New Roman" w:hAnsi="Times New Roman" w:cs="Times New Roman"/>
          <w:color w:val="auto"/>
          <w:sz w:val="24"/>
          <w:szCs w:val="24"/>
          <w:lang w:val="en-US"/>
        </w:rPr>
        <w:fldChar w:fldCharType="begin"/>
      </w:r>
      <w:r>
        <w:rPr>
          <w:rFonts w:hint="default" w:ascii="Times New Roman" w:hAnsi="Times New Roman" w:cs="Times New Roman"/>
          <w:color w:val="auto"/>
          <w:sz w:val="24"/>
          <w:szCs w:val="24"/>
          <w:lang w:val="en-US"/>
        </w:rPr>
        <w:instrText xml:space="preserve"> HYPERLINK "https://www.officialgazette.gov.ph/1981/01/16/presidential-decree-no-1780-s-1981/" </w:instrText>
      </w:r>
      <w:r>
        <w:rPr>
          <w:rFonts w:hint="default" w:ascii="Times New Roman" w:hAnsi="Times New Roman" w:cs="Times New Roman"/>
          <w:color w:val="auto"/>
          <w:sz w:val="24"/>
          <w:szCs w:val="24"/>
          <w:lang w:val="en-US"/>
        </w:rPr>
        <w:fldChar w:fldCharType="separate"/>
      </w:r>
      <w:r>
        <w:rPr>
          <w:rStyle w:val="19"/>
          <w:rFonts w:hint="default" w:ascii="Times New Roman" w:hAnsi="Times New Roman" w:cs="Times New Roman"/>
          <w:color w:val="auto"/>
          <w:sz w:val="24"/>
          <w:szCs w:val="24"/>
          <w:lang w:val="en-US"/>
        </w:rPr>
        <w:t>https://www.officialgazette.gov.ph/1981/01/16/presidential-decree-no-1780-s-1981/</w:t>
      </w:r>
      <w:r>
        <w:rPr>
          <w:rFonts w:hint="default" w:ascii="Times New Roman" w:hAnsi="Times New Roman" w:cs="Times New Roman"/>
          <w:color w:val="auto"/>
          <w:sz w:val="24"/>
          <w:szCs w:val="24"/>
          <w:lang w:val="en-US"/>
        </w:rPr>
        <w:fldChar w:fldCharType="end"/>
      </w:r>
    </w:p>
    <w:p w14:paraId="040AAAA1">
      <w:pPr>
        <w:pStyle w:val="47"/>
        <w:numPr>
          <w:ilvl w:val="0"/>
          <w:numId w:val="4"/>
        </w:numPr>
        <w:bidi w:val="0"/>
        <w:spacing w:line="240" w:lineRule="auto"/>
        <w:ind w:left="84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Civil Service Commission. (2017). Revised Rules on Administrative Cases in the Civil Service (RACCS).</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en-US"/>
        </w:rPr>
        <w:fldChar w:fldCharType="begin"/>
      </w:r>
      <w:r>
        <w:rPr>
          <w:rFonts w:hint="default" w:ascii="Times New Roman" w:hAnsi="Times New Roman" w:cs="Times New Roman"/>
          <w:color w:val="auto"/>
          <w:sz w:val="24"/>
          <w:szCs w:val="24"/>
          <w:lang w:val="en-US"/>
        </w:rPr>
        <w:instrText xml:space="preserve"> HYPERLINK "https://www.csc.gov.ph" </w:instrText>
      </w:r>
      <w:r>
        <w:rPr>
          <w:rFonts w:hint="default" w:ascii="Times New Roman" w:hAnsi="Times New Roman" w:cs="Times New Roman"/>
          <w:color w:val="auto"/>
          <w:sz w:val="24"/>
          <w:szCs w:val="24"/>
          <w:lang w:val="en-US"/>
        </w:rPr>
        <w:fldChar w:fldCharType="separate"/>
      </w:r>
      <w:r>
        <w:rPr>
          <w:rStyle w:val="19"/>
          <w:rFonts w:hint="default" w:ascii="Times New Roman" w:hAnsi="Times New Roman" w:cs="Times New Roman"/>
          <w:color w:val="auto"/>
          <w:sz w:val="24"/>
          <w:szCs w:val="24"/>
          <w:lang w:val="en-US"/>
        </w:rPr>
        <w:t>https://www.csc.gov.ph</w:t>
      </w:r>
      <w:r>
        <w:rPr>
          <w:rFonts w:hint="default" w:ascii="Times New Roman" w:hAnsi="Times New Roman" w:cs="Times New Roman"/>
          <w:color w:val="auto"/>
          <w:sz w:val="24"/>
          <w:szCs w:val="24"/>
          <w:lang w:val="en-US"/>
        </w:rPr>
        <w:fldChar w:fldCharType="end"/>
      </w:r>
    </w:p>
    <w:p w14:paraId="1FAD10A8">
      <w:pPr>
        <w:pStyle w:val="47"/>
        <w:bidi w:val="0"/>
        <w:spacing w:line="240" w:lineRule="auto"/>
        <w:ind w:left="878" w:leftChars="0" w:hanging="878" w:hangingChars="366"/>
        <w:rPr>
          <w:rFonts w:hint="default" w:ascii="Times New Roman" w:hAnsi="Times New Roman" w:cs="Times New Roman"/>
          <w:sz w:val="24"/>
          <w:szCs w:val="24"/>
          <w:lang w:val="en-US"/>
        </w:rPr>
      </w:pPr>
    </w:p>
    <w:p w14:paraId="52FEFC31">
      <w:pPr>
        <w:pStyle w:val="20"/>
        <w:keepNext w:val="0"/>
        <w:keepLines w:val="0"/>
        <w:widowControl/>
        <w:suppressLineNumbers w:val="0"/>
        <w:jc w:val="both"/>
        <w:rPr>
          <w:rFonts w:hint="default"/>
          <w:sz w:val="24"/>
          <w:szCs w:val="24"/>
          <w:lang w:val="en-US"/>
        </w:rPr>
        <w:sectPr>
          <w:headerReference r:id="rId6" w:type="first"/>
          <w:footerReference r:id="rId8" w:type="first"/>
          <w:headerReference r:id="rId5" w:type="default"/>
          <w:footerReference r:id="rId7" w:type="default"/>
          <w:pgSz w:w="11905" w:h="16838"/>
          <w:pgMar w:top="425" w:right="238" w:bottom="238" w:left="238" w:header="136" w:footer="159" w:gutter="0"/>
          <w:pgNumType w:fmt="decimalFullWidth" w:start="1"/>
          <w:cols w:space="0" w:num="1"/>
          <w:rtlGutter w:val="0"/>
          <w:docGrid w:linePitch="360" w:charSpace="0"/>
        </w:sectPr>
      </w:pPr>
    </w:p>
    <w:p w14:paraId="513A662D">
      <w:pPr>
        <w:spacing w:line="480" w:lineRule="auto"/>
        <w:jc w:val="center"/>
        <w:outlineLvl w:val="1"/>
        <w:rPr>
          <w:rFonts w:hint="default" w:ascii="Times New Roman" w:hAnsi="Times New Roman"/>
          <w:b/>
          <w:bCs/>
          <w:i w:val="0"/>
          <w:iCs w:val="0"/>
          <w:sz w:val="28"/>
          <w:szCs w:val="28"/>
          <w:lang w:val="en-US"/>
        </w:rPr>
      </w:pPr>
      <w:bookmarkStart w:id="4" w:name="_Toc24014"/>
    </w:p>
    <w:p w14:paraId="7A21DBE6">
      <w:pPr>
        <w:spacing w:line="480" w:lineRule="auto"/>
        <w:jc w:val="center"/>
        <w:outlineLvl w:val="1"/>
        <w:rPr>
          <w:rFonts w:hint="default" w:ascii="Times New Roman" w:hAnsi="Times New Roman"/>
          <w:b/>
          <w:bCs/>
          <w:i w:val="0"/>
          <w:iCs w:val="0"/>
          <w:sz w:val="28"/>
          <w:szCs w:val="28"/>
          <w:lang w:val="en-US"/>
        </w:rPr>
      </w:pPr>
    </w:p>
    <w:p w14:paraId="44513228">
      <w:pPr>
        <w:spacing w:line="480" w:lineRule="auto"/>
        <w:jc w:val="center"/>
        <w:outlineLvl w:val="1"/>
        <w:rPr>
          <w:rFonts w:hint="default" w:ascii="Times New Roman" w:hAnsi="Times New Roman"/>
          <w:b/>
          <w:bCs/>
          <w:i w:val="0"/>
          <w:iCs w:val="0"/>
          <w:sz w:val="28"/>
          <w:szCs w:val="28"/>
          <w:lang w:val="en-US"/>
        </w:rPr>
      </w:pPr>
    </w:p>
    <w:p w14:paraId="348581AC">
      <w:pPr>
        <w:spacing w:line="480" w:lineRule="auto"/>
        <w:jc w:val="center"/>
        <w:outlineLvl w:val="1"/>
        <w:rPr>
          <w:rFonts w:hint="default" w:ascii="Times New Roman" w:hAnsi="Times New Roman"/>
          <w:b/>
          <w:bCs/>
          <w:i w:val="0"/>
          <w:iCs w:val="0"/>
          <w:sz w:val="28"/>
          <w:szCs w:val="28"/>
          <w:lang w:val="en-US"/>
        </w:rPr>
      </w:pPr>
    </w:p>
    <w:p w14:paraId="5EB20A7E">
      <w:pPr>
        <w:spacing w:line="480" w:lineRule="auto"/>
        <w:jc w:val="center"/>
        <w:outlineLvl w:val="1"/>
        <w:rPr>
          <w:rFonts w:hint="default" w:ascii="Times New Roman" w:hAnsi="Times New Roman"/>
          <w:b/>
          <w:bCs/>
          <w:i w:val="0"/>
          <w:iCs w:val="0"/>
          <w:sz w:val="28"/>
          <w:szCs w:val="28"/>
          <w:lang w:val="en-US"/>
        </w:rPr>
      </w:pPr>
    </w:p>
    <w:p w14:paraId="2D3F32A2">
      <w:pPr>
        <w:spacing w:line="480" w:lineRule="auto"/>
        <w:jc w:val="center"/>
        <w:outlineLvl w:val="1"/>
        <w:rPr>
          <w:rFonts w:hint="default" w:ascii="Times New Roman" w:hAnsi="Times New Roman"/>
          <w:b/>
          <w:bCs/>
          <w:i w:val="0"/>
          <w:iCs w:val="0"/>
          <w:sz w:val="28"/>
          <w:szCs w:val="28"/>
          <w:lang w:val="en-US"/>
        </w:rPr>
      </w:pPr>
    </w:p>
    <w:p w14:paraId="3778B0CD">
      <w:pPr>
        <w:spacing w:line="480" w:lineRule="auto"/>
        <w:jc w:val="center"/>
        <w:outlineLvl w:val="1"/>
        <w:rPr>
          <w:rFonts w:hint="default" w:ascii="Times New Roman" w:hAnsi="Times New Roman"/>
          <w:b/>
          <w:bCs/>
          <w:i w:val="0"/>
          <w:iCs w:val="0"/>
          <w:sz w:val="28"/>
          <w:szCs w:val="28"/>
          <w:lang w:val="en-US"/>
        </w:rPr>
      </w:pPr>
    </w:p>
    <w:p w14:paraId="585344F8">
      <w:pPr>
        <w:spacing w:line="480" w:lineRule="auto"/>
        <w:jc w:val="center"/>
        <w:outlineLvl w:val="1"/>
        <w:rPr>
          <w:rFonts w:hint="default" w:ascii="Times New Roman" w:hAnsi="Times New Roman"/>
          <w:b/>
          <w:bCs/>
          <w:i w:val="0"/>
          <w:iCs w:val="0"/>
          <w:sz w:val="28"/>
          <w:szCs w:val="28"/>
          <w:lang w:val="en-US"/>
        </w:rPr>
      </w:pPr>
    </w:p>
    <w:p w14:paraId="0297E607">
      <w:pPr>
        <w:spacing w:line="480" w:lineRule="auto"/>
        <w:jc w:val="center"/>
        <w:outlineLvl w:val="1"/>
        <w:rPr>
          <w:rFonts w:hint="default" w:ascii="Times New Roman" w:hAnsi="Times New Roman"/>
          <w:b/>
          <w:bCs/>
          <w:i w:val="0"/>
          <w:iCs w:val="0"/>
          <w:sz w:val="28"/>
          <w:szCs w:val="28"/>
          <w:lang w:val="en-US"/>
        </w:rPr>
      </w:pPr>
    </w:p>
    <w:p w14:paraId="3B9BF46E">
      <w:pPr>
        <w:spacing w:line="480" w:lineRule="auto"/>
        <w:jc w:val="center"/>
        <w:outlineLvl w:val="1"/>
        <w:rPr>
          <w:rFonts w:hint="default" w:ascii="Times New Roman" w:hAnsi="Times New Roman"/>
          <w:b/>
          <w:bCs/>
          <w:i w:val="0"/>
          <w:iCs w:val="0"/>
          <w:sz w:val="28"/>
          <w:szCs w:val="28"/>
          <w:lang w:val="en-US"/>
        </w:rPr>
      </w:pPr>
    </w:p>
    <w:p w14:paraId="3A14C527">
      <w:pPr>
        <w:spacing w:line="480" w:lineRule="auto"/>
        <w:jc w:val="center"/>
        <w:outlineLvl w:val="1"/>
        <w:rPr>
          <w:rFonts w:hint="default" w:ascii="Times New Roman" w:hAnsi="Times New Roman"/>
          <w:b/>
          <w:bCs/>
          <w:i w:val="0"/>
          <w:iCs w:val="0"/>
          <w:sz w:val="28"/>
          <w:szCs w:val="28"/>
          <w:lang w:val="en-US"/>
        </w:rPr>
      </w:pPr>
    </w:p>
    <w:p w14:paraId="652EC4CE">
      <w:pPr>
        <w:spacing w:line="480" w:lineRule="auto"/>
        <w:jc w:val="center"/>
        <w:outlineLvl w:val="1"/>
        <w:rPr>
          <w:rFonts w:hint="default" w:ascii="Times New Roman" w:hAnsi="Times New Roman"/>
          <w:b/>
          <w:bCs/>
          <w:i w:val="0"/>
          <w:iCs w:val="0"/>
          <w:sz w:val="28"/>
          <w:szCs w:val="28"/>
          <w:lang w:val="en-US"/>
        </w:rPr>
      </w:pPr>
    </w:p>
    <w:p w14:paraId="238C2805">
      <w:pPr>
        <w:spacing w:line="480" w:lineRule="auto"/>
        <w:jc w:val="both"/>
        <w:outlineLvl w:val="1"/>
        <w:rPr>
          <w:rFonts w:hint="default" w:ascii="Times New Roman" w:hAnsi="Times New Roman"/>
          <w:b/>
          <w:bCs/>
          <w:i w:val="0"/>
          <w:iCs w:val="0"/>
          <w:sz w:val="28"/>
          <w:szCs w:val="28"/>
          <w:lang w:val="en-US"/>
        </w:rPr>
      </w:pPr>
    </w:p>
    <w:bookmarkEnd w:id="4"/>
    <w:p w14:paraId="7207D9B3">
      <w:pPr>
        <w:pStyle w:val="47"/>
        <w:jc w:val="both"/>
        <w:rPr>
          <w:rFonts w:ascii="Times New Roman" w:hAnsi="Times New Roman" w:cs="Times New Roman"/>
          <w:sz w:val="24"/>
          <w:szCs w:val="24"/>
          <w:lang w:val="en-US"/>
        </w:rPr>
      </w:pPr>
    </w:p>
    <w:p w14:paraId="1EA1FC34">
      <w:pPr>
        <w:pStyle w:val="20"/>
        <w:keepNext w:val="0"/>
        <w:keepLines w:val="0"/>
        <w:widowControl/>
        <w:suppressLineNumbers w:val="0"/>
        <w:ind w:left="4320" w:leftChars="0" w:firstLine="720" w:firstLineChars="0"/>
        <w:jc w:val="both"/>
        <w:rPr>
          <w:rFonts w:hint="default"/>
          <w:sz w:val="24"/>
          <w:szCs w:val="24"/>
          <w:lang w:val="en-US"/>
        </w:rPr>
      </w:pPr>
    </w:p>
    <w:p w14:paraId="56806DCA">
      <w:pPr>
        <w:pStyle w:val="20"/>
        <w:keepNext w:val="0"/>
        <w:keepLines w:val="0"/>
        <w:widowControl/>
        <w:suppressLineNumbers w:val="0"/>
        <w:ind w:firstLine="720" w:firstLineChars="0"/>
        <w:jc w:val="both"/>
        <w:rPr>
          <w:rFonts w:hint="default"/>
          <w:i/>
          <w:iCs/>
          <w:sz w:val="24"/>
          <w:szCs w:val="24"/>
          <w:lang w:val="en-US"/>
        </w:rPr>
      </w:pPr>
    </w:p>
    <w:p w14:paraId="08C9AE00">
      <w:pPr>
        <w:pStyle w:val="47"/>
        <w:jc w:val="both"/>
        <w:rPr>
          <w:rFonts w:ascii="Times New Roman" w:hAnsi="Times New Roman" w:cs="Times New Roman"/>
          <w:sz w:val="24"/>
          <w:szCs w:val="24"/>
          <w:lang w:val="en-US"/>
        </w:rPr>
        <w:sectPr>
          <w:headerReference r:id="rId9" w:type="default"/>
          <w:footerReference r:id="rId10" w:type="default"/>
          <w:pgSz w:w="11905" w:h="16838"/>
          <w:pgMar w:top="431" w:right="238" w:bottom="238" w:left="238" w:header="709" w:footer="709" w:gutter="0"/>
          <w:pgNumType w:fmt="decimalFullWidth" w:start="1"/>
          <w:cols w:space="0" w:num="1"/>
          <w:rtlGutter w:val="0"/>
          <w:docGrid w:linePitch="360" w:charSpace="0"/>
        </w:sectPr>
      </w:pPr>
    </w:p>
    <w:p w14:paraId="33BB6282">
      <w:pPr>
        <w:pStyle w:val="47"/>
        <w:jc w:val="both"/>
        <w:rPr>
          <w:rFonts w:ascii="Times New Roman" w:hAnsi="Times New Roman" w:cs="Times New Roman"/>
          <w:sz w:val="24"/>
          <w:szCs w:val="24"/>
          <w:lang w:val="en-US"/>
        </w:rPr>
      </w:pPr>
    </w:p>
    <w:p w14:paraId="06B0D0C2">
      <w:pPr>
        <w:pStyle w:val="47"/>
        <w:jc w:val="both"/>
        <w:rPr>
          <w:rFonts w:ascii="Times New Roman" w:hAnsi="Times New Roman" w:cs="Times New Roman"/>
          <w:sz w:val="24"/>
          <w:szCs w:val="24"/>
          <w:lang w:val="en-US"/>
        </w:rPr>
      </w:pPr>
    </w:p>
    <w:p w14:paraId="7D7456B7">
      <w:pPr>
        <w:numPr>
          <w:ilvl w:val="0"/>
          <w:numId w:val="0"/>
        </w:numPr>
        <w:spacing w:after="160" w:line="360" w:lineRule="auto"/>
        <w:jc w:val="both"/>
        <w:rPr>
          <w:rFonts w:hint="default" w:ascii="Times New Roman" w:hAnsi="Times New Roman" w:eastAsia="Times New Roman"/>
          <w:b/>
          <w:bCs w:val="0"/>
          <w:sz w:val="24"/>
          <w:szCs w:val="24"/>
          <w:lang w:val="en-US"/>
        </w:rPr>
      </w:pPr>
    </w:p>
    <w:sectPr>
      <w:type w:val="continuous"/>
      <w:pgSz w:w="11905" w:h="16838"/>
      <w:pgMar w:top="431" w:right="238" w:bottom="238" w:left="238" w:header="709" w:footer="709" w:gutter="0"/>
      <w:pgNumType w:fmt="decimalFullWidth"/>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7EF3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B31E">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B3A">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ACA5">
    <w:pPr>
      <w:pStyle w:val="18"/>
    </w:pPr>
    <w:r>
      <w:br w:type="textWrapping"/>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79EFF">
                          <w:pPr>
                            <w:pStyle w:val="1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SVju0AAAAAUB&#10;AAAPAAAAAAAAAAEAIAAAACIAAABkcnMvZG93bnJldi54bWxQSwECFAAUAAAACACHTuJAbxxM4yMC&#10;AABiBAAADgAAAAAAAAABACAAAAAfAQAAZHJzL2Uyb0RvYy54bWxQSwUGAAAAAAYABgBZAQAAtAUA&#10;AAAA&#10;">
              <v:fill on="f" focussize="0,0"/>
              <v:stroke on="f" weight="0.5pt"/>
              <v:imagedata o:title=""/>
              <o:lock v:ext="edit" aspectratio="f"/>
              <v:textbox inset="0mm,0mm,0mm,0mm" style="mso-fit-shape-to-text:t;">
                <w:txbxContent>
                  <w:p w14:paraId="59479EFF">
                    <w:pPr>
                      <w:pStyle w:val="1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94F27">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SKnE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pSKnEhAgAA&#10;YgQAAA4AAAAAAAAAAQAgAAAAHwEAAGRycy9lMm9Eb2MueG1sUEsFBgAAAAAGAAYAWQEAALIFAAAA&#10;AA==&#10;">
              <v:fill on="f" focussize="0,0"/>
              <v:stroke on="f" weight="0.5pt"/>
              <v:imagedata o:title=""/>
              <o:lock v:ext="edit" aspectratio="f"/>
              <v:textbox inset="0mm,0mm,0mm,0mm" style="mso-fit-shape-to-text:t;">
                <w:txbxContent>
                  <w:p w14:paraId="2A494F27">
                    <w:pPr>
                      <w:pStyle w:val="18"/>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4A6F0">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163F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SVju0AAAAAUB&#10;AAAPAAAAAAAAAAEAIAAAACIAAABkcnMvZG93bnJldi54bWxQSwECFAAUAAAACACHTuJA5RlmliMC&#10;AABiBAAADgAAAAAAAAABACAAAAAfAQAAZHJzL2Uyb0RvYy54bWxQSwUGAAAAAAYABgBZAQAAtAUA&#10;AAAA&#10;">
              <v:fill on="f" focussize="0,0"/>
              <v:stroke on="f" weight="0.5pt"/>
              <v:imagedata o:title=""/>
              <o:lock v:ext="edit" aspectratio="f"/>
              <v:textbox inset="0mm,0mm,0mm,0mm" style="mso-fit-shape-to-text:t;">
                <w:txbxContent>
                  <w:p w14:paraId="1FD163F1">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3B330">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vkfAiAgAAYAQAAA4AAABkcnMvZTJvRG9jLnhtbK1Uy27bMBC8F+g/&#10;ELzXkl00MQ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Pb5HwIgIA&#10;AGAEAAAOAAAAAAAAAAEAIAAAAB8BAABkcnMvZTJvRG9jLnhtbFBLBQYAAAAABgAGAFkBAACzBQAA&#10;AAA=&#10;">
              <v:fill on="f" focussize="0,0"/>
              <v:stroke on="f" weight="0.5pt"/>
              <v:imagedata o:title=""/>
              <o:lock v:ext="edit" aspectratio="f"/>
              <v:textbox inset="0mm,0mm,0mm,0mm" style="mso-fit-shape-to-text:t;">
                <w:txbxContent>
                  <w:p w14:paraId="7173B330">
                    <w:pPr>
                      <w:pStyle w:val="18"/>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7A22">
    <w:pPr>
      <w:pStyle w:val="18"/>
    </w:pPr>
    <w:bookmarkStart w:id="5" w:name="_GoBack"/>
    <w:bookmarkEnd w:id="5"/>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031B0">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BcS6AIgIA&#10;AGIEAAAOAAAAAAAAAAEAIAAAAB8BAABkcnMvZTJvRG9jLnhtbFBLBQYAAAAABgAGAFkBAACzBQAA&#10;AAA=&#10;">
              <v:fill on="f" focussize="0,0"/>
              <v:stroke on="f" weight="0.5pt"/>
              <v:imagedata o:title=""/>
              <o:lock v:ext="edit" aspectratio="f"/>
              <v:textbox inset="0mm,0mm,0mm,0mm" style="mso-fit-shape-to-text:t;">
                <w:txbxContent>
                  <w:p w14:paraId="6A8031B0">
                    <w:pPr>
                      <w:pStyle w:val="18"/>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41BE9">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2udgi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DtrnYIgIA&#10;AGIEAAAOAAAAAAAAAAEAIAAAAB8BAABkcnMvZTJvRG9jLnhtbFBLBQYAAAAABgAGAFkBAACzBQAA&#10;AAA=&#10;">
              <v:fill on="f" focussize="0,0"/>
              <v:stroke on="f" weight="0.5pt"/>
              <v:imagedata o:title=""/>
              <o:lock v:ext="edit" aspectratio="f"/>
              <v:textbox inset="0mm,0mm,0mm,0mm" style="mso-fit-shape-to-text:t;">
                <w:txbxContent>
                  <w:p w14:paraId="27541BE9">
                    <w:pPr>
                      <w:pStyle w:val="18"/>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368E0"/>
    <w:multiLevelType w:val="singleLevel"/>
    <w:tmpl w:val="81F368E0"/>
    <w:lvl w:ilvl="0" w:tentative="0">
      <w:start w:val="1"/>
      <w:numFmt w:val="decimal"/>
      <w:lvlText w:val="%1."/>
      <w:lvlJc w:val="left"/>
      <w:pPr>
        <w:tabs>
          <w:tab w:val="left" w:pos="845"/>
        </w:tabs>
        <w:ind w:left="845" w:leftChars="0" w:hanging="425" w:firstLineChars="0"/>
      </w:pPr>
      <w:rPr>
        <w:rFonts w:hint="default"/>
        <w:i w:val="0"/>
        <w:iCs w:val="0"/>
      </w:rPr>
    </w:lvl>
  </w:abstractNum>
  <w:abstractNum w:abstractNumId="1">
    <w:nsid w:val="ACFA969E"/>
    <w:multiLevelType w:val="multilevel"/>
    <w:tmpl w:val="ACFA969E"/>
    <w:lvl w:ilvl="0" w:tentative="0">
      <w:start w:val="1"/>
      <w:numFmt w:val="bullet"/>
      <w:lvlText w:val=""/>
      <w:lvlJc w:val="left"/>
      <w:pPr>
        <w:tabs>
          <w:tab w:val="left" w:pos="840"/>
        </w:tabs>
        <w:ind w:left="840" w:leftChars="0" w:hanging="420" w:firstLineChars="0"/>
      </w:pPr>
      <w:rPr>
        <w:rFonts w:hint="default" w:ascii="Wingdings" w:hAnsi="Wingdings"/>
        <w:b w:val="0"/>
        <w:bCs w:val="0"/>
      </w:rPr>
    </w:lvl>
    <w:lvl w:ilvl="1" w:tentative="0">
      <w:start w:val="1"/>
      <w:numFmt w:val="bullet"/>
      <w:lvlText w:val=""/>
      <w:lvlJc w:val="left"/>
      <w:pPr>
        <w:tabs>
          <w:tab w:val="left" w:pos="1260"/>
        </w:tabs>
        <w:ind w:left="1260" w:leftChars="0" w:hanging="420" w:firstLineChars="0"/>
      </w:pPr>
      <w:rPr>
        <w:rFonts w:hint="default" w:ascii="Wingdings" w:hAnsi="Wingdings"/>
      </w:rPr>
    </w:lvl>
    <w:lvl w:ilvl="2" w:tentative="0">
      <w:start w:val="1"/>
      <w:numFmt w:val="bullet"/>
      <w:lvlText w:val=""/>
      <w:lvlJc w:val="left"/>
      <w:pPr>
        <w:tabs>
          <w:tab w:val="left" w:pos="1680"/>
        </w:tabs>
        <w:ind w:left="1680" w:leftChars="0" w:hanging="420" w:firstLineChars="0"/>
      </w:pPr>
      <w:rPr>
        <w:rFonts w:hint="default" w:ascii="Wingdings" w:hAnsi="Wingdings"/>
      </w:rPr>
    </w:lvl>
    <w:lvl w:ilvl="3" w:tentative="0">
      <w:start w:val="1"/>
      <w:numFmt w:val="bullet"/>
      <w:lvlText w:val=""/>
      <w:lvlJc w:val="left"/>
      <w:pPr>
        <w:tabs>
          <w:tab w:val="left" w:pos="2100"/>
        </w:tabs>
        <w:ind w:left="2100" w:leftChars="0" w:hanging="420" w:firstLineChars="0"/>
      </w:pPr>
      <w:rPr>
        <w:rFonts w:hint="default" w:ascii="Wingdings" w:hAnsi="Wingdings"/>
      </w:rPr>
    </w:lvl>
    <w:lvl w:ilvl="4" w:tentative="0">
      <w:start w:val="1"/>
      <w:numFmt w:val="bullet"/>
      <w:lvlText w:val=""/>
      <w:lvlJc w:val="left"/>
      <w:pPr>
        <w:tabs>
          <w:tab w:val="left" w:pos="2520"/>
        </w:tabs>
        <w:ind w:left="2520" w:leftChars="0" w:hanging="420" w:firstLineChars="0"/>
      </w:pPr>
      <w:rPr>
        <w:rFonts w:hint="default" w:ascii="Wingdings" w:hAnsi="Wingdings"/>
      </w:rPr>
    </w:lvl>
    <w:lvl w:ilvl="5" w:tentative="0">
      <w:start w:val="1"/>
      <w:numFmt w:val="bullet"/>
      <w:lvlText w:val=""/>
      <w:lvlJc w:val="left"/>
      <w:pPr>
        <w:tabs>
          <w:tab w:val="left" w:pos="2940"/>
        </w:tabs>
        <w:ind w:left="2940" w:leftChars="0" w:hanging="420" w:firstLineChars="0"/>
      </w:pPr>
      <w:rPr>
        <w:rFonts w:hint="default" w:ascii="Wingdings" w:hAnsi="Wingdings"/>
      </w:rPr>
    </w:lvl>
    <w:lvl w:ilvl="6" w:tentative="0">
      <w:start w:val="1"/>
      <w:numFmt w:val="bullet"/>
      <w:lvlText w:val=""/>
      <w:lvlJc w:val="left"/>
      <w:pPr>
        <w:tabs>
          <w:tab w:val="left" w:pos="3360"/>
        </w:tabs>
        <w:ind w:left="3360" w:leftChars="0" w:hanging="420" w:firstLineChars="0"/>
      </w:pPr>
      <w:rPr>
        <w:rFonts w:hint="default" w:ascii="Wingdings" w:hAnsi="Wingdings"/>
      </w:rPr>
    </w:lvl>
    <w:lvl w:ilvl="7" w:tentative="0">
      <w:start w:val="1"/>
      <w:numFmt w:val="bullet"/>
      <w:lvlText w:val=""/>
      <w:lvlJc w:val="left"/>
      <w:pPr>
        <w:tabs>
          <w:tab w:val="left" w:pos="3780"/>
        </w:tabs>
        <w:ind w:left="3780" w:leftChars="0" w:hanging="420" w:firstLineChars="0"/>
      </w:pPr>
      <w:rPr>
        <w:rFonts w:hint="default" w:ascii="Wingdings" w:hAnsi="Wingdings"/>
      </w:rPr>
    </w:lvl>
    <w:lvl w:ilvl="8" w:tentative="0">
      <w:start w:val="1"/>
      <w:numFmt w:val="bullet"/>
      <w:lvlText w:val=""/>
      <w:lvlJc w:val="left"/>
      <w:pPr>
        <w:tabs>
          <w:tab w:val="left" w:pos="4200"/>
        </w:tabs>
        <w:ind w:left="4200" w:leftChars="0" w:hanging="420" w:firstLineChars="0"/>
      </w:pPr>
      <w:rPr>
        <w:rFonts w:hint="default" w:ascii="Wingdings" w:hAnsi="Wingdings"/>
      </w:rPr>
    </w:lvl>
  </w:abstractNum>
  <w:abstractNum w:abstractNumId="2">
    <w:nsid w:val="03C95A4D"/>
    <w:multiLevelType w:val="singleLevel"/>
    <w:tmpl w:val="03C95A4D"/>
    <w:lvl w:ilvl="0" w:tentative="0">
      <w:start w:val="4"/>
      <w:numFmt w:val="upperLetter"/>
      <w:suff w:val="space"/>
      <w:lvlText w:val="%1."/>
      <w:lvlJc w:val="left"/>
    </w:lvl>
  </w:abstractNum>
  <w:abstractNum w:abstractNumId="3">
    <w:nsid w:val="11C8E32C"/>
    <w:multiLevelType w:val="singleLevel"/>
    <w:tmpl w:val="11C8E32C"/>
    <w:lvl w:ilvl="0" w:tentative="0">
      <w:start w:val="1"/>
      <w:numFmt w:val="bullet"/>
      <w:lvlText w:val=""/>
      <w:lvlJc w:val="left"/>
      <w:pPr>
        <w:tabs>
          <w:tab w:val="left" w:pos="840"/>
        </w:tabs>
        <w:ind w:left="840" w:leftChars="0" w:hanging="420" w:firstLineChars="0"/>
      </w:pPr>
      <w:rPr>
        <w:rFonts w:hint="default" w:ascii="Wingdings" w:hAnsi="Wingdings"/>
        <w:b w:val="0"/>
        <w:bCs w:val="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applyBreakingRu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0084D"/>
    <w:rsid w:val="002178C7"/>
    <w:rsid w:val="00856E4C"/>
    <w:rsid w:val="009127B2"/>
    <w:rsid w:val="00B67B42"/>
    <w:rsid w:val="00EB618D"/>
    <w:rsid w:val="00FB0FBA"/>
    <w:rsid w:val="0154100A"/>
    <w:rsid w:val="035F5516"/>
    <w:rsid w:val="091D0191"/>
    <w:rsid w:val="0BE963D0"/>
    <w:rsid w:val="0C4E4936"/>
    <w:rsid w:val="0D947020"/>
    <w:rsid w:val="0E570B96"/>
    <w:rsid w:val="0EE1710A"/>
    <w:rsid w:val="0FAC79D4"/>
    <w:rsid w:val="100D5A39"/>
    <w:rsid w:val="11A85822"/>
    <w:rsid w:val="12782749"/>
    <w:rsid w:val="13FD7AD9"/>
    <w:rsid w:val="1423734E"/>
    <w:rsid w:val="14431189"/>
    <w:rsid w:val="148C541C"/>
    <w:rsid w:val="153239EA"/>
    <w:rsid w:val="15E54CCA"/>
    <w:rsid w:val="16003A26"/>
    <w:rsid w:val="16EF0B41"/>
    <w:rsid w:val="17305BDD"/>
    <w:rsid w:val="18860500"/>
    <w:rsid w:val="18B11955"/>
    <w:rsid w:val="19030D6C"/>
    <w:rsid w:val="1ACD4C81"/>
    <w:rsid w:val="1C2638BB"/>
    <w:rsid w:val="1D1F04AB"/>
    <w:rsid w:val="1D564DAD"/>
    <w:rsid w:val="1DE4379A"/>
    <w:rsid w:val="1DF6525A"/>
    <w:rsid w:val="1E8A63CF"/>
    <w:rsid w:val="1EF5084D"/>
    <w:rsid w:val="1F5140AE"/>
    <w:rsid w:val="20854D20"/>
    <w:rsid w:val="20DC439B"/>
    <w:rsid w:val="211925F5"/>
    <w:rsid w:val="2121581D"/>
    <w:rsid w:val="21943A49"/>
    <w:rsid w:val="21C80CCE"/>
    <w:rsid w:val="227F6FAF"/>
    <w:rsid w:val="2566279F"/>
    <w:rsid w:val="25893F23"/>
    <w:rsid w:val="267D39A8"/>
    <w:rsid w:val="28012530"/>
    <w:rsid w:val="2810113E"/>
    <w:rsid w:val="2819045D"/>
    <w:rsid w:val="28AD50BA"/>
    <w:rsid w:val="28DB5DC2"/>
    <w:rsid w:val="293E30BA"/>
    <w:rsid w:val="294C5B82"/>
    <w:rsid w:val="2A131B8C"/>
    <w:rsid w:val="2A3C7759"/>
    <w:rsid w:val="2ADB26B5"/>
    <w:rsid w:val="2B7C134F"/>
    <w:rsid w:val="2B8A4E7D"/>
    <w:rsid w:val="2BDB0D28"/>
    <w:rsid w:val="2CBF4081"/>
    <w:rsid w:val="2E5D23FE"/>
    <w:rsid w:val="315548CA"/>
    <w:rsid w:val="317F37C7"/>
    <w:rsid w:val="32ED43F0"/>
    <w:rsid w:val="33733738"/>
    <w:rsid w:val="33E64410"/>
    <w:rsid w:val="35653217"/>
    <w:rsid w:val="35C07BD9"/>
    <w:rsid w:val="37A616A1"/>
    <w:rsid w:val="38221809"/>
    <w:rsid w:val="38A8166A"/>
    <w:rsid w:val="391D530A"/>
    <w:rsid w:val="395023E6"/>
    <w:rsid w:val="3B996D30"/>
    <w:rsid w:val="3C5B0D7F"/>
    <w:rsid w:val="3D396333"/>
    <w:rsid w:val="3E81631A"/>
    <w:rsid w:val="3EB729D6"/>
    <w:rsid w:val="3FEF4DF3"/>
    <w:rsid w:val="40456F00"/>
    <w:rsid w:val="40C73FD6"/>
    <w:rsid w:val="40CD437C"/>
    <w:rsid w:val="418E4EBC"/>
    <w:rsid w:val="41C9707C"/>
    <w:rsid w:val="43784C66"/>
    <w:rsid w:val="43E63A89"/>
    <w:rsid w:val="446E786C"/>
    <w:rsid w:val="448742E2"/>
    <w:rsid w:val="44E62014"/>
    <w:rsid w:val="44E6585E"/>
    <w:rsid w:val="46635418"/>
    <w:rsid w:val="46E028C2"/>
    <w:rsid w:val="48734C29"/>
    <w:rsid w:val="48800DD8"/>
    <w:rsid w:val="489A4E2B"/>
    <w:rsid w:val="49D50314"/>
    <w:rsid w:val="4A017D1B"/>
    <w:rsid w:val="4A317DC8"/>
    <w:rsid w:val="4AE95975"/>
    <w:rsid w:val="4AEE0C16"/>
    <w:rsid w:val="4B7B48A4"/>
    <w:rsid w:val="4C2A5F81"/>
    <w:rsid w:val="4E2D2081"/>
    <w:rsid w:val="4FB04756"/>
    <w:rsid w:val="51D46C5A"/>
    <w:rsid w:val="52B57327"/>
    <w:rsid w:val="52DB51E3"/>
    <w:rsid w:val="53E9661B"/>
    <w:rsid w:val="55276C44"/>
    <w:rsid w:val="5691271E"/>
    <w:rsid w:val="57172454"/>
    <w:rsid w:val="580263F6"/>
    <w:rsid w:val="58105AA7"/>
    <w:rsid w:val="58163A40"/>
    <w:rsid w:val="58502173"/>
    <w:rsid w:val="58C75B3F"/>
    <w:rsid w:val="59291FD9"/>
    <w:rsid w:val="5A722D3A"/>
    <w:rsid w:val="5C2863C7"/>
    <w:rsid w:val="5CB9693C"/>
    <w:rsid w:val="5CE5392C"/>
    <w:rsid w:val="5CE54311"/>
    <w:rsid w:val="5D2E3F38"/>
    <w:rsid w:val="5D9A6398"/>
    <w:rsid w:val="5E963F5F"/>
    <w:rsid w:val="5EAE5E85"/>
    <w:rsid w:val="5F01496B"/>
    <w:rsid w:val="5F05257B"/>
    <w:rsid w:val="615071E0"/>
    <w:rsid w:val="61E05388"/>
    <w:rsid w:val="621B016A"/>
    <w:rsid w:val="63F17C4B"/>
    <w:rsid w:val="656C3662"/>
    <w:rsid w:val="6598159D"/>
    <w:rsid w:val="65CF7598"/>
    <w:rsid w:val="65D57FAE"/>
    <w:rsid w:val="66356F3C"/>
    <w:rsid w:val="673B22E5"/>
    <w:rsid w:val="67791E05"/>
    <w:rsid w:val="6829441E"/>
    <w:rsid w:val="688B44DB"/>
    <w:rsid w:val="68AF1BCF"/>
    <w:rsid w:val="68D957F1"/>
    <w:rsid w:val="6AF06F16"/>
    <w:rsid w:val="6B586CEB"/>
    <w:rsid w:val="6DD343F3"/>
    <w:rsid w:val="6DE52F38"/>
    <w:rsid w:val="6E0578E6"/>
    <w:rsid w:val="6E445983"/>
    <w:rsid w:val="6EA77D89"/>
    <w:rsid w:val="6F0325F7"/>
    <w:rsid w:val="6F4E5038"/>
    <w:rsid w:val="6F975EEB"/>
    <w:rsid w:val="6FC37B25"/>
    <w:rsid w:val="700A305C"/>
    <w:rsid w:val="70636EAE"/>
    <w:rsid w:val="716B29A1"/>
    <w:rsid w:val="716C323B"/>
    <w:rsid w:val="726329D9"/>
    <w:rsid w:val="72AA0846"/>
    <w:rsid w:val="73866514"/>
    <w:rsid w:val="74D85FEE"/>
    <w:rsid w:val="74F85175"/>
    <w:rsid w:val="76340D1B"/>
    <w:rsid w:val="76B5749A"/>
    <w:rsid w:val="77202CC4"/>
    <w:rsid w:val="78494321"/>
    <w:rsid w:val="78F44C89"/>
    <w:rsid w:val="7A1A5A38"/>
    <w:rsid w:val="7C1124BE"/>
    <w:rsid w:val="7C525F01"/>
    <w:rsid w:val="7E694383"/>
    <w:rsid w:val="7E9E64FD"/>
    <w:rsid w:val="7EFD316D"/>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PH" w:eastAsia="en-US" w:bidi="ar-SA"/>
      <w14:ligatures w14:val="standardContextual"/>
    </w:rPr>
  </w:style>
  <w:style w:type="paragraph" w:styleId="2">
    <w:name w:val="heading 1"/>
    <w:basedOn w:val="1"/>
    <w:next w:val="1"/>
    <w:link w:val="2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3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3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3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3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3"/>
    <w:basedOn w:val="1"/>
    <w:unhideWhenUsed/>
    <w:qFormat/>
    <w:uiPriority w:val="0"/>
    <w:pPr>
      <w:spacing w:beforeLines="0" w:afterLines="0"/>
      <w:jc w:val="both"/>
    </w:pPr>
    <w:rPr>
      <w:rFonts w:hint="default"/>
      <w:i/>
      <w:sz w:val="20"/>
      <w:szCs w:val="20"/>
    </w:rPr>
  </w:style>
  <w:style w:type="paragraph" w:styleId="14">
    <w:name w:val="annotation text"/>
    <w:basedOn w:val="1"/>
    <w:unhideWhenUsed/>
    <w:qFormat/>
    <w:uiPriority w:val="99"/>
    <w:pPr>
      <w:jc w:val="left"/>
    </w:pPr>
  </w:style>
  <w:style w:type="paragraph" w:styleId="15">
    <w:name w:val="Date"/>
    <w:basedOn w:val="1"/>
    <w:next w:val="1"/>
    <w:qFormat/>
    <w:uiPriority w:val="0"/>
    <w:pPr>
      <w:widowControl w:val="0"/>
      <w:spacing w:after="0" w:afterLines="0" w:line="240" w:lineRule="auto"/>
      <w:jc w:val="right"/>
    </w:pPr>
    <w:rPr>
      <w:rFonts w:ascii="Times New Roman" w:hAnsi="Times New Roman" w:eastAsia="SimSun" w:cs="Times New Roman"/>
      <w:color w:val="5590CC"/>
      <w:sz w:val="24"/>
      <w:szCs w:val="24"/>
      <w:lang w:val="en-US" w:eastAsia="zh-CN"/>
      <w14:ligatures w14:val="none"/>
    </w:rPr>
  </w:style>
  <w:style w:type="character" w:styleId="16">
    <w:name w:val="Emphasis"/>
    <w:basedOn w:val="11"/>
    <w:qFormat/>
    <w:uiPriority w:val="20"/>
    <w:rPr>
      <w:i/>
      <w:iCs/>
    </w:rPr>
  </w:style>
  <w:style w:type="paragraph" w:styleId="17">
    <w:name w:val="footer"/>
    <w:basedOn w:val="1"/>
    <w:semiHidden/>
    <w:unhideWhenUsed/>
    <w:qFormat/>
    <w:uiPriority w:val="99"/>
    <w:pPr>
      <w:tabs>
        <w:tab w:val="center" w:pos="4153"/>
        <w:tab w:val="right" w:pos="8306"/>
      </w:tabs>
      <w:snapToGrid w:val="0"/>
      <w:jc w:val="left"/>
    </w:pPr>
    <w:rPr>
      <w:sz w:val="18"/>
      <w:szCs w:val="18"/>
    </w:rPr>
  </w:style>
  <w:style w:type="paragraph" w:styleId="18">
    <w:name w:val="header"/>
    <w:basedOn w:val="1"/>
    <w:semiHidden/>
    <w:unhideWhenUsed/>
    <w:qFormat/>
    <w:uiPriority w:val="99"/>
    <w:pPr>
      <w:tabs>
        <w:tab w:val="center" w:pos="4153"/>
        <w:tab w:val="right" w:pos="8306"/>
      </w:tabs>
      <w:snapToGrid w:val="0"/>
    </w:pPr>
    <w:rPr>
      <w:sz w:val="18"/>
      <w:szCs w:val="18"/>
    </w:rPr>
  </w:style>
  <w:style w:type="character" w:styleId="19">
    <w:name w:val="Hyperlink"/>
    <w:basedOn w:val="11"/>
    <w:unhideWhenUsed/>
    <w:qFormat/>
    <w:uiPriority w:val="99"/>
    <w:rPr>
      <w:color w:val="0563C1" w:themeColor="hyperlink"/>
      <w:u w:val="single"/>
      <w14:textFill>
        <w14:solidFill>
          <w14:schemeClr w14:val="hlink"/>
        </w14:solidFill>
      </w14:textFill>
    </w:rPr>
  </w:style>
  <w:style w:type="paragraph" w:styleId="20">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21">
    <w:name w:val="page number"/>
    <w:basedOn w:val="11"/>
    <w:unhideWhenUsed/>
    <w:qFormat/>
    <w:uiPriority w:val="0"/>
    <w:rPr>
      <w:rFonts w:hint="default"/>
      <w:sz w:val="24"/>
      <w:szCs w:val="24"/>
    </w:rPr>
  </w:style>
  <w:style w:type="character" w:styleId="22">
    <w:name w:val="Strong"/>
    <w:basedOn w:val="11"/>
    <w:qFormat/>
    <w:uiPriority w:val="22"/>
    <w:rPr>
      <w:b/>
      <w:bCs/>
    </w:rPr>
  </w:style>
  <w:style w:type="paragraph" w:styleId="23">
    <w:name w:val="Subtitle"/>
    <w:basedOn w:val="1"/>
    <w:next w:val="1"/>
    <w:link w:val="3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4">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itle"/>
    <w:basedOn w:val="1"/>
    <w:next w:val="1"/>
    <w:link w:val="3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26">
    <w:name w:val="toc 1"/>
    <w:basedOn w:val="1"/>
    <w:next w:val="1"/>
    <w:semiHidden/>
    <w:unhideWhenUsed/>
    <w:qFormat/>
    <w:uiPriority w:val="39"/>
  </w:style>
  <w:style w:type="paragraph" w:styleId="27">
    <w:name w:val="toc 2"/>
    <w:basedOn w:val="1"/>
    <w:next w:val="1"/>
    <w:semiHidden/>
    <w:unhideWhenUsed/>
    <w:qFormat/>
    <w:uiPriority w:val="39"/>
    <w:pPr>
      <w:ind w:left="420" w:leftChars="200"/>
    </w:pPr>
  </w:style>
  <w:style w:type="paragraph" w:styleId="28">
    <w:name w:val="toc 3"/>
    <w:basedOn w:val="1"/>
    <w:next w:val="1"/>
    <w:semiHidden/>
    <w:unhideWhenUsed/>
    <w:qFormat/>
    <w:uiPriority w:val="39"/>
    <w:pPr>
      <w:ind w:left="840" w:leftChars="400"/>
    </w:pPr>
  </w:style>
  <w:style w:type="character" w:customStyle="1" w:styleId="29">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30">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31">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32">
    <w:name w:val="Heading 4 Char"/>
    <w:basedOn w:val="11"/>
    <w:link w:val="5"/>
    <w:semiHidden/>
    <w:qFormat/>
    <w:uiPriority w:val="9"/>
    <w:rPr>
      <w:rFonts w:eastAsiaTheme="majorEastAsia" w:cstheme="majorBidi"/>
      <w:i/>
      <w:iCs/>
      <w:color w:val="2F5597" w:themeColor="accent1" w:themeShade="BF"/>
    </w:rPr>
  </w:style>
  <w:style w:type="character" w:customStyle="1" w:styleId="33">
    <w:name w:val="Heading 5 Char"/>
    <w:basedOn w:val="11"/>
    <w:link w:val="6"/>
    <w:semiHidden/>
    <w:qFormat/>
    <w:uiPriority w:val="9"/>
    <w:rPr>
      <w:rFonts w:eastAsiaTheme="majorEastAsia" w:cstheme="majorBidi"/>
      <w:color w:val="2F5597" w:themeColor="accent1" w:themeShade="BF"/>
    </w:rPr>
  </w:style>
  <w:style w:type="character" w:customStyle="1" w:styleId="3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8">
    <w:name w:val="Title Char"/>
    <w:basedOn w:val="11"/>
    <w:link w:val="25"/>
    <w:qFormat/>
    <w:uiPriority w:val="10"/>
    <w:rPr>
      <w:rFonts w:asciiTheme="majorHAnsi" w:hAnsiTheme="majorHAnsi" w:eastAsiaTheme="majorEastAsia" w:cstheme="majorBidi"/>
      <w:spacing w:val="-10"/>
      <w:kern w:val="28"/>
      <w:sz w:val="56"/>
      <w:szCs w:val="56"/>
    </w:rPr>
  </w:style>
  <w:style w:type="character" w:customStyle="1" w:styleId="39">
    <w:name w:val="Subtitle Char"/>
    <w:basedOn w:val="11"/>
    <w:link w:val="2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Quote Char"/>
    <w:basedOn w:val="11"/>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Intense Emphasis"/>
    <w:basedOn w:val="11"/>
    <w:qFormat/>
    <w:uiPriority w:val="21"/>
    <w:rPr>
      <w:i/>
      <w:iCs/>
      <w:color w:val="2F5597" w:themeColor="accent1" w:themeShade="BF"/>
    </w:rPr>
  </w:style>
  <w:style w:type="paragraph" w:styleId="44">
    <w:name w:val="Intense Quote"/>
    <w:basedOn w:val="1"/>
    <w:next w:val="1"/>
    <w:link w:val="4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5">
    <w:name w:val="Intense Quote Char"/>
    <w:basedOn w:val="11"/>
    <w:link w:val="44"/>
    <w:qFormat/>
    <w:uiPriority w:val="30"/>
    <w:rPr>
      <w:i/>
      <w:iCs/>
      <w:color w:val="2F5597" w:themeColor="accent1" w:themeShade="BF"/>
    </w:rPr>
  </w:style>
  <w:style w:type="character" w:customStyle="1" w:styleId="46">
    <w:name w:val="Intense Reference"/>
    <w:basedOn w:val="11"/>
    <w:qFormat/>
    <w:uiPriority w:val="32"/>
    <w:rPr>
      <w:b/>
      <w:bCs/>
      <w:smallCaps/>
      <w:color w:val="2F5597" w:themeColor="accent1" w:themeShade="BF"/>
      <w:spacing w:val="5"/>
    </w:rPr>
  </w:style>
  <w:style w:type="paragraph" w:styleId="47">
    <w:name w:val="No Spacing"/>
    <w:qFormat/>
    <w:uiPriority w:val="1"/>
    <w:pPr>
      <w:spacing w:after="0" w:line="240" w:lineRule="auto"/>
    </w:pPr>
    <w:rPr>
      <w:rFonts w:asciiTheme="minorHAnsi" w:hAnsiTheme="minorHAnsi" w:eastAsiaTheme="minorHAnsi" w:cstheme="minorBidi"/>
      <w:kern w:val="2"/>
      <w:sz w:val="22"/>
      <w:szCs w:val="22"/>
      <w:lang w:val="en-PH" w:eastAsia="en-US" w:bidi="ar-SA"/>
      <w14:ligatures w14:val="standardContextual"/>
    </w:rPr>
  </w:style>
  <w:style w:type="paragraph" w:customStyle="1" w:styleId="48">
    <w:name w:val="Contact Details"/>
    <w:basedOn w:val="1"/>
    <w:qFormat/>
    <w:uiPriority w:val="0"/>
    <w:pPr>
      <w:widowControl w:val="0"/>
      <w:spacing w:before="80" w:beforeLines="0" w:after="80" w:afterLines="0" w:line="240" w:lineRule="auto"/>
      <w:jc w:val="both"/>
    </w:pPr>
    <w:rPr>
      <w:rFonts w:ascii="Times New Roman" w:hAnsi="Times New Roman" w:eastAsia="SimSun" w:cs="Times New Roman"/>
      <w:color w:val="FFFFFF"/>
      <w:sz w:val="16"/>
      <w:szCs w:val="14"/>
      <w:lang w:val="en-US" w:eastAsia="zh-CN"/>
      <w14:ligatures w14:val="none"/>
    </w:rPr>
  </w:style>
  <w:style w:type="paragraph" w:customStyle="1" w:styleId="49">
    <w:name w:val="Organization"/>
    <w:basedOn w:val="1"/>
    <w:qFormat/>
    <w:uiPriority w:val="0"/>
    <w:pPr>
      <w:widowControl w:val="0"/>
      <w:spacing w:after="0" w:afterLines="0" w:line="600" w:lineRule="exact"/>
      <w:jc w:val="both"/>
    </w:pPr>
    <w:rPr>
      <w:rFonts w:ascii="Calibri" w:hAnsi="Calibri" w:eastAsia="SimSun" w:cs="Times New Roman"/>
      <w:color w:val="FFFFFF"/>
      <w:sz w:val="56"/>
      <w:szCs w:val="36"/>
      <w:lang w:val="en-US" w:eastAsia="zh-CN"/>
      <w14:ligatures w14:val="none"/>
    </w:rPr>
  </w:style>
  <w:style w:type="paragraph" w:customStyle="1" w:styleId="50">
    <w:name w:val="Medium Shading 1 - Accent 11"/>
    <w:unhideWhenUsed/>
    <w:qFormat/>
    <w:uiPriority w:val="1"/>
    <w:pPr>
      <w:spacing w:beforeLines="0" w:afterLines="0"/>
    </w:pPr>
    <w:rPr>
      <w:rFonts w:hint="default" w:ascii="Calibri" w:hAnsi="Calibri" w:eastAsia="Calibri" w:cs="Times New Roman"/>
      <w:sz w:val="22"/>
      <w:szCs w:val="24"/>
      <w:lang w:val="en-PH"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Newsprint"/>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5184</Words>
  <Characters>34618</Characters>
  <Lines>121</Lines>
  <Paragraphs>31</Paragraphs>
  <TotalTime>133</TotalTime>
  <ScaleCrop>false</ScaleCrop>
  <LinksUpToDate>false</LinksUpToDate>
  <CharactersWithSpaces>39631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2025-03-01T15:36:00Z</dcterms:created>
  <dc:creator>Guilbert Ace Mansueto</dc:creator>
  <cp:lastModifiedBy>WPS_1714553569</cp:lastModifiedBy>
  <cp:lastPrinted>2026-01-16T04:35:00Z</cp:lastPrinted>
  <dcterms:modified xsi:type="dcterms:W3CDTF">2026-05-02T12:48:45Z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3f4d934c-98c9-48f6-abae-18964727c053</vt:lpwstr>
  </property>
  <property fmtid="{D5CDD505-2E9C-101B-9397-08002B2CF9AE}" pid="3" name="KSOProductBuildVer">
    <vt:lpwstr>1033-12.1.0.25242</vt:lpwstr>
  </property>
  <property fmtid="{D5CDD505-2E9C-101B-9397-08002B2CF9AE}" pid="4" name="ICV">
    <vt:lpwstr>28310FDC4501460B9FAF56E127FE1751_13</vt:lpwstr>
  </property>
  <property fmtid="{D5CDD505-2E9C-101B-9397-08002B2CF9AE}" pid="5" name="KSOTemplateDocerSaveRecord">
    <vt:lpwstr>eyJoZGlkIjoiZThkNDU3Mjk5OGNlMTE4ZmZjYmRmMGI4MDg1NmU5MzUiLCJ1c2VySWQiOiI4ODEzODA3MTc1MTEzIn0=</vt:lpwstr>
  </property>
</Properties>
</file>