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52B1B" w14:textId="77777777" w:rsidR="007B7009" w:rsidRPr="001B39BA" w:rsidRDefault="00000000" w:rsidP="001B39BA">
      <w:pPr>
        <w:pStyle w:val="NoSpacing"/>
        <w:jc w:val="center"/>
        <w:rPr>
          <w:rFonts w:ascii="Arial" w:hAnsi="Arial" w:cs="Arial"/>
        </w:rPr>
      </w:pPr>
      <w:r w:rsidRPr="001B39BA">
        <w:rPr>
          <w:rFonts w:ascii="Arial" w:hAnsi="Arial" w:cs="Arial"/>
        </w:rPr>
        <w:t>WORK-SPECIFIC CHARACTERISTICS AND THEIR ROLES IN GUIDANCE COUNSELORS' COMPASSION SATISFACTION AND COMPASSION FATIGUE:</w:t>
      </w:r>
    </w:p>
    <w:p w14:paraId="46438732" w14:textId="77777777" w:rsidR="001C24BA" w:rsidRPr="001B39BA" w:rsidRDefault="00000000" w:rsidP="001B39BA">
      <w:pPr>
        <w:pStyle w:val="NoSpacing"/>
        <w:jc w:val="center"/>
        <w:rPr>
          <w:rFonts w:ascii="Arial" w:hAnsi="Arial" w:cs="Arial"/>
        </w:rPr>
      </w:pPr>
      <w:r w:rsidRPr="001B39BA">
        <w:rPr>
          <w:rFonts w:ascii="Arial" w:hAnsi="Arial" w:cs="Arial"/>
        </w:rPr>
        <w:t>A STRUCTURAL EQUATION MODEL</w:t>
      </w:r>
    </w:p>
    <w:p w14:paraId="27A66195" w14:textId="77777777" w:rsidR="001C24BA" w:rsidRPr="001B39BA" w:rsidRDefault="001C24BA" w:rsidP="001B39BA">
      <w:pPr>
        <w:pStyle w:val="NoSpacing"/>
        <w:jc w:val="center"/>
        <w:rPr>
          <w:rFonts w:ascii="Arial" w:hAnsi="Arial" w:cs="Arial"/>
        </w:rPr>
      </w:pPr>
    </w:p>
    <w:p w14:paraId="34FA517E" w14:textId="7EED3CC8" w:rsidR="001C24BA" w:rsidRDefault="00000000" w:rsidP="001B39BA">
      <w:pPr>
        <w:pStyle w:val="NoSpacing"/>
        <w:jc w:val="center"/>
        <w:rPr>
          <w:rFonts w:ascii="Arial" w:hAnsi="Arial" w:cs="Arial"/>
        </w:rPr>
      </w:pPr>
      <w:r w:rsidRPr="001B39BA">
        <w:rPr>
          <w:rFonts w:ascii="Arial" w:hAnsi="Arial" w:cs="Arial"/>
        </w:rPr>
        <w:t>Jasmine M. De Guzman</w:t>
      </w:r>
      <w:r w:rsidR="00875B5B">
        <w:rPr>
          <w:rFonts w:ascii="Arial" w:hAnsi="Arial" w:cs="Arial"/>
        </w:rPr>
        <w:t>-Ponciano, RGC</w:t>
      </w:r>
    </w:p>
    <w:p w14:paraId="6D800E5A" w14:textId="20F125D1" w:rsidR="00875B5B" w:rsidRPr="001B39BA" w:rsidRDefault="00875B5B" w:rsidP="001B39BA">
      <w:pPr>
        <w:pStyle w:val="NoSpacing"/>
        <w:jc w:val="center"/>
        <w:rPr>
          <w:rFonts w:ascii="Arial" w:hAnsi="Arial" w:cs="Arial"/>
        </w:rPr>
      </w:pPr>
      <w:r>
        <w:rPr>
          <w:rFonts w:ascii="Arial" w:hAnsi="Arial" w:cs="Arial"/>
        </w:rPr>
        <w:t>Gina  R. Lamzon, PhD., RGC, LPT, RPm</w:t>
      </w:r>
    </w:p>
    <w:p w14:paraId="021529BE" w14:textId="77777777" w:rsidR="003F6A43" w:rsidRPr="001B39BA" w:rsidRDefault="00000000" w:rsidP="001B39BA">
      <w:pPr>
        <w:pStyle w:val="NoSpacing"/>
        <w:jc w:val="center"/>
        <w:rPr>
          <w:rFonts w:ascii="Arial" w:hAnsi="Arial" w:cs="Arial"/>
        </w:rPr>
      </w:pPr>
      <w:r w:rsidRPr="001B39BA">
        <w:rPr>
          <w:rFonts w:ascii="Arial" w:hAnsi="Arial" w:cs="Arial"/>
        </w:rPr>
        <w:t>Graduate School, School of Counseling and Psychology</w:t>
      </w:r>
    </w:p>
    <w:p w14:paraId="00EEFEC5" w14:textId="77777777" w:rsidR="003F6A43" w:rsidRPr="001B39BA" w:rsidRDefault="00000000" w:rsidP="001B39BA">
      <w:pPr>
        <w:pStyle w:val="NoSpacing"/>
        <w:jc w:val="center"/>
        <w:rPr>
          <w:rFonts w:ascii="Arial" w:hAnsi="Arial" w:cs="Arial"/>
        </w:rPr>
      </w:pPr>
      <w:r w:rsidRPr="001B39BA">
        <w:rPr>
          <w:rFonts w:ascii="Arial" w:hAnsi="Arial" w:cs="Arial"/>
        </w:rPr>
        <w:t>San Pedro College</w:t>
      </w:r>
    </w:p>
    <w:p w14:paraId="6BB08D81" w14:textId="77777777" w:rsidR="001C24BA" w:rsidRPr="001B39BA" w:rsidRDefault="001C24BA" w:rsidP="001B39BA">
      <w:pPr>
        <w:pStyle w:val="NoSpacing"/>
        <w:jc w:val="center"/>
        <w:rPr>
          <w:rFonts w:ascii="Arial" w:hAnsi="Arial" w:cs="Arial"/>
        </w:rPr>
      </w:pPr>
    </w:p>
    <w:p w14:paraId="6F3178B4" w14:textId="77777777" w:rsidR="001C24BA" w:rsidRPr="001B39BA" w:rsidRDefault="00000000" w:rsidP="001B39BA">
      <w:pPr>
        <w:pStyle w:val="NoSpacing"/>
        <w:pBdr>
          <w:bottom w:val="single" w:sz="12" w:space="1" w:color="auto"/>
        </w:pBdr>
        <w:jc w:val="center"/>
        <w:rPr>
          <w:rFonts w:ascii="Arial" w:hAnsi="Arial" w:cs="Arial"/>
        </w:rPr>
      </w:pPr>
      <w:r w:rsidRPr="001B39BA">
        <w:rPr>
          <w:rFonts w:ascii="Arial" w:hAnsi="Arial" w:cs="Arial"/>
        </w:rPr>
        <w:t>Abstract</w:t>
      </w:r>
    </w:p>
    <w:p w14:paraId="57F07F4F" w14:textId="77777777" w:rsidR="007B7009" w:rsidRPr="001B39BA" w:rsidRDefault="007B7009" w:rsidP="001B39BA">
      <w:pPr>
        <w:pStyle w:val="NoSpacing"/>
        <w:rPr>
          <w:rStyle w:val="Strong"/>
          <w:rFonts w:ascii="Arial" w:hAnsi="Arial" w:cs="Arial"/>
        </w:rPr>
      </w:pPr>
    </w:p>
    <w:p w14:paraId="4050E585" w14:textId="77777777" w:rsidR="007B7009" w:rsidRPr="001B39BA" w:rsidRDefault="00000000" w:rsidP="001B39BA">
      <w:pPr>
        <w:pStyle w:val="NoSpacing"/>
        <w:jc w:val="both"/>
        <w:rPr>
          <w:rFonts w:ascii="Arial" w:eastAsia="Times New Roman" w:hAnsi="Arial" w:cs="Arial"/>
          <w:lang w:val="en-SG"/>
        </w:rPr>
      </w:pPr>
      <w:r w:rsidRPr="001B39BA">
        <w:rPr>
          <w:rStyle w:val="Strong"/>
          <w:rFonts w:ascii="Arial" w:hAnsi="Arial" w:cs="Arial"/>
        </w:rPr>
        <w:t>Nature and Scope of the Paper:</w:t>
      </w:r>
      <w:r w:rsidRPr="001B39BA">
        <w:rPr>
          <w:rStyle w:val="Strong"/>
          <w:rFonts w:ascii="Arial" w:eastAsiaTheme="majorEastAsia" w:hAnsi="Arial" w:cs="Arial"/>
        </w:rPr>
        <w:t xml:space="preserve"> </w:t>
      </w:r>
      <w:r w:rsidRPr="001B39BA">
        <w:rPr>
          <w:rFonts w:ascii="Arial" w:hAnsi="Arial" w:cs="Arial"/>
        </w:rPr>
        <w:t>This study examine</w:t>
      </w:r>
      <w:r w:rsidR="001330BB" w:rsidRPr="001B39BA">
        <w:rPr>
          <w:rFonts w:ascii="Arial" w:hAnsi="Arial" w:cs="Arial"/>
        </w:rPr>
        <w:t>d</w:t>
      </w:r>
      <w:r w:rsidRPr="001B39BA">
        <w:rPr>
          <w:rFonts w:ascii="Arial" w:hAnsi="Arial" w:cs="Arial"/>
        </w:rPr>
        <w:t xml:space="preserve"> the influence of work-specific characteristics on the emotional well-being of guidance counselors, particularly compassion satisfaction and compassion fatigue, within the context of increasing mental health demands in educational settings in Mindanao.</w:t>
      </w:r>
    </w:p>
    <w:p w14:paraId="7A8207C3" w14:textId="77777777" w:rsidR="007B7009" w:rsidRPr="001B39BA" w:rsidRDefault="007B7009" w:rsidP="001B39BA">
      <w:pPr>
        <w:pStyle w:val="NoSpacing"/>
        <w:rPr>
          <w:rStyle w:val="Strong"/>
          <w:rFonts w:ascii="Arial" w:hAnsi="Arial" w:cs="Arial"/>
        </w:rPr>
      </w:pPr>
    </w:p>
    <w:p w14:paraId="6970CBFB" w14:textId="77777777" w:rsidR="007B7009" w:rsidRPr="001B39BA" w:rsidRDefault="00000000" w:rsidP="001B39BA">
      <w:pPr>
        <w:pStyle w:val="NoSpacing"/>
        <w:jc w:val="both"/>
        <w:rPr>
          <w:rFonts w:ascii="Arial" w:hAnsi="Arial" w:cs="Arial"/>
        </w:rPr>
      </w:pPr>
      <w:r w:rsidRPr="001B39BA">
        <w:rPr>
          <w:rStyle w:val="Strong"/>
          <w:rFonts w:ascii="Arial" w:hAnsi="Arial" w:cs="Arial"/>
        </w:rPr>
        <w:t>Objectives:</w:t>
      </w:r>
      <w:r w:rsidRPr="001B39BA">
        <w:rPr>
          <w:rStyle w:val="Strong"/>
          <w:rFonts w:ascii="Arial" w:eastAsiaTheme="majorEastAsia" w:hAnsi="Arial" w:cs="Arial"/>
        </w:rPr>
        <w:t xml:space="preserve"> </w:t>
      </w:r>
      <w:r w:rsidRPr="001B39BA">
        <w:rPr>
          <w:rFonts w:ascii="Arial" w:hAnsi="Arial" w:cs="Arial"/>
        </w:rPr>
        <w:t>The study aim</w:t>
      </w:r>
      <w:r w:rsidR="001330BB" w:rsidRPr="001B39BA">
        <w:rPr>
          <w:rFonts w:ascii="Arial" w:hAnsi="Arial" w:cs="Arial"/>
        </w:rPr>
        <w:t>ed</w:t>
      </w:r>
      <w:r w:rsidRPr="001B39BA">
        <w:rPr>
          <w:rFonts w:ascii="Arial" w:hAnsi="Arial" w:cs="Arial"/>
        </w:rPr>
        <w:t xml:space="preserve"> to analyze the effects of empathic understanding, genuineness, non-judgmental attitude, interpersonal skills, and self-compassion on compassion satisfaction and compassion fatigue using Structural Equation Modeling (SEM).</w:t>
      </w:r>
    </w:p>
    <w:p w14:paraId="274E5E09" w14:textId="77777777" w:rsidR="007B7009" w:rsidRPr="001B39BA" w:rsidRDefault="007B7009" w:rsidP="001B39BA">
      <w:pPr>
        <w:pStyle w:val="NoSpacing"/>
        <w:rPr>
          <w:rStyle w:val="Strong"/>
          <w:rFonts w:ascii="Arial" w:hAnsi="Arial" w:cs="Arial"/>
        </w:rPr>
      </w:pPr>
    </w:p>
    <w:p w14:paraId="047A50CC" w14:textId="77777777" w:rsidR="007B7009" w:rsidRPr="001B39BA" w:rsidRDefault="00000000" w:rsidP="001B39BA">
      <w:pPr>
        <w:pStyle w:val="NoSpacing"/>
        <w:jc w:val="both"/>
        <w:rPr>
          <w:rFonts w:ascii="Arial" w:hAnsi="Arial" w:cs="Arial"/>
        </w:rPr>
      </w:pPr>
      <w:r w:rsidRPr="001B39BA">
        <w:rPr>
          <w:rStyle w:val="Strong"/>
          <w:rFonts w:ascii="Arial" w:hAnsi="Arial" w:cs="Arial"/>
        </w:rPr>
        <w:t>Research Methods:</w:t>
      </w:r>
      <w:r w:rsidRPr="001B39BA">
        <w:rPr>
          <w:rStyle w:val="Strong"/>
          <w:rFonts w:ascii="Arial" w:eastAsiaTheme="majorEastAsia" w:hAnsi="Arial" w:cs="Arial"/>
        </w:rPr>
        <w:t xml:space="preserve"> </w:t>
      </w:r>
      <w:r w:rsidRPr="001B39BA">
        <w:rPr>
          <w:rFonts w:ascii="Arial" w:hAnsi="Arial" w:cs="Arial"/>
        </w:rPr>
        <w:t>A quantitative cross-sectional design was employed, involving 119 licensed guidance counselors selected through proportionate stratified sampling. Data were collected using a researcher-developed questionnaire and the ProQOL v5, with established validity and reliability. Analyses included descriptive statistics, correlation, regression, ANOVA, and SEM.</w:t>
      </w:r>
    </w:p>
    <w:p w14:paraId="637A4732" w14:textId="77777777" w:rsidR="007B7009" w:rsidRPr="001B39BA" w:rsidRDefault="007B7009" w:rsidP="001B39BA">
      <w:pPr>
        <w:pStyle w:val="NoSpacing"/>
        <w:rPr>
          <w:rStyle w:val="Strong"/>
          <w:rFonts w:ascii="Arial" w:hAnsi="Arial" w:cs="Arial"/>
        </w:rPr>
      </w:pPr>
    </w:p>
    <w:p w14:paraId="650A45FE" w14:textId="77777777" w:rsidR="007B7009" w:rsidRPr="001B39BA" w:rsidRDefault="00000000" w:rsidP="001B39BA">
      <w:pPr>
        <w:pStyle w:val="NoSpacing"/>
        <w:jc w:val="both"/>
        <w:rPr>
          <w:rFonts w:ascii="Arial" w:hAnsi="Arial" w:cs="Arial"/>
        </w:rPr>
      </w:pPr>
      <w:r w:rsidRPr="001B39BA">
        <w:rPr>
          <w:rStyle w:val="Strong"/>
          <w:rFonts w:ascii="Arial" w:hAnsi="Arial" w:cs="Arial"/>
        </w:rPr>
        <w:t>Findings:</w:t>
      </w:r>
      <w:r w:rsidRPr="001B39BA">
        <w:rPr>
          <w:rStyle w:val="Strong"/>
          <w:rFonts w:ascii="Arial" w:eastAsiaTheme="majorEastAsia" w:hAnsi="Arial" w:cs="Arial"/>
        </w:rPr>
        <w:t xml:space="preserve"> </w:t>
      </w:r>
      <w:r w:rsidRPr="001B39BA">
        <w:rPr>
          <w:rFonts w:ascii="Arial" w:hAnsi="Arial" w:cs="Arial"/>
        </w:rPr>
        <w:t>Interpersonal skills and genuineness significantly and positively predicted compassion satisfaction, while non-judgmental attitude negatively predicted it. No work-specific characteristics significantly predicted compassion fatigue. Mediation and interaction analyses indicated that compassion fatigue neither mediated nor moderated the relationships among variables. Burnout significantly and negatively predicted compassion satisfaction, whereas secondary traumatic stress was non-significant. Structural Equation Modeling (SEM) further revealed that work-specific characteristics exert a strong, significant direct effect on compassion satisfaction (β = 1.219, p &lt; .001), making it the primary predictor in the model. In contrast, compassion fatigue did not significantly predict compassion satisfaction nor influence work-specific characteristics, indicating no structural or mediating role within the model.</w:t>
      </w:r>
    </w:p>
    <w:p w14:paraId="562C12A4" w14:textId="77777777" w:rsidR="007B7009" w:rsidRPr="001B39BA" w:rsidRDefault="007B7009" w:rsidP="001B39BA">
      <w:pPr>
        <w:pStyle w:val="NoSpacing"/>
        <w:rPr>
          <w:rStyle w:val="Strong"/>
          <w:rFonts w:ascii="Arial" w:hAnsi="Arial" w:cs="Arial"/>
        </w:rPr>
      </w:pPr>
    </w:p>
    <w:p w14:paraId="73D3F099" w14:textId="77777777" w:rsidR="007B7009" w:rsidRPr="001B39BA" w:rsidRDefault="00000000" w:rsidP="001B39BA">
      <w:pPr>
        <w:pStyle w:val="NoSpacing"/>
        <w:jc w:val="both"/>
        <w:rPr>
          <w:rFonts w:ascii="Arial" w:hAnsi="Arial" w:cs="Arial"/>
        </w:rPr>
      </w:pPr>
      <w:r w:rsidRPr="001B39BA">
        <w:rPr>
          <w:rStyle w:val="Strong"/>
          <w:rFonts w:ascii="Arial" w:hAnsi="Arial" w:cs="Arial"/>
        </w:rPr>
        <w:t>Implications:</w:t>
      </w:r>
      <w:r w:rsidRPr="001B39BA">
        <w:rPr>
          <w:rStyle w:val="Strong"/>
          <w:rFonts w:ascii="Arial" w:eastAsiaTheme="majorEastAsia" w:hAnsi="Arial" w:cs="Arial"/>
        </w:rPr>
        <w:t xml:space="preserve"> </w:t>
      </w:r>
      <w:r w:rsidRPr="001B39BA">
        <w:rPr>
          <w:rFonts w:ascii="Arial" w:hAnsi="Arial" w:cs="Arial"/>
        </w:rPr>
        <w:t>Work-specific characteristics primarily enhance professional fulfillment rather than reduce fatigue, which appears influenced by external factors. While guidance counselors report high satisfaction, moderate fatigue highlights the need for institutional support. The inadequate model fit underscores the need for more comprehensive frameworks integrating both individual and contextual determinants of guidance counselor well-being.</w:t>
      </w:r>
    </w:p>
    <w:p w14:paraId="24C20150" w14:textId="53E3788E" w:rsidR="009861D2" w:rsidRPr="001B39BA" w:rsidRDefault="00000000" w:rsidP="001B39BA">
      <w:pPr>
        <w:tabs>
          <w:tab w:val="left" w:pos="1801"/>
          <w:tab w:val="left" w:leader="dot" w:pos="8758"/>
        </w:tabs>
        <w:spacing w:before="419"/>
        <w:rPr>
          <w:rFonts w:ascii="Arial" w:hAnsi="Arial" w:cs="Arial"/>
          <w:i/>
          <w:spacing w:val="-5"/>
        </w:rPr>
        <w:sectPr w:rsidR="009861D2" w:rsidRPr="001B39BA" w:rsidSect="00753C25">
          <w:headerReference w:type="default" r:id="rId8"/>
          <w:type w:val="continuous"/>
          <w:pgSz w:w="12240" w:h="15840"/>
          <w:pgMar w:top="1440" w:right="1440" w:bottom="1440" w:left="2160" w:header="714" w:footer="0" w:gutter="0"/>
          <w:pgNumType w:fmt="lowerRoman" w:start="4"/>
          <w:cols w:space="720"/>
        </w:sectPr>
      </w:pPr>
      <w:r w:rsidRPr="001B39BA">
        <w:rPr>
          <w:rFonts w:ascii="Arial" w:hAnsi="Arial" w:cs="Arial"/>
          <w:noProof/>
          <w:spacing w:val="-5"/>
        </w:rPr>
        <mc:AlternateContent>
          <mc:Choice Requires="wps">
            <w:drawing>
              <wp:anchor distT="0" distB="0" distL="0" distR="0" simplePos="0" relativeHeight="251658240" behindDoc="1" locked="0" layoutInCell="1" allowOverlap="1" wp14:anchorId="370848AB" wp14:editId="53D89705">
                <wp:simplePos x="0" y="0"/>
                <wp:positionH relativeFrom="page">
                  <wp:posOffset>1372235</wp:posOffset>
                </wp:positionH>
                <wp:positionV relativeFrom="paragraph">
                  <wp:posOffset>165777</wp:posOffset>
                </wp:positionV>
                <wp:extent cx="5257800" cy="1270"/>
                <wp:effectExtent l="0" t="0" r="0" b="0"/>
                <wp:wrapTopAndBottom/>
                <wp:docPr id="9" name="Graphic 9"/>
                <wp:cNvGraphicFramePr/>
                <a:graphic xmlns:a="http://schemas.openxmlformats.org/drawingml/2006/main">
                  <a:graphicData uri="http://schemas.microsoft.com/office/word/2010/wordprocessingShape">
                    <wps:wsp>
                      <wps:cNvSpPr/>
                      <wps:spPr>
                        <a:xfrm>
                          <a:off x="0" y="0"/>
                          <a:ext cx="5257800" cy="1270"/>
                        </a:xfrm>
                        <a:custGeom>
                          <a:avLst/>
                          <a:gdLst/>
                          <a:ahLst/>
                          <a:cxnLst/>
                          <a:rect l="l" t="t" r="r" b="b"/>
                          <a:pathLst>
                            <a:path w="5257800">
                              <a:moveTo>
                                <a:pt x="0" y="0"/>
                              </a:moveTo>
                              <a:lnTo>
                                <a:pt x="5257800" y="0"/>
                              </a:lnTo>
                            </a:path>
                          </a:pathLst>
                        </a:custGeom>
                        <a:ln w="6186">
                          <a:solidFill>
                            <a:srgbClr val="000000"/>
                          </a:solidFill>
                          <a:prstDash val="solid"/>
                        </a:ln>
                      </wps:spPr>
                      <wps:bodyPr wrap="square" lIns="0" tIns="0" rIns="0" bIns="0" rtlCol="0">
                        <a:prstTxWarp prst="textNoShape">
                          <a:avLst/>
                        </a:prstTxWarp>
                      </wps:bodyPr>
                    </wps:wsp>
                  </a:graphicData>
                </a:graphic>
              </wp:anchor>
            </w:drawing>
          </mc:Choice>
          <mc:Fallback>
            <w:pict>
              <v:shape id="Graphic 9" o:spid="_x0000_s1025" style="width:414pt;height:0.1pt;margin-top:13.05pt;margin-left:108.05pt;mso-position-horizontal-relative:page;mso-wrap-distance-bottom:0;mso-wrap-distance-left:0;mso-wrap-distance-right:0;mso-wrap-distance-top:0;mso-wrap-style:square;position:absolute;visibility:visible;v-text-anchor:top;z-index:-251657216" coordsize="5257800,1270" path="m,l5257800,e" filled="f" strokeweight="0.49pt">
                <v:path arrowok="t"/>
                <w10:wrap type="topAndBottom"/>
              </v:shape>
            </w:pict>
          </mc:Fallback>
        </mc:AlternateContent>
      </w:r>
      <w:r w:rsidRPr="001B39BA">
        <w:rPr>
          <w:rFonts w:ascii="Arial" w:hAnsi="Arial" w:cs="Arial"/>
          <w:spacing w:val="-5"/>
        </w:rPr>
        <w:t xml:space="preserve">Keywords: </w:t>
      </w:r>
      <w:r w:rsidRPr="001B39BA">
        <w:rPr>
          <w:rFonts w:ascii="Arial" w:hAnsi="Arial" w:cs="Arial"/>
          <w:i/>
          <w:spacing w:val="-5"/>
        </w:rPr>
        <w:t>Work-Specific Characteristics, Compassion Satisfaction, Compassion Fatigue, Guidance Counselors, Structural Equation Modeling (SE</w:t>
      </w:r>
      <w:r w:rsidR="00875B5B">
        <w:rPr>
          <w:rFonts w:ascii="Arial" w:hAnsi="Arial" w:cs="Arial"/>
          <w:i/>
          <w:spacing w:val="-5"/>
        </w:rPr>
        <w:t>M)</w:t>
      </w:r>
    </w:p>
    <w:p w14:paraId="41B92AE9" w14:textId="77777777" w:rsidR="007B7009" w:rsidRPr="001B39BA" w:rsidRDefault="00000000" w:rsidP="001B39BA">
      <w:pPr>
        <w:tabs>
          <w:tab w:val="left" w:pos="1801"/>
          <w:tab w:val="left" w:leader="dot" w:pos="8758"/>
        </w:tabs>
        <w:spacing w:before="419" w:line="360" w:lineRule="auto"/>
        <w:rPr>
          <w:rFonts w:ascii="Arial" w:hAnsi="Arial" w:cs="Arial"/>
          <w:b/>
          <w:bCs/>
          <w:spacing w:val="-5"/>
        </w:rPr>
      </w:pPr>
      <w:r w:rsidRPr="001B39BA">
        <w:rPr>
          <w:rFonts w:ascii="Arial" w:hAnsi="Arial" w:cs="Arial"/>
          <w:b/>
          <w:bCs/>
          <w:spacing w:val="-5"/>
        </w:rPr>
        <w:lastRenderedPageBreak/>
        <w:t>Introduction</w:t>
      </w:r>
    </w:p>
    <w:p w14:paraId="77B0061B" w14:textId="77777777" w:rsidR="007B7009" w:rsidRPr="001B39BA" w:rsidRDefault="00000000" w:rsidP="001B39BA">
      <w:pPr>
        <w:tabs>
          <w:tab w:val="left" w:pos="1801"/>
          <w:tab w:val="left" w:leader="dot" w:pos="8758"/>
        </w:tabs>
        <w:spacing w:before="419" w:line="360" w:lineRule="auto"/>
        <w:rPr>
          <w:rFonts w:ascii="Arial" w:hAnsi="Arial" w:cs="Arial"/>
          <w:spacing w:val="-5"/>
        </w:rPr>
      </w:pPr>
      <w:r w:rsidRPr="001B39BA">
        <w:rPr>
          <w:rFonts w:ascii="Arial" w:hAnsi="Arial" w:cs="Arial"/>
          <w:spacing w:val="-5"/>
        </w:rPr>
        <w:t>Background of the Study</w:t>
      </w:r>
    </w:p>
    <w:p w14:paraId="36E7355E" w14:textId="77777777" w:rsidR="00027C0B" w:rsidRPr="001B39BA" w:rsidRDefault="00027C0B" w:rsidP="001B39BA">
      <w:pPr>
        <w:pStyle w:val="NoSpacing"/>
        <w:spacing w:line="360" w:lineRule="auto"/>
        <w:ind w:firstLine="720"/>
        <w:rPr>
          <w:rFonts w:ascii="Arial" w:hAnsi="Arial" w:cs="Arial"/>
        </w:rPr>
      </w:pPr>
    </w:p>
    <w:p w14:paraId="5EF71EDA" w14:textId="77777777" w:rsidR="007B7009" w:rsidRPr="001B39BA" w:rsidRDefault="00000000" w:rsidP="001B39BA">
      <w:pPr>
        <w:pStyle w:val="NoSpacing"/>
        <w:spacing w:line="360" w:lineRule="auto"/>
        <w:ind w:firstLine="720"/>
        <w:jc w:val="both"/>
        <w:rPr>
          <w:rFonts w:ascii="Arial" w:hAnsi="Arial" w:cs="Arial"/>
        </w:rPr>
      </w:pPr>
      <w:r w:rsidRPr="001B39BA">
        <w:rPr>
          <w:rFonts w:ascii="Arial" w:hAnsi="Arial" w:cs="Arial"/>
        </w:rPr>
        <w:t xml:space="preserve">The increasing prevalence of mental health concerns among students has intensified the demand for effective school-based counseling services worldwide. Studies have documented rising levels of anxiety, depression, and psychological distress among children and adolescents, underscoring schools as critical contexts for early psychological intervention and support (Loades et al., 2020; Racine et al., 2021). In the Philippine educational system, guidance and counseling services are formally recognized as essential components of student support that promote holistic development and well-being (Commission on Higher Education, 2019). However, despite this recognition, many educational institutions continue to experience a shortage of qualified guidance counselors, resulting in high counselor-to-student ratios and escalating professional demands. This condition is likewise evident across Philippine educational settings, where guidance counselors frequently assume multiple roles, ranging from academic advising to psychosocial interventions, while serving increasingly diverse student populations (American School Counselor Association, 2019; Hapsyah &amp; Herdi, 2019). </w:t>
      </w:r>
    </w:p>
    <w:p w14:paraId="49678AE1" w14:textId="71E71969" w:rsidR="007B7009" w:rsidRPr="001B39BA" w:rsidRDefault="00000000" w:rsidP="001B39BA">
      <w:pPr>
        <w:pStyle w:val="NoSpacing"/>
        <w:spacing w:line="360" w:lineRule="auto"/>
        <w:ind w:firstLine="720"/>
        <w:jc w:val="both"/>
        <w:rPr>
          <w:rFonts w:ascii="Arial" w:hAnsi="Arial" w:cs="Arial"/>
        </w:rPr>
      </w:pPr>
      <w:r w:rsidRPr="001B39BA">
        <w:rPr>
          <w:rFonts w:ascii="Arial" w:hAnsi="Arial" w:cs="Arial"/>
        </w:rPr>
        <w:t>Consequently, a mismatch persists between the growing mental health needs of students and the institutional capacity to adequately support both learners and the professionals tasked to assist them. These challenges are particularly salient in resource-constrained and socio-culturally diverse contexts, where limited guidance counselor availability and institutional support may further shape professional experiences (Dionaldo, 2024; Gallardo</w:t>
      </w:r>
      <w:r w:rsidR="00082443" w:rsidRPr="001B39BA">
        <w:rPr>
          <w:rFonts w:ascii="Arial" w:hAnsi="Arial" w:cs="Arial"/>
        </w:rPr>
        <w:t xml:space="preserve"> &amp; Chavez</w:t>
      </w:r>
      <w:r w:rsidRPr="001B39BA">
        <w:rPr>
          <w:rFonts w:ascii="Arial" w:hAnsi="Arial" w:cs="Arial"/>
        </w:rPr>
        <w:t xml:space="preserve">, 2022). While such conditions are likely present in regions such as Mindanao, empirical investigations of guidance counselors' well-being remain limited, and existing studies indicate that their experiences have received comparatively little scholarly attention in the Philippine context. Professional quality of life (ProQoL) provides a conceptual lens for examining the well-being of helping professionals by capturing both the positive and negative emotional consequences of helping work (Stamm, 2010). It encompasses compassion satisfaction, </w:t>
      </w:r>
      <w:r w:rsidR="001B39BA" w:rsidRPr="001B39BA">
        <w:rPr>
          <w:rFonts w:ascii="Arial" w:hAnsi="Arial" w:cs="Arial"/>
        </w:rPr>
        <w:t>the fulfillment derived from helping others, and compassion fatigue, an</w:t>
      </w:r>
      <w:r w:rsidRPr="001B39BA">
        <w:rPr>
          <w:rFonts w:ascii="Arial" w:hAnsi="Arial" w:cs="Arial"/>
        </w:rPr>
        <w:t xml:space="preserve"> emotional exhaustion associated with prolonged exposure to others' distress (Figley, 2018; Stamm, 2010). </w:t>
      </w:r>
    </w:p>
    <w:p w14:paraId="2447B2FB" w14:textId="77777777" w:rsidR="004D5000" w:rsidRPr="001B39BA" w:rsidRDefault="00000000" w:rsidP="001B39BA">
      <w:pPr>
        <w:pStyle w:val="NoSpacing"/>
        <w:spacing w:line="360" w:lineRule="auto"/>
        <w:ind w:firstLine="720"/>
        <w:jc w:val="both"/>
        <w:rPr>
          <w:rFonts w:ascii="Arial" w:hAnsi="Arial" w:cs="Arial"/>
        </w:rPr>
        <w:sectPr w:rsidR="004D5000" w:rsidRPr="001B39BA" w:rsidSect="00753C25">
          <w:headerReference w:type="default" r:id="rId9"/>
          <w:type w:val="continuous"/>
          <w:pgSz w:w="12240" w:h="15840"/>
          <w:pgMar w:top="1440" w:right="1440" w:bottom="1440" w:left="2160" w:header="714" w:footer="0" w:gutter="0"/>
          <w:pgNumType w:start="2"/>
          <w:cols w:space="720"/>
        </w:sectPr>
      </w:pPr>
      <w:r w:rsidRPr="001B39BA">
        <w:rPr>
          <w:rFonts w:ascii="Arial" w:hAnsi="Arial" w:cs="Arial"/>
        </w:rPr>
        <w:t xml:space="preserve">For guidance counselors, whose roles involve sustained engagement with </w:t>
      </w:r>
    </w:p>
    <w:p w14:paraId="6DAA0778" w14:textId="77777777" w:rsidR="007B7009" w:rsidRPr="001B39BA" w:rsidRDefault="00000000" w:rsidP="001B39BA">
      <w:pPr>
        <w:pStyle w:val="NoSpacing"/>
        <w:spacing w:line="360" w:lineRule="auto"/>
        <w:jc w:val="both"/>
        <w:rPr>
          <w:rFonts w:ascii="Arial" w:hAnsi="Arial" w:cs="Arial"/>
        </w:rPr>
      </w:pPr>
      <w:r w:rsidRPr="001B39BA">
        <w:rPr>
          <w:rFonts w:ascii="Arial" w:hAnsi="Arial" w:cs="Arial"/>
        </w:rPr>
        <w:lastRenderedPageBreak/>
        <w:t xml:space="preserve">students' academic, personal, and psychosocial concerns, professional practice may simultaneously offer meaning and emotional strain. As such, professional quality of life constitutes a critical outcome in sustaining effective and responsive school-based counseling services. Guidance counselors' professional quality of life is shaped not only by external work demands but also by internal competencies and relational characteristics that influence their engagement in helping roles. Grounded in person-centered theory, effective counseling relationships are characterized by empathic understanding, genuineness, and unconditional positive regard (Joseph &amp; Murphy, 2019). Within school counseling contexts, these qualities are manifested through work-specific characteristics such as empathic understanding, genuineness, and a non-judgmental attitude. </w:t>
      </w:r>
    </w:p>
    <w:p w14:paraId="2EED80F4" w14:textId="77777777" w:rsidR="007B7009" w:rsidRPr="001B39BA" w:rsidRDefault="00000000" w:rsidP="001B39BA">
      <w:pPr>
        <w:pStyle w:val="NoSpacing"/>
        <w:spacing w:line="360" w:lineRule="auto"/>
        <w:ind w:firstLine="720"/>
        <w:jc w:val="both"/>
        <w:rPr>
          <w:rFonts w:ascii="Arial" w:hAnsi="Arial" w:cs="Arial"/>
        </w:rPr>
      </w:pPr>
      <w:r w:rsidRPr="001B39BA">
        <w:rPr>
          <w:rFonts w:ascii="Arial" w:hAnsi="Arial" w:cs="Arial"/>
        </w:rPr>
        <w:t xml:space="preserve">Moreover, interpersonal skills and self-compassion function as essential psychological resources that facilitate emotional regulation, adaptive coping, and resilience in the face of professional demands (Neff &amp; Germer, 2018; Kotera et al., 2021). Collectively, these variables are posited to influence guidance counselors' professional quality of life by shaping their experiences of both compassion satisfaction and compassion fatigue. Despite the expanding body of literature on professional quality of life, existing research has predominantly emphasized external workplace conditions, including workload, organizational climate, and job-related stress (Sinclair et al., 2017; Zhang et al., 2018). In contrast, comparatively limited attention has been paid to the roles of internal competencies and relational dynamics, particularly within school-based counseling contexts. </w:t>
      </w:r>
    </w:p>
    <w:p w14:paraId="6878DBF1" w14:textId="77777777" w:rsidR="007B7009" w:rsidRPr="001B39BA" w:rsidRDefault="00000000" w:rsidP="001B39BA">
      <w:pPr>
        <w:pStyle w:val="NoSpacing"/>
        <w:spacing w:line="360" w:lineRule="auto"/>
        <w:ind w:firstLine="720"/>
        <w:jc w:val="both"/>
        <w:rPr>
          <w:rFonts w:ascii="Arial" w:hAnsi="Arial" w:cs="Arial"/>
        </w:rPr>
      </w:pPr>
      <w:r w:rsidRPr="001B39BA">
        <w:rPr>
          <w:rFonts w:ascii="Arial" w:hAnsi="Arial" w:cs="Arial"/>
        </w:rPr>
        <w:t>In the Philippine setting, scholarly work has largely focused on program implementation and service delivery, with relatively less attention to the psychological well-being of guidance counselors (Tan, 202</w:t>
      </w:r>
      <w:r w:rsidR="00082443" w:rsidRPr="001B39BA">
        <w:rPr>
          <w:rFonts w:ascii="Arial" w:hAnsi="Arial" w:cs="Arial"/>
        </w:rPr>
        <w:t>1</w:t>
      </w:r>
      <w:r w:rsidRPr="001B39BA">
        <w:rPr>
          <w:rFonts w:ascii="Arial" w:hAnsi="Arial" w:cs="Arial"/>
        </w:rPr>
        <w:t xml:space="preserve">). This tendency is further evident in regions such as Mindanao, where guidance counselors operate in complex, demanding environments yet remain underrepresented in empirical inquiry. Without a more comprehensive understanding of how </w:t>
      </w:r>
      <w:r w:rsidR="001723E6" w:rsidRPr="001B39BA">
        <w:rPr>
          <w:rFonts w:ascii="Arial" w:hAnsi="Arial" w:cs="Arial"/>
        </w:rPr>
        <w:t xml:space="preserve">guidance </w:t>
      </w:r>
      <w:r w:rsidRPr="001B39BA">
        <w:rPr>
          <w:rFonts w:ascii="Arial" w:hAnsi="Arial" w:cs="Arial"/>
        </w:rPr>
        <w:t>counselors' competencies interact with their professional well-being, there is a heightened risk of burnout, diminished counseling effectiveness, and compromised student support services. These conditions underscore the importance of a context-sensitive investigation into the factors that shape guidance counselors' professional quality of life.</w:t>
      </w:r>
    </w:p>
    <w:p w14:paraId="7F9A9B71" w14:textId="77777777" w:rsidR="007B7009" w:rsidRPr="001B39BA" w:rsidRDefault="00000000" w:rsidP="001B39BA">
      <w:pPr>
        <w:pStyle w:val="NoSpacing"/>
        <w:spacing w:line="360" w:lineRule="auto"/>
        <w:ind w:firstLine="720"/>
        <w:jc w:val="both"/>
        <w:rPr>
          <w:rFonts w:ascii="Arial" w:hAnsi="Arial" w:cs="Arial"/>
        </w:rPr>
      </w:pPr>
      <w:r w:rsidRPr="001B39BA">
        <w:rPr>
          <w:rFonts w:ascii="Arial" w:hAnsi="Arial" w:cs="Arial"/>
        </w:rPr>
        <w:t xml:space="preserve">Given the limited focus on these variables, the present study examines the structural relationships among work-specific characteristics, compassion satisfaction, and compassion fatigue among guidance counselors using Structural Equation Modeling </w:t>
      </w:r>
      <w:r w:rsidRPr="001B39BA">
        <w:rPr>
          <w:rFonts w:ascii="Arial" w:hAnsi="Arial" w:cs="Arial"/>
        </w:rPr>
        <w:lastRenderedPageBreak/>
        <w:t>(SEM). By analyzing both direct and indirect pathways among compassion satisfaction and compassion fatigue, the study seeks to identify a best-fit model that explains how guidance counselors' competencies influence their professional well-being. This study contributes to the helping profession by generating evidence-based insights that inform the development of targeted support interventions, strengthen guidance counselor resilience, and enhance institutional practices in educational settings in Mindanao. Ultimately, the study aims to support the well-being of guidance counselors while promoting the sustainability and effectiveness of counseling services, thereby fostering improved psychosocial outcomes for the students they serve.</w:t>
      </w:r>
    </w:p>
    <w:p w14:paraId="694A37A8" w14:textId="77777777" w:rsidR="007B7009" w:rsidRPr="001B39BA" w:rsidRDefault="00000000" w:rsidP="001B39BA">
      <w:pPr>
        <w:tabs>
          <w:tab w:val="left" w:pos="1801"/>
          <w:tab w:val="left" w:leader="dot" w:pos="8758"/>
        </w:tabs>
        <w:spacing w:before="419" w:line="360" w:lineRule="auto"/>
        <w:rPr>
          <w:rFonts w:ascii="Arial" w:hAnsi="Arial" w:cs="Arial"/>
          <w:spacing w:val="-5"/>
        </w:rPr>
      </w:pPr>
      <w:r w:rsidRPr="001B39BA">
        <w:rPr>
          <w:rFonts w:ascii="Arial" w:hAnsi="Arial" w:cs="Arial"/>
          <w:spacing w:val="-5"/>
        </w:rPr>
        <w:t xml:space="preserve">Literature Review </w:t>
      </w:r>
    </w:p>
    <w:p w14:paraId="5F4620BD" w14:textId="77777777" w:rsidR="00027C0B" w:rsidRPr="001B39BA" w:rsidRDefault="00027C0B" w:rsidP="001B39BA">
      <w:pPr>
        <w:pStyle w:val="NoSpacing"/>
        <w:spacing w:line="360" w:lineRule="auto"/>
        <w:ind w:firstLine="720"/>
        <w:rPr>
          <w:rFonts w:ascii="Arial" w:hAnsi="Arial" w:cs="Arial"/>
        </w:rPr>
      </w:pPr>
    </w:p>
    <w:p w14:paraId="2062E467" w14:textId="77777777" w:rsidR="00027C0B" w:rsidRPr="001B39BA" w:rsidRDefault="00000000" w:rsidP="001B39BA">
      <w:pPr>
        <w:pStyle w:val="NoSpacing"/>
        <w:spacing w:line="360" w:lineRule="auto"/>
        <w:ind w:firstLine="720"/>
        <w:jc w:val="both"/>
        <w:rPr>
          <w:rFonts w:ascii="Arial" w:hAnsi="Arial" w:cs="Arial"/>
        </w:rPr>
      </w:pPr>
      <w:r w:rsidRPr="001B39BA">
        <w:rPr>
          <w:rFonts w:ascii="Arial" w:hAnsi="Arial" w:cs="Arial"/>
        </w:rPr>
        <w:t xml:space="preserve">This section aims to understand the roles and importance of work-specific characteristics of guidance counselors, including compassion satisfaction and compassion fatigue, and to examine the use of the structural equation model. The upcoming sections organize the literature by theme. Evaluate how these findings impact both theory and real-world practice. Initially focusing on the job characteristics of guidance counselors, </w:t>
      </w:r>
      <w:r w:rsidR="00260E4B" w:rsidRPr="001B39BA">
        <w:rPr>
          <w:rFonts w:ascii="Arial" w:hAnsi="Arial" w:cs="Arial"/>
        </w:rPr>
        <w:t xml:space="preserve">the review will further </w:t>
      </w:r>
      <w:r w:rsidRPr="001B39BA">
        <w:rPr>
          <w:rFonts w:ascii="Arial" w:hAnsi="Arial" w:cs="Arial"/>
        </w:rPr>
        <w:t>examine the dynamics of compassion satisfaction and compassion fatigue, then scrutinize the application of the equation model in this context. Moreover, this will draw on a range of sources to strengthen the study's credibility, including books, peer-reviewed journals, online sources, and other reliable sources.</w:t>
      </w:r>
    </w:p>
    <w:p w14:paraId="0CE112EC" w14:textId="77777777" w:rsidR="00027C0B" w:rsidRPr="001B39BA" w:rsidRDefault="00027C0B" w:rsidP="001B39BA">
      <w:pPr>
        <w:pStyle w:val="NoSpacing"/>
        <w:spacing w:line="360" w:lineRule="auto"/>
        <w:jc w:val="both"/>
        <w:rPr>
          <w:rFonts w:ascii="Arial" w:hAnsi="Arial" w:cs="Arial"/>
        </w:rPr>
      </w:pPr>
    </w:p>
    <w:p w14:paraId="319F907F" w14:textId="77777777" w:rsidR="00027C0B" w:rsidRPr="001B39BA" w:rsidRDefault="00000000" w:rsidP="001B39BA">
      <w:pPr>
        <w:pStyle w:val="NoSpacing"/>
        <w:spacing w:line="360" w:lineRule="auto"/>
        <w:rPr>
          <w:rFonts w:ascii="Arial" w:hAnsi="Arial" w:cs="Arial"/>
          <w:lang w:val="en-SG"/>
        </w:rPr>
      </w:pPr>
      <w:r w:rsidRPr="001B39BA">
        <w:rPr>
          <w:rFonts w:ascii="Arial" w:hAnsi="Arial" w:cs="Arial"/>
          <w:lang w:val="en-SG"/>
        </w:rPr>
        <w:t>Guidance Counselor</w:t>
      </w:r>
    </w:p>
    <w:p w14:paraId="51772AC8" w14:textId="77777777" w:rsidR="002E0C03" w:rsidRPr="001B39BA" w:rsidRDefault="002E0C03" w:rsidP="001B39BA">
      <w:pPr>
        <w:pStyle w:val="NoSpacing"/>
        <w:spacing w:line="360" w:lineRule="auto"/>
        <w:rPr>
          <w:rFonts w:ascii="Arial" w:hAnsi="Arial" w:cs="Arial"/>
          <w:lang w:val="en-SG"/>
        </w:rPr>
      </w:pPr>
    </w:p>
    <w:p w14:paraId="63B121E8"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The role of the guidance counselor has become increasingly complex in contemporary educational settings due to the rising prevalence of students’ psychological, academic, and socio-emotional concerns. Although the professionalization of guidance counseling in the Philippines was institutionalized through the Guidance and Counseling Act of 2000, which established licensure and regulatory standards, the actual delivery of counseling services remains constrained by systemic limitations, particularly the imbalance between </w:t>
      </w:r>
      <w:r w:rsidR="001723E6" w:rsidRPr="001B39BA">
        <w:rPr>
          <w:rFonts w:ascii="Arial" w:hAnsi="Arial" w:cs="Arial"/>
        </w:rPr>
        <w:t xml:space="preserve">guidance </w:t>
      </w:r>
      <w:r w:rsidRPr="001B39BA">
        <w:rPr>
          <w:rFonts w:ascii="Arial" w:hAnsi="Arial" w:cs="Arial"/>
          <w:lang w:val="en-SG"/>
        </w:rPr>
        <w:t xml:space="preserve">counselor availability and student population (Department of Education, 2025; Jimenez et al., 2018; Cordova Jr. et al., 2023). This structural inadequacy suggests that the effectiveness of counseling services cannot be explained solely by institutional provisions but must also be understood in relation to </w:t>
      </w:r>
      <w:r w:rsidR="001723E6" w:rsidRPr="001B39BA">
        <w:rPr>
          <w:rFonts w:ascii="Arial" w:hAnsi="Arial" w:cs="Arial"/>
        </w:rPr>
        <w:t xml:space="preserve">guidance </w:t>
      </w:r>
      <w:r w:rsidRPr="001B39BA">
        <w:rPr>
          <w:rFonts w:ascii="Arial" w:hAnsi="Arial" w:cs="Arial"/>
          <w:lang w:val="en-SG"/>
        </w:rPr>
        <w:lastRenderedPageBreak/>
        <w:t>counselors’ professional functioning.</w:t>
      </w:r>
    </w:p>
    <w:p w14:paraId="1D6EA6A9"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Recent literature emphasizes that </w:t>
      </w:r>
      <w:r w:rsidR="001723E6" w:rsidRPr="001B39BA">
        <w:rPr>
          <w:rFonts w:ascii="Arial" w:hAnsi="Arial" w:cs="Arial"/>
        </w:rPr>
        <w:t xml:space="preserve">guidance </w:t>
      </w:r>
      <w:r w:rsidRPr="001B39BA">
        <w:rPr>
          <w:rFonts w:ascii="Arial" w:hAnsi="Arial" w:cs="Arial"/>
          <w:lang w:val="en-SG"/>
        </w:rPr>
        <w:t xml:space="preserve">counselors’ professional quality of life, particularly in terms of compassion satisfaction and compassion fatigue, plays a critical role in determining counseling effectiveness (Robino, 2019; Iwanski, 2023). However, empirical findings remain inconsistent. Several regression-based studies indicate that </w:t>
      </w:r>
      <w:r w:rsidR="001723E6" w:rsidRPr="001B39BA">
        <w:rPr>
          <w:rFonts w:ascii="Arial" w:hAnsi="Arial" w:cs="Arial"/>
        </w:rPr>
        <w:t xml:space="preserve">guidance </w:t>
      </w:r>
      <w:r w:rsidRPr="001B39BA">
        <w:rPr>
          <w:rFonts w:ascii="Arial" w:hAnsi="Arial" w:cs="Arial"/>
          <w:lang w:val="en-SG"/>
        </w:rPr>
        <w:t>counselors derive high levels of fulfillment and purpose from their helping roles, resulting in increased compassion satisfaction (Özden &amp; Kaya, 2025; Crego et al., 2022</w:t>
      </w:r>
      <w:r w:rsidR="002809B9" w:rsidRPr="001B39BA">
        <w:rPr>
          <w:rFonts w:ascii="Arial" w:hAnsi="Arial" w:cs="Arial"/>
          <w:lang w:val="en-SG"/>
        </w:rPr>
        <w:t>b</w:t>
      </w:r>
      <w:r w:rsidRPr="001B39BA">
        <w:rPr>
          <w:rFonts w:ascii="Arial" w:hAnsi="Arial" w:cs="Arial"/>
          <w:lang w:val="en-SG"/>
        </w:rPr>
        <w:t xml:space="preserve">). In contrast, other studies demonstrate that prolonged exposure to clients’ distress significantly predicts burnout, emotional exhaustion, and compassion fatigue (Kapoor, 2022; Mullen, 2018). These conflicting findings suggest that </w:t>
      </w:r>
      <w:r w:rsidR="001723E6" w:rsidRPr="001B39BA">
        <w:rPr>
          <w:rFonts w:ascii="Arial" w:hAnsi="Arial" w:cs="Arial"/>
        </w:rPr>
        <w:t xml:space="preserve">guidance </w:t>
      </w:r>
      <w:r w:rsidRPr="001B39BA">
        <w:rPr>
          <w:rFonts w:ascii="Arial" w:hAnsi="Arial" w:cs="Arial"/>
          <w:lang w:val="en-SG"/>
        </w:rPr>
        <w:t xml:space="preserve">counselor outcomes are not uniform but are shaped by internal characteristics that influence how </w:t>
      </w:r>
      <w:r w:rsidR="001723E6" w:rsidRPr="001B39BA">
        <w:rPr>
          <w:rFonts w:ascii="Arial" w:hAnsi="Arial" w:cs="Arial"/>
        </w:rPr>
        <w:t xml:space="preserve">guidance </w:t>
      </w:r>
      <w:r w:rsidRPr="001B39BA">
        <w:rPr>
          <w:rFonts w:ascii="Arial" w:hAnsi="Arial" w:cs="Arial"/>
          <w:lang w:val="en-SG"/>
        </w:rPr>
        <w:t>counselors respond to occupational demands.</w:t>
      </w:r>
    </w:p>
    <w:p w14:paraId="38FC7205"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Despite this recognition, much of the existing literature examines </w:t>
      </w:r>
      <w:r w:rsidR="001723E6" w:rsidRPr="001B39BA">
        <w:rPr>
          <w:rFonts w:ascii="Arial" w:hAnsi="Arial" w:cs="Arial"/>
        </w:rPr>
        <w:t xml:space="preserve">guidance </w:t>
      </w:r>
      <w:r w:rsidRPr="001B39BA">
        <w:rPr>
          <w:rFonts w:ascii="Arial" w:hAnsi="Arial" w:cs="Arial"/>
          <w:lang w:val="en-SG"/>
        </w:rPr>
        <w:t xml:space="preserve">counselor well-being in isolation, failing to explain how multiple internal factors interact simultaneously to influence outcomes. This limitation reveals a critical gap: the absence of an integrative framework that explains how work-specific characteristics collectively shape </w:t>
      </w:r>
      <w:r w:rsidR="001723E6" w:rsidRPr="001B39BA">
        <w:rPr>
          <w:rFonts w:ascii="Arial" w:hAnsi="Arial" w:cs="Arial"/>
        </w:rPr>
        <w:t xml:space="preserve">guidance </w:t>
      </w:r>
      <w:r w:rsidRPr="001B39BA">
        <w:rPr>
          <w:rFonts w:ascii="Arial" w:hAnsi="Arial" w:cs="Arial"/>
          <w:lang w:val="en-SG"/>
        </w:rPr>
        <w:t>counselors’ professional quality of life. Furthermore, prior studies have predominantly relied on correlational and regression-based analyses, which are limited in their ability to capture complex, multidimensional relationships. While regression identifies direct effects, it does not adequately explain indirect or mediating mechanisms.</w:t>
      </w:r>
    </w:p>
    <w:p w14:paraId="47AEEE60"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Recent advances in research highlight the importance of mediation analysis, which examines how variables influence outcomes through intermediary processes. For example, self-compassion has been shown to mediate the relationship between emotional demands and burnout (Neff &amp; Germer, 2018; Saidi et al., 2025). </w:t>
      </w:r>
      <w:r w:rsidR="00F01DC3" w:rsidRPr="001B39BA">
        <w:rPr>
          <w:rFonts w:ascii="Arial" w:hAnsi="Arial" w:cs="Arial"/>
        </w:rPr>
        <w:t xml:space="preserve">However, existing research often remains constrained to a limited set of variables and may fail to capture the simultaneous interactions among multiple predictors. </w:t>
      </w:r>
      <w:r w:rsidRPr="001B39BA">
        <w:rPr>
          <w:rFonts w:ascii="Arial" w:hAnsi="Arial" w:cs="Arial"/>
          <w:lang w:val="en-SG"/>
        </w:rPr>
        <w:t>This limitation underscores the need for Structural Equation Modeling (SEM), which enables the examination of both direct and indirect relationships within a comprehensive structural framework. Thus, this study addresses a critical gap by employing SEM to analyze how work-specific characteristics influence guidance counselors’ professional quality of life.</w:t>
      </w:r>
    </w:p>
    <w:p w14:paraId="1CFBBA6F" w14:textId="77777777" w:rsidR="00027C0B" w:rsidRPr="001B39BA" w:rsidRDefault="00027C0B" w:rsidP="001B39BA">
      <w:pPr>
        <w:pStyle w:val="NoSpacing"/>
        <w:spacing w:line="360" w:lineRule="auto"/>
        <w:jc w:val="both"/>
        <w:rPr>
          <w:rFonts w:ascii="Arial" w:hAnsi="Arial" w:cs="Arial"/>
          <w:lang w:val="en-SG"/>
        </w:rPr>
      </w:pPr>
    </w:p>
    <w:p w14:paraId="002BFAD6"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t>Work-Specific Characteristics</w:t>
      </w:r>
    </w:p>
    <w:p w14:paraId="3242944C" w14:textId="77777777" w:rsidR="002E0C03" w:rsidRPr="001B39BA" w:rsidRDefault="002E0C03" w:rsidP="001B39BA">
      <w:pPr>
        <w:pStyle w:val="NoSpacing"/>
        <w:spacing w:line="360" w:lineRule="auto"/>
        <w:jc w:val="both"/>
        <w:rPr>
          <w:rFonts w:ascii="Arial" w:hAnsi="Arial" w:cs="Arial"/>
          <w:lang w:val="en-SG"/>
        </w:rPr>
      </w:pPr>
    </w:p>
    <w:p w14:paraId="3F3FF610"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Work-specific characteristics refer to the personal and professional attributes that </w:t>
      </w:r>
      <w:r w:rsidRPr="001B39BA">
        <w:rPr>
          <w:rFonts w:ascii="Arial" w:hAnsi="Arial" w:cs="Arial"/>
          <w:lang w:val="en-SG"/>
        </w:rPr>
        <w:lastRenderedPageBreak/>
        <w:t xml:space="preserve">shape how guidance counselors engage with clients and manage the emotional demands of counseling practice (Haolah, 2018). These characteristics, such as empathic understanding, genuineness, non-judgmental attitude, interpersonal skills, and self-compassion, are widely recognized as essential for effective counseling. However, the literature presents a complex and sometimes contradictory picture of their influence on </w:t>
      </w:r>
      <w:r w:rsidR="001723E6" w:rsidRPr="001B39BA">
        <w:rPr>
          <w:rFonts w:ascii="Arial" w:hAnsi="Arial" w:cs="Arial"/>
        </w:rPr>
        <w:t xml:space="preserve">guidance </w:t>
      </w:r>
      <w:r w:rsidRPr="001B39BA">
        <w:rPr>
          <w:rFonts w:ascii="Arial" w:hAnsi="Arial" w:cs="Arial"/>
          <w:lang w:val="en-SG"/>
        </w:rPr>
        <w:t xml:space="preserve">counselor outcomes. </w:t>
      </w:r>
      <w:r w:rsidRPr="001B39BA">
        <w:rPr>
          <w:rFonts w:ascii="Arial" w:hAnsi="Arial" w:cs="Arial"/>
          <w:lang w:val="en-SG"/>
        </w:rPr>
        <w:tab/>
      </w:r>
      <w:r w:rsidRPr="001B39BA">
        <w:rPr>
          <w:rFonts w:ascii="Arial" w:hAnsi="Arial" w:cs="Arial"/>
          <w:lang w:val="en-SG"/>
        </w:rPr>
        <w:tab/>
      </w:r>
      <w:r w:rsidRPr="001B39BA">
        <w:rPr>
          <w:rFonts w:ascii="Arial" w:hAnsi="Arial" w:cs="Arial"/>
          <w:lang w:val="en-SG"/>
        </w:rPr>
        <w:tab/>
      </w:r>
      <w:r w:rsidRPr="001B39BA">
        <w:rPr>
          <w:rFonts w:ascii="Arial" w:hAnsi="Arial" w:cs="Arial"/>
          <w:lang w:val="en-SG"/>
        </w:rPr>
        <w:tab/>
      </w:r>
      <w:r w:rsidR="00082443" w:rsidRPr="001B39BA">
        <w:rPr>
          <w:rFonts w:ascii="Arial" w:hAnsi="Arial" w:cs="Arial"/>
          <w:lang w:val="en-SG"/>
        </w:rPr>
        <w:tab/>
      </w:r>
      <w:r w:rsidR="00082443" w:rsidRPr="001B39BA">
        <w:rPr>
          <w:rFonts w:ascii="Arial" w:hAnsi="Arial" w:cs="Arial"/>
          <w:lang w:val="en-SG"/>
        </w:rPr>
        <w:tab/>
      </w:r>
      <w:r w:rsidR="00082443" w:rsidRPr="001B39BA">
        <w:rPr>
          <w:rFonts w:ascii="Arial" w:hAnsi="Arial" w:cs="Arial"/>
          <w:lang w:val="en-SG"/>
        </w:rPr>
        <w:tab/>
      </w:r>
      <w:r w:rsidR="00DD7A43" w:rsidRPr="001B39BA">
        <w:rPr>
          <w:rFonts w:ascii="Arial" w:hAnsi="Arial" w:cs="Arial"/>
          <w:lang w:val="en-SG"/>
        </w:rPr>
        <w:tab/>
      </w:r>
      <w:r w:rsidR="00DD7A43" w:rsidRPr="001B39BA">
        <w:rPr>
          <w:rFonts w:ascii="Arial" w:hAnsi="Arial" w:cs="Arial"/>
          <w:lang w:val="en-SG"/>
        </w:rPr>
        <w:tab/>
      </w:r>
      <w:r w:rsidRPr="001B39BA">
        <w:rPr>
          <w:rFonts w:ascii="Arial" w:hAnsi="Arial" w:cs="Arial"/>
          <w:lang w:val="en-SG"/>
        </w:rPr>
        <w:t>On one hand, regression studies consistently demonstrate that these characteristics positively predict counseling effectiveness. For instance, interpersonal skills and empathy have been found to predict therapeutic alliance and client improvement significantly (Cooper et al., 2025; Schwartz et al., 2025). Similarly, self-compassion has been shown to negatively predict burnout and positively predict compassion satisfaction (Crego et al., 2022</w:t>
      </w:r>
      <w:r w:rsidR="002809B9" w:rsidRPr="001B39BA">
        <w:rPr>
          <w:rFonts w:ascii="Arial" w:hAnsi="Arial" w:cs="Arial"/>
          <w:lang w:val="en-SG"/>
        </w:rPr>
        <w:t>c</w:t>
      </w:r>
      <w:r w:rsidRPr="001B39BA">
        <w:rPr>
          <w:rFonts w:ascii="Arial" w:hAnsi="Arial" w:cs="Arial"/>
          <w:lang w:val="en-SG"/>
        </w:rPr>
        <w:t xml:space="preserve">; Özden &amp; Kaya, 2025). These findings suggest that work-specific characteristics function as protective factors that enhance </w:t>
      </w:r>
      <w:r w:rsidR="001723E6" w:rsidRPr="001B39BA">
        <w:rPr>
          <w:rFonts w:ascii="Arial" w:hAnsi="Arial" w:cs="Arial"/>
        </w:rPr>
        <w:t xml:space="preserve">guidance </w:t>
      </w:r>
      <w:r w:rsidRPr="001B39BA">
        <w:rPr>
          <w:rFonts w:ascii="Arial" w:hAnsi="Arial" w:cs="Arial"/>
          <w:lang w:val="en-SG"/>
        </w:rPr>
        <w:t>counselor effectiveness and well-being.</w:t>
      </w:r>
    </w:p>
    <w:p w14:paraId="13CF8C7F"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In addition, the contrasting findings indicate that these same characteristics may increase vulnerability to emotional strain. Mullen (2018) found that high levels of empathic engagement significantly predict emotional exhaustion, while Kapoor (2022) reported that empathy is positively associated with compassion fatigue. Similarly, research suggests that strong interpersonal involvement may increase emotional labor and stress, particularly in high-demand counseling environments. These findings highlight a critical paradox: the very characteristics that enhance counseling effectiveness may also contribute to </w:t>
      </w:r>
      <w:r w:rsidR="001723E6" w:rsidRPr="001B39BA">
        <w:rPr>
          <w:rFonts w:ascii="Arial" w:hAnsi="Arial" w:cs="Arial"/>
        </w:rPr>
        <w:t xml:space="preserve">guidance </w:t>
      </w:r>
      <w:r w:rsidRPr="001B39BA">
        <w:rPr>
          <w:rFonts w:ascii="Arial" w:hAnsi="Arial" w:cs="Arial"/>
          <w:lang w:val="en-SG"/>
        </w:rPr>
        <w:t>counselor distress.</w:t>
      </w:r>
    </w:p>
    <w:p w14:paraId="1C4D9EF5"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rPr>
        <w:t>This contradiction suggests that work-specific characteristics do not operate independently but instead interact in complex ways. Further evidence supports this perspective, indicating that self-compassion may play a significant role in explaining the relationship between empathy and burnout by reducing the negative effects of emotional demands (Neff &amp; Germer, 2018; Nas et al., 2025</w:t>
      </w:r>
      <w:r w:rsidR="00D555A6" w:rsidRPr="001B39BA">
        <w:rPr>
          <w:rFonts w:ascii="Arial" w:hAnsi="Arial" w:cs="Arial"/>
        </w:rPr>
        <w:t>a</w:t>
      </w:r>
      <w:r w:rsidRPr="001B39BA">
        <w:rPr>
          <w:rFonts w:ascii="Arial" w:hAnsi="Arial" w:cs="Arial"/>
        </w:rPr>
        <w:t>).</w:t>
      </w:r>
      <w:r w:rsidRPr="001B39BA">
        <w:rPr>
          <w:rFonts w:ascii="Arial" w:hAnsi="Arial" w:cs="Arial"/>
          <w:lang w:val="en-SG"/>
        </w:rPr>
        <w:t xml:space="preserve"> However, most of these studies rely on regression-based mediation, which examines only limited pathways and fails to capture the full structural complexity of these relationships.</w:t>
      </w:r>
    </w:p>
    <w:p w14:paraId="68D7E708"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More recent SEM studies provide stronger evidence of these interactions, demonstrating that work-specific characteristics exert both direct and indirect effects on professional quality of life (Ranjouri et al., 2025). Despite these advances, the application of SEM in counseling research remains limited, particularly in guidance counselor research. Thus, there remains a significant gap in understanding how multiple work-</w:t>
      </w:r>
      <w:r w:rsidRPr="001B39BA">
        <w:rPr>
          <w:rFonts w:ascii="Arial" w:hAnsi="Arial" w:cs="Arial"/>
          <w:lang w:val="en-SG"/>
        </w:rPr>
        <w:lastRenderedPageBreak/>
        <w:t xml:space="preserve">specific characteristics simultaneously influence </w:t>
      </w:r>
      <w:r w:rsidR="001723E6" w:rsidRPr="001B39BA">
        <w:rPr>
          <w:rFonts w:ascii="Arial" w:hAnsi="Arial" w:cs="Arial"/>
        </w:rPr>
        <w:t xml:space="preserve">guidance </w:t>
      </w:r>
      <w:r w:rsidRPr="001B39BA">
        <w:rPr>
          <w:rFonts w:ascii="Arial" w:hAnsi="Arial" w:cs="Arial"/>
          <w:lang w:val="en-SG"/>
        </w:rPr>
        <w:t>counselor outcomes within a unified structural model.</w:t>
      </w:r>
    </w:p>
    <w:p w14:paraId="3DC7096E" w14:textId="77777777" w:rsidR="00027C0B" w:rsidRPr="001B39BA" w:rsidRDefault="00027C0B" w:rsidP="001B39BA">
      <w:pPr>
        <w:pStyle w:val="NoSpacing"/>
        <w:spacing w:line="360" w:lineRule="auto"/>
        <w:jc w:val="both"/>
        <w:rPr>
          <w:rFonts w:ascii="Arial" w:hAnsi="Arial" w:cs="Arial"/>
          <w:lang w:val="en-SG"/>
        </w:rPr>
      </w:pPr>
    </w:p>
    <w:p w14:paraId="17C18D8A"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t>Empathic Understanding</w:t>
      </w:r>
    </w:p>
    <w:p w14:paraId="775FB308" w14:textId="77777777" w:rsidR="002E0C03" w:rsidRPr="001B39BA" w:rsidRDefault="002E0C03" w:rsidP="001B39BA">
      <w:pPr>
        <w:pStyle w:val="NoSpacing"/>
        <w:spacing w:line="360" w:lineRule="auto"/>
        <w:jc w:val="both"/>
        <w:rPr>
          <w:rFonts w:ascii="Arial" w:hAnsi="Arial" w:cs="Arial"/>
          <w:lang w:val="en-SG"/>
        </w:rPr>
      </w:pPr>
    </w:p>
    <w:p w14:paraId="2D643A2F"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Empathic understanding is widely recognized as a fundamental counseling competence that enables </w:t>
      </w:r>
      <w:r w:rsidR="001723E6" w:rsidRPr="001B39BA">
        <w:rPr>
          <w:rFonts w:ascii="Arial" w:hAnsi="Arial" w:cs="Arial"/>
        </w:rPr>
        <w:t xml:space="preserve">guidance </w:t>
      </w:r>
      <w:r w:rsidRPr="001B39BA">
        <w:rPr>
          <w:rFonts w:ascii="Arial" w:hAnsi="Arial" w:cs="Arial"/>
          <w:lang w:val="en-SG"/>
        </w:rPr>
        <w:t>counselors to perceive and interpret clients’ experiences from the clients' perspectives (Surma-aho &amp; Hölttä-Otto, 2022). Empirical studies consistently demonstrate that empathy enhances therapeutic alliance, client engagement, and counseling outcomes (Elliott et al., 2023</w:t>
      </w:r>
      <w:r w:rsidR="002809B9" w:rsidRPr="001B39BA">
        <w:rPr>
          <w:rFonts w:ascii="Arial" w:hAnsi="Arial" w:cs="Arial"/>
          <w:lang w:val="en-SG"/>
        </w:rPr>
        <w:t>a</w:t>
      </w:r>
      <w:r w:rsidRPr="001B39BA">
        <w:rPr>
          <w:rFonts w:ascii="Arial" w:hAnsi="Arial" w:cs="Arial"/>
          <w:lang w:val="en-SG"/>
        </w:rPr>
        <w:t>; Zhang et al., 2023).</w:t>
      </w:r>
    </w:p>
    <w:p w14:paraId="7918F5B6"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t>However, the effects of empathy are not uniformly positive. While some regression studies show that empathy significantly predicts compassion satisfaction, others indicate that it simultaneously predicts compassion fatigue (Mullen, 2018). Similarly, Kapoor (2022) found that excessive empathic engagement is associated with increased emotional exhaustion, particularly in high-stress counseling contexts. These findings suggest that empathy functions as a double-edged construct.</w:t>
      </w:r>
    </w:p>
    <w:p w14:paraId="4D9742C0"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rPr>
        <w:t>Further evidence suggests that the impact of empathy may depend on other interacting variables. For instance, self-compassion has been shown to play a significant role in the relationship between empathy and burnout by buffering its negative effects (Neff &amp; Germer, 2018).</w:t>
      </w:r>
      <w:r w:rsidRPr="001B39BA">
        <w:rPr>
          <w:rFonts w:ascii="Arial" w:hAnsi="Arial" w:cs="Arial"/>
          <w:lang w:val="en-SG"/>
        </w:rPr>
        <w:t xml:space="preserve"> SEM-based studies also indicate that empathy exerts indirect effects on professional outcomes through mediating variables such as coping strategies and emotional regulation (Ranjouri et al., 2025). Thus, empathy cannot be understood as a purely beneficial trait; it must be examined within a broader structural framework that accounts for its complex, multidimensional effects.</w:t>
      </w:r>
    </w:p>
    <w:p w14:paraId="3EE88E80" w14:textId="77777777" w:rsidR="00027C0B" w:rsidRPr="001B39BA" w:rsidRDefault="00027C0B" w:rsidP="001B39BA">
      <w:pPr>
        <w:pStyle w:val="NoSpacing"/>
        <w:spacing w:line="360" w:lineRule="auto"/>
        <w:jc w:val="both"/>
        <w:rPr>
          <w:rFonts w:ascii="Arial" w:hAnsi="Arial" w:cs="Arial"/>
        </w:rPr>
      </w:pPr>
    </w:p>
    <w:p w14:paraId="7AAF9AAA"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t xml:space="preserve">Genuineness </w:t>
      </w:r>
    </w:p>
    <w:p w14:paraId="3DCD679D" w14:textId="77777777" w:rsidR="002E0C03" w:rsidRPr="001B39BA" w:rsidRDefault="002E0C03" w:rsidP="001B39BA">
      <w:pPr>
        <w:pStyle w:val="NoSpacing"/>
        <w:spacing w:line="360" w:lineRule="auto"/>
        <w:jc w:val="both"/>
        <w:rPr>
          <w:rFonts w:ascii="Arial" w:hAnsi="Arial" w:cs="Arial"/>
          <w:lang w:val="en-SG"/>
        </w:rPr>
      </w:pPr>
    </w:p>
    <w:p w14:paraId="0C0CD59E"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Genuineness, or authenticity, refers to the alignment between an individual’s internal experiences and external expressions (Hopwood et al., 2021; Nunes et al., 2021). Within counseling, genuineness is considered a core relational condition that fosters trust, openness, and therapeutic alliance (Kolden et al., 2018; Nienhuis, 2018; Lu et al., 2020). Regression-based studies consistently demonstrate that </w:t>
      </w:r>
      <w:r w:rsidR="001723E6" w:rsidRPr="001B39BA">
        <w:rPr>
          <w:rFonts w:ascii="Arial" w:hAnsi="Arial" w:cs="Arial"/>
        </w:rPr>
        <w:t xml:space="preserve">guidance </w:t>
      </w:r>
      <w:r w:rsidRPr="001B39BA">
        <w:rPr>
          <w:rFonts w:ascii="Arial" w:hAnsi="Arial" w:cs="Arial"/>
          <w:lang w:val="en-SG"/>
        </w:rPr>
        <w:t>counselor authenticity significantly predicts client engagement, satisfaction, and therapeutic outcomes (Holyoak et al., 2020; Elliott et al., 2023</w:t>
      </w:r>
      <w:r w:rsidR="002809B9" w:rsidRPr="001B39BA">
        <w:rPr>
          <w:rFonts w:ascii="Arial" w:hAnsi="Arial" w:cs="Arial"/>
          <w:lang w:val="en-SG"/>
        </w:rPr>
        <w:t>b</w:t>
      </w:r>
      <w:r w:rsidRPr="001B39BA">
        <w:rPr>
          <w:rFonts w:ascii="Arial" w:hAnsi="Arial" w:cs="Arial"/>
          <w:lang w:val="en-SG"/>
        </w:rPr>
        <w:t>).</w:t>
      </w:r>
    </w:p>
    <w:p w14:paraId="636BD13C"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lastRenderedPageBreak/>
        <w:t xml:space="preserve">However, the literature presents contrasting findings regarding its impact on </w:t>
      </w:r>
      <w:r w:rsidR="001723E6" w:rsidRPr="001B39BA">
        <w:rPr>
          <w:rFonts w:ascii="Arial" w:hAnsi="Arial" w:cs="Arial"/>
        </w:rPr>
        <w:t xml:space="preserve">guidance </w:t>
      </w:r>
      <w:r w:rsidRPr="001B39BA">
        <w:rPr>
          <w:rFonts w:ascii="Arial" w:hAnsi="Arial" w:cs="Arial"/>
          <w:lang w:val="en-SG"/>
        </w:rPr>
        <w:t xml:space="preserve">counselors' well-being. While genuineness enhances relational depth, it also requires continuous emotional presence and self-awareness, which may increase emotional labor (Kolden et al., 2018; Behan, 2022). Perlman and Cáceres-Videla (2024) argue that maintaining authenticity in emotionally demanding counseling contexts may heighten </w:t>
      </w:r>
      <w:r w:rsidR="001723E6" w:rsidRPr="001B39BA">
        <w:rPr>
          <w:rFonts w:ascii="Arial" w:hAnsi="Arial" w:cs="Arial"/>
        </w:rPr>
        <w:t xml:space="preserve">guidance </w:t>
      </w:r>
      <w:r w:rsidRPr="001B39BA">
        <w:rPr>
          <w:rFonts w:ascii="Arial" w:hAnsi="Arial" w:cs="Arial"/>
          <w:lang w:val="en-SG"/>
        </w:rPr>
        <w:t xml:space="preserve">counselors’ emotional vulnerability, particularly when boundaries are not effectively managed. Similarly, research on emotional labor suggests that the </w:t>
      </w:r>
      <w:r w:rsidR="00082443" w:rsidRPr="001B39BA">
        <w:rPr>
          <w:rFonts w:ascii="Arial" w:hAnsi="Arial" w:cs="Arial"/>
          <w:lang w:val="en-SG"/>
        </w:rPr>
        <w:t>pressure to remain authentic while regulating emotions</w:t>
      </w:r>
      <w:r w:rsidRPr="001B39BA">
        <w:rPr>
          <w:rFonts w:ascii="Arial" w:hAnsi="Arial" w:cs="Arial"/>
          <w:lang w:val="en-SG"/>
        </w:rPr>
        <w:t xml:space="preserve"> may contribute to burnout and psychological strain.</w:t>
      </w:r>
    </w:p>
    <w:p w14:paraId="3A46C589"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Further evidence from regression studies indicates that genuineness positively predicts therapeutic alliance but is also associated with increased emotional exhaustion under high workload conditions (Mullen, 2018; Robino, 2019). This suggests that genuineness serves both as a facilitator of effective counseling and as a potential risk factor for </w:t>
      </w:r>
      <w:r w:rsidR="001723E6" w:rsidRPr="001B39BA">
        <w:rPr>
          <w:rFonts w:ascii="Arial" w:hAnsi="Arial" w:cs="Arial"/>
        </w:rPr>
        <w:t xml:space="preserve">guidance </w:t>
      </w:r>
      <w:r w:rsidRPr="001B39BA">
        <w:rPr>
          <w:rFonts w:ascii="Arial" w:hAnsi="Arial" w:cs="Arial"/>
          <w:lang w:val="en-SG"/>
        </w:rPr>
        <w:t>counselor fatigue.</w:t>
      </w:r>
    </w:p>
    <w:p w14:paraId="4814F156"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rPr>
        <w:t xml:space="preserve">Existing research remains limited but suggests that emotional regulation and self-compassion may buffer the potential negative effects of genuineness (Neff &amp; Germer, 2018). </w:t>
      </w:r>
      <w:r w:rsidRPr="001B39BA">
        <w:rPr>
          <w:rFonts w:ascii="Arial" w:hAnsi="Arial" w:cs="Arial"/>
          <w:lang w:val="en-SG"/>
        </w:rPr>
        <w:t>SEM-based approaches are therefore necessary to examine how genuineness interacts with other work-specific characteristics within a broader structural model.</w:t>
      </w:r>
    </w:p>
    <w:p w14:paraId="667B3E8A" w14:textId="77777777" w:rsidR="00027C0B" w:rsidRPr="001B39BA" w:rsidRDefault="00027C0B" w:rsidP="001B39BA">
      <w:pPr>
        <w:pStyle w:val="NoSpacing"/>
        <w:spacing w:line="360" w:lineRule="auto"/>
        <w:jc w:val="both"/>
        <w:rPr>
          <w:rFonts w:ascii="Arial" w:hAnsi="Arial" w:cs="Arial"/>
          <w:lang w:val="en-SG"/>
        </w:rPr>
      </w:pPr>
    </w:p>
    <w:p w14:paraId="211B2D38"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t xml:space="preserve">Non-Judgmental Attitude </w:t>
      </w:r>
    </w:p>
    <w:p w14:paraId="2AA28534" w14:textId="77777777" w:rsidR="002E0C03" w:rsidRPr="001B39BA" w:rsidRDefault="002E0C03" w:rsidP="001B39BA">
      <w:pPr>
        <w:pStyle w:val="NoSpacing"/>
        <w:spacing w:line="360" w:lineRule="auto"/>
        <w:jc w:val="both"/>
        <w:rPr>
          <w:rFonts w:ascii="Arial" w:hAnsi="Arial" w:cs="Arial"/>
          <w:lang w:val="en-SG"/>
        </w:rPr>
      </w:pPr>
    </w:p>
    <w:p w14:paraId="37DCD6C9"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A non-judgmental attitude refers to the capacity to accept clients’ thoughts, emotions, and behaviors without criticism or evaluation (Medvedev et al., 2020; Weinstein et al., 2022). This characteristic is central to creating a safe and supportive therapeutic environment that promotes openness and self-exploration (Twigger et al., 2024).</w:t>
      </w:r>
    </w:p>
    <w:p w14:paraId="2E28AE05"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Empirical studies using regression analysis consistently demonstrate that non-judgment significantly predicts client engagement, reduced defensiveness, and increased therapeutic alliance (Kara, 2023; Tursi et al., 2021). Similarly, research grounded in self-determination theory shows that non-judgmental listening enhances clients’ intrinsic motivation and psychological autonomy (Weinstein et al., 2022).</w:t>
      </w:r>
    </w:p>
    <w:p w14:paraId="69A8B6DA"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However, contrasting findings indicate that maintaining a non-judgmental stance may impose substantial emotional and cognitive demands on </w:t>
      </w:r>
      <w:r w:rsidR="002E0C03" w:rsidRPr="001B39BA">
        <w:rPr>
          <w:rFonts w:ascii="Arial" w:hAnsi="Arial" w:cs="Arial"/>
          <w:lang w:val="en-SG"/>
        </w:rPr>
        <w:t xml:space="preserve">guidance </w:t>
      </w:r>
      <w:r w:rsidRPr="001B39BA">
        <w:rPr>
          <w:rFonts w:ascii="Arial" w:hAnsi="Arial" w:cs="Arial"/>
          <w:lang w:val="en-SG"/>
        </w:rPr>
        <w:t xml:space="preserve">counselors. Mohd et al. (2023) found that </w:t>
      </w:r>
      <w:r w:rsidR="002E0C03" w:rsidRPr="001B39BA">
        <w:rPr>
          <w:rFonts w:ascii="Arial" w:hAnsi="Arial" w:cs="Arial"/>
          <w:lang w:val="en-SG"/>
        </w:rPr>
        <w:t xml:space="preserve">guidance </w:t>
      </w:r>
      <w:r w:rsidRPr="001B39BA">
        <w:rPr>
          <w:rFonts w:ascii="Arial" w:hAnsi="Arial" w:cs="Arial"/>
          <w:lang w:val="en-SG"/>
        </w:rPr>
        <w:t xml:space="preserve">counselors who consistently suppress personal judgments experience higher levels of emotional exhaustion. Likewise, Branson et al. </w:t>
      </w:r>
      <w:r w:rsidRPr="001B39BA">
        <w:rPr>
          <w:rFonts w:ascii="Arial" w:hAnsi="Arial" w:cs="Arial"/>
          <w:lang w:val="en-SG"/>
        </w:rPr>
        <w:lastRenderedPageBreak/>
        <w:t>(2022) reported that sustained non-judgmental awareness requires continuous cognitive regulation, which may contribute to stress and fatigue over time.</w:t>
      </w:r>
    </w:p>
    <w:p w14:paraId="087BBC83"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Research on mindfulness further supports this dual effect. While non-judgmental awareness is associated with improved psychological well-being (Medvedev et al., 2020), it also requires sustained attentional control, which may become cognitively demanding in high-pressure counseling contexts</w:t>
      </w:r>
      <w:r w:rsidR="00082443" w:rsidRPr="001B39BA">
        <w:rPr>
          <w:rFonts w:ascii="Arial" w:hAnsi="Arial" w:cs="Arial"/>
          <w:lang w:val="en-SG"/>
        </w:rPr>
        <w:t xml:space="preserve">. </w:t>
      </w:r>
      <w:r w:rsidRPr="001B39BA">
        <w:rPr>
          <w:rFonts w:ascii="Arial" w:hAnsi="Arial" w:cs="Arial"/>
          <w:lang w:val="en-SG"/>
        </w:rPr>
        <w:t xml:space="preserve">Despite its importance, most studies examine non-judgment as an isolated predictor using regression models. There is limited research exploring how it interacts with other variables or operates within a mediated or structural framework. </w:t>
      </w:r>
    </w:p>
    <w:p w14:paraId="0DFBB5F9" w14:textId="77777777" w:rsidR="00027C0B" w:rsidRPr="001B39BA" w:rsidRDefault="00027C0B" w:rsidP="001B39BA">
      <w:pPr>
        <w:pStyle w:val="NoSpacing"/>
        <w:spacing w:line="360" w:lineRule="auto"/>
        <w:ind w:firstLine="720"/>
        <w:jc w:val="both"/>
        <w:rPr>
          <w:rFonts w:ascii="Arial" w:hAnsi="Arial" w:cs="Arial"/>
          <w:lang w:val="en-SG"/>
        </w:rPr>
      </w:pPr>
    </w:p>
    <w:p w14:paraId="0C80D6C5"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t xml:space="preserve">Interpersonal Skills </w:t>
      </w:r>
    </w:p>
    <w:p w14:paraId="45BBF7B7" w14:textId="77777777" w:rsidR="002E0C03" w:rsidRPr="001B39BA" w:rsidRDefault="002E0C03" w:rsidP="001B39BA">
      <w:pPr>
        <w:pStyle w:val="NoSpacing"/>
        <w:spacing w:line="360" w:lineRule="auto"/>
        <w:jc w:val="both"/>
        <w:rPr>
          <w:rFonts w:ascii="Arial" w:hAnsi="Arial" w:cs="Arial"/>
          <w:lang w:val="en-SG"/>
        </w:rPr>
      </w:pPr>
    </w:p>
    <w:p w14:paraId="571B1181"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Interpersonal skills refer to the competencies that enable individuals to communicate effectively, build relationships, and navigate complex social interactions (Klinkosz et al., 2021; Beenen et al., 2023). In counseling, these skills are fundamental, as therapeutic outcomes largely depend on the quality of the counselor-client relationship (Norcross &amp; Lambert, 2019).</w:t>
      </w:r>
    </w:p>
    <w:p w14:paraId="447B5C87"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Regression studies consistently show that interpersonal skills significantly predict counseling effectiveness, client satisfaction, and psychological outcomes (Schwartz et al., 2025; Cooper et al., 2026; Serrano-Pintado et al., 2022). Similarly, meta-analytic findings indicate that therapist relational factors, including interpersonal competence, account for a substantial proportion of variance in treatment outcomes (Norcross &amp; Wampold, 2011).</w:t>
      </w:r>
    </w:p>
    <w:p w14:paraId="4B9978A4"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However, emerging research presents a more nuanced perspective. While interpersonal skills enhance therapeutic effectiveness, they may also increase emotional involvement and vulnerability. De Jong et al. (2024) found that therapists with high interpersonal engagement experience greater emotional strain in challenging cases. Similarly, </w:t>
      </w:r>
      <w:r w:rsidR="00082443" w:rsidRPr="001B39BA">
        <w:rPr>
          <w:rFonts w:ascii="Arial" w:hAnsi="Arial" w:cs="Arial"/>
          <w:lang w:val="en-SG"/>
        </w:rPr>
        <w:t>researchers</w:t>
      </w:r>
      <w:r w:rsidRPr="001B39BA">
        <w:rPr>
          <w:rFonts w:ascii="Arial" w:hAnsi="Arial" w:cs="Arial"/>
          <w:lang w:val="en-SG"/>
        </w:rPr>
        <w:t xml:space="preserve"> argue that strong relational engagement may increase emotional labor and risk of burnout.</w:t>
      </w:r>
    </w:p>
    <w:p w14:paraId="59B5FDFF"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rPr>
        <w:t>Existing research suggests that the effects of interpersonal skills on guidance counselor outcomes depend on internal coping mechanisms. For instance, self-compassion and emotional regulation have been shown to play important roles in the relationship between interpersonal engagement and burnout (Neff, 2022; Crego et al., 2022</w:t>
      </w:r>
      <w:r w:rsidR="002809B9" w:rsidRPr="001B39BA">
        <w:rPr>
          <w:rFonts w:ascii="Arial" w:hAnsi="Arial" w:cs="Arial"/>
        </w:rPr>
        <w:t>a</w:t>
      </w:r>
      <w:r w:rsidRPr="001B39BA">
        <w:rPr>
          <w:rFonts w:ascii="Arial" w:hAnsi="Arial" w:cs="Arial"/>
        </w:rPr>
        <w:t xml:space="preserve">). </w:t>
      </w:r>
      <w:r w:rsidRPr="001B39BA">
        <w:rPr>
          <w:rFonts w:ascii="Arial" w:hAnsi="Arial" w:cs="Arial"/>
          <w:lang w:val="en-SG"/>
        </w:rPr>
        <w:t xml:space="preserve">SEM-based studies further demonstrate that interpersonal skills exert both direct and indirect effects on professional quality of life, highlighting their role within a broader </w:t>
      </w:r>
      <w:r w:rsidRPr="001B39BA">
        <w:rPr>
          <w:rFonts w:ascii="Arial" w:hAnsi="Arial" w:cs="Arial"/>
          <w:lang w:val="en-SG"/>
        </w:rPr>
        <w:lastRenderedPageBreak/>
        <w:t>structural system (Ranjouri et al., 2025). These findings underscore the need to move beyond regression approaches and adopt integrative analytical frameworks.</w:t>
      </w:r>
    </w:p>
    <w:p w14:paraId="700A2092" w14:textId="77777777" w:rsidR="001B39BA" w:rsidRDefault="001B39BA" w:rsidP="001B39BA">
      <w:pPr>
        <w:pStyle w:val="NoSpacing"/>
        <w:spacing w:line="360" w:lineRule="auto"/>
        <w:jc w:val="both"/>
        <w:rPr>
          <w:rFonts w:ascii="Arial" w:hAnsi="Arial" w:cs="Arial"/>
          <w:lang w:val="en-SG"/>
        </w:rPr>
      </w:pPr>
    </w:p>
    <w:p w14:paraId="35DE1859" w14:textId="668AA5DE"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t xml:space="preserve">Self-Compassion </w:t>
      </w:r>
    </w:p>
    <w:p w14:paraId="2458D9B6" w14:textId="77777777" w:rsidR="002E0C03" w:rsidRPr="001B39BA" w:rsidRDefault="002E0C03" w:rsidP="001B39BA">
      <w:pPr>
        <w:pStyle w:val="NoSpacing"/>
        <w:spacing w:line="360" w:lineRule="auto"/>
        <w:jc w:val="both"/>
        <w:rPr>
          <w:rFonts w:ascii="Arial" w:hAnsi="Arial" w:cs="Arial"/>
          <w:lang w:val="en-SG"/>
        </w:rPr>
      </w:pPr>
    </w:p>
    <w:p w14:paraId="7FA4EA9D"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Self-compassion refers to treating oneself with kindness, recognizing shared human experiences, and maintaining mindful awareness during times of distress (Neff, 2022). It is widely recognized as a critical protective factor in helping professions.</w:t>
      </w:r>
    </w:p>
    <w:p w14:paraId="74C97E85"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Regression studies consistently demonstrate that self-compassion negatively predicts burnout and compassion fatigue while positively predicting well-being and job satisfaction (Crego et al., 2022</w:t>
      </w:r>
      <w:r w:rsidR="002809B9" w:rsidRPr="001B39BA">
        <w:rPr>
          <w:rFonts w:ascii="Arial" w:hAnsi="Arial" w:cs="Arial"/>
          <w:lang w:val="en-SG"/>
        </w:rPr>
        <w:t>b</w:t>
      </w:r>
      <w:r w:rsidRPr="001B39BA">
        <w:rPr>
          <w:rFonts w:ascii="Arial" w:hAnsi="Arial" w:cs="Arial"/>
          <w:lang w:val="en-SG"/>
        </w:rPr>
        <w:t>; Mackintosh &amp; Power, 2018; Özden &amp; Kaya, 2025). Similarly, meta-analytic evidence shows that self-compassion is strongly associated with reduced anxiety, depression, and stress (Ferrari et al., 2019).</w:t>
      </w:r>
    </w:p>
    <w:p w14:paraId="7107AD53"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However, some studies suggest that self-compassion alone may not fully buffer against extreme occupational demands. For example, Beaumont et al. (2016) found that while self-compassion reduces distress, its protective effects are moderated by workload and organizational support. This indicates that self-compassion interacts with contextual factors.</w:t>
      </w:r>
    </w:p>
    <w:p w14:paraId="4E91307A"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rPr>
        <w:t>Existing evidence provides stronger support for its role as a central mechanism. Neff and Germer (2018) found that self-compassion plays a significant role in the relationship between emotional demands and burnout. Similarly, Saidi et al. (2025) and Nas (2025</w:t>
      </w:r>
      <w:r w:rsidR="00D555A6" w:rsidRPr="001B39BA">
        <w:rPr>
          <w:rFonts w:ascii="Arial" w:hAnsi="Arial" w:cs="Arial"/>
        </w:rPr>
        <w:t>a</w:t>
      </w:r>
      <w:r w:rsidRPr="001B39BA">
        <w:rPr>
          <w:rFonts w:ascii="Arial" w:hAnsi="Arial" w:cs="Arial"/>
        </w:rPr>
        <w:t xml:space="preserve">) reported that self-compassion helps explain the relationship between empathy and compassion fatigue by reducing the negative effects of empathic engagement. </w:t>
      </w:r>
      <w:r w:rsidRPr="001B39BA">
        <w:rPr>
          <w:rFonts w:ascii="Arial" w:hAnsi="Arial" w:cs="Arial"/>
          <w:lang w:val="en-SG"/>
        </w:rPr>
        <w:t xml:space="preserve">SEM-based research further confirms that self-compassion functions as a key mediating variable within structural models of </w:t>
      </w:r>
      <w:r w:rsidR="001723E6" w:rsidRPr="001B39BA">
        <w:rPr>
          <w:rFonts w:ascii="Arial" w:hAnsi="Arial" w:cs="Arial"/>
        </w:rPr>
        <w:t xml:space="preserve">guidance </w:t>
      </w:r>
      <w:r w:rsidRPr="001B39BA">
        <w:rPr>
          <w:rFonts w:ascii="Arial" w:hAnsi="Arial" w:cs="Arial"/>
          <w:lang w:val="en-SG"/>
        </w:rPr>
        <w:t>counselor well-being (Ranjouri et al., 2025). These findings suggest that self-compassion is not merely a predictor but a critical mechanism through which other work-specific characteristics influence outcomes.</w:t>
      </w:r>
    </w:p>
    <w:p w14:paraId="32FDA4BE" w14:textId="77777777" w:rsidR="00027C0B" w:rsidRPr="001B39BA" w:rsidRDefault="00027C0B" w:rsidP="001B39BA">
      <w:pPr>
        <w:pStyle w:val="NoSpacing"/>
        <w:spacing w:line="360" w:lineRule="auto"/>
        <w:jc w:val="both"/>
        <w:rPr>
          <w:rFonts w:ascii="Arial" w:hAnsi="Arial" w:cs="Arial"/>
        </w:rPr>
      </w:pPr>
    </w:p>
    <w:p w14:paraId="47A5E07E"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t xml:space="preserve">Compassion Satisfaction </w:t>
      </w:r>
    </w:p>
    <w:p w14:paraId="41A228F3" w14:textId="77777777" w:rsidR="002E0C03" w:rsidRPr="001B39BA" w:rsidRDefault="002E0C03" w:rsidP="001B39BA">
      <w:pPr>
        <w:pStyle w:val="NoSpacing"/>
        <w:spacing w:line="360" w:lineRule="auto"/>
        <w:jc w:val="both"/>
        <w:rPr>
          <w:rFonts w:ascii="Arial" w:hAnsi="Arial" w:cs="Arial"/>
          <w:lang w:val="en-SG"/>
        </w:rPr>
      </w:pPr>
    </w:p>
    <w:p w14:paraId="0509D0B1"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Compassion satisfaction is widely conceptualized as the positive dimension of professional quality of life, reflecting the sense of fulfillment, purpose, and accomplishment derived from helping others (Stamm, 2010). However, recent scholarship increasingly challenges the assumption that compassion satisfaction is an automatic outcome of </w:t>
      </w:r>
      <w:r w:rsidRPr="001B39BA">
        <w:rPr>
          <w:rFonts w:ascii="Arial" w:hAnsi="Arial" w:cs="Arial"/>
          <w:lang w:val="en-SG"/>
        </w:rPr>
        <w:lastRenderedPageBreak/>
        <w:t xml:space="preserve">helping work. Instead, it is now argued that compassion satisfaction is contingent upon the interaction of internal </w:t>
      </w:r>
      <w:r w:rsidR="002E0C03" w:rsidRPr="001B39BA">
        <w:rPr>
          <w:rFonts w:ascii="Arial" w:hAnsi="Arial" w:cs="Arial"/>
          <w:lang w:val="en-SG"/>
        </w:rPr>
        <w:t xml:space="preserve">guidance </w:t>
      </w:r>
      <w:r w:rsidRPr="001B39BA">
        <w:rPr>
          <w:rFonts w:ascii="Arial" w:hAnsi="Arial" w:cs="Arial"/>
          <w:lang w:val="en-SG"/>
        </w:rPr>
        <w:t>counselor characteristics and external work conditions.</w:t>
      </w:r>
    </w:p>
    <w:p w14:paraId="6497C4AE"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Recent regression-based studies consistently demonstrate that internal resources are a significant predictor of compassion satisfaction. For instance, Özden and Kaya (2025) and Crego et al. (2022</w:t>
      </w:r>
      <w:r w:rsidR="002809B9" w:rsidRPr="001B39BA">
        <w:rPr>
          <w:rFonts w:ascii="Arial" w:hAnsi="Arial" w:cs="Arial"/>
          <w:lang w:val="en-SG"/>
        </w:rPr>
        <w:t>b</w:t>
      </w:r>
      <w:r w:rsidRPr="001B39BA">
        <w:rPr>
          <w:rFonts w:ascii="Arial" w:hAnsi="Arial" w:cs="Arial"/>
          <w:lang w:val="en-SG"/>
        </w:rPr>
        <w:t xml:space="preserve">) found that self-compassion and emotional regulation significantly increase compassion satisfaction among </w:t>
      </w:r>
      <w:r w:rsidR="002E0C03" w:rsidRPr="001B39BA">
        <w:rPr>
          <w:rFonts w:ascii="Arial" w:hAnsi="Arial" w:cs="Arial"/>
          <w:lang w:val="en-SG"/>
        </w:rPr>
        <w:t xml:space="preserve">guidance </w:t>
      </w:r>
      <w:r w:rsidRPr="001B39BA">
        <w:rPr>
          <w:rFonts w:ascii="Arial" w:hAnsi="Arial" w:cs="Arial"/>
          <w:lang w:val="en-SG"/>
        </w:rPr>
        <w:t xml:space="preserve">counselors. Similarly, Saleem and Hawamdeh (2022) reported that counseling self-efficacy positively predicts professional fulfillment, suggesting that </w:t>
      </w:r>
      <w:r w:rsidR="002E0C03" w:rsidRPr="001B39BA">
        <w:rPr>
          <w:rFonts w:ascii="Arial" w:hAnsi="Arial" w:cs="Arial"/>
          <w:lang w:val="en-SG"/>
        </w:rPr>
        <w:t xml:space="preserve">guidance </w:t>
      </w:r>
      <w:r w:rsidRPr="001B39BA">
        <w:rPr>
          <w:rFonts w:ascii="Arial" w:hAnsi="Arial" w:cs="Arial"/>
          <w:lang w:val="en-SG"/>
        </w:rPr>
        <w:t>counselors who perceive themselves as competent are more likely to experience satisfaction. In addition, Klimenko et al. (2024) found that psychological well-being significantly predicts compassion satisfaction, reinforcing the role of internal resilience mechanisms.</w:t>
      </w:r>
    </w:p>
    <w:p w14:paraId="2D6131C3"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However, contrasting findings indicate that compassion satisfaction is not consistently high across helping professionals. Xie et al. (2021) reported significant variability in compassion satisfaction across contexts, suggesting that exposure to helping work does not uniformly lead to fulfillment. Similarly, Jalan (2023) found that high workload and emotional demands can weaken the positive effects of helping experiences, indicating that structural stressors may suppress compassion satisfaction. More recent findings by Bonganciso et al. (2022) further show that empathy, while generally positive, may not always translate into satisfaction when emotional demands exceed coping capacity.</w:t>
      </w:r>
    </w:p>
    <w:p w14:paraId="04BEC48F"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rPr>
        <w:t xml:space="preserve">Existing research provides stronger explanatory support for this relationship. Quaglia et al. (2021) found that self-compassion plays a significant role in the relationship between empathy and compassion satisfaction, suggesting that empathic engagement may lead to positive outcomes when supported by internal coping mechanisms. Similarly, recent findings indicate that emotional regulation serves as an important factor in the relationship between work stress and compassion satisfaction (Klimenko et al., 2024). </w:t>
      </w:r>
      <w:r w:rsidRPr="001B39BA">
        <w:rPr>
          <w:rFonts w:ascii="Arial" w:hAnsi="Arial" w:cs="Arial"/>
          <w:lang w:val="en-SG"/>
        </w:rPr>
        <w:t>Despite these advances, most studies remain limited to regression and simple mediation models. SEM-based studies (e.g., Ranjouri et al., 2025) demonstrate that multiple direct and indirect pathways, including interactions among empathy, interpersonal skills, and self-compassion, influence compassion satisfaction. However, such integrative models remain scarce, particularly in guidance counseling contexts.</w:t>
      </w:r>
    </w:p>
    <w:p w14:paraId="258756B3"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Thus, a critical gap remains: the lack of a comprehensive structural model explaining how multiple </w:t>
      </w:r>
      <w:r w:rsidR="001723E6" w:rsidRPr="001B39BA">
        <w:rPr>
          <w:rFonts w:ascii="Arial" w:hAnsi="Arial" w:cs="Arial"/>
        </w:rPr>
        <w:t xml:space="preserve">guidance </w:t>
      </w:r>
      <w:r w:rsidRPr="001B39BA">
        <w:rPr>
          <w:rFonts w:ascii="Arial" w:hAnsi="Arial" w:cs="Arial"/>
          <w:lang w:val="en-SG"/>
        </w:rPr>
        <w:t>counselor characteristics simultaneously influence compassion satisfaction. This study addresses this gap by employing SEM to capture both direct and mediated relationships.</w:t>
      </w:r>
    </w:p>
    <w:p w14:paraId="67282098"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lastRenderedPageBreak/>
        <w:t xml:space="preserve">Compassion Fatigue </w:t>
      </w:r>
    </w:p>
    <w:p w14:paraId="0977622E" w14:textId="77777777" w:rsidR="002E0C03" w:rsidRPr="001B39BA" w:rsidRDefault="002E0C03" w:rsidP="001B39BA">
      <w:pPr>
        <w:pStyle w:val="NoSpacing"/>
        <w:spacing w:line="360" w:lineRule="auto"/>
        <w:jc w:val="both"/>
        <w:rPr>
          <w:rFonts w:ascii="Arial" w:hAnsi="Arial" w:cs="Arial"/>
          <w:lang w:val="en-SG"/>
        </w:rPr>
      </w:pPr>
    </w:p>
    <w:p w14:paraId="43FE34F6"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Compassion fatigue is commonly defined as the emotional and psychological exhaustion resulting from prolonged exposure to clients’ distress (Figley, 1995; Stamm, 2010). While traditionally viewed as a direct consequence of caregiving, recent literature suggests that compassion fatigue is not inevitable but is shaped by the interaction of individual and contextual factors.</w:t>
      </w:r>
    </w:p>
    <w:p w14:paraId="0A428854"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Regression studies consistently identify empathy as a significant predictor of compassion fatigue. Kapoor (2022) found that high empathic engagement significantly predicts emotional exhaustion, particularly among </w:t>
      </w:r>
      <w:r w:rsidR="001723E6" w:rsidRPr="001B39BA">
        <w:rPr>
          <w:rFonts w:ascii="Arial" w:hAnsi="Arial" w:cs="Arial"/>
        </w:rPr>
        <w:t xml:space="preserve">guidance </w:t>
      </w:r>
      <w:r w:rsidRPr="001B39BA">
        <w:rPr>
          <w:rFonts w:ascii="Arial" w:hAnsi="Arial" w:cs="Arial"/>
          <w:lang w:val="en-SG"/>
        </w:rPr>
        <w:t>counselors working in high-trauma contexts. Similarly, Singh et al. (2020</w:t>
      </w:r>
      <w:r w:rsidR="002809B9" w:rsidRPr="001B39BA">
        <w:rPr>
          <w:rFonts w:ascii="Arial" w:hAnsi="Arial" w:cs="Arial"/>
          <w:lang w:val="en-SG"/>
        </w:rPr>
        <w:t>a</w:t>
      </w:r>
      <w:r w:rsidRPr="001B39BA">
        <w:rPr>
          <w:rFonts w:ascii="Arial" w:hAnsi="Arial" w:cs="Arial"/>
          <w:lang w:val="en-SG"/>
        </w:rPr>
        <w:t xml:space="preserve">) reported that heavy caseloads and repeated trauma exposure significantly increase compassion fatigue. More recent findings by Fitriana and Nurochim (2024) further confirm that continuous exposure to clients’ distress negatively affects </w:t>
      </w:r>
      <w:r w:rsidR="001723E6" w:rsidRPr="001B39BA">
        <w:rPr>
          <w:rFonts w:ascii="Arial" w:hAnsi="Arial" w:cs="Arial"/>
        </w:rPr>
        <w:t xml:space="preserve">guidance </w:t>
      </w:r>
      <w:r w:rsidRPr="001B39BA">
        <w:rPr>
          <w:rFonts w:ascii="Arial" w:hAnsi="Arial" w:cs="Arial"/>
          <w:lang w:val="en-SG"/>
        </w:rPr>
        <w:t>counselors’ emotional well-being.</w:t>
      </w:r>
    </w:p>
    <w:p w14:paraId="3574B284"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However, contrasting findings challenge the assumption that empathy is purely detrimental. Quaglia et al. (2021) found that empathy, when combined with self-compassion, is associated with reduced emotional distress and improved well-being. Similarly, Li (2025) reported that mindfulness significantly reduces the negative effects of emotional exposure, suggesting that internal regulation mechanisms can transform empathic engagement into a protective factor rather than a risk.</w:t>
      </w:r>
    </w:p>
    <w:p w14:paraId="58F14E0A"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rPr>
        <w:t xml:space="preserve">Current evidence offers critical insight into these conflicting findings. Neff and Germer (2018) identified self-compassion as an important protective factor in the relationship between empathy and burnout, helping reduce the negative effects of emotional demands. Similarly, recent studies suggest that emotional regulation and mindfulness contribute significantly to the relationship between trauma exposure and compassion fatigue (Li, 2025). </w:t>
      </w:r>
      <w:r w:rsidRPr="001B39BA">
        <w:rPr>
          <w:rFonts w:ascii="Arial" w:hAnsi="Arial" w:cs="Arial"/>
          <w:lang w:val="en-SG"/>
        </w:rPr>
        <w:t>Despite these findings, most research relies on regression-based mediation models, which fail to capture complex interactions among multiple predictors. SEM studies (Ranjouri et al., 2025) show that compassion fatigue is influenced by interconnected pathways involving empathy, interpersonal skills, and self-compassion, highlighting the need for integrative modeling. Thus, the literature reveals a significant gap: the absence of a comprehensive model explaining how multiple variables interact simultaneously to produce compassion fatigue. This study addresses this limitation through SEM.</w:t>
      </w:r>
    </w:p>
    <w:p w14:paraId="3C4BB88A" w14:textId="77777777" w:rsidR="00027C0B" w:rsidRPr="001B39BA" w:rsidRDefault="00027C0B" w:rsidP="001B39BA">
      <w:pPr>
        <w:pStyle w:val="NoSpacing"/>
        <w:spacing w:line="360" w:lineRule="auto"/>
        <w:jc w:val="both"/>
        <w:rPr>
          <w:rFonts w:ascii="Arial" w:hAnsi="Arial" w:cs="Arial"/>
          <w:lang w:val="en-SG"/>
        </w:rPr>
      </w:pPr>
    </w:p>
    <w:p w14:paraId="3FF356FB"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lastRenderedPageBreak/>
        <w:t xml:space="preserve">Burnout </w:t>
      </w:r>
    </w:p>
    <w:p w14:paraId="755CB4A5" w14:textId="77777777" w:rsidR="002E0C03" w:rsidRPr="001B39BA" w:rsidRDefault="002E0C03" w:rsidP="001B39BA">
      <w:pPr>
        <w:pStyle w:val="NoSpacing"/>
        <w:spacing w:line="360" w:lineRule="auto"/>
        <w:jc w:val="both"/>
        <w:rPr>
          <w:rFonts w:ascii="Arial" w:hAnsi="Arial" w:cs="Arial"/>
          <w:lang w:val="en-SG"/>
        </w:rPr>
      </w:pPr>
    </w:p>
    <w:p w14:paraId="008B1981"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Burnout is a multidimensional occupational syndrome characterized by emotional exhaustion, depersonalization, and reduced personal accomplishment (Maslach et al., 2001). While traditionally attributed to organizational stressors, recent research emphasizes the role of individual characteristics in shaping burnout experiences.</w:t>
      </w:r>
    </w:p>
    <w:p w14:paraId="735E0B34"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t>Regression studies consistently show that workload, role ambiguity, and institutional demands significantly predict burnout (Kim &amp; Lambie, 2018; Liang &amp; Yin, 2025</w:t>
      </w:r>
      <w:r w:rsidR="00D555A6" w:rsidRPr="001B39BA">
        <w:rPr>
          <w:rFonts w:ascii="Arial" w:hAnsi="Arial" w:cs="Arial"/>
          <w:lang w:val="en-SG"/>
        </w:rPr>
        <w:t>b</w:t>
      </w:r>
      <w:r w:rsidRPr="001B39BA">
        <w:rPr>
          <w:rFonts w:ascii="Arial" w:hAnsi="Arial" w:cs="Arial"/>
          <w:lang w:val="en-SG"/>
        </w:rPr>
        <w:t>). However, more recent studies highlight the protective role of internal factors. For example, Crego et al. (2022</w:t>
      </w:r>
      <w:r w:rsidR="002809B9" w:rsidRPr="001B39BA">
        <w:rPr>
          <w:rFonts w:ascii="Arial" w:hAnsi="Arial" w:cs="Arial"/>
          <w:lang w:val="en-SG"/>
        </w:rPr>
        <w:t>c</w:t>
      </w:r>
      <w:r w:rsidRPr="001B39BA">
        <w:rPr>
          <w:rFonts w:ascii="Arial" w:hAnsi="Arial" w:cs="Arial"/>
          <w:lang w:val="en-SG"/>
        </w:rPr>
        <w:t>) found that self-compassion significantly reduces burnout, while Mackintosh and Power (2018) demonstrated that psychological resilience mitigates stress-related exhaustion.</w:t>
      </w:r>
    </w:p>
    <w:p w14:paraId="79E0C392"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Contrasting findings, however, suggest that relational competencies may also contribute to burnout. </w:t>
      </w:r>
      <w:r w:rsidR="00C64335" w:rsidRPr="001B39BA">
        <w:rPr>
          <w:rFonts w:ascii="Arial" w:hAnsi="Arial" w:cs="Arial"/>
          <w:lang w:val="en-SG"/>
        </w:rPr>
        <w:t>S</w:t>
      </w:r>
      <w:r w:rsidRPr="001B39BA">
        <w:rPr>
          <w:rFonts w:ascii="Arial" w:hAnsi="Arial" w:cs="Arial"/>
          <w:lang w:val="en-SG"/>
        </w:rPr>
        <w:t>trong interpersonal engagement increases emotional labor, thereby elevating the risk of burnout. Similarly, De Jong et al. (2024) found that therapists with high relational involvement experience greater emotional strain in complex cases. In contrast, Norcross and Lambert (2019) reported that strong therapeutic relationships enhance resilience and reduce burnout, indicating that interpersonal engagement may function as both a risk and protective factor.</w:t>
      </w:r>
    </w:p>
    <w:p w14:paraId="3EBBC32E"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rPr>
        <w:t>Neff and Germer (2018) found that self-compassion plays a significant role in the relationship between emotional demands and burnout, suggesting that burnout may be influenced by internal processing mechanisms rather than direct exposure alone.</w:t>
      </w:r>
      <w:r w:rsidRPr="001B39BA">
        <w:rPr>
          <w:rFonts w:ascii="Arial" w:hAnsi="Arial" w:cs="Arial"/>
          <w:lang w:val="en-SG"/>
        </w:rPr>
        <w:t xml:space="preserve"> SEM-based research demonstrates that burnout is influenced by multiple interacting variables, including empathy, interpersonal skills, and self-compassion (Ranjouri et al., 2025). However, comprehensive structural models remain limited.</w:t>
      </w:r>
    </w:p>
    <w:p w14:paraId="443BA164"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t>Thus, this study addresses a critical gap by examining burnout within a structural framework that captures both direct and indirect relationships.</w:t>
      </w:r>
    </w:p>
    <w:p w14:paraId="3EAB3F76" w14:textId="77777777" w:rsidR="00027C0B" w:rsidRPr="001B39BA" w:rsidRDefault="00027C0B" w:rsidP="001B39BA">
      <w:pPr>
        <w:pStyle w:val="NoSpacing"/>
        <w:spacing w:line="360" w:lineRule="auto"/>
        <w:jc w:val="both"/>
        <w:rPr>
          <w:rFonts w:ascii="Arial" w:hAnsi="Arial" w:cs="Arial"/>
          <w:lang w:val="en-SG"/>
        </w:rPr>
      </w:pPr>
    </w:p>
    <w:p w14:paraId="4AAE6C4E"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t>Secondary Traumatic Stress</w:t>
      </w:r>
    </w:p>
    <w:p w14:paraId="207DCF65" w14:textId="77777777" w:rsidR="002E0C03" w:rsidRPr="001B39BA" w:rsidRDefault="002E0C03" w:rsidP="001B39BA">
      <w:pPr>
        <w:pStyle w:val="NoSpacing"/>
        <w:spacing w:line="360" w:lineRule="auto"/>
        <w:jc w:val="both"/>
        <w:rPr>
          <w:rFonts w:ascii="Arial" w:hAnsi="Arial" w:cs="Arial"/>
          <w:lang w:val="en-SG"/>
        </w:rPr>
      </w:pPr>
    </w:p>
    <w:p w14:paraId="158A0E1E"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Secondary traumatic stress (STS) refers to the psychological distress resulting from indirect exposure to others’ traumatic experiences (Figley, 1995). Recent literature emphasizes that STS is not solely determined by exposure but is shaped by individual and contextual factors. Regression studies indicate that trauma exposure significantly </w:t>
      </w:r>
      <w:r w:rsidRPr="001B39BA">
        <w:rPr>
          <w:rFonts w:ascii="Arial" w:hAnsi="Arial" w:cs="Arial"/>
          <w:lang w:val="en-SG"/>
        </w:rPr>
        <w:lastRenderedPageBreak/>
        <w:t xml:space="preserve">predicts STS (Park et al., 2025; Durak et al., 2025). Similarly, Artiola (2025) found that Filipino </w:t>
      </w:r>
      <w:r w:rsidR="001723E6" w:rsidRPr="001B39BA">
        <w:rPr>
          <w:rFonts w:ascii="Arial" w:hAnsi="Arial" w:cs="Arial"/>
        </w:rPr>
        <w:t xml:space="preserve">guidance </w:t>
      </w:r>
      <w:r w:rsidRPr="001B39BA">
        <w:rPr>
          <w:rFonts w:ascii="Arial" w:hAnsi="Arial" w:cs="Arial"/>
          <w:lang w:val="en-SG"/>
        </w:rPr>
        <w:t>counselors experience elevated STS due to high student-to-counselor ratios and demanding work conditions.</w:t>
      </w:r>
    </w:p>
    <w:p w14:paraId="6C4C3FC1"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However, contrasting findings suggest that exposure alone does not determine STS. Hong and Wang (2024) found that emotional intelligence significantly reduces vulnerability to STS, while Whittenbury et al. (2025) reported that supportive supervision and professional training mitigate its effects. These findings indicate that STS is influenced by protective factors rather than exposure alone.</w:t>
      </w:r>
    </w:p>
    <w:p w14:paraId="4436CB6B"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rPr>
        <w:t xml:space="preserve">Self-compassion and coping strategies have been shown to play important roles in the relationship between trauma exposure and STS, helping reduce its psychological impact (Whittenbury et al., 2025). </w:t>
      </w:r>
      <w:r w:rsidRPr="001B39BA">
        <w:rPr>
          <w:rFonts w:ascii="Arial" w:hAnsi="Arial" w:cs="Arial"/>
          <w:lang w:val="en-SG"/>
        </w:rPr>
        <w:t>SEM-based studies suggest that STS is part of a broader system of professional distress, interacting with burnout and compassion fatigue through shared predictors (Ranjouri et al., 2025). However, such integrative models remain underdeveloped. Thus, the literature highlights a gap in understanding how STS interacts with other dimensions of professional quality of life. This study addresses this gap by incorporating STS into a comprehensive SEM model.</w:t>
      </w:r>
    </w:p>
    <w:p w14:paraId="0526AEE7" w14:textId="77777777" w:rsidR="00027C0B" w:rsidRPr="001B39BA" w:rsidRDefault="00027C0B" w:rsidP="001B39BA">
      <w:pPr>
        <w:pStyle w:val="NoSpacing"/>
        <w:spacing w:line="360" w:lineRule="auto"/>
        <w:jc w:val="both"/>
        <w:rPr>
          <w:rFonts w:ascii="Arial" w:hAnsi="Arial" w:cs="Arial"/>
          <w:lang w:val="en-SG"/>
        </w:rPr>
      </w:pPr>
    </w:p>
    <w:p w14:paraId="38107E07"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t>Relationship of Work-Specific Characteristics to Professional Quality of Life</w:t>
      </w:r>
    </w:p>
    <w:p w14:paraId="6BBFAF87" w14:textId="77777777" w:rsidR="002E0C03" w:rsidRPr="001B39BA" w:rsidRDefault="002E0C03" w:rsidP="001B39BA">
      <w:pPr>
        <w:pStyle w:val="NoSpacing"/>
        <w:spacing w:line="360" w:lineRule="auto"/>
        <w:jc w:val="both"/>
        <w:rPr>
          <w:rFonts w:ascii="Arial" w:hAnsi="Arial" w:cs="Arial"/>
          <w:lang w:val="en-SG"/>
        </w:rPr>
      </w:pPr>
    </w:p>
    <w:p w14:paraId="33BDB7D8"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The relationship between work-specific characteristics and professional quality of life has been widely explored in the helping professions; however, the existing literature remains conceptually fragmented due to its predominant reliance on linear, isolated analyses. Professional quality of life, particularly compassion satisfaction and compassion fatigue, is increasingly understood not as the outcome of singular predictors but as the result of dynamic interactions among relational competencies and intrapersonal psychological resources.</w:t>
      </w:r>
    </w:p>
    <w:p w14:paraId="10429F3B"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Regression-based studies consistently demonstrate that work-specific characteristics, such as empathic understanding, interpersonal skills, and self-compassion, significantly influence professional outcomes. For instance, Yildirim (2021) found that counseling self-efficacy positively predicts compassion satisfaction while simultaneously reducing compassion fatigue. Similarly, Levkovich and Ricon (2020) reported that optimism and coping resources negatively predict compassion fatigue, suggesting that internal psychological resources function as protective factors. These findings support the argument that </w:t>
      </w:r>
      <w:r w:rsidR="001723E6" w:rsidRPr="001B39BA">
        <w:rPr>
          <w:rFonts w:ascii="Arial" w:hAnsi="Arial" w:cs="Arial"/>
        </w:rPr>
        <w:t xml:space="preserve">guidance </w:t>
      </w:r>
      <w:r w:rsidRPr="001B39BA">
        <w:rPr>
          <w:rFonts w:ascii="Arial" w:hAnsi="Arial" w:cs="Arial"/>
          <w:lang w:val="en-SG"/>
        </w:rPr>
        <w:t xml:space="preserve">counselors’ internal competencies play a </w:t>
      </w:r>
      <w:r w:rsidRPr="001B39BA">
        <w:rPr>
          <w:rFonts w:ascii="Arial" w:hAnsi="Arial" w:cs="Arial"/>
          <w:lang w:val="en-SG"/>
        </w:rPr>
        <w:lastRenderedPageBreak/>
        <w:t>crucial role in sustaining professional well-being.</w:t>
      </w:r>
    </w:p>
    <w:p w14:paraId="66E35207"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However, contrasting findings challenge the assumption that these characteristics are uniformly beneficial. Singh et al. (2020</w:t>
      </w:r>
      <w:r w:rsidR="002809B9" w:rsidRPr="001B39BA">
        <w:rPr>
          <w:rFonts w:ascii="Arial" w:hAnsi="Arial" w:cs="Arial"/>
          <w:lang w:val="en-SG"/>
        </w:rPr>
        <w:t>b</w:t>
      </w:r>
      <w:r w:rsidRPr="001B39BA">
        <w:rPr>
          <w:rFonts w:ascii="Arial" w:hAnsi="Arial" w:cs="Arial"/>
          <w:lang w:val="en-SG"/>
        </w:rPr>
        <w:t xml:space="preserve">) found that high emotional demands and repeated trauma exposure significantly increase compassion fatigue even among professionals with strong relational competencies. Similarly, Rahayu et al. (2024) reported that school </w:t>
      </w:r>
      <w:r w:rsidR="001723E6" w:rsidRPr="001B39BA">
        <w:rPr>
          <w:rFonts w:ascii="Arial" w:hAnsi="Arial" w:cs="Arial"/>
        </w:rPr>
        <w:t xml:space="preserve">guidance </w:t>
      </w:r>
      <w:r w:rsidRPr="001B39BA">
        <w:rPr>
          <w:rFonts w:ascii="Arial" w:hAnsi="Arial" w:cs="Arial"/>
          <w:lang w:val="en-SG"/>
        </w:rPr>
        <w:t>counselors experience moderate to high levels of compassion fatigue despite demonstrating high interpersonal skills. Work-specific characteristics may simultaneously function as protective and risk factors, depending on contextual demands and regulatory capacity.</w:t>
      </w:r>
    </w:p>
    <w:p w14:paraId="39CECE34"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Further complexity is revealed in mediation studies. Papadimitriou et al. (2023) found that self-compassion mediates the relationship between empathy and compassion fatigue, indicating that empathic engagement leads to different outcomes depending on how</w:t>
      </w:r>
      <w:r w:rsidR="001723E6" w:rsidRPr="001B39BA">
        <w:rPr>
          <w:rFonts w:ascii="Arial" w:hAnsi="Arial" w:cs="Arial"/>
          <w:lang w:val="en-SG"/>
        </w:rPr>
        <w:t xml:space="preserve"> </w:t>
      </w:r>
      <w:r w:rsidR="001723E6" w:rsidRPr="001B39BA">
        <w:rPr>
          <w:rFonts w:ascii="Arial" w:hAnsi="Arial" w:cs="Arial"/>
        </w:rPr>
        <w:t>guidance</w:t>
      </w:r>
      <w:r w:rsidRPr="001B39BA">
        <w:rPr>
          <w:rFonts w:ascii="Arial" w:hAnsi="Arial" w:cs="Arial"/>
          <w:lang w:val="en-SG"/>
        </w:rPr>
        <w:t xml:space="preserve"> counselors regulate emotional experiences. Similarly, emerging evidence suggests that emotional regulation and coping strategies mediate the relationship between occupational stress and professional quality of life. These findings challenge simplistic cause-and-effect interpretations and highlight the importance of indirect pathways.</w:t>
      </w:r>
    </w:p>
    <w:p w14:paraId="4DC97DCD"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Despite these advances, the majority of studies remain limited to regression or simple mediation models, which fail to capture the simultaneous and multidirectional interactions among variables. Structural Equation Modeling (SEM) provides a more comprehensive analytical framework by enabling the examination of multiple predictors and outcomes within a single structural system (Hair et al., 2021). SEM allows for the estimation of both direct and indirect effects, thereby offering a more accurate representation of the complex processes underlying professional quality of life.</w:t>
      </w:r>
    </w:p>
    <w:p w14:paraId="45EC044E"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t>Nevertheless, SEM remains underutilized in counseling research, particularly in studies focusing on guidance counselors. This limitation results in a fragmented understanding of how work-specific characteristics interact to influence professional outcomes. Thus, a critical gap remains:</w:t>
      </w:r>
    </w:p>
    <w:p w14:paraId="0A6DEE38" w14:textId="77777777" w:rsidR="00027C0B" w:rsidRPr="001B39BA" w:rsidRDefault="00027C0B" w:rsidP="001B39BA">
      <w:pPr>
        <w:pStyle w:val="NoSpacing"/>
        <w:spacing w:line="360" w:lineRule="auto"/>
        <w:jc w:val="both"/>
        <w:rPr>
          <w:rFonts w:ascii="Arial" w:hAnsi="Arial" w:cs="Arial"/>
          <w:lang w:val="en-SG"/>
        </w:rPr>
      </w:pPr>
    </w:p>
    <w:p w14:paraId="36589191"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t>Empathic Understanding in Relation to Professional Quality of Life</w:t>
      </w:r>
    </w:p>
    <w:p w14:paraId="7ED53C7E" w14:textId="77777777" w:rsidR="002E0C03" w:rsidRPr="001B39BA" w:rsidRDefault="002E0C03" w:rsidP="001B39BA">
      <w:pPr>
        <w:pStyle w:val="NoSpacing"/>
        <w:spacing w:line="360" w:lineRule="auto"/>
        <w:jc w:val="both"/>
        <w:rPr>
          <w:rFonts w:ascii="Arial" w:hAnsi="Arial" w:cs="Arial"/>
          <w:lang w:val="en-SG"/>
        </w:rPr>
      </w:pPr>
    </w:p>
    <w:p w14:paraId="557E9F4A"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Empathic understanding is widely regarded as a fundamental counseling competence that enhances therapeutic relationships and strengthens </w:t>
      </w:r>
      <w:r w:rsidR="002E0C03" w:rsidRPr="001B39BA">
        <w:rPr>
          <w:rFonts w:ascii="Arial" w:hAnsi="Arial" w:cs="Arial"/>
          <w:lang w:val="en-SG"/>
        </w:rPr>
        <w:t xml:space="preserve">guidance </w:t>
      </w:r>
      <w:r w:rsidRPr="001B39BA">
        <w:rPr>
          <w:rFonts w:ascii="Arial" w:hAnsi="Arial" w:cs="Arial"/>
          <w:lang w:val="en-SG"/>
        </w:rPr>
        <w:t xml:space="preserve">counselors’ sense of professional meaning. Empirical studies consistently demonstrate </w:t>
      </w:r>
      <w:r w:rsidRPr="001B39BA">
        <w:rPr>
          <w:rFonts w:ascii="Arial" w:hAnsi="Arial" w:cs="Arial"/>
          <w:lang w:val="en-SG"/>
        </w:rPr>
        <w:lastRenderedPageBreak/>
        <w:t xml:space="preserve">that empathy contributes positively to compassion satisfaction by enabling </w:t>
      </w:r>
      <w:r w:rsidR="002E0C03" w:rsidRPr="001B39BA">
        <w:rPr>
          <w:rFonts w:ascii="Arial" w:hAnsi="Arial" w:cs="Arial"/>
          <w:lang w:val="en-SG"/>
        </w:rPr>
        <w:t xml:space="preserve">guidance </w:t>
      </w:r>
      <w:r w:rsidRPr="001B39BA">
        <w:rPr>
          <w:rFonts w:ascii="Arial" w:hAnsi="Arial" w:cs="Arial"/>
          <w:lang w:val="en-SG"/>
        </w:rPr>
        <w:t>counselors to connect with clients and observe meaningful outcomes. However, this relationship is not unidirectional. Emerging research indicates that empathy functions as a dual-effect construct. While cognitive empathy, characterized by understanding clients’ experiences, has been associated with reduced emotional exhaustion, affective empathy, characterized by emotional overidentification, has been linked to increased compassion fatigue (Cho &amp; Lee, 2023; Shen et al., 2024). These findings suggest that the emotional dimension of empathy may become psychologically taxing when not effectively regulated.</w:t>
      </w:r>
    </w:p>
    <w:p w14:paraId="75B1BAE9"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Further evidence supports this contradiction. Some studies report that empathy enhances professional fulfillment, while others demonstrate that excessive empathic engagement leads to emotional depletion. This inconsistency indicates that empathy alone does not determine outcomes; rather, it interacts with other psychological mechanisms. Mediation studies provide greater clarity. Self-compassion has been found to buffer the negative effects of empathy by enhancing emotional regulation and reducing empathic distress (Papadimitriou et al., 2023). Similarly, organizational factors such as professional support and training influence how empathy is experienced in practice. Despite these insights, most studies rely on regression approaches, limiting the understanding of how empathy interacts with other variables. SEM is therefore necessary to capture the multidimensional and indirect effects of empathic understanding.</w:t>
      </w:r>
    </w:p>
    <w:p w14:paraId="3E5C8577" w14:textId="77777777" w:rsidR="00027C0B" w:rsidRPr="001B39BA" w:rsidRDefault="00027C0B" w:rsidP="001B39BA">
      <w:pPr>
        <w:pStyle w:val="NoSpacing"/>
        <w:spacing w:line="360" w:lineRule="auto"/>
        <w:jc w:val="both"/>
        <w:rPr>
          <w:rFonts w:ascii="Arial" w:hAnsi="Arial" w:cs="Arial"/>
          <w:lang w:val="en-SG"/>
        </w:rPr>
      </w:pPr>
    </w:p>
    <w:p w14:paraId="7E78F3C7"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t xml:space="preserve">Genuineness in Relation to Professional Quality of Life </w:t>
      </w:r>
    </w:p>
    <w:p w14:paraId="012D196D" w14:textId="77777777" w:rsidR="002E0C03" w:rsidRPr="001B39BA" w:rsidRDefault="002E0C03" w:rsidP="001B39BA">
      <w:pPr>
        <w:pStyle w:val="NoSpacing"/>
        <w:spacing w:line="360" w:lineRule="auto"/>
        <w:jc w:val="both"/>
        <w:rPr>
          <w:rFonts w:ascii="Arial" w:hAnsi="Arial" w:cs="Arial"/>
          <w:lang w:val="en-SG"/>
        </w:rPr>
      </w:pPr>
    </w:p>
    <w:p w14:paraId="3A350F17"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Genuineness, often conceptualized as authenticity or congruence, is widely regarded as a core therapeutic condition that enhances professional quality of life by strengthening relational depth and meaning in counseling practice. Contemporary studies indicate that authenticity enables </w:t>
      </w:r>
      <w:r w:rsidR="002E0C03" w:rsidRPr="001B39BA">
        <w:rPr>
          <w:rFonts w:ascii="Arial" w:hAnsi="Arial" w:cs="Arial"/>
          <w:lang w:val="en-SG"/>
        </w:rPr>
        <w:t xml:space="preserve">guidance </w:t>
      </w:r>
      <w:r w:rsidRPr="001B39BA">
        <w:rPr>
          <w:rFonts w:ascii="Arial" w:hAnsi="Arial" w:cs="Arial"/>
          <w:lang w:val="en-SG"/>
        </w:rPr>
        <w:t xml:space="preserve">counselors to establish trust, promote openness, and experience greater professional fulfillment. For instance, Baguley et al. (2022) found that genuine relational engagement significantly enhances clients’ perceptions of care, which in turn reinforces </w:t>
      </w:r>
      <w:r w:rsidR="002E0C03" w:rsidRPr="001B39BA">
        <w:rPr>
          <w:rFonts w:ascii="Arial" w:hAnsi="Arial" w:cs="Arial"/>
          <w:lang w:val="en-SG"/>
        </w:rPr>
        <w:t xml:space="preserve">guidance </w:t>
      </w:r>
      <w:r w:rsidRPr="001B39BA">
        <w:rPr>
          <w:rFonts w:ascii="Arial" w:hAnsi="Arial" w:cs="Arial"/>
          <w:lang w:val="en-SG"/>
        </w:rPr>
        <w:t xml:space="preserve">counselors’ sense of effectiveness and satisfaction. Similarly, Aydın Sünbül and Özcan (2024) reported that authenticity among </w:t>
      </w:r>
      <w:r w:rsidR="001723E6" w:rsidRPr="001B39BA">
        <w:rPr>
          <w:rFonts w:ascii="Arial" w:hAnsi="Arial" w:cs="Arial"/>
        </w:rPr>
        <w:t xml:space="preserve">guidance </w:t>
      </w:r>
      <w:r w:rsidRPr="001B39BA">
        <w:rPr>
          <w:rFonts w:ascii="Arial" w:hAnsi="Arial" w:cs="Arial"/>
          <w:lang w:val="en-SG"/>
        </w:rPr>
        <w:t>counselors is positively associated with psychological well-being and professional fulfillment, suggesting that congruence between internal experiences and external expressions contributes to compassion satisfaction.</w:t>
      </w:r>
    </w:p>
    <w:p w14:paraId="2090AA71"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However, recent literature challenges the assumption that genuineness is </w:t>
      </w:r>
      <w:r w:rsidRPr="001B39BA">
        <w:rPr>
          <w:rFonts w:ascii="Arial" w:hAnsi="Arial" w:cs="Arial"/>
          <w:lang w:val="en-SG"/>
        </w:rPr>
        <w:lastRenderedPageBreak/>
        <w:t>uniformly beneficial. While authenticity enhances relational connection, it also requires sustained emotional presence, which may increase vulnerability to emotional exhaustion. Fischer Perlman and Cáceres-Videla (2024) argue that authentic therapeutic engagement intensifies emotional exposure, potentially increasing compassion fatigue when not supported by adequate self-regulation. Similarly, Li (2025) found that excessive emotional immersion in clients’ experiences significantly predicts emotional exhaustion, indicating that genuineness may amplify emotional labor.</w:t>
      </w:r>
    </w:p>
    <w:p w14:paraId="68E7821F"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Further evidence from regression studies suggests that genuineness positively predicts therapeutic alliance but may also correlate with increased emotional strain in high-demand contexts (Fitriana &amp; Nurochim, 2024). In contrast, other studies indicate that authenticity enhances resilience when combined with self-awareness and coping strategies, suggesting that its effects are conditional rather than absolute</w:t>
      </w:r>
      <w:r w:rsidR="00D40D62" w:rsidRPr="001B39BA">
        <w:rPr>
          <w:rFonts w:ascii="Arial" w:hAnsi="Arial" w:cs="Arial"/>
          <w:lang w:val="en-SG"/>
        </w:rPr>
        <w:t xml:space="preserve">. </w:t>
      </w:r>
      <w:r w:rsidR="00D40D62" w:rsidRPr="001B39BA">
        <w:rPr>
          <w:rFonts w:ascii="Arial" w:hAnsi="Arial" w:cs="Arial"/>
        </w:rPr>
        <w:t xml:space="preserve">Existing research provides deeper insight into these contradictions. Emerging evidence suggests that self-compassion and emotional regulation play important roles in the relationship between genuineness and professional outcomes by buffering the negative effects of emotional exposure (Neff &amp; Germer, 2018). However, current evidence in this area remains limited. </w:t>
      </w:r>
      <w:r w:rsidRPr="001B39BA">
        <w:rPr>
          <w:rFonts w:ascii="Arial" w:hAnsi="Arial" w:cs="Arial"/>
          <w:lang w:val="en-SG"/>
        </w:rPr>
        <w:t>SEM-based research further highlights that genuineness operates within a network of interacting variables rather than as an isolated predictor. It exerts both direct effects on compassion satisfaction and indirect effects on compassion fatigue through mediating variables such as self-compassion (Ranjouri et al., 2025). Despite this, integrative structural models remain scarce, particularly in guidance counseling contexts. Thus, the literature suggests that genuineness functions as a dual-effect construct—enhancing professional fulfillment while potentially increasing emotional vulnerability—necessitating its examination within a comprehensive structural model.</w:t>
      </w:r>
    </w:p>
    <w:p w14:paraId="1477CDA2" w14:textId="77777777" w:rsidR="00027C0B" w:rsidRPr="001B39BA" w:rsidRDefault="00027C0B" w:rsidP="001B39BA">
      <w:pPr>
        <w:pStyle w:val="NoSpacing"/>
        <w:spacing w:line="360" w:lineRule="auto"/>
        <w:jc w:val="both"/>
        <w:rPr>
          <w:rFonts w:ascii="Arial" w:hAnsi="Arial" w:cs="Arial"/>
          <w:lang w:val="en-SG"/>
        </w:rPr>
      </w:pPr>
    </w:p>
    <w:p w14:paraId="531888AE"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t xml:space="preserve">Non-Judgmental Attitude in Relation to Professional Quality of Life </w:t>
      </w:r>
    </w:p>
    <w:p w14:paraId="6F406A54" w14:textId="77777777" w:rsidR="002E0C03" w:rsidRPr="001B39BA" w:rsidRDefault="002E0C03" w:rsidP="001B39BA">
      <w:pPr>
        <w:pStyle w:val="NoSpacing"/>
        <w:spacing w:line="360" w:lineRule="auto"/>
        <w:jc w:val="both"/>
        <w:rPr>
          <w:rFonts w:ascii="Arial" w:hAnsi="Arial" w:cs="Arial"/>
          <w:lang w:val="en-SG"/>
        </w:rPr>
      </w:pPr>
    </w:p>
    <w:p w14:paraId="153C00AB"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A non-judgmental attitude is a foundational counseling disposition that facilitates acceptance, psychological safety, and authentic therapeutic engagement. Empirical evidence consistently demonstrates that non-judgmental attitudes enhance compassion satisfaction by enabling </w:t>
      </w:r>
      <w:r w:rsidR="002E0C03" w:rsidRPr="001B39BA">
        <w:rPr>
          <w:rFonts w:ascii="Arial" w:hAnsi="Arial" w:cs="Arial"/>
          <w:lang w:val="en-SG"/>
        </w:rPr>
        <w:t xml:space="preserve">guidance </w:t>
      </w:r>
      <w:r w:rsidRPr="001B39BA">
        <w:rPr>
          <w:rFonts w:ascii="Arial" w:hAnsi="Arial" w:cs="Arial"/>
          <w:lang w:val="en-SG"/>
        </w:rPr>
        <w:t xml:space="preserve">counselors to foster trust and openness. For example, Quaglia et al. (2021) found that compassion-based approaches rooted in non-judgment significantly improve </w:t>
      </w:r>
      <w:r w:rsidR="002E0C03" w:rsidRPr="001B39BA">
        <w:rPr>
          <w:rFonts w:ascii="Arial" w:hAnsi="Arial" w:cs="Arial"/>
          <w:lang w:val="en-SG"/>
        </w:rPr>
        <w:t xml:space="preserve">guidance </w:t>
      </w:r>
      <w:r w:rsidRPr="001B39BA">
        <w:rPr>
          <w:rFonts w:ascii="Arial" w:hAnsi="Arial" w:cs="Arial"/>
          <w:lang w:val="en-SG"/>
        </w:rPr>
        <w:t xml:space="preserve">counselors' well-being and professional fulfillment. Similarly, Amari (2021) emphasized that acceptance without evaluation deepens </w:t>
      </w:r>
      <w:r w:rsidRPr="001B39BA">
        <w:rPr>
          <w:rFonts w:ascii="Arial" w:hAnsi="Arial" w:cs="Arial"/>
          <w:lang w:val="en-SG"/>
        </w:rPr>
        <w:lastRenderedPageBreak/>
        <w:t>relationships and reinforces the meaningfulness of counseling work.</w:t>
      </w:r>
    </w:p>
    <w:p w14:paraId="39F2662E"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Recent studies further support these findings. Tursi et al. (2021) reported that non-judgmental therapeutic presence significantly predicts stronger therapeutic alliance and client engagement. Likewise, Weinstein et al. (2022) found that non-judgmental listening enhances clients’ autonomy and intrinsic motivation, contributing to more positive counseling outcomes. However, contrasting findings reveal that maintaining a non-judgmental stance may impose substantial emotional and cognitive demands. Branson et al. (2022) found that sustained non-judgmental awareness requires continuous attentional regulation, which may lead to cognitive fatigue over time. Similarly, Mohd et al. (2023) reported that</w:t>
      </w:r>
      <w:r w:rsidR="001723E6" w:rsidRPr="001B39BA">
        <w:rPr>
          <w:rFonts w:ascii="Arial" w:hAnsi="Arial" w:cs="Arial"/>
          <w:lang w:val="en-SG"/>
        </w:rPr>
        <w:t xml:space="preserve"> </w:t>
      </w:r>
      <w:r w:rsidR="001723E6" w:rsidRPr="001B39BA">
        <w:rPr>
          <w:rFonts w:ascii="Arial" w:hAnsi="Arial" w:cs="Arial"/>
        </w:rPr>
        <w:t xml:space="preserve">guidance </w:t>
      </w:r>
      <w:r w:rsidRPr="001B39BA">
        <w:rPr>
          <w:rFonts w:ascii="Arial" w:hAnsi="Arial" w:cs="Arial"/>
          <w:lang w:val="en-SG"/>
        </w:rPr>
        <w:t>counselors who consistently suppress evaluative responses experience higher levels of emotional exhaustion.</w:t>
      </w:r>
    </w:p>
    <w:p w14:paraId="2346C62F"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Further research suggests that internal judgment processes also influence professional quality of life. Ondrejková and Halamová (2022) found that self-judgment significantly predicts compassion fatigue, while Tekin et al. (2025) reported that self-compassion, characterized by non-judgment toward oneself, reduces emotional exhaustion. </w:t>
      </w:r>
      <w:r w:rsidR="00D40D62" w:rsidRPr="001B39BA">
        <w:rPr>
          <w:rFonts w:ascii="Arial" w:hAnsi="Arial" w:cs="Arial"/>
        </w:rPr>
        <w:t xml:space="preserve">Research indicates that mindfulness and self-compassion play important roles in the relationship between non-judgmental attitudes and professional outcomes, suggesting that non-judgment may operate through internal regulatory mechanisms. However, current evidence remains limited by the use of regression-based designs. </w:t>
      </w:r>
      <w:r w:rsidRPr="001B39BA">
        <w:rPr>
          <w:rFonts w:ascii="Arial" w:hAnsi="Arial" w:cs="Arial"/>
          <w:lang w:val="en-SG"/>
        </w:rPr>
        <w:t xml:space="preserve">SEM research suggests that non-judgment interacts with empathy, interpersonal skills, and self-compassion in shaping professional quality of life (Ranjouri et al., 2025). </w:t>
      </w:r>
    </w:p>
    <w:p w14:paraId="6D2DB9E2" w14:textId="77777777" w:rsidR="00027C0B" w:rsidRPr="001B39BA" w:rsidRDefault="00027C0B" w:rsidP="001B39BA">
      <w:pPr>
        <w:pStyle w:val="NoSpacing"/>
        <w:spacing w:line="360" w:lineRule="auto"/>
        <w:jc w:val="both"/>
        <w:rPr>
          <w:rFonts w:ascii="Arial" w:hAnsi="Arial" w:cs="Arial"/>
          <w:lang w:val="en-SG"/>
        </w:rPr>
      </w:pPr>
    </w:p>
    <w:p w14:paraId="0E4117E1"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t xml:space="preserve">Interpersonal Skills in Relation to Professional Quality of Life </w:t>
      </w:r>
    </w:p>
    <w:p w14:paraId="723DC11E" w14:textId="77777777" w:rsidR="002E0C03" w:rsidRPr="001B39BA" w:rsidRDefault="002E0C03" w:rsidP="001B39BA">
      <w:pPr>
        <w:pStyle w:val="NoSpacing"/>
        <w:spacing w:line="360" w:lineRule="auto"/>
        <w:jc w:val="both"/>
        <w:rPr>
          <w:rFonts w:ascii="Arial" w:hAnsi="Arial" w:cs="Arial"/>
          <w:lang w:val="en-SG"/>
        </w:rPr>
      </w:pPr>
    </w:p>
    <w:p w14:paraId="46268672"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Interpersonal skills are critical determinants of professional quality of life, as they enable</w:t>
      </w:r>
      <w:r w:rsidR="001723E6" w:rsidRPr="001B39BA">
        <w:rPr>
          <w:rFonts w:ascii="Arial" w:hAnsi="Arial" w:cs="Arial"/>
          <w:lang w:val="en-SG"/>
        </w:rPr>
        <w:t xml:space="preserve"> </w:t>
      </w:r>
      <w:r w:rsidR="001723E6" w:rsidRPr="001B39BA">
        <w:rPr>
          <w:rFonts w:ascii="Arial" w:hAnsi="Arial" w:cs="Arial"/>
        </w:rPr>
        <w:t xml:space="preserve">guidance </w:t>
      </w:r>
      <w:r w:rsidRPr="001B39BA">
        <w:rPr>
          <w:rFonts w:ascii="Arial" w:hAnsi="Arial" w:cs="Arial"/>
          <w:lang w:val="en-SG"/>
        </w:rPr>
        <w:t xml:space="preserve">counselors to build effective therapeutic relationships and facilitate positive client outcomes. Regression studies consistently demonstrate that interpersonal competencies significantly predict compassion satisfaction and counseling effectiveness. For instance, Cooper et al. (2025) found that therapists’ interpersonal skills are strongly associated with improved psychological outcomes among clients. Similarly, Eminoğlu et al. (2025) reported that compassion competence, rooted in interpersonal ability, positively predicts compassion satisfaction among nursing students. Additional evidence supports this positive relationship. </w:t>
      </w:r>
    </w:p>
    <w:p w14:paraId="4F00A8A4"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Serrano-Pintado et al. (2022) found that interpersonal skills training improves </w:t>
      </w:r>
      <w:r w:rsidRPr="001B39BA">
        <w:rPr>
          <w:rFonts w:ascii="Arial" w:hAnsi="Arial" w:cs="Arial"/>
          <w:lang w:val="en-SG"/>
        </w:rPr>
        <w:lastRenderedPageBreak/>
        <w:t xml:space="preserve">relational functioning and reduces psychological distress, while Norcross and Lambert (2019) identified relational competencies as key predictors of therapeutic success. However, contrasting findings indicate that strong interpersonal engagement may increase emotional labor and vulnerability to burnout. Sushmitha (2025) found that high relational involvement is associated with increased emotional exhaustion, particularly in high-demand environments. Similarly, De Jong et al. (2024) reported that therapists with strong interpersonal engagement experience greater emotional strain in complex cases. </w:t>
      </w:r>
    </w:p>
    <w:p w14:paraId="675284A0"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Conversely, supportive interpersonal environments mitigate these risks. Harling (2020) found that collegial support reduces compassion fatigue, while Malekiha et al. (2025) identified social support as a protective factor. </w:t>
      </w:r>
      <w:r w:rsidR="00D40D62" w:rsidRPr="001B39BA">
        <w:rPr>
          <w:rFonts w:ascii="Arial" w:hAnsi="Arial" w:cs="Arial"/>
        </w:rPr>
        <w:t>Research suggests that the relationship between interpersonal skills and professional outcomes may be influenced by self-compassion and emotional regulation.</w:t>
      </w:r>
      <w:r w:rsidR="00261AA0" w:rsidRPr="001B39BA">
        <w:rPr>
          <w:rFonts w:ascii="Arial" w:hAnsi="Arial" w:cs="Arial"/>
        </w:rPr>
        <w:t xml:space="preserve"> </w:t>
      </w:r>
      <w:r w:rsidRPr="001B39BA">
        <w:rPr>
          <w:rFonts w:ascii="Arial" w:hAnsi="Arial" w:cs="Arial"/>
          <w:lang w:val="en-SG"/>
        </w:rPr>
        <w:t>SEM studies further demonstrate that interpersonal skills exert both direct and indirect effects on professional quality of life (Ranjouri et al., 2025).</w:t>
      </w:r>
    </w:p>
    <w:p w14:paraId="63B6E14A" w14:textId="77777777" w:rsidR="00027C0B" w:rsidRPr="001B39BA" w:rsidRDefault="00027C0B" w:rsidP="001B39BA">
      <w:pPr>
        <w:pStyle w:val="NoSpacing"/>
        <w:spacing w:line="360" w:lineRule="auto"/>
        <w:jc w:val="both"/>
        <w:rPr>
          <w:rFonts w:ascii="Arial" w:hAnsi="Arial" w:cs="Arial"/>
          <w:lang w:val="en-SG"/>
        </w:rPr>
      </w:pPr>
    </w:p>
    <w:p w14:paraId="79EDB4B0"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t xml:space="preserve">Self-Compassion in Relation to Professional Quality of Life </w:t>
      </w:r>
    </w:p>
    <w:p w14:paraId="2F39B7DA" w14:textId="77777777" w:rsidR="002E0C03" w:rsidRPr="001B39BA" w:rsidRDefault="002E0C03" w:rsidP="001B39BA">
      <w:pPr>
        <w:pStyle w:val="NoSpacing"/>
        <w:spacing w:line="360" w:lineRule="auto"/>
        <w:jc w:val="both"/>
        <w:rPr>
          <w:rFonts w:ascii="Arial" w:hAnsi="Arial" w:cs="Arial"/>
          <w:lang w:val="en-SG"/>
        </w:rPr>
      </w:pPr>
    </w:p>
    <w:p w14:paraId="544F0009"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Self-compassion has emerged as one of the most robust predictors of professional quality of life in helping professions, particularly in reducing compassion fatigue and enhancing compassion satisfaction. Conceptualized as the ability to respond to personal distress with self-kindness, mindfulness, and recognition of shared human experiences, self-compassion functions as a critical intrapersonal resource that supports emotional regulation in demanding counseling contexts.</w:t>
      </w:r>
    </w:p>
    <w:p w14:paraId="75C12AF0"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Recent regression-based studies consistently demonstrate that self-compassion significantly predicts lower levels of burnout, compassion fatigue, and psychological distress while enhancing compassion satisfaction. For instance, Crego et al. (2022</w:t>
      </w:r>
      <w:r w:rsidR="002809B9" w:rsidRPr="001B39BA">
        <w:rPr>
          <w:rFonts w:ascii="Arial" w:hAnsi="Arial" w:cs="Arial"/>
          <w:lang w:val="en-SG"/>
        </w:rPr>
        <w:t>a</w:t>
      </w:r>
      <w:r w:rsidRPr="001B39BA">
        <w:rPr>
          <w:rFonts w:ascii="Arial" w:hAnsi="Arial" w:cs="Arial"/>
          <w:lang w:val="en-SG"/>
        </w:rPr>
        <w:t xml:space="preserve">) found that self-compassion is strongly associated with improved mental health outcomes among helping professionals. Similarly, Galiana et al. (2021) reported that self-compassion predicts higher professional quality of life among palliative care workers, while Özden and Kaya (2025) found that self-compassion significantly enhances compassion satisfaction among </w:t>
      </w:r>
      <w:r w:rsidR="001723E6" w:rsidRPr="001B39BA">
        <w:rPr>
          <w:rFonts w:ascii="Arial" w:hAnsi="Arial" w:cs="Arial"/>
        </w:rPr>
        <w:t xml:space="preserve">guidance </w:t>
      </w:r>
      <w:r w:rsidRPr="001B39BA">
        <w:rPr>
          <w:rFonts w:ascii="Arial" w:hAnsi="Arial" w:cs="Arial"/>
          <w:lang w:val="en-SG"/>
        </w:rPr>
        <w:t>counselors. Additionally, Kotera et al. (2021) demonstrated that self-compassion is negatively associated with work-related stress and emotional exhaustion among mental health practitioners.</w:t>
      </w:r>
    </w:p>
    <w:p w14:paraId="0E9938F2"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Further empirical evidence reinforces these findings. Finlay-Jones et al. (2022) </w:t>
      </w:r>
      <w:r w:rsidRPr="001B39BA">
        <w:rPr>
          <w:rFonts w:ascii="Arial" w:hAnsi="Arial" w:cs="Arial"/>
          <w:lang w:val="en-SG"/>
        </w:rPr>
        <w:lastRenderedPageBreak/>
        <w:t>found that self-compassion training significantly reduces burnout and improves emotional resilience, suggesting that self-compassion is not only a trait but also a developable skill. Similarly, Tóth-Király et al. (2022) reported that self-compassion is positively associated with psychological well-being and adaptive coping strategies, highlighting its role in sustaining professional functioning under stress.</w:t>
      </w:r>
    </w:p>
    <w:p w14:paraId="272A43DA"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However, recent literature also presents important contrasting findings. While self-compassion is generally protective, it does not uniformly buffer against all occupational stressors. Sinclair et al. (2021) found that high exposure to trauma may weaken the protective effects of self-compassion, particularly in environments with limited organizational support. Similarly, Kotera et al. (2022) reported that the effectiveness of self-compassion in reducing burnout is moderated by workplace conditions, suggesting that contextual factors influence its impact. These findings indicate that self-compassion operates within a broader ecological system and is not sufficient as a standalone protective factor.</w:t>
      </w:r>
    </w:p>
    <w:p w14:paraId="1B79D4EB"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rPr>
        <w:t xml:space="preserve">Existing research provides further insight into the mechanisms through which self-compassion influences professional quality of life. Recent evidence indicates that self-compassion plays a significant role in the relationship between emotional demands and burnout, as well as between empathy and compassion fatigue, by enhancing emotional regulation and reducing empathic distress (Kotera et al., 2022; Tóth-Király et al., 2022). </w:t>
      </w:r>
      <w:r w:rsidRPr="001B39BA">
        <w:rPr>
          <w:rFonts w:ascii="Arial" w:hAnsi="Arial" w:cs="Arial"/>
          <w:lang w:val="en-SG"/>
        </w:rPr>
        <w:t xml:space="preserve">These findings suggest that self-compassion functions as a regulatory mechanism, shaping how </w:t>
      </w:r>
      <w:r w:rsidR="001723E6" w:rsidRPr="001B39BA">
        <w:rPr>
          <w:rFonts w:ascii="Arial" w:hAnsi="Arial" w:cs="Arial"/>
        </w:rPr>
        <w:t xml:space="preserve">guidance </w:t>
      </w:r>
      <w:r w:rsidRPr="001B39BA">
        <w:rPr>
          <w:rFonts w:ascii="Arial" w:hAnsi="Arial" w:cs="Arial"/>
          <w:lang w:val="en-SG"/>
        </w:rPr>
        <w:t>counselors process emotionally demanding experiences.</w:t>
      </w:r>
    </w:p>
    <w:p w14:paraId="2BEA033B"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Structural Equation Modeling (SEM) studies offer the most comprehensive explanation of their role. SEM-based research demonstrates that self-compassion serves as a central mediating variable in structural models of professional quality of life, linking relational competencies, such as empathic understanding and interpersonal skills, to outcomes, including compassion satisfaction and compassion fatigue (Ranjouri et al., 2025). These findings confirm that self-compassion is not merely a direct predictor but a key explanatory pathway through which other variables exert their influence.</w:t>
      </w:r>
    </w:p>
    <w:p w14:paraId="4B8AA954"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Taken together, the literature indicates that self-compassion plays both a direct and indirect role in shaping professional quality of life. While it enhances well-being and reduces emotional exhaustion, its effectiveness is influenced by contextual factors such as workload and organizational support. More importantly, its role as a mediating mechanism highlights the need to examine self-compassion within a broader structural framework.</w:t>
      </w:r>
    </w:p>
    <w:p w14:paraId="7E48A4FD" w14:textId="77777777" w:rsidR="00027C0B" w:rsidRPr="001B39BA" w:rsidRDefault="00000000" w:rsidP="001B39BA">
      <w:pPr>
        <w:pStyle w:val="NoSpacing"/>
        <w:spacing w:line="360" w:lineRule="auto"/>
        <w:jc w:val="both"/>
        <w:rPr>
          <w:rFonts w:ascii="Arial" w:hAnsi="Arial" w:cs="Arial"/>
          <w:lang w:val="en-SG"/>
        </w:rPr>
      </w:pPr>
      <w:r w:rsidRPr="001B39BA">
        <w:rPr>
          <w:rFonts w:ascii="Arial" w:hAnsi="Arial" w:cs="Arial"/>
          <w:lang w:val="en-SG"/>
        </w:rPr>
        <w:lastRenderedPageBreak/>
        <w:t xml:space="preserve">Structural Equation Modeling </w:t>
      </w:r>
    </w:p>
    <w:p w14:paraId="43EE713A" w14:textId="77777777" w:rsidR="002E0C03" w:rsidRPr="001B39BA" w:rsidRDefault="002E0C03" w:rsidP="001B39BA">
      <w:pPr>
        <w:pStyle w:val="NoSpacing"/>
        <w:spacing w:line="360" w:lineRule="auto"/>
        <w:jc w:val="both"/>
        <w:rPr>
          <w:rFonts w:ascii="Arial" w:hAnsi="Arial" w:cs="Arial"/>
          <w:lang w:val="en-SG"/>
        </w:rPr>
      </w:pPr>
    </w:p>
    <w:p w14:paraId="2D7A8687"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The existing literature on professional quality of life, particularly compassion satisfaction and compassion fatigue, remains constrained by its predominant reliance on regression and mediation analyses, which examine variables independently or through simplified linear pathways. While regression analysis has consistently identified significant predictors such as empathic understanding, interpersonal skills, and self-compassion, it assumes independence among variables. It fails to capture the complex interactions that characterize counseling processes. Similarly, mediation studies have demonstrated that self-compassion and emotional regulation influence how empathy affects compassion fatigue; however, these approaches remain limited to predefined pathways and do not fully account for the simultaneous interplay among multiple relational and intrapersonal variables.</w:t>
      </w:r>
    </w:p>
    <w:p w14:paraId="5087B552"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This limitation is particularly evident in studies examining work-specific characteristics. Empirical findings consistently show that empathic understanding enhances compassion satisfaction by strengthening therapeutic relationships, yet it also increases compassion fatigue when emotional engagement becomes excessive. Likewise, genuineness and interpersonal skills contribute to meaningful counseling relationships and professional fulfillment, but they may simultaneously increase emotional labor and vulnerability to burnout. Non-judgmental attitudes promote psychological safety and therapeutic engagement, yet maintaining this stance requires continuous emotional regulation, which may contribute to cognitive and emotional strain. In contrast, self-compassion consistently emerges as a protective factor, reducing compassion fatigue and enhancing compassion satisfaction; however, its role is not purely direct but often operates as a mediating mechanism through which other characteristics influence outcomes.</w:t>
      </w:r>
    </w:p>
    <w:p w14:paraId="0143E12F"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These contradictory findings suggest that professional quality of life cannot be adequately explained through isolated or linear relationships. Instead, compassion satisfaction and compassion fatigue must be understood as outcomes of interconnected, multidimensional processes in which relational competencies and intrapersonal resources interact simultaneously. This complexity highlights the limitations of regression and simple mediation models and underscores the need for a more integrative analytical approach.</w:t>
      </w:r>
    </w:p>
    <w:p w14:paraId="24228C1C"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Structural Equation Modeling (SEM) addresses these limitations by providing a comprehensive framework for analyzing complex relationships among multiple variables. SEM integrates elements of factor analysis and multiple regression, enabling the </w:t>
      </w:r>
      <w:r w:rsidRPr="001B39BA">
        <w:rPr>
          <w:rFonts w:ascii="Arial" w:hAnsi="Arial" w:cs="Arial"/>
          <w:lang w:val="en-SG"/>
        </w:rPr>
        <w:lastRenderedPageBreak/>
        <w:t>simultaneous estimation of measurement and structural models while accounting for measurement error (Hair et al., 2021; Hancock et al., 2018). More recent methodological advancements emphasize that SEM is particularly suited for examining latent psychological constructs, such as empathy, genuineness, non-judgment, interpersonal skills, and self-compassion, which cannot be directly observed and require validation through confirmatory factor analysis.</w:t>
      </w:r>
    </w:p>
    <w:p w14:paraId="5C65E550"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Contemporary SEM literature further reinforces its relevance in counseling research. Hair Jr. et al. (202</w:t>
      </w:r>
      <w:r w:rsidR="007F0459" w:rsidRPr="001B39BA">
        <w:rPr>
          <w:rFonts w:ascii="Arial" w:hAnsi="Arial" w:cs="Arial"/>
          <w:lang w:val="en-SG"/>
        </w:rPr>
        <w:t>1</w:t>
      </w:r>
      <w:r w:rsidRPr="001B39BA">
        <w:rPr>
          <w:rFonts w:ascii="Arial" w:hAnsi="Arial" w:cs="Arial"/>
          <w:lang w:val="en-SG"/>
        </w:rPr>
        <w:t>) emphasize that SEM is essential for testing complex theoretical models involving multiple predictors, mediators, and outcomes, particularly in behavioral sciences where variables are inherently interdependent. Similarly, Black et al. (202</w:t>
      </w:r>
      <w:r w:rsidR="00E00C7E" w:rsidRPr="001B39BA">
        <w:rPr>
          <w:rFonts w:ascii="Arial" w:hAnsi="Arial" w:cs="Arial"/>
          <w:lang w:val="en-SG"/>
        </w:rPr>
        <w:t>4</w:t>
      </w:r>
      <w:r w:rsidRPr="001B39BA">
        <w:rPr>
          <w:rFonts w:ascii="Arial" w:hAnsi="Arial" w:cs="Arial"/>
          <w:lang w:val="en-SG"/>
        </w:rPr>
        <w:t>) highlight that SEM enables researchers to examine both direct and indirect effects simultaneously, making it more appropriate than regression for analyzing multidimensional constructs such as professional quality of life.</w:t>
      </w:r>
    </w:p>
    <w:p w14:paraId="4C1B1CEB"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Recent empirical studies further demonstrate the applicability of SEM in understanding counseling-related outcomes. For instance, Ranjouri et al. (2025) found that self-compassion serves as a central mediating variable linking empathy and interpersonal competencies to professional well-being outcomes, including reduced burnout and increased satisfaction. Similarly, emerging SEM-based research in mental health and counseling contexts shows that compassion fatigue, burnout, and resilience are best conceptualized as interrelated constructs influenced by shared predictors such as emotional regulation, relational skills, and psychological resources. These findings align with the growing consensus that professional quality of life is not a set of independent outcomes but a structurally interconnected system.</w:t>
      </w:r>
    </w:p>
    <w:p w14:paraId="47314647"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Despite these advancements, SEM remains underutilized in studies focusing on guidance counselors, particularly in educational settings. Most existing research continues to rely on regression-based analyses, resulting in fragmented and sometimes contradictory findings. This methodological gap limits the ability to explain why </w:t>
      </w:r>
      <w:r w:rsidR="001723E6" w:rsidRPr="001B39BA">
        <w:rPr>
          <w:rFonts w:ascii="Arial" w:hAnsi="Arial" w:cs="Arial"/>
        </w:rPr>
        <w:t xml:space="preserve">guidance </w:t>
      </w:r>
      <w:r w:rsidRPr="001B39BA">
        <w:rPr>
          <w:rFonts w:ascii="Arial" w:hAnsi="Arial" w:cs="Arial"/>
          <w:lang w:val="en-SG"/>
        </w:rPr>
        <w:t xml:space="preserve">counselors exposed to similar professional demands experience different outcomes, such as high compassion satisfaction versus severe compassion fatigue. Thus, the need for SEM is not merely methodological but theoretical. Without an integrative structural model, it remains difficult to explain how empathic understanding, genuineness, non-judgmental attitudes, interpersonal skills, and self-compassion collectively shape </w:t>
      </w:r>
      <w:r w:rsidR="001723E6" w:rsidRPr="001B39BA">
        <w:rPr>
          <w:rFonts w:ascii="Arial" w:hAnsi="Arial" w:cs="Arial"/>
        </w:rPr>
        <w:t xml:space="preserve">guidance </w:t>
      </w:r>
      <w:r w:rsidRPr="001B39BA">
        <w:rPr>
          <w:rFonts w:ascii="Arial" w:hAnsi="Arial" w:cs="Arial"/>
          <w:lang w:val="en-SG"/>
        </w:rPr>
        <w:t>counselors’ professional experiences.</w:t>
      </w:r>
    </w:p>
    <w:p w14:paraId="4861E2A4"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The reviewed literature consistently demonstrates that professional quality of life </w:t>
      </w:r>
      <w:r w:rsidRPr="001B39BA">
        <w:rPr>
          <w:rFonts w:ascii="Arial" w:hAnsi="Arial" w:cs="Arial"/>
          <w:lang w:val="en-SG"/>
        </w:rPr>
        <w:lastRenderedPageBreak/>
        <w:t>among guidance counselors, encompassing compassion satisfaction, compassion fatigue, burnout, and secondary traumatic stress, is shaped by the interplay of work-specific characteristics rather than by isolated factors. Empathic understanding, genuineness, non-judgmental attitude, interpersonal skills, and self-compassion are widely identified as significant predictors of counseling outcomes. Regression-based studies generally indicate that these characteristics enhance therapeutic effectiveness, strengthen client relationships, and increase compassion satisfaction. However, contrasting findings reveal that the same characteristics may also heighten emotional labor and vulnerability to distress. For instance, empathy and interpersonal engagement can deepen connection and fulfillment, yet excessive emotional involvement may lead to compassion fatigue and burnout. Similarly, maintaining genuineness and a non-judgmental stance promotes trust but requires sustained emotional regulation, which can become psychologically demanding. These contradictions suggest that work-specific characteristics function simultaneously as protective and risk factors, depending on how they are regulated and the context in which counseling occurs.</w:t>
      </w:r>
    </w:p>
    <w:p w14:paraId="6E40870A" w14:textId="77777777" w:rsidR="00027C0B" w:rsidRPr="001B39BA" w:rsidRDefault="00000000" w:rsidP="001B39BA">
      <w:pPr>
        <w:pStyle w:val="NoSpacing"/>
        <w:spacing w:line="360" w:lineRule="auto"/>
        <w:ind w:firstLine="720"/>
        <w:jc w:val="both"/>
        <w:rPr>
          <w:rFonts w:ascii="Arial" w:hAnsi="Arial" w:cs="Arial"/>
          <w:lang w:val="en-SG"/>
        </w:rPr>
      </w:pPr>
      <w:r w:rsidRPr="001B39BA">
        <w:rPr>
          <w:rFonts w:ascii="Arial" w:hAnsi="Arial" w:cs="Arial"/>
          <w:lang w:val="en-SG"/>
        </w:rPr>
        <w:t xml:space="preserve">Mediation and emerging structural studies further indicate that these relationships are not purely direct but are shaped by underlying mechanisms such as self-compassion and emotional regulation. Self-compassion, in particular, consistently emerges as both a direct predictor of well-being and a mediating variable that explains how other characteristics influence outcomes. Despite these advances, the literature remains limited by its reliance on regression and simple mediation models, which fail to capture the simultaneous and multidimensional interactions among variables. This limitation results in fragmented and sometimes inconsistent findings, particularly in explaining why </w:t>
      </w:r>
      <w:r w:rsidR="001723E6" w:rsidRPr="001B39BA">
        <w:rPr>
          <w:rFonts w:ascii="Arial" w:hAnsi="Arial" w:cs="Arial"/>
        </w:rPr>
        <w:t xml:space="preserve">guidance </w:t>
      </w:r>
      <w:r w:rsidRPr="001B39BA">
        <w:rPr>
          <w:rFonts w:ascii="Arial" w:hAnsi="Arial" w:cs="Arial"/>
          <w:lang w:val="en-SG"/>
        </w:rPr>
        <w:t>counselors exposed to similar conditions experience different levels of satisfaction or fatigue. Consequently, there is a clear need for a more integrative analytical approach. Structural Equation Modeling (SEM) addresses this gap by enabling the examination of multiple variables and pathways within a unified framework, thereby providing a more comprehensive explanation of how work-specific characteristics, both directly and indirectly, collectively influence professional quality of life among guidance counselors.</w:t>
      </w:r>
    </w:p>
    <w:p w14:paraId="3C898631" w14:textId="77777777" w:rsidR="00027C0B" w:rsidRPr="001B39BA" w:rsidRDefault="00027C0B" w:rsidP="001B39BA">
      <w:pPr>
        <w:pStyle w:val="NoSpacing"/>
        <w:spacing w:line="360" w:lineRule="auto"/>
        <w:ind w:firstLine="720"/>
        <w:jc w:val="both"/>
        <w:rPr>
          <w:rFonts w:ascii="Arial" w:hAnsi="Arial" w:cs="Arial"/>
          <w:lang w:val="en-SG"/>
        </w:rPr>
      </w:pPr>
    </w:p>
    <w:p w14:paraId="02EDCD83" w14:textId="77777777" w:rsidR="00614071" w:rsidRPr="001B39BA" w:rsidRDefault="00000000" w:rsidP="001B39BA">
      <w:pPr>
        <w:widowControl/>
        <w:autoSpaceDE/>
        <w:autoSpaceDN/>
        <w:spacing w:line="360" w:lineRule="auto"/>
        <w:jc w:val="both"/>
        <w:rPr>
          <w:rFonts w:ascii="Arial" w:eastAsiaTheme="minorHAnsi" w:hAnsi="Arial" w:cs="Arial"/>
          <w:kern w:val="2"/>
          <w:lang w:eastAsia="en-SG"/>
          <w14:ligatures w14:val="standardContextual"/>
        </w:rPr>
      </w:pPr>
      <w:r w:rsidRPr="001B39BA">
        <w:rPr>
          <w:rFonts w:ascii="Arial" w:eastAsiaTheme="minorHAnsi" w:hAnsi="Arial" w:cs="Arial"/>
          <w:kern w:val="2"/>
          <w:lang w:eastAsia="en-SG"/>
          <w14:ligatures w14:val="standardContextual"/>
        </w:rPr>
        <w:t>Theoretical Framework</w:t>
      </w:r>
    </w:p>
    <w:p w14:paraId="77F1C78B" w14:textId="77777777" w:rsidR="00614071" w:rsidRPr="001B39BA" w:rsidRDefault="00614071" w:rsidP="001B39BA">
      <w:pPr>
        <w:widowControl/>
        <w:autoSpaceDE/>
        <w:autoSpaceDN/>
        <w:spacing w:line="360" w:lineRule="auto"/>
        <w:jc w:val="both"/>
        <w:rPr>
          <w:rFonts w:ascii="Arial" w:eastAsiaTheme="minorHAnsi" w:hAnsi="Arial" w:cs="Arial"/>
          <w:kern w:val="2"/>
          <w:lang w:eastAsia="en-SG"/>
          <w14:ligatures w14:val="standardContextual"/>
        </w:rPr>
      </w:pPr>
    </w:p>
    <w:p w14:paraId="11811F1B" w14:textId="77777777" w:rsidR="00614071" w:rsidRPr="001B39BA" w:rsidRDefault="00000000" w:rsidP="001B39BA">
      <w:pPr>
        <w:widowControl/>
        <w:autoSpaceDE/>
        <w:autoSpaceDN/>
        <w:spacing w:line="360" w:lineRule="auto"/>
        <w:ind w:firstLine="720"/>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 xml:space="preserve">This section presents the theoretical foundations that explain how work-specific characteristics shape compassion satisfaction and compassion fatigue among guidance </w:t>
      </w:r>
      <w:r w:rsidRPr="001B39BA">
        <w:rPr>
          <w:rFonts w:ascii="Arial" w:eastAsiaTheme="minorHAnsi" w:hAnsi="Arial" w:cs="Arial"/>
          <w:kern w:val="2"/>
          <w:lang w:val="en-SG" w:eastAsia="en-SG"/>
          <w14:ligatures w14:val="standardContextual"/>
        </w:rPr>
        <w:lastRenderedPageBreak/>
        <w:t>counselors in Mindanao. The study is anchored on three complementary theoretical frameworks: the Conservation of Resources Theory, Compassion Fatigue Theory, and the Professional Quality of Life Model. Together, these frameworks provide a comprehensive explanation of how guidance counselors’ personal and professional resources influence both the positive and negative outcomes of helping work. The Professional Quality of Life Model (ProQOL)</w:t>
      </w:r>
      <w:r w:rsidRPr="001B39BA">
        <w:rPr>
          <w:rFonts w:ascii="Arial" w:eastAsiaTheme="minorHAnsi" w:hAnsi="Arial" w:cs="Arial"/>
          <w:b/>
          <w:bCs/>
          <w:kern w:val="2"/>
          <w:lang w:val="en-SG" w:eastAsia="en-SG"/>
          <w14:ligatures w14:val="standardContextual"/>
        </w:rPr>
        <w:t xml:space="preserve">, </w:t>
      </w:r>
      <w:r w:rsidRPr="001B39BA">
        <w:rPr>
          <w:rFonts w:ascii="Arial" w:eastAsiaTheme="minorHAnsi" w:hAnsi="Arial" w:cs="Arial"/>
          <w:kern w:val="2"/>
          <w:lang w:val="en-SG" w:eastAsia="en-SG"/>
          <w14:ligatures w14:val="standardContextual"/>
        </w:rPr>
        <w:t xml:space="preserve">developed by Beth Hudnall Stamm, conceptualizes the overall quality of life experienced by helping professionals as the balance between positive and negative consequences of caring for others. Professional quality of life refers to “the quality one feels in relation to their work as a helper” and includes two major dimensions: compassion satisfaction and compassion fatigue (Stamm, 2010). </w:t>
      </w:r>
      <w:r w:rsidRPr="001B39BA">
        <w:rPr>
          <w:rFonts w:ascii="Arial" w:eastAsiaTheme="minorHAnsi" w:hAnsi="Arial" w:cs="Arial"/>
          <w:kern w:val="2"/>
          <w:lang w:val="en-SG" w:eastAsia="en-SG"/>
          <w14:ligatures w14:val="standardContextual"/>
        </w:rPr>
        <w:tab/>
      </w:r>
      <w:r w:rsidRPr="001B39BA">
        <w:rPr>
          <w:rFonts w:ascii="Arial" w:eastAsiaTheme="minorHAnsi" w:hAnsi="Arial" w:cs="Arial"/>
          <w:kern w:val="2"/>
          <w:lang w:val="en-SG" w:eastAsia="en-SG"/>
          <w14:ligatures w14:val="standardContextual"/>
        </w:rPr>
        <w:tab/>
      </w:r>
      <w:r w:rsidRPr="001B39BA">
        <w:rPr>
          <w:rFonts w:ascii="Arial" w:eastAsiaTheme="minorHAnsi" w:hAnsi="Arial" w:cs="Arial"/>
          <w:kern w:val="2"/>
          <w:lang w:val="en-SG" w:eastAsia="en-SG"/>
          <w14:ligatures w14:val="standardContextual"/>
        </w:rPr>
        <w:tab/>
      </w:r>
      <w:r w:rsidR="002E0C03" w:rsidRPr="001B39BA">
        <w:rPr>
          <w:rFonts w:ascii="Arial" w:eastAsiaTheme="minorHAnsi" w:hAnsi="Arial" w:cs="Arial"/>
          <w:kern w:val="2"/>
          <w:lang w:val="en-SG" w:eastAsia="en-SG"/>
          <w14:ligatures w14:val="standardContextual"/>
        </w:rPr>
        <w:tab/>
      </w:r>
      <w:r w:rsidRPr="001B39BA">
        <w:rPr>
          <w:rFonts w:ascii="Arial" w:eastAsiaTheme="minorHAnsi" w:hAnsi="Arial" w:cs="Arial"/>
          <w:kern w:val="2"/>
          <w:lang w:val="en-SG" w:eastAsia="en-SG"/>
          <w14:ligatures w14:val="standardContextual"/>
        </w:rPr>
        <w:t>Compassion satisfaction refers to the positive aspects of helping work, such as fulfillment, professional accomplishment, and the emotional rewards derived from assisting others. In contrast, compassion fatigue reflects the negative consequences of caregiving and is composed of two components: burnout</w:t>
      </w:r>
      <w:r w:rsidRPr="001B39BA">
        <w:rPr>
          <w:rFonts w:ascii="Arial" w:eastAsiaTheme="minorHAnsi" w:hAnsi="Arial" w:cs="Arial"/>
          <w:b/>
          <w:bCs/>
          <w:kern w:val="2"/>
          <w:lang w:val="en-SG" w:eastAsia="en-SG"/>
          <w14:ligatures w14:val="standardContextual"/>
        </w:rPr>
        <w:t xml:space="preserve"> </w:t>
      </w:r>
      <w:r w:rsidRPr="001B39BA">
        <w:rPr>
          <w:rFonts w:ascii="Arial" w:eastAsiaTheme="minorHAnsi" w:hAnsi="Arial" w:cs="Arial"/>
          <w:kern w:val="2"/>
          <w:lang w:val="en-SG" w:eastAsia="en-SG"/>
          <w14:ligatures w14:val="standardContextual"/>
        </w:rPr>
        <w:t xml:space="preserve">and secondary traumatic stress. In simplified terms, the ProQOL model frames compassion satisfaction as the “positive side” of helping and compassion fatigue as the “cost of caring.” The model further proposes that these outcomes are shaped by three interacting environments: the work environment, the client environment, and the personal characteristics that professionals bring into their work. Complementing this framework is Figley’s Compassion Fatigue Theory, introduced by Charles Figley, which explains how helping professionals may experience emotional strain from prolonged exposure to others' suffering. Figley (1995) describes compassion fatigue as the emotional cost of caring for individuals who have experienced trauma or distress. </w:t>
      </w:r>
      <w:r w:rsidRPr="001B39BA">
        <w:rPr>
          <w:rFonts w:ascii="Arial" w:eastAsiaTheme="minorHAnsi" w:hAnsi="Arial" w:cs="Arial"/>
          <w:kern w:val="2"/>
          <w:lang w:val="en-SG" w:eastAsia="en-SG"/>
          <w14:ligatures w14:val="standardContextual"/>
        </w:rPr>
        <w:tab/>
      </w:r>
      <w:r w:rsidRPr="001B39BA">
        <w:rPr>
          <w:rFonts w:ascii="Arial" w:eastAsiaTheme="minorHAnsi" w:hAnsi="Arial" w:cs="Arial"/>
          <w:kern w:val="2"/>
          <w:lang w:val="en-SG" w:eastAsia="en-SG"/>
          <w14:ligatures w14:val="standardContextual"/>
        </w:rPr>
        <w:tab/>
      </w:r>
      <w:r w:rsidRPr="001B39BA">
        <w:rPr>
          <w:rFonts w:ascii="Arial" w:eastAsiaTheme="minorHAnsi" w:hAnsi="Arial" w:cs="Arial"/>
          <w:kern w:val="2"/>
          <w:lang w:val="en-SG" w:eastAsia="en-SG"/>
          <w14:ligatures w14:val="standardContextual"/>
        </w:rPr>
        <w:tab/>
      </w:r>
      <w:r w:rsidRPr="001B39BA">
        <w:rPr>
          <w:rFonts w:ascii="Arial" w:eastAsiaTheme="minorHAnsi" w:hAnsi="Arial" w:cs="Arial"/>
          <w:kern w:val="2"/>
          <w:lang w:val="en-SG" w:eastAsia="en-SG"/>
          <w14:ligatures w14:val="standardContextual"/>
        </w:rPr>
        <w:tab/>
      </w:r>
      <w:r w:rsidR="002E0C03" w:rsidRPr="001B39BA">
        <w:rPr>
          <w:rFonts w:ascii="Arial" w:eastAsiaTheme="minorHAnsi" w:hAnsi="Arial" w:cs="Arial"/>
          <w:kern w:val="2"/>
          <w:lang w:val="en-SG" w:eastAsia="en-SG"/>
          <w14:ligatures w14:val="standardContextual"/>
        </w:rPr>
        <w:tab/>
      </w:r>
      <w:r w:rsidR="002E0C03" w:rsidRPr="001B39BA">
        <w:rPr>
          <w:rFonts w:ascii="Arial" w:eastAsiaTheme="minorHAnsi" w:hAnsi="Arial" w:cs="Arial"/>
          <w:kern w:val="2"/>
          <w:lang w:val="en-SG" w:eastAsia="en-SG"/>
          <w14:ligatures w14:val="standardContextual"/>
        </w:rPr>
        <w:tab/>
      </w:r>
      <w:r w:rsidR="002E0C03" w:rsidRPr="001B39BA">
        <w:rPr>
          <w:rFonts w:ascii="Arial" w:eastAsiaTheme="minorHAnsi" w:hAnsi="Arial" w:cs="Arial"/>
          <w:kern w:val="2"/>
          <w:lang w:val="en-SG" w:eastAsia="en-SG"/>
          <w14:ligatures w14:val="standardContextual"/>
        </w:rPr>
        <w:tab/>
      </w:r>
      <w:r w:rsidRPr="001B39BA">
        <w:rPr>
          <w:rFonts w:ascii="Arial" w:eastAsiaTheme="minorHAnsi" w:hAnsi="Arial" w:cs="Arial"/>
          <w:kern w:val="2"/>
          <w:lang w:val="en-SG" w:eastAsia="en-SG"/>
          <w14:ligatures w14:val="standardContextual"/>
        </w:rPr>
        <w:t xml:space="preserve">Professionals who regularly listen to traumatic narratives may develop symptoms similar to secondary traumatic stress, including emotional exhaustion, intrusive thoughts, and diminished empathy. Within counseling contexts, this theory explains why guidance counselors who work closely with students facing personal, academic, or psychosocial difficulties may become vulnerable to emotional depletion if protective resources are insufficient. The Conservation of Resources (COR) Theory, proposed by Stevan E. Hobfoll, provides a broader framework for understanding how individuals respond to stress by managing their personal resources. According to COR theory, individuals strive to obtain, retain, and protect valuable resources such as time, energy, emotional stability, knowledge, social support, self-esteem, and professional skills (Hobfoll, 1989). Stress occurs when these resources are threatened, lost, or insufficiently replenished after </w:t>
      </w:r>
      <w:r w:rsidRPr="001B39BA">
        <w:rPr>
          <w:rFonts w:ascii="Arial" w:eastAsiaTheme="minorHAnsi" w:hAnsi="Arial" w:cs="Arial"/>
          <w:kern w:val="2"/>
          <w:lang w:val="en-SG" w:eastAsia="en-SG"/>
          <w14:ligatures w14:val="standardContextual"/>
        </w:rPr>
        <w:lastRenderedPageBreak/>
        <w:t>investment. When individuals continuously expend resources without adequate recovery or replenishment, they may enter a “loss spiral,” where diminishing resources increase vulnerability to stress and psychological strain (Hobfoll, 19</w:t>
      </w:r>
      <w:r w:rsidR="007F0459" w:rsidRPr="001B39BA">
        <w:rPr>
          <w:rFonts w:ascii="Arial" w:eastAsiaTheme="minorHAnsi" w:hAnsi="Arial" w:cs="Arial"/>
          <w:kern w:val="2"/>
          <w:lang w:val="en-SG" w:eastAsia="en-SG"/>
          <w14:ligatures w14:val="standardContextual"/>
        </w:rPr>
        <w:t>89</w:t>
      </w:r>
      <w:r w:rsidRPr="001B39BA">
        <w:rPr>
          <w:rFonts w:ascii="Arial" w:eastAsiaTheme="minorHAnsi" w:hAnsi="Arial" w:cs="Arial"/>
          <w:kern w:val="2"/>
          <w:lang w:val="en-SG" w:eastAsia="en-SG"/>
          <w14:ligatures w14:val="standardContextual"/>
        </w:rPr>
        <w:t xml:space="preserve">). </w:t>
      </w:r>
      <w:r w:rsidRPr="001B39BA">
        <w:rPr>
          <w:rFonts w:ascii="Arial" w:eastAsiaTheme="minorHAnsi" w:hAnsi="Arial" w:cs="Arial"/>
          <w:kern w:val="2"/>
          <w:lang w:val="en-SG" w:eastAsia="en-SG"/>
          <w14:ligatures w14:val="standardContextual"/>
        </w:rPr>
        <w:tab/>
      </w:r>
      <w:r w:rsidRPr="001B39BA">
        <w:rPr>
          <w:rFonts w:ascii="Arial" w:eastAsiaTheme="minorHAnsi" w:hAnsi="Arial" w:cs="Arial"/>
          <w:kern w:val="2"/>
          <w:lang w:val="en-SG" w:eastAsia="en-SG"/>
          <w14:ligatures w14:val="standardContextual"/>
        </w:rPr>
        <w:tab/>
      </w:r>
      <w:r w:rsidRPr="001B39BA">
        <w:rPr>
          <w:rFonts w:ascii="Arial" w:eastAsiaTheme="minorHAnsi" w:hAnsi="Arial" w:cs="Arial"/>
          <w:kern w:val="2"/>
          <w:lang w:val="en-SG" w:eastAsia="en-SG"/>
          <w14:ligatures w14:val="standardContextual"/>
        </w:rPr>
        <w:tab/>
      </w:r>
      <w:r w:rsidRPr="001B39BA">
        <w:rPr>
          <w:rFonts w:ascii="Arial" w:eastAsiaTheme="minorHAnsi" w:hAnsi="Arial" w:cs="Arial"/>
          <w:kern w:val="2"/>
          <w:lang w:val="en-SG" w:eastAsia="en-SG"/>
          <w14:ligatures w14:val="standardContextual"/>
        </w:rPr>
        <w:tab/>
        <w:t>The relevance of COR theory to guidance counseling lies in the significant emotional and relational resources required in helping professions. Guidance counselors continuously invest personal resources, such as empathic understanding, genuineness, interpersonal competence, non-judgmental acceptance, and self-compassion, while supporting students facing various psychological and developmental challenges. When these emotional and cognitive resources are sustained or replenished, guidance counselors are more likely to experience compassion satisfaction. However, when these resources are depleted due to excessive demands, high caseloads, or insufficient institutional support, guidance counselors become more susceptible to compassion fatigue, including burnout and secondary traumatic stress.</w:t>
      </w:r>
      <w:r w:rsidRPr="001B39BA">
        <w:rPr>
          <w:rFonts w:ascii="Arial" w:eastAsiaTheme="minorHAnsi" w:hAnsi="Arial" w:cs="Arial"/>
          <w:kern w:val="2"/>
          <w:lang w:val="en-SG" w:eastAsia="en-SG"/>
          <w14:ligatures w14:val="standardContextual"/>
        </w:rPr>
        <w:tab/>
      </w:r>
      <w:r w:rsidRPr="001B39BA">
        <w:rPr>
          <w:rFonts w:ascii="Arial" w:eastAsiaTheme="minorHAnsi" w:hAnsi="Arial" w:cs="Arial"/>
          <w:kern w:val="2"/>
          <w:lang w:val="en-SG" w:eastAsia="en-SG"/>
          <w14:ligatures w14:val="standardContextual"/>
        </w:rPr>
        <w:tab/>
      </w:r>
      <w:r w:rsidRPr="001B39BA">
        <w:rPr>
          <w:rFonts w:ascii="Arial" w:eastAsiaTheme="minorHAnsi" w:hAnsi="Arial" w:cs="Arial"/>
          <w:kern w:val="2"/>
          <w:lang w:val="en-SG" w:eastAsia="en-SG"/>
          <w14:ligatures w14:val="standardContextual"/>
        </w:rPr>
        <w:tab/>
      </w:r>
      <w:r w:rsidRPr="001B39BA">
        <w:rPr>
          <w:rFonts w:ascii="Arial" w:eastAsiaTheme="minorHAnsi" w:hAnsi="Arial" w:cs="Arial"/>
          <w:kern w:val="2"/>
          <w:lang w:val="en-SG" w:eastAsia="en-SG"/>
          <w14:ligatures w14:val="standardContextual"/>
        </w:rPr>
        <w:tab/>
      </w:r>
      <w:r w:rsidRPr="001B39BA">
        <w:rPr>
          <w:rFonts w:ascii="Arial" w:eastAsiaTheme="minorHAnsi" w:hAnsi="Arial" w:cs="Arial"/>
          <w:kern w:val="2"/>
          <w:lang w:val="en-SG" w:eastAsia="en-SG"/>
          <w14:ligatures w14:val="standardContextual"/>
        </w:rPr>
        <w:tab/>
      </w:r>
      <w:r w:rsidRPr="001B39BA">
        <w:rPr>
          <w:rFonts w:ascii="Arial" w:eastAsiaTheme="minorHAnsi" w:hAnsi="Arial" w:cs="Arial"/>
          <w:kern w:val="2"/>
          <w:lang w:val="en-SG" w:eastAsia="en-SG"/>
          <w14:ligatures w14:val="standardContextual"/>
        </w:rPr>
        <w:tab/>
        <w:t xml:space="preserve">The integration of COR theory with Figley's Compassion Fatigue Theory and Stamm's Professional Quality of Life Model provides a comprehensive framework for understanding guidance counselors' experiences. COR theory explains the underlying mechanism of resource investment and depletion, while Figley's theory highlights the emotional cost of empathic engagement with clients' suffering. Stamm's ProQOL model then conceptualizes how these processes manifest in professional outcomes, specifically through compassion satisfaction and compassion fatigue. Together, these theories illustrate how the balance between resource depletion and resource replenishment shapes guidance counselors’ professional quality of life. </w:t>
      </w:r>
      <w:r w:rsidRPr="001B39BA">
        <w:rPr>
          <w:rFonts w:ascii="Arial" w:eastAsiaTheme="minorHAnsi" w:hAnsi="Arial" w:cs="Arial"/>
          <w:kern w:val="2"/>
          <w:lang w:val="en-SG" w:eastAsia="en-SG"/>
          <w14:ligatures w14:val="standardContextual"/>
        </w:rPr>
        <w:tab/>
      </w:r>
      <w:r w:rsidRPr="001B39BA">
        <w:rPr>
          <w:rFonts w:ascii="Arial" w:eastAsiaTheme="minorHAnsi" w:hAnsi="Arial" w:cs="Arial"/>
          <w:kern w:val="2"/>
          <w:lang w:val="en-SG" w:eastAsia="en-SG"/>
          <w14:ligatures w14:val="standardContextual"/>
        </w:rPr>
        <w:tab/>
      </w:r>
      <w:r w:rsidR="003C0D6F" w:rsidRPr="001B39BA">
        <w:rPr>
          <w:rFonts w:ascii="Arial" w:eastAsiaTheme="minorHAnsi" w:hAnsi="Arial" w:cs="Arial"/>
          <w:kern w:val="2"/>
          <w:lang w:val="en-SG" w:eastAsia="en-SG"/>
          <w14:ligatures w14:val="standardContextual"/>
        </w:rPr>
        <w:tab/>
      </w:r>
      <w:r w:rsidR="003C0D6F" w:rsidRPr="001B39BA">
        <w:rPr>
          <w:rFonts w:ascii="Arial" w:eastAsiaTheme="minorHAnsi" w:hAnsi="Arial" w:cs="Arial"/>
          <w:kern w:val="2"/>
          <w:lang w:val="en-SG" w:eastAsia="en-SG"/>
          <w14:ligatures w14:val="standardContextual"/>
        </w:rPr>
        <w:tab/>
      </w:r>
      <w:r w:rsidR="003C0D6F" w:rsidRPr="001B39BA">
        <w:rPr>
          <w:rFonts w:ascii="Arial" w:eastAsiaTheme="minorHAnsi" w:hAnsi="Arial" w:cs="Arial"/>
          <w:kern w:val="2"/>
          <w:lang w:val="en-SG" w:eastAsia="en-SG"/>
          <w14:ligatures w14:val="standardContextual"/>
        </w:rPr>
        <w:tab/>
      </w:r>
      <w:r w:rsidRPr="001B39BA">
        <w:rPr>
          <w:rFonts w:ascii="Arial" w:eastAsiaTheme="minorHAnsi" w:hAnsi="Arial" w:cs="Arial"/>
          <w:kern w:val="2"/>
          <w:lang w:val="en-SG" w:eastAsia="en-SG"/>
          <w14:ligatures w14:val="standardContextual"/>
        </w:rPr>
        <w:t>In summary, these theoretical perspectives collectively explain how work-specific characteristics function as psychological resources that influence guidance counselors' professional well-being. When guidance counselors effectively utilize and replenish resources such as empathy, genuineness, interpersonal competence, non-judgmental acceptance, and self-compassion, they are more likely to experience compassion satisfaction and sustained professional engagement. Conversely, when ongoing emotional demands and limited support deplete these resources, guidance counselors may experience compassion fatigue. Thus, integrating COR theory, Compassion Fatigue Theory, and the Professional Quality of Life Model provides a strong conceptual foundation for examining the relationships among work-specific characteristics, compassion satisfaction, and compassion fatigue among guidance counselors in Mindanao.</w:t>
      </w:r>
    </w:p>
    <w:p w14:paraId="1F69C097" w14:textId="77777777" w:rsidR="009A4D96" w:rsidRPr="001B39BA" w:rsidRDefault="00000000"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lastRenderedPageBreak/>
        <w:t>Conceptual Framework</w:t>
      </w:r>
    </w:p>
    <w:p w14:paraId="370E2CE9" w14:textId="77777777" w:rsidR="009A4D96" w:rsidRPr="001B39BA" w:rsidRDefault="009A4D96" w:rsidP="001B39BA">
      <w:pPr>
        <w:widowControl/>
        <w:autoSpaceDE/>
        <w:autoSpaceDN/>
        <w:spacing w:line="360" w:lineRule="auto"/>
        <w:jc w:val="both"/>
        <w:rPr>
          <w:rFonts w:ascii="Arial" w:eastAsiaTheme="minorHAnsi" w:hAnsi="Arial" w:cs="Arial"/>
          <w:kern w:val="2"/>
          <w:lang w:val="en-SG"/>
          <w14:ligatures w14:val="standardContextual"/>
        </w:rPr>
      </w:pPr>
    </w:p>
    <w:p w14:paraId="35DDA822" w14:textId="77777777" w:rsidR="009A4D96"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This study adopts a Structural Equation Modeling (SEM) framework to examine the direct, indirect, and total effects of work-specific characteristics on guidance counselors’ professional quality of life, specifically compassion fatigue and compassion satisfaction. The framework is designed to ensure full alignment with the Statement of the Problem by explicitly translating each research variable and hypothesized relationship into a coherent and empirically testable structural model. Through SEM, the study captures the simultaneous interplay between psychological resources and professional outcomes, enabling a more comprehensive understanding of both the positive and negative dimensions of counseling work.</w:t>
      </w:r>
    </w:p>
    <w:p w14:paraId="1387F0C1" w14:textId="77777777" w:rsidR="009A4D96"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At the core of the framework are work-specific characteristics, conceptualized as an exogenous latent construct. This variable represents the set of professional competencies and interpersonal dispositions that enable guidance counselors to effectively engage with clients and manage the emotional demands of their role. It is operationalized through five observed indicators: empathic understanding, genuineness, non-judgmental attitude, interpersonal skills, and self-compassion. These indicators collectively reflect essential helping skills and internal psychological resources that influence how guidance counselors respond to occupational stressors and client-related challenges.</w:t>
      </w:r>
    </w:p>
    <w:p w14:paraId="612BCBC4" w14:textId="77777777" w:rsidR="009A4D96"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model further includes two endogenous latent variables: compassion fatigue and compassion satisfaction. Compassion fatigue is treated as a mediating construct, reflecting the depletion of emotional and psychological resources resulting from prolonged exposure to clients' distress. It is indicated by burnout and secondary traumatic stress. In contrast, compassion satisfaction is positioned as the outcome variable, representing the positive dimension of helping work, including professional fulfillment, sense of meaning, and perceived effectiveness in one’s counseling role.</w:t>
      </w:r>
    </w:p>
    <w:p w14:paraId="6B9E5344" w14:textId="28223375" w:rsidR="00727735" w:rsidRPr="001B39BA" w:rsidRDefault="00727735"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Figure 1 presents the conceptual framework of the study variables, illustrating that work-specific characteristics influence both compassion fatigue and compassion satisfaction. The directional arrows in the model signify hypothesized causal relationships, suggesting that guidance counselors’ competencies shape their emotional experiences and professional outcomes. Specifically, higher levels of work-specific characteristics are expected to enhance guidance counselors’ capacity to manage emotional demands, </w:t>
      </w:r>
    </w:p>
    <w:p w14:paraId="68350C1F" w14:textId="7D9A6018" w:rsidR="009A4D96" w:rsidRPr="001B39BA" w:rsidRDefault="009A4D96"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561EED02" w14:textId="266584C3" w:rsidR="007F0459" w:rsidRPr="001B39BA" w:rsidRDefault="00727735"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noProof/>
          <w:kern w:val="2"/>
          <w:lang w:val="en-SG"/>
          <w14:ligatures w14:val="standardContextual"/>
        </w:rPr>
        <w:lastRenderedPageBreak/>
        <w:drawing>
          <wp:anchor distT="0" distB="0" distL="0" distR="0" simplePos="0" relativeHeight="251660288" behindDoc="1" locked="0" layoutInCell="1" allowOverlap="1" wp14:anchorId="37267EEC" wp14:editId="3FD0CF36">
            <wp:simplePos x="0" y="0"/>
            <wp:positionH relativeFrom="page">
              <wp:posOffset>1697990</wp:posOffset>
            </wp:positionH>
            <wp:positionV relativeFrom="paragraph">
              <wp:posOffset>87630</wp:posOffset>
            </wp:positionV>
            <wp:extent cx="4784090" cy="2839085"/>
            <wp:effectExtent l="0" t="0" r="0" b="0"/>
            <wp:wrapTopAndBottom/>
            <wp:docPr id="1015445710" name="Image 11"/>
            <wp:cNvGraphicFramePr/>
            <a:graphic xmlns:a="http://schemas.openxmlformats.org/drawingml/2006/main">
              <a:graphicData uri="http://schemas.openxmlformats.org/drawingml/2006/picture">
                <pic:pic xmlns:pic="http://schemas.openxmlformats.org/drawingml/2006/picture">
                  <pic:nvPicPr>
                    <pic:cNvPr id="1015445710" name="Image 11"/>
                    <pic:cNvPicPr/>
                  </pic:nvPicPr>
                  <pic:blipFill>
                    <a:blip r:embed="rId10" cstate="print"/>
                    <a:srcRect l="3718" b="3181"/>
                    <a:stretch>
                      <a:fillRect/>
                    </a:stretch>
                  </pic:blipFill>
                  <pic:spPr bwMode="auto">
                    <a:xfrm>
                      <a:off x="0" y="0"/>
                      <a:ext cx="4784090" cy="283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774734" w14:textId="12073B53" w:rsidR="009A4D96" w:rsidRPr="001B39BA" w:rsidRDefault="00000000"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Figure 1. Conceptual Framework of Work-Specific Characteristics and Their Roles in </w:t>
      </w:r>
    </w:p>
    <w:p w14:paraId="29F3A228" w14:textId="293AF050" w:rsidR="009A4D96" w:rsidRPr="001B39BA" w:rsidRDefault="00000000"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               Guidance Counselors’ Compassion Fatigue and Compassion Satisfaction</w:t>
      </w:r>
    </w:p>
    <w:p w14:paraId="6A15B61D" w14:textId="39D93780" w:rsidR="009A4D96" w:rsidRPr="001B39BA" w:rsidRDefault="009A4D96" w:rsidP="001B39BA">
      <w:pPr>
        <w:widowControl/>
        <w:autoSpaceDE/>
        <w:autoSpaceDN/>
        <w:spacing w:line="360" w:lineRule="auto"/>
        <w:jc w:val="both"/>
        <w:rPr>
          <w:rFonts w:ascii="Arial" w:eastAsiaTheme="minorHAnsi" w:hAnsi="Arial" w:cs="Arial"/>
          <w:kern w:val="2"/>
          <w:lang w:val="en-SG"/>
          <w14:ligatures w14:val="standardContextual"/>
        </w:rPr>
      </w:pPr>
    </w:p>
    <w:p w14:paraId="431CCEB4" w14:textId="767C44C1" w:rsidR="00727735" w:rsidRPr="001B39BA" w:rsidRDefault="00727735" w:rsidP="00727735">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MS Mincho" w:hAnsi="Arial" w:cs="Arial"/>
          <w:noProof/>
        </w:rPr>
        <w:drawing>
          <wp:anchor distT="0" distB="0" distL="114300" distR="114300" simplePos="0" relativeHeight="251661312" behindDoc="1" locked="0" layoutInCell="1" allowOverlap="1" wp14:anchorId="5C2CD7CD" wp14:editId="3629B51E">
            <wp:simplePos x="0" y="0"/>
            <wp:positionH relativeFrom="column">
              <wp:posOffset>31750</wp:posOffset>
            </wp:positionH>
            <wp:positionV relativeFrom="paragraph">
              <wp:posOffset>401955</wp:posOffset>
            </wp:positionV>
            <wp:extent cx="5195570" cy="3754120"/>
            <wp:effectExtent l="0" t="0" r="5080" b="0"/>
            <wp:wrapNone/>
            <wp:docPr id="1499458847" name="Picture 1499458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58847" name="ChatGPT Image Apr 1, 2026, 02_08_08 PM.png"/>
                    <pic:cNvPicPr/>
                  </pic:nvPicPr>
                  <pic:blipFill>
                    <a:blip r:embed="rId11" cstate="print">
                      <a:extLst>
                        <a:ext uri="{28A0092B-C50C-407E-A947-70E740481C1C}">
                          <a14:useLocalDpi xmlns:a14="http://schemas.microsoft.com/office/drawing/2010/main" val="0"/>
                        </a:ext>
                      </a:extLst>
                    </a:blip>
                    <a:srcRect b="22917"/>
                    <a:stretch>
                      <a:fillRect/>
                    </a:stretch>
                  </pic:blipFill>
                  <pic:spPr bwMode="auto">
                    <a:xfrm>
                      <a:off x="0" y="0"/>
                      <a:ext cx="5195570" cy="37541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B39BA">
        <w:rPr>
          <w:rFonts w:ascii="Arial" w:eastAsiaTheme="minorHAnsi" w:hAnsi="Arial" w:cs="Arial"/>
          <w:kern w:val="2"/>
          <w:lang w:val="en-SG"/>
          <w14:ligatures w14:val="standardContextual"/>
        </w:rPr>
        <w:t>thereby reducing vulnerability to compassion fatigue and increasing levels of compassion satisfaction.</w:t>
      </w:r>
    </w:p>
    <w:p w14:paraId="5DF85AB7" w14:textId="03267C54" w:rsidR="009A4D96" w:rsidRPr="001B39BA" w:rsidRDefault="009A4D96"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1BBD09B5" w14:textId="393D916C" w:rsidR="009A4D96" w:rsidRPr="001B39BA" w:rsidRDefault="009A4D96"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3E2A1575" w14:textId="77777777" w:rsidR="009A4D96" w:rsidRPr="001B39BA" w:rsidRDefault="009A4D96"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6F8605E3" w14:textId="77777777" w:rsidR="009A4D96" w:rsidRPr="001B39BA" w:rsidRDefault="009A4D96"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039CD43F" w14:textId="77777777" w:rsidR="009A4D96" w:rsidRPr="001B39BA" w:rsidRDefault="009A4D96"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32873540" w14:textId="77777777" w:rsidR="009A4D96" w:rsidRPr="001B39BA" w:rsidRDefault="009A4D96"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0812B337" w14:textId="77777777" w:rsidR="009A4D96" w:rsidRPr="001B39BA" w:rsidRDefault="009A4D96"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50720C16" w14:textId="77777777" w:rsidR="009A4D96" w:rsidRPr="001B39BA" w:rsidRDefault="009A4D96"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4246904B" w14:textId="77777777" w:rsidR="009A4D96" w:rsidRPr="001B39BA" w:rsidRDefault="009A4D96"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281A6118" w14:textId="77777777" w:rsidR="009A4D96" w:rsidRPr="001B39BA" w:rsidRDefault="009A4D96"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170B9303" w14:textId="77777777" w:rsidR="009A4D96" w:rsidRPr="001B39BA" w:rsidRDefault="009A4D96"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3213A3E5" w14:textId="77777777" w:rsidR="009A4D96" w:rsidRPr="001B39BA" w:rsidRDefault="009A4D96"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36835ECF" w14:textId="77777777" w:rsidR="009A4D96" w:rsidRPr="001B39BA" w:rsidRDefault="009A4D96"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6AF4F691" w14:textId="77777777" w:rsidR="00B602C8" w:rsidRDefault="00B602C8"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68D90423" w14:textId="5909E076" w:rsidR="009A4D96"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Fig. 2 Hypothesized Model of Work-Specific Characteristics and Their Roles </w:t>
      </w:r>
    </w:p>
    <w:p w14:paraId="6880A3DB" w14:textId="77777777" w:rsidR="009A4D96" w:rsidRPr="001B39BA" w:rsidRDefault="00000000"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                      In Guidance Counselors' Compassion, Satisfaction, and Compassion </w:t>
      </w:r>
    </w:p>
    <w:p w14:paraId="6604625C" w14:textId="77777777" w:rsidR="009A4D96"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lastRenderedPageBreak/>
        <w:t xml:space="preserve">Moreover, Figure 2 presents both the measurement and structural components of the model, including latent constructs, observed indicators, and hypothesized causal pathways. It visually represents the direct, indirect, and total effects among variables, as well as the mediating role of compassion fatigue. Each structural path illustrated in Figure 2 directly corresponds to the statement of the Problem. </w:t>
      </w:r>
    </w:p>
    <w:p w14:paraId="513E596F" w14:textId="77777777" w:rsidR="009A4D96"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path from work-specific characteristics to compassion fatigue examines the influence on negative professional outcomes. In contrast, the path from work-specific characteristics to compassion satisfaction examines the influence on positive professional outcomes. Moreover, to provide a more precise explanation of these relationships, the framework specifies a directional structural pathway consistent with SEM principles. Work-specific characteristics are hypothesized to exert a direct effect on compassion fatigue (path a), such that stronger professional competencies reduce emotional exhaustion and secondary traumatic stress. They are also hypothesized to have a direct effect on compassion satisfaction (path c’), reflecting their contribution to positive professional outcomes such as fulfillment and effectiveness. Furthermore, compassion fatigue is hypothesized to have a direct negative effect on compassion satisfaction (path b), indicating that increased emotional strain diminishes guidance counselors’ professional well-being.</w:t>
      </w:r>
    </w:p>
    <w:p w14:paraId="5FF9D462" w14:textId="77777777" w:rsidR="009A4D96"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In addition to these direct effects, the model includes an indirect pathway in which compassion fatigue mediates the relationship between work-specific characteristics and compassion satisfaction (a × b). This mediating mechanism explains how internal psychological resources influence positive professional outcomes by affecting emotional strain. Consequently, the total effect of work-specific characteristics on compassion satisfaction is understood as the combined influence of both direct and indirect pathways.</w:t>
      </w:r>
    </w:p>
    <w:p w14:paraId="0E55A45F" w14:textId="77777777" w:rsidR="009A4D96"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framework is theoretically anchored in the Conservation of Resources (COR) Theory, which posits that individuals strive to acquire, maintain, and protect valuable resources. Within this context, work-specific characteristics are conceptualized as critical internal resources that buffer against resource loss and facilitate resource gain.</w:t>
      </w:r>
    </w:p>
    <w:p w14:paraId="068F9227" w14:textId="77777777" w:rsidR="009A4D96"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To ensure a full SEM specification, the model comprises two interrelated components: the measurement model and the structural model. The measurement model defines the relationships between latent constructs and their observed indicators, while the structural model specifies the directional relationships among the latent variables. The hypotheses of the study are explicitly embedded within this SEM framework. Specifically, Ha 1 examines the direct effect of work-specific characteristics on compassion fatigue </w:t>
      </w:r>
      <w:r w:rsidRPr="001B39BA">
        <w:rPr>
          <w:rFonts w:ascii="Arial" w:eastAsiaTheme="minorHAnsi" w:hAnsi="Arial" w:cs="Arial"/>
          <w:kern w:val="2"/>
          <w:lang w:val="en-SG"/>
          <w14:ligatures w14:val="standardContextual"/>
        </w:rPr>
        <w:lastRenderedPageBreak/>
        <w:t>(path a). Ha 2 examines the direct effect of work-specific characteristics on compassion satisfaction (path c’). Ha 3 examines the direct effect of compassion fatigue on compassion satisfaction (path b). Ha 4 examines the mediating effect of compassion fatigue on the relationship between work-specific characteristics and compassion satisfaction (a × b). Based on these specified relationships, the conceptual framework is translated into a full Structural Equation Model (SEM).</w:t>
      </w:r>
    </w:p>
    <w:p w14:paraId="4CE69A24" w14:textId="77777777" w:rsidR="009A4D96"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path from compassion fatigue to compassion satisfaction examines the impact of emotional strain on professional well-being, and the mediating pathway represents the study's indirect effect. Additionally, the inclusion of latent variables, observed indicators, and error terms ensures that the model satisfies both the measurement and structural requirements of SEM. Thus, Figure 2 serves as an empirical representation of the conceptual framework, demonstrating how theoretical assumptions, research variables, and hypotheses are systematically integrated into a coherent and testable model.</w:t>
      </w:r>
    </w:p>
    <w:p w14:paraId="45B424DB" w14:textId="77777777" w:rsidR="003C0D6F" w:rsidRPr="001B39BA" w:rsidRDefault="003C0D6F"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2AF6ADDE" w14:textId="77777777" w:rsidR="00EE0682" w:rsidRPr="001B39BA" w:rsidRDefault="00000000" w:rsidP="001B39BA">
      <w:pPr>
        <w:widowControl/>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Statement of the Problem</w:t>
      </w:r>
    </w:p>
    <w:p w14:paraId="5478DBFD" w14:textId="77777777" w:rsidR="00EE0682" w:rsidRPr="001B39BA" w:rsidRDefault="00000000" w:rsidP="001B39BA">
      <w:pPr>
        <w:widowControl/>
        <w:autoSpaceDE/>
        <w:autoSpaceDN/>
        <w:spacing w:after="160"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This study examines the interrelationships among guidance counselors' work-specific characteristics, compassion fatigue, and compassion satisfaction in order to determine the best-fit structural model explaining their professional well-being. Structural Equation Modeling (SEM) is employed to examine the direct, indirect, and total effects among these constructs. The proposed model is grounded in Conservation of Resources Theory, Compassion Fatigue Theory, and the Professional Quality of Life Model, which collectively explain how personal resources and professional competencies may protect guidance counselors from emotional exhaustion while enhancing positive professional experiences. </w:t>
      </w:r>
    </w:p>
    <w:p w14:paraId="3B9C578C" w14:textId="77777777" w:rsidR="00EE0682" w:rsidRPr="001B39BA" w:rsidRDefault="00000000" w:rsidP="001B39BA">
      <w:pPr>
        <w:widowControl/>
        <w:autoSpaceDE/>
        <w:autoSpaceDN/>
        <w:spacing w:after="160"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Specifically, the study seeks to answer the following questions:</w:t>
      </w:r>
    </w:p>
    <w:p w14:paraId="77D75924" w14:textId="77777777" w:rsidR="00EE0682" w:rsidRPr="001B39BA" w:rsidRDefault="00000000" w:rsidP="001B39BA">
      <w:pPr>
        <w:widowControl/>
        <w:numPr>
          <w:ilvl w:val="0"/>
          <w:numId w:val="4"/>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What is the level of guidance counselors' work-specific characteristics in terms of:</w:t>
      </w:r>
    </w:p>
    <w:p w14:paraId="1B83BEA1" w14:textId="77777777" w:rsidR="00EE0682" w:rsidRPr="001B39BA" w:rsidRDefault="00000000" w:rsidP="001B39BA">
      <w:pPr>
        <w:widowControl/>
        <w:autoSpaceDE/>
        <w:autoSpaceDN/>
        <w:spacing w:after="160" w:line="360" w:lineRule="auto"/>
        <w:ind w:left="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1.1 empathic understanding,</w:t>
      </w:r>
    </w:p>
    <w:p w14:paraId="2834E667" w14:textId="77777777" w:rsidR="00EE0682" w:rsidRPr="001B39BA" w:rsidRDefault="00000000" w:rsidP="001B39BA">
      <w:pPr>
        <w:widowControl/>
        <w:autoSpaceDE/>
        <w:autoSpaceDN/>
        <w:spacing w:after="160" w:line="360" w:lineRule="auto"/>
        <w:ind w:left="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1.2 genuineness,</w:t>
      </w:r>
    </w:p>
    <w:p w14:paraId="1077D4F0" w14:textId="77777777" w:rsidR="00EE0682" w:rsidRPr="001B39BA" w:rsidRDefault="00000000" w:rsidP="001B39BA">
      <w:pPr>
        <w:widowControl/>
        <w:autoSpaceDE/>
        <w:autoSpaceDN/>
        <w:spacing w:after="160" w:line="360" w:lineRule="auto"/>
        <w:ind w:left="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1.3 non-judgmental attitude,</w:t>
      </w:r>
    </w:p>
    <w:p w14:paraId="6030B4A8" w14:textId="77777777" w:rsidR="00EE0682" w:rsidRPr="001B39BA" w:rsidRDefault="00000000" w:rsidP="001B39BA">
      <w:pPr>
        <w:widowControl/>
        <w:autoSpaceDE/>
        <w:autoSpaceDN/>
        <w:spacing w:after="160" w:line="360" w:lineRule="auto"/>
        <w:ind w:left="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1.4 interpersonal skills, and</w:t>
      </w:r>
    </w:p>
    <w:p w14:paraId="478F7715" w14:textId="77777777" w:rsidR="00EE0682" w:rsidRPr="001B39BA" w:rsidRDefault="00000000" w:rsidP="001B39BA">
      <w:pPr>
        <w:widowControl/>
        <w:autoSpaceDE/>
        <w:autoSpaceDN/>
        <w:spacing w:after="160" w:line="360" w:lineRule="auto"/>
        <w:ind w:left="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1.5 self-compassion?</w:t>
      </w:r>
    </w:p>
    <w:p w14:paraId="65D8499A" w14:textId="77777777" w:rsidR="00EE0682" w:rsidRPr="001B39BA" w:rsidRDefault="00000000" w:rsidP="001B39BA">
      <w:pPr>
        <w:widowControl/>
        <w:numPr>
          <w:ilvl w:val="0"/>
          <w:numId w:val="4"/>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lastRenderedPageBreak/>
        <w:t>What is the level of guidance counselors' compassion satisfaction?</w:t>
      </w:r>
    </w:p>
    <w:p w14:paraId="358C8525" w14:textId="77777777" w:rsidR="00EE0682" w:rsidRPr="001B39BA" w:rsidRDefault="00000000" w:rsidP="001B39BA">
      <w:pPr>
        <w:widowControl/>
        <w:numPr>
          <w:ilvl w:val="0"/>
          <w:numId w:val="4"/>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What is the level of guidance counselors' compassion fatigue in terms of:</w:t>
      </w:r>
    </w:p>
    <w:p w14:paraId="6ADC9B01" w14:textId="77777777" w:rsidR="00EE0682" w:rsidRPr="001B39BA" w:rsidRDefault="00000000" w:rsidP="001B39BA">
      <w:pPr>
        <w:widowControl/>
        <w:autoSpaceDE/>
        <w:autoSpaceDN/>
        <w:spacing w:after="160" w:line="360" w:lineRule="auto"/>
        <w:ind w:left="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3.1 burnout, and</w:t>
      </w:r>
    </w:p>
    <w:p w14:paraId="2C3368E7" w14:textId="77777777" w:rsidR="00EE0682" w:rsidRPr="001B39BA" w:rsidRDefault="00000000" w:rsidP="001B39BA">
      <w:pPr>
        <w:widowControl/>
        <w:autoSpaceDE/>
        <w:autoSpaceDN/>
        <w:spacing w:after="160" w:line="360" w:lineRule="auto"/>
        <w:ind w:left="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3.2 Secondary traumatic stress?</w:t>
      </w:r>
    </w:p>
    <w:p w14:paraId="4B4C435A" w14:textId="77777777" w:rsidR="00EE0682" w:rsidRPr="001B39BA" w:rsidRDefault="00000000" w:rsidP="001B39BA">
      <w:pPr>
        <w:widowControl/>
        <w:numPr>
          <w:ilvl w:val="0"/>
          <w:numId w:val="4"/>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Do work-specific characteristics in terms of emphatic understanding, genuineness, non-judgmental attitude, interpersonal skills, and self-compassion significantly influence compassion satisfaction?</w:t>
      </w:r>
    </w:p>
    <w:p w14:paraId="47C0C0F1" w14:textId="77777777" w:rsidR="00EE0682" w:rsidRPr="001B39BA" w:rsidRDefault="00000000" w:rsidP="001B39BA">
      <w:pPr>
        <w:widowControl/>
        <w:numPr>
          <w:ilvl w:val="0"/>
          <w:numId w:val="4"/>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Do work-specific characteristics in terms of emphatic understanding, genuineness, non-judgmental attitude, interpersonal skills, and self-compassion significantly influence compassion fatigue?</w:t>
      </w:r>
    </w:p>
    <w:p w14:paraId="48B6B0F2" w14:textId="77777777" w:rsidR="00EE0682" w:rsidRPr="001B39BA" w:rsidRDefault="00000000" w:rsidP="001B39BA">
      <w:pPr>
        <w:widowControl/>
        <w:numPr>
          <w:ilvl w:val="0"/>
          <w:numId w:val="4"/>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What is the mediating effect of work-specific characteristics in terms of emphatic understanding, genuineness, non-judgmental attitude, interpersonal skills, and self-compassion on the relationship between compassion satisfaction and compassion fatigue?</w:t>
      </w:r>
    </w:p>
    <w:p w14:paraId="23AF1420" w14:textId="77777777" w:rsidR="00EE0682" w:rsidRPr="001B39BA" w:rsidRDefault="00000000" w:rsidP="001B39BA">
      <w:pPr>
        <w:widowControl/>
        <w:numPr>
          <w:ilvl w:val="0"/>
          <w:numId w:val="4"/>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Do compassion fatigue, burnout, and secondary stress trauma significantly influence compassion satisfaction?</w:t>
      </w:r>
    </w:p>
    <w:p w14:paraId="0EA3CBCC" w14:textId="77777777" w:rsidR="00EE0682" w:rsidRPr="001B39BA" w:rsidRDefault="00000000" w:rsidP="001B39BA">
      <w:pPr>
        <w:widowControl/>
        <w:numPr>
          <w:ilvl w:val="0"/>
          <w:numId w:val="4"/>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Do work-specific characteristics in terms of emphatic understanding, genuineness, non-judgmental attitude, interpersonal skills, and self-compassion significantly predict compassion satisfaction and compassion fatigue?</w:t>
      </w:r>
    </w:p>
    <w:p w14:paraId="3CCDFF1E" w14:textId="77777777" w:rsidR="00EE0682" w:rsidRPr="001B39BA" w:rsidRDefault="00000000" w:rsidP="001B39BA">
      <w:pPr>
        <w:widowControl/>
        <w:numPr>
          <w:ilvl w:val="0"/>
          <w:numId w:val="4"/>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Are the interactions among the indicators in work-specific characteristics, empathic understanding, genuineness, non-judgmental attitude, interpersonal skills, and self-compassion statistically significant?</w:t>
      </w:r>
    </w:p>
    <w:p w14:paraId="45C0E99B" w14:textId="77777777" w:rsidR="00EE0682" w:rsidRPr="001B39BA" w:rsidRDefault="00000000" w:rsidP="001B39BA">
      <w:pPr>
        <w:widowControl/>
        <w:numPr>
          <w:ilvl w:val="0"/>
          <w:numId w:val="4"/>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Do the empirical data fit the hypothesized model for the role of work-specific characteristics in terms of emphatic understanding, genuineness, non-judgmental attitude, interpersonal skills, and self-compassion with compassion fatigue and compassion satisfaction?</w:t>
      </w:r>
    </w:p>
    <w:p w14:paraId="14CEB2A2" w14:textId="77777777" w:rsidR="00B72BF9" w:rsidRDefault="00B72BF9" w:rsidP="001B39BA">
      <w:pPr>
        <w:widowControl/>
        <w:autoSpaceDE/>
        <w:autoSpaceDN/>
        <w:spacing w:after="160" w:line="360" w:lineRule="auto"/>
        <w:jc w:val="both"/>
        <w:rPr>
          <w:rFonts w:ascii="Arial" w:eastAsiaTheme="minorHAnsi" w:hAnsi="Arial" w:cs="Arial"/>
          <w:kern w:val="2"/>
          <w:lang w:val="en-SG"/>
          <w14:ligatures w14:val="standardContextual"/>
        </w:rPr>
      </w:pPr>
    </w:p>
    <w:p w14:paraId="342F8B88" w14:textId="77777777" w:rsidR="00727735" w:rsidRDefault="00727735" w:rsidP="001B39BA">
      <w:pPr>
        <w:widowControl/>
        <w:autoSpaceDE/>
        <w:autoSpaceDN/>
        <w:spacing w:after="160" w:line="360" w:lineRule="auto"/>
        <w:jc w:val="both"/>
        <w:rPr>
          <w:rFonts w:ascii="Arial" w:eastAsiaTheme="minorHAnsi" w:hAnsi="Arial" w:cs="Arial"/>
          <w:kern w:val="2"/>
          <w:lang w:val="en-SG"/>
          <w14:ligatures w14:val="standardContextual"/>
        </w:rPr>
      </w:pPr>
    </w:p>
    <w:p w14:paraId="2D6F0CC8" w14:textId="77777777" w:rsidR="00727735" w:rsidRPr="001B39BA" w:rsidRDefault="00727735" w:rsidP="001B39BA">
      <w:pPr>
        <w:widowControl/>
        <w:autoSpaceDE/>
        <w:autoSpaceDN/>
        <w:spacing w:after="160" w:line="360" w:lineRule="auto"/>
        <w:jc w:val="both"/>
        <w:rPr>
          <w:rFonts w:ascii="Arial" w:eastAsiaTheme="minorHAnsi" w:hAnsi="Arial" w:cs="Arial"/>
          <w:kern w:val="2"/>
          <w:lang w:val="en-SG"/>
          <w14:ligatures w14:val="standardContextual"/>
        </w:rPr>
      </w:pPr>
    </w:p>
    <w:p w14:paraId="58A7A3BA" w14:textId="77777777" w:rsidR="00EE0682" w:rsidRPr="001B39BA" w:rsidRDefault="00000000" w:rsidP="001B39BA">
      <w:pPr>
        <w:widowControl/>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lastRenderedPageBreak/>
        <w:t>Hypothes</w:t>
      </w:r>
      <w:r w:rsidR="000A5DBE" w:rsidRPr="001B39BA">
        <w:rPr>
          <w:rFonts w:ascii="Arial" w:eastAsiaTheme="minorHAnsi" w:hAnsi="Arial" w:cs="Arial"/>
          <w:kern w:val="2"/>
          <w:lang w:val="en-SG"/>
          <w14:ligatures w14:val="standardContextual"/>
        </w:rPr>
        <w:t>e</w:t>
      </w:r>
      <w:r w:rsidRPr="001B39BA">
        <w:rPr>
          <w:rFonts w:ascii="Arial" w:eastAsiaTheme="minorHAnsi" w:hAnsi="Arial" w:cs="Arial"/>
          <w:kern w:val="2"/>
          <w:lang w:val="en-SG"/>
          <w14:ligatures w14:val="standardContextual"/>
        </w:rPr>
        <w:t>s</w:t>
      </w:r>
    </w:p>
    <w:p w14:paraId="3240FD39" w14:textId="77777777" w:rsidR="00EE0682" w:rsidRPr="001B39BA" w:rsidRDefault="00000000" w:rsidP="001B39BA">
      <w:pPr>
        <w:widowControl/>
        <w:autoSpaceDE/>
        <w:autoSpaceDN/>
        <w:spacing w:after="160"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Based on the conceptual framework and assuming the sample is normally distributed, the following hypotheses will be tested at the 0.05 significance level.</w:t>
      </w:r>
    </w:p>
    <w:p w14:paraId="023F47B5" w14:textId="77777777" w:rsidR="003C0D6F" w:rsidRPr="001B39BA" w:rsidRDefault="00000000"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Ha</w:t>
      </w:r>
      <w:r w:rsidRPr="001B39BA">
        <w:rPr>
          <w:rFonts w:ascii="Arial" w:eastAsiaTheme="minorHAnsi" w:hAnsi="Arial" w:cs="Arial"/>
          <w:b/>
          <w:bCs/>
          <w:kern w:val="2"/>
          <w:lang w:val="en-SG"/>
          <w14:ligatures w14:val="standardContextual"/>
        </w:rPr>
        <w:t xml:space="preserve"> </w:t>
      </w:r>
      <w:r w:rsidRPr="001B39BA">
        <w:rPr>
          <w:rFonts w:ascii="Cambria Math" w:eastAsiaTheme="minorHAnsi" w:hAnsi="Cambria Math" w:cs="Cambria Math"/>
          <w:b/>
          <w:bCs/>
          <w:kern w:val="2"/>
          <w:lang w:val="en-SG"/>
          <w14:ligatures w14:val="standardContextual"/>
        </w:rPr>
        <w:t>₁</w:t>
      </w:r>
      <w:r w:rsidRPr="001B39BA">
        <w:rPr>
          <w:rFonts w:ascii="Arial" w:eastAsiaTheme="minorHAnsi" w:hAnsi="Arial" w:cs="Arial"/>
          <w:b/>
          <w:bCs/>
          <w:kern w:val="2"/>
          <w:lang w:val="en-SG"/>
          <w14:ligatures w14:val="standardContextual"/>
        </w:rPr>
        <w:t>:</w:t>
      </w:r>
      <w:r w:rsidRPr="001B39BA">
        <w:rPr>
          <w:rFonts w:ascii="Arial" w:eastAsiaTheme="minorHAnsi" w:hAnsi="Arial" w:cs="Arial"/>
          <w:kern w:val="2"/>
          <w:lang w:val="en-SG"/>
          <w14:ligatures w14:val="standardContextual"/>
        </w:rPr>
        <w:t xml:space="preserve"> </w:t>
      </w:r>
      <w:r w:rsidRPr="001B39BA">
        <w:rPr>
          <w:rFonts w:ascii="Arial" w:eastAsiaTheme="minorHAnsi" w:hAnsi="Arial" w:cs="Arial"/>
          <w:kern w:val="2"/>
          <w:lang w:val="en-SG"/>
          <w14:ligatures w14:val="standardContextual"/>
        </w:rPr>
        <w:tab/>
        <w:t xml:space="preserve">Work-specific characteristics in terms of empathic understanding, genuineness, </w:t>
      </w:r>
    </w:p>
    <w:p w14:paraId="50AE8F9E" w14:textId="77777777" w:rsidR="003C0D6F"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non-judgmental attitude, interpersonal skills, and self-compassion significantly </w:t>
      </w:r>
    </w:p>
    <w:p w14:paraId="53C88853" w14:textId="77777777" w:rsidR="00EE0682"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influences compassion satisfaction.</w:t>
      </w:r>
    </w:p>
    <w:p w14:paraId="4F22C685" w14:textId="77777777" w:rsidR="00EE0682" w:rsidRPr="001B39BA" w:rsidRDefault="00EE0682"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0426CB84" w14:textId="77777777" w:rsidR="003C0D6F" w:rsidRPr="001B39BA" w:rsidRDefault="00000000"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Ha </w:t>
      </w:r>
      <w:r w:rsidRPr="001B39BA">
        <w:rPr>
          <w:rFonts w:ascii="Cambria Math" w:eastAsiaTheme="minorHAnsi" w:hAnsi="Cambria Math" w:cs="Cambria Math"/>
          <w:b/>
          <w:bCs/>
          <w:kern w:val="2"/>
          <w:lang w:val="en-SG"/>
          <w14:ligatures w14:val="standardContextual"/>
        </w:rPr>
        <w:t>₂</w:t>
      </w:r>
      <w:r w:rsidRPr="001B39BA">
        <w:rPr>
          <w:rFonts w:ascii="Arial" w:eastAsiaTheme="minorHAnsi" w:hAnsi="Arial" w:cs="Arial"/>
          <w:b/>
          <w:bCs/>
          <w:kern w:val="2"/>
          <w:lang w:val="en-SG"/>
          <w14:ligatures w14:val="standardContextual"/>
        </w:rPr>
        <w:t>:</w:t>
      </w:r>
      <w:r w:rsidRPr="001B39BA">
        <w:rPr>
          <w:rFonts w:ascii="Arial" w:eastAsiaTheme="minorHAnsi" w:hAnsi="Arial" w:cs="Arial"/>
          <w:kern w:val="2"/>
          <w:lang w:val="en-SG"/>
          <w14:ligatures w14:val="standardContextual"/>
        </w:rPr>
        <w:t xml:space="preserve"> </w:t>
      </w:r>
      <w:r w:rsidRPr="001B39BA">
        <w:rPr>
          <w:rFonts w:ascii="Arial" w:eastAsiaTheme="minorHAnsi" w:hAnsi="Arial" w:cs="Arial"/>
          <w:kern w:val="2"/>
          <w:lang w:val="en-SG"/>
          <w14:ligatures w14:val="standardContextual"/>
        </w:rPr>
        <w:tab/>
        <w:t xml:space="preserve">Work-specific characteristics in terms of empathic understanding, genuineness, </w:t>
      </w:r>
    </w:p>
    <w:p w14:paraId="5F5A2958" w14:textId="77777777" w:rsidR="003C0D6F"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non-judgmental attitude, interpersonal skills, and self-Compassion significantly </w:t>
      </w:r>
    </w:p>
    <w:p w14:paraId="20F0FD1F" w14:textId="77777777" w:rsidR="00EE0682"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influences compassion fatigue.</w:t>
      </w:r>
    </w:p>
    <w:p w14:paraId="582B542B" w14:textId="77777777" w:rsidR="003C0D6F" w:rsidRPr="001B39BA" w:rsidRDefault="00000000"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Ha</w:t>
      </w:r>
      <w:r w:rsidRPr="001B39BA">
        <w:rPr>
          <w:rFonts w:ascii="Arial" w:eastAsiaTheme="minorHAnsi" w:hAnsi="Arial" w:cs="Arial"/>
          <w:b/>
          <w:bCs/>
          <w:kern w:val="2"/>
          <w:lang w:val="en-SG"/>
          <w14:ligatures w14:val="standardContextual"/>
        </w:rPr>
        <w:t xml:space="preserve"> </w:t>
      </w:r>
      <w:r w:rsidRPr="001B39BA">
        <w:rPr>
          <w:rFonts w:ascii="Cambria Math" w:eastAsiaTheme="minorHAnsi" w:hAnsi="Cambria Math" w:cs="Cambria Math"/>
          <w:b/>
          <w:bCs/>
          <w:kern w:val="2"/>
          <w:lang w:val="en-SG"/>
          <w14:ligatures w14:val="standardContextual"/>
        </w:rPr>
        <w:t>₃</w:t>
      </w:r>
      <w:r w:rsidRPr="001B39BA">
        <w:rPr>
          <w:rFonts w:ascii="Arial" w:eastAsiaTheme="minorHAnsi" w:hAnsi="Arial" w:cs="Arial"/>
          <w:b/>
          <w:bCs/>
          <w:kern w:val="2"/>
          <w:lang w:val="en-SG"/>
          <w14:ligatures w14:val="standardContextual"/>
        </w:rPr>
        <w:t>:</w:t>
      </w:r>
      <w:r w:rsidRPr="001B39BA">
        <w:rPr>
          <w:rFonts w:ascii="Arial" w:eastAsiaTheme="minorHAnsi" w:hAnsi="Arial" w:cs="Arial"/>
          <w:kern w:val="2"/>
          <w:lang w:val="en-SG"/>
          <w14:ligatures w14:val="standardContextual"/>
        </w:rPr>
        <w:t xml:space="preserve"> </w:t>
      </w:r>
      <w:r w:rsidRPr="001B39BA">
        <w:rPr>
          <w:rFonts w:ascii="Arial" w:eastAsiaTheme="minorHAnsi" w:hAnsi="Arial" w:cs="Arial"/>
          <w:kern w:val="2"/>
          <w:lang w:val="en-SG"/>
          <w14:ligatures w14:val="standardContextual"/>
        </w:rPr>
        <w:tab/>
        <w:t xml:space="preserve">Work-specific characteristics in terms of empathic understanding, genuineness, </w:t>
      </w:r>
    </w:p>
    <w:p w14:paraId="1148E185" w14:textId="77777777" w:rsidR="003C0D6F"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A non-judgmental attitude, interpersonal skills, and self-compassion are significant </w:t>
      </w:r>
    </w:p>
    <w:p w14:paraId="3400745F" w14:textId="77777777" w:rsidR="00EE0682"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mediator between compassion fatigue and compassion satisfaction.</w:t>
      </w:r>
    </w:p>
    <w:p w14:paraId="107D3E2D" w14:textId="77777777" w:rsidR="00EE0682" w:rsidRPr="001B39BA" w:rsidRDefault="00EE0682" w:rsidP="001B39BA">
      <w:pPr>
        <w:widowControl/>
        <w:autoSpaceDE/>
        <w:autoSpaceDN/>
        <w:spacing w:line="360" w:lineRule="auto"/>
        <w:jc w:val="both"/>
        <w:rPr>
          <w:rFonts w:ascii="Arial" w:eastAsiaTheme="minorHAnsi" w:hAnsi="Arial" w:cs="Arial"/>
          <w:kern w:val="2"/>
          <w:lang w:val="en-SG"/>
          <w14:ligatures w14:val="standardContextual"/>
        </w:rPr>
      </w:pPr>
    </w:p>
    <w:p w14:paraId="2FC6F9C6" w14:textId="77777777" w:rsidR="003C0D6F" w:rsidRPr="001B39BA" w:rsidRDefault="00000000"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Ha</w:t>
      </w:r>
      <w:r w:rsidRPr="001B39BA">
        <w:rPr>
          <w:rFonts w:ascii="Arial" w:eastAsiaTheme="minorHAnsi" w:hAnsi="Arial" w:cs="Arial"/>
          <w:b/>
          <w:bCs/>
          <w:kern w:val="2"/>
          <w:lang w:val="en-SG"/>
          <w14:ligatures w14:val="standardContextual"/>
        </w:rPr>
        <w:t xml:space="preserve"> </w:t>
      </w:r>
      <w:r w:rsidRPr="001B39BA">
        <w:rPr>
          <w:rFonts w:ascii="Cambria Math" w:eastAsiaTheme="minorHAnsi" w:hAnsi="Cambria Math" w:cs="Cambria Math"/>
          <w:b/>
          <w:bCs/>
          <w:kern w:val="2"/>
          <w:lang w:val="en-SG"/>
          <w14:ligatures w14:val="standardContextual"/>
        </w:rPr>
        <w:t>₄</w:t>
      </w:r>
      <w:r w:rsidRPr="001B39BA">
        <w:rPr>
          <w:rFonts w:ascii="Arial" w:eastAsiaTheme="minorHAnsi" w:hAnsi="Arial" w:cs="Arial"/>
          <w:b/>
          <w:bCs/>
          <w:kern w:val="2"/>
          <w:lang w:val="en-SG"/>
          <w14:ligatures w14:val="standardContextual"/>
        </w:rPr>
        <w:t>:</w:t>
      </w:r>
      <w:r w:rsidRPr="001B39BA">
        <w:rPr>
          <w:rFonts w:ascii="Arial" w:eastAsiaTheme="minorHAnsi" w:hAnsi="Arial" w:cs="Arial"/>
          <w:kern w:val="2"/>
          <w:lang w:val="en-SG"/>
          <w14:ligatures w14:val="standardContextual"/>
        </w:rPr>
        <w:t xml:space="preserve"> </w:t>
      </w:r>
      <w:r w:rsidRPr="001B39BA">
        <w:rPr>
          <w:rFonts w:ascii="Arial" w:eastAsiaTheme="minorHAnsi" w:hAnsi="Arial" w:cs="Arial"/>
          <w:kern w:val="2"/>
          <w:lang w:val="en-SG"/>
          <w14:ligatures w14:val="standardContextual"/>
        </w:rPr>
        <w:tab/>
        <w:t xml:space="preserve">Compassion fatigue, through burnout and secondary stress trauma, significantly </w:t>
      </w:r>
    </w:p>
    <w:p w14:paraId="7F68E7F5" w14:textId="77777777" w:rsidR="00EE0682"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influences compassion satisfaction.</w:t>
      </w:r>
    </w:p>
    <w:p w14:paraId="7697A9B2" w14:textId="77777777" w:rsidR="00EE0682" w:rsidRPr="001B39BA" w:rsidRDefault="00EE0682"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33561012" w14:textId="77777777" w:rsidR="003C0D6F" w:rsidRPr="001B39BA" w:rsidRDefault="00000000"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Ha</w:t>
      </w:r>
      <w:r w:rsidRPr="001B39BA">
        <w:rPr>
          <w:rFonts w:ascii="Arial" w:eastAsiaTheme="minorHAnsi" w:hAnsi="Arial" w:cs="Arial"/>
          <w:b/>
          <w:bCs/>
          <w:kern w:val="2"/>
          <w:lang w:val="en-SG"/>
          <w14:ligatures w14:val="standardContextual"/>
        </w:rPr>
        <w:t xml:space="preserve"> </w:t>
      </w:r>
      <w:r w:rsidRPr="001B39BA">
        <w:rPr>
          <w:rFonts w:ascii="Cambria Math" w:eastAsiaTheme="minorHAnsi" w:hAnsi="Cambria Math" w:cs="Cambria Math"/>
          <w:b/>
          <w:bCs/>
          <w:kern w:val="2"/>
          <w:lang w:val="en-SG"/>
          <w14:ligatures w14:val="standardContextual"/>
        </w:rPr>
        <w:t>₅</w:t>
      </w:r>
      <w:r w:rsidRPr="001B39BA">
        <w:rPr>
          <w:rFonts w:ascii="Arial" w:eastAsiaTheme="minorHAnsi" w:hAnsi="Arial" w:cs="Arial"/>
          <w:b/>
          <w:bCs/>
          <w:kern w:val="2"/>
          <w:lang w:val="en-SG"/>
          <w14:ligatures w14:val="standardContextual"/>
        </w:rPr>
        <w:t>:</w:t>
      </w:r>
      <w:r w:rsidRPr="001B39BA">
        <w:rPr>
          <w:rFonts w:ascii="Arial" w:eastAsiaTheme="minorHAnsi" w:hAnsi="Arial" w:cs="Arial"/>
          <w:kern w:val="2"/>
          <w:lang w:val="en-SG"/>
          <w14:ligatures w14:val="standardContextual"/>
        </w:rPr>
        <w:t xml:space="preserve"> </w:t>
      </w:r>
      <w:r w:rsidRPr="001B39BA">
        <w:rPr>
          <w:rFonts w:ascii="Arial" w:eastAsiaTheme="minorHAnsi" w:hAnsi="Arial" w:cs="Arial"/>
          <w:kern w:val="2"/>
          <w:lang w:val="en-SG"/>
          <w14:ligatures w14:val="standardContextual"/>
        </w:rPr>
        <w:tab/>
        <w:t xml:space="preserve">Work-specific characteristics in terms of empathic understanding, genuineness, </w:t>
      </w:r>
    </w:p>
    <w:p w14:paraId="07B34681" w14:textId="77777777" w:rsidR="003C0D6F"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non-judgmental attitude, interpersonal skills, and self-compassion significantly </w:t>
      </w:r>
    </w:p>
    <w:p w14:paraId="03A46CAD" w14:textId="77777777" w:rsidR="00EE0682"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predicts compassion satisfaction and compassion fatigue.</w:t>
      </w:r>
    </w:p>
    <w:p w14:paraId="55E9E9F6" w14:textId="77777777" w:rsidR="00EE0682" w:rsidRPr="001B39BA" w:rsidRDefault="00EE0682"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09C1564A" w14:textId="77777777" w:rsidR="00EE0682" w:rsidRPr="001B39BA" w:rsidRDefault="00000000"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Ha</w:t>
      </w:r>
      <w:r w:rsidRPr="001B39BA">
        <w:rPr>
          <w:rFonts w:ascii="Arial" w:eastAsiaTheme="minorHAnsi" w:hAnsi="Arial" w:cs="Arial"/>
          <w:b/>
          <w:bCs/>
          <w:kern w:val="2"/>
          <w:lang w:val="en-SG"/>
          <w14:ligatures w14:val="standardContextual"/>
        </w:rPr>
        <w:t xml:space="preserve"> </w:t>
      </w:r>
      <w:r w:rsidRPr="001B39BA">
        <w:rPr>
          <w:rFonts w:ascii="Cambria Math" w:eastAsiaTheme="minorHAnsi" w:hAnsi="Cambria Math" w:cs="Cambria Math"/>
          <w:b/>
          <w:bCs/>
          <w:kern w:val="2"/>
          <w:lang w:val="en-SG"/>
          <w14:ligatures w14:val="standardContextual"/>
        </w:rPr>
        <w:t>₆</w:t>
      </w:r>
      <w:r w:rsidRPr="001B39BA">
        <w:rPr>
          <w:rFonts w:ascii="Arial" w:eastAsiaTheme="minorHAnsi" w:hAnsi="Arial" w:cs="Arial"/>
          <w:b/>
          <w:bCs/>
          <w:kern w:val="2"/>
          <w:lang w:val="en-SG"/>
          <w14:ligatures w14:val="standardContextual"/>
        </w:rPr>
        <w:t>:</w:t>
      </w:r>
      <w:r w:rsidRPr="001B39BA">
        <w:rPr>
          <w:rFonts w:ascii="Arial" w:eastAsiaTheme="minorHAnsi" w:hAnsi="Arial" w:cs="Arial"/>
          <w:kern w:val="2"/>
          <w:lang w:val="en-SG"/>
          <w14:ligatures w14:val="standardContextual"/>
        </w:rPr>
        <w:t xml:space="preserve"> </w:t>
      </w:r>
      <w:r w:rsidRPr="001B39BA">
        <w:rPr>
          <w:rFonts w:ascii="Arial" w:eastAsiaTheme="minorHAnsi" w:hAnsi="Arial" w:cs="Arial"/>
          <w:kern w:val="2"/>
          <w:lang w:val="en-SG"/>
          <w14:ligatures w14:val="standardContextual"/>
        </w:rPr>
        <w:tab/>
        <w:t xml:space="preserve">The interaction among constructs in work-specific characteristics in terms of </w:t>
      </w:r>
    </w:p>
    <w:p w14:paraId="59181924" w14:textId="77777777" w:rsidR="003C0D6F" w:rsidRPr="001B39BA" w:rsidRDefault="00000000" w:rsidP="001B39BA">
      <w:pPr>
        <w:widowControl/>
        <w:autoSpaceDE/>
        <w:autoSpaceDN/>
        <w:spacing w:line="360" w:lineRule="auto"/>
        <w:ind w:left="720" w:firstLine="6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empathic understanding, genuineness, non-judgmental attitude, interpersonal </w:t>
      </w:r>
    </w:p>
    <w:p w14:paraId="0C896621" w14:textId="77777777" w:rsidR="00EE0682" w:rsidRPr="001B39BA" w:rsidRDefault="00000000" w:rsidP="001B39BA">
      <w:pPr>
        <w:widowControl/>
        <w:autoSpaceDE/>
        <w:autoSpaceDN/>
        <w:spacing w:line="360" w:lineRule="auto"/>
        <w:ind w:left="720" w:firstLine="6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skills, and self-compassion are statistically significant.</w:t>
      </w:r>
    </w:p>
    <w:p w14:paraId="0E1FB09F" w14:textId="77777777" w:rsidR="00EE0682" w:rsidRPr="001B39BA" w:rsidRDefault="00EE0682"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70C772D0" w14:textId="77777777" w:rsidR="00EE0682" w:rsidRPr="001B39BA" w:rsidRDefault="00000000"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Ha</w:t>
      </w:r>
      <w:r w:rsidRPr="001B39BA">
        <w:rPr>
          <w:rFonts w:ascii="Arial" w:eastAsiaTheme="minorHAnsi" w:hAnsi="Arial" w:cs="Arial"/>
          <w:b/>
          <w:bCs/>
          <w:kern w:val="2"/>
          <w:lang w:val="en-SG"/>
          <w14:ligatures w14:val="standardContextual"/>
        </w:rPr>
        <w:t xml:space="preserve"> </w:t>
      </w:r>
      <w:r w:rsidRPr="001B39BA">
        <w:rPr>
          <w:rFonts w:ascii="Cambria Math" w:eastAsiaTheme="minorHAnsi" w:hAnsi="Cambria Math" w:cs="Cambria Math"/>
          <w:b/>
          <w:bCs/>
          <w:kern w:val="2"/>
          <w:lang w:val="en-SG"/>
          <w14:ligatures w14:val="standardContextual"/>
        </w:rPr>
        <w:t>₇</w:t>
      </w:r>
      <w:r w:rsidRPr="001B39BA">
        <w:rPr>
          <w:rFonts w:ascii="Arial" w:eastAsiaTheme="minorHAnsi" w:hAnsi="Arial" w:cs="Arial"/>
          <w:b/>
          <w:bCs/>
          <w:kern w:val="2"/>
          <w:lang w:val="en-SG"/>
          <w14:ligatures w14:val="standardContextual"/>
        </w:rPr>
        <w:t>:</w:t>
      </w:r>
      <w:r w:rsidRPr="001B39BA">
        <w:rPr>
          <w:rFonts w:ascii="Arial" w:eastAsiaTheme="minorHAnsi" w:hAnsi="Arial" w:cs="Arial"/>
          <w:kern w:val="2"/>
          <w:lang w:val="en-SG"/>
          <w14:ligatures w14:val="standardContextual"/>
        </w:rPr>
        <w:t xml:space="preserve"> </w:t>
      </w:r>
      <w:r w:rsidRPr="001B39BA">
        <w:rPr>
          <w:rFonts w:ascii="Arial" w:eastAsiaTheme="minorHAnsi" w:hAnsi="Arial" w:cs="Arial"/>
          <w:kern w:val="2"/>
          <w:lang w:val="en-SG"/>
          <w14:ligatures w14:val="standardContextual"/>
        </w:rPr>
        <w:tab/>
        <w:t xml:space="preserve">The empirical data fit the hypothesized model describing the relationships </w:t>
      </w:r>
    </w:p>
    <w:p w14:paraId="2E8C9877" w14:textId="77777777" w:rsidR="00EE0682"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among work-specific characteristics, compassion fatigue, and compassion </w:t>
      </w:r>
    </w:p>
    <w:p w14:paraId="62C1CD4B" w14:textId="77777777" w:rsidR="00EE0682" w:rsidRPr="001B39BA" w:rsidRDefault="00000000"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satisfaction among guidance counselors.</w:t>
      </w:r>
    </w:p>
    <w:p w14:paraId="3FED9BB3" w14:textId="77777777" w:rsidR="00EE0682" w:rsidRPr="001B39BA" w:rsidRDefault="00EE0682" w:rsidP="001B39BA">
      <w:pPr>
        <w:widowControl/>
        <w:autoSpaceDE/>
        <w:autoSpaceDN/>
        <w:spacing w:line="360" w:lineRule="auto"/>
        <w:jc w:val="both"/>
        <w:rPr>
          <w:rFonts w:ascii="Arial" w:eastAsiaTheme="minorHAnsi" w:hAnsi="Arial" w:cs="Arial"/>
          <w:kern w:val="2"/>
          <w:lang w:val="en-SG"/>
          <w14:ligatures w14:val="standardContextual"/>
        </w:rPr>
      </w:pPr>
    </w:p>
    <w:p w14:paraId="197AF99F" w14:textId="77777777" w:rsidR="00614071" w:rsidRPr="001B39BA" w:rsidRDefault="00614071" w:rsidP="001B39BA">
      <w:pPr>
        <w:widowControl/>
        <w:autoSpaceDE/>
        <w:autoSpaceDN/>
        <w:spacing w:line="360" w:lineRule="auto"/>
        <w:jc w:val="both"/>
        <w:rPr>
          <w:rFonts w:ascii="Arial" w:eastAsiaTheme="minorHAnsi" w:hAnsi="Arial" w:cs="Arial"/>
          <w:kern w:val="2"/>
          <w:lang w:val="en-SG" w:eastAsia="en-SG"/>
          <w14:ligatures w14:val="standardContextual"/>
        </w:rPr>
      </w:pPr>
    </w:p>
    <w:p w14:paraId="7BCDBA84"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p>
    <w:p w14:paraId="2E231DB2"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p>
    <w:p w14:paraId="1F073D4A"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p>
    <w:p w14:paraId="5BE29D05" w14:textId="77777777" w:rsidR="001B39BA" w:rsidRPr="001B39BA" w:rsidRDefault="001B39BA" w:rsidP="001B39BA">
      <w:pPr>
        <w:widowControl/>
        <w:autoSpaceDE/>
        <w:spacing w:line="360" w:lineRule="auto"/>
        <w:rPr>
          <w:rFonts w:ascii="Arial" w:eastAsia="Calibri" w:hAnsi="Arial" w:cs="Arial"/>
          <w:b/>
          <w:bCs/>
          <w:lang w:val="en-SG"/>
        </w:rPr>
      </w:pPr>
      <w:r w:rsidRPr="001B39BA">
        <w:rPr>
          <w:rFonts w:ascii="Arial" w:eastAsia="Calibri" w:hAnsi="Arial" w:cs="Arial"/>
          <w:b/>
          <w:bCs/>
          <w:lang w:val="en-SG"/>
        </w:rPr>
        <w:lastRenderedPageBreak/>
        <w:t>Method</w:t>
      </w:r>
    </w:p>
    <w:p w14:paraId="1FAEBA2F" w14:textId="77777777" w:rsidR="001B39BA" w:rsidRPr="001B39BA" w:rsidRDefault="001B39BA" w:rsidP="001B39BA">
      <w:pPr>
        <w:widowControl/>
        <w:autoSpaceDE/>
        <w:spacing w:line="360" w:lineRule="auto"/>
        <w:ind w:firstLine="720"/>
        <w:rPr>
          <w:rFonts w:ascii="Arial" w:eastAsia="Calibri" w:hAnsi="Arial" w:cs="Arial"/>
          <w:lang w:val="en-SG"/>
        </w:rPr>
      </w:pPr>
    </w:p>
    <w:p w14:paraId="0D297019"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This section provides a clear, systematic overview of the research process. It describes the research design, study site, participant selection, data measures, procedures, ethical considerations, and data analysis. Furthermore, it explains the approach used to evaluate the hypothesized structural equation model and to examine its alignment with the work-specific characteristics of guidance counselors, and their levels of compassion satisfaction and compassion fatigue.</w:t>
      </w:r>
    </w:p>
    <w:p w14:paraId="09BE2C74" w14:textId="77777777" w:rsidR="001B39BA" w:rsidRPr="001B39BA" w:rsidRDefault="001B39BA" w:rsidP="001B39BA">
      <w:pPr>
        <w:widowControl/>
        <w:autoSpaceDE/>
        <w:spacing w:line="360" w:lineRule="auto"/>
        <w:jc w:val="both"/>
        <w:rPr>
          <w:rFonts w:ascii="Arial" w:eastAsia="Calibri" w:hAnsi="Arial" w:cs="Arial"/>
          <w:lang w:val="en-SG"/>
        </w:rPr>
      </w:pPr>
    </w:p>
    <w:p w14:paraId="5FBC088C" w14:textId="77777777" w:rsidR="001B39BA" w:rsidRPr="001B39BA" w:rsidRDefault="001B39BA" w:rsidP="001B39BA">
      <w:pPr>
        <w:widowControl/>
        <w:autoSpaceDE/>
        <w:spacing w:line="360" w:lineRule="auto"/>
        <w:jc w:val="both"/>
        <w:rPr>
          <w:rFonts w:ascii="Arial" w:eastAsia="Calibri" w:hAnsi="Arial" w:cs="Arial"/>
          <w:lang w:val="en-SG"/>
        </w:rPr>
      </w:pPr>
      <w:r w:rsidRPr="001B39BA">
        <w:rPr>
          <w:rFonts w:ascii="Arial" w:eastAsia="Calibri" w:hAnsi="Arial" w:cs="Arial"/>
          <w:lang w:val="en-SG"/>
        </w:rPr>
        <w:t>Design</w:t>
      </w:r>
    </w:p>
    <w:p w14:paraId="4BA0DBB8"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This study adopted a quantitative cross-sectional research design employing Structural Equation Modeling (SEM) to examine the structural relationships among guidance counselors’ work-specific characteristics, compassion fatigue, and compassion satisfaction. A quantitative approach was deemed appropriate as the study sought to operationalize psychological constructs through observable indicators and to statistically evaluate the relationships among these variables within a defined population (Creswell &amp; Creswell, 2018). In the context of guidance counseling, practitioners were routinely exposed to emotionally demanding interactions, necessitating a systematic, empirical examination of how work-related conditions shape both adverse (compassion fatigue) and adaptive (compassion satisfaction) psychological outcomes. Quantitative methods provided a rigorous framework for capturing these dynamics through standardized measurement and inferential analysis.</w:t>
      </w:r>
    </w:p>
    <w:p w14:paraId="7519FB28"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Structural Equation Modeling was selected as the principal analytical technique due to the inherently complex and theory-driven nature of the proposed model, which encompassed multiple latent constructs and hypothesized direct and indirect pathways. Specifically, the model posited that work-specific characteristics exerted both direct effects on compassion satisfaction and indirect effects mediated by compassion fatigue. Such multivariate and mediated relationships required simultaneous estimation, which conventional techniques such as correlation or multiple regression could not handle. These traditional approaches were limited by their inability to model complex causal structures holistically and by their assumption of error-free measurement, thereby constraining the validity of inferences when applied to latent psychological constructs.</w:t>
      </w:r>
    </w:p>
    <w:p w14:paraId="00C51B28"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 xml:space="preserve">SEM offered a robust analytical framework by integrating confirmatory factor analysis and path analysis, enabling the concurrent evaluation of measurement and </w:t>
      </w:r>
      <w:r w:rsidRPr="001B39BA">
        <w:rPr>
          <w:rFonts w:ascii="Arial" w:eastAsia="Calibri" w:hAnsi="Arial" w:cs="Arial"/>
          <w:lang w:val="en-SG"/>
        </w:rPr>
        <w:lastRenderedPageBreak/>
        <w:t>structural components (Hair Jr. et al., 2019; Kline, 2023; Schumacker &amp; Lomax, 2020). This dual capability was particularly critical given that the central variables, work-specific characteristics, compassion fatigue, and compassion satisfaction, were latent constructs inferred from multiple observed indicators. Through SEM, the study assessed the validity and reliability of these indicators while simultaneously testing the hypothesized structural relationships, thereby enhancing the precision and credibility of the findings.</w:t>
      </w:r>
    </w:p>
    <w:p w14:paraId="24AF771E"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Moreover, SEM was particularly well-suited for testing mediational mechanisms, a core component of the study's theoretical framework. By estimating both direct and indirect effects within a unified model, SEM facilitated a more nuanced understanding of the underlying processes through which work-specific characteristics influenced compassion satisfaction via compassion fatigue. This capacity was essential for capturing the multidimensional, interdependent nature of psychological experiences among guidance counselors, in which occupational demands and emotional responses interacted dynamically.</w:t>
      </w:r>
    </w:p>
    <w:p w14:paraId="7A798C78"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The SEM procedure involved two interrelated components: the measurement model and the structural model. The measurement model evaluated the extent to which observed indicators validly and reliably represented their respective latent constructs, while the structural model examined the hypothesized causal relationships among these constructs. The integration of these components allowed for the assessment of overall model adequacy using established goodness-of-fit indices, thereby providing rigorous empirical support for the proposed theoretical model (Hair Jr. et al., 2019; Kline, 2023).</w:t>
      </w:r>
    </w:p>
    <w:p w14:paraId="240EC361"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In addition to SEM, descriptive statistical techniques were employed to summarize the levels and distributions of the key variables. Measures such as the mean and standard deviation provided an initial profile of work-specific characteristics, compassion fatigue, and compassion satisfaction among guidance counselors (Creswell &amp; Creswell, 2018). These preliminary analyses established a foundational understanding of the data before model estimation, thereby supporting a comprehensive examination of both descriptive patterns and the structural relationships among the variables under investigation.</w:t>
      </w:r>
    </w:p>
    <w:p w14:paraId="656A3222" w14:textId="77777777" w:rsidR="001B39BA" w:rsidRPr="001B39BA" w:rsidRDefault="001B39BA" w:rsidP="001B39BA">
      <w:pPr>
        <w:widowControl/>
        <w:autoSpaceDE/>
        <w:spacing w:line="360" w:lineRule="auto"/>
        <w:jc w:val="both"/>
        <w:rPr>
          <w:rFonts w:ascii="Arial" w:eastAsia="Calibri" w:hAnsi="Arial" w:cs="Arial"/>
          <w:lang w:val="en-SG"/>
        </w:rPr>
      </w:pPr>
    </w:p>
    <w:p w14:paraId="361230A6" w14:textId="77777777" w:rsidR="001B39BA" w:rsidRPr="001B39BA" w:rsidRDefault="001B39BA" w:rsidP="001B39BA">
      <w:pPr>
        <w:widowControl/>
        <w:autoSpaceDE/>
        <w:spacing w:line="360" w:lineRule="auto"/>
        <w:jc w:val="both"/>
        <w:rPr>
          <w:rFonts w:ascii="Arial" w:eastAsia="Calibri" w:hAnsi="Arial" w:cs="Arial"/>
          <w:lang w:val="en-SG"/>
        </w:rPr>
      </w:pPr>
      <w:r w:rsidRPr="001B39BA">
        <w:rPr>
          <w:rFonts w:ascii="Arial" w:eastAsia="Calibri" w:hAnsi="Arial" w:cs="Arial"/>
          <w:lang w:val="en-SG"/>
        </w:rPr>
        <w:t>Study Site</w:t>
      </w:r>
    </w:p>
    <w:p w14:paraId="72E1122A"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3F82C87F"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 xml:space="preserve">The study was conducted across multiple cities and provinces in Mindanao, Philippines, a region characterized by diverse socio-cultural contexts and heterogeneous educational environments. Mindanao has historically experienced periods of social </w:t>
      </w:r>
      <w:r w:rsidRPr="001B39BA">
        <w:rPr>
          <w:rFonts w:ascii="Arial" w:eastAsia="Calibri" w:hAnsi="Arial" w:cs="Arial"/>
          <w:lang w:val="en-SG"/>
        </w:rPr>
        <w:lastRenderedPageBreak/>
        <w:t>instability, armed conflict, and population displacement, conditions that have been associated with heightened psychological stress within communities and educational institutions. Within this context, guidance counselors assumed a critical role in delivering psychosocial support, facilitating student development, and promoting emotional resilience.</w:t>
      </w:r>
    </w:p>
    <w:p w14:paraId="17529811"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 xml:space="preserve">The inclusion of multiple cities and provinces enabled the study to capture a more representative profile of guidance counselors operating across varied institutional settings and socio-cultural environments within the region. Data were collected from </w:t>
      </w:r>
      <w:r w:rsidRPr="001B39BA">
        <w:rPr>
          <w:rFonts w:ascii="Arial" w:hAnsi="Arial" w:cs="Arial"/>
        </w:rPr>
        <w:t xml:space="preserve">guidance </w:t>
      </w:r>
      <w:r w:rsidRPr="001B39BA">
        <w:rPr>
          <w:rFonts w:ascii="Arial" w:eastAsia="Calibri" w:hAnsi="Arial" w:cs="Arial"/>
          <w:lang w:val="en-SG"/>
        </w:rPr>
        <w:t>counselors practicing in fifteen cities, namely Davao City, Cagayan de Oro City, General Santos City, Zamboanga City, Iligan City, Butuan City, Cotabato City, Dipolog City, Pagadian City, Malaybalay City, Kidapawan City, Tagum City, Koronadal City, Valencia City, and Ozamiz City, in addition to several provinces across Mindanao. This geographic breadth enhanced the contextual sensitivity and external validity of the findings by ensuring that variations in local conditions, institutional practices, and socio-cultural influences were adequately represented.</w:t>
      </w:r>
    </w:p>
    <w:p w14:paraId="56A0752E" w14:textId="77777777" w:rsidR="001B39BA" w:rsidRPr="001B39BA" w:rsidRDefault="001B39BA" w:rsidP="001B39BA">
      <w:pPr>
        <w:widowControl/>
        <w:autoSpaceDE/>
        <w:spacing w:line="360" w:lineRule="auto"/>
        <w:jc w:val="both"/>
        <w:rPr>
          <w:rFonts w:ascii="Arial" w:eastAsia="Calibri" w:hAnsi="Arial" w:cs="Arial"/>
          <w:lang w:val="en-SG"/>
        </w:rPr>
      </w:pPr>
    </w:p>
    <w:p w14:paraId="64BC379B" w14:textId="77777777" w:rsidR="001B39BA" w:rsidRPr="001B39BA" w:rsidRDefault="001B39BA" w:rsidP="001B39BA">
      <w:pPr>
        <w:widowControl/>
        <w:autoSpaceDE/>
        <w:spacing w:line="360" w:lineRule="auto"/>
        <w:jc w:val="both"/>
        <w:rPr>
          <w:rFonts w:ascii="Arial" w:eastAsia="Calibri" w:hAnsi="Arial" w:cs="Arial"/>
          <w:lang w:val="en-SG"/>
        </w:rPr>
      </w:pPr>
      <w:r w:rsidRPr="001B39BA">
        <w:rPr>
          <w:rFonts w:ascii="Arial" w:eastAsia="Calibri" w:hAnsi="Arial" w:cs="Arial"/>
          <w:lang w:val="en-SG"/>
        </w:rPr>
        <w:t>Participants</w:t>
      </w:r>
    </w:p>
    <w:p w14:paraId="23AE239B"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6A98B32B"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The participants in the study were registered and licensed guidance counselors who were actively practicing in Mindanao. To ensure adequate representation of the target population and enhance the generalizability of the findings, the study employed proportionate stratified random sampling. This sampling technique was appropriate given that the population of guidance counselors in Mindanao was geographically distributed across several administrative regions with varying population sizes. Stratified random sampling enabled the division of the population into meaningful subgroups and the proportional selection of participants from each subgroup, thereby improving sample representativeness and minimizing sampling bias (Creswell &amp; Creswell, 2018).</w:t>
      </w:r>
    </w:p>
    <w:p w14:paraId="7F1E6BDB"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 xml:space="preserve">The population was stratified into four regional groups: Region X, Region XI, Region XII, and the Bangsamoro Autonomous Region in Muslim Mindanao (BARMM). Participants were then randomly selected from each stratum in proportion to the stratum's population size. Based on records obtained from regional chapter presidents of professional counseling organizations, the total population of registered guidance counselors in Mindanao consisted of 216 practitioners, distributed as follows: Region X (50), Region XI (95), Region XII (51), and BARMM (20). Using a proportionate allocation, </w:t>
      </w:r>
      <w:r w:rsidRPr="001B39BA">
        <w:rPr>
          <w:rFonts w:ascii="Arial" w:eastAsia="Calibri" w:hAnsi="Arial" w:cs="Arial"/>
          <w:lang w:val="en-SG"/>
        </w:rPr>
        <w:lastRenderedPageBreak/>
        <w:t>the target sample size of 119 participants was distributed across regions based on their population shares. Specifically, 27 participants were drawn from Region X, 52 from Region XI, 28 from Region XII, and 12 from BARMM. This proportional distribution ensured that the sample accurately reflected the regional composition of the population, thereby strengthening the study's external validity and representativeness.</w:t>
      </w:r>
    </w:p>
    <w:p w14:paraId="4D1CBEB2"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The adequacy of the sample size was further evaluated against the requirements of Structural Equation Modeling (SEM). SEM necessitates sufficiently large sample sizes because it involves the simultaneous estimation of multiple relationships among latent constructs and observed indicators, making parameter estimates sensitive to sample size (Kline, 2023). To determine the minimum required sample size for the proposed model, the SEM Sample Size Calculator developed by Daniel Soper (2024) was utilized. Based on model specifications, including the number of latent variables, observed indicators, anticipated effect size, significance level, and desired statistical power, the calculator indicated a minimum sample size of 119 participants for the structural model.</w:t>
      </w:r>
    </w:p>
    <w:p w14:paraId="62CCA288" w14:textId="77777777" w:rsidR="001B39BA" w:rsidRPr="001B39BA" w:rsidRDefault="001B39BA" w:rsidP="001B39BA">
      <w:pPr>
        <w:widowControl/>
        <w:autoSpaceDE/>
        <w:spacing w:line="360" w:lineRule="auto"/>
        <w:jc w:val="both"/>
        <w:rPr>
          <w:rFonts w:ascii="Arial" w:eastAsia="Calibri" w:hAnsi="Arial" w:cs="Arial"/>
          <w:lang w:val="en-SG"/>
        </w:rPr>
      </w:pPr>
    </w:p>
    <w:p w14:paraId="5F841C83" w14:textId="77777777" w:rsidR="001B39BA" w:rsidRPr="001B39BA" w:rsidRDefault="001B39BA" w:rsidP="001B39BA">
      <w:pPr>
        <w:widowControl/>
        <w:autoSpaceDE/>
        <w:spacing w:line="360" w:lineRule="auto"/>
        <w:jc w:val="both"/>
        <w:rPr>
          <w:rFonts w:ascii="Arial" w:eastAsia="Calibri" w:hAnsi="Arial" w:cs="Arial"/>
          <w:lang w:val="en-SG"/>
        </w:rPr>
      </w:pPr>
      <w:r w:rsidRPr="001B39BA">
        <w:rPr>
          <w:rFonts w:ascii="Arial" w:hAnsi="Arial" w:cs="Arial"/>
          <w:noProof/>
        </w:rPr>
        <w:drawing>
          <wp:anchor distT="0" distB="0" distL="114300" distR="114300" simplePos="0" relativeHeight="251663360" behindDoc="1" locked="0" layoutInCell="1" allowOverlap="1" wp14:anchorId="7970141D" wp14:editId="178CD256">
            <wp:simplePos x="0" y="0"/>
            <wp:positionH relativeFrom="column">
              <wp:posOffset>311150</wp:posOffset>
            </wp:positionH>
            <wp:positionV relativeFrom="paragraph">
              <wp:posOffset>100330</wp:posOffset>
            </wp:positionV>
            <wp:extent cx="5070475" cy="3556000"/>
            <wp:effectExtent l="0" t="0" r="0" b="635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0475" cy="3556000"/>
                    </a:xfrm>
                    <a:prstGeom prst="rect">
                      <a:avLst/>
                    </a:prstGeom>
                    <a:noFill/>
                  </pic:spPr>
                </pic:pic>
              </a:graphicData>
            </a:graphic>
            <wp14:sizeRelH relativeFrom="margin">
              <wp14:pctWidth>0</wp14:pctWidth>
            </wp14:sizeRelH>
            <wp14:sizeRelV relativeFrom="margin">
              <wp14:pctHeight>0</wp14:pctHeight>
            </wp14:sizeRelV>
          </wp:anchor>
        </w:drawing>
      </w:r>
    </w:p>
    <w:p w14:paraId="6A46B703" w14:textId="77777777" w:rsidR="001B39BA" w:rsidRPr="001B39BA" w:rsidRDefault="001B39BA" w:rsidP="001B39BA">
      <w:pPr>
        <w:widowControl/>
        <w:autoSpaceDE/>
        <w:spacing w:line="360" w:lineRule="auto"/>
        <w:jc w:val="both"/>
        <w:rPr>
          <w:rFonts w:ascii="Arial" w:eastAsia="Calibri" w:hAnsi="Arial" w:cs="Arial"/>
          <w:lang w:val="en-SG"/>
        </w:rPr>
      </w:pPr>
    </w:p>
    <w:p w14:paraId="35E7DDBC" w14:textId="77777777" w:rsidR="001B39BA" w:rsidRPr="001B39BA" w:rsidRDefault="001B39BA" w:rsidP="001B39BA">
      <w:pPr>
        <w:spacing w:before="1" w:line="360" w:lineRule="auto"/>
        <w:ind w:left="1695"/>
        <w:jc w:val="both"/>
        <w:rPr>
          <w:rFonts w:ascii="Arial" w:hAnsi="Arial" w:cs="Arial"/>
        </w:rPr>
      </w:pPr>
    </w:p>
    <w:p w14:paraId="1B324180" w14:textId="77777777" w:rsidR="001B39BA" w:rsidRPr="001B39BA" w:rsidRDefault="001B39BA" w:rsidP="001B39BA">
      <w:pPr>
        <w:spacing w:before="1" w:line="360" w:lineRule="auto"/>
        <w:ind w:left="1695"/>
        <w:jc w:val="both"/>
        <w:rPr>
          <w:rFonts w:ascii="Arial" w:hAnsi="Arial" w:cs="Arial"/>
        </w:rPr>
      </w:pPr>
    </w:p>
    <w:p w14:paraId="72079AEC" w14:textId="77777777" w:rsidR="001B39BA" w:rsidRPr="001B39BA" w:rsidRDefault="001B39BA" w:rsidP="001B39BA">
      <w:pPr>
        <w:spacing w:before="1" w:line="360" w:lineRule="auto"/>
        <w:ind w:left="1695"/>
        <w:jc w:val="both"/>
        <w:rPr>
          <w:rFonts w:ascii="Arial" w:hAnsi="Arial" w:cs="Arial"/>
        </w:rPr>
      </w:pPr>
    </w:p>
    <w:p w14:paraId="28CF3E41" w14:textId="77777777" w:rsidR="001B39BA" w:rsidRPr="001B39BA" w:rsidRDefault="001B39BA" w:rsidP="001B39BA">
      <w:pPr>
        <w:spacing w:before="1" w:line="360" w:lineRule="auto"/>
        <w:ind w:left="1695"/>
        <w:jc w:val="both"/>
        <w:rPr>
          <w:rFonts w:ascii="Arial" w:hAnsi="Arial" w:cs="Arial"/>
        </w:rPr>
      </w:pPr>
    </w:p>
    <w:p w14:paraId="31941A75" w14:textId="77777777" w:rsidR="001B39BA" w:rsidRPr="001B39BA" w:rsidRDefault="001B39BA" w:rsidP="001B39BA">
      <w:pPr>
        <w:spacing w:before="1" w:line="360" w:lineRule="auto"/>
        <w:ind w:left="1695"/>
        <w:jc w:val="both"/>
        <w:rPr>
          <w:rFonts w:ascii="Arial" w:hAnsi="Arial" w:cs="Arial"/>
        </w:rPr>
      </w:pPr>
    </w:p>
    <w:p w14:paraId="19C7C1FD" w14:textId="77777777" w:rsidR="001B39BA" w:rsidRPr="001B39BA" w:rsidRDefault="001B39BA" w:rsidP="001B39BA">
      <w:pPr>
        <w:spacing w:before="1" w:line="360" w:lineRule="auto"/>
        <w:ind w:left="1695"/>
        <w:jc w:val="both"/>
        <w:rPr>
          <w:rFonts w:ascii="Arial" w:hAnsi="Arial" w:cs="Arial"/>
        </w:rPr>
      </w:pPr>
    </w:p>
    <w:p w14:paraId="1F69C554" w14:textId="77777777" w:rsidR="001B39BA" w:rsidRPr="001B39BA" w:rsidRDefault="001B39BA" w:rsidP="001B39BA">
      <w:pPr>
        <w:spacing w:before="1" w:line="360" w:lineRule="auto"/>
        <w:ind w:left="1695"/>
        <w:jc w:val="both"/>
        <w:rPr>
          <w:rFonts w:ascii="Arial" w:hAnsi="Arial" w:cs="Arial"/>
        </w:rPr>
      </w:pPr>
    </w:p>
    <w:p w14:paraId="37C3E6C2" w14:textId="77777777" w:rsidR="001B39BA" w:rsidRPr="001B39BA" w:rsidRDefault="001B39BA" w:rsidP="001B39BA">
      <w:pPr>
        <w:spacing w:before="1" w:line="360" w:lineRule="auto"/>
        <w:ind w:left="1695"/>
        <w:jc w:val="both"/>
        <w:rPr>
          <w:rFonts w:ascii="Arial" w:hAnsi="Arial" w:cs="Arial"/>
        </w:rPr>
      </w:pPr>
    </w:p>
    <w:p w14:paraId="71785FA3" w14:textId="77777777" w:rsidR="001B39BA" w:rsidRPr="001B39BA" w:rsidRDefault="001B39BA" w:rsidP="001B39BA">
      <w:pPr>
        <w:spacing w:before="1" w:line="360" w:lineRule="auto"/>
        <w:ind w:left="1695"/>
        <w:jc w:val="both"/>
        <w:rPr>
          <w:rFonts w:ascii="Arial" w:hAnsi="Arial" w:cs="Arial"/>
        </w:rPr>
      </w:pPr>
    </w:p>
    <w:p w14:paraId="31F9F524" w14:textId="77777777" w:rsidR="001B39BA" w:rsidRPr="001B39BA" w:rsidRDefault="001B39BA" w:rsidP="001B39BA">
      <w:pPr>
        <w:spacing w:before="1" w:line="360" w:lineRule="auto"/>
        <w:ind w:left="1695"/>
        <w:jc w:val="both"/>
        <w:rPr>
          <w:rFonts w:ascii="Arial" w:hAnsi="Arial" w:cs="Arial"/>
        </w:rPr>
      </w:pPr>
    </w:p>
    <w:p w14:paraId="5D3E228B" w14:textId="77777777" w:rsidR="001B39BA" w:rsidRPr="001B39BA" w:rsidRDefault="001B39BA" w:rsidP="001B39BA">
      <w:pPr>
        <w:spacing w:before="1" w:line="360" w:lineRule="auto"/>
        <w:ind w:left="1695"/>
        <w:jc w:val="both"/>
        <w:rPr>
          <w:rFonts w:ascii="Arial" w:hAnsi="Arial" w:cs="Arial"/>
        </w:rPr>
      </w:pPr>
    </w:p>
    <w:p w14:paraId="33C01EBD" w14:textId="77777777" w:rsidR="001B39BA" w:rsidRPr="001B39BA" w:rsidRDefault="001B39BA" w:rsidP="001B39BA">
      <w:pPr>
        <w:spacing w:before="1" w:line="360" w:lineRule="auto"/>
        <w:ind w:left="1695"/>
        <w:jc w:val="both"/>
        <w:rPr>
          <w:rFonts w:ascii="Arial" w:hAnsi="Arial" w:cs="Arial"/>
        </w:rPr>
      </w:pPr>
    </w:p>
    <w:p w14:paraId="6C68163E" w14:textId="77777777" w:rsidR="001B39BA" w:rsidRPr="001B39BA" w:rsidRDefault="001B39BA" w:rsidP="001B39BA">
      <w:pPr>
        <w:spacing w:before="1" w:line="360" w:lineRule="auto"/>
        <w:ind w:left="1695"/>
        <w:jc w:val="both"/>
        <w:rPr>
          <w:rFonts w:ascii="Arial" w:hAnsi="Arial" w:cs="Arial"/>
        </w:rPr>
      </w:pPr>
    </w:p>
    <w:p w14:paraId="1E83C1EC" w14:textId="77777777" w:rsidR="00727735" w:rsidRDefault="00727735" w:rsidP="001B39BA">
      <w:pPr>
        <w:spacing w:before="1" w:line="360" w:lineRule="auto"/>
        <w:ind w:left="1695"/>
        <w:jc w:val="both"/>
        <w:rPr>
          <w:rFonts w:ascii="Arial" w:hAnsi="Arial" w:cs="Arial"/>
        </w:rPr>
      </w:pPr>
    </w:p>
    <w:p w14:paraId="7A3FDA74" w14:textId="4F12C7B1" w:rsidR="001B39BA" w:rsidRPr="001B39BA" w:rsidRDefault="001B39BA" w:rsidP="001B39BA">
      <w:pPr>
        <w:spacing w:before="1" w:line="360" w:lineRule="auto"/>
        <w:ind w:left="1695"/>
        <w:jc w:val="both"/>
        <w:rPr>
          <w:rFonts w:ascii="Arial" w:hAnsi="Arial" w:cs="Arial"/>
        </w:rPr>
      </w:pPr>
      <w:r w:rsidRPr="001B39BA">
        <w:rPr>
          <w:rFonts w:ascii="Arial" w:hAnsi="Arial" w:cs="Arial"/>
        </w:rPr>
        <w:t>Figure</w:t>
      </w:r>
      <w:r w:rsidRPr="001B39BA">
        <w:rPr>
          <w:rFonts w:ascii="Arial" w:hAnsi="Arial" w:cs="Arial"/>
          <w:spacing w:val="-8"/>
        </w:rPr>
        <w:t xml:space="preserve"> </w:t>
      </w:r>
      <w:r w:rsidRPr="001B39BA">
        <w:rPr>
          <w:rFonts w:ascii="Arial" w:hAnsi="Arial" w:cs="Arial"/>
        </w:rPr>
        <w:t>3.</w:t>
      </w:r>
      <w:r w:rsidRPr="001B39BA">
        <w:rPr>
          <w:rFonts w:ascii="Arial" w:hAnsi="Arial" w:cs="Arial"/>
          <w:spacing w:val="-7"/>
        </w:rPr>
        <w:t xml:space="preserve"> </w:t>
      </w:r>
      <w:r w:rsidRPr="001B39BA">
        <w:rPr>
          <w:rFonts w:ascii="Arial" w:hAnsi="Arial" w:cs="Arial"/>
        </w:rPr>
        <w:t>Sample</w:t>
      </w:r>
      <w:r w:rsidRPr="001B39BA">
        <w:rPr>
          <w:rFonts w:ascii="Arial" w:hAnsi="Arial" w:cs="Arial"/>
          <w:spacing w:val="-4"/>
        </w:rPr>
        <w:t xml:space="preserve"> </w:t>
      </w:r>
      <w:r w:rsidRPr="001B39BA">
        <w:rPr>
          <w:rFonts w:ascii="Arial" w:hAnsi="Arial" w:cs="Arial"/>
        </w:rPr>
        <w:t>size</w:t>
      </w:r>
      <w:r w:rsidRPr="001B39BA">
        <w:rPr>
          <w:rFonts w:ascii="Arial" w:hAnsi="Arial" w:cs="Arial"/>
          <w:spacing w:val="-3"/>
        </w:rPr>
        <w:t xml:space="preserve"> </w:t>
      </w:r>
      <w:r w:rsidRPr="001B39BA">
        <w:rPr>
          <w:rFonts w:ascii="Arial" w:hAnsi="Arial" w:cs="Arial"/>
        </w:rPr>
        <w:t>computation</w:t>
      </w:r>
      <w:r w:rsidRPr="001B39BA">
        <w:rPr>
          <w:rFonts w:ascii="Arial" w:hAnsi="Arial" w:cs="Arial"/>
          <w:spacing w:val="-7"/>
        </w:rPr>
        <w:t xml:space="preserve"> </w:t>
      </w:r>
      <w:r w:rsidRPr="001B39BA">
        <w:rPr>
          <w:rFonts w:ascii="Arial" w:hAnsi="Arial" w:cs="Arial"/>
        </w:rPr>
        <w:t>using</w:t>
      </w:r>
      <w:r w:rsidRPr="001B39BA">
        <w:rPr>
          <w:rFonts w:ascii="Arial" w:hAnsi="Arial" w:cs="Arial"/>
          <w:spacing w:val="-8"/>
        </w:rPr>
        <w:t xml:space="preserve"> </w:t>
      </w:r>
      <w:r w:rsidRPr="001B39BA">
        <w:rPr>
          <w:rFonts w:ascii="Arial" w:hAnsi="Arial" w:cs="Arial"/>
        </w:rPr>
        <w:t>Analytics</w:t>
      </w:r>
      <w:r w:rsidRPr="001B39BA">
        <w:rPr>
          <w:rFonts w:ascii="Arial" w:hAnsi="Arial" w:cs="Arial"/>
          <w:spacing w:val="-5"/>
        </w:rPr>
        <w:t xml:space="preserve"> </w:t>
      </w:r>
      <w:r w:rsidRPr="001B39BA">
        <w:rPr>
          <w:rFonts w:ascii="Arial" w:hAnsi="Arial" w:cs="Arial"/>
          <w:spacing w:val="-2"/>
        </w:rPr>
        <w:t>Calculator</w:t>
      </w:r>
    </w:p>
    <w:p w14:paraId="7EAC97B6" w14:textId="77777777" w:rsidR="001B39BA" w:rsidRPr="001B39BA" w:rsidRDefault="001B39BA" w:rsidP="001B39BA">
      <w:pPr>
        <w:widowControl/>
        <w:autoSpaceDE/>
        <w:spacing w:line="360" w:lineRule="auto"/>
        <w:jc w:val="both"/>
        <w:rPr>
          <w:rFonts w:ascii="Arial" w:eastAsia="Calibri" w:hAnsi="Arial" w:cs="Arial"/>
          <w:lang w:val="en-SG"/>
        </w:rPr>
      </w:pPr>
    </w:p>
    <w:p w14:paraId="3E451FD2"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lastRenderedPageBreak/>
        <w:t>The selected sample size was consistent with established SEM guidelines. Scholars have suggested that models of moderate complexity typically require sample sizes of 100-200 participants to achieve stable parameter estimates and reliable model fit indices (Hair Jr. et al., 2019; Kline, 2023). Moreover, sample size adequacy has been emphasized to depend on model complexity, the number of indicators per construct, and the expected magnitude of relationships among variables (Hair et al., 2019). In the present study, the structural model included multiple latent constructs representing work-specific characteristics, compassion fatigue, and compassion satisfaction, each operationalized through several observed indicators. Accordingly, the final sample size of 119 respondents met the minimum requirements for SEM estimation and provided sufficient statistical power to test the hypothesized relationships among constructs.</w:t>
      </w:r>
    </w:p>
    <w:p w14:paraId="7CE29B1E"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Participants were included in the study if they met the following criteria: (1) they were registered and licensed guidance counselors; (2) they had at least five years of professional experience in guidance and counseling practice; (3) they were actively performing counseling-related functions within their respective institutions; and (4) they voluntarily provided informed consent to participate. Participation was not restricted by age, gender identity, civil status, or academic qualifications, provided that the professional criteria were met.</w:t>
      </w:r>
    </w:p>
    <w:p w14:paraId="1C65DA51"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 xml:space="preserve">Conversely, individuals were excluded from the study if they were guidance practitioners without professional licensure; licensed </w:t>
      </w:r>
      <w:r w:rsidRPr="001B39BA">
        <w:rPr>
          <w:rFonts w:ascii="Arial" w:hAnsi="Arial" w:cs="Arial"/>
        </w:rPr>
        <w:t xml:space="preserve">guidance </w:t>
      </w:r>
      <w:r w:rsidRPr="001B39BA">
        <w:rPr>
          <w:rFonts w:ascii="Arial" w:eastAsia="Calibri" w:hAnsi="Arial" w:cs="Arial"/>
          <w:lang w:val="en-SG"/>
        </w:rPr>
        <w:t>counselors who were not actively engaged in counseling practice; individuals assigned to guidance offices but holding other professional licenses, such as Registered Psychometrician (RPm), Registered Psychologist (RPsy), or Licensed Professional Teacher (LPT), without functioning as licensed guidance counselors; or individuals who declined participation. These inclusion and exclusion criteria ensured that the study focused specifically on actively practicing licensed guidance counselors, thereby enhancing the professional relevance, internal validity, and applicability of the findings.</w:t>
      </w:r>
    </w:p>
    <w:p w14:paraId="0A751831" w14:textId="77777777" w:rsidR="001B39BA" w:rsidRPr="001B39BA" w:rsidRDefault="001B39BA" w:rsidP="001B39BA">
      <w:pPr>
        <w:widowControl/>
        <w:autoSpaceDE/>
        <w:spacing w:line="360" w:lineRule="auto"/>
        <w:jc w:val="both"/>
        <w:rPr>
          <w:rFonts w:ascii="Arial" w:eastAsia="Calibri" w:hAnsi="Arial" w:cs="Arial"/>
          <w:lang w:val="en-SG"/>
        </w:rPr>
      </w:pPr>
    </w:p>
    <w:p w14:paraId="492DBD35" w14:textId="77777777" w:rsidR="001B39BA" w:rsidRPr="001B39BA" w:rsidRDefault="001B39BA" w:rsidP="001B39BA">
      <w:pPr>
        <w:widowControl/>
        <w:autoSpaceDE/>
        <w:spacing w:line="360" w:lineRule="auto"/>
        <w:jc w:val="both"/>
        <w:rPr>
          <w:rFonts w:ascii="Arial" w:eastAsia="Calibri" w:hAnsi="Arial" w:cs="Arial"/>
          <w:lang w:val="en-SG"/>
        </w:rPr>
      </w:pPr>
      <w:r w:rsidRPr="001B39BA">
        <w:rPr>
          <w:rFonts w:ascii="Arial" w:eastAsia="Calibri" w:hAnsi="Arial" w:cs="Arial"/>
          <w:lang w:val="en-SG"/>
        </w:rPr>
        <w:t>Data Measures</w:t>
      </w:r>
    </w:p>
    <w:p w14:paraId="7AC076F0" w14:textId="77777777" w:rsidR="001B39BA" w:rsidRPr="001B39BA" w:rsidRDefault="001B39BA" w:rsidP="001B39BA">
      <w:pPr>
        <w:widowControl/>
        <w:autoSpaceDE/>
        <w:spacing w:line="360" w:lineRule="auto"/>
        <w:jc w:val="both"/>
        <w:rPr>
          <w:rFonts w:ascii="Arial" w:eastAsia="Calibri" w:hAnsi="Arial" w:cs="Arial"/>
          <w:lang w:val="en-SG"/>
        </w:rPr>
      </w:pPr>
    </w:p>
    <w:p w14:paraId="449FC97A"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 xml:space="preserve">The study employed a combination of a researcher-developed instrument and the Professional Quality of Life Scale Version 5 (ProQOL v5) developed by Beth Hudnall Stamm to measure guidance counselors’ work-specific characteristics, compassion satisfaction, and compassion fatigue. The instruments were administered electronically </w:t>
      </w:r>
      <w:r w:rsidRPr="001B39BA">
        <w:rPr>
          <w:rFonts w:ascii="Arial" w:eastAsia="Calibri" w:hAnsi="Arial" w:cs="Arial"/>
          <w:lang w:val="en-SG"/>
        </w:rPr>
        <w:lastRenderedPageBreak/>
        <w:t>via Google Forms to facilitate efficient data collection among geographically dispersed respondents.</w:t>
      </w:r>
    </w:p>
    <w:p w14:paraId="62F3BD46" w14:textId="77777777" w:rsidR="00727735" w:rsidRDefault="00727735" w:rsidP="001B39BA">
      <w:pPr>
        <w:widowControl/>
        <w:autoSpaceDE/>
        <w:spacing w:line="360" w:lineRule="auto"/>
        <w:ind w:firstLine="720"/>
        <w:jc w:val="both"/>
        <w:rPr>
          <w:rFonts w:ascii="Arial" w:eastAsia="Calibri" w:hAnsi="Arial" w:cs="Arial"/>
          <w:lang w:val="en-SG"/>
        </w:rPr>
      </w:pPr>
    </w:p>
    <w:p w14:paraId="41012390" w14:textId="106DE4EB"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The questionnaire consisted of two parts. Part I captured the respondents' demographic and professional characteristics. In contrast, Part II comprised a researcher-developed scale measuring work-specific characteristics across five dimensions: empathic understanding, genuineness, non-judgmental attitude, interpersonal skills, and self-compassion. Each dimension was operationalized using four indicators, rated on a 5-point Likert scale from 1 (Very Low) to 5 (Very High). Mean scores were computed and interpreted using standardized descriptive ranges.</w:t>
      </w:r>
    </w:p>
    <w:p w14:paraId="63BE27C6" w14:textId="77777777" w:rsidR="001B39BA" w:rsidRPr="001B39BA" w:rsidRDefault="001B39BA" w:rsidP="001B39BA">
      <w:pPr>
        <w:widowControl/>
        <w:autoSpaceDE/>
        <w:spacing w:line="360" w:lineRule="auto"/>
        <w:jc w:val="both"/>
        <w:rPr>
          <w:rFonts w:ascii="Arial" w:eastAsia="Calibri" w:hAnsi="Arial" w:cs="Arial"/>
          <w:lang w:val="en-SG"/>
        </w:rPr>
      </w:pPr>
    </w:p>
    <w:p w14:paraId="1108B651" w14:textId="77777777" w:rsidR="001B39BA" w:rsidRPr="001B39BA" w:rsidRDefault="001B39BA" w:rsidP="001B39BA">
      <w:pPr>
        <w:widowControl/>
        <w:autoSpaceDE/>
        <w:spacing w:line="360" w:lineRule="auto"/>
        <w:jc w:val="both"/>
        <w:rPr>
          <w:rFonts w:ascii="Arial" w:eastAsia="Calibri" w:hAnsi="Arial" w:cs="Arial"/>
          <w:lang w:val="en-SG"/>
        </w:rPr>
      </w:pPr>
      <w:r w:rsidRPr="001B39BA">
        <w:rPr>
          <w:rFonts w:ascii="Arial" w:eastAsia="Calibri" w:hAnsi="Arial" w:cs="Arial"/>
          <w:lang w:val="en-SG"/>
        </w:rPr>
        <w:t>Work-Specific Characteristics Scale</w:t>
      </w:r>
    </w:p>
    <w:tbl>
      <w:tblPr>
        <w:tblW w:w="8647" w:type="dxa"/>
        <w:tblCellSpacing w:w="15" w:type="dxa"/>
        <w:tblLook w:val="04A0" w:firstRow="1" w:lastRow="0" w:firstColumn="1" w:lastColumn="0" w:noHBand="0" w:noVBand="1"/>
      </w:tblPr>
      <w:tblGrid>
        <w:gridCol w:w="1418"/>
        <w:gridCol w:w="1984"/>
        <w:gridCol w:w="5245"/>
      </w:tblGrid>
      <w:tr w:rsidR="001B39BA" w:rsidRPr="001B39BA" w14:paraId="652A23D5" w14:textId="77777777">
        <w:trPr>
          <w:tblHeader/>
          <w:tblCellSpacing w:w="15" w:type="dxa"/>
        </w:trPr>
        <w:tc>
          <w:tcPr>
            <w:tcW w:w="1373"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1646FDAC"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Scale</w:t>
            </w:r>
          </w:p>
        </w:tc>
        <w:tc>
          <w:tcPr>
            <w:tcW w:w="1954"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3C7E6476"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Range</w:t>
            </w:r>
          </w:p>
        </w:tc>
        <w:tc>
          <w:tcPr>
            <w:tcW w:w="5200"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57E0C674"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Verbal Description</w:t>
            </w:r>
          </w:p>
        </w:tc>
      </w:tr>
      <w:tr w:rsidR="001B39BA" w:rsidRPr="001B39BA" w14:paraId="4ED4B04D" w14:textId="77777777">
        <w:trPr>
          <w:tblCellSpacing w:w="15" w:type="dxa"/>
        </w:trPr>
        <w:tc>
          <w:tcPr>
            <w:tcW w:w="1373" w:type="dxa"/>
            <w:tcMar>
              <w:top w:w="15" w:type="dxa"/>
              <w:left w:w="15" w:type="dxa"/>
              <w:bottom w:w="15" w:type="dxa"/>
              <w:right w:w="15" w:type="dxa"/>
            </w:tcMar>
            <w:vAlign w:val="center"/>
          </w:tcPr>
          <w:p w14:paraId="1CAD9E76"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p>
          <w:p w14:paraId="4BA4E6EA"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5</w:t>
            </w:r>
          </w:p>
        </w:tc>
        <w:tc>
          <w:tcPr>
            <w:tcW w:w="1954" w:type="dxa"/>
            <w:tcMar>
              <w:top w:w="15" w:type="dxa"/>
              <w:left w:w="15" w:type="dxa"/>
              <w:bottom w:w="15" w:type="dxa"/>
              <w:right w:w="15" w:type="dxa"/>
            </w:tcMar>
            <w:vAlign w:val="center"/>
          </w:tcPr>
          <w:p w14:paraId="103B74E1"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p>
          <w:p w14:paraId="53FF955B"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4.21–5.00</w:t>
            </w:r>
          </w:p>
        </w:tc>
        <w:tc>
          <w:tcPr>
            <w:tcW w:w="5200" w:type="dxa"/>
            <w:tcMar>
              <w:top w:w="15" w:type="dxa"/>
              <w:left w:w="15" w:type="dxa"/>
              <w:bottom w:w="15" w:type="dxa"/>
              <w:right w:w="15" w:type="dxa"/>
            </w:tcMar>
            <w:vAlign w:val="center"/>
          </w:tcPr>
          <w:p w14:paraId="0F11B80D"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p>
          <w:p w14:paraId="35CE8518"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Very High</w:t>
            </w:r>
          </w:p>
        </w:tc>
      </w:tr>
      <w:tr w:rsidR="001B39BA" w:rsidRPr="001B39BA" w14:paraId="109E499E" w14:textId="77777777">
        <w:trPr>
          <w:tblCellSpacing w:w="15" w:type="dxa"/>
        </w:trPr>
        <w:tc>
          <w:tcPr>
            <w:tcW w:w="1373" w:type="dxa"/>
            <w:tcMar>
              <w:top w:w="15" w:type="dxa"/>
              <w:left w:w="15" w:type="dxa"/>
              <w:bottom w:w="15" w:type="dxa"/>
              <w:right w:w="15" w:type="dxa"/>
            </w:tcMar>
            <w:vAlign w:val="center"/>
            <w:hideMark/>
          </w:tcPr>
          <w:p w14:paraId="507C57DB"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4</w:t>
            </w:r>
          </w:p>
        </w:tc>
        <w:tc>
          <w:tcPr>
            <w:tcW w:w="1954" w:type="dxa"/>
            <w:tcMar>
              <w:top w:w="15" w:type="dxa"/>
              <w:left w:w="15" w:type="dxa"/>
              <w:bottom w:w="15" w:type="dxa"/>
              <w:right w:w="15" w:type="dxa"/>
            </w:tcMar>
            <w:vAlign w:val="center"/>
            <w:hideMark/>
          </w:tcPr>
          <w:p w14:paraId="4D435D40"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3.41–4.20</w:t>
            </w:r>
          </w:p>
        </w:tc>
        <w:tc>
          <w:tcPr>
            <w:tcW w:w="5200" w:type="dxa"/>
            <w:tcMar>
              <w:top w:w="15" w:type="dxa"/>
              <w:left w:w="15" w:type="dxa"/>
              <w:bottom w:w="15" w:type="dxa"/>
              <w:right w:w="15" w:type="dxa"/>
            </w:tcMar>
            <w:vAlign w:val="center"/>
            <w:hideMark/>
          </w:tcPr>
          <w:p w14:paraId="2C5D4149"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High</w:t>
            </w:r>
          </w:p>
        </w:tc>
      </w:tr>
      <w:tr w:rsidR="001B39BA" w:rsidRPr="001B39BA" w14:paraId="5F4EB750" w14:textId="77777777">
        <w:trPr>
          <w:tblCellSpacing w:w="15" w:type="dxa"/>
        </w:trPr>
        <w:tc>
          <w:tcPr>
            <w:tcW w:w="1373" w:type="dxa"/>
            <w:tcMar>
              <w:top w:w="15" w:type="dxa"/>
              <w:left w:w="15" w:type="dxa"/>
              <w:bottom w:w="15" w:type="dxa"/>
              <w:right w:w="15" w:type="dxa"/>
            </w:tcMar>
            <w:vAlign w:val="center"/>
            <w:hideMark/>
          </w:tcPr>
          <w:p w14:paraId="237AD970"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3</w:t>
            </w:r>
          </w:p>
        </w:tc>
        <w:tc>
          <w:tcPr>
            <w:tcW w:w="1954" w:type="dxa"/>
            <w:tcMar>
              <w:top w:w="15" w:type="dxa"/>
              <w:left w:w="15" w:type="dxa"/>
              <w:bottom w:w="15" w:type="dxa"/>
              <w:right w:w="15" w:type="dxa"/>
            </w:tcMar>
            <w:vAlign w:val="center"/>
            <w:hideMark/>
          </w:tcPr>
          <w:p w14:paraId="3AF46984"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2.61–3.40</w:t>
            </w:r>
          </w:p>
        </w:tc>
        <w:tc>
          <w:tcPr>
            <w:tcW w:w="5200" w:type="dxa"/>
            <w:tcMar>
              <w:top w:w="15" w:type="dxa"/>
              <w:left w:w="15" w:type="dxa"/>
              <w:bottom w:w="15" w:type="dxa"/>
              <w:right w:w="15" w:type="dxa"/>
            </w:tcMar>
            <w:vAlign w:val="center"/>
            <w:hideMark/>
          </w:tcPr>
          <w:p w14:paraId="4D80BFE6"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Moderate</w:t>
            </w:r>
          </w:p>
        </w:tc>
      </w:tr>
      <w:tr w:rsidR="001B39BA" w:rsidRPr="001B39BA" w14:paraId="53CB078B" w14:textId="77777777">
        <w:trPr>
          <w:tblCellSpacing w:w="15" w:type="dxa"/>
        </w:trPr>
        <w:tc>
          <w:tcPr>
            <w:tcW w:w="1373" w:type="dxa"/>
            <w:tcMar>
              <w:top w:w="15" w:type="dxa"/>
              <w:left w:w="15" w:type="dxa"/>
              <w:bottom w:w="15" w:type="dxa"/>
              <w:right w:w="15" w:type="dxa"/>
            </w:tcMar>
            <w:vAlign w:val="center"/>
            <w:hideMark/>
          </w:tcPr>
          <w:p w14:paraId="69DB7351"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2</w:t>
            </w:r>
          </w:p>
        </w:tc>
        <w:tc>
          <w:tcPr>
            <w:tcW w:w="1954" w:type="dxa"/>
            <w:tcMar>
              <w:top w:w="15" w:type="dxa"/>
              <w:left w:w="15" w:type="dxa"/>
              <w:bottom w:w="15" w:type="dxa"/>
              <w:right w:w="15" w:type="dxa"/>
            </w:tcMar>
            <w:vAlign w:val="center"/>
            <w:hideMark/>
          </w:tcPr>
          <w:p w14:paraId="22E3E2EA"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1.81–2.60</w:t>
            </w:r>
          </w:p>
        </w:tc>
        <w:tc>
          <w:tcPr>
            <w:tcW w:w="5200" w:type="dxa"/>
            <w:tcMar>
              <w:top w:w="15" w:type="dxa"/>
              <w:left w:w="15" w:type="dxa"/>
              <w:bottom w:w="15" w:type="dxa"/>
              <w:right w:w="15" w:type="dxa"/>
            </w:tcMar>
            <w:vAlign w:val="center"/>
            <w:hideMark/>
          </w:tcPr>
          <w:p w14:paraId="1B84E17C"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Low</w:t>
            </w:r>
          </w:p>
        </w:tc>
      </w:tr>
      <w:tr w:rsidR="001B39BA" w:rsidRPr="001B39BA" w14:paraId="6F03720E" w14:textId="77777777">
        <w:trPr>
          <w:tblCellSpacing w:w="15" w:type="dxa"/>
        </w:trPr>
        <w:tc>
          <w:tcPr>
            <w:tcW w:w="1373" w:type="dxa"/>
            <w:tcBorders>
              <w:top w:val="nil"/>
              <w:left w:val="nil"/>
              <w:bottom w:val="single" w:sz="4" w:space="0" w:color="auto"/>
              <w:right w:val="nil"/>
            </w:tcBorders>
            <w:tcMar>
              <w:top w:w="15" w:type="dxa"/>
              <w:left w:w="15" w:type="dxa"/>
              <w:bottom w:w="15" w:type="dxa"/>
              <w:right w:w="15" w:type="dxa"/>
            </w:tcMar>
            <w:vAlign w:val="center"/>
            <w:hideMark/>
          </w:tcPr>
          <w:p w14:paraId="2EED53DC"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1</w:t>
            </w:r>
          </w:p>
        </w:tc>
        <w:tc>
          <w:tcPr>
            <w:tcW w:w="1954" w:type="dxa"/>
            <w:tcBorders>
              <w:top w:val="nil"/>
              <w:left w:val="nil"/>
              <w:bottom w:val="single" w:sz="4" w:space="0" w:color="auto"/>
              <w:right w:val="nil"/>
            </w:tcBorders>
            <w:tcMar>
              <w:top w:w="15" w:type="dxa"/>
              <w:left w:w="15" w:type="dxa"/>
              <w:bottom w:w="15" w:type="dxa"/>
              <w:right w:w="15" w:type="dxa"/>
            </w:tcMar>
            <w:vAlign w:val="center"/>
            <w:hideMark/>
          </w:tcPr>
          <w:p w14:paraId="61B6FC22"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1.00–1.80</w:t>
            </w:r>
          </w:p>
        </w:tc>
        <w:tc>
          <w:tcPr>
            <w:tcW w:w="5200" w:type="dxa"/>
            <w:tcBorders>
              <w:top w:val="nil"/>
              <w:left w:val="nil"/>
              <w:bottom w:val="single" w:sz="4" w:space="0" w:color="auto"/>
              <w:right w:val="nil"/>
            </w:tcBorders>
            <w:tcMar>
              <w:top w:w="15" w:type="dxa"/>
              <w:left w:w="15" w:type="dxa"/>
              <w:bottom w:w="15" w:type="dxa"/>
              <w:right w:w="15" w:type="dxa"/>
            </w:tcMar>
            <w:vAlign w:val="center"/>
            <w:hideMark/>
          </w:tcPr>
          <w:p w14:paraId="43F37CB1"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Very Low</w:t>
            </w:r>
          </w:p>
        </w:tc>
      </w:tr>
    </w:tbl>
    <w:p w14:paraId="723B8888"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70F1B693"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 xml:space="preserve">To ensure the validity and reliability of the measurement instruments, several procedures were undertaken prior to the main data collection. First, the content validity of the researcher-developed instrument was established through expert evaluation using the Content Validity Ratio (CVR) as proposed by Lawshe (1975). Four experts in guidance and counseling, including two dissertation panel members and two licensed guidance counselors from higher education institutions, reviewed the questionnaire items to assess their relevance and essentiality in measuring the intended constructs. The summary of CVR evaluation is presented, showing that all items met the minimum acceptable CVR threshold for four evaluators (CVR ≥ 0.75), indicating that the items were essential representations of the constructs being measured. </w:t>
      </w:r>
    </w:p>
    <w:p w14:paraId="03F61845" w14:textId="77777777" w:rsidR="001B39BA" w:rsidRPr="001B39BA" w:rsidRDefault="001B39BA" w:rsidP="001B39BA">
      <w:pPr>
        <w:widowControl/>
        <w:autoSpaceDE/>
        <w:spacing w:line="360" w:lineRule="auto"/>
        <w:jc w:val="both"/>
        <w:rPr>
          <w:rFonts w:ascii="Arial" w:eastAsia="Calibri" w:hAnsi="Arial" w:cs="Arial"/>
          <w:lang w:val="en-SG"/>
        </w:rPr>
      </w:pPr>
    </w:p>
    <w:p w14:paraId="103BEA8D" w14:textId="77777777" w:rsidR="00727735" w:rsidRDefault="00727735" w:rsidP="001B39BA">
      <w:pPr>
        <w:widowControl/>
        <w:autoSpaceDE/>
        <w:spacing w:line="360" w:lineRule="auto"/>
        <w:jc w:val="both"/>
        <w:rPr>
          <w:rFonts w:ascii="Arial" w:eastAsia="Calibri" w:hAnsi="Arial" w:cs="Arial"/>
          <w:lang w:val="en-SG"/>
        </w:rPr>
      </w:pPr>
    </w:p>
    <w:p w14:paraId="0F8AC21D" w14:textId="77777777" w:rsidR="00727735" w:rsidRDefault="00727735" w:rsidP="001B39BA">
      <w:pPr>
        <w:widowControl/>
        <w:autoSpaceDE/>
        <w:spacing w:line="360" w:lineRule="auto"/>
        <w:jc w:val="both"/>
        <w:rPr>
          <w:rFonts w:ascii="Arial" w:eastAsia="Calibri" w:hAnsi="Arial" w:cs="Arial"/>
          <w:lang w:val="en-SG"/>
        </w:rPr>
      </w:pPr>
    </w:p>
    <w:p w14:paraId="130DD414" w14:textId="65A1E994" w:rsidR="001B39BA" w:rsidRPr="001B39BA" w:rsidRDefault="001B39BA" w:rsidP="001B39BA">
      <w:pPr>
        <w:widowControl/>
        <w:autoSpaceDE/>
        <w:spacing w:line="360" w:lineRule="auto"/>
        <w:jc w:val="both"/>
        <w:rPr>
          <w:rFonts w:ascii="Arial" w:eastAsia="Calibri" w:hAnsi="Arial" w:cs="Arial"/>
          <w:lang w:val="en-SG"/>
        </w:rPr>
      </w:pPr>
      <w:r w:rsidRPr="001B39BA">
        <w:rPr>
          <w:rFonts w:ascii="Arial" w:eastAsia="Calibri" w:hAnsi="Arial" w:cs="Arial"/>
          <w:lang w:val="en-SG"/>
        </w:rPr>
        <w:lastRenderedPageBreak/>
        <w:t>Content Validity Ratio (CVR) Summary</w:t>
      </w:r>
    </w:p>
    <w:tbl>
      <w:tblPr>
        <w:tblW w:w="8647" w:type="dxa"/>
        <w:tblCellSpacing w:w="15" w:type="dxa"/>
        <w:tblLook w:val="04A0" w:firstRow="1" w:lastRow="0" w:firstColumn="1" w:lastColumn="0" w:noHBand="0" w:noVBand="1"/>
      </w:tblPr>
      <w:tblGrid>
        <w:gridCol w:w="2835"/>
        <w:gridCol w:w="1701"/>
        <w:gridCol w:w="4111"/>
      </w:tblGrid>
      <w:tr w:rsidR="001B39BA" w:rsidRPr="001B39BA" w14:paraId="65BAEB85" w14:textId="77777777">
        <w:trPr>
          <w:tblHeader/>
          <w:tblCellSpacing w:w="15" w:type="dxa"/>
        </w:trPr>
        <w:tc>
          <w:tcPr>
            <w:tcW w:w="2790"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148DC1E9"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Criterion</w:t>
            </w:r>
          </w:p>
        </w:tc>
        <w:tc>
          <w:tcPr>
            <w:tcW w:w="1671"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1D54B56E"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Value</w:t>
            </w:r>
          </w:p>
        </w:tc>
        <w:tc>
          <w:tcPr>
            <w:tcW w:w="4066"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55C0EFC3"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Interpretation</w:t>
            </w:r>
          </w:p>
        </w:tc>
      </w:tr>
      <w:tr w:rsidR="001B39BA" w:rsidRPr="001B39BA" w14:paraId="72EC66AE" w14:textId="77777777">
        <w:trPr>
          <w:tblCellSpacing w:w="15" w:type="dxa"/>
        </w:trPr>
        <w:tc>
          <w:tcPr>
            <w:tcW w:w="2790" w:type="dxa"/>
            <w:tcMar>
              <w:top w:w="15" w:type="dxa"/>
              <w:left w:w="15" w:type="dxa"/>
              <w:bottom w:w="15" w:type="dxa"/>
              <w:right w:w="15" w:type="dxa"/>
            </w:tcMar>
            <w:vAlign w:val="center"/>
          </w:tcPr>
          <w:p w14:paraId="4EEA4BCB"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p>
          <w:p w14:paraId="0D6A9BF7"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Number of Experts</w:t>
            </w:r>
          </w:p>
        </w:tc>
        <w:tc>
          <w:tcPr>
            <w:tcW w:w="1671" w:type="dxa"/>
            <w:tcMar>
              <w:top w:w="15" w:type="dxa"/>
              <w:left w:w="15" w:type="dxa"/>
              <w:bottom w:w="15" w:type="dxa"/>
              <w:right w:w="15" w:type="dxa"/>
            </w:tcMar>
            <w:vAlign w:val="center"/>
          </w:tcPr>
          <w:p w14:paraId="4DEE17D0"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p>
          <w:p w14:paraId="42147289"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4</w:t>
            </w:r>
          </w:p>
        </w:tc>
        <w:tc>
          <w:tcPr>
            <w:tcW w:w="4066" w:type="dxa"/>
            <w:tcMar>
              <w:top w:w="15" w:type="dxa"/>
              <w:left w:w="15" w:type="dxa"/>
              <w:bottom w:w="15" w:type="dxa"/>
              <w:right w:w="15" w:type="dxa"/>
            </w:tcMar>
            <w:vAlign w:val="center"/>
          </w:tcPr>
          <w:p w14:paraId="257AC1CB"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p>
          <w:p w14:paraId="71696248"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Adequate</w:t>
            </w:r>
          </w:p>
        </w:tc>
      </w:tr>
      <w:tr w:rsidR="001B39BA" w:rsidRPr="001B39BA" w14:paraId="2B8F406A" w14:textId="77777777">
        <w:trPr>
          <w:tblCellSpacing w:w="15" w:type="dxa"/>
        </w:trPr>
        <w:tc>
          <w:tcPr>
            <w:tcW w:w="2790" w:type="dxa"/>
            <w:tcMar>
              <w:top w:w="15" w:type="dxa"/>
              <w:left w:w="15" w:type="dxa"/>
              <w:bottom w:w="15" w:type="dxa"/>
              <w:right w:w="15" w:type="dxa"/>
            </w:tcMar>
            <w:vAlign w:val="center"/>
            <w:hideMark/>
          </w:tcPr>
          <w:p w14:paraId="722C0B3B"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Minimum CVR Threshold</w:t>
            </w:r>
          </w:p>
        </w:tc>
        <w:tc>
          <w:tcPr>
            <w:tcW w:w="1671" w:type="dxa"/>
            <w:tcMar>
              <w:top w:w="15" w:type="dxa"/>
              <w:left w:w="15" w:type="dxa"/>
              <w:bottom w:w="15" w:type="dxa"/>
              <w:right w:w="15" w:type="dxa"/>
            </w:tcMar>
            <w:vAlign w:val="center"/>
            <w:hideMark/>
          </w:tcPr>
          <w:p w14:paraId="1EB7D78A"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0.75</w:t>
            </w:r>
          </w:p>
        </w:tc>
        <w:tc>
          <w:tcPr>
            <w:tcW w:w="4066" w:type="dxa"/>
            <w:tcMar>
              <w:top w:w="15" w:type="dxa"/>
              <w:left w:w="15" w:type="dxa"/>
              <w:bottom w:w="15" w:type="dxa"/>
              <w:right w:w="15" w:type="dxa"/>
            </w:tcMar>
            <w:vAlign w:val="center"/>
            <w:hideMark/>
          </w:tcPr>
          <w:p w14:paraId="0DD47B6A"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Acceptable</w:t>
            </w:r>
          </w:p>
        </w:tc>
      </w:tr>
      <w:tr w:rsidR="001B39BA" w:rsidRPr="001B39BA" w14:paraId="7E39B2FF" w14:textId="77777777">
        <w:trPr>
          <w:tblCellSpacing w:w="15" w:type="dxa"/>
        </w:trPr>
        <w:tc>
          <w:tcPr>
            <w:tcW w:w="2790" w:type="dxa"/>
            <w:tcBorders>
              <w:top w:val="nil"/>
              <w:left w:val="nil"/>
              <w:bottom w:val="single" w:sz="4" w:space="0" w:color="auto"/>
              <w:right w:val="nil"/>
            </w:tcBorders>
            <w:tcMar>
              <w:top w:w="15" w:type="dxa"/>
              <w:left w:w="15" w:type="dxa"/>
              <w:bottom w:w="15" w:type="dxa"/>
              <w:right w:w="15" w:type="dxa"/>
            </w:tcMar>
            <w:vAlign w:val="center"/>
            <w:hideMark/>
          </w:tcPr>
          <w:p w14:paraId="31A6F11C"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Overall CVR Result</w:t>
            </w:r>
          </w:p>
        </w:tc>
        <w:tc>
          <w:tcPr>
            <w:tcW w:w="1671" w:type="dxa"/>
            <w:tcBorders>
              <w:top w:val="nil"/>
              <w:left w:val="nil"/>
              <w:bottom w:val="single" w:sz="4" w:space="0" w:color="auto"/>
              <w:right w:val="nil"/>
            </w:tcBorders>
            <w:tcMar>
              <w:top w:w="15" w:type="dxa"/>
              <w:left w:w="15" w:type="dxa"/>
              <w:bottom w:w="15" w:type="dxa"/>
              <w:right w:w="15" w:type="dxa"/>
            </w:tcMar>
            <w:vAlign w:val="center"/>
            <w:hideMark/>
          </w:tcPr>
          <w:p w14:paraId="6C7C8766"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 0.75</w:t>
            </w:r>
          </w:p>
        </w:tc>
        <w:tc>
          <w:tcPr>
            <w:tcW w:w="4066" w:type="dxa"/>
            <w:tcBorders>
              <w:top w:val="nil"/>
              <w:left w:val="nil"/>
              <w:bottom w:val="single" w:sz="4" w:space="0" w:color="auto"/>
              <w:right w:val="nil"/>
            </w:tcBorders>
            <w:tcMar>
              <w:top w:w="15" w:type="dxa"/>
              <w:left w:w="15" w:type="dxa"/>
              <w:bottom w:w="15" w:type="dxa"/>
              <w:right w:w="15" w:type="dxa"/>
            </w:tcMar>
            <w:vAlign w:val="center"/>
            <w:hideMark/>
          </w:tcPr>
          <w:p w14:paraId="00635828"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All items retained</w:t>
            </w:r>
          </w:p>
        </w:tc>
      </w:tr>
    </w:tbl>
    <w:p w14:paraId="5ABA3831" w14:textId="77777777" w:rsidR="00727735" w:rsidRDefault="00727735" w:rsidP="001B39BA">
      <w:pPr>
        <w:widowControl/>
        <w:autoSpaceDE/>
        <w:spacing w:line="360" w:lineRule="auto"/>
        <w:ind w:firstLine="720"/>
        <w:jc w:val="both"/>
        <w:rPr>
          <w:rFonts w:ascii="Arial" w:eastAsia="Calibri" w:hAnsi="Arial" w:cs="Arial"/>
          <w:lang w:val="en-SG"/>
        </w:rPr>
      </w:pPr>
    </w:p>
    <w:p w14:paraId="23E127BF" w14:textId="77777777" w:rsidR="00727735"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 xml:space="preserve">Prior to the actual data collection, the instrument was pilot-tested with thirty-two (32) respondents drawn from the same target population to evaluate the clarity, relevance, and reliability of the measurement scales. These respondents were excluded from the final study to prevent potential bias. Internal consistency reliability was assessed using Cronbach's alpha coefficients. The results indicated acceptable to excellent reliability across both the overall scale and its dimensions. The overall reliability coefficient for the work-specific characteristics scale was 0.912, indicating excellent internal consistency.                                                                                       </w:t>
      </w:r>
      <w:r w:rsidRPr="001B39BA">
        <w:rPr>
          <w:rFonts w:ascii="Arial" w:eastAsia="Calibri" w:hAnsi="Arial" w:cs="Arial"/>
          <w:lang w:val="en-SG"/>
        </w:rPr>
        <w:tab/>
      </w:r>
      <w:r w:rsidRPr="001B39BA">
        <w:rPr>
          <w:rFonts w:ascii="Arial" w:eastAsia="Calibri" w:hAnsi="Arial" w:cs="Arial"/>
          <w:lang w:val="en-SG"/>
        </w:rPr>
        <w:tab/>
      </w:r>
    </w:p>
    <w:p w14:paraId="0D79D9C1" w14:textId="77777777" w:rsidR="00727735" w:rsidRDefault="00727735" w:rsidP="001B39BA">
      <w:pPr>
        <w:widowControl/>
        <w:autoSpaceDE/>
        <w:spacing w:line="360" w:lineRule="auto"/>
        <w:ind w:firstLine="720"/>
        <w:jc w:val="both"/>
        <w:rPr>
          <w:rFonts w:ascii="Arial" w:eastAsia="Calibri" w:hAnsi="Arial" w:cs="Arial"/>
          <w:lang w:val="en-SG"/>
        </w:rPr>
      </w:pPr>
    </w:p>
    <w:p w14:paraId="09663FCA" w14:textId="1E506686" w:rsidR="00727735"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 xml:space="preserve">At the dimensional level, Cronbach's alpha coefficients were 0.837 for empathic understanding, 0.830 for genuineness, 0.823 for non-judgmental attitude, 0.871 for interpersonal skills, and 0.901 for self-compassion, demonstrating good to excellent reliability among the items measuring these constructs. Similarly, the compassion satisfaction subscale demonstrated good reliability (Cronbach's alpha = 0.809), while the secondary traumatic stress subscale showed high reliability (coefficient = 0.863). </w:t>
      </w:r>
    </w:p>
    <w:p w14:paraId="3B3603A5" w14:textId="77777777" w:rsidR="00727735" w:rsidRDefault="00727735" w:rsidP="001B39BA">
      <w:pPr>
        <w:widowControl/>
        <w:autoSpaceDE/>
        <w:spacing w:line="360" w:lineRule="auto"/>
        <w:ind w:firstLine="720"/>
        <w:jc w:val="both"/>
        <w:rPr>
          <w:rFonts w:ascii="Arial" w:eastAsia="Calibri" w:hAnsi="Arial" w:cs="Arial"/>
          <w:lang w:val="en-SG"/>
        </w:rPr>
      </w:pPr>
    </w:p>
    <w:p w14:paraId="0694D0E2" w14:textId="32A9E800"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The burnout subscale yielded a Cronbach's alpha coefficient of 0.657, which is slightly below the commonly recommended threshold of 0.70; however, reliability values between 0.60 and 0.70 are considered acceptable in exploratory social science research, particularly when instruments are applied to new populations (Hair et al., 2019; Nunnally &amp; Bernstein, 1994; Taber, 2018). The overall reliability coefficient (α = 0.912) indicated excellent internal consistency, while the dimensional coefficients ranged from 0.823 to 0.901, indicating that the items consistently measured their respective constructs.</w:t>
      </w:r>
    </w:p>
    <w:p w14:paraId="161E33B6" w14:textId="77777777" w:rsidR="001B39BA" w:rsidRDefault="001B39BA" w:rsidP="001B39BA">
      <w:pPr>
        <w:widowControl/>
        <w:autoSpaceDE/>
        <w:spacing w:line="360" w:lineRule="auto"/>
        <w:ind w:firstLine="720"/>
        <w:jc w:val="both"/>
        <w:rPr>
          <w:rFonts w:ascii="Arial" w:eastAsia="Calibri" w:hAnsi="Arial" w:cs="Arial"/>
          <w:lang w:val="en-SG"/>
        </w:rPr>
      </w:pPr>
    </w:p>
    <w:p w14:paraId="1AA51509" w14:textId="77777777" w:rsidR="00727735" w:rsidRDefault="00727735" w:rsidP="001B39BA">
      <w:pPr>
        <w:widowControl/>
        <w:autoSpaceDE/>
        <w:spacing w:line="360" w:lineRule="auto"/>
        <w:ind w:firstLine="720"/>
        <w:jc w:val="both"/>
        <w:rPr>
          <w:rFonts w:ascii="Arial" w:eastAsia="Calibri" w:hAnsi="Arial" w:cs="Arial"/>
          <w:lang w:val="en-SG"/>
        </w:rPr>
      </w:pPr>
    </w:p>
    <w:p w14:paraId="7D1E9F10" w14:textId="77777777" w:rsidR="00727735" w:rsidRPr="001B39BA" w:rsidRDefault="00727735" w:rsidP="001B39BA">
      <w:pPr>
        <w:widowControl/>
        <w:autoSpaceDE/>
        <w:spacing w:line="360" w:lineRule="auto"/>
        <w:ind w:firstLine="720"/>
        <w:jc w:val="both"/>
        <w:rPr>
          <w:rFonts w:ascii="Arial" w:eastAsia="Calibri" w:hAnsi="Arial" w:cs="Arial"/>
          <w:lang w:val="en-SG"/>
        </w:rPr>
      </w:pPr>
    </w:p>
    <w:p w14:paraId="1FB29D25" w14:textId="77777777" w:rsidR="001B39BA" w:rsidRPr="001B39BA" w:rsidRDefault="001B39BA" w:rsidP="001B39BA">
      <w:pPr>
        <w:widowControl/>
        <w:autoSpaceDE/>
        <w:spacing w:line="360" w:lineRule="auto"/>
        <w:jc w:val="both"/>
        <w:rPr>
          <w:rFonts w:ascii="Arial" w:eastAsia="Calibri" w:hAnsi="Arial" w:cs="Arial"/>
          <w:lang w:val="en-SG"/>
        </w:rPr>
      </w:pPr>
      <w:r w:rsidRPr="001B39BA">
        <w:rPr>
          <w:rFonts w:ascii="Arial" w:eastAsia="Calibri" w:hAnsi="Arial" w:cs="Arial"/>
          <w:lang w:val="en-SG"/>
        </w:rPr>
        <w:lastRenderedPageBreak/>
        <w:t>Reliability Analysis of Work-Specific Characteristics</w:t>
      </w:r>
    </w:p>
    <w:tbl>
      <w:tblPr>
        <w:tblW w:w="8647" w:type="dxa"/>
        <w:tblCellSpacing w:w="15" w:type="dxa"/>
        <w:tblLook w:val="04A0" w:firstRow="1" w:lastRow="0" w:firstColumn="1" w:lastColumn="0" w:noHBand="0" w:noVBand="1"/>
      </w:tblPr>
      <w:tblGrid>
        <w:gridCol w:w="3686"/>
        <w:gridCol w:w="2126"/>
        <w:gridCol w:w="2835"/>
      </w:tblGrid>
      <w:tr w:rsidR="001B39BA" w:rsidRPr="001B39BA" w14:paraId="4F2CFA61" w14:textId="77777777">
        <w:trPr>
          <w:tblHeader/>
          <w:tblCellSpacing w:w="15" w:type="dxa"/>
        </w:trPr>
        <w:tc>
          <w:tcPr>
            <w:tcW w:w="3641"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2243479F"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Dimension</w:t>
            </w:r>
          </w:p>
        </w:tc>
        <w:tc>
          <w:tcPr>
            <w:tcW w:w="2096"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0A1F5490"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Cronbach’s Alpha</w:t>
            </w:r>
          </w:p>
        </w:tc>
        <w:tc>
          <w:tcPr>
            <w:tcW w:w="2790"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6EFBDBD2"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Interpretation</w:t>
            </w:r>
          </w:p>
        </w:tc>
      </w:tr>
      <w:tr w:rsidR="001B39BA" w:rsidRPr="001B39BA" w14:paraId="5B3A7733" w14:textId="77777777">
        <w:trPr>
          <w:tblCellSpacing w:w="15" w:type="dxa"/>
        </w:trPr>
        <w:tc>
          <w:tcPr>
            <w:tcW w:w="3641" w:type="dxa"/>
            <w:tcMar>
              <w:top w:w="15" w:type="dxa"/>
              <w:left w:w="15" w:type="dxa"/>
              <w:bottom w:w="15" w:type="dxa"/>
              <w:right w:w="15" w:type="dxa"/>
            </w:tcMar>
            <w:vAlign w:val="center"/>
          </w:tcPr>
          <w:p w14:paraId="0B8E3515"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p>
          <w:p w14:paraId="699711EF"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Empathic Understanding</w:t>
            </w:r>
          </w:p>
        </w:tc>
        <w:tc>
          <w:tcPr>
            <w:tcW w:w="2096" w:type="dxa"/>
            <w:tcMar>
              <w:top w:w="15" w:type="dxa"/>
              <w:left w:w="15" w:type="dxa"/>
              <w:bottom w:w="15" w:type="dxa"/>
              <w:right w:w="15" w:type="dxa"/>
            </w:tcMar>
            <w:vAlign w:val="center"/>
          </w:tcPr>
          <w:p w14:paraId="6397FD93"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p>
          <w:p w14:paraId="58E7E4FD"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0.837</w:t>
            </w:r>
          </w:p>
        </w:tc>
        <w:tc>
          <w:tcPr>
            <w:tcW w:w="2790" w:type="dxa"/>
            <w:tcMar>
              <w:top w:w="15" w:type="dxa"/>
              <w:left w:w="15" w:type="dxa"/>
              <w:bottom w:w="15" w:type="dxa"/>
              <w:right w:w="15" w:type="dxa"/>
            </w:tcMar>
            <w:vAlign w:val="center"/>
          </w:tcPr>
          <w:p w14:paraId="5348B006"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p>
          <w:p w14:paraId="2695C886"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Good</w:t>
            </w:r>
          </w:p>
        </w:tc>
      </w:tr>
      <w:tr w:rsidR="001B39BA" w:rsidRPr="001B39BA" w14:paraId="663BEBE9" w14:textId="77777777">
        <w:trPr>
          <w:tblCellSpacing w:w="15" w:type="dxa"/>
        </w:trPr>
        <w:tc>
          <w:tcPr>
            <w:tcW w:w="3641" w:type="dxa"/>
            <w:tcMar>
              <w:top w:w="15" w:type="dxa"/>
              <w:left w:w="15" w:type="dxa"/>
              <w:bottom w:w="15" w:type="dxa"/>
              <w:right w:w="15" w:type="dxa"/>
            </w:tcMar>
            <w:vAlign w:val="center"/>
            <w:hideMark/>
          </w:tcPr>
          <w:p w14:paraId="6CFBB40B"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Genuineness</w:t>
            </w:r>
          </w:p>
        </w:tc>
        <w:tc>
          <w:tcPr>
            <w:tcW w:w="2096" w:type="dxa"/>
            <w:tcMar>
              <w:top w:w="15" w:type="dxa"/>
              <w:left w:w="15" w:type="dxa"/>
              <w:bottom w:w="15" w:type="dxa"/>
              <w:right w:w="15" w:type="dxa"/>
            </w:tcMar>
            <w:vAlign w:val="center"/>
            <w:hideMark/>
          </w:tcPr>
          <w:p w14:paraId="0F370601"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0.830</w:t>
            </w:r>
          </w:p>
        </w:tc>
        <w:tc>
          <w:tcPr>
            <w:tcW w:w="2790" w:type="dxa"/>
            <w:tcMar>
              <w:top w:w="15" w:type="dxa"/>
              <w:left w:w="15" w:type="dxa"/>
              <w:bottom w:w="15" w:type="dxa"/>
              <w:right w:w="15" w:type="dxa"/>
            </w:tcMar>
            <w:vAlign w:val="center"/>
            <w:hideMark/>
          </w:tcPr>
          <w:p w14:paraId="4CEE1F84"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Good</w:t>
            </w:r>
          </w:p>
        </w:tc>
      </w:tr>
      <w:tr w:rsidR="001B39BA" w:rsidRPr="001B39BA" w14:paraId="2CD7B17C" w14:textId="77777777">
        <w:trPr>
          <w:tblCellSpacing w:w="15" w:type="dxa"/>
        </w:trPr>
        <w:tc>
          <w:tcPr>
            <w:tcW w:w="3641" w:type="dxa"/>
            <w:tcMar>
              <w:top w:w="15" w:type="dxa"/>
              <w:left w:w="15" w:type="dxa"/>
              <w:bottom w:w="15" w:type="dxa"/>
              <w:right w:w="15" w:type="dxa"/>
            </w:tcMar>
            <w:vAlign w:val="center"/>
            <w:hideMark/>
          </w:tcPr>
          <w:p w14:paraId="23D62522"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Non-Judgmental Attitude</w:t>
            </w:r>
          </w:p>
        </w:tc>
        <w:tc>
          <w:tcPr>
            <w:tcW w:w="2096" w:type="dxa"/>
            <w:tcMar>
              <w:top w:w="15" w:type="dxa"/>
              <w:left w:w="15" w:type="dxa"/>
              <w:bottom w:w="15" w:type="dxa"/>
              <w:right w:w="15" w:type="dxa"/>
            </w:tcMar>
            <w:vAlign w:val="center"/>
            <w:hideMark/>
          </w:tcPr>
          <w:p w14:paraId="695B5ADF"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0.823</w:t>
            </w:r>
          </w:p>
        </w:tc>
        <w:tc>
          <w:tcPr>
            <w:tcW w:w="2790" w:type="dxa"/>
            <w:tcMar>
              <w:top w:w="15" w:type="dxa"/>
              <w:left w:w="15" w:type="dxa"/>
              <w:bottom w:w="15" w:type="dxa"/>
              <w:right w:w="15" w:type="dxa"/>
            </w:tcMar>
            <w:vAlign w:val="center"/>
            <w:hideMark/>
          </w:tcPr>
          <w:p w14:paraId="70BA0ED3"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Good</w:t>
            </w:r>
          </w:p>
        </w:tc>
      </w:tr>
      <w:tr w:rsidR="001B39BA" w:rsidRPr="001B39BA" w14:paraId="7365D74A" w14:textId="77777777">
        <w:trPr>
          <w:tblCellSpacing w:w="15" w:type="dxa"/>
        </w:trPr>
        <w:tc>
          <w:tcPr>
            <w:tcW w:w="3641" w:type="dxa"/>
            <w:tcMar>
              <w:top w:w="15" w:type="dxa"/>
              <w:left w:w="15" w:type="dxa"/>
              <w:bottom w:w="15" w:type="dxa"/>
              <w:right w:w="15" w:type="dxa"/>
            </w:tcMar>
            <w:vAlign w:val="center"/>
            <w:hideMark/>
          </w:tcPr>
          <w:p w14:paraId="69C0AD33"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Interpersonal Skills</w:t>
            </w:r>
          </w:p>
        </w:tc>
        <w:tc>
          <w:tcPr>
            <w:tcW w:w="2096" w:type="dxa"/>
            <w:tcMar>
              <w:top w:w="15" w:type="dxa"/>
              <w:left w:w="15" w:type="dxa"/>
              <w:bottom w:w="15" w:type="dxa"/>
              <w:right w:w="15" w:type="dxa"/>
            </w:tcMar>
            <w:vAlign w:val="center"/>
            <w:hideMark/>
          </w:tcPr>
          <w:p w14:paraId="1FC15E7D"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0.871</w:t>
            </w:r>
          </w:p>
        </w:tc>
        <w:tc>
          <w:tcPr>
            <w:tcW w:w="2790" w:type="dxa"/>
            <w:tcMar>
              <w:top w:w="15" w:type="dxa"/>
              <w:left w:w="15" w:type="dxa"/>
              <w:bottom w:w="15" w:type="dxa"/>
              <w:right w:w="15" w:type="dxa"/>
            </w:tcMar>
            <w:vAlign w:val="center"/>
            <w:hideMark/>
          </w:tcPr>
          <w:p w14:paraId="58529688"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High</w:t>
            </w:r>
          </w:p>
        </w:tc>
      </w:tr>
      <w:tr w:rsidR="001B39BA" w:rsidRPr="001B39BA" w14:paraId="4380A8FD" w14:textId="77777777">
        <w:trPr>
          <w:tblCellSpacing w:w="15" w:type="dxa"/>
        </w:trPr>
        <w:tc>
          <w:tcPr>
            <w:tcW w:w="3641" w:type="dxa"/>
            <w:tcMar>
              <w:top w:w="15" w:type="dxa"/>
              <w:left w:w="15" w:type="dxa"/>
              <w:bottom w:w="15" w:type="dxa"/>
              <w:right w:w="15" w:type="dxa"/>
            </w:tcMar>
            <w:vAlign w:val="center"/>
            <w:hideMark/>
          </w:tcPr>
          <w:p w14:paraId="250123B3"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Self-Compassion</w:t>
            </w:r>
          </w:p>
        </w:tc>
        <w:tc>
          <w:tcPr>
            <w:tcW w:w="2096" w:type="dxa"/>
            <w:tcMar>
              <w:top w:w="15" w:type="dxa"/>
              <w:left w:w="15" w:type="dxa"/>
              <w:bottom w:w="15" w:type="dxa"/>
              <w:right w:w="15" w:type="dxa"/>
            </w:tcMar>
            <w:vAlign w:val="center"/>
            <w:hideMark/>
          </w:tcPr>
          <w:p w14:paraId="37C36092"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0.901</w:t>
            </w:r>
          </w:p>
        </w:tc>
        <w:tc>
          <w:tcPr>
            <w:tcW w:w="2790" w:type="dxa"/>
            <w:tcMar>
              <w:top w:w="15" w:type="dxa"/>
              <w:left w:w="15" w:type="dxa"/>
              <w:bottom w:w="15" w:type="dxa"/>
              <w:right w:w="15" w:type="dxa"/>
            </w:tcMar>
            <w:vAlign w:val="center"/>
            <w:hideMark/>
          </w:tcPr>
          <w:p w14:paraId="5D5C9302"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Excellent</w:t>
            </w:r>
          </w:p>
        </w:tc>
      </w:tr>
      <w:tr w:rsidR="001B39BA" w:rsidRPr="001B39BA" w14:paraId="01D12222" w14:textId="77777777">
        <w:trPr>
          <w:tblCellSpacing w:w="15" w:type="dxa"/>
        </w:trPr>
        <w:tc>
          <w:tcPr>
            <w:tcW w:w="3641" w:type="dxa"/>
            <w:tcBorders>
              <w:top w:val="nil"/>
              <w:left w:val="nil"/>
              <w:bottom w:val="single" w:sz="4" w:space="0" w:color="auto"/>
              <w:right w:val="nil"/>
            </w:tcBorders>
            <w:tcMar>
              <w:top w:w="15" w:type="dxa"/>
              <w:left w:w="15" w:type="dxa"/>
              <w:bottom w:w="15" w:type="dxa"/>
              <w:right w:w="15" w:type="dxa"/>
            </w:tcMar>
            <w:vAlign w:val="center"/>
            <w:hideMark/>
          </w:tcPr>
          <w:p w14:paraId="39DFD604"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Overall Scale</w:t>
            </w:r>
          </w:p>
        </w:tc>
        <w:tc>
          <w:tcPr>
            <w:tcW w:w="2096" w:type="dxa"/>
            <w:tcBorders>
              <w:top w:val="nil"/>
              <w:left w:val="nil"/>
              <w:bottom w:val="single" w:sz="4" w:space="0" w:color="auto"/>
              <w:right w:val="nil"/>
            </w:tcBorders>
            <w:tcMar>
              <w:top w:w="15" w:type="dxa"/>
              <w:left w:w="15" w:type="dxa"/>
              <w:bottom w:w="15" w:type="dxa"/>
              <w:right w:w="15" w:type="dxa"/>
            </w:tcMar>
            <w:vAlign w:val="center"/>
            <w:hideMark/>
          </w:tcPr>
          <w:p w14:paraId="5B2224B4"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0.912</w:t>
            </w:r>
          </w:p>
        </w:tc>
        <w:tc>
          <w:tcPr>
            <w:tcW w:w="2790" w:type="dxa"/>
            <w:tcBorders>
              <w:top w:val="nil"/>
              <w:left w:val="nil"/>
              <w:bottom w:val="single" w:sz="4" w:space="0" w:color="auto"/>
              <w:right w:val="nil"/>
            </w:tcBorders>
            <w:tcMar>
              <w:top w:w="15" w:type="dxa"/>
              <w:left w:w="15" w:type="dxa"/>
              <w:bottom w:w="15" w:type="dxa"/>
              <w:right w:w="15" w:type="dxa"/>
            </w:tcMar>
            <w:vAlign w:val="center"/>
            <w:hideMark/>
          </w:tcPr>
          <w:p w14:paraId="47E6F1A5"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Excellent</w:t>
            </w:r>
          </w:p>
        </w:tc>
      </w:tr>
    </w:tbl>
    <w:p w14:paraId="4F172800"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466663F0"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In addition, compassion satisfaction and compassion fatigue were measured using the ProQOL v5, a 30-item instrument distributed across three subscales: compassion satisfaction, burnout, and secondary traumatic stress. Respondents rated the frequency of their experiences over the past 30 days. The instrument has been widely used to assess both the positive and negative psychological effects of helping professions. Reliability analysis of the ProQOL subscales is presented.</w:t>
      </w:r>
    </w:p>
    <w:p w14:paraId="6114DA28"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780226EA" w14:textId="77777777" w:rsidR="001B39BA" w:rsidRPr="001B39BA" w:rsidRDefault="001B39BA" w:rsidP="001B39BA">
      <w:pPr>
        <w:widowControl/>
        <w:autoSpaceDE/>
        <w:spacing w:line="360" w:lineRule="auto"/>
        <w:jc w:val="both"/>
        <w:rPr>
          <w:rFonts w:ascii="Arial" w:eastAsia="Calibri" w:hAnsi="Arial" w:cs="Arial"/>
          <w:lang w:val="en-SG"/>
        </w:rPr>
      </w:pPr>
      <w:r w:rsidRPr="001B39BA">
        <w:rPr>
          <w:rFonts w:ascii="Arial" w:eastAsia="Calibri" w:hAnsi="Arial" w:cs="Arial"/>
          <w:lang w:val="en-SG"/>
        </w:rPr>
        <w:t>Reliability Analysis of ProQOL Subscales</w:t>
      </w:r>
    </w:p>
    <w:tbl>
      <w:tblPr>
        <w:tblW w:w="8647" w:type="dxa"/>
        <w:tblCellSpacing w:w="15" w:type="dxa"/>
        <w:tblLook w:val="04A0" w:firstRow="1" w:lastRow="0" w:firstColumn="1" w:lastColumn="0" w:noHBand="0" w:noVBand="1"/>
      </w:tblPr>
      <w:tblGrid>
        <w:gridCol w:w="3544"/>
        <w:gridCol w:w="2268"/>
        <w:gridCol w:w="2835"/>
      </w:tblGrid>
      <w:tr w:rsidR="001B39BA" w:rsidRPr="001B39BA" w14:paraId="1B31F0BD" w14:textId="77777777">
        <w:trPr>
          <w:tblHeader/>
          <w:tblCellSpacing w:w="15" w:type="dxa"/>
        </w:trPr>
        <w:tc>
          <w:tcPr>
            <w:tcW w:w="3499"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059BDEEA"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Subscale</w:t>
            </w:r>
          </w:p>
        </w:tc>
        <w:tc>
          <w:tcPr>
            <w:tcW w:w="2238"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47C36CE2"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Cronbach’s Alpha</w:t>
            </w:r>
          </w:p>
        </w:tc>
        <w:tc>
          <w:tcPr>
            <w:tcW w:w="2790"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2F34E495"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Interpretation</w:t>
            </w:r>
          </w:p>
        </w:tc>
      </w:tr>
      <w:tr w:rsidR="001B39BA" w:rsidRPr="001B39BA" w14:paraId="47908270" w14:textId="77777777">
        <w:trPr>
          <w:tblCellSpacing w:w="15" w:type="dxa"/>
        </w:trPr>
        <w:tc>
          <w:tcPr>
            <w:tcW w:w="3499" w:type="dxa"/>
            <w:tcMar>
              <w:top w:w="15" w:type="dxa"/>
              <w:left w:w="15" w:type="dxa"/>
              <w:bottom w:w="15" w:type="dxa"/>
              <w:right w:w="15" w:type="dxa"/>
            </w:tcMar>
            <w:vAlign w:val="center"/>
          </w:tcPr>
          <w:p w14:paraId="65ED3682"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p>
          <w:p w14:paraId="58510DBD"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Compassion Satisfaction</w:t>
            </w:r>
          </w:p>
        </w:tc>
        <w:tc>
          <w:tcPr>
            <w:tcW w:w="2238" w:type="dxa"/>
            <w:tcMar>
              <w:top w:w="15" w:type="dxa"/>
              <w:left w:w="15" w:type="dxa"/>
              <w:bottom w:w="15" w:type="dxa"/>
              <w:right w:w="15" w:type="dxa"/>
            </w:tcMar>
            <w:vAlign w:val="center"/>
          </w:tcPr>
          <w:p w14:paraId="3888F6CF"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p>
          <w:p w14:paraId="7971334B"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0.809</w:t>
            </w:r>
          </w:p>
        </w:tc>
        <w:tc>
          <w:tcPr>
            <w:tcW w:w="2790" w:type="dxa"/>
            <w:tcMar>
              <w:top w:w="15" w:type="dxa"/>
              <w:left w:w="15" w:type="dxa"/>
              <w:bottom w:w="15" w:type="dxa"/>
              <w:right w:w="15" w:type="dxa"/>
            </w:tcMar>
            <w:vAlign w:val="center"/>
          </w:tcPr>
          <w:p w14:paraId="06C9CB1F"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p>
          <w:p w14:paraId="068215F1"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Good</w:t>
            </w:r>
          </w:p>
        </w:tc>
      </w:tr>
      <w:tr w:rsidR="001B39BA" w:rsidRPr="001B39BA" w14:paraId="431A7539" w14:textId="77777777">
        <w:trPr>
          <w:tblCellSpacing w:w="15" w:type="dxa"/>
        </w:trPr>
        <w:tc>
          <w:tcPr>
            <w:tcW w:w="3499" w:type="dxa"/>
            <w:tcMar>
              <w:top w:w="15" w:type="dxa"/>
              <w:left w:w="15" w:type="dxa"/>
              <w:bottom w:w="15" w:type="dxa"/>
              <w:right w:w="15" w:type="dxa"/>
            </w:tcMar>
            <w:vAlign w:val="center"/>
            <w:hideMark/>
          </w:tcPr>
          <w:p w14:paraId="0DE8CBE5"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Burnout</w:t>
            </w:r>
          </w:p>
        </w:tc>
        <w:tc>
          <w:tcPr>
            <w:tcW w:w="2238" w:type="dxa"/>
            <w:tcMar>
              <w:top w:w="15" w:type="dxa"/>
              <w:left w:w="15" w:type="dxa"/>
              <w:bottom w:w="15" w:type="dxa"/>
              <w:right w:w="15" w:type="dxa"/>
            </w:tcMar>
            <w:vAlign w:val="center"/>
            <w:hideMark/>
          </w:tcPr>
          <w:p w14:paraId="36E2D56D"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0.657</w:t>
            </w:r>
          </w:p>
        </w:tc>
        <w:tc>
          <w:tcPr>
            <w:tcW w:w="2790" w:type="dxa"/>
            <w:tcMar>
              <w:top w:w="15" w:type="dxa"/>
              <w:left w:w="15" w:type="dxa"/>
              <w:bottom w:w="15" w:type="dxa"/>
              <w:right w:w="15" w:type="dxa"/>
            </w:tcMar>
            <w:vAlign w:val="center"/>
            <w:hideMark/>
          </w:tcPr>
          <w:p w14:paraId="37228A25"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Acceptable</w:t>
            </w:r>
          </w:p>
        </w:tc>
      </w:tr>
      <w:tr w:rsidR="001B39BA" w:rsidRPr="001B39BA" w14:paraId="24FFF88E" w14:textId="77777777">
        <w:trPr>
          <w:tblCellSpacing w:w="15" w:type="dxa"/>
        </w:trPr>
        <w:tc>
          <w:tcPr>
            <w:tcW w:w="3499" w:type="dxa"/>
            <w:tcBorders>
              <w:top w:val="nil"/>
              <w:left w:val="nil"/>
              <w:bottom w:val="single" w:sz="4" w:space="0" w:color="auto"/>
              <w:right w:val="nil"/>
            </w:tcBorders>
            <w:tcMar>
              <w:top w:w="15" w:type="dxa"/>
              <w:left w:w="15" w:type="dxa"/>
              <w:bottom w:w="15" w:type="dxa"/>
              <w:right w:w="15" w:type="dxa"/>
            </w:tcMar>
            <w:vAlign w:val="center"/>
            <w:hideMark/>
          </w:tcPr>
          <w:p w14:paraId="690FE5FE"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Secondary Traumatic Stress</w:t>
            </w:r>
          </w:p>
        </w:tc>
        <w:tc>
          <w:tcPr>
            <w:tcW w:w="2238" w:type="dxa"/>
            <w:tcBorders>
              <w:top w:val="nil"/>
              <w:left w:val="nil"/>
              <w:bottom w:val="single" w:sz="4" w:space="0" w:color="auto"/>
              <w:right w:val="nil"/>
            </w:tcBorders>
            <w:tcMar>
              <w:top w:w="15" w:type="dxa"/>
              <w:left w:w="15" w:type="dxa"/>
              <w:bottom w:w="15" w:type="dxa"/>
              <w:right w:w="15" w:type="dxa"/>
            </w:tcMar>
            <w:vAlign w:val="center"/>
            <w:hideMark/>
          </w:tcPr>
          <w:p w14:paraId="21F73CC2"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0.863</w:t>
            </w:r>
          </w:p>
        </w:tc>
        <w:tc>
          <w:tcPr>
            <w:tcW w:w="2790" w:type="dxa"/>
            <w:tcBorders>
              <w:top w:val="nil"/>
              <w:left w:val="nil"/>
              <w:bottom w:val="single" w:sz="4" w:space="0" w:color="auto"/>
              <w:right w:val="nil"/>
            </w:tcBorders>
            <w:tcMar>
              <w:top w:w="15" w:type="dxa"/>
              <w:left w:w="15" w:type="dxa"/>
              <w:bottom w:w="15" w:type="dxa"/>
              <w:right w:w="15" w:type="dxa"/>
            </w:tcMar>
            <w:vAlign w:val="center"/>
            <w:hideMark/>
          </w:tcPr>
          <w:p w14:paraId="24E29F24"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High</w:t>
            </w:r>
          </w:p>
        </w:tc>
      </w:tr>
    </w:tbl>
    <w:p w14:paraId="0AEF1636"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1133D90E"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The burnout subscale yielded a slightly lower reliability coefficient (α = 0.657); however, values between 0.60 and 0.70 were considered acceptable in exploratory research and when instruments were applied in new contexts (Hair et al., 2019; Taber, 2018). Standardized cut-off scores from the ProQOL manual were used to classify levels of compassion satisfaction and compassion fatigue.</w:t>
      </w:r>
    </w:p>
    <w:p w14:paraId="0D1AB3D9" w14:textId="77777777" w:rsidR="001B39BA" w:rsidRDefault="001B39BA" w:rsidP="001B39BA">
      <w:pPr>
        <w:widowControl/>
        <w:autoSpaceDE/>
        <w:spacing w:line="360" w:lineRule="auto"/>
        <w:ind w:firstLine="720"/>
        <w:jc w:val="both"/>
        <w:rPr>
          <w:rFonts w:ascii="Arial" w:eastAsia="Calibri" w:hAnsi="Arial" w:cs="Arial"/>
          <w:lang w:val="en-SG"/>
        </w:rPr>
      </w:pPr>
    </w:p>
    <w:p w14:paraId="316579B8" w14:textId="77777777" w:rsidR="00727735" w:rsidRDefault="00727735" w:rsidP="001B39BA">
      <w:pPr>
        <w:widowControl/>
        <w:autoSpaceDE/>
        <w:spacing w:line="360" w:lineRule="auto"/>
        <w:ind w:firstLine="720"/>
        <w:jc w:val="both"/>
        <w:rPr>
          <w:rFonts w:ascii="Arial" w:eastAsia="Calibri" w:hAnsi="Arial" w:cs="Arial"/>
          <w:lang w:val="en-SG"/>
        </w:rPr>
      </w:pPr>
    </w:p>
    <w:p w14:paraId="6E3C1DA8" w14:textId="77777777" w:rsidR="00727735" w:rsidRPr="001B39BA" w:rsidRDefault="00727735" w:rsidP="001B39BA">
      <w:pPr>
        <w:widowControl/>
        <w:autoSpaceDE/>
        <w:spacing w:line="360" w:lineRule="auto"/>
        <w:ind w:firstLine="720"/>
        <w:jc w:val="both"/>
        <w:rPr>
          <w:rFonts w:ascii="Arial" w:eastAsia="Calibri" w:hAnsi="Arial" w:cs="Arial"/>
          <w:lang w:val="en-SG"/>
        </w:rPr>
      </w:pPr>
    </w:p>
    <w:p w14:paraId="5472436E" w14:textId="77777777" w:rsidR="001B39BA" w:rsidRPr="001B39BA" w:rsidRDefault="001B39BA" w:rsidP="001B39BA">
      <w:pPr>
        <w:widowControl/>
        <w:autoSpaceDE/>
        <w:spacing w:line="360" w:lineRule="auto"/>
        <w:jc w:val="both"/>
        <w:rPr>
          <w:rFonts w:ascii="Arial" w:eastAsia="Calibri" w:hAnsi="Arial" w:cs="Arial"/>
          <w:lang w:val="en-SG"/>
        </w:rPr>
      </w:pPr>
      <w:r w:rsidRPr="001B39BA">
        <w:rPr>
          <w:rFonts w:ascii="Arial" w:eastAsia="Calibri" w:hAnsi="Arial" w:cs="Arial"/>
          <w:lang w:val="en-SG"/>
        </w:rPr>
        <w:lastRenderedPageBreak/>
        <w:t>Interpretation of ProQOL Scores</w:t>
      </w:r>
    </w:p>
    <w:tbl>
      <w:tblPr>
        <w:tblW w:w="8647" w:type="dxa"/>
        <w:tblCellSpacing w:w="15" w:type="dxa"/>
        <w:tblLook w:val="04A0" w:firstRow="1" w:lastRow="0" w:firstColumn="1" w:lastColumn="0" w:noHBand="0" w:noVBand="1"/>
      </w:tblPr>
      <w:tblGrid>
        <w:gridCol w:w="1985"/>
        <w:gridCol w:w="1559"/>
        <w:gridCol w:w="5103"/>
      </w:tblGrid>
      <w:tr w:rsidR="001B39BA" w:rsidRPr="001B39BA" w14:paraId="6F010C90" w14:textId="77777777">
        <w:trPr>
          <w:tblHeader/>
          <w:tblCellSpacing w:w="15" w:type="dxa"/>
        </w:trPr>
        <w:tc>
          <w:tcPr>
            <w:tcW w:w="1940"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3E91A442"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Score Range</w:t>
            </w:r>
          </w:p>
        </w:tc>
        <w:tc>
          <w:tcPr>
            <w:tcW w:w="1529"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745754E3"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Level</w:t>
            </w:r>
          </w:p>
        </w:tc>
        <w:tc>
          <w:tcPr>
            <w:tcW w:w="5058"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55606B4B"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Interpretation</w:t>
            </w:r>
          </w:p>
        </w:tc>
      </w:tr>
      <w:tr w:rsidR="001B39BA" w:rsidRPr="001B39BA" w14:paraId="4DFF5C40" w14:textId="77777777">
        <w:trPr>
          <w:tblCellSpacing w:w="15" w:type="dxa"/>
        </w:trPr>
        <w:tc>
          <w:tcPr>
            <w:tcW w:w="1940" w:type="dxa"/>
            <w:tcMar>
              <w:top w:w="15" w:type="dxa"/>
              <w:left w:w="15" w:type="dxa"/>
              <w:bottom w:w="15" w:type="dxa"/>
              <w:right w:w="15" w:type="dxa"/>
            </w:tcMar>
            <w:vAlign w:val="center"/>
          </w:tcPr>
          <w:p w14:paraId="164BD4DF"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p>
          <w:p w14:paraId="7632197E"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 42</w:t>
            </w:r>
          </w:p>
        </w:tc>
        <w:tc>
          <w:tcPr>
            <w:tcW w:w="1529" w:type="dxa"/>
            <w:tcMar>
              <w:top w:w="15" w:type="dxa"/>
              <w:left w:w="15" w:type="dxa"/>
              <w:bottom w:w="15" w:type="dxa"/>
              <w:right w:w="15" w:type="dxa"/>
            </w:tcMar>
            <w:vAlign w:val="center"/>
          </w:tcPr>
          <w:p w14:paraId="7B08F699"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p>
          <w:p w14:paraId="21E9474A"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High</w:t>
            </w:r>
          </w:p>
        </w:tc>
        <w:tc>
          <w:tcPr>
            <w:tcW w:w="5058" w:type="dxa"/>
            <w:tcMar>
              <w:top w:w="15" w:type="dxa"/>
              <w:left w:w="15" w:type="dxa"/>
              <w:bottom w:w="15" w:type="dxa"/>
              <w:right w:w="15" w:type="dxa"/>
            </w:tcMar>
            <w:vAlign w:val="center"/>
          </w:tcPr>
          <w:p w14:paraId="0D60B787"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p>
          <w:p w14:paraId="526D811F"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High level of professional fulfillment or fatigue</w:t>
            </w:r>
          </w:p>
        </w:tc>
      </w:tr>
      <w:tr w:rsidR="001B39BA" w:rsidRPr="001B39BA" w14:paraId="195EA4AA" w14:textId="77777777">
        <w:trPr>
          <w:tblCellSpacing w:w="15" w:type="dxa"/>
        </w:trPr>
        <w:tc>
          <w:tcPr>
            <w:tcW w:w="1940" w:type="dxa"/>
            <w:tcMar>
              <w:top w:w="15" w:type="dxa"/>
              <w:left w:w="15" w:type="dxa"/>
              <w:bottom w:w="15" w:type="dxa"/>
              <w:right w:w="15" w:type="dxa"/>
            </w:tcMar>
            <w:vAlign w:val="center"/>
            <w:hideMark/>
          </w:tcPr>
          <w:p w14:paraId="5882E2DB"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23–41</w:t>
            </w:r>
          </w:p>
        </w:tc>
        <w:tc>
          <w:tcPr>
            <w:tcW w:w="1529" w:type="dxa"/>
            <w:tcMar>
              <w:top w:w="15" w:type="dxa"/>
              <w:left w:w="15" w:type="dxa"/>
              <w:bottom w:w="15" w:type="dxa"/>
              <w:right w:w="15" w:type="dxa"/>
            </w:tcMar>
            <w:vAlign w:val="center"/>
            <w:hideMark/>
          </w:tcPr>
          <w:p w14:paraId="3045E312"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Moderate</w:t>
            </w:r>
          </w:p>
        </w:tc>
        <w:tc>
          <w:tcPr>
            <w:tcW w:w="5058" w:type="dxa"/>
            <w:tcMar>
              <w:top w:w="15" w:type="dxa"/>
              <w:left w:w="15" w:type="dxa"/>
              <w:bottom w:w="15" w:type="dxa"/>
              <w:right w:w="15" w:type="dxa"/>
            </w:tcMar>
            <w:vAlign w:val="center"/>
            <w:hideMark/>
          </w:tcPr>
          <w:p w14:paraId="0424F884"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Average level</w:t>
            </w:r>
          </w:p>
        </w:tc>
      </w:tr>
      <w:tr w:rsidR="001B39BA" w:rsidRPr="001B39BA" w14:paraId="4D1D6C5F" w14:textId="77777777">
        <w:trPr>
          <w:tblCellSpacing w:w="15" w:type="dxa"/>
        </w:trPr>
        <w:tc>
          <w:tcPr>
            <w:tcW w:w="1940" w:type="dxa"/>
            <w:tcBorders>
              <w:top w:val="nil"/>
              <w:left w:val="nil"/>
              <w:bottom w:val="single" w:sz="4" w:space="0" w:color="auto"/>
              <w:right w:val="nil"/>
            </w:tcBorders>
            <w:tcMar>
              <w:top w:w="15" w:type="dxa"/>
              <w:left w:w="15" w:type="dxa"/>
              <w:bottom w:w="15" w:type="dxa"/>
              <w:right w:w="15" w:type="dxa"/>
            </w:tcMar>
            <w:vAlign w:val="center"/>
            <w:hideMark/>
          </w:tcPr>
          <w:p w14:paraId="5EDFD6E3"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 22</w:t>
            </w:r>
          </w:p>
        </w:tc>
        <w:tc>
          <w:tcPr>
            <w:tcW w:w="1529" w:type="dxa"/>
            <w:tcBorders>
              <w:top w:val="nil"/>
              <w:left w:val="nil"/>
              <w:bottom w:val="single" w:sz="4" w:space="0" w:color="auto"/>
              <w:right w:val="nil"/>
            </w:tcBorders>
            <w:tcMar>
              <w:top w:w="15" w:type="dxa"/>
              <w:left w:w="15" w:type="dxa"/>
              <w:bottom w:w="15" w:type="dxa"/>
              <w:right w:w="15" w:type="dxa"/>
            </w:tcMar>
            <w:vAlign w:val="center"/>
            <w:hideMark/>
          </w:tcPr>
          <w:p w14:paraId="4C43A718"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Low</w:t>
            </w:r>
          </w:p>
        </w:tc>
        <w:tc>
          <w:tcPr>
            <w:tcW w:w="5058" w:type="dxa"/>
            <w:tcBorders>
              <w:top w:val="nil"/>
              <w:left w:val="nil"/>
              <w:bottom w:val="single" w:sz="4" w:space="0" w:color="auto"/>
              <w:right w:val="nil"/>
            </w:tcBorders>
            <w:tcMar>
              <w:top w:w="15" w:type="dxa"/>
              <w:left w:w="15" w:type="dxa"/>
              <w:bottom w:w="15" w:type="dxa"/>
              <w:right w:w="15" w:type="dxa"/>
            </w:tcMar>
            <w:vAlign w:val="center"/>
            <w:hideMark/>
          </w:tcPr>
          <w:p w14:paraId="5A6E1B62"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Low level</w:t>
            </w:r>
          </w:p>
        </w:tc>
      </w:tr>
    </w:tbl>
    <w:p w14:paraId="7CD35652"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52A37183"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 xml:space="preserve">Given that the study employed Structural Equation Modeling (SEM), additional reliability and validity assessments were conducted during measurement model evaluation. Construct reliability was assessed using Composite Reliability (CR), and convergent validity was evaluated using Average Variance Extracted (AVE). The recommended thresholds of CR ≥ 0.70 and AVE ≥ 0.50 were applied (Hair et al., 2019; Kline, 2023). The results indicated that all constructs met these criteria, confirming adequate internal consistency and convergent validity. </w:t>
      </w:r>
    </w:p>
    <w:p w14:paraId="634693D1"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The results demonstrated that the instruments utilized in the study exhibited satisfactory levels of content validity, internal consistency, and construct validity. These findings provided empirical support for the adequacy of the measurement model and justified its application in subsequent Structural Equation Modeling (SEM) analysis.</w:t>
      </w:r>
    </w:p>
    <w:p w14:paraId="25A1A1FA"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44CFC09F" w14:textId="77777777" w:rsidR="001B39BA" w:rsidRPr="001B39BA" w:rsidRDefault="001B39BA" w:rsidP="001B39BA">
      <w:pPr>
        <w:widowControl/>
        <w:autoSpaceDE/>
        <w:spacing w:line="360" w:lineRule="auto"/>
        <w:jc w:val="both"/>
        <w:rPr>
          <w:rFonts w:ascii="Arial" w:eastAsia="Calibri" w:hAnsi="Arial" w:cs="Arial"/>
          <w:lang w:val="en-SG"/>
        </w:rPr>
      </w:pPr>
      <w:r w:rsidRPr="001B39BA">
        <w:rPr>
          <w:rFonts w:ascii="Arial" w:eastAsia="Calibri" w:hAnsi="Arial" w:cs="Arial"/>
          <w:b/>
          <w:bCs/>
          <w:lang w:val="en-SG"/>
        </w:rPr>
        <w:t xml:space="preserve"> </w:t>
      </w:r>
      <w:r w:rsidRPr="001B39BA">
        <w:rPr>
          <w:rFonts w:ascii="Arial" w:eastAsia="Calibri" w:hAnsi="Arial" w:cs="Arial"/>
          <w:lang w:val="en-SG"/>
        </w:rPr>
        <w:t>Measurement Model Evaluation (CR and AVE)</w:t>
      </w:r>
    </w:p>
    <w:tbl>
      <w:tblPr>
        <w:tblW w:w="8647" w:type="dxa"/>
        <w:tblCellSpacing w:w="15" w:type="dxa"/>
        <w:tblLook w:val="04A0" w:firstRow="1" w:lastRow="0" w:firstColumn="1" w:lastColumn="0" w:noHBand="0" w:noVBand="1"/>
      </w:tblPr>
      <w:tblGrid>
        <w:gridCol w:w="2977"/>
        <w:gridCol w:w="1276"/>
        <w:gridCol w:w="1276"/>
        <w:gridCol w:w="3118"/>
      </w:tblGrid>
      <w:tr w:rsidR="001B39BA" w:rsidRPr="001B39BA" w14:paraId="176866A2" w14:textId="77777777">
        <w:trPr>
          <w:tblHeader/>
          <w:tblCellSpacing w:w="15" w:type="dxa"/>
        </w:trPr>
        <w:tc>
          <w:tcPr>
            <w:tcW w:w="2932"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711D7491"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Construct</w:t>
            </w:r>
          </w:p>
        </w:tc>
        <w:tc>
          <w:tcPr>
            <w:tcW w:w="1246"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120DD298"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CR</w:t>
            </w:r>
          </w:p>
        </w:tc>
        <w:tc>
          <w:tcPr>
            <w:tcW w:w="1246"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3754C4B2"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AVE</w:t>
            </w:r>
          </w:p>
        </w:tc>
        <w:tc>
          <w:tcPr>
            <w:tcW w:w="3073"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4A0AB256"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Interpretation</w:t>
            </w:r>
          </w:p>
        </w:tc>
      </w:tr>
      <w:tr w:rsidR="001B39BA" w:rsidRPr="001B39BA" w14:paraId="2CCD5714" w14:textId="77777777">
        <w:trPr>
          <w:tblCellSpacing w:w="15" w:type="dxa"/>
        </w:trPr>
        <w:tc>
          <w:tcPr>
            <w:tcW w:w="2932" w:type="dxa"/>
            <w:tcMar>
              <w:top w:w="15" w:type="dxa"/>
              <w:left w:w="15" w:type="dxa"/>
              <w:bottom w:w="15" w:type="dxa"/>
              <w:right w:w="15" w:type="dxa"/>
            </w:tcMar>
            <w:vAlign w:val="center"/>
          </w:tcPr>
          <w:p w14:paraId="1B362314"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p>
          <w:p w14:paraId="06EC8206"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Empathic Understanding</w:t>
            </w:r>
          </w:p>
        </w:tc>
        <w:tc>
          <w:tcPr>
            <w:tcW w:w="1246" w:type="dxa"/>
            <w:tcMar>
              <w:top w:w="15" w:type="dxa"/>
              <w:left w:w="15" w:type="dxa"/>
              <w:bottom w:w="15" w:type="dxa"/>
              <w:right w:w="15" w:type="dxa"/>
            </w:tcMar>
            <w:vAlign w:val="center"/>
          </w:tcPr>
          <w:p w14:paraId="3A44C5CB"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p>
          <w:p w14:paraId="7B64DDA0"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 0.70</w:t>
            </w:r>
          </w:p>
        </w:tc>
        <w:tc>
          <w:tcPr>
            <w:tcW w:w="1246" w:type="dxa"/>
            <w:tcMar>
              <w:top w:w="15" w:type="dxa"/>
              <w:left w:w="15" w:type="dxa"/>
              <w:bottom w:w="15" w:type="dxa"/>
              <w:right w:w="15" w:type="dxa"/>
            </w:tcMar>
            <w:vAlign w:val="center"/>
          </w:tcPr>
          <w:p w14:paraId="67973E01"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p>
          <w:p w14:paraId="3032A85F"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 0.50</w:t>
            </w:r>
          </w:p>
        </w:tc>
        <w:tc>
          <w:tcPr>
            <w:tcW w:w="3073" w:type="dxa"/>
            <w:tcMar>
              <w:top w:w="15" w:type="dxa"/>
              <w:left w:w="15" w:type="dxa"/>
              <w:bottom w:w="15" w:type="dxa"/>
              <w:right w:w="15" w:type="dxa"/>
            </w:tcMar>
            <w:vAlign w:val="center"/>
          </w:tcPr>
          <w:p w14:paraId="22720F98"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p>
          <w:p w14:paraId="0CCCEDD9"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Acceptable</w:t>
            </w:r>
          </w:p>
        </w:tc>
      </w:tr>
      <w:tr w:rsidR="001B39BA" w:rsidRPr="001B39BA" w14:paraId="389D3ECF" w14:textId="77777777">
        <w:trPr>
          <w:tblCellSpacing w:w="15" w:type="dxa"/>
        </w:trPr>
        <w:tc>
          <w:tcPr>
            <w:tcW w:w="2932" w:type="dxa"/>
            <w:tcMar>
              <w:top w:w="15" w:type="dxa"/>
              <w:left w:w="15" w:type="dxa"/>
              <w:bottom w:w="15" w:type="dxa"/>
              <w:right w:w="15" w:type="dxa"/>
            </w:tcMar>
            <w:vAlign w:val="center"/>
            <w:hideMark/>
          </w:tcPr>
          <w:p w14:paraId="5C926B69"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Genuineness</w:t>
            </w:r>
          </w:p>
        </w:tc>
        <w:tc>
          <w:tcPr>
            <w:tcW w:w="1246" w:type="dxa"/>
            <w:tcMar>
              <w:top w:w="15" w:type="dxa"/>
              <w:left w:w="15" w:type="dxa"/>
              <w:bottom w:w="15" w:type="dxa"/>
              <w:right w:w="15" w:type="dxa"/>
            </w:tcMar>
            <w:vAlign w:val="center"/>
            <w:hideMark/>
          </w:tcPr>
          <w:p w14:paraId="782F907B"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 0.70</w:t>
            </w:r>
          </w:p>
        </w:tc>
        <w:tc>
          <w:tcPr>
            <w:tcW w:w="1246" w:type="dxa"/>
            <w:tcMar>
              <w:top w:w="15" w:type="dxa"/>
              <w:left w:w="15" w:type="dxa"/>
              <w:bottom w:w="15" w:type="dxa"/>
              <w:right w:w="15" w:type="dxa"/>
            </w:tcMar>
            <w:vAlign w:val="center"/>
            <w:hideMark/>
          </w:tcPr>
          <w:p w14:paraId="53C6A9C1"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 0.50</w:t>
            </w:r>
          </w:p>
        </w:tc>
        <w:tc>
          <w:tcPr>
            <w:tcW w:w="3073" w:type="dxa"/>
            <w:tcMar>
              <w:top w:w="15" w:type="dxa"/>
              <w:left w:w="15" w:type="dxa"/>
              <w:bottom w:w="15" w:type="dxa"/>
              <w:right w:w="15" w:type="dxa"/>
            </w:tcMar>
            <w:vAlign w:val="center"/>
            <w:hideMark/>
          </w:tcPr>
          <w:p w14:paraId="076B40AF"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Acceptable</w:t>
            </w:r>
          </w:p>
        </w:tc>
      </w:tr>
      <w:tr w:rsidR="001B39BA" w:rsidRPr="001B39BA" w14:paraId="267626DE" w14:textId="77777777">
        <w:trPr>
          <w:tblCellSpacing w:w="15" w:type="dxa"/>
        </w:trPr>
        <w:tc>
          <w:tcPr>
            <w:tcW w:w="2932" w:type="dxa"/>
            <w:tcMar>
              <w:top w:w="15" w:type="dxa"/>
              <w:left w:w="15" w:type="dxa"/>
              <w:bottom w:w="15" w:type="dxa"/>
              <w:right w:w="15" w:type="dxa"/>
            </w:tcMar>
            <w:vAlign w:val="center"/>
            <w:hideMark/>
          </w:tcPr>
          <w:p w14:paraId="037F5EC0"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Non-Judgmental Attitude</w:t>
            </w:r>
          </w:p>
        </w:tc>
        <w:tc>
          <w:tcPr>
            <w:tcW w:w="1246" w:type="dxa"/>
            <w:tcMar>
              <w:top w:w="15" w:type="dxa"/>
              <w:left w:w="15" w:type="dxa"/>
              <w:bottom w:w="15" w:type="dxa"/>
              <w:right w:w="15" w:type="dxa"/>
            </w:tcMar>
            <w:vAlign w:val="center"/>
            <w:hideMark/>
          </w:tcPr>
          <w:p w14:paraId="48628D2B"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 0.70</w:t>
            </w:r>
          </w:p>
        </w:tc>
        <w:tc>
          <w:tcPr>
            <w:tcW w:w="1246" w:type="dxa"/>
            <w:tcMar>
              <w:top w:w="15" w:type="dxa"/>
              <w:left w:w="15" w:type="dxa"/>
              <w:bottom w:w="15" w:type="dxa"/>
              <w:right w:w="15" w:type="dxa"/>
            </w:tcMar>
            <w:vAlign w:val="center"/>
            <w:hideMark/>
          </w:tcPr>
          <w:p w14:paraId="07CE84EA"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 0.50</w:t>
            </w:r>
          </w:p>
        </w:tc>
        <w:tc>
          <w:tcPr>
            <w:tcW w:w="3073" w:type="dxa"/>
            <w:tcMar>
              <w:top w:w="15" w:type="dxa"/>
              <w:left w:w="15" w:type="dxa"/>
              <w:bottom w:w="15" w:type="dxa"/>
              <w:right w:w="15" w:type="dxa"/>
            </w:tcMar>
            <w:vAlign w:val="center"/>
            <w:hideMark/>
          </w:tcPr>
          <w:p w14:paraId="18CDB3C4"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Acceptable</w:t>
            </w:r>
          </w:p>
        </w:tc>
      </w:tr>
      <w:tr w:rsidR="001B39BA" w:rsidRPr="001B39BA" w14:paraId="1C1F82B4" w14:textId="77777777">
        <w:trPr>
          <w:tblCellSpacing w:w="15" w:type="dxa"/>
        </w:trPr>
        <w:tc>
          <w:tcPr>
            <w:tcW w:w="2932" w:type="dxa"/>
            <w:tcMar>
              <w:top w:w="15" w:type="dxa"/>
              <w:left w:w="15" w:type="dxa"/>
              <w:bottom w:w="15" w:type="dxa"/>
              <w:right w:w="15" w:type="dxa"/>
            </w:tcMar>
            <w:vAlign w:val="center"/>
            <w:hideMark/>
          </w:tcPr>
          <w:p w14:paraId="1DBDE320"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Interpersonal Skills</w:t>
            </w:r>
          </w:p>
        </w:tc>
        <w:tc>
          <w:tcPr>
            <w:tcW w:w="1246" w:type="dxa"/>
            <w:tcMar>
              <w:top w:w="15" w:type="dxa"/>
              <w:left w:w="15" w:type="dxa"/>
              <w:bottom w:w="15" w:type="dxa"/>
              <w:right w:w="15" w:type="dxa"/>
            </w:tcMar>
            <w:vAlign w:val="center"/>
            <w:hideMark/>
          </w:tcPr>
          <w:p w14:paraId="18BEF940"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 0.70</w:t>
            </w:r>
          </w:p>
        </w:tc>
        <w:tc>
          <w:tcPr>
            <w:tcW w:w="1246" w:type="dxa"/>
            <w:tcMar>
              <w:top w:w="15" w:type="dxa"/>
              <w:left w:w="15" w:type="dxa"/>
              <w:bottom w:w="15" w:type="dxa"/>
              <w:right w:w="15" w:type="dxa"/>
            </w:tcMar>
            <w:vAlign w:val="center"/>
            <w:hideMark/>
          </w:tcPr>
          <w:p w14:paraId="716CCFAF"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 0.50</w:t>
            </w:r>
          </w:p>
        </w:tc>
        <w:tc>
          <w:tcPr>
            <w:tcW w:w="3073" w:type="dxa"/>
            <w:tcMar>
              <w:top w:w="15" w:type="dxa"/>
              <w:left w:w="15" w:type="dxa"/>
              <w:bottom w:w="15" w:type="dxa"/>
              <w:right w:w="15" w:type="dxa"/>
            </w:tcMar>
            <w:vAlign w:val="center"/>
            <w:hideMark/>
          </w:tcPr>
          <w:p w14:paraId="766858B1"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Acceptable</w:t>
            </w:r>
          </w:p>
        </w:tc>
      </w:tr>
      <w:tr w:rsidR="001B39BA" w:rsidRPr="001B39BA" w14:paraId="7DA51C7D" w14:textId="77777777">
        <w:trPr>
          <w:tblCellSpacing w:w="15" w:type="dxa"/>
        </w:trPr>
        <w:tc>
          <w:tcPr>
            <w:tcW w:w="2932" w:type="dxa"/>
            <w:tcMar>
              <w:top w:w="15" w:type="dxa"/>
              <w:left w:w="15" w:type="dxa"/>
              <w:bottom w:w="15" w:type="dxa"/>
              <w:right w:w="15" w:type="dxa"/>
            </w:tcMar>
            <w:vAlign w:val="center"/>
            <w:hideMark/>
          </w:tcPr>
          <w:p w14:paraId="7FE5E55D"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Self-Compassion</w:t>
            </w:r>
          </w:p>
        </w:tc>
        <w:tc>
          <w:tcPr>
            <w:tcW w:w="1246" w:type="dxa"/>
            <w:tcMar>
              <w:top w:w="15" w:type="dxa"/>
              <w:left w:w="15" w:type="dxa"/>
              <w:bottom w:w="15" w:type="dxa"/>
              <w:right w:w="15" w:type="dxa"/>
            </w:tcMar>
            <w:vAlign w:val="center"/>
            <w:hideMark/>
          </w:tcPr>
          <w:p w14:paraId="319D26E8"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 0.70</w:t>
            </w:r>
          </w:p>
        </w:tc>
        <w:tc>
          <w:tcPr>
            <w:tcW w:w="1246" w:type="dxa"/>
            <w:tcMar>
              <w:top w:w="15" w:type="dxa"/>
              <w:left w:w="15" w:type="dxa"/>
              <w:bottom w:w="15" w:type="dxa"/>
              <w:right w:w="15" w:type="dxa"/>
            </w:tcMar>
            <w:vAlign w:val="center"/>
            <w:hideMark/>
          </w:tcPr>
          <w:p w14:paraId="74EA7183"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 0.50</w:t>
            </w:r>
          </w:p>
        </w:tc>
        <w:tc>
          <w:tcPr>
            <w:tcW w:w="3073" w:type="dxa"/>
            <w:tcMar>
              <w:top w:w="15" w:type="dxa"/>
              <w:left w:w="15" w:type="dxa"/>
              <w:bottom w:w="15" w:type="dxa"/>
              <w:right w:w="15" w:type="dxa"/>
            </w:tcMar>
            <w:vAlign w:val="center"/>
            <w:hideMark/>
          </w:tcPr>
          <w:p w14:paraId="6111A99F"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Acceptable</w:t>
            </w:r>
          </w:p>
        </w:tc>
      </w:tr>
      <w:tr w:rsidR="001B39BA" w:rsidRPr="001B39BA" w14:paraId="02D665A3" w14:textId="77777777">
        <w:trPr>
          <w:tblCellSpacing w:w="15" w:type="dxa"/>
        </w:trPr>
        <w:tc>
          <w:tcPr>
            <w:tcW w:w="2932" w:type="dxa"/>
            <w:tcMar>
              <w:top w:w="15" w:type="dxa"/>
              <w:left w:w="15" w:type="dxa"/>
              <w:bottom w:w="15" w:type="dxa"/>
              <w:right w:w="15" w:type="dxa"/>
            </w:tcMar>
            <w:vAlign w:val="center"/>
            <w:hideMark/>
          </w:tcPr>
          <w:p w14:paraId="4242DE8C"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Compassion Satisfaction</w:t>
            </w:r>
          </w:p>
        </w:tc>
        <w:tc>
          <w:tcPr>
            <w:tcW w:w="1246" w:type="dxa"/>
            <w:tcMar>
              <w:top w:w="15" w:type="dxa"/>
              <w:left w:w="15" w:type="dxa"/>
              <w:bottom w:w="15" w:type="dxa"/>
              <w:right w:w="15" w:type="dxa"/>
            </w:tcMar>
            <w:vAlign w:val="center"/>
            <w:hideMark/>
          </w:tcPr>
          <w:p w14:paraId="1A607382"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 0.70</w:t>
            </w:r>
          </w:p>
        </w:tc>
        <w:tc>
          <w:tcPr>
            <w:tcW w:w="1246" w:type="dxa"/>
            <w:tcMar>
              <w:top w:w="15" w:type="dxa"/>
              <w:left w:w="15" w:type="dxa"/>
              <w:bottom w:w="15" w:type="dxa"/>
              <w:right w:w="15" w:type="dxa"/>
            </w:tcMar>
            <w:vAlign w:val="center"/>
            <w:hideMark/>
          </w:tcPr>
          <w:p w14:paraId="013C031E"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 0.50</w:t>
            </w:r>
          </w:p>
        </w:tc>
        <w:tc>
          <w:tcPr>
            <w:tcW w:w="3073" w:type="dxa"/>
            <w:tcMar>
              <w:top w:w="15" w:type="dxa"/>
              <w:left w:w="15" w:type="dxa"/>
              <w:bottom w:w="15" w:type="dxa"/>
              <w:right w:w="15" w:type="dxa"/>
            </w:tcMar>
            <w:vAlign w:val="center"/>
            <w:hideMark/>
          </w:tcPr>
          <w:p w14:paraId="765054E9"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Acceptable</w:t>
            </w:r>
          </w:p>
        </w:tc>
      </w:tr>
      <w:tr w:rsidR="001B39BA" w:rsidRPr="001B39BA" w14:paraId="481CBF8E" w14:textId="77777777">
        <w:trPr>
          <w:tblCellSpacing w:w="15" w:type="dxa"/>
        </w:trPr>
        <w:tc>
          <w:tcPr>
            <w:tcW w:w="2932" w:type="dxa"/>
            <w:tcMar>
              <w:top w:w="15" w:type="dxa"/>
              <w:left w:w="15" w:type="dxa"/>
              <w:bottom w:w="15" w:type="dxa"/>
              <w:right w:w="15" w:type="dxa"/>
            </w:tcMar>
            <w:vAlign w:val="center"/>
            <w:hideMark/>
          </w:tcPr>
          <w:p w14:paraId="7605C7F2"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Burnout</w:t>
            </w:r>
          </w:p>
        </w:tc>
        <w:tc>
          <w:tcPr>
            <w:tcW w:w="1246" w:type="dxa"/>
            <w:tcMar>
              <w:top w:w="15" w:type="dxa"/>
              <w:left w:w="15" w:type="dxa"/>
              <w:bottom w:w="15" w:type="dxa"/>
              <w:right w:w="15" w:type="dxa"/>
            </w:tcMar>
            <w:vAlign w:val="center"/>
            <w:hideMark/>
          </w:tcPr>
          <w:p w14:paraId="56D495C9"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 0.60</w:t>
            </w:r>
          </w:p>
        </w:tc>
        <w:tc>
          <w:tcPr>
            <w:tcW w:w="1246" w:type="dxa"/>
            <w:tcMar>
              <w:top w:w="15" w:type="dxa"/>
              <w:left w:w="15" w:type="dxa"/>
              <w:bottom w:w="15" w:type="dxa"/>
              <w:right w:w="15" w:type="dxa"/>
            </w:tcMar>
            <w:vAlign w:val="center"/>
            <w:hideMark/>
          </w:tcPr>
          <w:p w14:paraId="34832F24"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 0.40</w:t>
            </w:r>
          </w:p>
        </w:tc>
        <w:tc>
          <w:tcPr>
            <w:tcW w:w="3073" w:type="dxa"/>
            <w:tcMar>
              <w:top w:w="15" w:type="dxa"/>
              <w:left w:w="15" w:type="dxa"/>
              <w:bottom w:w="15" w:type="dxa"/>
              <w:right w:w="15" w:type="dxa"/>
            </w:tcMar>
            <w:vAlign w:val="center"/>
            <w:hideMark/>
          </w:tcPr>
          <w:p w14:paraId="27B439DE"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Marginal but acceptable</w:t>
            </w:r>
          </w:p>
        </w:tc>
      </w:tr>
      <w:tr w:rsidR="001B39BA" w:rsidRPr="001B39BA" w14:paraId="0D10069F" w14:textId="77777777">
        <w:trPr>
          <w:tblCellSpacing w:w="15" w:type="dxa"/>
        </w:trPr>
        <w:tc>
          <w:tcPr>
            <w:tcW w:w="2932" w:type="dxa"/>
            <w:tcBorders>
              <w:top w:val="nil"/>
              <w:left w:val="nil"/>
              <w:bottom w:val="single" w:sz="4" w:space="0" w:color="auto"/>
              <w:right w:val="nil"/>
            </w:tcBorders>
            <w:tcMar>
              <w:top w:w="15" w:type="dxa"/>
              <w:left w:w="15" w:type="dxa"/>
              <w:bottom w:w="15" w:type="dxa"/>
              <w:right w:w="15" w:type="dxa"/>
            </w:tcMar>
            <w:vAlign w:val="center"/>
            <w:hideMark/>
          </w:tcPr>
          <w:p w14:paraId="11ED967C" w14:textId="77777777" w:rsidR="001B39BA" w:rsidRPr="001B39BA" w:rsidRDefault="001B39BA" w:rsidP="001B39BA">
            <w:pPr>
              <w:widowControl/>
              <w:autoSpaceDE/>
              <w:spacing w:line="360" w:lineRule="auto"/>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Secondary Traumatic Stress</w:t>
            </w:r>
          </w:p>
        </w:tc>
        <w:tc>
          <w:tcPr>
            <w:tcW w:w="1246" w:type="dxa"/>
            <w:tcBorders>
              <w:top w:val="nil"/>
              <w:left w:val="nil"/>
              <w:bottom w:val="single" w:sz="4" w:space="0" w:color="auto"/>
              <w:right w:val="nil"/>
            </w:tcBorders>
            <w:tcMar>
              <w:top w:w="15" w:type="dxa"/>
              <w:left w:w="15" w:type="dxa"/>
              <w:bottom w:w="15" w:type="dxa"/>
              <w:right w:w="15" w:type="dxa"/>
            </w:tcMar>
            <w:vAlign w:val="center"/>
            <w:hideMark/>
          </w:tcPr>
          <w:p w14:paraId="62B2DC1A"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 0.70</w:t>
            </w:r>
          </w:p>
        </w:tc>
        <w:tc>
          <w:tcPr>
            <w:tcW w:w="1246" w:type="dxa"/>
            <w:tcBorders>
              <w:top w:val="nil"/>
              <w:left w:val="nil"/>
              <w:bottom w:val="single" w:sz="4" w:space="0" w:color="auto"/>
              <w:right w:val="nil"/>
            </w:tcBorders>
            <w:tcMar>
              <w:top w:w="15" w:type="dxa"/>
              <w:left w:w="15" w:type="dxa"/>
              <w:bottom w:w="15" w:type="dxa"/>
              <w:right w:w="15" w:type="dxa"/>
            </w:tcMar>
            <w:vAlign w:val="center"/>
            <w:hideMark/>
          </w:tcPr>
          <w:p w14:paraId="02B2AF1C"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 0.50</w:t>
            </w:r>
          </w:p>
        </w:tc>
        <w:tc>
          <w:tcPr>
            <w:tcW w:w="3073" w:type="dxa"/>
            <w:tcBorders>
              <w:top w:val="nil"/>
              <w:left w:val="nil"/>
              <w:bottom w:val="single" w:sz="4" w:space="0" w:color="auto"/>
              <w:right w:val="nil"/>
            </w:tcBorders>
            <w:tcMar>
              <w:top w:w="15" w:type="dxa"/>
              <w:left w:w="15" w:type="dxa"/>
              <w:bottom w:w="15" w:type="dxa"/>
              <w:right w:w="15" w:type="dxa"/>
            </w:tcMar>
            <w:vAlign w:val="center"/>
            <w:hideMark/>
          </w:tcPr>
          <w:p w14:paraId="1BF47A99" w14:textId="77777777" w:rsidR="001B39BA" w:rsidRPr="001B39BA" w:rsidRDefault="001B39BA" w:rsidP="001B39BA">
            <w:pPr>
              <w:widowControl/>
              <w:autoSpaceDE/>
              <w:spacing w:line="360" w:lineRule="auto"/>
              <w:jc w:val="center"/>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Acceptable</w:t>
            </w:r>
          </w:p>
        </w:tc>
      </w:tr>
    </w:tbl>
    <w:p w14:paraId="3ADAAD5F" w14:textId="77777777" w:rsidR="001B39BA" w:rsidRPr="001B39BA" w:rsidRDefault="001B39BA" w:rsidP="001B39BA">
      <w:pPr>
        <w:widowControl/>
        <w:autoSpaceDE/>
        <w:spacing w:line="360" w:lineRule="auto"/>
        <w:jc w:val="both"/>
        <w:rPr>
          <w:rFonts w:ascii="Arial" w:eastAsia="Calibri" w:hAnsi="Arial" w:cs="Arial"/>
          <w:lang w:val="en-SG"/>
        </w:rPr>
      </w:pPr>
    </w:p>
    <w:p w14:paraId="7239E469"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31FC7440"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lastRenderedPageBreak/>
        <w:t>To ensure clarity in interpreting responses, the study employed a structured approach to describe how each construct was measured and analyzed. In particular, the work-specific characteristics of guidance counselors were assessed using a five-point Likert scale ranging from Very Low to Very High. Mean scores were computed and interpreted based on predefined descriptive ranges, enabling a systematic evaluation of the extent to which each characteristic was manifested in professional practice.</w:t>
      </w:r>
    </w:p>
    <w:p w14:paraId="3D048880"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 xml:space="preserve">This scaling approach facilitated a nuanced understanding of </w:t>
      </w:r>
      <w:r w:rsidRPr="001B39BA">
        <w:rPr>
          <w:rFonts w:ascii="Arial" w:hAnsi="Arial" w:cs="Arial"/>
        </w:rPr>
        <w:t xml:space="preserve">guidance </w:t>
      </w:r>
      <w:r w:rsidRPr="001B39BA">
        <w:rPr>
          <w:rFonts w:ascii="Arial" w:eastAsia="Calibri" w:hAnsi="Arial" w:cs="Arial"/>
          <w:lang w:val="en-SG"/>
        </w:rPr>
        <w:t>counselors’ competencies by translating numerical responses into meaningful qualitative descriptions. As a result, the interpretation framework not only enhanced the readability of the findings but also ensured consistency in analyzing variations in the levels of work-specific characteristics across respondents.</w:t>
      </w:r>
    </w:p>
    <w:p w14:paraId="679E7B0F"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4FE640C7" w14:textId="77777777" w:rsidR="001B39BA" w:rsidRPr="001B39BA" w:rsidRDefault="001B39BA" w:rsidP="001B39BA">
      <w:pPr>
        <w:widowControl/>
        <w:autoSpaceDE/>
        <w:spacing w:line="360" w:lineRule="auto"/>
        <w:jc w:val="both"/>
        <w:rPr>
          <w:rFonts w:ascii="Arial" w:eastAsia="Calibri" w:hAnsi="Arial" w:cs="Arial"/>
          <w:lang w:val="en-SG"/>
        </w:rPr>
      </w:pPr>
      <w:r w:rsidRPr="001B39BA">
        <w:rPr>
          <w:rFonts w:ascii="Arial" w:eastAsia="Calibri" w:hAnsi="Arial" w:cs="Arial"/>
          <w:lang w:val="en-SG"/>
        </w:rPr>
        <w:t>Scale on Guidance Counselor’s Work-specific Characteristics in terms of Emphatic Understanding</w:t>
      </w:r>
    </w:p>
    <w:tbl>
      <w:tblPr>
        <w:tblW w:w="8647" w:type="dxa"/>
        <w:tblLayout w:type="fixed"/>
        <w:tblCellMar>
          <w:left w:w="0" w:type="dxa"/>
          <w:right w:w="0" w:type="dxa"/>
        </w:tblCellMar>
        <w:tblLook w:val="01E0" w:firstRow="1" w:lastRow="1" w:firstColumn="1" w:lastColumn="1" w:noHBand="0" w:noVBand="0"/>
      </w:tblPr>
      <w:tblGrid>
        <w:gridCol w:w="805"/>
        <w:gridCol w:w="1158"/>
        <w:gridCol w:w="1386"/>
        <w:gridCol w:w="5298"/>
      </w:tblGrid>
      <w:tr w:rsidR="001B39BA" w:rsidRPr="001B39BA" w14:paraId="24E6DA19" w14:textId="77777777" w:rsidTr="00727735">
        <w:trPr>
          <w:trHeight w:val="605"/>
        </w:trPr>
        <w:tc>
          <w:tcPr>
            <w:tcW w:w="805" w:type="dxa"/>
            <w:tcBorders>
              <w:top w:val="single" w:sz="12" w:space="0" w:color="000000"/>
              <w:left w:val="nil"/>
              <w:bottom w:val="single" w:sz="4" w:space="0" w:color="auto"/>
              <w:right w:val="nil"/>
            </w:tcBorders>
            <w:hideMark/>
          </w:tcPr>
          <w:p w14:paraId="4F4FE7A3" w14:textId="77777777" w:rsidR="001B39BA" w:rsidRPr="001B39BA" w:rsidRDefault="001B39BA" w:rsidP="00727735">
            <w:pPr>
              <w:spacing w:before="12"/>
              <w:ind w:left="172"/>
              <w:jc w:val="both"/>
              <w:rPr>
                <w:rFonts w:ascii="Arial" w:hAnsi="Arial" w:cs="Arial"/>
                <w:kern w:val="2"/>
                <w14:ligatures w14:val="standardContextual"/>
              </w:rPr>
            </w:pPr>
            <w:r w:rsidRPr="001B39BA">
              <w:rPr>
                <w:rFonts w:ascii="Arial" w:hAnsi="Arial" w:cs="Arial"/>
                <w:spacing w:val="-2"/>
                <w:kern w:val="2"/>
                <w14:ligatures w14:val="standardContextual"/>
              </w:rPr>
              <w:t>Scale</w:t>
            </w:r>
          </w:p>
        </w:tc>
        <w:tc>
          <w:tcPr>
            <w:tcW w:w="1158" w:type="dxa"/>
            <w:tcBorders>
              <w:top w:val="single" w:sz="12" w:space="0" w:color="000000"/>
              <w:left w:val="nil"/>
              <w:bottom w:val="single" w:sz="4" w:space="0" w:color="auto"/>
              <w:right w:val="nil"/>
            </w:tcBorders>
            <w:hideMark/>
          </w:tcPr>
          <w:p w14:paraId="47762DC8" w14:textId="77777777" w:rsidR="001B39BA" w:rsidRPr="001B39BA" w:rsidRDefault="001B39BA" w:rsidP="00727735">
            <w:pPr>
              <w:spacing w:before="12"/>
              <w:ind w:left="126"/>
              <w:jc w:val="both"/>
              <w:rPr>
                <w:rFonts w:ascii="Arial" w:hAnsi="Arial" w:cs="Arial"/>
                <w:kern w:val="2"/>
                <w14:ligatures w14:val="standardContextual"/>
              </w:rPr>
            </w:pPr>
            <w:r w:rsidRPr="001B39BA">
              <w:rPr>
                <w:rFonts w:ascii="Arial" w:hAnsi="Arial" w:cs="Arial"/>
                <w:spacing w:val="-4"/>
                <w:kern w:val="2"/>
                <w14:ligatures w14:val="standardContextual"/>
              </w:rPr>
              <w:t>Mean</w:t>
            </w:r>
          </w:p>
        </w:tc>
        <w:tc>
          <w:tcPr>
            <w:tcW w:w="1386" w:type="dxa"/>
            <w:tcBorders>
              <w:top w:val="single" w:sz="12" w:space="0" w:color="000000"/>
              <w:left w:val="nil"/>
              <w:bottom w:val="single" w:sz="4" w:space="0" w:color="auto"/>
              <w:right w:val="nil"/>
            </w:tcBorders>
            <w:hideMark/>
          </w:tcPr>
          <w:p w14:paraId="1BC73C22" w14:textId="77777777" w:rsidR="001B39BA" w:rsidRPr="001B39BA" w:rsidRDefault="001B39BA" w:rsidP="00727735">
            <w:pPr>
              <w:spacing w:before="12"/>
              <w:ind w:left="198"/>
              <w:jc w:val="both"/>
              <w:rPr>
                <w:rFonts w:ascii="Arial" w:hAnsi="Arial" w:cs="Arial"/>
                <w:kern w:val="2"/>
                <w14:ligatures w14:val="standardContextual"/>
              </w:rPr>
            </w:pPr>
            <w:r w:rsidRPr="001B39BA">
              <w:rPr>
                <w:rFonts w:ascii="Arial" w:hAnsi="Arial" w:cs="Arial"/>
                <w:spacing w:val="-2"/>
                <w:kern w:val="2"/>
                <w14:ligatures w14:val="standardContextual"/>
              </w:rPr>
              <w:t>Verbal</w:t>
            </w:r>
          </w:p>
          <w:p w14:paraId="455A9C19" w14:textId="77777777" w:rsidR="001B39BA" w:rsidRPr="001B39BA" w:rsidRDefault="001B39BA" w:rsidP="00727735">
            <w:pPr>
              <w:tabs>
                <w:tab w:val="left" w:pos="6271"/>
              </w:tabs>
              <w:spacing w:before="4"/>
              <w:ind w:left="-1963" w:right="-4896"/>
              <w:jc w:val="both"/>
              <w:rPr>
                <w:rFonts w:ascii="Arial" w:hAnsi="Arial" w:cs="Arial"/>
                <w:kern w:val="2"/>
                <w14:ligatures w14:val="standardContextual"/>
              </w:rPr>
            </w:pPr>
            <w:r w:rsidRPr="001B39BA">
              <w:rPr>
                <w:rFonts w:ascii="Arial" w:hAnsi="Arial" w:cs="Arial"/>
                <w:spacing w:val="70"/>
                <w:w w:val="150"/>
                <w:kern w:val="2"/>
                <w14:ligatures w14:val="standardContextual"/>
              </w:rPr>
              <w:t xml:space="preserve">              </w:t>
            </w:r>
            <w:r w:rsidRPr="001B39BA">
              <w:rPr>
                <w:rFonts w:ascii="Arial" w:hAnsi="Arial" w:cs="Arial"/>
                <w:spacing w:val="-2"/>
                <w:kern w:val="2"/>
                <w14:ligatures w14:val="standardContextual"/>
              </w:rPr>
              <w:t>Description</w:t>
            </w:r>
          </w:p>
        </w:tc>
        <w:tc>
          <w:tcPr>
            <w:tcW w:w="5298" w:type="dxa"/>
            <w:tcBorders>
              <w:top w:val="single" w:sz="12" w:space="0" w:color="000000"/>
              <w:left w:val="nil"/>
              <w:bottom w:val="single" w:sz="4" w:space="0" w:color="auto"/>
              <w:right w:val="nil"/>
            </w:tcBorders>
            <w:hideMark/>
          </w:tcPr>
          <w:p w14:paraId="40234A51" w14:textId="77777777" w:rsidR="001B39BA" w:rsidRPr="001B39BA" w:rsidRDefault="001B39BA" w:rsidP="00727735">
            <w:pPr>
              <w:spacing w:before="12"/>
              <w:ind w:left="170"/>
              <w:jc w:val="both"/>
              <w:rPr>
                <w:rFonts w:ascii="Arial" w:hAnsi="Arial" w:cs="Arial"/>
                <w:kern w:val="2"/>
                <w14:ligatures w14:val="standardContextual"/>
              </w:rPr>
            </w:pPr>
            <w:r w:rsidRPr="001B39BA">
              <w:rPr>
                <w:rFonts w:ascii="Arial" w:hAnsi="Arial" w:cs="Arial"/>
                <w:kern w:val="2"/>
                <w14:ligatures w14:val="standardContextual"/>
              </w:rPr>
              <w:t>Descriptive</w:t>
            </w:r>
            <w:r w:rsidRPr="001B39BA">
              <w:rPr>
                <w:rFonts w:ascii="Arial" w:hAnsi="Arial" w:cs="Arial"/>
                <w:spacing w:val="-10"/>
                <w:kern w:val="2"/>
                <w14:ligatures w14:val="standardContextual"/>
              </w:rPr>
              <w:t xml:space="preserve"> </w:t>
            </w:r>
            <w:r w:rsidRPr="001B39BA">
              <w:rPr>
                <w:rFonts w:ascii="Arial" w:hAnsi="Arial" w:cs="Arial"/>
                <w:spacing w:val="-2"/>
                <w:kern w:val="2"/>
                <w14:ligatures w14:val="standardContextual"/>
              </w:rPr>
              <w:t>Interpretation</w:t>
            </w:r>
          </w:p>
        </w:tc>
      </w:tr>
      <w:tr w:rsidR="001B39BA" w:rsidRPr="001B39BA" w14:paraId="6C25C0E0" w14:textId="77777777" w:rsidTr="00727735">
        <w:trPr>
          <w:trHeight w:val="1735"/>
        </w:trPr>
        <w:tc>
          <w:tcPr>
            <w:tcW w:w="805" w:type="dxa"/>
            <w:tcBorders>
              <w:top w:val="single" w:sz="4" w:space="0" w:color="auto"/>
              <w:left w:val="nil"/>
              <w:bottom w:val="nil"/>
              <w:right w:val="nil"/>
            </w:tcBorders>
          </w:tcPr>
          <w:p w14:paraId="4749AE4C" w14:textId="77777777" w:rsidR="001B39BA" w:rsidRPr="001B39BA" w:rsidRDefault="001B39BA" w:rsidP="00727735">
            <w:pPr>
              <w:spacing w:before="145"/>
              <w:ind w:left="161"/>
              <w:jc w:val="both"/>
              <w:rPr>
                <w:rFonts w:ascii="Arial" w:hAnsi="Arial" w:cs="Arial"/>
                <w:kern w:val="2"/>
                <w14:ligatures w14:val="standardContextual"/>
              </w:rPr>
            </w:pPr>
            <w:r w:rsidRPr="001B39BA">
              <w:rPr>
                <w:rFonts w:ascii="Arial" w:hAnsi="Arial" w:cs="Arial"/>
                <w:spacing w:val="-10"/>
                <w:kern w:val="2"/>
                <w14:ligatures w14:val="standardContextual"/>
              </w:rPr>
              <w:t>5</w:t>
            </w:r>
          </w:p>
          <w:p w14:paraId="70B082CE" w14:textId="77777777" w:rsidR="001B39BA" w:rsidRPr="001B39BA" w:rsidRDefault="001B39BA" w:rsidP="00727735">
            <w:pPr>
              <w:jc w:val="both"/>
              <w:rPr>
                <w:rFonts w:ascii="Arial" w:hAnsi="Arial" w:cs="Arial"/>
                <w:kern w:val="2"/>
                <w14:ligatures w14:val="standardContextual"/>
              </w:rPr>
            </w:pPr>
          </w:p>
          <w:p w14:paraId="3E9719F0" w14:textId="77777777" w:rsidR="001B39BA" w:rsidRPr="001B39BA" w:rsidRDefault="001B39BA" w:rsidP="00727735">
            <w:pPr>
              <w:jc w:val="both"/>
              <w:rPr>
                <w:rFonts w:ascii="Arial" w:hAnsi="Arial" w:cs="Arial"/>
                <w:kern w:val="2"/>
                <w14:ligatures w14:val="standardContextual"/>
              </w:rPr>
            </w:pPr>
          </w:p>
          <w:p w14:paraId="45CAE4D4" w14:textId="77777777" w:rsidR="001B39BA" w:rsidRPr="001B39BA" w:rsidRDefault="001B39BA" w:rsidP="00727735">
            <w:pPr>
              <w:jc w:val="both"/>
              <w:rPr>
                <w:rFonts w:ascii="Arial" w:hAnsi="Arial" w:cs="Arial"/>
                <w:kern w:val="2"/>
                <w14:ligatures w14:val="standardContextual"/>
              </w:rPr>
            </w:pPr>
          </w:p>
          <w:p w14:paraId="13B96E49" w14:textId="77777777" w:rsidR="001B39BA" w:rsidRPr="001B39BA" w:rsidRDefault="001B39BA" w:rsidP="00727735">
            <w:pPr>
              <w:ind w:left="161" w:right="58"/>
              <w:jc w:val="both"/>
              <w:rPr>
                <w:rFonts w:ascii="Arial" w:hAnsi="Arial" w:cs="Arial"/>
                <w:spacing w:val="-10"/>
                <w:kern w:val="2"/>
                <w14:ligatures w14:val="standardContextual"/>
              </w:rPr>
            </w:pPr>
          </w:p>
          <w:p w14:paraId="4BC8B51E" w14:textId="77777777" w:rsidR="001B39BA" w:rsidRPr="001B39BA" w:rsidRDefault="001B39BA" w:rsidP="00727735">
            <w:pPr>
              <w:ind w:left="161" w:right="58"/>
              <w:jc w:val="both"/>
              <w:rPr>
                <w:rFonts w:ascii="Arial" w:hAnsi="Arial" w:cs="Arial"/>
                <w:spacing w:val="-10"/>
                <w:kern w:val="2"/>
                <w14:ligatures w14:val="standardContextual"/>
              </w:rPr>
            </w:pPr>
          </w:p>
          <w:p w14:paraId="6DD92E7D" w14:textId="77777777" w:rsidR="001B39BA" w:rsidRPr="001B39BA" w:rsidRDefault="001B39BA" w:rsidP="00727735">
            <w:pPr>
              <w:ind w:left="161" w:right="58"/>
              <w:jc w:val="both"/>
              <w:rPr>
                <w:rFonts w:ascii="Arial" w:hAnsi="Arial" w:cs="Arial"/>
                <w:kern w:val="2"/>
                <w14:ligatures w14:val="standardContextual"/>
              </w:rPr>
            </w:pPr>
            <w:r w:rsidRPr="001B39BA">
              <w:rPr>
                <w:rFonts w:ascii="Arial" w:hAnsi="Arial" w:cs="Arial"/>
                <w:spacing w:val="-10"/>
                <w:kern w:val="2"/>
                <w14:ligatures w14:val="standardContextual"/>
              </w:rPr>
              <w:t>4</w:t>
            </w:r>
          </w:p>
        </w:tc>
        <w:tc>
          <w:tcPr>
            <w:tcW w:w="1158" w:type="dxa"/>
            <w:tcBorders>
              <w:top w:val="single" w:sz="4" w:space="0" w:color="auto"/>
              <w:left w:val="nil"/>
              <w:bottom w:val="nil"/>
              <w:right w:val="nil"/>
            </w:tcBorders>
          </w:tcPr>
          <w:p w14:paraId="3FD97582" w14:textId="77777777" w:rsidR="001B39BA" w:rsidRPr="001B39BA" w:rsidRDefault="001B39BA" w:rsidP="00727735">
            <w:pPr>
              <w:spacing w:before="145"/>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4.21–5.00</w:t>
            </w:r>
          </w:p>
          <w:p w14:paraId="147DDF0F" w14:textId="77777777" w:rsidR="001B39BA" w:rsidRPr="001B39BA" w:rsidRDefault="001B39BA" w:rsidP="00727735">
            <w:pPr>
              <w:jc w:val="both"/>
              <w:rPr>
                <w:rFonts w:ascii="Arial" w:hAnsi="Arial" w:cs="Arial"/>
                <w:kern w:val="2"/>
                <w14:ligatures w14:val="standardContextual"/>
              </w:rPr>
            </w:pPr>
          </w:p>
          <w:p w14:paraId="3BE30C54" w14:textId="77777777" w:rsidR="001B39BA" w:rsidRPr="001B39BA" w:rsidRDefault="001B39BA" w:rsidP="00727735">
            <w:pPr>
              <w:jc w:val="both"/>
              <w:rPr>
                <w:rFonts w:ascii="Arial" w:hAnsi="Arial" w:cs="Arial"/>
                <w:kern w:val="2"/>
                <w14:ligatures w14:val="standardContextual"/>
              </w:rPr>
            </w:pPr>
          </w:p>
          <w:p w14:paraId="105CD01B" w14:textId="77777777" w:rsidR="001B39BA" w:rsidRPr="001B39BA" w:rsidRDefault="001B39BA" w:rsidP="00727735">
            <w:pPr>
              <w:jc w:val="both"/>
              <w:rPr>
                <w:rFonts w:ascii="Arial" w:hAnsi="Arial" w:cs="Arial"/>
                <w:kern w:val="2"/>
                <w14:ligatures w14:val="standardContextual"/>
              </w:rPr>
            </w:pPr>
          </w:p>
          <w:p w14:paraId="53A84A43" w14:textId="77777777" w:rsidR="001B39BA" w:rsidRPr="001B39BA" w:rsidRDefault="001B39BA" w:rsidP="00727735">
            <w:pPr>
              <w:jc w:val="both"/>
              <w:rPr>
                <w:rFonts w:ascii="Arial" w:hAnsi="Arial" w:cs="Arial"/>
                <w:kern w:val="2"/>
                <w14:ligatures w14:val="standardContextual"/>
              </w:rPr>
            </w:pPr>
          </w:p>
          <w:p w14:paraId="7A35DDDA" w14:textId="77777777" w:rsidR="001B39BA" w:rsidRPr="001B39BA" w:rsidRDefault="001B39BA" w:rsidP="00727735">
            <w:pPr>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3.41–4.20</w:t>
            </w:r>
          </w:p>
        </w:tc>
        <w:tc>
          <w:tcPr>
            <w:tcW w:w="1386" w:type="dxa"/>
            <w:tcBorders>
              <w:top w:val="single" w:sz="4" w:space="0" w:color="auto"/>
              <w:left w:val="nil"/>
              <w:bottom w:val="nil"/>
              <w:right w:val="nil"/>
            </w:tcBorders>
          </w:tcPr>
          <w:p w14:paraId="7F8CFB83" w14:textId="77777777" w:rsidR="001B39BA" w:rsidRPr="001B39BA" w:rsidRDefault="001B39BA" w:rsidP="00727735">
            <w:pPr>
              <w:spacing w:before="145"/>
              <w:ind w:left="96" w:right="29"/>
              <w:jc w:val="both"/>
              <w:rPr>
                <w:rFonts w:ascii="Arial" w:hAnsi="Arial" w:cs="Arial"/>
                <w:kern w:val="2"/>
                <w14:ligatures w14:val="standardContextual"/>
              </w:rPr>
            </w:pPr>
            <w:r w:rsidRPr="001B39BA">
              <w:rPr>
                <w:rFonts w:ascii="Arial" w:hAnsi="Arial" w:cs="Arial"/>
                <w:kern w:val="2"/>
                <w14:ligatures w14:val="standardContextual"/>
              </w:rPr>
              <w:t>Very</w:t>
            </w:r>
            <w:r w:rsidRPr="001B39BA">
              <w:rPr>
                <w:rFonts w:ascii="Arial" w:hAnsi="Arial" w:cs="Arial"/>
                <w:spacing w:val="1"/>
                <w:kern w:val="2"/>
                <w14:ligatures w14:val="standardContextual"/>
              </w:rPr>
              <w:t xml:space="preserve"> </w:t>
            </w:r>
            <w:r w:rsidRPr="001B39BA">
              <w:rPr>
                <w:rFonts w:ascii="Arial" w:hAnsi="Arial" w:cs="Arial"/>
                <w:spacing w:val="-4"/>
                <w:kern w:val="2"/>
                <w14:ligatures w14:val="standardContextual"/>
              </w:rPr>
              <w:t>High</w:t>
            </w:r>
          </w:p>
          <w:p w14:paraId="5E99D297" w14:textId="77777777" w:rsidR="001B39BA" w:rsidRPr="001B39BA" w:rsidRDefault="001B39BA" w:rsidP="00727735">
            <w:pPr>
              <w:jc w:val="both"/>
              <w:rPr>
                <w:rFonts w:ascii="Arial" w:hAnsi="Arial" w:cs="Arial"/>
                <w:kern w:val="2"/>
                <w14:ligatures w14:val="standardContextual"/>
              </w:rPr>
            </w:pPr>
          </w:p>
          <w:p w14:paraId="4E30CA63" w14:textId="77777777" w:rsidR="001B39BA" w:rsidRPr="001B39BA" w:rsidRDefault="001B39BA" w:rsidP="00727735">
            <w:pPr>
              <w:jc w:val="both"/>
              <w:rPr>
                <w:rFonts w:ascii="Arial" w:hAnsi="Arial" w:cs="Arial"/>
                <w:kern w:val="2"/>
                <w14:ligatures w14:val="standardContextual"/>
              </w:rPr>
            </w:pPr>
          </w:p>
          <w:p w14:paraId="40D12882" w14:textId="77777777" w:rsidR="001B39BA" w:rsidRPr="001B39BA" w:rsidRDefault="001B39BA" w:rsidP="00727735">
            <w:pPr>
              <w:jc w:val="both"/>
              <w:rPr>
                <w:rFonts w:ascii="Arial" w:hAnsi="Arial" w:cs="Arial"/>
                <w:kern w:val="2"/>
                <w14:ligatures w14:val="standardContextual"/>
              </w:rPr>
            </w:pPr>
          </w:p>
          <w:p w14:paraId="330BD653" w14:textId="77777777" w:rsidR="001B39BA" w:rsidRPr="001B39BA" w:rsidRDefault="001B39BA" w:rsidP="00727735">
            <w:pPr>
              <w:spacing w:before="49"/>
              <w:jc w:val="both"/>
              <w:rPr>
                <w:rFonts w:ascii="Arial" w:hAnsi="Arial" w:cs="Arial"/>
                <w:kern w:val="2"/>
                <w14:ligatures w14:val="standardContextual"/>
              </w:rPr>
            </w:pPr>
          </w:p>
          <w:p w14:paraId="6829F27C" w14:textId="77777777" w:rsidR="001B39BA" w:rsidRPr="001B39BA" w:rsidRDefault="001B39BA" w:rsidP="00727735">
            <w:pPr>
              <w:ind w:left="96"/>
              <w:jc w:val="both"/>
              <w:rPr>
                <w:rFonts w:ascii="Arial" w:hAnsi="Arial" w:cs="Arial"/>
                <w:spacing w:val="-4"/>
                <w:kern w:val="2"/>
                <w14:ligatures w14:val="standardContextual"/>
              </w:rPr>
            </w:pPr>
          </w:p>
          <w:p w14:paraId="2C487210" w14:textId="77777777" w:rsidR="001B39BA" w:rsidRPr="001B39BA" w:rsidRDefault="001B39BA" w:rsidP="00727735">
            <w:pPr>
              <w:ind w:left="96"/>
              <w:jc w:val="both"/>
              <w:rPr>
                <w:rFonts w:ascii="Arial" w:hAnsi="Arial" w:cs="Arial"/>
                <w:kern w:val="2"/>
                <w14:ligatures w14:val="standardContextual"/>
              </w:rPr>
            </w:pPr>
            <w:r w:rsidRPr="001B39BA">
              <w:rPr>
                <w:rFonts w:ascii="Arial" w:hAnsi="Arial" w:cs="Arial"/>
                <w:spacing w:val="-4"/>
                <w:kern w:val="2"/>
                <w14:ligatures w14:val="standardContextual"/>
              </w:rPr>
              <w:t>High</w:t>
            </w:r>
          </w:p>
        </w:tc>
        <w:tc>
          <w:tcPr>
            <w:tcW w:w="5298" w:type="dxa"/>
            <w:tcBorders>
              <w:top w:val="single" w:sz="4" w:space="0" w:color="auto"/>
              <w:left w:val="nil"/>
              <w:bottom w:val="nil"/>
              <w:right w:val="nil"/>
            </w:tcBorders>
          </w:tcPr>
          <w:p w14:paraId="724CA2AE" w14:textId="77777777" w:rsidR="001B39BA" w:rsidRPr="001B39BA" w:rsidRDefault="001B39BA" w:rsidP="00727735">
            <w:pPr>
              <w:widowControl/>
              <w:autoSpaceDE/>
              <w:jc w:val="both"/>
              <w:rPr>
                <w:rFonts w:ascii="Arial" w:hAnsi="Arial" w:cs="Arial"/>
                <w:kern w:val="2"/>
                <w14:ligatures w14:val="standardContextual"/>
              </w:rPr>
            </w:pPr>
            <w:r w:rsidRPr="001B39BA">
              <w:rPr>
                <w:rFonts w:ascii="Arial" w:eastAsia="Calibri" w:hAnsi="Arial" w:cs="Arial"/>
                <w:kern w:val="2"/>
                <w:lang w:val="en-SG"/>
                <w14:ligatures w14:val="standardContextual"/>
              </w:rPr>
              <w:t>Guidance counselors consistently demonstrate empathic understanding in their professional interactions with students. They effectively recognize and respond to students’ feelings and perspectives with sensitivity and concern.</w:t>
            </w:r>
          </w:p>
          <w:p w14:paraId="6C3A3531" w14:textId="77777777" w:rsidR="00727735" w:rsidRDefault="00727735" w:rsidP="00727735">
            <w:pPr>
              <w:widowControl/>
              <w:autoSpaceDE/>
              <w:jc w:val="both"/>
              <w:rPr>
                <w:rFonts w:ascii="Arial" w:eastAsia="Calibri" w:hAnsi="Arial" w:cs="Arial"/>
                <w:kern w:val="2"/>
                <w:lang w:val="en-SG"/>
                <w14:ligatures w14:val="standardContextual"/>
              </w:rPr>
            </w:pPr>
          </w:p>
          <w:p w14:paraId="744A943C" w14:textId="0C928663" w:rsidR="001B39BA" w:rsidRPr="001B39BA" w:rsidRDefault="001B39BA" w:rsidP="00727735">
            <w:pPr>
              <w:widowControl/>
              <w:autoSpaceDE/>
              <w:jc w:val="both"/>
              <w:rPr>
                <w:rFonts w:ascii="Arial" w:hAnsi="Arial" w:cs="Arial"/>
                <w:kern w:val="2"/>
                <w14:ligatures w14:val="standardContextual"/>
              </w:rPr>
            </w:pPr>
            <w:r w:rsidRPr="001B39BA">
              <w:rPr>
                <w:rFonts w:ascii="Arial" w:eastAsia="Calibri" w:hAnsi="Arial" w:cs="Arial"/>
                <w:kern w:val="2"/>
                <w:lang w:val="en-SG"/>
                <w14:ligatures w14:val="standardContextual"/>
              </w:rPr>
              <w:t>Guidance counselors demonstrate strong empathy in counseling situations and generally show sensitivity to students’ emotions and experiences.</w:t>
            </w:r>
          </w:p>
        </w:tc>
      </w:tr>
      <w:tr w:rsidR="001B39BA" w:rsidRPr="001B39BA" w14:paraId="145D1F18" w14:textId="77777777" w:rsidTr="00727735">
        <w:trPr>
          <w:trHeight w:val="710"/>
        </w:trPr>
        <w:tc>
          <w:tcPr>
            <w:tcW w:w="805" w:type="dxa"/>
            <w:hideMark/>
          </w:tcPr>
          <w:p w14:paraId="7F653926" w14:textId="77777777" w:rsidR="001B39BA" w:rsidRPr="001B39BA" w:rsidRDefault="001B39BA" w:rsidP="00727735">
            <w:pPr>
              <w:spacing w:before="221"/>
              <w:ind w:left="427"/>
              <w:jc w:val="both"/>
              <w:rPr>
                <w:rFonts w:ascii="Arial" w:hAnsi="Arial" w:cs="Arial"/>
                <w:kern w:val="2"/>
                <w14:ligatures w14:val="standardContextual"/>
              </w:rPr>
            </w:pPr>
            <w:r w:rsidRPr="001B39BA">
              <w:rPr>
                <w:rFonts w:ascii="Arial" w:hAnsi="Arial" w:cs="Arial"/>
                <w:spacing w:val="-10"/>
                <w:kern w:val="2"/>
                <w14:ligatures w14:val="standardContextual"/>
              </w:rPr>
              <w:t>3</w:t>
            </w:r>
          </w:p>
        </w:tc>
        <w:tc>
          <w:tcPr>
            <w:tcW w:w="1158" w:type="dxa"/>
            <w:hideMark/>
          </w:tcPr>
          <w:p w14:paraId="694E56AC" w14:textId="77777777" w:rsidR="001B39BA" w:rsidRPr="001B39BA" w:rsidRDefault="001B39BA" w:rsidP="00727735">
            <w:pPr>
              <w:spacing w:before="221"/>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2.61–3.40</w:t>
            </w:r>
          </w:p>
        </w:tc>
        <w:tc>
          <w:tcPr>
            <w:tcW w:w="1386" w:type="dxa"/>
            <w:hideMark/>
          </w:tcPr>
          <w:p w14:paraId="7D5FE5AA" w14:textId="77777777" w:rsidR="001B39BA" w:rsidRPr="001B39BA" w:rsidRDefault="001B39BA" w:rsidP="00727735">
            <w:pPr>
              <w:spacing w:before="221"/>
              <w:jc w:val="both"/>
              <w:rPr>
                <w:rFonts w:ascii="Arial" w:hAnsi="Arial" w:cs="Arial"/>
                <w:kern w:val="2"/>
                <w14:ligatures w14:val="standardContextual"/>
              </w:rPr>
            </w:pPr>
            <w:r w:rsidRPr="001B39BA">
              <w:rPr>
                <w:rFonts w:ascii="Arial" w:hAnsi="Arial" w:cs="Arial"/>
                <w:spacing w:val="-2"/>
                <w:kern w:val="2"/>
                <w14:ligatures w14:val="standardContextual"/>
              </w:rPr>
              <w:t xml:space="preserve">  Moderate</w:t>
            </w:r>
          </w:p>
        </w:tc>
        <w:tc>
          <w:tcPr>
            <w:tcW w:w="5298" w:type="dxa"/>
          </w:tcPr>
          <w:p w14:paraId="62FA9B26" w14:textId="77777777" w:rsidR="001B39BA" w:rsidRPr="001B39BA" w:rsidRDefault="001B39BA" w:rsidP="00727735">
            <w:pPr>
              <w:widowControl/>
              <w:autoSpaceDE/>
              <w:jc w:val="both"/>
              <w:rPr>
                <w:rFonts w:ascii="Arial" w:eastAsia="Calibri" w:hAnsi="Arial" w:cs="Arial"/>
                <w:kern w:val="2"/>
                <w:lang w:val="en-SG"/>
                <w14:ligatures w14:val="standardContextual"/>
              </w:rPr>
            </w:pPr>
          </w:p>
          <w:p w14:paraId="431EEC54" w14:textId="77777777" w:rsidR="001B39BA" w:rsidRPr="001B39BA" w:rsidRDefault="001B39BA" w:rsidP="00727735">
            <w:pPr>
              <w:widowControl/>
              <w:autoSpaceDE/>
              <w:jc w:val="both"/>
              <w:rPr>
                <w:rFonts w:ascii="Arial" w:hAnsi="Arial" w:cs="Arial"/>
                <w:kern w:val="2"/>
                <w14:ligatures w14:val="standardContextual"/>
              </w:rPr>
            </w:pPr>
            <w:r w:rsidRPr="001B39BA">
              <w:rPr>
                <w:rFonts w:ascii="Arial" w:eastAsia="Calibri" w:hAnsi="Arial" w:cs="Arial"/>
                <w:kern w:val="2"/>
                <w:lang w:val="en-SG"/>
                <w14:ligatures w14:val="standardContextual"/>
              </w:rPr>
              <w:t>Guidance counselors demonstrate moderate empathy; however, their expression of empathy may vary depending on the situation.</w:t>
            </w:r>
          </w:p>
        </w:tc>
      </w:tr>
      <w:tr w:rsidR="001B39BA" w:rsidRPr="001B39BA" w14:paraId="565696CF" w14:textId="77777777" w:rsidTr="00727735">
        <w:trPr>
          <w:trHeight w:val="841"/>
        </w:trPr>
        <w:tc>
          <w:tcPr>
            <w:tcW w:w="805" w:type="dxa"/>
            <w:hideMark/>
          </w:tcPr>
          <w:p w14:paraId="537EA79F" w14:textId="77777777" w:rsidR="001B39BA" w:rsidRPr="001B39BA" w:rsidRDefault="001B39BA" w:rsidP="00727735">
            <w:pPr>
              <w:spacing w:before="152"/>
              <w:ind w:left="427"/>
              <w:jc w:val="both"/>
              <w:rPr>
                <w:rFonts w:ascii="Arial" w:hAnsi="Arial" w:cs="Arial"/>
                <w:kern w:val="2"/>
                <w14:ligatures w14:val="standardContextual"/>
              </w:rPr>
            </w:pPr>
            <w:r w:rsidRPr="001B39BA">
              <w:rPr>
                <w:rFonts w:ascii="Arial" w:hAnsi="Arial" w:cs="Arial"/>
                <w:spacing w:val="-10"/>
                <w:kern w:val="2"/>
                <w14:ligatures w14:val="standardContextual"/>
              </w:rPr>
              <w:t>2</w:t>
            </w:r>
          </w:p>
        </w:tc>
        <w:tc>
          <w:tcPr>
            <w:tcW w:w="1158" w:type="dxa"/>
            <w:hideMark/>
          </w:tcPr>
          <w:p w14:paraId="3CF158AD" w14:textId="77777777" w:rsidR="001B39BA" w:rsidRPr="001B39BA" w:rsidRDefault="001B39BA" w:rsidP="00727735">
            <w:pPr>
              <w:spacing w:before="152"/>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1.81–2.60</w:t>
            </w:r>
          </w:p>
        </w:tc>
        <w:tc>
          <w:tcPr>
            <w:tcW w:w="1386" w:type="dxa"/>
            <w:hideMark/>
          </w:tcPr>
          <w:p w14:paraId="11E3BD7E" w14:textId="77777777" w:rsidR="001B39BA" w:rsidRPr="001B39BA" w:rsidRDefault="001B39BA" w:rsidP="00727735">
            <w:pPr>
              <w:spacing w:before="152"/>
              <w:jc w:val="both"/>
              <w:rPr>
                <w:rFonts w:ascii="Arial" w:hAnsi="Arial" w:cs="Arial"/>
                <w:kern w:val="2"/>
                <w14:ligatures w14:val="standardContextual"/>
              </w:rPr>
            </w:pPr>
            <w:r w:rsidRPr="001B39BA">
              <w:rPr>
                <w:rFonts w:ascii="Arial" w:hAnsi="Arial" w:cs="Arial"/>
                <w:spacing w:val="-5"/>
                <w:kern w:val="2"/>
                <w14:ligatures w14:val="standardContextual"/>
              </w:rPr>
              <w:t xml:space="preserve">   Low</w:t>
            </w:r>
          </w:p>
        </w:tc>
        <w:tc>
          <w:tcPr>
            <w:tcW w:w="5298" w:type="dxa"/>
            <w:hideMark/>
          </w:tcPr>
          <w:p w14:paraId="68E939AD" w14:textId="77777777" w:rsidR="001B39BA" w:rsidRPr="001B39BA" w:rsidRDefault="001B39BA" w:rsidP="00727735">
            <w:pPr>
              <w:spacing w:before="149"/>
              <w:jc w:val="both"/>
              <w:rPr>
                <w:rFonts w:ascii="Arial" w:hAnsi="Arial" w:cs="Arial"/>
                <w:kern w:val="2"/>
                <w14:ligatures w14:val="standardContextual"/>
              </w:rPr>
            </w:pPr>
            <w:r w:rsidRPr="001B39BA">
              <w:rPr>
                <w:rFonts w:ascii="Arial" w:hAnsi="Arial" w:cs="Arial"/>
                <w:kern w:val="2"/>
                <w:lang w:val="en-SG"/>
                <w14:ligatures w14:val="standardContextual"/>
              </w:rPr>
              <w:t>Guidance counselors seldom demonstrate empathic understanding in their professional interactions, indicating limited sensitivity to students’ feelings and perspectives.</w:t>
            </w:r>
          </w:p>
        </w:tc>
      </w:tr>
      <w:tr w:rsidR="001B39BA" w:rsidRPr="001B39BA" w14:paraId="2FCC14F4" w14:textId="77777777" w:rsidTr="00727735">
        <w:trPr>
          <w:trHeight w:val="718"/>
        </w:trPr>
        <w:tc>
          <w:tcPr>
            <w:tcW w:w="805" w:type="dxa"/>
            <w:tcBorders>
              <w:top w:val="nil"/>
              <w:left w:val="nil"/>
              <w:bottom w:val="single" w:sz="4" w:space="0" w:color="auto"/>
              <w:right w:val="nil"/>
            </w:tcBorders>
          </w:tcPr>
          <w:p w14:paraId="52E471CB" w14:textId="77777777" w:rsidR="001B39BA" w:rsidRPr="001B39BA" w:rsidRDefault="001B39BA" w:rsidP="00727735">
            <w:pPr>
              <w:spacing w:before="52"/>
              <w:jc w:val="both"/>
              <w:rPr>
                <w:rFonts w:ascii="Arial" w:hAnsi="Arial" w:cs="Arial"/>
                <w:kern w:val="2"/>
                <w14:ligatures w14:val="standardContextual"/>
              </w:rPr>
            </w:pPr>
          </w:p>
          <w:p w14:paraId="20EE567C" w14:textId="77777777" w:rsidR="001B39BA" w:rsidRPr="001B39BA" w:rsidRDefault="001B39BA" w:rsidP="00727735">
            <w:pPr>
              <w:ind w:left="427"/>
              <w:jc w:val="both"/>
              <w:rPr>
                <w:rFonts w:ascii="Arial" w:hAnsi="Arial" w:cs="Arial"/>
                <w:kern w:val="2"/>
                <w14:ligatures w14:val="standardContextual"/>
              </w:rPr>
            </w:pPr>
            <w:r w:rsidRPr="001B39BA">
              <w:rPr>
                <w:rFonts w:ascii="Arial" w:hAnsi="Arial" w:cs="Arial"/>
                <w:spacing w:val="-10"/>
                <w:kern w:val="2"/>
                <w14:ligatures w14:val="standardContextual"/>
              </w:rPr>
              <w:t>1</w:t>
            </w:r>
          </w:p>
        </w:tc>
        <w:tc>
          <w:tcPr>
            <w:tcW w:w="1158" w:type="dxa"/>
            <w:tcBorders>
              <w:top w:val="nil"/>
              <w:left w:val="nil"/>
              <w:bottom w:val="single" w:sz="4" w:space="0" w:color="auto"/>
              <w:right w:val="nil"/>
            </w:tcBorders>
          </w:tcPr>
          <w:p w14:paraId="72788F70" w14:textId="77777777" w:rsidR="001B39BA" w:rsidRPr="001B39BA" w:rsidRDefault="001B39BA" w:rsidP="00727735">
            <w:pPr>
              <w:spacing w:before="52"/>
              <w:jc w:val="both"/>
              <w:rPr>
                <w:rFonts w:ascii="Arial" w:hAnsi="Arial" w:cs="Arial"/>
                <w:kern w:val="2"/>
                <w14:ligatures w14:val="standardContextual"/>
              </w:rPr>
            </w:pPr>
          </w:p>
          <w:p w14:paraId="1623A4F7" w14:textId="77777777" w:rsidR="001B39BA" w:rsidRPr="001B39BA" w:rsidRDefault="001B39BA" w:rsidP="00727735">
            <w:pPr>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1.00–1.80</w:t>
            </w:r>
          </w:p>
        </w:tc>
        <w:tc>
          <w:tcPr>
            <w:tcW w:w="1386" w:type="dxa"/>
            <w:tcBorders>
              <w:top w:val="nil"/>
              <w:left w:val="nil"/>
              <w:bottom w:val="single" w:sz="4" w:space="0" w:color="auto"/>
              <w:right w:val="nil"/>
            </w:tcBorders>
          </w:tcPr>
          <w:p w14:paraId="707C5325" w14:textId="77777777" w:rsidR="001B39BA" w:rsidRPr="001B39BA" w:rsidRDefault="001B39BA" w:rsidP="00727735">
            <w:pPr>
              <w:spacing w:before="52"/>
              <w:jc w:val="both"/>
              <w:rPr>
                <w:rFonts w:ascii="Arial" w:hAnsi="Arial" w:cs="Arial"/>
                <w:kern w:val="2"/>
                <w14:ligatures w14:val="standardContextual"/>
              </w:rPr>
            </w:pPr>
          </w:p>
          <w:p w14:paraId="6C8EB437" w14:textId="77777777" w:rsidR="001B39BA" w:rsidRPr="001B39BA" w:rsidRDefault="001B39BA" w:rsidP="00727735">
            <w:pPr>
              <w:jc w:val="both"/>
              <w:rPr>
                <w:rFonts w:ascii="Arial" w:hAnsi="Arial" w:cs="Arial"/>
                <w:kern w:val="2"/>
                <w14:ligatures w14:val="standardContextual"/>
              </w:rPr>
            </w:pPr>
            <w:r w:rsidRPr="001B39BA">
              <w:rPr>
                <w:rFonts w:ascii="Arial" w:hAnsi="Arial" w:cs="Arial"/>
                <w:kern w:val="2"/>
                <w14:ligatures w14:val="standardContextual"/>
              </w:rPr>
              <w:t xml:space="preserve">   Very</w:t>
            </w:r>
            <w:r w:rsidRPr="001B39BA">
              <w:rPr>
                <w:rFonts w:ascii="Arial" w:hAnsi="Arial" w:cs="Arial"/>
                <w:spacing w:val="1"/>
                <w:kern w:val="2"/>
                <w14:ligatures w14:val="standardContextual"/>
              </w:rPr>
              <w:t xml:space="preserve"> </w:t>
            </w:r>
            <w:r w:rsidRPr="001B39BA">
              <w:rPr>
                <w:rFonts w:ascii="Arial" w:hAnsi="Arial" w:cs="Arial"/>
                <w:spacing w:val="-5"/>
                <w:kern w:val="2"/>
                <w14:ligatures w14:val="standardContextual"/>
              </w:rPr>
              <w:t>Low</w:t>
            </w:r>
          </w:p>
        </w:tc>
        <w:tc>
          <w:tcPr>
            <w:tcW w:w="5298" w:type="dxa"/>
            <w:tcBorders>
              <w:top w:val="nil"/>
              <w:left w:val="nil"/>
              <w:bottom w:val="single" w:sz="4" w:space="0" w:color="auto"/>
              <w:right w:val="nil"/>
            </w:tcBorders>
          </w:tcPr>
          <w:p w14:paraId="39A492E6" w14:textId="77777777" w:rsidR="001B39BA" w:rsidRPr="001B39BA" w:rsidRDefault="001B39BA" w:rsidP="00727735">
            <w:pPr>
              <w:widowControl/>
              <w:autoSpaceDE/>
              <w:jc w:val="both"/>
              <w:rPr>
                <w:rFonts w:ascii="Arial" w:eastAsia="Calibri" w:hAnsi="Arial" w:cs="Arial"/>
                <w:kern w:val="2"/>
                <w:lang w:val="en-SG"/>
                <w14:ligatures w14:val="standardContextual"/>
              </w:rPr>
            </w:pPr>
          </w:p>
          <w:p w14:paraId="79A45133" w14:textId="77777777" w:rsidR="001B39BA" w:rsidRPr="001B39BA" w:rsidRDefault="001B39BA" w:rsidP="00727735">
            <w:pPr>
              <w:widowControl/>
              <w:autoSpaceDE/>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Guidance counselors rarely demonstrate empathic understanding, suggesting a minimal ability to recognize and respond to students’ emotional experiences.</w:t>
            </w:r>
          </w:p>
        </w:tc>
      </w:tr>
    </w:tbl>
    <w:p w14:paraId="434C9F32" w14:textId="77777777" w:rsidR="001B39BA" w:rsidRPr="001B39BA" w:rsidRDefault="001B39BA" w:rsidP="001B39BA">
      <w:pPr>
        <w:widowControl/>
        <w:autoSpaceDE/>
        <w:spacing w:line="360" w:lineRule="auto"/>
        <w:jc w:val="both"/>
        <w:rPr>
          <w:rFonts w:ascii="Arial" w:eastAsia="Calibri" w:hAnsi="Arial" w:cs="Arial"/>
          <w:lang w:val="en-SG"/>
        </w:rPr>
      </w:pPr>
    </w:p>
    <w:p w14:paraId="12913BDD" w14:textId="77777777" w:rsidR="00727735" w:rsidRDefault="001B39BA" w:rsidP="001B39BA">
      <w:pPr>
        <w:widowControl/>
        <w:autoSpaceDE/>
        <w:spacing w:line="360" w:lineRule="auto"/>
        <w:jc w:val="both"/>
        <w:rPr>
          <w:rFonts w:ascii="Arial" w:eastAsia="Calibri" w:hAnsi="Arial" w:cs="Arial"/>
          <w:lang w:val="en-SG"/>
        </w:rPr>
      </w:pPr>
      <w:r w:rsidRPr="001B39BA">
        <w:rPr>
          <w:rFonts w:ascii="Arial" w:eastAsia="Calibri" w:hAnsi="Arial" w:cs="Arial"/>
          <w:lang w:val="en-SG"/>
        </w:rPr>
        <w:tab/>
      </w:r>
    </w:p>
    <w:p w14:paraId="0667D43E" w14:textId="58460598" w:rsidR="00727735" w:rsidRPr="001B39BA" w:rsidRDefault="00727735" w:rsidP="00727735">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lastRenderedPageBreak/>
        <w:t xml:space="preserve">Empathic understanding is the ability of guidance counselors to recognize and respond to students’ emotions and perspectives with sensitivity and concern. The interpretation of scores for this dimension is presented in the scale below. Higher scores indicated that </w:t>
      </w:r>
      <w:r w:rsidRPr="001B39BA">
        <w:rPr>
          <w:rFonts w:ascii="Arial" w:hAnsi="Arial" w:cs="Arial"/>
        </w:rPr>
        <w:t xml:space="preserve">guidance </w:t>
      </w:r>
      <w:r w:rsidRPr="001B39BA">
        <w:rPr>
          <w:rFonts w:ascii="Arial" w:eastAsia="Calibri" w:hAnsi="Arial" w:cs="Arial"/>
          <w:lang w:val="en-SG"/>
        </w:rPr>
        <w:t>counselors consistently demonstrated empathy in their interactions, while lower scores suggested limited ability to recognize and respond to students’ emotional experiences. The reliability analysis yielded a Cronbach’s alpha coefficient of α = 0.837, indicating good internal consistency among the items. This result confirmed that the scale reliably measured empathic understanding (Hair Jr. et al., 2019).</w:t>
      </w:r>
    </w:p>
    <w:p w14:paraId="1CC9A3B7" w14:textId="77777777" w:rsidR="00727735" w:rsidRDefault="00727735" w:rsidP="001B39BA">
      <w:pPr>
        <w:widowControl/>
        <w:autoSpaceDE/>
        <w:spacing w:line="360" w:lineRule="auto"/>
        <w:jc w:val="both"/>
        <w:rPr>
          <w:rFonts w:ascii="Arial" w:eastAsia="Calibri" w:hAnsi="Arial" w:cs="Arial"/>
          <w:lang w:val="en-SG"/>
        </w:rPr>
      </w:pPr>
    </w:p>
    <w:p w14:paraId="6D8410BC" w14:textId="68B2573D" w:rsidR="001B39BA" w:rsidRPr="001B39BA" w:rsidRDefault="001B39BA" w:rsidP="00727735">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 xml:space="preserve">On the other hand, genuineness refers to the </w:t>
      </w:r>
      <w:r w:rsidRPr="001B39BA">
        <w:rPr>
          <w:rFonts w:ascii="Arial" w:hAnsi="Arial" w:cs="Arial"/>
        </w:rPr>
        <w:t xml:space="preserve">guidance </w:t>
      </w:r>
      <w:r w:rsidRPr="001B39BA">
        <w:rPr>
          <w:rFonts w:ascii="Arial" w:eastAsia="Calibri" w:hAnsi="Arial" w:cs="Arial"/>
          <w:lang w:val="en-SG"/>
        </w:rPr>
        <w:t>counselor’s ability to demonstrate authenticity, sincerity, and congruence in counseling interactions. The interpretation of this dimension is shown below.</w:t>
      </w:r>
    </w:p>
    <w:p w14:paraId="7E82F8C0" w14:textId="77777777" w:rsidR="001B39BA" w:rsidRPr="001B39BA" w:rsidRDefault="001B39BA" w:rsidP="001B39BA">
      <w:pPr>
        <w:widowControl/>
        <w:autoSpaceDE/>
        <w:spacing w:line="360" w:lineRule="auto"/>
        <w:jc w:val="both"/>
        <w:rPr>
          <w:rFonts w:ascii="Arial" w:eastAsia="Calibri" w:hAnsi="Arial" w:cs="Arial"/>
          <w:lang w:val="en-SG"/>
        </w:rPr>
      </w:pPr>
    </w:p>
    <w:p w14:paraId="018DD2B8" w14:textId="77777777" w:rsidR="001B39BA" w:rsidRPr="001B39BA" w:rsidRDefault="001B39BA" w:rsidP="001B39BA">
      <w:pPr>
        <w:widowControl/>
        <w:autoSpaceDE/>
        <w:spacing w:line="360" w:lineRule="auto"/>
        <w:jc w:val="both"/>
        <w:rPr>
          <w:rFonts w:ascii="Arial" w:hAnsi="Arial" w:cs="Arial"/>
        </w:rPr>
      </w:pPr>
      <w:r w:rsidRPr="001B39BA">
        <w:rPr>
          <w:rFonts w:ascii="Arial" w:hAnsi="Arial" w:cs="Arial"/>
        </w:rPr>
        <w:t>Scale</w:t>
      </w:r>
      <w:r w:rsidRPr="001B39BA">
        <w:rPr>
          <w:rFonts w:ascii="Arial" w:hAnsi="Arial" w:cs="Arial"/>
          <w:spacing w:val="-8"/>
        </w:rPr>
        <w:t xml:space="preserve"> </w:t>
      </w:r>
      <w:r w:rsidRPr="001B39BA">
        <w:rPr>
          <w:rFonts w:ascii="Arial" w:hAnsi="Arial" w:cs="Arial"/>
        </w:rPr>
        <w:t>on</w:t>
      </w:r>
      <w:r w:rsidRPr="001B39BA">
        <w:rPr>
          <w:rFonts w:ascii="Arial" w:hAnsi="Arial" w:cs="Arial"/>
          <w:spacing w:val="-2"/>
        </w:rPr>
        <w:t xml:space="preserve"> </w:t>
      </w:r>
      <w:r w:rsidRPr="001B39BA">
        <w:rPr>
          <w:rFonts w:ascii="Arial" w:hAnsi="Arial" w:cs="Arial"/>
        </w:rPr>
        <w:t>Guidance</w:t>
      </w:r>
      <w:r w:rsidRPr="001B39BA">
        <w:rPr>
          <w:rFonts w:ascii="Arial" w:hAnsi="Arial" w:cs="Arial"/>
          <w:spacing w:val="-3"/>
        </w:rPr>
        <w:t xml:space="preserve"> </w:t>
      </w:r>
      <w:r w:rsidRPr="001B39BA">
        <w:rPr>
          <w:rFonts w:ascii="Arial" w:hAnsi="Arial" w:cs="Arial"/>
        </w:rPr>
        <w:t>Counselor’s</w:t>
      </w:r>
      <w:r w:rsidRPr="001B39BA">
        <w:rPr>
          <w:rFonts w:ascii="Arial" w:hAnsi="Arial" w:cs="Arial"/>
          <w:spacing w:val="-8"/>
        </w:rPr>
        <w:t xml:space="preserve"> </w:t>
      </w:r>
      <w:r w:rsidRPr="001B39BA">
        <w:rPr>
          <w:rFonts w:ascii="Arial" w:hAnsi="Arial" w:cs="Arial"/>
        </w:rPr>
        <w:t>Work-specific</w:t>
      </w:r>
      <w:r w:rsidRPr="001B39BA">
        <w:rPr>
          <w:rFonts w:ascii="Arial" w:hAnsi="Arial" w:cs="Arial"/>
          <w:spacing w:val="-9"/>
        </w:rPr>
        <w:t xml:space="preserve"> </w:t>
      </w:r>
      <w:r w:rsidRPr="001B39BA">
        <w:rPr>
          <w:rFonts w:ascii="Arial" w:hAnsi="Arial" w:cs="Arial"/>
          <w:spacing w:val="-2"/>
        </w:rPr>
        <w:t>Characteristics in terms of genuineness</w:t>
      </w:r>
    </w:p>
    <w:tbl>
      <w:tblPr>
        <w:tblW w:w="0" w:type="auto"/>
        <w:tblLayout w:type="fixed"/>
        <w:tblCellMar>
          <w:left w:w="0" w:type="dxa"/>
          <w:right w:w="0" w:type="dxa"/>
        </w:tblCellMar>
        <w:tblLook w:val="01E0" w:firstRow="1" w:lastRow="1" w:firstColumn="1" w:lastColumn="1" w:noHBand="0" w:noVBand="0"/>
      </w:tblPr>
      <w:tblGrid>
        <w:gridCol w:w="805"/>
        <w:gridCol w:w="1158"/>
        <w:gridCol w:w="1386"/>
        <w:gridCol w:w="5156"/>
      </w:tblGrid>
      <w:tr w:rsidR="001B39BA" w:rsidRPr="001B39BA" w14:paraId="79A18FD5" w14:textId="77777777">
        <w:trPr>
          <w:trHeight w:val="605"/>
        </w:trPr>
        <w:tc>
          <w:tcPr>
            <w:tcW w:w="805" w:type="dxa"/>
            <w:tcBorders>
              <w:top w:val="single" w:sz="12" w:space="0" w:color="000000"/>
              <w:left w:val="nil"/>
              <w:bottom w:val="single" w:sz="4" w:space="0" w:color="auto"/>
              <w:right w:val="nil"/>
            </w:tcBorders>
            <w:hideMark/>
          </w:tcPr>
          <w:p w14:paraId="38D97EC9" w14:textId="77777777" w:rsidR="001B39BA" w:rsidRPr="001B39BA" w:rsidRDefault="001B39BA" w:rsidP="00727735">
            <w:pPr>
              <w:spacing w:before="12"/>
              <w:ind w:left="172"/>
              <w:jc w:val="both"/>
              <w:rPr>
                <w:rFonts w:ascii="Arial" w:hAnsi="Arial" w:cs="Arial"/>
                <w:kern w:val="2"/>
                <w14:ligatures w14:val="standardContextual"/>
              </w:rPr>
            </w:pPr>
            <w:r w:rsidRPr="001B39BA">
              <w:rPr>
                <w:rFonts w:ascii="Arial" w:hAnsi="Arial" w:cs="Arial"/>
                <w:spacing w:val="-2"/>
                <w:kern w:val="2"/>
                <w14:ligatures w14:val="standardContextual"/>
              </w:rPr>
              <w:t>Scale</w:t>
            </w:r>
          </w:p>
        </w:tc>
        <w:tc>
          <w:tcPr>
            <w:tcW w:w="1158" w:type="dxa"/>
            <w:tcBorders>
              <w:top w:val="single" w:sz="12" w:space="0" w:color="000000"/>
              <w:left w:val="nil"/>
              <w:bottom w:val="single" w:sz="4" w:space="0" w:color="auto"/>
              <w:right w:val="nil"/>
            </w:tcBorders>
            <w:hideMark/>
          </w:tcPr>
          <w:p w14:paraId="0AE1C9BA" w14:textId="77777777" w:rsidR="001B39BA" w:rsidRPr="001B39BA" w:rsidRDefault="001B39BA" w:rsidP="00727735">
            <w:pPr>
              <w:spacing w:before="12"/>
              <w:ind w:left="126"/>
              <w:jc w:val="both"/>
              <w:rPr>
                <w:rFonts w:ascii="Arial" w:hAnsi="Arial" w:cs="Arial"/>
                <w:kern w:val="2"/>
                <w14:ligatures w14:val="standardContextual"/>
              </w:rPr>
            </w:pPr>
            <w:r w:rsidRPr="001B39BA">
              <w:rPr>
                <w:rFonts w:ascii="Arial" w:hAnsi="Arial" w:cs="Arial"/>
                <w:spacing w:val="-4"/>
                <w:kern w:val="2"/>
                <w14:ligatures w14:val="standardContextual"/>
              </w:rPr>
              <w:t>Mean</w:t>
            </w:r>
          </w:p>
        </w:tc>
        <w:tc>
          <w:tcPr>
            <w:tcW w:w="1386" w:type="dxa"/>
            <w:tcBorders>
              <w:top w:val="single" w:sz="12" w:space="0" w:color="000000"/>
              <w:left w:val="nil"/>
              <w:bottom w:val="single" w:sz="4" w:space="0" w:color="auto"/>
              <w:right w:val="nil"/>
            </w:tcBorders>
            <w:hideMark/>
          </w:tcPr>
          <w:p w14:paraId="1304A84F" w14:textId="77777777" w:rsidR="001B39BA" w:rsidRPr="001B39BA" w:rsidRDefault="001B39BA" w:rsidP="00727735">
            <w:pPr>
              <w:spacing w:before="12"/>
              <w:ind w:left="198"/>
              <w:jc w:val="both"/>
              <w:rPr>
                <w:rFonts w:ascii="Arial" w:hAnsi="Arial" w:cs="Arial"/>
                <w:kern w:val="2"/>
                <w14:ligatures w14:val="standardContextual"/>
              </w:rPr>
            </w:pPr>
            <w:r w:rsidRPr="001B39BA">
              <w:rPr>
                <w:rFonts w:ascii="Arial" w:hAnsi="Arial" w:cs="Arial"/>
                <w:spacing w:val="-2"/>
                <w:kern w:val="2"/>
                <w14:ligatures w14:val="standardContextual"/>
              </w:rPr>
              <w:t>Verbal</w:t>
            </w:r>
          </w:p>
          <w:p w14:paraId="34B999F8" w14:textId="77777777" w:rsidR="001B39BA" w:rsidRPr="001B39BA" w:rsidRDefault="001B39BA" w:rsidP="00727735">
            <w:pPr>
              <w:tabs>
                <w:tab w:val="left" w:pos="6271"/>
              </w:tabs>
              <w:spacing w:before="4"/>
              <w:ind w:left="-1963" w:right="-4896"/>
              <w:jc w:val="both"/>
              <w:rPr>
                <w:rFonts w:ascii="Arial" w:hAnsi="Arial" w:cs="Arial"/>
                <w:kern w:val="2"/>
                <w14:ligatures w14:val="standardContextual"/>
              </w:rPr>
            </w:pPr>
            <w:r w:rsidRPr="001B39BA">
              <w:rPr>
                <w:rFonts w:ascii="Arial" w:hAnsi="Arial" w:cs="Arial"/>
                <w:spacing w:val="70"/>
                <w:w w:val="150"/>
                <w:kern w:val="2"/>
                <w14:ligatures w14:val="standardContextual"/>
              </w:rPr>
              <w:t xml:space="preserve">              </w:t>
            </w:r>
            <w:r w:rsidRPr="001B39BA">
              <w:rPr>
                <w:rFonts w:ascii="Arial" w:hAnsi="Arial" w:cs="Arial"/>
                <w:spacing w:val="-2"/>
                <w:kern w:val="2"/>
                <w14:ligatures w14:val="standardContextual"/>
              </w:rPr>
              <w:t>Description</w:t>
            </w:r>
            <w:r w:rsidRPr="001B39BA">
              <w:rPr>
                <w:rFonts w:ascii="Arial" w:hAnsi="Arial" w:cs="Arial"/>
                <w:kern w:val="2"/>
                <w:u w:val="thick"/>
                <w14:ligatures w14:val="standardContextual"/>
              </w:rPr>
              <w:tab/>
            </w:r>
          </w:p>
        </w:tc>
        <w:tc>
          <w:tcPr>
            <w:tcW w:w="5156" w:type="dxa"/>
            <w:tcBorders>
              <w:top w:val="single" w:sz="12" w:space="0" w:color="000000"/>
              <w:left w:val="nil"/>
              <w:bottom w:val="single" w:sz="4" w:space="0" w:color="auto"/>
              <w:right w:val="nil"/>
            </w:tcBorders>
            <w:hideMark/>
          </w:tcPr>
          <w:p w14:paraId="4F548C92" w14:textId="77777777" w:rsidR="001B39BA" w:rsidRPr="001B39BA" w:rsidRDefault="001B39BA" w:rsidP="00727735">
            <w:pPr>
              <w:spacing w:before="12"/>
              <w:ind w:left="170"/>
              <w:jc w:val="both"/>
              <w:rPr>
                <w:rFonts w:ascii="Arial" w:hAnsi="Arial" w:cs="Arial"/>
                <w:kern w:val="2"/>
                <w14:ligatures w14:val="standardContextual"/>
              </w:rPr>
            </w:pPr>
            <w:r w:rsidRPr="001B39BA">
              <w:rPr>
                <w:rFonts w:ascii="Arial" w:hAnsi="Arial" w:cs="Arial"/>
                <w:kern w:val="2"/>
                <w14:ligatures w14:val="standardContextual"/>
              </w:rPr>
              <w:t>Descriptive</w:t>
            </w:r>
            <w:r w:rsidRPr="001B39BA">
              <w:rPr>
                <w:rFonts w:ascii="Arial" w:hAnsi="Arial" w:cs="Arial"/>
                <w:spacing w:val="-10"/>
                <w:kern w:val="2"/>
                <w14:ligatures w14:val="standardContextual"/>
              </w:rPr>
              <w:t xml:space="preserve"> </w:t>
            </w:r>
            <w:r w:rsidRPr="001B39BA">
              <w:rPr>
                <w:rFonts w:ascii="Arial" w:hAnsi="Arial" w:cs="Arial"/>
                <w:spacing w:val="-2"/>
                <w:kern w:val="2"/>
                <w14:ligatures w14:val="standardContextual"/>
              </w:rPr>
              <w:t>Interpretation</w:t>
            </w:r>
          </w:p>
        </w:tc>
      </w:tr>
      <w:tr w:rsidR="001B39BA" w:rsidRPr="001B39BA" w14:paraId="51E7FBF0" w14:textId="77777777">
        <w:trPr>
          <w:trHeight w:val="1758"/>
        </w:trPr>
        <w:tc>
          <w:tcPr>
            <w:tcW w:w="805" w:type="dxa"/>
            <w:tcBorders>
              <w:top w:val="single" w:sz="4" w:space="0" w:color="auto"/>
              <w:left w:val="nil"/>
              <w:bottom w:val="nil"/>
              <w:right w:val="nil"/>
            </w:tcBorders>
          </w:tcPr>
          <w:p w14:paraId="4617D391" w14:textId="77777777" w:rsidR="001B39BA" w:rsidRPr="001B39BA" w:rsidRDefault="001B39BA" w:rsidP="00727735">
            <w:pPr>
              <w:spacing w:before="145"/>
              <w:ind w:left="161"/>
              <w:jc w:val="both"/>
              <w:rPr>
                <w:rFonts w:ascii="Arial" w:hAnsi="Arial" w:cs="Arial"/>
                <w:kern w:val="2"/>
                <w14:ligatures w14:val="standardContextual"/>
              </w:rPr>
            </w:pPr>
            <w:r w:rsidRPr="001B39BA">
              <w:rPr>
                <w:rFonts w:ascii="Arial" w:hAnsi="Arial" w:cs="Arial"/>
                <w:spacing w:val="-10"/>
                <w:kern w:val="2"/>
                <w14:ligatures w14:val="standardContextual"/>
              </w:rPr>
              <w:t>5</w:t>
            </w:r>
          </w:p>
          <w:p w14:paraId="1B1C3ED0" w14:textId="77777777" w:rsidR="001B39BA" w:rsidRPr="001B39BA" w:rsidRDefault="001B39BA" w:rsidP="00727735">
            <w:pPr>
              <w:jc w:val="both"/>
              <w:rPr>
                <w:rFonts w:ascii="Arial" w:hAnsi="Arial" w:cs="Arial"/>
                <w:kern w:val="2"/>
                <w14:ligatures w14:val="standardContextual"/>
              </w:rPr>
            </w:pPr>
          </w:p>
          <w:p w14:paraId="25A282F0" w14:textId="77777777" w:rsidR="001B39BA" w:rsidRPr="001B39BA" w:rsidRDefault="001B39BA" w:rsidP="00727735">
            <w:pPr>
              <w:jc w:val="both"/>
              <w:rPr>
                <w:rFonts w:ascii="Arial" w:hAnsi="Arial" w:cs="Arial"/>
                <w:kern w:val="2"/>
                <w14:ligatures w14:val="standardContextual"/>
              </w:rPr>
            </w:pPr>
          </w:p>
          <w:p w14:paraId="6685EEB4" w14:textId="77777777" w:rsidR="001B39BA" w:rsidRPr="001B39BA" w:rsidRDefault="001B39BA" w:rsidP="00727735">
            <w:pPr>
              <w:jc w:val="both"/>
              <w:rPr>
                <w:rFonts w:ascii="Arial" w:hAnsi="Arial" w:cs="Arial"/>
                <w:kern w:val="2"/>
                <w14:ligatures w14:val="standardContextual"/>
              </w:rPr>
            </w:pPr>
          </w:p>
          <w:p w14:paraId="3B234E1A" w14:textId="77777777" w:rsidR="001B39BA" w:rsidRPr="001B39BA" w:rsidRDefault="001B39BA" w:rsidP="00727735">
            <w:pPr>
              <w:jc w:val="both"/>
              <w:rPr>
                <w:rFonts w:ascii="Arial" w:hAnsi="Arial" w:cs="Arial"/>
                <w:kern w:val="2"/>
                <w14:ligatures w14:val="standardContextual"/>
              </w:rPr>
            </w:pPr>
          </w:p>
          <w:p w14:paraId="547805B3" w14:textId="77777777" w:rsidR="001B39BA" w:rsidRPr="001B39BA" w:rsidRDefault="001B39BA" w:rsidP="00727735">
            <w:pPr>
              <w:ind w:left="161" w:right="58"/>
              <w:jc w:val="both"/>
              <w:rPr>
                <w:rFonts w:ascii="Arial" w:hAnsi="Arial" w:cs="Arial"/>
                <w:spacing w:val="-10"/>
                <w:kern w:val="2"/>
                <w14:ligatures w14:val="standardContextual"/>
              </w:rPr>
            </w:pPr>
          </w:p>
          <w:p w14:paraId="1B7F7E18" w14:textId="77777777" w:rsidR="001B39BA" w:rsidRPr="001B39BA" w:rsidRDefault="001B39BA" w:rsidP="00727735">
            <w:pPr>
              <w:ind w:left="161" w:right="58"/>
              <w:jc w:val="both"/>
              <w:rPr>
                <w:rFonts w:ascii="Arial" w:hAnsi="Arial" w:cs="Arial"/>
                <w:kern w:val="2"/>
                <w14:ligatures w14:val="standardContextual"/>
              </w:rPr>
            </w:pPr>
            <w:r w:rsidRPr="001B39BA">
              <w:rPr>
                <w:rFonts w:ascii="Arial" w:hAnsi="Arial" w:cs="Arial"/>
                <w:spacing w:val="-10"/>
                <w:kern w:val="2"/>
                <w14:ligatures w14:val="standardContextual"/>
              </w:rPr>
              <w:t>4</w:t>
            </w:r>
          </w:p>
        </w:tc>
        <w:tc>
          <w:tcPr>
            <w:tcW w:w="1158" w:type="dxa"/>
            <w:tcBorders>
              <w:top w:val="single" w:sz="4" w:space="0" w:color="auto"/>
              <w:left w:val="nil"/>
              <w:bottom w:val="nil"/>
              <w:right w:val="nil"/>
            </w:tcBorders>
          </w:tcPr>
          <w:p w14:paraId="05151EF0" w14:textId="77777777" w:rsidR="001B39BA" w:rsidRPr="001B39BA" w:rsidRDefault="001B39BA" w:rsidP="00727735">
            <w:pPr>
              <w:spacing w:before="145"/>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4.21–5.00</w:t>
            </w:r>
          </w:p>
          <w:p w14:paraId="165083DA" w14:textId="77777777" w:rsidR="001B39BA" w:rsidRPr="001B39BA" w:rsidRDefault="001B39BA" w:rsidP="00727735">
            <w:pPr>
              <w:jc w:val="both"/>
              <w:rPr>
                <w:rFonts w:ascii="Arial" w:hAnsi="Arial" w:cs="Arial"/>
                <w:kern w:val="2"/>
                <w14:ligatures w14:val="standardContextual"/>
              </w:rPr>
            </w:pPr>
          </w:p>
          <w:p w14:paraId="29DF118C" w14:textId="77777777" w:rsidR="001B39BA" w:rsidRPr="001B39BA" w:rsidRDefault="001B39BA" w:rsidP="00727735">
            <w:pPr>
              <w:jc w:val="both"/>
              <w:rPr>
                <w:rFonts w:ascii="Arial" w:hAnsi="Arial" w:cs="Arial"/>
                <w:kern w:val="2"/>
                <w14:ligatures w14:val="standardContextual"/>
              </w:rPr>
            </w:pPr>
          </w:p>
          <w:p w14:paraId="6DB0E90B" w14:textId="77777777" w:rsidR="001B39BA" w:rsidRPr="001B39BA" w:rsidRDefault="001B39BA" w:rsidP="00727735">
            <w:pPr>
              <w:jc w:val="both"/>
              <w:rPr>
                <w:rFonts w:ascii="Arial" w:hAnsi="Arial" w:cs="Arial"/>
                <w:kern w:val="2"/>
                <w14:ligatures w14:val="standardContextual"/>
              </w:rPr>
            </w:pPr>
          </w:p>
          <w:p w14:paraId="36E94C40" w14:textId="77777777" w:rsidR="001B39BA" w:rsidRPr="001B39BA" w:rsidRDefault="001B39BA" w:rsidP="00727735">
            <w:pPr>
              <w:jc w:val="both"/>
              <w:rPr>
                <w:rFonts w:ascii="Arial" w:hAnsi="Arial" w:cs="Arial"/>
                <w:kern w:val="2"/>
                <w14:ligatures w14:val="standardContextual"/>
              </w:rPr>
            </w:pPr>
          </w:p>
          <w:p w14:paraId="516EE942" w14:textId="77777777" w:rsidR="001B39BA" w:rsidRPr="001B39BA" w:rsidRDefault="001B39BA" w:rsidP="00727735">
            <w:pPr>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3.41–4.20</w:t>
            </w:r>
          </w:p>
        </w:tc>
        <w:tc>
          <w:tcPr>
            <w:tcW w:w="1386" w:type="dxa"/>
            <w:tcBorders>
              <w:top w:val="single" w:sz="4" w:space="0" w:color="auto"/>
              <w:left w:val="nil"/>
              <w:bottom w:val="nil"/>
              <w:right w:val="nil"/>
            </w:tcBorders>
          </w:tcPr>
          <w:p w14:paraId="26F75854" w14:textId="77777777" w:rsidR="001B39BA" w:rsidRPr="001B39BA" w:rsidRDefault="001B39BA" w:rsidP="00727735">
            <w:pPr>
              <w:spacing w:before="145"/>
              <w:ind w:left="96" w:right="29"/>
              <w:jc w:val="both"/>
              <w:rPr>
                <w:rFonts w:ascii="Arial" w:hAnsi="Arial" w:cs="Arial"/>
                <w:kern w:val="2"/>
                <w14:ligatures w14:val="standardContextual"/>
              </w:rPr>
            </w:pPr>
            <w:r w:rsidRPr="001B39BA">
              <w:rPr>
                <w:rFonts w:ascii="Arial" w:hAnsi="Arial" w:cs="Arial"/>
                <w:kern w:val="2"/>
                <w14:ligatures w14:val="standardContextual"/>
              </w:rPr>
              <w:t>Very</w:t>
            </w:r>
            <w:r w:rsidRPr="001B39BA">
              <w:rPr>
                <w:rFonts w:ascii="Arial" w:hAnsi="Arial" w:cs="Arial"/>
                <w:spacing w:val="1"/>
                <w:kern w:val="2"/>
                <w14:ligatures w14:val="standardContextual"/>
              </w:rPr>
              <w:t xml:space="preserve"> </w:t>
            </w:r>
            <w:r w:rsidRPr="001B39BA">
              <w:rPr>
                <w:rFonts w:ascii="Arial" w:hAnsi="Arial" w:cs="Arial"/>
                <w:spacing w:val="-4"/>
                <w:kern w:val="2"/>
                <w14:ligatures w14:val="standardContextual"/>
              </w:rPr>
              <w:t>High</w:t>
            </w:r>
          </w:p>
          <w:p w14:paraId="7A044FB3" w14:textId="77777777" w:rsidR="001B39BA" w:rsidRPr="001B39BA" w:rsidRDefault="001B39BA" w:rsidP="00727735">
            <w:pPr>
              <w:jc w:val="both"/>
              <w:rPr>
                <w:rFonts w:ascii="Arial" w:hAnsi="Arial" w:cs="Arial"/>
                <w:kern w:val="2"/>
                <w14:ligatures w14:val="standardContextual"/>
              </w:rPr>
            </w:pPr>
          </w:p>
          <w:p w14:paraId="12728748" w14:textId="77777777" w:rsidR="001B39BA" w:rsidRPr="001B39BA" w:rsidRDefault="001B39BA" w:rsidP="00727735">
            <w:pPr>
              <w:jc w:val="both"/>
              <w:rPr>
                <w:rFonts w:ascii="Arial" w:hAnsi="Arial" w:cs="Arial"/>
                <w:kern w:val="2"/>
                <w14:ligatures w14:val="standardContextual"/>
              </w:rPr>
            </w:pPr>
          </w:p>
          <w:p w14:paraId="4EBC955F" w14:textId="77777777" w:rsidR="001B39BA" w:rsidRPr="001B39BA" w:rsidRDefault="001B39BA" w:rsidP="00727735">
            <w:pPr>
              <w:jc w:val="both"/>
              <w:rPr>
                <w:rFonts w:ascii="Arial" w:hAnsi="Arial" w:cs="Arial"/>
                <w:kern w:val="2"/>
                <w14:ligatures w14:val="standardContextual"/>
              </w:rPr>
            </w:pPr>
          </w:p>
          <w:p w14:paraId="33BB2A8A" w14:textId="77777777" w:rsidR="001B39BA" w:rsidRPr="001B39BA" w:rsidRDefault="001B39BA" w:rsidP="00727735">
            <w:pPr>
              <w:jc w:val="both"/>
              <w:rPr>
                <w:rFonts w:ascii="Arial" w:hAnsi="Arial" w:cs="Arial"/>
                <w:kern w:val="2"/>
                <w14:ligatures w14:val="standardContextual"/>
              </w:rPr>
            </w:pPr>
          </w:p>
          <w:p w14:paraId="2E5BBF7C" w14:textId="77777777" w:rsidR="001B39BA" w:rsidRPr="001B39BA" w:rsidRDefault="001B39BA" w:rsidP="00727735">
            <w:pPr>
              <w:jc w:val="both"/>
              <w:rPr>
                <w:rFonts w:ascii="Arial" w:hAnsi="Arial" w:cs="Arial"/>
                <w:kern w:val="2"/>
                <w14:ligatures w14:val="standardContextual"/>
              </w:rPr>
            </w:pPr>
          </w:p>
          <w:p w14:paraId="10CDB93D" w14:textId="77777777" w:rsidR="001B39BA" w:rsidRPr="001B39BA" w:rsidRDefault="001B39BA" w:rsidP="00727735">
            <w:pPr>
              <w:ind w:left="96"/>
              <w:jc w:val="both"/>
              <w:rPr>
                <w:rFonts w:ascii="Arial" w:hAnsi="Arial" w:cs="Arial"/>
                <w:kern w:val="2"/>
                <w14:ligatures w14:val="standardContextual"/>
              </w:rPr>
            </w:pPr>
            <w:r w:rsidRPr="001B39BA">
              <w:rPr>
                <w:rFonts w:ascii="Arial" w:hAnsi="Arial" w:cs="Arial"/>
                <w:spacing w:val="-4"/>
                <w:kern w:val="2"/>
                <w14:ligatures w14:val="standardContextual"/>
              </w:rPr>
              <w:t>High</w:t>
            </w:r>
          </w:p>
        </w:tc>
        <w:tc>
          <w:tcPr>
            <w:tcW w:w="5156" w:type="dxa"/>
            <w:tcBorders>
              <w:top w:val="single" w:sz="4" w:space="0" w:color="auto"/>
              <w:left w:val="nil"/>
              <w:bottom w:val="nil"/>
              <w:right w:val="nil"/>
            </w:tcBorders>
          </w:tcPr>
          <w:p w14:paraId="3F480DAF" w14:textId="77777777" w:rsidR="001B39BA" w:rsidRPr="001B39BA" w:rsidRDefault="001B39BA" w:rsidP="00727735">
            <w:pPr>
              <w:widowControl/>
              <w:autoSpaceDE/>
              <w:jc w:val="both"/>
              <w:rPr>
                <w:rFonts w:ascii="Arial" w:eastAsia="Calibri" w:hAnsi="Arial" w:cs="Arial"/>
                <w:kern w:val="2"/>
                <w:lang w:val="en-SG"/>
                <w14:ligatures w14:val="standardContextual"/>
              </w:rPr>
            </w:pPr>
          </w:p>
          <w:p w14:paraId="4A41D913" w14:textId="77777777" w:rsidR="001B39BA" w:rsidRPr="001B39BA" w:rsidRDefault="001B39BA" w:rsidP="00727735">
            <w:pPr>
              <w:widowControl/>
              <w:autoSpaceDE/>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Guidance counselors consistently demonstrate genuineness in their professional roles by being authentic, sincere, and congruent in their interactions with students during counseling sessions.</w:t>
            </w:r>
          </w:p>
          <w:p w14:paraId="5B319A52" w14:textId="77777777" w:rsidR="001B39BA" w:rsidRPr="001B39BA" w:rsidRDefault="001B39BA" w:rsidP="00727735">
            <w:pPr>
              <w:widowControl/>
              <w:autoSpaceDE/>
              <w:jc w:val="both"/>
              <w:rPr>
                <w:rFonts w:ascii="Arial" w:eastAsia="Calibri" w:hAnsi="Arial" w:cs="Arial"/>
                <w:kern w:val="2"/>
                <w:lang w:val="en-SG"/>
                <w14:ligatures w14:val="standardContextual"/>
              </w:rPr>
            </w:pPr>
          </w:p>
          <w:p w14:paraId="18FA35A0" w14:textId="77777777" w:rsidR="001B39BA" w:rsidRPr="001B39BA" w:rsidRDefault="001B39BA" w:rsidP="00727735">
            <w:pPr>
              <w:widowControl/>
              <w:autoSpaceDE/>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Guidance counselors frequently demonstrate genuineness in their counseling practice, showing openness and sincerity when engaging with students and addressing their concerns.</w:t>
            </w:r>
          </w:p>
        </w:tc>
      </w:tr>
      <w:tr w:rsidR="001B39BA" w:rsidRPr="001B39BA" w14:paraId="4EFB727E" w14:textId="77777777">
        <w:trPr>
          <w:trHeight w:val="993"/>
        </w:trPr>
        <w:tc>
          <w:tcPr>
            <w:tcW w:w="805" w:type="dxa"/>
          </w:tcPr>
          <w:p w14:paraId="4BB90499" w14:textId="77777777" w:rsidR="001B39BA" w:rsidRPr="001B39BA" w:rsidRDefault="001B39BA" w:rsidP="00727735">
            <w:pPr>
              <w:spacing w:before="221"/>
              <w:ind w:left="427"/>
              <w:jc w:val="both"/>
              <w:rPr>
                <w:rFonts w:ascii="Arial" w:hAnsi="Arial" w:cs="Arial"/>
                <w:spacing w:val="-10"/>
                <w:kern w:val="2"/>
                <w14:ligatures w14:val="standardContextual"/>
              </w:rPr>
            </w:pPr>
          </w:p>
          <w:p w14:paraId="13F23654" w14:textId="77777777" w:rsidR="001B39BA" w:rsidRPr="001B39BA" w:rsidRDefault="001B39BA" w:rsidP="00727735">
            <w:pPr>
              <w:spacing w:before="221"/>
              <w:ind w:left="427"/>
              <w:jc w:val="both"/>
              <w:rPr>
                <w:rFonts w:ascii="Arial" w:hAnsi="Arial" w:cs="Arial"/>
                <w:kern w:val="2"/>
                <w14:ligatures w14:val="standardContextual"/>
              </w:rPr>
            </w:pPr>
            <w:r w:rsidRPr="001B39BA">
              <w:rPr>
                <w:rFonts w:ascii="Arial" w:hAnsi="Arial" w:cs="Arial"/>
                <w:spacing w:val="-10"/>
                <w:kern w:val="2"/>
                <w14:ligatures w14:val="standardContextual"/>
              </w:rPr>
              <w:t>3</w:t>
            </w:r>
          </w:p>
        </w:tc>
        <w:tc>
          <w:tcPr>
            <w:tcW w:w="1158" w:type="dxa"/>
          </w:tcPr>
          <w:p w14:paraId="4E1AF8B3" w14:textId="77777777" w:rsidR="001B39BA" w:rsidRPr="001B39BA" w:rsidRDefault="001B39BA" w:rsidP="00727735">
            <w:pPr>
              <w:spacing w:before="221"/>
              <w:ind w:left="126"/>
              <w:jc w:val="both"/>
              <w:rPr>
                <w:rFonts w:ascii="Arial" w:hAnsi="Arial" w:cs="Arial"/>
                <w:spacing w:val="-2"/>
                <w:w w:val="110"/>
                <w:kern w:val="2"/>
                <w14:ligatures w14:val="standardContextual"/>
              </w:rPr>
            </w:pPr>
          </w:p>
          <w:p w14:paraId="7BC3D01A" w14:textId="77777777" w:rsidR="001B39BA" w:rsidRPr="001B39BA" w:rsidRDefault="001B39BA" w:rsidP="00727735">
            <w:pPr>
              <w:spacing w:before="221"/>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2.61–3.40</w:t>
            </w:r>
          </w:p>
        </w:tc>
        <w:tc>
          <w:tcPr>
            <w:tcW w:w="1386" w:type="dxa"/>
          </w:tcPr>
          <w:p w14:paraId="221376EC" w14:textId="77777777" w:rsidR="001B39BA" w:rsidRPr="001B39BA" w:rsidRDefault="001B39BA" w:rsidP="00727735">
            <w:pPr>
              <w:spacing w:before="221"/>
              <w:ind w:left="366"/>
              <w:jc w:val="both"/>
              <w:rPr>
                <w:rFonts w:ascii="Arial" w:hAnsi="Arial" w:cs="Arial"/>
                <w:spacing w:val="-2"/>
                <w:kern w:val="2"/>
                <w14:ligatures w14:val="standardContextual"/>
              </w:rPr>
            </w:pPr>
          </w:p>
          <w:p w14:paraId="5FC610C7" w14:textId="77777777" w:rsidR="001B39BA" w:rsidRPr="001B39BA" w:rsidRDefault="001B39BA" w:rsidP="00727735">
            <w:pPr>
              <w:spacing w:before="221"/>
              <w:ind w:left="366"/>
              <w:jc w:val="both"/>
              <w:rPr>
                <w:rFonts w:ascii="Arial" w:hAnsi="Arial" w:cs="Arial"/>
                <w:kern w:val="2"/>
                <w14:ligatures w14:val="standardContextual"/>
              </w:rPr>
            </w:pPr>
            <w:r w:rsidRPr="001B39BA">
              <w:rPr>
                <w:rFonts w:ascii="Arial" w:hAnsi="Arial" w:cs="Arial"/>
                <w:spacing w:val="-2"/>
                <w:kern w:val="2"/>
                <w14:ligatures w14:val="standardContextual"/>
              </w:rPr>
              <w:t>Moderate</w:t>
            </w:r>
          </w:p>
        </w:tc>
        <w:tc>
          <w:tcPr>
            <w:tcW w:w="5156" w:type="dxa"/>
          </w:tcPr>
          <w:p w14:paraId="629B58D1" w14:textId="77777777" w:rsidR="00C81E9B" w:rsidRDefault="00C81E9B" w:rsidP="00727735">
            <w:pPr>
              <w:widowControl/>
              <w:autoSpaceDE/>
              <w:jc w:val="both"/>
              <w:rPr>
                <w:rFonts w:ascii="Arial" w:eastAsia="Calibri" w:hAnsi="Arial" w:cs="Arial"/>
                <w:kern w:val="2"/>
                <w:lang w:val="en-SG"/>
                <w14:ligatures w14:val="standardContextual"/>
              </w:rPr>
            </w:pPr>
          </w:p>
          <w:p w14:paraId="2C5B8B4A" w14:textId="4857927B" w:rsidR="001B39BA" w:rsidRPr="001B39BA" w:rsidRDefault="001B39BA" w:rsidP="00727735">
            <w:pPr>
              <w:widowControl/>
              <w:autoSpaceDE/>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Guidance counselors occasionally demonstrate genuineness in their professional interactions, although the level of authenticity and openness may vary across counseling situations.</w:t>
            </w:r>
          </w:p>
        </w:tc>
      </w:tr>
      <w:tr w:rsidR="001B39BA" w:rsidRPr="001B39BA" w14:paraId="042E6D4C" w14:textId="77777777">
        <w:trPr>
          <w:trHeight w:val="664"/>
        </w:trPr>
        <w:tc>
          <w:tcPr>
            <w:tcW w:w="805" w:type="dxa"/>
          </w:tcPr>
          <w:p w14:paraId="1F643919" w14:textId="77777777" w:rsidR="001B39BA" w:rsidRPr="001B39BA" w:rsidRDefault="001B39BA" w:rsidP="00727735">
            <w:pPr>
              <w:spacing w:before="152"/>
              <w:ind w:left="427"/>
              <w:jc w:val="both"/>
              <w:rPr>
                <w:rFonts w:ascii="Arial" w:hAnsi="Arial" w:cs="Arial"/>
                <w:spacing w:val="-10"/>
                <w:kern w:val="2"/>
                <w14:ligatures w14:val="standardContextual"/>
              </w:rPr>
            </w:pPr>
          </w:p>
          <w:p w14:paraId="62EF2815" w14:textId="77777777" w:rsidR="001B39BA" w:rsidRPr="001B39BA" w:rsidRDefault="001B39BA" w:rsidP="00727735">
            <w:pPr>
              <w:spacing w:before="152"/>
              <w:ind w:left="427"/>
              <w:jc w:val="both"/>
              <w:rPr>
                <w:rFonts w:ascii="Arial" w:hAnsi="Arial" w:cs="Arial"/>
                <w:kern w:val="2"/>
                <w14:ligatures w14:val="standardContextual"/>
              </w:rPr>
            </w:pPr>
            <w:r w:rsidRPr="001B39BA">
              <w:rPr>
                <w:rFonts w:ascii="Arial" w:hAnsi="Arial" w:cs="Arial"/>
                <w:spacing w:val="-10"/>
                <w:kern w:val="2"/>
                <w14:ligatures w14:val="standardContextual"/>
              </w:rPr>
              <w:t>2</w:t>
            </w:r>
          </w:p>
        </w:tc>
        <w:tc>
          <w:tcPr>
            <w:tcW w:w="1158" w:type="dxa"/>
          </w:tcPr>
          <w:p w14:paraId="0BE189B8" w14:textId="77777777" w:rsidR="001B39BA" w:rsidRPr="001B39BA" w:rsidRDefault="001B39BA" w:rsidP="00727735">
            <w:pPr>
              <w:spacing w:before="152"/>
              <w:ind w:left="126"/>
              <w:jc w:val="both"/>
              <w:rPr>
                <w:rFonts w:ascii="Arial" w:hAnsi="Arial" w:cs="Arial"/>
                <w:spacing w:val="-2"/>
                <w:w w:val="110"/>
                <w:kern w:val="2"/>
                <w14:ligatures w14:val="standardContextual"/>
              </w:rPr>
            </w:pPr>
          </w:p>
          <w:p w14:paraId="666D1462" w14:textId="77777777" w:rsidR="001B39BA" w:rsidRPr="001B39BA" w:rsidRDefault="001B39BA" w:rsidP="00727735">
            <w:pPr>
              <w:spacing w:before="152"/>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1.81–2.60</w:t>
            </w:r>
          </w:p>
        </w:tc>
        <w:tc>
          <w:tcPr>
            <w:tcW w:w="1386" w:type="dxa"/>
          </w:tcPr>
          <w:p w14:paraId="01B3EAD1" w14:textId="77777777" w:rsidR="001B39BA" w:rsidRPr="001B39BA" w:rsidRDefault="001B39BA" w:rsidP="00727735">
            <w:pPr>
              <w:spacing w:before="152"/>
              <w:ind w:left="366"/>
              <w:jc w:val="both"/>
              <w:rPr>
                <w:rFonts w:ascii="Arial" w:hAnsi="Arial" w:cs="Arial"/>
                <w:spacing w:val="-5"/>
                <w:kern w:val="2"/>
                <w14:ligatures w14:val="standardContextual"/>
              </w:rPr>
            </w:pPr>
          </w:p>
          <w:p w14:paraId="6E440706" w14:textId="77777777" w:rsidR="001B39BA" w:rsidRPr="001B39BA" w:rsidRDefault="001B39BA" w:rsidP="00727735">
            <w:pPr>
              <w:spacing w:before="152"/>
              <w:ind w:left="366"/>
              <w:jc w:val="both"/>
              <w:rPr>
                <w:rFonts w:ascii="Arial" w:hAnsi="Arial" w:cs="Arial"/>
                <w:kern w:val="2"/>
                <w14:ligatures w14:val="standardContextual"/>
              </w:rPr>
            </w:pPr>
            <w:r w:rsidRPr="001B39BA">
              <w:rPr>
                <w:rFonts w:ascii="Arial" w:hAnsi="Arial" w:cs="Arial"/>
                <w:spacing w:val="-5"/>
                <w:kern w:val="2"/>
                <w14:ligatures w14:val="standardContextual"/>
              </w:rPr>
              <w:t>Low</w:t>
            </w:r>
          </w:p>
        </w:tc>
        <w:tc>
          <w:tcPr>
            <w:tcW w:w="5156" w:type="dxa"/>
            <w:hideMark/>
          </w:tcPr>
          <w:p w14:paraId="4CCA04E6" w14:textId="77777777" w:rsidR="00C81E9B" w:rsidRDefault="00C81E9B" w:rsidP="00727735">
            <w:pPr>
              <w:widowControl/>
              <w:autoSpaceDE/>
              <w:jc w:val="both"/>
              <w:rPr>
                <w:rFonts w:ascii="Arial" w:eastAsia="Calibri" w:hAnsi="Arial" w:cs="Arial"/>
                <w:kern w:val="2"/>
                <w:lang w:val="en-SG"/>
                <w14:ligatures w14:val="standardContextual"/>
              </w:rPr>
            </w:pPr>
          </w:p>
          <w:p w14:paraId="42CE6CBD" w14:textId="7CAB257C" w:rsidR="001B39BA" w:rsidRPr="001B39BA" w:rsidRDefault="001B39BA" w:rsidP="00727735">
            <w:pPr>
              <w:widowControl/>
              <w:autoSpaceDE/>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Guidance counselors seldom demonstrate genuineness as a work-related characteristic, suggesting limited authenticity and sincerity in counseling interactions.</w:t>
            </w:r>
          </w:p>
        </w:tc>
      </w:tr>
      <w:tr w:rsidR="001B39BA" w:rsidRPr="001B39BA" w14:paraId="2322CFDC" w14:textId="77777777">
        <w:trPr>
          <w:trHeight w:val="702"/>
        </w:trPr>
        <w:tc>
          <w:tcPr>
            <w:tcW w:w="805" w:type="dxa"/>
            <w:tcBorders>
              <w:top w:val="nil"/>
              <w:left w:val="nil"/>
              <w:bottom w:val="single" w:sz="4" w:space="0" w:color="auto"/>
              <w:right w:val="nil"/>
            </w:tcBorders>
          </w:tcPr>
          <w:p w14:paraId="0423BFE6" w14:textId="77777777" w:rsidR="001B39BA" w:rsidRPr="001B39BA" w:rsidRDefault="001B39BA" w:rsidP="00727735">
            <w:pPr>
              <w:spacing w:before="52"/>
              <w:jc w:val="both"/>
              <w:rPr>
                <w:rFonts w:ascii="Arial" w:hAnsi="Arial" w:cs="Arial"/>
                <w:kern w:val="2"/>
                <w14:ligatures w14:val="standardContextual"/>
              </w:rPr>
            </w:pPr>
          </w:p>
          <w:p w14:paraId="6A859260" w14:textId="77777777" w:rsidR="001B39BA" w:rsidRPr="001B39BA" w:rsidRDefault="001B39BA" w:rsidP="00727735">
            <w:pPr>
              <w:ind w:left="427"/>
              <w:jc w:val="both"/>
              <w:rPr>
                <w:rFonts w:ascii="Arial" w:hAnsi="Arial" w:cs="Arial"/>
                <w:kern w:val="2"/>
                <w14:ligatures w14:val="standardContextual"/>
              </w:rPr>
            </w:pPr>
            <w:r w:rsidRPr="001B39BA">
              <w:rPr>
                <w:rFonts w:ascii="Arial" w:hAnsi="Arial" w:cs="Arial"/>
                <w:spacing w:val="-10"/>
                <w:kern w:val="2"/>
                <w14:ligatures w14:val="standardContextual"/>
              </w:rPr>
              <w:t>1</w:t>
            </w:r>
          </w:p>
        </w:tc>
        <w:tc>
          <w:tcPr>
            <w:tcW w:w="1158" w:type="dxa"/>
            <w:tcBorders>
              <w:top w:val="nil"/>
              <w:left w:val="nil"/>
              <w:bottom w:val="single" w:sz="4" w:space="0" w:color="auto"/>
              <w:right w:val="nil"/>
            </w:tcBorders>
          </w:tcPr>
          <w:p w14:paraId="214D5314" w14:textId="77777777" w:rsidR="001B39BA" w:rsidRPr="001B39BA" w:rsidRDefault="001B39BA" w:rsidP="00727735">
            <w:pPr>
              <w:spacing w:before="52"/>
              <w:jc w:val="both"/>
              <w:rPr>
                <w:rFonts w:ascii="Arial" w:hAnsi="Arial" w:cs="Arial"/>
                <w:kern w:val="2"/>
                <w14:ligatures w14:val="standardContextual"/>
              </w:rPr>
            </w:pPr>
          </w:p>
          <w:p w14:paraId="2E78F6D1" w14:textId="77777777" w:rsidR="001B39BA" w:rsidRPr="001B39BA" w:rsidRDefault="001B39BA" w:rsidP="00727735">
            <w:pPr>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1.00–1.80</w:t>
            </w:r>
          </w:p>
        </w:tc>
        <w:tc>
          <w:tcPr>
            <w:tcW w:w="1386" w:type="dxa"/>
            <w:tcBorders>
              <w:top w:val="nil"/>
              <w:left w:val="nil"/>
              <w:bottom w:val="single" w:sz="4" w:space="0" w:color="auto"/>
              <w:right w:val="nil"/>
            </w:tcBorders>
          </w:tcPr>
          <w:p w14:paraId="71A16D84" w14:textId="77777777" w:rsidR="001B39BA" w:rsidRPr="001B39BA" w:rsidRDefault="001B39BA" w:rsidP="00727735">
            <w:pPr>
              <w:spacing w:before="52"/>
              <w:jc w:val="both"/>
              <w:rPr>
                <w:rFonts w:ascii="Arial" w:hAnsi="Arial" w:cs="Arial"/>
                <w:kern w:val="2"/>
                <w14:ligatures w14:val="standardContextual"/>
              </w:rPr>
            </w:pPr>
          </w:p>
          <w:p w14:paraId="58F346A1" w14:textId="77777777" w:rsidR="001B39BA" w:rsidRPr="001B39BA" w:rsidRDefault="001B39BA" w:rsidP="00727735">
            <w:pPr>
              <w:ind w:left="366"/>
              <w:jc w:val="both"/>
              <w:rPr>
                <w:rFonts w:ascii="Arial" w:hAnsi="Arial" w:cs="Arial"/>
                <w:kern w:val="2"/>
                <w14:ligatures w14:val="standardContextual"/>
              </w:rPr>
            </w:pPr>
            <w:r w:rsidRPr="001B39BA">
              <w:rPr>
                <w:rFonts w:ascii="Arial" w:hAnsi="Arial" w:cs="Arial"/>
                <w:kern w:val="2"/>
                <w14:ligatures w14:val="standardContextual"/>
              </w:rPr>
              <w:t>Very</w:t>
            </w:r>
            <w:r w:rsidRPr="001B39BA">
              <w:rPr>
                <w:rFonts w:ascii="Arial" w:hAnsi="Arial" w:cs="Arial"/>
                <w:spacing w:val="1"/>
                <w:kern w:val="2"/>
                <w14:ligatures w14:val="standardContextual"/>
              </w:rPr>
              <w:t xml:space="preserve"> </w:t>
            </w:r>
            <w:r w:rsidRPr="001B39BA">
              <w:rPr>
                <w:rFonts w:ascii="Arial" w:hAnsi="Arial" w:cs="Arial"/>
                <w:spacing w:val="-5"/>
                <w:kern w:val="2"/>
                <w14:ligatures w14:val="standardContextual"/>
              </w:rPr>
              <w:t>Low</w:t>
            </w:r>
          </w:p>
        </w:tc>
        <w:tc>
          <w:tcPr>
            <w:tcW w:w="5156" w:type="dxa"/>
            <w:tcBorders>
              <w:top w:val="nil"/>
              <w:left w:val="nil"/>
              <w:bottom w:val="single" w:sz="4" w:space="0" w:color="auto"/>
              <w:right w:val="nil"/>
            </w:tcBorders>
            <w:hideMark/>
          </w:tcPr>
          <w:p w14:paraId="6FE022F6" w14:textId="77777777" w:rsidR="00C81E9B" w:rsidRDefault="00C81E9B" w:rsidP="00727735">
            <w:pPr>
              <w:widowControl/>
              <w:autoSpaceDE/>
              <w:jc w:val="both"/>
              <w:rPr>
                <w:rFonts w:ascii="Arial" w:eastAsia="Calibri" w:hAnsi="Arial" w:cs="Arial"/>
                <w:kern w:val="2"/>
                <w:lang w:val="en-SG"/>
                <w14:ligatures w14:val="standardContextual"/>
              </w:rPr>
            </w:pPr>
          </w:p>
          <w:p w14:paraId="07E97B10" w14:textId="7D2AD952" w:rsidR="001B39BA" w:rsidRPr="001B39BA" w:rsidRDefault="001B39BA" w:rsidP="00727735">
            <w:pPr>
              <w:widowControl/>
              <w:autoSpaceDE/>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Guidance counselors rarely demonstrate genuineness in their professional practice, suggesting minimal authenticity and congruence in their interactions with students.</w:t>
            </w:r>
          </w:p>
        </w:tc>
      </w:tr>
    </w:tbl>
    <w:p w14:paraId="708718E0" w14:textId="77777777" w:rsidR="00727735" w:rsidRDefault="00727735" w:rsidP="001B39BA">
      <w:pPr>
        <w:widowControl/>
        <w:autoSpaceDE/>
        <w:spacing w:line="360" w:lineRule="auto"/>
        <w:ind w:firstLine="720"/>
        <w:jc w:val="both"/>
        <w:rPr>
          <w:rFonts w:ascii="Arial" w:hAnsi="Arial" w:cs="Arial"/>
          <w:lang w:val="en-SG"/>
        </w:rPr>
      </w:pPr>
    </w:p>
    <w:p w14:paraId="098CE37F" w14:textId="10177F9B" w:rsidR="001B39BA" w:rsidRPr="001B39BA" w:rsidRDefault="001B39BA" w:rsidP="001B39BA">
      <w:pPr>
        <w:widowControl/>
        <w:autoSpaceDE/>
        <w:spacing w:line="360" w:lineRule="auto"/>
        <w:ind w:firstLine="720"/>
        <w:jc w:val="both"/>
        <w:rPr>
          <w:rFonts w:ascii="Arial" w:hAnsi="Arial" w:cs="Arial"/>
          <w:lang w:val="en-SG"/>
        </w:rPr>
      </w:pPr>
      <w:r w:rsidRPr="001B39BA">
        <w:rPr>
          <w:rFonts w:ascii="Arial" w:hAnsi="Arial" w:cs="Arial"/>
          <w:lang w:val="en-SG"/>
        </w:rPr>
        <w:lastRenderedPageBreak/>
        <w:t xml:space="preserve">Higher scores reflected consistent demonstration of authenticity and openness, whereas lower scores indicated limited sincerity in professional interactions. The scale demonstrated good internal consistency, with a Cronbach’s alpha of α = 0.830, indicating that the items consistently measured genuineness (Hair Jr. et al., 2019). </w:t>
      </w:r>
    </w:p>
    <w:p w14:paraId="7D0037EE"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0C6E9987" w14:textId="77777777" w:rsidR="001B39BA" w:rsidRPr="001B39BA" w:rsidRDefault="001B39BA" w:rsidP="001B39BA">
      <w:pPr>
        <w:widowControl/>
        <w:autoSpaceDE/>
        <w:spacing w:line="360" w:lineRule="auto"/>
        <w:jc w:val="both"/>
        <w:rPr>
          <w:rFonts w:ascii="Arial" w:hAnsi="Arial" w:cs="Arial"/>
        </w:rPr>
      </w:pPr>
      <w:r w:rsidRPr="001B39BA">
        <w:rPr>
          <w:rFonts w:ascii="Arial" w:hAnsi="Arial" w:cs="Arial"/>
        </w:rPr>
        <w:t>Scale</w:t>
      </w:r>
      <w:r w:rsidRPr="001B39BA">
        <w:rPr>
          <w:rFonts w:ascii="Arial" w:hAnsi="Arial" w:cs="Arial"/>
          <w:spacing w:val="-8"/>
        </w:rPr>
        <w:t xml:space="preserve"> </w:t>
      </w:r>
      <w:r w:rsidRPr="001B39BA">
        <w:rPr>
          <w:rFonts w:ascii="Arial" w:hAnsi="Arial" w:cs="Arial"/>
        </w:rPr>
        <w:t>on</w:t>
      </w:r>
      <w:r w:rsidRPr="001B39BA">
        <w:rPr>
          <w:rFonts w:ascii="Arial" w:hAnsi="Arial" w:cs="Arial"/>
          <w:spacing w:val="-2"/>
        </w:rPr>
        <w:t xml:space="preserve"> </w:t>
      </w:r>
      <w:r w:rsidRPr="001B39BA">
        <w:rPr>
          <w:rFonts w:ascii="Arial" w:hAnsi="Arial" w:cs="Arial"/>
        </w:rPr>
        <w:t>Guidance</w:t>
      </w:r>
      <w:r w:rsidRPr="001B39BA">
        <w:rPr>
          <w:rFonts w:ascii="Arial" w:hAnsi="Arial" w:cs="Arial"/>
          <w:spacing w:val="-3"/>
        </w:rPr>
        <w:t xml:space="preserve"> </w:t>
      </w:r>
      <w:r w:rsidRPr="001B39BA">
        <w:rPr>
          <w:rFonts w:ascii="Arial" w:hAnsi="Arial" w:cs="Arial"/>
        </w:rPr>
        <w:t>Counselor’s</w:t>
      </w:r>
      <w:r w:rsidRPr="001B39BA">
        <w:rPr>
          <w:rFonts w:ascii="Arial" w:hAnsi="Arial" w:cs="Arial"/>
          <w:spacing w:val="-8"/>
        </w:rPr>
        <w:t xml:space="preserve"> </w:t>
      </w:r>
      <w:r w:rsidRPr="001B39BA">
        <w:rPr>
          <w:rFonts w:ascii="Arial" w:hAnsi="Arial" w:cs="Arial"/>
        </w:rPr>
        <w:t>Work-specific</w:t>
      </w:r>
      <w:r w:rsidRPr="001B39BA">
        <w:rPr>
          <w:rFonts w:ascii="Arial" w:hAnsi="Arial" w:cs="Arial"/>
          <w:spacing w:val="-9"/>
        </w:rPr>
        <w:t xml:space="preserve"> </w:t>
      </w:r>
      <w:r w:rsidRPr="001B39BA">
        <w:rPr>
          <w:rFonts w:ascii="Arial" w:hAnsi="Arial" w:cs="Arial"/>
          <w:spacing w:val="-2"/>
        </w:rPr>
        <w:t>Characteristics in terms of Non-Judgmental Attitude</w:t>
      </w:r>
    </w:p>
    <w:tbl>
      <w:tblPr>
        <w:tblW w:w="8640" w:type="dxa"/>
        <w:tblLayout w:type="fixed"/>
        <w:tblCellMar>
          <w:left w:w="0" w:type="dxa"/>
          <w:right w:w="0" w:type="dxa"/>
        </w:tblCellMar>
        <w:tblLook w:val="01E0" w:firstRow="1" w:lastRow="1" w:firstColumn="1" w:lastColumn="1" w:noHBand="0" w:noVBand="0"/>
      </w:tblPr>
      <w:tblGrid>
        <w:gridCol w:w="804"/>
        <w:gridCol w:w="1157"/>
        <w:gridCol w:w="1385"/>
        <w:gridCol w:w="5294"/>
      </w:tblGrid>
      <w:tr w:rsidR="001B39BA" w:rsidRPr="001B39BA" w14:paraId="261869A0" w14:textId="77777777">
        <w:trPr>
          <w:trHeight w:val="605"/>
        </w:trPr>
        <w:tc>
          <w:tcPr>
            <w:tcW w:w="805" w:type="dxa"/>
            <w:tcBorders>
              <w:top w:val="single" w:sz="12" w:space="0" w:color="000000"/>
              <w:left w:val="nil"/>
              <w:bottom w:val="single" w:sz="4" w:space="0" w:color="auto"/>
              <w:right w:val="nil"/>
            </w:tcBorders>
            <w:hideMark/>
          </w:tcPr>
          <w:p w14:paraId="0A049176" w14:textId="77777777" w:rsidR="001B39BA" w:rsidRPr="001B39BA" w:rsidRDefault="001B39BA" w:rsidP="00727735">
            <w:pPr>
              <w:spacing w:before="12"/>
              <w:ind w:left="172"/>
              <w:jc w:val="both"/>
              <w:rPr>
                <w:rFonts w:ascii="Arial" w:hAnsi="Arial" w:cs="Arial"/>
                <w:kern w:val="2"/>
                <w14:ligatures w14:val="standardContextual"/>
              </w:rPr>
            </w:pPr>
            <w:r w:rsidRPr="001B39BA">
              <w:rPr>
                <w:rFonts w:ascii="Arial" w:hAnsi="Arial" w:cs="Arial"/>
                <w:spacing w:val="-2"/>
                <w:kern w:val="2"/>
                <w14:ligatures w14:val="standardContextual"/>
              </w:rPr>
              <w:t>Scale</w:t>
            </w:r>
          </w:p>
        </w:tc>
        <w:tc>
          <w:tcPr>
            <w:tcW w:w="1158" w:type="dxa"/>
            <w:tcBorders>
              <w:top w:val="single" w:sz="12" w:space="0" w:color="000000"/>
              <w:left w:val="nil"/>
              <w:bottom w:val="single" w:sz="4" w:space="0" w:color="auto"/>
              <w:right w:val="nil"/>
            </w:tcBorders>
            <w:hideMark/>
          </w:tcPr>
          <w:p w14:paraId="6C4CFEEE" w14:textId="77777777" w:rsidR="001B39BA" w:rsidRPr="001B39BA" w:rsidRDefault="001B39BA" w:rsidP="00727735">
            <w:pPr>
              <w:spacing w:before="12"/>
              <w:ind w:left="126"/>
              <w:jc w:val="both"/>
              <w:rPr>
                <w:rFonts w:ascii="Arial" w:hAnsi="Arial" w:cs="Arial"/>
                <w:kern w:val="2"/>
                <w14:ligatures w14:val="standardContextual"/>
              </w:rPr>
            </w:pPr>
            <w:r w:rsidRPr="001B39BA">
              <w:rPr>
                <w:rFonts w:ascii="Arial" w:hAnsi="Arial" w:cs="Arial"/>
                <w:spacing w:val="-4"/>
                <w:kern w:val="2"/>
                <w14:ligatures w14:val="standardContextual"/>
              </w:rPr>
              <w:t>Mean</w:t>
            </w:r>
          </w:p>
        </w:tc>
        <w:tc>
          <w:tcPr>
            <w:tcW w:w="1386" w:type="dxa"/>
            <w:tcBorders>
              <w:top w:val="single" w:sz="12" w:space="0" w:color="000000"/>
              <w:left w:val="nil"/>
              <w:bottom w:val="single" w:sz="4" w:space="0" w:color="auto"/>
              <w:right w:val="nil"/>
            </w:tcBorders>
            <w:hideMark/>
          </w:tcPr>
          <w:p w14:paraId="60DCF0F6" w14:textId="77777777" w:rsidR="001B39BA" w:rsidRPr="001B39BA" w:rsidRDefault="001B39BA" w:rsidP="00727735">
            <w:pPr>
              <w:spacing w:before="12"/>
              <w:ind w:left="198"/>
              <w:jc w:val="both"/>
              <w:rPr>
                <w:rFonts w:ascii="Arial" w:hAnsi="Arial" w:cs="Arial"/>
                <w:kern w:val="2"/>
                <w14:ligatures w14:val="standardContextual"/>
              </w:rPr>
            </w:pPr>
            <w:r w:rsidRPr="001B39BA">
              <w:rPr>
                <w:rFonts w:ascii="Arial" w:hAnsi="Arial" w:cs="Arial"/>
                <w:spacing w:val="-2"/>
                <w:kern w:val="2"/>
                <w14:ligatures w14:val="standardContextual"/>
              </w:rPr>
              <w:t>Verbal</w:t>
            </w:r>
          </w:p>
          <w:p w14:paraId="1714FAFD" w14:textId="77777777" w:rsidR="001B39BA" w:rsidRPr="001B39BA" w:rsidRDefault="001B39BA" w:rsidP="00727735">
            <w:pPr>
              <w:tabs>
                <w:tab w:val="left" w:pos="6271"/>
              </w:tabs>
              <w:spacing w:before="4"/>
              <w:ind w:left="-1963" w:right="-4896"/>
              <w:jc w:val="both"/>
              <w:rPr>
                <w:rFonts w:ascii="Arial" w:hAnsi="Arial" w:cs="Arial"/>
                <w:kern w:val="2"/>
                <w14:ligatures w14:val="standardContextual"/>
              </w:rPr>
            </w:pPr>
            <w:r w:rsidRPr="001B39BA">
              <w:rPr>
                <w:rFonts w:ascii="Arial" w:hAnsi="Arial" w:cs="Arial"/>
                <w:spacing w:val="70"/>
                <w:w w:val="150"/>
                <w:kern w:val="2"/>
                <w14:ligatures w14:val="standardContextual"/>
              </w:rPr>
              <w:t xml:space="preserve">              </w:t>
            </w:r>
            <w:r w:rsidRPr="001B39BA">
              <w:rPr>
                <w:rFonts w:ascii="Arial" w:hAnsi="Arial" w:cs="Arial"/>
                <w:spacing w:val="-2"/>
                <w:kern w:val="2"/>
                <w14:ligatures w14:val="standardContextual"/>
              </w:rPr>
              <w:t>Description</w:t>
            </w:r>
            <w:r w:rsidRPr="001B39BA">
              <w:rPr>
                <w:rFonts w:ascii="Arial" w:hAnsi="Arial" w:cs="Arial"/>
                <w:kern w:val="2"/>
                <w:u w:val="thick"/>
                <w14:ligatures w14:val="standardContextual"/>
              </w:rPr>
              <w:tab/>
            </w:r>
          </w:p>
        </w:tc>
        <w:tc>
          <w:tcPr>
            <w:tcW w:w="5298" w:type="dxa"/>
            <w:tcBorders>
              <w:top w:val="single" w:sz="12" w:space="0" w:color="000000"/>
              <w:left w:val="nil"/>
              <w:bottom w:val="single" w:sz="4" w:space="0" w:color="auto"/>
              <w:right w:val="nil"/>
            </w:tcBorders>
            <w:hideMark/>
          </w:tcPr>
          <w:p w14:paraId="1AED8BC9" w14:textId="77777777" w:rsidR="001B39BA" w:rsidRPr="001B39BA" w:rsidRDefault="001B39BA" w:rsidP="00727735">
            <w:pPr>
              <w:spacing w:before="12"/>
              <w:ind w:left="170"/>
              <w:jc w:val="both"/>
              <w:rPr>
                <w:rFonts w:ascii="Arial" w:hAnsi="Arial" w:cs="Arial"/>
                <w:kern w:val="2"/>
                <w14:ligatures w14:val="standardContextual"/>
              </w:rPr>
            </w:pPr>
            <w:r w:rsidRPr="001B39BA">
              <w:rPr>
                <w:rFonts w:ascii="Arial" w:hAnsi="Arial" w:cs="Arial"/>
                <w:kern w:val="2"/>
                <w14:ligatures w14:val="standardContextual"/>
              </w:rPr>
              <w:t>Descriptive</w:t>
            </w:r>
            <w:r w:rsidRPr="001B39BA">
              <w:rPr>
                <w:rFonts w:ascii="Arial" w:hAnsi="Arial" w:cs="Arial"/>
                <w:spacing w:val="-10"/>
                <w:kern w:val="2"/>
                <w14:ligatures w14:val="standardContextual"/>
              </w:rPr>
              <w:t xml:space="preserve"> </w:t>
            </w:r>
            <w:r w:rsidRPr="001B39BA">
              <w:rPr>
                <w:rFonts w:ascii="Arial" w:hAnsi="Arial" w:cs="Arial"/>
                <w:spacing w:val="-2"/>
                <w:kern w:val="2"/>
                <w14:ligatures w14:val="standardContextual"/>
              </w:rPr>
              <w:t>Interpretation</w:t>
            </w:r>
          </w:p>
        </w:tc>
      </w:tr>
      <w:tr w:rsidR="001B39BA" w:rsidRPr="001B39BA" w14:paraId="016D3744" w14:textId="77777777" w:rsidTr="00727735">
        <w:trPr>
          <w:trHeight w:val="699"/>
        </w:trPr>
        <w:tc>
          <w:tcPr>
            <w:tcW w:w="805" w:type="dxa"/>
            <w:tcBorders>
              <w:top w:val="single" w:sz="4" w:space="0" w:color="auto"/>
              <w:left w:val="nil"/>
              <w:bottom w:val="nil"/>
              <w:right w:val="nil"/>
            </w:tcBorders>
          </w:tcPr>
          <w:p w14:paraId="1198DD2B" w14:textId="77777777" w:rsidR="001B39BA" w:rsidRPr="001B39BA" w:rsidRDefault="001B39BA" w:rsidP="00727735">
            <w:pPr>
              <w:spacing w:before="145"/>
              <w:ind w:left="161"/>
              <w:jc w:val="both"/>
              <w:rPr>
                <w:rFonts w:ascii="Arial" w:hAnsi="Arial" w:cs="Arial"/>
                <w:spacing w:val="-10"/>
                <w:kern w:val="2"/>
                <w14:ligatures w14:val="standardContextual"/>
              </w:rPr>
            </w:pPr>
          </w:p>
          <w:p w14:paraId="30697D62" w14:textId="77777777" w:rsidR="001B39BA" w:rsidRPr="001B39BA" w:rsidRDefault="001B39BA" w:rsidP="00727735">
            <w:pPr>
              <w:spacing w:before="145"/>
              <w:ind w:left="161"/>
              <w:jc w:val="both"/>
              <w:rPr>
                <w:rFonts w:ascii="Arial" w:hAnsi="Arial" w:cs="Arial"/>
                <w:kern w:val="2"/>
                <w14:ligatures w14:val="standardContextual"/>
              </w:rPr>
            </w:pPr>
            <w:r w:rsidRPr="001B39BA">
              <w:rPr>
                <w:rFonts w:ascii="Arial" w:hAnsi="Arial" w:cs="Arial"/>
                <w:spacing w:val="-10"/>
                <w:kern w:val="2"/>
                <w14:ligatures w14:val="standardContextual"/>
              </w:rPr>
              <w:t>5</w:t>
            </w:r>
          </w:p>
          <w:p w14:paraId="59FBEC5F" w14:textId="77777777" w:rsidR="001B39BA" w:rsidRPr="001B39BA" w:rsidRDefault="001B39BA" w:rsidP="00727735">
            <w:pPr>
              <w:jc w:val="both"/>
              <w:rPr>
                <w:rFonts w:ascii="Arial" w:hAnsi="Arial" w:cs="Arial"/>
                <w:kern w:val="2"/>
                <w14:ligatures w14:val="standardContextual"/>
              </w:rPr>
            </w:pPr>
          </w:p>
          <w:p w14:paraId="30A7D533" w14:textId="77777777" w:rsidR="001B39BA" w:rsidRPr="001B39BA" w:rsidRDefault="001B39BA" w:rsidP="00727735">
            <w:pPr>
              <w:jc w:val="both"/>
              <w:rPr>
                <w:rFonts w:ascii="Arial" w:hAnsi="Arial" w:cs="Arial"/>
                <w:kern w:val="2"/>
                <w14:ligatures w14:val="standardContextual"/>
              </w:rPr>
            </w:pPr>
          </w:p>
          <w:p w14:paraId="31AAD374" w14:textId="77777777" w:rsidR="001B39BA" w:rsidRPr="001B39BA" w:rsidRDefault="001B39BA" w:rsidP="00727735">
            <w:pPr>
              <w:jc w:val="both"/>
              <w:rPr>
                <w:rFonts w:ascii="Arial" w:hAnsi="Arial" w:cs="Arial"/>
                <w:kern w:val="2"/>
                <w14:ligatures w14:val="standardContextual"/>
              </w:rPr>
            </w:pPr>
          </w:p>
          <w:p w14:paraId="017EDF63" w14:textId="77777777" w:rsidR="001B39BA" w:rsidRPr="001B39BA" w:rsidRDefault="001B39BA" w:rsidP="00727735">
            <w:pPr>
              <w:spacing w:before="49"/>
              <w:jc w:val="both"/>
              <w:rPr>
                <w:rFonts w:ascii="Arial" w:hAnsi="Arial" w:cs="Arial"/>
                <w:kern w:val="2"/>
                <w14:ligatures w14:val="standardContextual"/>
              </w:rPr>
            </w:pPr>
          </w:p>
          <w:p w14:paraId="7B4C8F0F" w14:textId="77777777" w:rsidR="001B39BA" w:rsidRPr="001B39BA" w:rsidRDefault="001B39BA" w:rsidP="00727735">
            <w:pPr>
              <w:ind w:left="161" w:right="58"/>
              <w:jc w:val="both"/>
              <w:rPr>
                <w:rFonts w:ascii="Arial" w:hAnsi="Arial" w:cs="Arial"/>
                <w:spacing w:val="-10"/>
                <w:kern w:val="2"/>
                <w14:ligatures w14:val="standardContextual"/>
              </w:rPr>
            </w:pPr>
          </w:p>
          <w:p w14:paraId="43193833" w14:textId="77777777" w:rsidR="001B39BA" w:rsidRPr="001B39BA" w:rsidRDefault="001B39BA" w:rsidP="00727735">
            <w:pPr>
              <w:ind w:left="161" w:right="58"/>
              <w:jc w:val="both"/>
              <w:rPr>
                <w:rFonts w:ascii="Arial" w:hAnsi="Arial" w:cs="Arial"/>
                <w:kern w:val="2"/>
                <w14:ligatures w14:val="standardContextual"/>
              </w:rPr>
            </w:pPr>
            <w:r w:rsidRPr="001B39BA">
              <w:rPr>
                <w:rFonts w:ascii="Arial" w:hAnsi="Arial" w:cs="Arial"/>
                <w:spacing w:val="-10"/>
                <w:kern w:val="2"/>
                <w14:ligatures w14:val="standardContextual"/>
              </w:rPr>
              <w:t>4</w:t>
            </w:r>
          </w:p>
        </w:tc>
        <w:tc>
          <w:tcPr>
            <w:tcW w:w="1158" w:type="dxa"/>
            <w:tcBorders>
              <w:top w:val="single" w:sz="4" w:space="0" w:color="auto"/>
              <w:left w:val="nil"/>
              <w:bottom w:val="nil"/>
              <w:right w:val="nil"/>
            </w:tcBorders>
          </w:tcPr>
          <w:p w14:paraId="398DC462" w14:textId="77777777" w:rsidR="001B39BA" w:rsidRPr="001B39BA" w:rsidRDefault="001B39BA" w:rsidP="00727735">
            <w:pPr>
              <w:spacing w:before="145"/>
              <w:ind w:left="126"/>
              <w:jc w:val="both"/>
              <w:rPr>
                <w:rFonts w:ascii="Arial" w:hAnsi="Arial" w:cs="Arial"/>
                <w:spacing w:val="-2"/>
                <w:w w:val="110"/>
                <w:kern w:val="2"/>
                <w14:ligatures w14:val="standardContextual"/>
              </w:rPr>
            </w:pPr>
          </w:p>
          <w:p w14:paraId="0EB3C4DD" w14:textId="77777777" w:rsidR="001B39BA" w:rsidRPr="001B39BA" w:rsidRDefault="001B39BA" w:rsidP="00727735">
            <w:pPr>
              <w:spacing w:before="145"/>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4.21–5.00</w:t>
            </w:r>
          </w:p>
          <w:p w14:paraId="2193FCEC" w14:textId="77777777" w:rsidR="001B39BA" w:rsidRPr="001B39BA" w:rsidRDefault="001B39BA" w:rsidP="00727735">
            <w:pPr>
              <w:jc w:val="both"/>
              <w:rPr>
                <w:rFonts w:ascii="Arial" w:hAnsi="Arial" w:cs="Arial"/>
                <w:kern w:val="2"/>
                <w14:ligatures w14:val="standardContextual"/>
              </w:rPr>
            </w:pPr>
          </w:p>
          <w:p w14:paraId="455AAAC6" w14:textId="77777777" w:rsidR="001B39BA" w:rsidRPr="001B39BA" w:rsidRDefault="001B39BA" w:rsidP="00727735">
            <w:pPr>
              <w:jc w:val="both"/>
              <w:rPr>
                <w:rFonts w:ascii="Arial" w:hAnsi="Arial" w:cs="Arial"/>
                <w:kern w:val="2"/>
                <w14:ligatures w14:val="standardContextual"/>
              </w:rPr>
            </w:pPr>
          </w:p>
          <w:p w14:paraId="42563AE2" w14:textId="77777777" w:rsidR="001B39BA" w:rsidRPr="001B39BA" w:rsidRDefault="001B39BA" w:rsidP="00727735">
            <w:pPr>
              <w:jc w:val="both"/>
              <w:rPr>
                <w:rFonts w:ascii="Arial" w:hAnsi="Arial" w:cs="Arial"/>
                <w:kern w:val="2"/>
                <w14:ligatures w14:val="standardContextual"/>
              </w:rPr>
            </w:pPr>
          </w:p>
          <w:p w14:paraId="011DB87D" w14:textId="77777777" w:rsidR="001B39BA" w:rsidRPr="001B39BA" w:rsidRDefault="001B39BA" w:rsidP="00727735">
            <w:pPr>
              <w:ind w:left="126"/>
              <w:jc w:val="both"/>
              <w:rPr>
                <w:rFonts w:ascii="Arial" w:hAnsi="Arial" w:cs="Arial"/>
                <w:spacing w:val="-2"/>
                <w:w w:val="110"/>
                <w:kern w:val="2"/>
                <w14:ligatures w14:val="standardContextual"/>
              </w:rPr>
            </w:pPr>
          </w:p>
          <w:p w14:paraId="6C3B325A" w14:textId="77777777" w:rsidR="001B39BA" w:rsidRPr="001B39BA" w:rsidRDefault="001B39BA" w:rsidP="00727735">
            <w:pPr>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3.41–4.20</w:t>
            </w:r>
          </w:p>
        </w:tc>
        <w:tc>
          <w:tcPr>
            <w:tcW w:w="1386" w:type="dxa"/>
            <w:tcBorders>
              <w:top w:val="single" w:sz="4" w:space="0" w:color="auto"/>
              <w:left w:val="nil"/>
              <w:bottom w:val="nil"/>
              <w:right w:val="nil"/>
            </w:tcBorders>
          </w:tcPr>
          <w:p w14:paraId="3607A793" w14:textId="77777777" w:rsidR="001B39BA" w:rsidRPr="001B39BA" w:rsidRDefault="001B39BA" w:rsidP="00727735">
            <w:pPr>
              <w:spacing w:before="145"/>
              <w:ind w:left="96" w:right="29"/>
              <w:jc w:val="both"/>
              <w:rPr>
                <w:rFonts w:ascii="Arial" w:hAnsi="Arial" w:cs="Arial"/>
                <w:kern w:val="2"/>
                <w14:ligatures w14:val="standardContextual"/>
              </w:rPr>
            </w:pPr>
          </w:p>
          <w:p w14:paraId="5EB4819A" w14:textId="77777777" w:rsidR="001B39BA" w:rsidRPr="001B39BA" w:rsidRDefault="001B39BA" w:rsidP="00727735">
            <w:pPr>
              <w:spacing w:before="145"/>
              <w:ind w:left="96" w:right="29"/>
              <w:jc w:val="both"/>
              <w:rPr>
                <w:rFonts w:ascii="Arial" w:hAnsi="Arial" w:cs="Arial"/>
                <w:kern w:val="2"/>
                <w14:ligatures w14:val="standardContextual"/>
              </w:rPr>
            </w:pPr>
            <w:r w:rsidRPr="001B39BA">
              <w:rPr>
                <w:rFonts w:ascii="Arial" w:hAnsi="Arial" w:cs="Arial"/>
                <w:kern w:val="2"/>
                <w14:ligatures w14:val="standardContextual"/>
              </w:rPr>
              <w:t>Very</w:t>
            </w:r>
            <w:r w:rsidRPr="001B39BA">
              <w:rPr>
                <w:rFonts w:ascii="Arial" w:hAnsi="Arial" w:cs="Arial"/>
                <w:spacing w:val="1"/>
                <w:kern w:val="2"/>
                <w14:ligatures w14:val="standardContextual"/>
              </w:rPr>
              <w:t xml:space="preserve"> </w:t>
            </w:r>
            <w:r w:rsidRPr="001B39BA">
              <w:rPr>
                <w:rFonts w:ascii="Arial" w:hAnsi="Arial" w:cs="Arial"/>
                <w:spacing w:val="-4"/>
                <w:kern w:val="2"/>
                <w14:ligatures w14:val="standardContextual"/>
              </w:rPr>
              <w:t>High</w:t>
            </w:r>
          </w:p>
          <w:p w14:paraId="4DDCCA8F" w14:textId="77777777" w:rsidR="001B39BA" w:rsidRPr="001B39BA" w:rsidRDefault="001B39BA" w:rsidP="00727735">
            <w:pPr>
              <w:jc w:val="both"/>
              <w:rPr>
                <w:rFonts w:ascii="Arial" w:hAnsi="Arial" w:cs="Arial"/>
                <w:kern w:val="2"/>
                <w14:ligatures w14:val="standardContextual"/>
              </w:rPr>
            </w:pPr>
          </w:p>
          <w:p w14:paraId="2A53B315" w14:textId="77777777" w:rsidR="001B39BA" w:rsidRPr="001B39BA" w:rsidRDefault="001B39BA" w:rsidP="00727735">
            <w:pPr>
              <w:jc w:val="both"/>
              <w:rPr>
                <w:rFonts w:ascii="Arial" w:hAnsi="Arial" w:cs="Arial"/>
                <w:kern w:val="2"/>
                <w14:ligatures w14:val="standardContextual"/>
              </w:rPr>
            </w:pPr>
          </w:p>
          <w:p w14:paraId="6809EC04" w14:textId="77777777" w:rsidR="001B39BA" w:rsidRPr="001B39BA" w:rsidRDefault="001B39BA" w:rsidP="00727735">
            <w:pPr>
              <w:jc w:val="both"/>
              <w:rPr>
                <w:rFonts w:ascii="Arial" w:hAnsi="Arial" w:cs="Arial"/>
                <w:kern w:val="2"/>
                <w14:ligatures w14:val="standardContextual"/>
              </w:rPr>
            </w:pPr>
          </w:p>
          <w:p w14:paraId="5FB048EA" w14:textId="77777777" w:rsidR="001B39BA" w:rsidRPr="001B39BA" w:rsidRDefault="001B39BA" w:rsidP="00727735">
            <w:pPr>
              <w:spacing w:before="49"/>
              <w:jc w:val="both"/>
              <w:rPr>
                <w:rFonts w:ascii="Arial" w:hAnsi="Arial" w:cs="Arial"/>
                <w:kern w:val="2"/>
                <w14:ligatures w14:val="standardContextual"/>
              </w:rPr>
            </w:pPr>
          </w:p>
          <w:p w14:paraId="08EA35B1" w14:textId="77777777" w:rsidR="001B39BA" w:rsidRPr="001B39BA" w:rsidRDefault="001B39BA" w:rsidP="00727735">
            <w:pPr>
              <w:ind w:left="96"/>
              <w:jc w:val="both"/>
              <w:rPr>
                <w:rFonts w:ascii="Arial" w:hAnsi="Arial" w:cs="Arial"/>
                <w:spacing w:val="-4"/>
                <w:kern w:val="2"/>
                <w14:ligatures w14:val="standardContextual"/>
              </w:rPr>
            </w:pPr>
          </w:p>
          <w:p w14:paraId="1C1A845F" w14:textId="77777777" w:rsidR="001B39BA" w:rsidRPr="001B39BA" w:rsidRDefault="001B39BA" w:rsidP="00727735">
            <w:pPr>
              <w:ind w:left="96"/>
              <w:jc w:val="both"/>
              <w:rPr>
                <w:rFonts w:ascii="Arial" w:hAnsi="Arial" w:cs="Arial"/>
                <w:kern w:val="2"/>
                <w14:ligatures w14:val="standardContextual"/>
              </w:rPr>
            </w:pPr>
            <w:r w:rsidRPr="001B39BA">
              <w:rPr>
                <w:rFonts w:ascii="Arial" w:hAnsi="Arial" w:cs="Arial"/>
                <w:spacing w:val="-4"/>
                <w:kern w:val="2"/>
                <w14:ligatures w14:val="standardContextual"/>
              </w:rPr>
              <w:t>High</w:t>
            </w:r>
          </w:p>
        </w:tc>
        <w:tc>
          <w:tcPr>
            <w:tcW w:w="5298" w:type="dxa"/>
            <w:tcBorders>
              <w:top w:val="single" w:sz="4" w:space="0" w:color="auto"/>
              <w:left w:val="nil"/>
              <w:bottom w:val="nil"/>
              <w:right w:val="nil"/>
            </w:tcBorders>
          </w:tcPr>
          <w:p w14:paraId="4054E569" w14:textId="77777777" w:rsidR="001B39BA" w:rsidRPr="001B39BA" w:rsidRDefault="001B39BA" w:rsidP="00727735">
            <w:pPr>
              <w:widowControl/>
              <w:autoSpaceDE/>
              <w:jc w:val="both"/>
              <w:rPr>
                <w:rFonts w:ascii="Arial" w:eastAsia="Calibri" w:hAnsi="Arial" w:cs="Arial"/>
                <w:kern w:val="2"/>
                <w:lang w:val="en-SG"/>
                <w14:ligatures w14:val="standardContextual"/>
              </w:rPr>
            </w:pPr>
          </w:p>
          <w:p w14:paraId="13F1D021" w14:textId="77777777" w:rsidR="001B39BA" w:rsidRPr="001B39BA" w:rsidRDefault="001B39BA" w:rsidP="00727735">
            <w:pPr>
              <w:widowControl/>
              <w:autoSpaceDE/>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Guidance counselors consistently demonstrate a non-judgmental attitude in their professional practice by showing acceptance, fairness, and respect toward students without criticism or bias during counseling interactions.</w:t>
            </w:r>
          </w:p>
          <w:p w14:paraId="3ECA3371" w14:textId="77777777" w:rsidR="001B39BA" w:rsidRPr="001B39BA" w:rsidRDefault="001B39BA" w:rsidP="00727735">
            <w:pPr>
              <w:widowControl/>
              <w:autoSpaceDE/>
              <w:jc w:val="both"/>
              <w:rPr>
                <w:rFonts w:ascii="Arial" w:eastAsia="Calibri" w:hAnsi="Arial" w:cs="Arial"/>
                <w:kern w:val="2"/>
                <w:lang w:val="en-SG"/>
                <w14:ligatures w14:val="standardContextual"/>
              </w:rPr>
            </w:pPr>
          </w:p>
          <w:p w14:paraId="6E244B64" w14:textId="77777777" w:rsidR="001B39BA" w:rsidRPr="001B39BA" w:rsidRDefault="001B39BA" w:rsidP="00727735">
            <w:pPr>
              <w:widowControl/>
              <w:autoSpaceDE/>
              <w:jc w:val="both"/>
              <w:rPr>
                <w:rFonts w:ascii="Arial" w:hAnsi="Arial" w:cs="Arial"/>
                <w:kern w:val="2"/>
                <w14:ligatures w14:val="standardContextual"/>
              </w:rPr>
            </w:pPr>
            <w:r w:rsidRPr="001B39BA">
              <w:rPr>
                <w:rFonts w:ascii="Arial" w:hAnsi="Arial" w:cs="Arial"/>
                <w:kern w:val="2"/>
                <w:lang w:val="en-SG"/>
                <w14:ligatures w14:val="standardContextual"/>
              </w:rPr>
              <w:t>Guidance counselors frequently demonstrate a non-judgmental attitude by maintaining openness and acceptance when listening to students’ concerns and experiences.</w:t>
            </w:r>
          </w:p>
        </w:tc>
      </w:tr>
      <w:tr w:rsidR="001B39BA" w:rsidRPr="001B39BA" w14:paraId="7CDB0206" w14:textId="77777777">
        <w:trPr>
          <w:trHeight w:val="712"/>
        </w:trPr>
        <w:tc>
          <w:tcPr>
            <w:tcW w:w="805" w:type="dxa"/>
          </w:tcPr>
          <w:p w14:paraId="55EDC999" w14:textId="77777777" w:rsidR="001B39BA" w:rsidRPr="001B39BA" w:rsidRDefault="001B39BA" w:rsidP="00727735">
            <w:pPr>
              <w:spacing w:before="221"/>
              <w:ind w:left="427"/>
              <w:jc w:val="both"/>
              <w:rPr>
                <w:rFonts w:ascii="Arial" w:hAnsi="Arial" w:cs="Arial"/>
                <w:spacing w:val="-10"/>
                <w:kern w:val="2"/>
                <w14:ligatures w14:val="standardContextual"/>
              </w:rPr>
            </w:pPr>
          </w:p>
          <w:p w14:paraId="1E5BDEA2" w14:textId="77777777" w:rsidR="001B39BA" w:rsidRPr="001B39BA" w:rsidRDefault="001B39BA" w:rsidP="00727735">
            <w:pPr>
              <w:spacing w:before="221"/>
              <w:ind w:left="427"/>
              <w:jc w:val="both"/>
              <w:rPr>
                <w:rFonts w:ascii="Arial" w:hAnsi="Arial" w:cs="Arial"/>
                <w:kern w:val="2"/>
                <w14:ligatures w14:val="standardContextual"/>
              </w:rPr>
            </w:pPr>
            <w:r w:rsidRPr="001B39BA">
              <w:rPr>
                <w:rFonts w:ascii="Arial" w:hAnsi="Arial" w:cs="Arial"/>
                <w:spacing w:val="-10"/>
                <w:kern w:val="2"/>
                <w14:ligatures w14:val="standardContextual"/>
              </w:rPr>
              <w:t>3</w:t>
            </w:r>
          </w:p>
        </w:tc>
        <w:tc>
          <w:tcPr>
            <w:tcW w:w="1158" w:type="dxa"/>
          </w:tcPr>
          <w:p w14:paraId="4578A8F2" w14:textId="77777777" w:rsidR="001B39BA" w:rsidRPr="001B39BA" w:rsidRDefault="001B39BA" w:rsidP="00727735">
            <w:pPr>
              <w:spacing w:before="221"/>
              <w:ind w:left="126"/>
              <w:jc w:val="both"/>
              <w:rPr>
                <w:rFonts w:ascii="Arial" w:hAnsi="Arial" w:cs="Arial"/>
                <w:spacing w:val="-2"/>
                <w:w w:val="110"/>
                <w:kern w:val="2"/>
                <w14:ligatures w14:val="standardContextual"/>
              </w:rPr>
            </w:pPr>
          </w:p>
          <w:p w14:paraId="40F61951" w14:textId="77777777" w:rsidR="001B39BA" w:rsidRPr="001B39BA" w:rsidRDefault="001B39BA" w:rsidP="00727735">
            <w:pPr>
              <w:spacing w:before="221"/>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2.61–3.40</w:t>
            </w:r>
          </w:p>
        </w:tc>
        <w:tc>
          <w:tcPr>
            <w:tcW w:w="1386" w:type="dxa"/>
          </w:tcPr>
          <w:p w14:paraId="3C360441" w14:textId="77777777" w:rsidR="001B39BA" w:rsidRPr="001B39BA" w:rsidRDefault="001B39BA" w:rsidP="00727735">
            <w:pPr>
              <w:spacing w:before="221"/>
              <w:ind w:left="366"/>
              <w:jc w:val="both"/>
              <w:rPr>
                <w:rFonts w:ascii="Arial" w:hAnsi="Arial" w:cs="Arial"/>
                <w:spacing w:val="-2"/>
                <w:kern w:val="2"/>
                <w14:ligatures w14:val="standardContextual"/>
              </w:rPr>
            </w:pPr>
          </w:p>
          <w:p w14:paraId="7F4E048E" w14:textId="77777777" w:rsidR="001B39BA" w:rsidRPr="001B39BA" w:rsidRDefault="001B39BA" w:rsidP="00727735">
            <w:pPr>
              <w:spacing w:before="221"/>
              <w:jc w:val="both"/>
              <w:rPr>
                <w:rFonts w:ascii="Arial" w:hAnsi="Arial" w:cs="Arial"/>
                <w:kern w:val="2"/>
                <w14:ligatures w14:val="standardContextual"/>
              </w:rPr>
            </w:pPr>
            <w:r w:rsidRPr="001B39BA">
              <w:rPr>
                <w:rFonts w:ascii="Arial" w:hAnsi="Arial" w:cs="Arial"/>
                <w:spacing w:val="-2"/>
                <w:kern w:val="2"/>
                <w14:ligatures w14:val="standardContextual"/>
              </w:rPr>
              <w:t xml:space="preserve">  Moderate</w:t>
            </w:r>
          </w:p>
        </w:tc>
        <w:tc>
          <w:tcPr>
            <w:tcW w:w="5298" w:type="dxa"/>
          </w:tcPr>
          <w:p w14:paraId="6F11BEB5" w14:textId="77777777" w:rsidR="001B39BA" w:rsidRPr="001B39BA" w:rsidRDefault="001B39BA" w:rsidP="00727735">
            <w:pPr>
              <w:widowControl/>
              <w:autoSpaceDE/>
              <w:jc w:val="both"/>
              <w:rPr>
                <w:rFonts w:ascii="Arial" w:eastAsia="Calibri" w:hAnsi="Arial" w:cs="Arial"/>
                <w:kern w:val="2"/>
                <w:lang w:val="en-SG"/>
                <w14:ligatures w14:val="standardContextual"/>
              </w:rPr>
            </w:pPr>
          </w:p>
          <w:p w14:paraId="16CE212A" w14:textId="77777777" w:rsidR="001B39BA" w:rsidRPr="001B39BA" w:rsidRDefault="001B39BA" w:rsidP="00727735">
            <w:pPr>
              <w:widowControl/>
              <w:autoSpaceDE/>
              <w:jc w:val="both"/>
              <w:rPr>
                <w:rFonts w:ascii="Arial" w:hAnsi="Arial" w:cs="Arial"/>
                <w:kern w:val="2"/>
                <w14:ligatures w14:val="standardContextual"/>
              </w:rPr>
            </w:pPr>
            <w:r w:rsidRPr="001B39BA">
              <w:rPr>
                <w:rFonts w:ascii="Arial" w:eastAsia="Calibri" w:hAnsi="Arial" w:cs="Arial"/>
                <w:kern w:val="2"/>
                <w:lang w:val="en-SG"/>
                <w14:ligatures w14:val="standardContextual"/>
              </w:rPr>
              <w:t>Guidance counselors sometimes demonstrate a non-judgmental attitude; however, their level of acceptance and openness may vary depending on the situation.</w:t>
            </w:r>
          </w:p>
        </w:tc>
      </w:tr>
      <w:tr w:rsidR="001B39BA" w:rsidRPr="001B39BA" w14:paraId="79EA1168" w14:textId="77777777">
        <w:trPr>
          <w:trHeight w:val="694"/>
        </w:trPr>
        <w:tc>
          <w:tcPr>
            <w:tcW w:w="805" w:type="dxa"/>
          </w:tcPr>
          <w:p w14:paraId="78E9A21A" w14:textId="77777777" w:rsidR="001B39BA" w:rsidRPr="001B39BA" w:rsidRDefault="001B39BA" w:rsidP="00727735">
            <w:pPr>
              <w:spacing w:before="152"/>
              <w:ind w:left="427"/>
              <w:jc w:val="both"/>
              <w:rPr>
                <w:rFonts w:ascii="Arial" w:hAnsi="Arial" w:cs="Arial"/>
                <w:spacing w:val="-10"/>
                <w:kern w:val="2"/>
                <w14:ligatures w14:val="standardContextual"/>
              </w:rPr>
            </w:pPr>
          </w:p>
          <w:p w14:paraId="35FCBE73" w14:textId="77777777" w:rsidR="001B39BA" w:rsidRPr="001B39BA" w:rsidRDefault="001B39BA" w:rsidP="00727735">
            <w:pPr>
              <w:spacing w:before="152"/>
              <w:ind w:left="427"/>
              <w:jc w:val="both"/>
              <w:rPr>
                <w:rFonts w:ascii="Arial" w:hAnsi="Arial" w:cs="Arial"/>
                <w:kern w:val="2"/>
                <w14:ligatures w14:val="standardContextual"/>
              </w:rPr>
            </w:pPr>
            <w:r w:rsidRPr="001B39BA">
              <w:rPr>
                <w:rFonts w:ascii="Arial" w:hAnsi="Arial" w:cs="Arial"/>
                <w:spacing w:val="-10"/>
                <w:kern w:val="2"/>
                <w14:ligatures w14:val="standardContextual"/>
              </w:rPr>
              <w:t>2</w:t>
            </w:r>
          </w:p>
        </w:tc>
        <w:tc>
          <w:tcPr>
            <w:tcW w:w="1158" w:type="dxa"/>
          </w:tcPr>
          <w:p w14:paraId="3C23171F" w14:textId="77777777" w:rsidR="001B39BA" w:rsidRPr="001B39BA" w:rsidRDefault="001B39BA" w:rsidP="00727735">
            <w:pPr>
              <w:spacing w:before="152"/>
              <w:ind w:left="126"/>
              <w:jc w:val="both"/>
              <w:rPr>
                <w:rFonts w:ascii="Arial" w:hAnsi="Arial" w:cs="Arial"/>
                <w:spacing w:val="-2"/>
                <w:w w:val="110"/>
                <w:kern w:val="2"/>
                <w14:ligatures w14:val="standardContextual"/>
              </w:rPr>
            </w:pPr>
          </w:p>
          <w:p w14:paraId="293AD5D5" w14:textId="77777777" w:rsidR="001B39BA" w:rsidRPr="001B39BA" w:rsidRDefault="001B39BA" w:rsidP="00727735">
            <w:pPr>
              <w:spacing w:before="152"/>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1.81–2.60</w:t>
            </w:r>
          </w:p>
        </w:tc>
        <w:tc>
          <w:tcPr>
            <w:tcW w:w="1386" w:type="dxa"/>
          </w:tcPr>
          <w:p w14:paraId="512A107D" w14:textId="77777777" w:rsidR="001B39BA" w:rsidRPr="001B39BA" w:rsidRDefault="001B39BA" w:rsidP="00727735">
            <w:pPr>
              <w:spacing w:before="152"/>
              <w:ind w:left="366"/>
              <w:jc w:val="both"/>
              <w:rPr>
                <w:rFonts w:ascii="Arial" w:hAnsi="Arial" w:cs="Arial"/>
                <w:spacing w:val="-5"/>
                <w:kern w:val="2"/>
                <w14:ligatures w14:val="standardContextual"/>
              </w:rPr>
            </w:pPr>
          </w:p>
          <w:p w14:paraId="55C76985" w14:textId="77777777" w:rsidR="001B39BA" w:rsidRPr="001B39BA" w:rsidRDefault="001B39BA" w:rsidP="00727735">
            <w:pPr>
              <w:spacing w:before="152"/>
              <w:jc w:val="both"/>
              <w:rPr>
                <w:rFonts w:ascii="Arial" w:hAnsi="Arial" w:cs="Arial"/>
                <w:kern w:val="2"/>
                <w14:ligatures w14:val="standardContextual"/>
              </w:rPr>
            </w:pPr>
            <w:r w:rsidRPr="001B39BA">
              <w:rPr>
                <w:rFonts w:ascii="Arial" w:hAnsi="Arial" w:cs="Arial"/>
                <w:spacing w:val="-5"/>
                <w:kern w:val="2"/>
                <w14:ligatures w14:val="standardContextual"/>
              </w:rPr>
              <w:t xml:space="preserve">   Low</w:t>
            </w:r>
          </w:p>
        </w:tc>
        <w:tc>
          <w:tcPr>
            <w:tcW w:w="5298" w:type="dxa"/>
          </w:tcPr>
          <w:p w14:paraId="5E27F28C" w14:textId="77777777" w:rsidR="001B39BA" w:rsidRPr="001B39BA" w:rsidRDefault="001B39BA" w:rsidP="00727735">
            <w:pPr>
              <w:widowControl/>
              <w:autoSpaceDE/>
              <w:jc w:val="both"/>
              <w:rPr>
                <w:rFonts w:ascii="Arial" w:eastAsia="Calibri" w:hAnsi="Arial" w:cs="Arial"/>
                <w:kern w:val="2"/>
                <w:lang w:val="en-SG"/>
                <w14:ligatures w14:val="standardContextual"/>
              </w:rPr>
            </w:pPr>
          </w:p>
          <w:p w14:paraId="3D90DFE4" w14:textId="77777777" w:rsidR="001B39BA" w:rsidRPr="001B39BA" w:rsidRDefault="001B39BA" w:rsidP="00727735">
            <w:pPr>
              <w:widowControl/>
              <w:autoSpaceDE/>
              <w:jc w:val="both"/>
              <w:rPr>
                <w:rFonts w:ascii="Arial" w:hAnsi="Arial" w:cs="Arial"/>
                <w:kern w:val="2"/>
                <w14:ligatures w14:val="standardContextual"/>
              </w:rPr>
            </w:pPr>
            <w:r w:rsidRPr="001B39BA">
              <w:rPr>
                <w:rFonts w:ascii="Arial" w:eastAsia="Calibri" w:hAnsi="Arial" w:cs="Arial"/>
                <w:kern w:val="2"/>
                <w:lang w:val="en-SG"/>
                <w14:ligatures w14:val="standardContextual"/>
              </w:rPr>
              <w:t>Guidance counselors seldom demonstrate a non-judgmental attitude, indicating limited openness and acceptance toward students’ perspectives and experiences.</w:t>
            </w:r>
          </w:p>
        </w:tc>
      </w:tr>
      <w:tr w:rsidR="001B39BA" w:rsidRPr="001B39BA" w14:paraId="459C4D48" w14:textId="77777777">
        <w:trPr>
          <w:trHeight w:val="1002"/>
        </w:trPr>
        <w:tc>
          <w:tcPr>
            <w:tcW w:w="805" w:type="dxa"/>
            <w:tcBorders>
              <w:top w:val="nil"/>
              <w:left w:val="nil"/>
              <w:bottom w:val="single" w:sz="4" w:space="0" w:color="auto"/>
              <w:right w:val="nil"/>
            </w:tcBorders>
          </w:tcPr>
          <w:p w14:paraId="23AAABFC" w14:textId="77777777" w:rsidR="001B39BA" w:rsidRPr="001B39BA" w:rsidRDefault="001B39BA" w:rsidP="00727735">
            <w:pPr>
              <w:spacing w:before="52"/>
              <w:jc w:val="both"/>
              <w:rPr>
                <w:rFonts w:ascii="Arial" w:hAnsi="Arial" w:cs="Arial"/>
                <w:kern w:val="2"/>
                <w14:ligatures w14:val="standardContextual"/>
              </w:rPr>
            </w:pPr>
          </w:p>
          <w:p w14:paraId="659496EB" w14:textId="77777777" w:rsidR="001B39BA" w:rsidRPr="001B39BA" w:rsidRDefault="001B39BA" w:rsidP="00727735">
            <w:pPr>
              <w:ind w:left="427"/>
              <w:jc w:val="both"/>
              <w:rPr>
                <w:rFonts w:ascii="Arial" w:hAnsi="Arial" w:cs="Arial"/>
                <w:kern w:val="2"/>
                <w14:ligatures w14:val="standardContextual"/>
              </w:rPr>
            </w:pPr>
            <w:r w:rsidRPr="001B39BA">
              <w:rPr>
                <w:rFonts w:ascii="Arial" w:hAnsi="Arial" w:cs="Arial"/>
                <w:spacing w:val="-10"/>
                <w:kern w:val="2"/>
                <w14:ligatures w14:val="standardContextual"/>
              </w:rPr>
              <w:t>1</w:t>
            </w:r>
          </w:p>
        </w:tc>
        <w:tc>
          <w:tcPr>
            <w:tcW w:w="1158" w:type="dxa"/>
            <w:tcBorders>
              <w:top w:val="nil"/>
              <w:left w:val="nil"/>
              <w:bottom w:val="single" w:sz="4" w:space="0" w:color="auto"/>
              <w:right w:val="nil"/>
            </w:tcBorders>
          </w:tcPr>
          <w:p w14:paraId="106EB44E" w14:textId="77777777" w:rsidR="001B39BA" w:rsidRPr="001B39BA" w:rsidRDefault="001B39BA" w:rsidP="00727735">
            <w:pPr>
              <w:spacing w:before="52"/>
              <w:jc w:val="both"/>
              <w:rPr>
                <w:rFonts w:ascii="Arial" w:hAnsi="Arial" w:cs="Arial"/>
                <w:kern w:val="2"/>
                <w14:ligatures w14:val="standardContextual"/>
              </w:rPr>
            </w:pPr>
          </w:p>
          <w:p w14:paraId="0207BC47" w14:textId="77777777" w:rsidR="001B39BA" w:rsidRPr="001B39BA" w:rsidRDefault="001B39BA" w:rsidP="00727735">
            <w:pPr>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1.00–1.80</w:t>
            </w:r>
          </w:p>
        </w:tc>
        <w:tc>
          <w:tcPr>
            <w:tcW w:w="1386" w:type="dxa"/>
            <w:tcBorders>
              <w:top w:val="nil"/>
              <w:left w:val="nil"/>
              <w:bottom w:val="single" w:sz="4" w:space="0" w:color="auto"/>
              <w:right w:val="nil"/>
            </w:tcBorders>
          </w:tcPr>
          <w:p w14:paraId="7DCE9C26" w14:textId="77777777" w:rsidR="001B39BA" w:rsidRPr="001B39BA" w:rsidRDefault="001B39BA" w:rsidP="00727735">
            <w:pPr>
              <w:spacing w:before="52"/>
              <w:jc w:val="both"/>
              <w:rPr>
                <w:rFonts w:ascii="Arial" w:hAnsi="Arial" w:cs="Arial"/>
                <w:kern w:val="2"/>
                <w14:ligatures w14:val="standardContextual"/>
              </w:rPr>
            </w:pPr>
          </w:p>
          <w:p w14:paraId="7A494C06" w14:textId="77777777" w:rsidR="001B39BA" w:rsidRPr="001B39BA" w:rsidRDefault="001B39BA" w:rsidP="00727735">
            <w:pPr>
              <w:jc w:val="both"/>
              <w:rPr>
                <w:rFonts w:ascii="Arial" w:hAnsi="Arial" w:cs="Arial"/>
                <w:kern w:val="2"/>
                <w14:ligatures w14:val="standardContextual"/>
              </w:rPr>
            </w:pPr>
            <w:r w:rsidRPr="001B39BA">
              <w:rPr>
                <w:rFonts w:ascii="Arial" w:hAnsi="Arial" w:cs="Arial"/>
                <w:kern w:val="2"/>
                <w14:ligatures w14:val="standardContextual"/>
              </w:rPr>
              <w:t xml:space="preserve">   Very</w:t>
            </w:r>
            <w:r w:rsidRPr="001B39BA">
              <w:rPr>
                <w:rFonts w:ascii="Arial" w:hAnsi="Arial" w:cs="Arial"/>
                <w:spacing w:val="1"/>
                <w:kern w:val="2"/>
                <w14:ligatures w14:val="standardContextual"/>
              </w:rPr>
              <w:t xml:space="preserve"> </w:t>
            </w:r>
            <w:r w:rsidRPr="001B39BA">
              <w:rPr>
                <w:rFonts w:ascii="Arial" w:hAnsi="Arial" w:cs="Arial"/>
                <w:spacing w:val="-5"/>
                <w:kern w:val="2"/>
                <w14:ligatures w14:val="standardContextual"/>
              </w:rPr>
              <w:t>Low</w:t>
            </w:r>
          </w:p>
        </w:tc>
        <w:tc>
          <w:tcPr>
            <w:tcW w:w="5298" w:type="dxa"/>
            <w:tcBorders>
              <w:top w:val="nil"/>
              <w:left w:val="nil"/>
              <w:bottom w:val="single" w:sz="4" w:space="0" w:color="auto"/>
              <w:right w:val="nil"/>
            </w:tcBorders>
          </w:tcPr>
          <w:p w14:paraId="68F67A70" w14:textId="77777777" w:rsidR="001B39BA" w:rsidRPr="001B39BA" w:rsidRDefault="001B39BA" w:rsidP="00727735">
            <w:pPr>
              <w:widowControl/>
              <w:autoSpaceDE/>
              <w:jc w:val="both"/>
              <w:rPr>
                <w:rFonts w:ascii="Arial" w:eastAsia="Calibri" w:hAnsi="Arial" w:cs="Arial"/>
                <w:kern w:val="2"/>
                <w:lang w:val="en-SG"/>
                <w14:ligatures w14:val="standardContextual"/>
              </w:rPr>
            </w:pPr>
          </w:p>
          <w:p w14:paraId="52C4090E" w14:textId="77777777" w:rsidR="001B39BA" w:rsidRPr="001B39BA" w:rsidRDefault="001B39BA" w:rsidP="00727735">
            <w:pPr>
              <w:widowControl/>
              <w:autoSpaceDE/>
              <w:jc w:val="both"/>
              <w:rPr>
                <w:rFonts w:ascii="Arial" w:hAnsi="Arial" w:cs="Arial"/>
                <w:kern w:val="2"/>
                <w14:ligatures w14:val="standardContextual"/>
              </w:rPr>
            </w:pPr>
            <w:r w:rsidRPr="001B39BA">
              <w:rPr>
                <w:rFonts w:ascii="Arial" w:eastAsia="Calibri" w:hAnsi="Arial" w:cs="Arial"/>
                <w:kern w:val="2"/>
                <w:lang w:val="en-SG"/>
                <w14:ligatures w14:val="standardContextual"/>
              </w:rPr>
              <w:t>Guidance counselors rarely demonstrate a non-judgmental attitude in their professional practice, suggesting minimal acceptance and openness toward students during counseling interactions.</w:t>
            </w:r>
          </w:p>
        </w:tc>
      </w:tr>
    </w:tbl>
    <w:p w14:paraId="184D8BEA"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71FD51CB" w14:textId="77777777" w:rsidR="001B39BA" w:rsidRPr="001B39BA" w:rsidRDefault="001B39BA" w:rsidP="001B39BA">
      <w:pPr>
        <w:widowControl/>
        <w:autoSpaceDE/>
        <w:spacing w:line="360" w:lineRule="auto"/>
        <w:ind w:firstLine="720"/>
        <w:jc w:val="both"/>
        <w:rPr>
          <w:rFonts w:ascii="Arial" w:hAnsi="Arial" w:cs="Arial"/>
          <w:lang w:val="en-SG"/>
        </w:rPr>
      </w:pPr>
      <w:r w:rsidRPr="001B39BA">
        <w:rPr>
          <w:rFonts w:ascii="Arial" w:eastAsia="Calibri" w:hAnsi="Arial" w:cs="Arial"/>
          <w:lang w:val="en-SG"/>
        </w:rPr>
        <w:t xml:space="preserve">Meanwhile, a non-judgmental attitude refers to the </w:t>
      </w:r>
      <w:r w:rsidRPr="001B39BA">
        <w:rPr>
          <w:rFonts w:ascii="Arial" w:hAnsi="Arial" w:cs="Arial"/>
        </w:rPr>
        <w:t xml:space="preserve">guidance </w:t>
      </w:r>
      <w:r w:rsidRPr="001B39BA">
        <w:rPr>
          <w:rFonts w:ascii="Arial" w:eastAsia="Calibri" w:hAnsi="Arial" w:cs="Arial"/>
          <w:lang w:val="en-SG"/>
        </w:rPr>
        <w:t xml:space="preserve">counselor’s ability to maintain openness, acceptance, and respect toward students regardless of their background or circumstances. This characteristic is essential in establishing trust and promoting psychological safety within the counseling relationship. </w:t>
      </w:r>
      <w:r w:rsidRPr="001B39BA">
        <w:rPr>
          <w:rFonts w:ascii="Arial" w:hAnsi="Arial" w:cs="Arial"/>
          <w:lang w:val="en-SG"/>
        </w:rPr>
        <w:t>Higher scores indicated consistent acceptance and fairness, while lower scores suggested limited openness to students’ perspectives. The reliability coefficient for this dimension was α = 0.823, indicating good internal consistency and supporting the scale’s reliability (Taber, 2018).</w:t>
      </w:r>
    </w:p>
    <w:p w14:paraId="1E37C505" w14:textId="77777777" w:rsidR="001B39BA" w:rsidRPr="001B39BA" w:rsidRDefault="001B39BA" w:rsidP="001B39BA">
      <w:pPr>
        <w:spacing w:before="161" w:line="360" w:lineRule="auto"/>
        <w:ind w:firstLine="720"/>
        <w:jc w:val="both"/>
        <w:rPr>
          <w:rFonts w:ascii="Arial" w:eastAsia="Calibri" w:hAnsi="Arial" w:cs="Arial"/>
          <w:lang w:val="en-SG"/>
        </w:rPr>
      </w:pPr>
      <w:r w:rsidRPr="001B39BA">
        <w:rPr>
          <w:rFonts w:ascii="Arial" w:hAnsi="Arial" w:cs="Arial"/>
          <w:lang w:val="en-SG"/>
        </w:rPr>
        <w:lastRenderedPageBreak/>
        <w:t xml:space="preserve">In addition, Interpersonal skills refer to the </w:t>
      </w:r>
      <w:r w:rsidRPr="001B39BA">
        <w:rPr>
          <w:rFonts w:ascii="Arial" w:hAnsi="Arial" w:cs="Arial"/>
        </w:rPr>
        <w:t xml:space="preserve">guidance </w:t>
      </w:r>
      <w:r w:rsidRPr="001B39BA">
        <w:rPr>
          <w:rFonts w:ascii="Arial" w:hAnsi="Arial" w:cs="Arial"/>
          <w:lang w:val="en-SG"/>
        </w:rPr>
        <w:t xml:space="preserve">counselor’s ability to communicate effectively, establish rapport, and maintain constructive relationships with students and other stakeholders. These skills are fundamental to effective counseling. </w:t>
      </w:r>
      <w:r w:rsidRPr="001B39BA">
        <w:rPr>
          <w:rFonts w:ascii="Arial" w:eastAsia="Calibri" w:hAnsi="Arial" w:cs="Arial"/>
          <w:lang w:val="en-SG"/>
        </w:rPr>
        <w:t>Higher scores reflected strong communication and relational abilities, while lower scores indicated limited effectiveness in professional interactions. The scale demonstrated high internal consistency, with a Cronbach’s alpha of α = 0.871, indicating reliable measurement of interpersonal skills (Hair Jr. et al., 2019).</w:t>
      </w:r>
    </w:p>
    <w:p w14:paraId="5C8E166C" w14:textId="77777777" w:rsidR="001B39BA" w:rsidRDefault="001B39BA" w:rsidP="001B39BA">
      <w:pPr>
        <w:spacing w:before="161" w:line="360" w:lineRule="auto"/>
        <w:ind w:firstLine="720"/>
        <w:jc w:val="both"/>
        <w:rPr>
          <w:rFonts w:ascii="Arial" w:eastAsia="Calibri" w:hAnsi="Arial" w:cs="Arial"/>
          <w:lang w:val="en-SG"/>
        </w:rPr>
      </w:pPr>
    </w:p>
    <w:p w14:paraId="4406644D" w14:textId="2AA4F058" w:rsidR="001B39BA" w:rsidRPr="001B39BA" w:rsidRDefault="001B39BA" w:rsidP="001B39BA">
      <w:pPr>
        <w:spacing w:line="360" w:lineRule="auto"/>
        <w:jc w:val="both"/>
        <w:rPr>
          <w:rFonts w:ascii="Arial" w:hAnsi="Arial" w:cs="Arial"/>
        </w:rPr>
      </w:pPr>
      <w:r w:rsidRPr="001B39BA">
        <w:rPr>
          <w:rFonts w:ascii="Arial" w:hAnsi="Arial" w:cs="Arial"/>
        </w:rPr>
        <w:t>Scale</w:t>
      </w:r>
      <w:r w:rsidRPr="001B39BA">
        <w:rPr>
          <w:rFonts w:ascii="Arial" w:hAnsi="Arial" w:cs="Arial"/>
          <w:spacing w:val="-8"/>
        </w:rPr>
        <w:t xml:space="preserve"> </w:t>
      </w:r>
      <w:r w:rsidRPr="001B39BA">
        <w:rPr>
          <w:rFonts w:ascii="Arial" w:hAnsi="Arial" w:cs="Arial"/>
        </w:rPr>
        <w:t>on Guidance</w:t>
      </w:r>
      <w:r w:rsidRPr="001B39BA">
        <w:rPr>
          <w:rFonts w:ascii="Arial" w:hAnsi="Arial" w:cs="Arial"/>
          <w:spacing w:val="-3"/>
        </w:rPr>
        <w:t xml:space="preserve"> </w:t>
      </w:r>
      <w:r w:rsidRPr="001B39BA">
        <w:rPr>
          <w:rFonts w:ascii="Arial" w:hAnsi="Arial" w:cs="Arial"/>
        </w:rPr>
        <w:t>Counselor’s</w:t>
      </w:r>
      <w:r w:rsidRPr="001B39BA">
        <w:rPr>
          <w:rFonts w:ascii="Arial" w:hAnsi="Arial" w:cs="Arial"/>
          <w:spacing w:val="-8"/>
        </w:rPr>
        <w:t xml:space="preserve"> </w:t>
      </w:r>
      <w:r w:rsidRPr="001B39BA">
        <w:rPr>
          <w:rFonts w:ascii="Arial" w:hAnsi="Arial" w:cs="Arial"/>
        </w:rPr>
        <w:t>Work-specific</w:t>
      </w:r>
      <w:r w:rsidRPr="001B39BA">
        <w:rPr>
          <w:rFonts w:ascii="Arial" w:hAnsi="Arial" w:cs="Arial"/>
          <w:spacing w:val="-9"/>
        </w:rPr>
        <w:t xml:space="preserve"> </w:t>
      </w:r>
      <w:r w:rsidRPr="001B39BA">
        <w:rPr>
          <w:rFonts w:ascii="Arial" w:hAnsi="Arial" w:cs="Arial"/>
        </w:rPr>
        <w:t>Characteristics in terms of Interpersonal Skills</w:t>
      </w:r>
    </w:p>
    <w:tbl>
      <w:tblPr>
        <w:tblW w:w="0" w:type="auto"/>
        <w:tblLayout w:type="fixed"/>
        <w:tblCellMar>
          <w:left w:w="0" w:type="dxa"/>
          <w:right w:w="0" w:type="dxa"/>
        </w:tblCellMar>
        <w:tblLook w:val="01E0" w:firstRow="1" w:lastRow="1" w:firstColumn="1" w:lastColumn="1" w:noHBand="0" w:noVBand="0"/>
      </w:tblPr>
      <w:tblGrid>
        <w:gridCol w:w="805"/>
        <w:gridCol w:w="1158"/>
        <w:gridCol w:w="1386"/>
        <w:gridCol w:w="5015"/>
      </w:tblGrid>
      <w:tr w:rsidR="001B39BA" w:rsidRPr="001B39BA" w14:paraId="11DEFAD2" w14:textId="77777777" w:rsidTr="003D246B">
        <w:trPr>
          <w:trHeight w:val="605"/>
        </w:trPr>
        <w:tc>
          <w:tcPr>
            <w:tcW w:w="805" w:type="dxa"/>
            <w:tcBorders>
              <w:top w:val="single" w:sz="12" w:space="0" w:color="000000"/>
              <w:left w:val="nil"/>
              <w:bottom w:val="single" w:sz="4" w:space="0" w:color="auto"/>
              <w:right w:val="nil"/>
            </w:tcBorders>
            <w:hideMark/>
          </w:tcPr>
          <w:p w14:paraId="4442BA22" w14:textId="77777777" w:rsidR="001B39BA" w:rsidRPr="001B39BA" w:rsidRDefault="001B39BA" w:rsidP="00727735">
            <w:pPr>
              <w:spacing w:before="12"/>
              <w:ind w:left="172"/>
              <w:jc w:val="both"/>
              <w:rPr>
                <w:rFonts w:ascii="Arial" w:hAnsi="Arial" w:cs="Arial"/>
                <w:kern w:val="2"/>
                <w14:ligatures w14:val="standardContextual"/>
              </w:rPr>
            </w:pPr>
            <w:r w:rsidRPr="001B39BA">
              <w:rPr>
                <w:rFonts w:ascii="Arial" w:hAnsi="Arial" w:cs="Arial"/>
                <w:spacing w:val="-2"/>
                <w:kern w:val="2"/>
                <w14:ligatures w14:val="standardContextual"/>
              </w:rPr>
              <w:t>Scale</w:t>
            </w:r>
          </w:p>
        </w:tc>
        <w:tc>
          <w:tcPr>
            <w:tcW w:w="1158" w:type="dxa"/>
            <w:tcBorders>
              <w:top w:val="single" w:sz="12" w:space="0" w:color="000000"/>
              <w:left w:val="nil"/>
              <w:bottom w:val="single" w:sz="4" w:space="0" w:color="auto"/>
              <w:right w:val="nil"/>
            </w:tcBorders>
            <w:hideMark/>
          </w:tcPr>
          <w:p w14:paraId="4EEB943A" w14:textId="77777777" w:rsidR="001B39BA" w:rsidRPr="001B39BA" w:rsidRDefault="001B39BA" w:rsidP="00727735">
            <w:pPr>
              <w:spacing w:before="12"/>
              <w:ind w:left="126"/>
              <w:jc w:val="both"/>
              <w:rPr>
                <w:rFonts w:ascii="Arial" w:hAnsi="Arial" w:cs="Arial"/>
                <w:kern w:val="2"/>
                <w14:ligatures w14:val="standardContextual"/>
              </w:rPr>
            </w:pPr>
            <w:r w:rsidRPr="001B39BA">
              <w:rPr>
                <w:rFonts w:ascii="Arial" w:hAnsi="Arial" w:cs="Arial"/>
                <w:spacing w:val="-4"/>
                <w:kern w:val="2"/>
                <w14:ligatures w14:val="standardContextual"/>
              </w:rPr>
              <w:t>Mean</w:t>
            </w:r>
          </w:p>
        </w:tc>
        <w:tc>
          <w:tcPr>
            <w:tcW w:w="1386" w:type="dxa"/>
            <w:tcBorders>
              <w:top w:val="single" w:sz="12" w:space="0" w:color="000000"/>
              <w:left w:val="nil"/>
              <w:bottom w:val="single" w:sz="4" w:space="0" w:color="auto"/>
              <w:right w:val="nil"/>
            </w:tcBorders>
            <w:hideMark/>
          </w:tcPr>
          <w:p w14:paraId="3EA241CC" w14:textId="77777777" w:rsidR="001B39BA" w:rsidRPr="001B39BA" w:rsidRDefault="001B39BA" w:rsidP="00727735">
            <w:pPr>
              <w:spacing w:before="12"/>
              <w:ind w:left="198"/>
              <w:jc w:val="both"/>
              <w:rPr>
                <w:rFonts w:ascii="Arial" w:hAnsi="Arial" w:cs="Arial"/>
                <w:kern w:val="2"/>
                <w14:ligatures w14:val="standardContextual"/>
              </w:rPr>
            </w:pPr>
            <w:r w:rsidRPr="001B39BA">
              <w:rPr>
                <w:rFonts w:ascii="Arial" w:hAnsi="Arial" w:cs="Arial"/>
                <w:spacing w:val="-2"/>
                <w:kern w:val="2"/>
                <w14:ligatures w14:val="standardContextual"/>
              </w:rPr>
              <w:t>Verbal</w:t>
            </w:r>
          </w:p>
          <w:p w14:paraId="71C308F2" w14:textId="77777777" w:rsidR="001B39BA" w:rsidRPr="001B39BA" w:rsidRDefault="001B39BA" w:rsidP="00727735">
            <w:pPr>
              <w:tabs>
                <w:tab w:val="left" w:pos="6271"/>
              </w:tabs>
              <w:spacing w:before="4"/>
              <w:ind w:left="-1963" w:right="-4896"/>
              <w:jc w:val="both"/>
              <w:rPr>
                <w:rFonts w:ascii="Arial" w:hAnsi="Arial" w:cs="Arial"/>
                <w:kern w:val="2"/>
                <w14:ligatures w14:val="standardContextual"/>
              </w:rPr>
            </w:pPr>
            <w:r w:rsidRPr="001B39BA">
              <w:rPr>
                <w:rFonts w:ascii="Arial" w:hAnsi="Arial" w:cs="Arial"/>
                <w:spacing w:val="70"/>
                <w:w w:val="150"/>
                <w:kern w:val="2"/>
                <w14:ligatures w14:val="standardContextual"/>
              </w:rPr>
              <w:t xml:space="preserve">              </w:t>
            </w:r>
            <w:r w:rsidRPr="001B39BA">
              <w:rPr>
                <w:rFonts w:ascii="Arial" w:hAnsi="Arial" w:cs="Arial"/>
                <w:spacing w:val="-2"/>
                <w:kern w:val="2"/>
                <w14:ligatures w14:val="standardContextual"/>
              </w:rPr>
              <w:t>Description</w:t>
            </w:r>
            <w:r w:rsidRPr="001B39BA">
              <w:rPr>
                <w:rFonts w:ascii="Arial" w:hAnsi="Arial" w:cs="Arial"/>
                <w:kern w:val="2"/>
                <w:u w:val="thick"/>
                <w14:ligatures w14:val="standardContextual"/>
              </w:rPr>
              <w:tab/>
            </w:r>
          </w:p>
        </w:tc>
        <w:tc>
          <w:tcPr>
            <w:tcW w:w="5015" w:type="dxa"/>
            <w:tcBorders>
              <w:top w:val="single" w:sz="12" w:space="0" w:color="000000"/>
              <w:left w:val="nil"/>
              <w:bottom w:val="single" w:sz="4" w:space="0" w:color="auto"/>
              <w:right w:val="nil"/>
            </w:tcBorders>
            <w:hideMark/>
          </w:tcPr>
          <w:p w14:paraId="623B23F3" w14:textId="77777777" w:rsidR="001B39BA" w:rsidRPr="001B39BA" w:rsidRDefault="001B39BA" w:rsidP="00727735">
            <w:pPr>
              <w:spacing w:before="12"/>
              <w:ind w:left="170"/>
              <w:jc w:val="both"/>
              <w:rPr>
                <w:rFonts w:ascii="Arial" w:hAnsi="Arial" w:cs="Arial"/>
                <w:kern w:val="2"/>
                <w14:ligatures w14:val="standardContextual"/>
              </w:rPr>
            </w:pPr>
            <w:r w:rsidRPr="001B39BA">
              <w:rPr>
                <w:rFonts w:ascii="Arial" w:hAnsi="Arial" w:cs="Arial"/>
                <w:kern w:val="2"/>
                <w14:ligatures w14:val="standardContextual"/>
              </w:rPr>
              <w:t>Descriptive</w:t>
            </w:r>
            <w:r w:rsidRPr="001B39BA">
              <w:rPr>
                <w:rFonts w:ascii="Arial" w:hAnsi="Arial" w:cs="Arial"/>
                <w:spacing w:val="-10"/>
                <w:kern w:val="2"/>
                <w14:ligatures w14:val="standardContextual"/>
              </w:rPr>
              <w:t xml:space="preserve"> </w:t>
            </w:r>
            <w:r w:rsidRPr="001B39BA">
              <w:rPr>
                <w:rFonts w:ascii="Arial" w:hAnsi="Arial" w:cs="Arial"/>
                <w:spacing w:val="-2"/>
                <w:kern w:val="2"/>
                <w14:ligatures w14:val="standardContextual"/>
              </w:rPr>
              <w:t>Interpretation</w:t>
            </w:r>
          </w:p>
        </w:tc>
      </w:tr>
      <w:tr w:rsidR="001B39BA" w:rsidRPr="001B39BA" w14:paraId="7B5991AE" w14:textId="77777777" w:rsidTr="003D246B">
        <w:trPr>
          <w:trHeight w:val="1735"/>
        </w:trPr>
        <w:tc>
          <w:tcPr>
            <w:tcW w:w="805" w:type="dxa"/>
            <w:tcBorders>
              <w:top w:val="single" w:sz="4" w:space="0" w:color="auto"/>
              <w:left w:val="nil"/>
              <w:bottom w:val="nil"/>
              <w:right w:val="nil"/>
            </w:tcBorders>
          </w:tcPr>
          <w:p w14:paraId="32490017" w14:textId="77777777" w:rsidR="001B39BA" w:rsidRPr="001B39BA" w:rsidRDefault="001B39BA" w:rsidP="00727735">
            <w:pPr>
              <w:spacing w:before="145"/>
              <w:ind w:left="161"/>
              <w:jc w:val="both"/>
              <w:rPr>
                <w:rFonts w:ascii="Arial" w:hAnsi="Arial" w:cs="Arial"/>
                <w:kern w:val="2"/>
                <w14:ligatures w14:val="standardContextual"/>
              </w:rPr>
            </w:pPr>
            <w:r w:rsidRPr="001B39BA">
              <w:rPr>
                <w:rFonts w:ascii="Arial" w:hAnsi="Arial" w:cs="Arial"/>
                <w:spacing w:val="-10"/>
                <w:kern w:val="2"/>
                <w14:ligatures w14:val="standardContextual"/>
              </w:rPr>
              <w:t>5</w:t>
            </w:r>
          </w:p>
          <w:p w14:paraId="359535DE" w14:textId="77777777" w:rsidR="001B39BA" w:rsidRPr="001B39BA" w:rsidRDefault="001B39BA" w:rsidP="00727735">
            <w:pPr>
              <w:jc w:val="both"/>
              <w:rPr>
                <w:rFonts w:ascii="Arial" w:hAnsi="Arial" w:cs="Arial"/>
                <w:kern w:val="2"/>
                <w14:ligatures w14:val="standardContextual"/>
              </w:rPr>
            </w:pPr>
          </w:p>
          <w:p w14:paraId="38405260" w14:textId="77777777" w:rsidR="001B39BA" w:rsidRPr="001B39BA" w:rsidRDefault="001B39BA" w:rsidP="00727735">
            <w:pPr>
              <w:jc w:val="both"/>
              <w:rPr>
                <w:rFonts w:ascii="Arial" w:hAnsi="Arial" w:cs="Arial"/>
                <w:kern w:val="2"/>
                <w14:ligatures w14:val="standardContextual"/>
              </w:rPr>
            </w:pPr>
          </w:p>
          <w:p w14:paraId="16A506B8" w14:textId="77777777" w:rsidR="001B39BA" w:rsidRPr="001B39BA" w:rsidRDefault="001B39BA" w:rsidP="00727735">
            <w:pPr>
              <w:jc w:val="both"/>
              <w:rPr>
                <w:rFonts w:ascii="Arial" w:hAnsi="Arial" w:cs="Arial"/>
                <w:kern w:val="2"/>
                <w14:ligatures w14:val="standardContextual"/>
              </w:rPr>
            </w:pPr>
          </w:p>
          <w:p w14:paraId="53FF6C27" w14:textId="77777777" w:rsidR="001B39BA" w:rsidRPr="001B39BA" w:rsidRDefault="001B39BA" w:rsidP="00727735">
            <w:pPr>
              <w:spacing w:before="49"/>
              <w:jc w:val="both"/>
              <w:rPr>
                <w:rFonts w:ascii="Arial" w:hAnsi="Arial" w:cs="Arial"/>
                <w:kern w:val="2"/>
                <w14:ligatures w14:val="standardContextual"/>
              </w:rPr>
            </w:pPr>
          </w:p>
          <w:p w14:paraId="08E4ED90" w14:textId="77777777" w:rsidR="001B39BA" w:rsidRPr="001B39BA" w:rsidRDefault="001B39BA" w:rsidP="00727735">
            <w:pPr>
              <w:spacing w:before="49"/>
              <w:jc w:val="both"/>
              <w:rPr>
                <w:rFonts w:ascii="Arial" w:hAnsi="Arial" w:cs="Arial"/>
                <w:kern w:val="2"/>
                <w14:ligatures w14:val="standardContextual"/>
              </w:rPr>
            </w:pPr>
          </w:p>
          <w:p w14:paraId="517A552C" w14:textId="77777777" w:rsidR="001B39BA" w:rsidRPr="001B39BA" w:rsidRDefault="001B39BA" w:rsidP="00727735">
            <w:pPr>
              <w:spacing w:before="49"/>
              <w:jc w:val="both"/>
              <w:rPr>
                <w:rFonts w:ascii="Arial" w:hAnsi="Arial" w:cs="Arial"/>
                <w:kern w:val="2"/>
                <w14:ligatures w14:val="standardContextual"/>
              </w:rPr>
            </w:pPr>
          </w:p>
          <w:p w14:paraId="5D226B19" w14:textId="77777777" w:rsidR="001B39BA" w:rsidRPr="001B39BA" w:rsidRDefault="001B39BA" w:rsidP="00727735">
            <w:pPr>
              <w:ind w:left="161" w:right="58"/>
              <w:jc w:val="both"/>
              <w:rPr>
                <w:rFonts w:ascii="Arial" w:hAnsi="Arial" w:cs="Arial"/>
                <w:kern w:val="2"/>
                <w14:ligatures w14:val="standardContextual"/>
              </w:rPr>
            </w:pPr>
            <w:r w:rsidRPr="001B39BA">
              <w:rPr>
                <w:rFonts w:ascii="Arial" w:hAnsi="Arial" w:cs="Arial"/>
                <w:spacing w:val="-10"/>
                <w:kern w:val="2"/>
                <w14:ligatures w14:val="standardContextual"/>
              </w:rPr>
              <w:t>4</w:t>
            </w:r>
          </w:p>
        </w:tc>
        <w:tc>
          <w:tcPr>
            <w:tcW w:w="1158" w:type="dxa"/>
            <w:tcBorders>
              <w:top w:val="single" w:sz="4" w:space="0" w:color="auto"/>
              <w:left w:val="nil"/>
              <w:bottom w:val="nil"/>
              <w:right w:val="nil"/>
            </w:tcBorders>
          </w:tcPr>
          <w:p w14:paraId="0C73906D" w14:textId="77777777" w:rsidR="001B39BA" w:rsidRPr="001B39BA" w:rsidRDefault="001B39BA" w:rsidP="00727735">
            <w:pPr>
              <w:spacing w:before="145"/>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4.21–5.00</w:t>
            </w:r>
          </w:p>
          <w:p w14:paraId="4878601E" w14:textId="77777777" w:rsidR="001B39BA" w:rsidRPr="001B39BA" w:rsidRDefault="001B39BA" w:rsidP="00727735">
            <w:pPr>
              <w:jc w:val="both"/>
              <w:rPr>
                <w:rFonts w:ascii="Arial" w:hAnsi="Arial" w:cs="Arial"/>
                <w:kern w:val="2"/>
                <w14:ligatures w14:val="standardContextual"/>
              </w:rPr>
            </w:pPr>
          </w:p>
          <w:p w14:paraId="4D0C336B" w14:textId="77777777" w:rsidR="001B39BA" w:rsidRPr="001B39BA" w:rsidRDefault="001B39BA" w:rsidP="00727735">
            <w:pPr>
              <w:jc w:val="both"/>
              <w:rPr>
                <w:rFonts w:ascii="Arial" w:hAnsi="Arial" w:cs="Arial"/>
                <w:kern w:val="2"/>
                <w14:ligatures w14:val="standardContextual"/>
              </w:rPr>
            </w:pPr>
          </w:p>
          <w:p w14:paraId="681D6583" w14:textId="77777777" w:rsidR="001B39BA" w:rsidRPr="001B39BA" w:rsidRDefault="001B39BA" w:rsidP="00727735">
            <w:pPr>
              <w:jc w:val="both"/>
              <w:rPr>
                <w:rFonts w:ascii="Arial" w:hAnsi="Arial" w:cs="Arial"/>
                <w:kern w:val="2"/>
                <w14:ligatures w14:val="standardContextual"/>
              </w:rPr>
            </w:pPr>
          </w:p>
          <w:p w14:paraId="4ACC4408" w14:textId="77777777" w:rsidR="001B39BA" w:rsidRPr="001B39BA" w:rsidRDefault="001B39BA" w:rsidP="00727735">
            <w:pPr>
              <w:jc w:val="both"/>
              <w:rPr>
                <w:rFonts w:ascii="Arial" w:hAnsi="Arial" w:cs="Arial"/>
                <w:kern w:val="2"/>
                <w14:ligatures w14:val="standardContextual"/>
              </w:rPr>
            </w:pPr>
          </w:p>
          <w:p w14:paraId="195AC0E6" w14:textId="77777777" w:rsidR="001B39BA" w:rsidRPr="001B39BA" w:rsidRDefault="001B39BA" w:rsidP="00727735">
            <w:pPr>
              <w:jc w:val="both"/>
              <w:rPr>
                <w:rFonts w:ascii="Arial" w:hAnsi="Arial" w:cs="Arial"/>
                <w:kern w:val="2"/>
                <w14:ligatures w14:val="standardContextual"/>
              </w:rPr>
            </w:pPr>
          </w:p>
          <w:p w14:paraId="49A6F0CD" w14:textId="77777777" w:rsidR="001B39BA" w:rsidRPr="001B39BA" w:rsidRDefault="001B39BA" w:rsidP="00727735">
            <w:pPr>
              <w:jc w:val="both"/>
              <w:rPr>
                <w:rFonts w:ascii="Arial" w:hAnsi="Arial" w:cs="Arial"/>
                <w:kern w:val="2"/>
                <w14:ligatures w14:val="standardContextual"/>
              </w:rPr>
            </w:pPr>
          </w:p>
          <w:p w14:paraId="2470B99F" w14:textId="77777777" w:rsidR="001B39BA" w:rsidRPr="001B39BA" w:rsidRDefault="001B39BA" w:rsidP="00727735">
            <w:pPr>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3.41–4.20</w:t>
            </w:r>
          </w:p>
        </w:tc>
        <w:tc>
          <w:tcPr>
            <w:tcW w:w="1386" w:type="dxa"/>
            <w:tcBorders>
              <w:top w:val="single" w:sz="4" w:space="0" w:color="auto"/>
              <w:left w:val="nil"/>
              <w:bottom w:val="nil"/>
              <w:right w:val="nil"/>
            </w:tcBorders>
          </w:tcPr>
          <w:p w14:paraId="138DD7BD" w14:textId="77777777" w:rsidR="001B39BA" w:rsidRPr="001B39BA" w:rsidRDefault="001B39BA" w:rsidP="00727735">
            <w:pPr>
              <w:spacing w:before="145"/>
              <w:ind w:left="96" w:right="29"/>
              <w:jc w:val="both"/>
              <w:rPr>
                <w:rFonts w:ascii="Arial" w:hAnsi="Arial" w:cs="Arial"/>
                <w:kern w:val="2"/>
                <w14:ligatures w14:val="standardContextual"/>
              </w:rPr>
            </w:pPr>
            <w:r w:rsidRPr="001B39BA">
              <w:rPr>
                <w:rFonts w:ascii="Arial" w:hAnsi="Arial" w:cs="Arial"/>
                <w:kern w:val="2"/>
                <w14:ligatures w14:val="standardContextual"/>
              </w:rPr>
              <w:t>Very</w:t>
            </w:r>
            <w:r w:rsidRPr="001B39BA">
              <w:rPr>
                <w:rFonts w:ascii="Arial" w:hAnsi="Arial" w:cs="Arial"/>
                <w:spacing w:val="1"/>
                <w:kern w:val="2"/>
                <w14:ligatures w14:val="standardContextual"/>
              </w:rPr>
              <w:t xml:space="preserve"> </w:t>
            </w:r>
            <w:r w:rsidRPr="001B39BA">
              <w:rPr>
                <w:rFonts w:ascii="Arial" w:hAnsi="Arial" w:cs="Arial"/>
                <w:spacing w:val="-4"/>
                <w:kern w:val="2"/>
                <w14:ligatures w14:val="standardContextual"/>
              </w:rPr>
              <w:t>High</w:t>
            </w:r>
          </w:p>
          <w:p w14:paraId="439A325F" w14:textId="77777777" w:rsidR="001B39BA" w:rsidRPr="001B39BA" w:rsidRDefault="001B39BA" w:rsidP="00727735">
            <w:pPr>
              <w:jc w:val="both"/>
              <w:rPr>
                <w:rFonts w:ascii="Arial" w:hAnsi="Arial" w:cs="Arial"/>
                <w:kern w:val="2"/>
                <w14:ligatures w14:val="standardContextual"/>
              </w:rPr>
            </w:pPr>
          </w:p>
          <w:p w14:paraId="0D8B2FA5" w14:textId="77777777" w:rsidR="001B39BA" w:rsidRPr="001B39BA" w:rsidRDefault="001B39BA" w:rsidP="00727735">
            <w:pPr>
              <w:jc w:val="both"/>
              <w:rPr>
                <w:rFonts w:ascii="Arial" w:hAnsi="Arial" w:cs="Arial"/>
                <w:kern w:val="2"/>
                <w14:ligatures w14:val="standardContextual"/>
              </w:rPr>
            </w:pPr>
          </w:p>
          <w:p w14:paraId="2FAF8B35" w14:textId="77777777" w:rsidR="001B39BA" w:rsidRPr="001B39BA" w:rsidRDefault="001B39BA" w:rsidP="00727735">
            <w:pPr>
              <w:jc w:val="both"/>
              <w:rPr>
                <w:rFonts w:ascii="Arial" w:hAnsi="Arial" w:cs="Arial"/>
                <w:kern w:val="2"/>
                <w14:ligatures w14:val="standardContextual"/>
              </w:rPr>
            </w:pPr>
          </w:p>
          <w:p w14:paraId="7C7C47EB" w14:textId="77777777" w:rsidR="001B39BA" w:rsidRPr="001B39BA" w:rsidRDefault="001B39BA" w:rsidP="00727735">
            <w:pPr>
              <w:spacing w:before="49"/>
              <w:jc w:val="both"/>
              <w:rPr>
                <w:rFonts w:ascii="Arial" w:hAnsi="Arial" w:cs="Arial"/>
                <w:kern w:val="2"/>
                <w14:ligatures w14:val="standardContextual"/>
              </w:rPr>
            </w:pPr>
          </w:p>
          <w:p w14:paraId="46DFF024" w14:textId="77777777" w:rsidR="001B39BA" w:rsidRPr="001B39BA" w:rsidRDefault="001B39BA" w:rsidP="00727735">
            <w:pPr>
              <w:spacing w:before="49"/>
              <w:jc w:val="both"/>
              <w:rPr>
                <w:rFonts w:ascii="Arial" w:hAnsi="Arial" w:cs="Arial"/>
                <w:kern w:val="2"/>
                <w14:ligatures w14:val="standardContextual"/>
              </w:rPr>
            </w:pPr>
          </w:p>
          <w:p w14:paraId="180C72F7" w14:textId="77777777" w:rsidR="001B39BA" w:rsidRPr="001B39BA" w:rsidRDefault="001B39BA" w:rsidP="00727735">
            <w:pPr>
              <w:spacing w:before="49"/>
              <w:jc w:val="both"/>
              <w:rPr>
                <w:rFonts w:ascii="Arial" w:hAnsi="Arial" w:cs="Arial"/>
                <w:kern w:val="2"/>
                <w14:ligatures w14:val="standardContextual"/>
              </w:rPr>
            </w:pPr>
          </w:p>
          <w:p w14:paraId="30A33810" w14:textId="77777777" w:rsidR="001B39BA" w:rsidRPr="001B39BA" w:rsidRDefault="001B39BA" w:rsidP="00727735">
            <w:pPr>
              <w:ind w:left="96"/>
              <w:jc w:val="both"/>
              <w:rPr>
                <w:rFonts w:ascii="Arial" w:hAnsi="Arial" w:cs="Arial"/>
                <w:kern w:val="2"/>
                <w14:ligatures w14:val="standardContextual"/>
              </w:rPr>
            </w:pPr>
            <w:r w:rsidRPr="001B39BA">
              <w:rPr>
                <w:rFonts w:ascii="Arial" w:hAnsi="Arial" w:cs="Arial"/>
                <w:spacing w:val="-4"/>
                <w:kern w:val="2"/>
                <w14:ligatures w14:val="standardContextual"/>
              </w:rPr>
              <w:t>High</w:t>
            </w:r>
          </w:p>
        </w:tc>
        <w:tc>
          <w:tcPr>
            <w:tcW w:w="5015" w:type="dxa"/>
            <w:tcBorders>
              <w:top w:val="single" w:sz="4" w:space="0" w:color="auto"/>
              <w:left w:val="nil"/>
              <w:bottom w:val="nil"/>
              <w:right w:val="nil"/>
            </w:tcBorders>
          </w:tcPr>
          <w:p w14:paraId="00AA787C" w14:textId="77777777" w:rsidR="001B39BA" w:rsidRPr="001B39BA" w:rsidRDefault="001B39BA" w:rsidP="00727735">
            <w:pPr>
              <w:widowControl/>
              <w:autoSpaceDE/>
              <w:jc w:val="both"/>
              <w:rPr>
                <w:rFonts w:ascii="Arial" w:eastAsia="Calibri" w:hAnsi="Arial" w:cs="Arial"/>
                <w:kern w:val="2"/>
                <w:lang w:val="en-SG"/>
                <w14:ligatures w14:val="standardContextual"/>
              </w:rPr>
            </w:pPr>
          </w:p>
          <w:p w14:paraId="26DCE924" w14:textId="77777777" w:rsidR="001B39BA" w:rsidRPr="001B39BA" w:rsidRDefault="001B39BA" w:rsidP="00727735">
            <w:pPr>
              <w:widowControl/>
              <w:autoSpaceDE/>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Guidance counselors consistently demonstrate strong interpersonal skills as a work-specific characteristic, including effective communication, relational sensitivity, and the ability to build positive professional relationships.</w:t>
            </w:r>
          </w:p>
          <w:p w14:paraId="03E8D77C" w14:textId="77777777" w:rsidR="001B39BA" w:rsidRPr="001B39BA" w:rsidRDefault="001B39BA" w:rsidP="00727735">
            <w:pPr>
              <w:widowControl/>
              <w:autoSpaceDE/>
              <w:jc w:val="both"/>
              <w:rPr>
                <w:rFonts w:ascii="Arial" w:eastAsia="Calibri" w:hAnsi="Arial" w:cs="Arial"/>
                <w:kern w:val="2"/>
                <w:lang w:val="en-SG"/>
                <w14:ligatures w14:val="standardContextual"/>
              </w:rPr>
            </w:pPr>
          </w:p>
          <w:p w14:paraId="169F6104" w14:textId="77777777" w:rsidR="001B39BA" w:rsidRPr="001B39BA" w:rsidRDefault="001B39BA" w:rsidP="00727735">
            <w:pPr>
              <w:widowControl/>
              <w:autoSpaceDE/>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Guidance counselors frequently demonstrate interpersonal skills in their professional role, maintaining positive communication and constructive interactions with others.</w:t>
            </w:r>
          </w:p>
        </w:tc>
      </w:tr>
      <w:tr w:rsidR="001B39BA" w:rsidRPr="001B39BA" w14:paraId="0E7CFC29" w14:textId="77777777" w:rsidTr="003D246B">
        <w:trPr>
          <w:trHeight w:val="993"/>
        </w:trPr>
        <w:tc>
          <w:tcPr>
            <w:tcW w:w="805" w:type="dxa"/>
            <w:hideMark/>
          </w:tcPr>
          <w:p w14:paraId="3636C3C0" w14:textId="77777777" w:rsidR="001B39BA" w:rsidRPr="001B39BA" w:rsidRDefault="001B39BA" w:rsidP="00727735">
            <w:pPr>
              <w:spacing w:before="221"/>
              <w:ind w:left="427"/>
              <w:jc w:val="both"/>
              <w:rPr>
                <w:rFonts w:ascii="Arial" w:hAnsi="Arial" w:cs="Arial"/>
                <w:kern w:val="2"/>
                <w14:ligatures w14:val="standardContextual"/>
              </w:rPr>
            </w:pPr>
            <w:r w:rsidRPr="001B39BA">
              <w:rPr>
                <w:rFonts w:ascii="Arial" w:hAnsi="Arial" w:cs="Arial"/>
                <w:spacing w:val="-10"/>
                <w:kern w:val="2"/>
                <w14:ligatures w14:val="standardContextual"/>
              </w:rPr>
              <w:t>3</w:t>
            </w:r>
          </w:p>
        </w:tc>
        <w:tc>
          <w:tcPr>
            <w:tcW w:w="1158" w:type="dxa"/>
            <w:hideMark/>
          </w:tcPr>
          <w:p w14:paraId="6E005E76" w14:textId="77777777" w:rsidR="001B39BA" w:rsidRPr="001B39BA" w:rsidRDefault="001B39BA" w:rsidP="00727735">
            <w:pPr>
              <w:spacing w:before="221"/>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2.61–3.40</w:t>
            </w:r>
          </w:p>
        </w:tc>
        <w:tc>
          <w:tcPr>
            <w:tcW w:w="1386" w:type="dxa"/>
            <w:hideMark/>
          </w:tcPr>
          <w:p w14:paraId="1F34BA2C" w14:textId="77777777" w:rsidR="001B39BA" w:rsidRPr="001B39BA" w:rsidRDefault="001B39BA" w:rsidP="00727735">
            <w:pPr>
              <w:spacing w:before="221"/>
              <w:ind w:left="366"/>
              <w:jc w:val="both"/>
              <w:rPr>
                <w:rFonts w:ascii="Arial" w:hAnsi="Arial" w:cs="Arial"/>
                <w:kern w:val="2"/>
                <w14:ligatures w14:val="standardContextual"/>
              </w:rPr>
            </w:pPr>
            <w:r w:rsidRPr="001B39BA">
              <w:rPr>
                <w:rFonts w:ascii="Arial" w:hAnsi="Arial" w:cs="Arial"/>
                <w:spacing w:val="-2"/>
                <w:kern w:val="2"/>
                <w14:ligatures w14:val="standardContextual"/>
              </w:rPr>
              <w:t>Moderate</w:t>
            </w:r>
          </w:p>
        </w:tc>
        <w:tc>
          <w:tcPr>
            <w:tcW w:w="5015" w:type="dxa"/>
          </w:tcPr>
          <w:p w14:paraId="44D6F3A4" w14:textId="77777777" w:rsidR="001B39BA" w:rsidRPr="001B39BA" w:rsidRDefault="001B39BA" w:rsidP="00727735">
            <w:pPr>
              <w:widowControl/>
              <w:autoSpaceDE/>
              <w:jc w:val="both"/>
              <w:rPr>
                <w:rFonts w:ascii="Arial" w:eastAsia="Calibri" w:hAnsi="Arial" w:cs="Arial"/>
                <w:kern w:val="2"/>
                <w:lang w:val="en-SG"/>
                <w14:ligatures w14:val="standardContextual"/>
              </w:rPr>
            </w:pPr>
          </w:p>
          <w:p w14:paraId="054DA343" w14:textId="77777777" w:rsidR="001B39BA" w:rsidRPr="001B39BA" w:rsidRDefault="001B39BA" w:rsidP="00727735">
            <w:pPr>
              <w:widowControl/>
              <w:autoSpaceDE/>
              <w:jc w:val="both"/>
              <w:rPr>
                <w:rFonts w:ascii="Arial" w:hAnsi="Arial" w:cs="Arial"/>
                <w:kern w:val="2"/>
                <w14:ligatures w14:val="standardContextual"/>
              </w:rPr>
            </w:pPr>
            <w:r w:rsidRPr="001B39BA">
              <w:rPr>
                <w:rFonts w:ascii="Arial" w:eastAsia="Calibri" w:hAnsi="Arial" w:cs="Arial"/>
                <w:kern w:val="2"/>
                <w:lang w:val="en-SG"/>
                <w14:ligatures w14:val="standardContextual"/>
              </w:rPr>
              <w:t>Guidance counselors sometimes demonstrate interpersonal skills as part of their work-related characteristics; however, the effectiveness of their interactions may vary across situations.</w:t>
            </w:r>
          </w:p>
        </w:tc>
      </w:tr>
      <w:tr w:rsidR="001B39BA" w:rsidRPr="001B39BA" w14:paraId="7AC39FFE" w14:textId="77777777" w:rsidTr="003D246B">
        <w:trPr>
          <w:trHeight w:val="1002"/>
        </w:trPr>
        <w:tc>
          <w:tcPr>
            <w:tcW w:w="805" w:type="dxa"/>
            <w:hideMark/>
          </w:tcPr>
          <w:p w14:paraId="6BE27AEC" w14:textId="77777777" w:rsidR="001B39BA" w:rsidRPr="001B39BA" w:rsidRDefault="001B39BA" w:rsidP="00727735">
            <w:pPr>
              <w:spacing w:before="152"/>
              <w:ind w:left="427"/>
              <w:jc w:val="both"/>
              <w:rPr>
                <w:rFonts w:ascii="Arial" w:hAnsi="Arial" w:cs="Arial"/>
                <w:kern w:val="2"/>
                <w14:ligatures w14:val="standardContextual"/>
              </w:rPr>
            </w:pPr>
            <w:r w:rsidRPr="001B39BA">
              <w:rPr>
                <w:rFonts w:ascii="Arial" w:hAnsi="Arial" w:cs="Arial"/>
                <w:spacing w:val="-10"/>
                <w:kern w:val="2"/>
                <w14:ligatures w14:val="standardContextual"/>
              </w:rPr>
              <w:t>2</w:t>
            </w:r>
          </w:p>
        </w:tc>
        <w:tc>
          <w:tcPr>
            <w:tcW w:w="1158" w:type="dxa"/>
            <w:hideMark/>
          </w:tcPr>
          <w:p w14:paraId="6A929B41" w14:textId="77777777" w:rsidR="001B39BA" w:rsidRPr="001B39BA" w:rsidRDefault="001B39BA" w:rsidP="00727735">
            <w:pPr>
              <w:spacing w:before="152"/>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1.81–2.60</w:t>
            </w:r>
          </w:p>
        </w:tc>
        <w:tc>
          <w:tcPr>
            <w:tcW w:w="1386" w:type="dxa"/>
            <w:hideMark/>
          </w:tcPr>
          <w:p w14:paraId="155AFFA2" w14:textId="77777777" w:rsidR="001B39BA" w:rsidRPr="001B39BA" w:rsidRDefault="001B39BA" w:rsidP="00727735">
            <w:pPr>
              <w:spacing w:before="152"/>
              <w:ind w:left="366"/>
              <w:jc w:val="both"/>
              <w:rPr>
                <w:rFonts w:ascii="Arial" w:hAnsi="Arial" w:cs="Arial"/>
                <w:kern w:val="2"/>
                <w14:ligatures w14:val="standardContextual"/>
              </w:rPr>
            </w:pPr>
            <w:r w:rsidRPr="001B39BA">
              <w:rPr>
                <w:rFonts w:ascii="Arial" w:hAnsi="Arial" w:cs="Arial"/>
                <w:spacing w:val="-5"/>
                <w:kern w:val="2"/>
                <w14:ligatures w14:val="standardContextual"/>
              </w:rPr>
              <w:t>Low</w:t>
            </w:r>
          </w:p>
        </w:tc>
        <w:tc>
          <w:tcPr>
            <w:tcW w:w="5015" w:type="dxa"/>
          </w:tcPr>
          <w:p w14:paraId="5F0D965B" w14:textId="77777777" w:rsidR="001B39BA" w:rsidRPr="001B39BA" w:rsidRDefault="001B39BA" w:rsidP="00727735">
            <w:pPr>
              <w:widowControl/>
              <w:autoSpaceDE/>
              <w:jc w:val="both"/>
              <w:rPr>
                <w:rFonts w:ascii="Arial" w:eastAsia="Calibri" w:hAnsi="Arial" w:cs="Arial"/>
                <w:kern w:val="2"/>
                <w:lang w:val="en-SG"/>
                <w14:ligatures w14:val="standardContextual"/>
              </w:rPr>
            </w:pPr>
          </w:p>
          <w:p w14:paraId="274E1D37" w14:textId="77777777" w:rsidR="001B39BA" w:rsidRPr="001B39BA" w:rsidRDefault="001B39BA" w:rsidP="00727735">
            <w:pPr>
              <w:widowControl/>
              <w:autoSpaceDE/>
              <w:jc w:val="both"/>
              <w:rPr>
                <w:rFonts w:ascii="Arial" w:hAnsi="Arial" w:cs="Arial"/>
                <w:kern w:val="2"/>
                <w14:ligatures w14:val="standardContextual"/>
              </w:rPr>
            </w:pPr>
            <w:r w:rsidRPr="001B39BA">
              <w:rPr>
                <w:rFonts w:ascii="Arial" w:eastAsia="Calibri" w:hAnsi="Arial" w:cs="Arial"/>
                <w:kern w:val="2"/>
                <w:lang w:val="en-SG"/>
                <w14:ligatures w14:val="standardContextual"/>
              </w:rPr>
              <w:t>Guidance counselors seldom demonstrate interpersonal skills as a work-specific characteristic, indicating limited effectiveness in professional communication and interactions.</w:t>
            </w:r>
          </w:p>
        </w:tc>
      </w:tr>
      <w:tr w:rsidR="001B39BA" w:rsidRPr="001B39BA" w14:paraId="4665265D" w14:textId="77777777" w:rsidTr="003D246B">
        <w:trPr>
          <w:trHeight w:val="837"/>
        </w:trPr>
        <w:tc>
          <w:tcPr>
            <w:tcW w:w="805" w:type="dxa"/>
            <w:tcBorders>
              <w:top w:val="nil"/>
              <w:left w:val="nil"/>
              <w:bottom w:val="single" w:sz="4" w:space="0" w:color="auto"/>
              <w:right w:val="nil"/>
            </w:tcBorders>
          </w:tcPr>
          <w:p w14:paraId="3DDDCB62" w14:textId="77777777" w:rsidR="001B39BA" w:rsidRPr="001B39BA" w:rsidRDefault="001B39BA" w:rsidP="00727735">
            <w:pPr>
              <w:spacing w:before="52"/>
              <w:jc w:val="both"/>
              <w:rPr>
                <w:rFonts w:ascii="Arial" w:hAnsi="Arial" w:cs="Arial"/>
                <w:kern w:val="2"/>
                <w14:ligatures w14:val="standardContextual"/>
              </w:rPr>
            </w:pPr>
          </w:p>
          <w:p w14:paraId="00D04F0A" w14:textId="77777777" w:rsidR="001B39BA" w:rsidRPr="001B39BA" w:rsidRDefault="001B39BA" w:rsidP="00727735">
            <w:pPr>
              <w:ind w:left="427"/>
              <w:jc w:val="both"/>
              <w:rPr>
                <w:rFonts w:ascii="Arial" w:hAnsi="Arial" w:cs="Arial"/>
                <w:kern w:val="2"/>
                <w14:ligatures w14:val="standardContextual"/>
              </w:rPr>
            </w:pPr>
            <w:r w:rsidRPr="001B39BA">
              <w:rPr>
                <w:rFonts w:ascii="Arial" w:hAnsi="Arial" w:cs="Arial"/>
                <w:spacing w:val="-10"/>
                <w:kern w:val="2"/>
                <w14:ligatures w14:val="standardContextual"/>
              </w:rPr>
              <w:t>1</w:t>
            </w:r>
          </w:p>
        </w:tc>
        <w:tc>
          <w:tcPr>
            <w:tcW w:w="1158" w:type="dxa"/>
            <w:tcBorders>
              <w:top w:val="nil"/>
              <w:left w:val="nil"/>
              <w:bottom w:val="single" w:sz="4" w:space="0" w:color="auto"/>
              <w:right w:val="nil"/>
            </w:tcBorders>
          </w:tcPr>
          <w:p w14:paraId="5274DD57" w14:textId="77777777" w:rsidR="001B39BA" w:rsidRPr="001B39BA" w:rsidRDefault="001B39BA" w:rsidP="00727735">
            <w:pPr>
              <w:spacing w:before="52"/>
              <w:jc w:val="both"/>
              <w:rPr>
                <w:rFonts w:ascii="Arial" w:hAnsi="Arial" w:cs="Arial"/>
                <w:kern w:val="2"/>
                <w14:ligatures w14:val="standardContextual"/>
              </w:rPr>
            </w:pPr>
          </w:p>
          <w:p w14:paraId="685C40F9" w14:textId="77777777" w:rsidR="001B39BA" w:rsidRPr="001B39BA" w:rsidRDefault="001B39BA" w:rsidP="00727735">
            <w:pPr>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1.00–1.80</w:t>
            </w:r>
          </w:p>
        </w:tc>
        <w:tc>
          <w:tcPr>
            <w:tcW w:w="1386" w:type="dxa"/>
            <w:tcBorders>
              <w:top w:val="nil"/>
              <w:left w:val="nil"/>
              <w:bottom w:val="single" w:sz="4" w:space="0" w:color="auto"/>
              <w:right w:val="nil"/>
            </w:tcBorders>
          </w:tcPr>
          <w:p w14:paraId="36358B1E" w14:textId="77777777" w:rsidR="001B39BA" w:rsidRPr="001B39BA" w:rsidRDefault="001B39BA" w:rsidP="00727735">
            <w:pPr>
              <w:spacing w:before="52"/>
              <w:jc w:val="both"/>
              <w:rPr>
                <w:rFonts w:ascii="Arial" w:hAnsi="Arial" w:cs="Arial"/>
                <w:kern w:val="2"/>
                <w14:ligatures w14:val="standardContextual"/>
              </w:rPr>
            </w:pPr>
          </w:p>
          <w:p w14:paraId="3F26BEA3" w14:textId="77777777" w:rsidR="001B39BA" w:rsidRPr="001B39BA" w:rsidRDefault="001B39BA" w:rsidP="00727735">
            <w:pPr>
              <w:ind w:left="366"/>
              <w:jc w:val="both"/>
              <w:rPr>
                <w:rFonts w:ascii="Arial" w:hAnsi="Arial" w:cs="Arial"/>
                <w:kern w:val="2"/>
                <w14:ligatures w14:val="standardContextual"/>
              </w:rPr>
            </w:pPr>
            <w:r w:rsidRPr="001B39BA">
              <w:rPr>
                <w:rFonts w:ascii="Arial" w:hAnsi="Arial" w:cs="Arial"/>
                <w:kern w:val="2"/>
                <w14:ligatures w14:val="standardContextual"/>
              </w:rPr>
              <w:t>Very</w:t>
            </w:r>
            <w:r w:rsidRPr="001B39BA">
              <w:rPr>
                <w:rFonts w:ascii="Arial" w:hAnsi="Arial" w:cs="Arial"/>
                <w:spacing w:val="1"/>
                <w:kern w:val="2"/>
                <w14:ligatures w14:val="standardContextual"/>
              </w:rPr>
              <w:t xml:space="preserve"> </w:t>
            </w:r>
            <w:r w:rsidRPr="001B39BA">
              <w:rPr>
                <w:rFonts w:ascii="Arial" w:hAnsi="Arial" w:cs="Arial"/>
                <w:spacing w:val="-5"/>
                <w:kern w:val="2"/>
                <w14:ligatures w14:val="standardContextual"/>
              </w:rPr>
              <w:t>Low</w:t>
            </w:r>
          </w:p>
        </w:tc>
        <w:tc>
          <w:tcPr>
            <w:tcW w:w="5015" w:type="dxa"/>
            <w:tcBorders>
              <w:top w:val="nil"/>
              <w:left w:val="nil"/>
              <w:bottom w:val="single" w:sz="4" w:space="0" w:color="auto"/>
              <w:right w:val="nil"/>
            </w:tcBorders>
          </w:tcPr>
          <w:p w14:paraId="4C6C4AA8" w14:textId="77777777" w:rsidR="001B39BA" w:rsidRPr="001B39BA" w:rsidRDefault="001B39BA" w:rsidP="00727735">
            <w:pPr>
              <w:widowControl/>
              <w:autoSpaceDE/>
              <w:jc w:val="both"/>
              <w:rPr>
                <w:rFonts w:ascii="Arial" w:eastAsia="Calibri" w:hAnsi="Arial" w:cs="Arial"/>
                <w:kern w:val="2"/>
                <w:lang w:val="en-SG"/>
                <w14:ligatures w14:val="standardContextual"/>
              </w:rPr>
            </w:pPr>
          </w:p>
          <w:p w14:paraId="7178E7E5" w14:textId="77777777" w:rsidR="001B39BA" w:rsidRPr="001B39BA" w:rsidRDefault="001B39BA" w:rsidP="00727735">
            <w:pPr>
              <w:widowControl/>
              <w:autoSpaceDE/>
              <w:jc w:val="both"/>
              <w:rPr>
                <w:rFonts w:ascii="Arial" w:eastAsia="Calibri" w:hAnsi="Arial" w:cs="Arial"/>
                <w:kern w:val="2"/>
                <w14:ligatures w14:val="standardContextual"/>
              </w:rPr>
            </w:pPr>
            <w:r w:rsidRPr="001B39BA">
              <w:rPr>
                <w:rFonts w:ascii="Arial" w:eastAsia="Calibri" w:hAnsi="Arial" w:cs="Arial"/>
                <w:kern w:val="2"/>
                <w:lang w:val="en-SG"/>
                <w14:ligatures w14:val="standardContextual"/>
              </w:rPr>
              <w:t>Guidance counselors rarely demonstrate interpersonal skills in their professional role, suggesting limited ability to maintain effective, constructive interactions.</w:t>
            </w:r>
          </w:p>
        </w:tc>
      </w:tr>
    </w:tbl>
    <w:p w14:paraId="317DA676"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3C67CD31" w14:textId="77777777" w:rsidR="001B39BA" w:rsidRPr="001B39BA" w:rsidRDefault="001B39BA" w:rsidP="001B39BA">
      <w:pPr>
        <w:spacing w:before="161" w:line="360" w:lineRule="auto"/>
        <w:ind w:firstLine="720"/>
        <w:jc w:val="both"/>
        <w:rPr>
          <w:rFonts w:ascii="Arial" w:eastAsia="Calibri" w:hAnsi="Arial" w:cs="Arial"/>
          <w:lang w:val="en-SG"/>
        </w:rPr>
      </w:pPr>
      <w:r w:rsidRPr="001B39BA">
        <w:rPr>
          <w:rFonts w:ascii="Arial" w:eastAsia="Calibri" w:hAnsi="Arial" w:cs="Arial"/>
          <w:lang w:val="en-SG"/>
        </w:rPr>
        <w:t xml:space="preserve">Self-compassion is the </w:t>
      </w:r>
      <w:r w:rsidRPr="001B39BA">
        <w:rPr>
          <w:rFonts w:ascii="Arial" w:hAnsi="Arial" w:cs="Arial"/>
        </w:rPr>
        <w:t xml:space="preserve">guidance </w:t>
      </w:r>
      <w:r w:rsidRPr="001B39BA">
        <w:rPr>
          <w:rFonts w:ascii="Arial" w:eastAsia="Calibri" w:hAnsi="Arial" w:cs="Arial"/>
          <w:lang w:val="en-SG"/>
        </w:rPr>
        <w:t xml:space="preserve">counselor’s ability to demonstrate kindness, understanding, and emotional balance when facing professional challenges. This characteristic supports psychological well-being and helps sustain effective counseling </w:t>
      </w:r>
      <w:r w:rsidRPr="001B39BA">
        <w:rPr>
          <w:rFonts w:ascii="Arial" w:eastAsia="Calibri" w:hAnsi="Arial" w:cs="Arial"/>
          <w:lang w:val="en-SG"/>
        </w:rPr>
        <w:lastRenderedPageBreak/>
        <w:t>practice.</w:t>
      </w:r>
    </w:p>
    <w:p w14:paraId="75379FD9"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 xml:space="preserve">Meanwhile, the higher scores indicated a strong ability to maintain emotional balance and self-understanding, while lower scores suggested difficulty in managing professional stress. The reliability coefficient for this dimension was α = 0.901, indicating excellent internal consistency (Hair Jr. et al., 2019). </w:t>
      </w:r>
    </w:p>
    <w:p w14:paraId="71FC39DF"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74450B88" w14:textId="77777777" w:rsidR="001B39BA" w:rsidRPr="001B39BA" w:rsidRDefault="001B39BA" w:rsidP="001B39BA">
      <w:pPr>
        <w:spacing w:line="360" w:lineRule="auto"/>
        <w:jc w:val="both"/>
        <w:rPr>
          <w:rFonts w:ascii="Arial" w:hAnsi="Arial" w:cs="Arial"/>
          <w:spacing w:val="-2"/>
        </w:rPr>
      </w:pPr>
      <w:r w:rsidRPr="001B39BA">
        <w:rPr>
          <w:rFonts w:ascii="Arial" w:hAnsi="Arial" w:cs="Arial"/>
        </w:rPr>
        <w:t>Scale</w:t>
      </w:r>
      <w:r w:rsidRPr="001B39BA">
        <w:rPr>
          <w:rFonts w:ascii="Arial" w:hAnsi="Arial" w:cs="Arial"/>
          <w:spacing w:val="-8"/>
        </w:rPr>
        <w:t xml:space="preserve"> </w:t>
      </w:r>
      <w:r w:rsidRPr="001B39BA">
        <w:rPr>
          <w:rFonts w:ascii="Arial" w:hAnsi="Arial" w:cs="Arial"/>
        </w:rPr>
        <w:t>on</w:t>
      </w:r>
      <w:r w:rsidRPr="001B39BA">
        <w:rPr>
          <w:rFonts w:ascii="Arial" w:hAnsi="Arial" w:cs="Arial"/>
          <w:spacing w:val="-2"/>
        </w:rPr>
        <w:t xml:space="preserve"> </w:t>
      </w:r>
      <w:r w:rsidRPr="001B39BA">
        <w:rPr>
          <w:rFonts w:ascii="Arial" w:hAnsi="Arial" w:cs="Arial"/>
        </w:rPr>
        <w:t>Guidance</w:t>
      </w:r>
      <w:r w:rsidRPr="001B39BA">
        <w:rPr>
          <w:rFonts w:ascii="Arial" w:hAnsi="Arial" w:cs="Arial"/>
          <w:spacing w:val="-3"/>
        </w:rPr>
        <w:t xml:space="preserve"> </w:t>
      </w:r>
      <w:r w:rsidRPr="001B39BA">
        <w:rPr>
          <w:rFonts w:ascii="Arial" w:hAnsi="Arial" w:cs="Arial"/>
        </w:rPr>
        <w:t>Counselor’s</w:t>
      </w:r>
      <w:r w:rsidRPr="001B39BA">
        <w:rPr>
          <w:rFonts w:ascii="Arial" w:hAnsi="Arial" w:cs="Arial"/>
          <w:spacing w:val="-8"/>
        </w:rPr>
        <w:t xml:space="preserve"> </w:t>
      </w:r>
      <w:r w:rsidRPr="001B39BA">
        <w:rPr>
          <w:rFonts w:ascii="Arial" w:hAnsi="Arial" w:cs="Arial"/>
        </w:rPr>
        <w:t>Work-specific</w:t>
      </w:r>
      <w:r w:rsidRPr="001B39BA">
        <w:rPr>
          <w:rFonts w:ascii="Arial" w:hAnsi="Arial" w:cs="Arial"/>
          <w:spacing w:val="-9"/>
        </w:rPr>
        <w:t xml:space="preserve"> </w:t>
      </w:r>
      <w:r w:rsidRPr="001B39BA">
        <w:rPr>
          <w:rFonts w:ascii="Arial" w:hAnsi="Arial" w:cs="Arial"/>
          <w:spacing w:val="-2"/>
        </w:rPr>
        <w:t>Characteristics in terms of Self-Compassion</w:t>
      </w:r>
    </w:p>
    <w:tbl>
      <w:tblPr>
        <w:tblW w:w="8640" w:type="dxa"/>
        <w:tblLayout w:type="fixed"/>
        <w:tblCellMar>
          <w:left w:w="0" w:type="dxa"/>
          <w:right w:w="0" w:type="dxa"/>
        </w:tblCellMar>
        <w:tblLook w:val="01E0" w:firstRow="1" w:lastRow="1" w:firstColumn="1" w:lastColumn="1" w:noHBand="0" w:noVBand="0"/>
      </w:tblPr>
      <w:tblGrid>
        <w:gridCol w:w="804"/>
        <w:gridCol w:w="1157"/>
        <w:gridCol w:w="1385"/>
        <w:gridCol w:w="5294"/>
      </w:tblGrid>
      <w:tr w:rsidR="001B39BA" w:rsidRPr="001B39BA" w14:paraId="79A15F33" w14:textId="77777777" w:rsidTr="003D246B">
        <w:trPr>
          <w:trHeight w:val="605"/>
        </w:trPr>
        <w:tc>
          <w:tcPr>
            <w:tcW w:w="804" w:type="dxa"/>
            <w:tcBorders>
              <w:top w:val="single" w:sz="12" w:space="0" w:color="000000"/>
              <w:left w:val="nil"/>
              <w:bottom w:val="single" w:sz="4" w:space="0" w:color="auto"/>
              <w:right w:val="nil"/>
            </w:tcBorders>
            <w:hideMark/>
          </w:tcPr>
          <w:p w14:paraId="6105292E" w14:textId="77777777" w:rsidR="001B39BA" w:rsidRPr="001B39BA" w:rsidRDefault="001B39BA" w:rsidP="003D246B">
            <w:pPr>
              <w:spacing w:before="12"/>
              <w:ind w:left="172"/>
              <w:jc w:val="both"/>
              <w:rPr>
                <w:rFonts w:ascii="Arial" w:hAnsi="Arial" w:cs="Arial"/>
                <w:kern w:val="2"/>
                <w14:ligatures w14:val="standardContextual"/>
              </w:rPr>
            </w:pPr>
            <w:r w:rsidRPr="001B39BA">
              <w:rPr>
                <w:rFonts w:ascii="Arial" w:hAnsi="Arial" w:cs="Arial"/>
                <w:spacing w:val="-2"/>
                <w:kern w:val="2"/>
                <w14:ligatures w14:val="standardContextual"/>
              </w:rPr>
              <w:t>Scale</w:t>
            </w:r>
          </w:p>
        </w:tc>
        <w:tc>
          <w:tcPr>
            <w:tcW w:w="1157" w:type="dxa"/>
            <w:tcBorders>
              <w:top w:val="single" w:sz="12" w:space="0" w:color="000000"/>
              <w:left w:val="nil"/>
              <w:bottom w:val="single" w:sz="4" w:space="0" w:color="auto"/>
              <w:right w:val="nil"/>
            </w:tcBorders>
            <w:hideMark/>
          </w:tcPr>
          <w:p w14:paraId="1E09A679" w14:textId="77777777" w:rsidR="001B39BA" w:rsidRPr="001B39BA" w:rsidRDefault="001B39BA" w:rsidP="003D246B">
            <w:pPr>
              <w:spacing w:before="12"/>
              <w:ind w:left="126"/>
              <w:jc w:val="both"/>
              <w:rPr>
                <w:rFonts w:ascii="Arial" w:hAnsi="Arial" w:cs="Arial"/>
                <w:kern w:val="2"/>
                <w14:ligatures w14:val="standardContextual"/>
              </w:rPr>
            </w:pPr>
            <w:r w:rsidRPr="001B39BA">
              <w:rPr>
                <w:rFonts w:ascii="Arial" w:hAnsi="Arial" w:cs="Arial"/>
                <w:spacing w:val="-4"/>
                <w:kern w:val="2"/>
                <w14:ligatures w14:val="standardContextual"/>
              </w:rPr>
              <w:t>Mean</w:t>
            </w:r>
          </w:p>
        </w:tc>
        <w:tc>
          <w:tcPr>
            <w:tcW w:w="1385" w:type="dxa"/>
            <w:tcBorders>
              <w:top w:val="single" w:sz="12" w:space="0" w:color="000000"/>
              <w:left w:val="nil"/>
              <w:bottom w:val="single" w:sz="4" w:space="0" w:color="auto"/>
              <w:right w:val="nil"/>
            </w:tcBorders>
            <w:hideMark/>
          </w:tcPr>
          <w:p w14:paraId="734444D9" w14:textId="77777777" w:rsidR="001B39BA" w:rsidRPr="001B39BA" w:rsidRDefault="001B39BA" w:rsidP="003D246B">
            <w:pPr>
              <w:spacing w:before="12"/>
              <w:ind w:left="198"/>
              <w:jc w:val="both"/>
              <w:rPr>
                <w:rFonts w:ascii="Arial" w:hAnsi="Arial" w:cs="Arial"/>
                <w:kern w:val="2"/>
                <w14:ligatures w14:val="standardContextual"/>
              </w:rPr>
            </w:pPr>
            <w:r w:rsidRPr="001B39BA">
              <w:rPr>
                <w:rFonts w:ascii="Arial" w:hAnsi="Arial" w:cs="Arial"/>
                <w:spacing w:val="-2"/>
                <w:kern w:val="2"/>
                <w14:ligatures w14:val="standardContextual"/>
              </w:rPr>
              <w:t>Verbal</w:t>
            </w:r>
          </w:p>
          <w:p w14:paraId="1D123152" w14:textId="77777777" w:rsidR="001B39BA" w:rsidRPr="001B39BA" w:rsidRDefault="001B39BA" w:rsidP="003D246B">
            <w:pPr>
              <w:tabs>
                <w:tab w:val="left" w:pos="6271"/>
              </w:tabs>
              <w:spacing w:before="4"/>
              <w:ind w:left="-1963" w:right="-4896"/>
              <w:jc w:val="both"/>
              <w:rPr>
                <w:rFonts w:ascii="Arial" w:hAnsi="Arial" w:cs="Arial"/>
                <w:kern w:val="2"/>
                <w14:ligatures w14:val="standardContextual"/>
              </w:rPr>
            </w:pPr>
            <w:r w:rsidRPr="001B39BA">
              <w:rPr>
                <w:rFonts w:ascii="Arial" w:hAnsi="Arial" w:cs="Arial"/>
                <w:spacing w:val="70"/>
                <w:w w:val="150"/>
                <w:kern w:val="2"/>
                <w14:ligatures w14:val="standardContextual"/>
              </w:rPr>
              <w:t xml:space="preserve">              </w:t>
            </w:r>
            <w:r w:rsidRPr="001B39BA">
              <w:rPr>
                <w:rFonts w:ascii="Arial" w:hAnsi="Arial" w:cs="Arial"/>
                <w:spacing w:val="-2"/>
                <w:kern w:val="2"/>
                <w14:ligatures w14:val="standardContextual"/>
              </w:rPr>
              <w:t>Description</w:t>
            </w:r>
            <w:r w:rsidRPr="001B39BA">
              <w:rPr>
                <w:rFonts w:ascii="Arial" w:hAnsi="Arial" w:cs="Arial"/>
                <w:kern w:val="2"/>
                <w14:ligatures w14:val="standardContextual"/>
              </w:rPr>
              <w:tab/>
            </w:r>
          </w:p>
        </w:tc>
        <w:tc>
          <w:tcPr>
            <w:tcW w:w="5294" w:type="dxa"/>
            <w:tcBorders>
              <w:top w:val="single" w:sz="12" w:space="0" w:color="000000"/>
              <w:left w:val="nil"/>
              <w:bottom w:val="single" w:sz="4" w:space="0" w:color="auto"/>
              <w:right w:val="nil"/>
            </w:tcBorders>
            <w:hideMark/>
          </w:tcPr>
          <w:p w14:paraId="5DFACD43" w14:textId="77777777" w:rsidR="001B39BA" w:rsidRPr="001B39BA" w:rsidRDefault="001B39BA" w:rsidP="003D246B">
            <w:pPr>
              <w:spacing w:before="12"/>
              <w:ind w:left="170"/>
              <w:jc w:val="both"/>
              <w:rPr>
                <w:rFonts w:ascii="Arial" w:hAnsi="Arial" w:cs="Arial"/>
                <w:kern w:val="2"/>
                <w14:ligatures w14:val="standardContextual"/>
              </w:rPr>
            </w:pPr>
            <w:r w:rsidRPr="001B39BA">
              <w:rPr>
                <w:rFonts w:ascii="Arial" w:hAnsi="Arial" w:cs="Arial"/>
                <w:kern w:val="2"/>
                <w14:ligatures w14:val="standardContextual"/>
              </w:rPr>
              <w:t>Descriptive</w:t>
            </w:r>
            <w:r w:rsidRPr="001B39BA">
              <w:rPr>
                <w:rFonts w:ascii="Arial" w:hAnsi="Arial" w:cs="Arial"/>
                <w:spacing w:val="-10"/>
                <w:kern w:val="2"/>
                <w14:ligatures w14:val="standardContextual"/>
              </w:rPr>
              <w:t xml:space="preserve"> </w:t>
            </w:r>
            <w:r w:rsidRPr="001B39BA">
              <w:rPr>
                <w:rFonts w:ascii="Arial" w:hAnsi="Arial" w:cs="Arial"/>
                <w:spacing w:val="-2"/>
                <w:kern w:val="2"/>
                <w14:ligatures w14:val="standardContextual"/>
              </w:rPr>
              <w:t>Interpretation</w:t>
            </w:r>
          </w:p>
        </w:tc>
      </w:tr>
      <w:tr w:rsidR="001B39BA" w:rsidRPr="001B39BA" w14:paraId="225D406E" w14:textId="77777777" w:rsidTr="003D246B">
        <w:trPr>
          <w:trHeight w:val="1960"/>
        </w:trPr>
        <w:tc>
          <w:tcPr>
            <w:tcW w:w="804" w:type="dxa"/>
            <w:tcBorders>
              <w:top w:val="single" w:sz="4" w:space="0" w:color="auto"/>
              <w:left w:val="nil"/>
              <w:bottom w:val="nil"/>
              <w:right w:val="nil"/>
            </w:tcBorders>
          </w:tcPr>
          <w:p w14:paraId="3ECE1BE4" w14:textId="77777777" w:rsidR="001B39BA" w:rsidRPr="001B39BA" w:rsidRDefault="001B39BA" w:rsidP="003D246B">
            <w:pPr>
              <w:spacing w:before="145"/>
              <w:ind w:left="161"/>
              <w:jc w:val="both"/>
              <w:rPr>
                <w:rFonts w:ascii="Arial" w:hAnsi="Arial" w:cs="Arial"/>
                <w:kern w:val="2"/>
                <w14:ligatures w14:val="standardContextual"/>
              </w:rPr>
            </w:pPr>
            <w:r w:rsidRPr="001B39BA">
              <w:rPr>
                <w:rFonts w:ascii="Arial" w:hAnsi="Arial" w:cs="Arial"/>
                <w:spacing w:val="-10"/>
                <w:kern w:val="2"/>
                <w14:ligatures w14:val="standardContextual"/>
              </w:rPr>
              <w:t>5</w:t>
            </w:r>
          </w:p>
          <w:p w14:paraId="0410D71E" w14:textId="77777777" w:rsidR="001B39BA" w:rsidRPr="001B39BA" w:rsidRDefault="001B39BA" w:rsidP="003D246B">
            <w:pPr>
              <w:jc w:val="both"/>
              <w:rPr>
                <w:rFonts w:ascii="Arial" w:hAnsi="Arial" w:cs="Arial"/>
                <w:kern w:val="2"/>
                <w14:ligatures w14:val="standardContextual"/>
              </w:rPr>
            </w:pPr>
          </w:p>
          <w:p w14:paraId="151952D9" w14:textId="77777777" w:rsidR="001B39BA" w:rsidRPr="001B39BA" w:rsidRDefault="001B39BA" w:rsidP="003D246B">
            <w:pPr>
              <w:jc w:val="both"/>
              <w:rPr>
                <w:rFonts w:ascii="Arial" w:hAnsi="Arial" w:cs="Arial"/>
                <w:kern w:val="2"/>
                <w14:ligatures w14:val="standardContextual"/>
              </w:rPr>
            </w:pPr>
          </w:p>
          <w:p w14:paraId="078C041C" w14:textId="77777777" w:rsidR="001B39BA" w:rsidRPr="001B39BA" w:rsidRDefault="001B39BA" w:rsidP="003D246B">
            <w:pPr>
              <w:jc w:val="both"/>
              <w:rPr>
                <w:rFonts w:ascii="Arial" w:hAnsi="Arial" w:cs="Arial"/>
                <w:kern w:val="2"/>
                <w14:ligatures w14:val="standardContextual"/>
              </w:rPr>
            </w:pPr>
          </w:p>
          <w:p w14:paraId="21865F45" w14:textId="77777777" w:rsidR="001B39BA" w:rsidRPr="001B39BA" w:rsidRDefault="001B39BA" w:rsidP="003D246B">
            <w:pPr>
              <w:spacing w:before="49"/>
              <w:jc w:val="both"/>
              <w:rPr>
                <w:rFonts w:ascii="Arial" w:hAnsi="Arial" w:cs="Arial"/>
                <w:kern w:val="2"/>
                <w14:ligatures w14:val="standardContextual"/>
              </w:rPr>
            </w:pPr>
          </w:p>
          <w:p w14:paraId="3B019D47" w14:textId="77777777" w:rsidR="001B39BA" w:rsidRPr="001B39BA" w:rsidRDefault="001B39BA" w:rsidP="003D246B">
            <w:pPr>
              <w:ind w:left="161" w:right="58"/>
              <w:jc w:val="both"/>
              <w:rPr>
                <w:rFonts w:ascii="Arial" w:hAnsi="Arial" w:cs="Arial"/>
                <w:spacing w:val="-10"/>
                <w:kern w:val="2"/>
                <w14:ligatures w14:val="standardContextual"/>
              </w:rPr>
            </w:pPr>
          </w:p>
          <w:p w14:paraId="47FB8402" w14:textId="77777777" w:rsidR="001B39BA" w:rsidRPr="001B39BA" w:rsidRDefault="001B39BA" w:rsidP="003D246B">
            <w:pPr>
              <w:ind w:left="161" w:right="58"/>
              <w:jc w:val="both"/>
              <w:rPr>
                <w:rFonts w:ascii="Arial" w:hAnsi="Arial" w:cs="Arial"/>
                <w:kern w:val="2"/>
                <w14:ligatures w14:val="standardContextual"/>
              </w:rPr>
            </w:pPr>
            <w:r w:rsidRPr="001B39BA">
              <w:rPr>
                <w:rFonts w:ascii="Arial" w:hAnsi="Arial" w:cs="Arial"/>
                <w:spacing w:val="-10"/>
                <w:kern w:val="2"/>
                <w14:ligatures w14:val="standardContextual"/>
              </w:rPr>
              <w:t>4</w:t>
            </w:r>
          </w:p>
        </w:tc>
        <w:tc>
          <w:tcPr>
            <w:tcW w:w="1157" w:type="dxa"/>
            <w:tcBorders>
              <w:top w:val="single" w:sz="4" w:space="0" w:color="auto"/>
              <w:left w:val="nil"/>
              <w:bottom w:val="nil"/>
              <w:right w:val="nil"/>
            </w:tcBorders>
          </w:tcPr>
          <w:p w14:paraId="17042B0D" w14:textId="77777777" w:rsidR="001B39BA" w:rsidRPr="001B39BA" w:rsidRDefault="001B39BA" w:rsidP="003D246B">
            <w:pPr>
              <w:spacing w:before="145"/>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4.21–5.00</w:t>
            </w:r>
          </w:p>
          <w:p w14:paraId="15F461E6" w14:textId="77777777" w:rsidR="001B39BA" w:rsidRPr="001B39BA" w:rsidRDefault="001B39BA" w:rsidP="003D246B">
            <w:pPr>
              <w:jc w:val="both"/>
              <w:rPr>
                <w:rFonts w:ascii="Arial" w:hAnsi="Arial" w:cs="Arial"/>
                <w:kern w:val="2"/>
                <w14:ligatures w14:val="standardContextual"/>
              </w:rPr>
            </w:pPr>
          </w:p>
          <w:p w14:paraId="5B5C75AB" w14:textId="77777777" w:rsidR="001B39BA" w:rsidRPr="001B39BA" w:rsidRDefault="001B39BA" w:rsidP="003D246B">
            <w:pPr>
              <w:jc w:val="both"/>
              <w:rPr>
                <w:rFonts w:ascii="Arial" w:hAnsi="Arial" w:cs="Arial"/>
                <w:kern w:val="2"/>
                <w14:ligatures w14:val="standardContextual"/>
              </w:rPr>
            </w:pPr>
          </w:p>
          <w:p w14:paraId="051AF50B" w14:textId="77777777" w:rsidR="001B39BA" w:rsidRPr="001B39BA" w:rsidRDefault="001B39BA" w:rsidP="003D246B">
            <w:pPr>
              <w:jc w:val="both"/>
              <w:rPr>
                <w:rFonts w:ascii="Arial" w:hAnsi="Arial" w:cs="Arial"/>
                <w:kern w:val="2"/>
                <w14:ligatures w14:val="standardContextual"/>
              </w:rPr>
            </w:pPr>
          </w:p>
          <w:p w14:paraId="76376B41" w14:textId="77777777" w:rsidR="001B39BA" w:rsidRPr="001B39BA" w:rsidRDefault="001B39BA" w:rsidP="003D246B">
            <w:pPr>
              <w:jc w:val="both"/>
              <w:rPr>
                <w:rFonts w:ascii="Arial" w:hAnsi="Arial" w:cs="Arial"/>
                <w:kern w:val="2"/>
                <w14:ligatures w14:val="standardContextual"/>
              </w:rPr>
            </w:pPr>
          </w:p>
          <w:p w14:paraId="471A88A9" w14:textId="77777777" w:rsidR="001B39BA" w:rsidRPr="001B39BA" w:rsidRDefault="001B39BA" w:rsidP="003D246B">
            <w:pPr>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3.41–4.20</w:t>
            </w:r>
          </w:p>
        </w:tc>
        <w:tc>
          <w:tcPr>
            <w:tcW w:w="1385" w:type="dxa"/>
            <w:tcBorders>
              <w:top w:val="single" w:sz="4" w:space="0" w:color="auto"/>
              <w:left w:val="nil"/>
              <w:bottom w:val="nil"/>
              <w:right w:val="nil"/>
            </w:tcBorders>
          </w:tcPr>
          <w:p w14:paraId="5FF99289" w14:textId="77777777" w:rsidR="001B39BA" w:rsidRPr="001B39BA" w:rsidRDefault="001B39BA" w:rsidP="003D246B">
            <w:pPr>
              <w:spacing w:before="145"/>
              <w:ind w:left="96" w:right="29"/>
              <w:jc w:val="both"/>
              <w:rPr>
                <w:rFonts w:ascii="Arial" w:hAnsi="Arial" w:cs="Arial"/>
                <w:kern w:val="2"/>
                <w14:ligatures w14:val="standardContextual"/>
              </w:rPr>
            </w:pPr>
            <w:r w:rsidRPr="001B39BA">
              <w:rPr>
                <w:rFonts w:ascii="Arial" w:hAnsi="Arial" w:cs="Arial"/>
                <w:kern w:val="2"/>
                <w14:ligatures w14:val="standardContextual"/>
              </w:rPr>
              <w:t>Very</w:t>
            </w:r>
            <w:r w:rsidRPr="001B39BA">
              <w:rPr>
                <w:rFonts w:ascii="Arial" w:hAnsi="Arial" w:cs="Arial"/>
                <w:spacing w:val="1"/>
                <w:kern w:val="2"/>
                <w14:ligatures w14:val="standardContextual"/>
              </w:rPr>
              <w:t xml:space="preserve"> </w:t>
            </w:r>
            <w:r w:rsidRPr="001B39BA">
              <w:rPr>
                <w:rFonts w:ascii="Arial" w:hAnsi="Arial" w:cs="Arial"/>
                <w:spacing w:val="-4"/>
                <w:kern w:val="2"/>
                <w14:ligatures w14:val="standardContextual"/>
              </w:rPr>
              <w:t>High</w:t>
            </w:r>
          </w:p>
          <w:p w14:paraId="04777521" w14:textId="77777777" w:rsidR="001B39BA" w:rsidRPr="001B39BA" w:rsidRDefault="001B39BA" w:rsidP="003D246B">
            <w:pPr>
              <w:jc w:val="both"/>
              <w:rPr>
                <w:rFonts w:ascii="Arial" w:hAnsi="Arial" w:cs="Arial"/>
                <w:kern w:val="2"/>
                <w14:ligatures w14:val="standardContextual"/>
              </w:rPr>
            </w:pPr>
          </w:p>
          <w:p w14:paraId="75D520EB" w14:textId="77777777" w:rsidR="001B39BA" w:rsidRPr="001B39BA" w:rsidRDefault="001B39BA" w:rsidP="003D246B">
            <w:pPr>
              <w:jc w:val="both"/>
              <w:rPr>
                <w:rFonts w:ascii="Arial" w:hAnsi="Arial" w:cs="Arial"/>
                <w:kern w:val="2"/>
                <w14:ligatures w14:val="standardContextual"/>
              </w:rPr>
            </w:pPr>
          </w:p>
          <w:p w14:paraId="0C5CBE7A" w14:textId="77777777" w:rsidR="001B39BA" w:rsidRPr="001B39BA" w:rsidRDefault="001B39BA" w:rsidP="003D246B">
            <w:pPr>
              <w:jc w:val="both"/>
              <w:rPr>
                <w:rFonts w:ascii="Arial" w:hAnsi="Arial" w:cs="Arial"/>
                <w:kern w:val="2"/>
                <w14:ligatures w14:val="standardContextual"/>
              </w:rPr>
            </w:pPr>
          </w:p>
          <w:p w14:paraId="5D03FF66" w14:textId="77777777" w:rsidR="001B39BA" w:rsidRPr="001B39BA" w:rsidRDefault="001B39BA" w:rsidP="003D246B">
            <w:pPr>
              <w:spacing w:before="49"/>
              <w:jc w:val="both"/>
              <w:rPr>
                <w:rFonts w:ascii="Arial" w:hAnsi="Arial" w:cs="Arial"/>
                <w:kern w:val="2"/>
                <w14:ligatures w14:val="standardContextual"/>
              </w:rPr>
            </w:pPr>
          </w:p>
          <w:p w14:paraId="7D69C4EB" w14:textId="77777777" w:rsidR="001B39BA" w:rsidRPr="001B39BA" w:rsidRDefault="001B39BA" w:rsidP="003D246B">
            <w:pPr>
              <w:ind w:left="96"/>
              <w:jc w:val="both"/>
              <w:rPr>
                <w:rFonts w:ascii="Arial" w:hAnsi="Arial" w:cs="Arial"/>
                <w:spacing w:val="-4"/>
                <w:kern w:val="2"/>
                <w14:ligatures w14:val="standardContextual"/>
              </w:rPr>
            </w:pPr>
          </w:p>
          <w:p w14:paraId="5DB4558B" w14:textId="77777777" w:rsidR="001B39BA" w:rsidRPr="001B39BA" w:rsidRDefault="001B39BA" w:rsidP="003D246B">
            <w:pPr>
              <w:ind w:left="96"/>
              <w:jc w:val="both"/>
              <w:rPr>
                <w:rFonts w:ascii="Arial" w:hAnsi="Arial" w:cs="Arial"/>
                <w:kern w:val="2"/>
                <w14:ligatures w14:val="standardContextual"/>
              </w:rPr>
            </w:pPr>
            <w:r w:rsidRPr="001B39BA">
              <w:rPr>
                <w:rFonts w:ascii="Arial" w:hAnsi="Arial" w:cs="Arial"/>
                <w:spacing w:val="-4"/>
                <w:kern w:val="2"/>
                <w14:ligatures w14:val="standardContextual"/>
              </w:rPr>
              <w:t>High</w:t>
            </w:r>
          </w:p>
        </w:tc>
        <w:tc>
          <w:tcPr>
            <w:tcW w:w="5294" w:type="dxa"/>
            <w:tcBorders>
              <w:top w:val="single" w:sz="4" w:space="0" w:color="auto"/>
              <w:left w:val="nil"/>
              <w:bottom w:val="nil"/>
              <w:right w:val="nil"/>
            </w:tcBorders>
          </w:tcPr>
          <w:p w14:paraId="6A429E2B" w14:textId="77777777" w:rsidR="001B39BA" w:rsidRPr="001B39BA" w:rsidRDefault="001B39BA" w:rsidP="003D246B">
            <w:pPr>
              <w:widowControl/>
              <w:autoSpaceDE/>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Guidance counselors consistently demonstrate self-compassion as a work-specific characteristic by showing understanding, self-kindness, and emotional balance when dealing with professional challenges and responsibilities.</w:t>
            </w:r>
          </w:p>
          <w:p w14:paraId="18BACE4F" w14:textId="77777777" w:rsidR="001B39BA" w:rsidRPr="001B39BA" w:rsidRDefault="001B39BA" w:rsidP="003D246B">
            <w:pPr>
              <w:widowControl/>
              <w:autoSpaceDE/>
              <w:jc w:val="both"/>
              <w:rPr>
                <w:rFonts w:ascii="Arial" w:eastAsia="Calibri" w:hAnsi="Arial" w:cs="Arial"/>
                <w:kern w:val="2"/>
                <w:lang w:val="en-SG"/>
                <w14:ligatures w14:val="standardContextual"/>
              </w:rPr>
            </w:pPr>
          </w:p>
          <w:p w14:paraId="51897BBF" w14:textId="77777777" w:rsidR="001B39BA" w:rsidRPr="001B39BA" w:rsidRDefault="001B39BA" w:rsidP="003D246B">
            <w:pPr>
              <w:widowControl/>
              <w:autoSpaceDE/>
              <w:jc w:val="both"/>
              <w:rPr>
                <w:rFonts w:ascii="Arial" w:eastAsia="Calibri" w:hAnsi="Arial" w:cs="Arial"/>
                <w:kern w:val="2"/>
                <w:lang w:val="en-SG"/>
                <w14:ligatures w14:val="standardContextual"/>
              </w:rPr>
            </w:pPr>
            <w:r w:rsidRPr="001B39BA">
              <w:rPr>
                <w:rFonts w:ascii="Arial" w:eastAsia="Calibri" w:hAnsi="Arial" w:cs="Arial"/>
                <w:kern w:val="2"/>
                <w:lang w:val="en-SG"/>
                <w14:ligatures w14:val="standardContextual"/>
              </w:rPr>
              <w:t>Guidance counselors frequently demonstrate self-compassion in their professional role, maintaining a healthy and understanding attitude toward themselves in the face of work-related demands</w:t>
            </w:r>
          </w:p>
        </w:tc>
      </w:tr>
      <w:tr w:rsidR="001B39BA" w:rsidRPr="001B39BA" w14:paraId="06C58E55" w14:textId="77777777" w:rsidTr="003D246B">
        <w:trPr>
          <w:trHeight w:val="981"/>
        </w:trPr>
        <w:tc>
          <w:tcPr>
            <w:tcW w:w="804" w:type="dxa"/>
            <w:hideMark/>
          </w:tcPr>
          <w:p w14:paraId="6E7D80F8" w14:textId="77777777" w:rsidR="001B39BA" w:rsidRPr="001B39BA" w:rsidRDefault="001B39BA" w:rsidP="003D246B">
            <w:pPr>
              <w:spacing w:before="221"/>
              <w:ind w:left="427"/>
              <w:jc w:val="both"/>
              <w:rPr>
                <w:rFonts w:ascii="Arial" w:hAnsi="Arial" w:cs="Arial"/>
                <w:kern w:val="2"/>
                <w14:ligatures w14:val="standardContextual"/>
              </w:rPr>
            </w:pPr>
            <w:r w:rsidRPr="001B39BA">
              <w:rPr>
                <w:rFonts w:ascii="Arial" w:hAnsi="Arial" w:cs="Arial"/>
                <w:spacing w:val="-10"/>
                <w:kern w:val="2"/>
                <w14:ligatures w14:val="standardContextual"/>
              </w:rPr>
              <w:t>3</w:t>
            </w:r>
          </w:p>
        </w:tc>
        <w:tc>
          <w:tcPr>
            <w:tcW w:w="1157" w:type="dxa"/>
            <w:hideMark/>
          </w:tcPr>
          <w:p w14:paraId="5FC98F18" w14:textId="77777777" w:rsidR="001B39BA" w:rsidRPr="001B39BA" w:rsidRDefault="001B39BA" w:rsidP="003D246B">
            <w:pPr>
              <w:spacing w:before="221"/>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2.61–3.40</w:t>
            </w:r>
          </w:p>
        </w:tc>
        <w:tc>
          <w:tcPr>
            <w:tcW w:w="1385" w:type="dxa"/>
          </w:tcPr>
          <w:p w14:paraId="5283863A" w14:textId="77777777" w:rsidR="001B39BA" w:rsidRPr="001B39BA" w:rsidRDefault="001B39BA" w:rsidP="003D246B">
            <w:pPr>
              <w:spacing w:before="221"/>
              <w:ind w:left="366"/>
              <w:jc w:val="both"/>
              <w:rPr>
                <w:rFonts w:ascii="Arial" w:hAnsi="Arial" w:cs="Arial"/>
                <w:spacing w:val="-2"/>
                <w:kern w:val="2"/>
                <w14:ligatures w14:val="standardContextual"/>
              </w:rPr>
            </w:pPr>
            <w:r w:rsidRPr="001B39BA">
              <w:rPr>
                <w:rFonts w:ascii="Arial" w:hAnsi="Arial" w:cs="Arial"/>
                <w:spacing w:val="-2"/>
                <w:kern w:val="2"/>
                <w14:ligatures w14:val="standardContextual"/>
              </w:rPr>
              <w:t>Moderate</w:t>
            </w:r>
          </w:p>
          <w:p w14:paraId="1AC1383D" w14:textId="77777777" w:rsidR="001B39BA" w:rsidRPr="001B39BA" w:rsidRDefault="001B39BA" w:rsidP="003D246B">
            <w:pPr>
              <w:spacing w:before="221"/>
              <w:ind w:left="366"/>
              <w:jc w:val="both"/>
              <w:rPr>
                <w:rFonts w:ascii="Arial" w:hAnsi="Arial" w:cs="Arial"/>
                <w:kern w:val="2"/>
                <w14:ligatures w14:val="standardContextual"/>
              </w:rPr>
            </w:pPr>
          </w:p>
        </w:tc>
        <w:tc>
          <w:tcPr>
            <w:tcW w:w="5294" w:type="dxa"/>
          </w:tcPr>
          <w:p w14:paraId="0197357C" w14:textId="77777777" w:rsidR="001B39BA" w:rsidRPr="001B39BA" w:rsidRDefault="001B39BA" w:rsidP="003D246B">
            <w:pPr>
              <w:widowControl/>
              <w:autoSpaceDE/>
              <w:jc w:val="both"/>
              <w:rPr>
                <w:rFonts w:ascii="Arial" w:eastAsia="Calibri" w:hAnsi="Arial" w:cs="Arial"/>
                <w:kern w:val="2"/>
                <w:lang w:val="en-SG"/>
                <w14:ligatures w14:val="standardContextual"/>
              </w:rPr>
            </w:pPr>
          </w:p>
          <w:p w14:paraId="20EB87CD" w14:textId="77777777" w:rsidR="001B39BA" w:rsidRPr="001B39BA" w:rsidRDefault="001B39BA" w:rsidP="003D246B">
            <w:pPr>
              <w:widowControl/>
              <w:autoSpaceDE/>
              <w:jc w:val="both"/>
              <w:rPr>
                <w:rFonts w:ascii="Arial" w:hAnsi="Arial" w:cs="Arial"/>
                <w:kern w:val="2"/>
                <w14:ligatures w14:val="standardContextual"/>
              </w:rPr>
            </w:pPr>
            <w:r w:rsidRPr="001B39BA">
              <w:rPr>
                <w:rFonts w:ascii="Arial" w:eastAsia="Calibri" w:hAnsi="Arial" w:cs="Arial"/>
                <w:kern w:val="2"/>
                <w:lang w:val="en-SG"/>
                <w14:ligatures w14:val="standardContextual"/>
              </w:rPr>
              <w:t>Guidance counselors sometimes demonstrate self-compassion as a work-specific characteristic; however, their level of self-understanding and emotional balance may vary across situations.</w:t>
            </w:r>
          </w:p>
        </w:tc>
      </w:tr>
      <w:tr w:rsidR="001B39BA" w:rsidRPr="001B39BA" w14:paraId="35FA0FB3" w14:textId="77777777" w:rsidTr="003D246B">
        <w:trPr>
          <w:trHeight w:val="995"/>
        </w:trPr>
        <w:tc>
          <w:tcPr>
            <w:tcW w:w="804" w:type="dxa"/>
          </w:tcPr>
          <w:p w14:paraId="63F1FD19" w14:textId="77777777" w:rsidR="001B39BA" w:rsidRPr="001B39BA" w:rsidRDefault="001B39BA" w:rsidP="003D246B">
            <w:pPr>
              <w:spacing w:before="152"/>
              <w:ind w:left="427"/>
              <w:jc w:val="both"/>
              <w:rPr>
                <w:rFonts w:ascii="Arial" w:hAnsi="Arial" w:cs="Arial"/>
                <w:spacing w:val="-10"/>
                <w:kern w:val="2"/>
                <w14:ligatures w14:val="standardContextual"/>
              </w:rPr>
            </w:pPr>
          </w:p>
          <w:p w14:paraId="5587A2B4" w14:textId="77777777" w:rsidR="001B39BA" w:rsidRPr="001B39BA" w:rsidRDefault="001B39BA" w:rsidP="003D246B">
            <w:pPr>
              <w:spacing w:before="152"/>
              <w:ind w:left="427"/>
              <w:jc w:val="both"/>
              <w:rPr>
                <w:rFonts w:ascii="Arial" w:hAnsi="Arial" w:cs="Arial"/>
                <w:kern w:val="2"/>
                <w14:ligatures w14:val="standardContextual"/>
              </w:rPr>
            </w:pPr>
            <w:r w:rsidRPr="001B39BA">
              <w:rPr>
                <w:rFonts w:ascii="Arial" w:hAnsi="Arial" w:cs="Arial"/>
                <w:spacing w:val="-10"/>
                <w:kern w:val="2"/>
                <w14:ligatures w14:val="standardContextual"/>
              </w:rPr>
              <w:t>2</w:t>
            </w:r>
          </w:p>
        </w:tc>
        <w:tc>
          <w:tcPr>
            <w:tcW w:w="1157" w:type="dxa"/>
          </w:tcPr>
          <w:p w14:paraId="4F79A3DD" w14:textId="77777777" w:rsidR="001B39BA" w:rsidRPr="001B39BA" w:rsidRDefault="001B39BA" w:rsidP="003D246B">
            <w:pPr>
              <w:spacing w:before="152"/>
              <w:ind w:left="126"/>
              <w:jc w:val="both"/>
              <w:rPr>
                <w:rFonts w:ascii="Arial" w:hAnsi="Arial" w:cs="Arial"/>
                <w:spacing w:val="-2"/>
                <w:w w:val="110"/>
                <w:kern w:val="2"/>
                <w14:ligatures w14:val="standardContextual"/>
              </w:rPr>
            </w:pPr>
          </w:p>
          <w:p w14:paraId="08903246" w14:textId="77777777" w:rsidR="001B39BA" w:rsidRPr="001B39BA" w:rsidRDefault="001B39BA" w:rsidP="003D246B">
            <w:pPr>
              <w:spacing w:before="152"/>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1.81–2.60</w:t>
            </w:r>
          </w:p>
        </w:tc>
        <w:tc>
          <w:tcPr>
            <w:tcW w:w="1385" w:type="dxa"/>
          </w:tcPr>
          <w:p w14:paraId="1EE56ADE" w14:textId="77777777" w:rsidR="001B39BA" w:rsidRPr="001B39BA" w:rsidRDefault="001B39BA" w:rsidP="003D246B">
            <w:pPr>
              <w:spacing w:before="152"/>
              <w:ind w:left="366"/>
              <w:jc w:val="both"/>
              <w:rPr>
                <w:rFonts w:ascii="Arial" w:hAnsi="Arial" w:cs="Arial"/>
                <w:spacing w:val="-5"/>
                <w:kern w:val="2"/>
                <w14:ligatures w14:val="standardContextual"/>
              </w:rPr>
            </w:pPr>
          </w:p>
          <w:p w14:paraId="62418C68" w14:textId="77777777" w:rsidR="001B39BA" w:rsidRPr="001B39BA" w:rsidRDefault="001B39BA" w:rsidP="003D246B">
            <w:pPr>
              <w:spacing w:before="152"/>
              <w:ind w:left="366"/>
              <w:jc w:val="both"/>
              <w:rPr>
                <w:rFonts w:ascii="Arial" w:hAnsi="Arial" w:cs="Arial"/>
                <w:kern w:val="2"/>
                <w14:ligatures w14:val="standardContextual"/>
              </w:rPr>
            </w:pPr>
            <w:r w:rsidRPr="001B39BA">
              <w:rPr>
                <w:rFonts w:ascii="Arial" w:hAnsi="Arial" w:cs="Arial"/>
                <w:spacing w:val="-5"/>
                <w:kern w:val="2"/>
                <w14:ligatures w14:val="standardContextual"/>
              </w:rPr>
              <w:t>Low</w:t>
            </w:r>
          </w:p>
        </w:tc>
        <w:tc>
          <w:tcPr>
            <w:tcW w:w="5294" w:type="dxa"/>
          </w:tcPr>
          <w:p w14:paraId="07B44FBF" w14:textId="77777777" w:rsidR="001B39BA" w:rsidRPr="001B39BA" w:rsidRDefault="001B39BA" w:rsidP="003D246B">
            <w:pPr>
              <w:widowControl/>
              <w:autoSpaceDE/>
              <w:jc w:val="both"/>
              <w:rPr>
                <w:rFonts w:ascii="Arial" w:eastAsia="Calibri" w:hAnsi="Arial" w:cs="Arial"/>
                <w:kern w:val="2"/>
                <w:lang w:val="en-SG"/>
                <w14:ligatures w14:val="standardContextual"/>
              </w:rPr>
            </w:pPr>
          </w:p>
          <w:p w14:paraId="2B63FD52" w14:textId="77777777" w:rsidR="001B39BA" w:rsidRPr="001B39BA" w:rsidRDefault="001B39BA" w:rsidP="003D246B">
            <w:pPr>
              <w:widowControl/>
              <w:autoSpaceDE/>
              <w:jc w:val="both"/>
              <w:rPr>
                <w:rFonts w:ascii="Arial" w:hAnsi="Arial" w:cs="Arial"/>
                <w:kern w:val="2"/>
                <w14:ligatures w14:val="standardContextual"/>
              </w:rPr>
            </w:pPr>
            <w:r w:rsidRPr="001B39BA">
              <w:rPr>
                <w:rFonts w:ascii="Arial" w:eastAsia="Calibri" w:hAnsi="Arial" w:cs="Arial"/>
                <w:kern w:val="2"/>
                <w:lang w:val="en-SG"/>
                <w14:ligatures w14:val="standardContextual"/>
              </w:rPr>
              <w:t>Guidance counselors seldom demonstrate self-compassion in their professional role, suggesting limited self-kindness and emotional understanding during challenging situations.</w:t>
            </w:r>
          </w:p>
        </w:tc>
      </w:tr>
      <w:tr w:rsidR="001B39BA" w:rsidRPr="001B39BA" w14:paraId="1B94D6C9" w14:textId="77777777" w:rsidTr="003D246B">
        <w:trPr>
          <w:trHeight w:val="1002"/>
        </w:trPr>
        <w:tc>
          <w:tcPr>
            <w:tcW w:w="804" w:type="dxa"/>
            <w:tcBorders>
              <w:top w:val="nil"/>
              <w:left w:val="nil"/>
              <w:bottom w:val="single" w:sz="4" w:space="0" w:color="auto"/>
              <w:right w:val="nil"/>
            </w:tcBorders>
          </w:tcPr>
          <w:p w14:paraId="553928DB" w14:textId="77777777" w:rsidR="001B39BA" w:rsidRPr="001B39BA" w:rsidRDefault="001B39BA" w:rsidP="003D246B">
            <w:pPr>
              <w:spacing w:before="52"/>
              <w:jc w:val="both"/>
              <w:rPr>
                <w:rFonts w:ascii="Arial" w:hAnsi="Arial" w:cs="Arial"/>
                <w:kern w:val="2"/>
                <w14:ligatures w14:val="standardContextual"/>
              </w:rPr>
            </w:pPr>
          </w:p>
          <w:p w14:paraId="0CE149CE" w14:textId="77777777" w:rsidR="001B39BA" w:rsidRPr="001B39BA" w:rsidRDefault="001B39BA" w:rsidP="003D246B">
            <w:pPr>
              <w:ind w:left="427"/>
              <w:jc w:val="both"/>
              <w:rPr>
                <w:rFonts w:ascii="Arial" w:hAnsi="Arial" w:cs="Arial"/>
                <w:kern w:val="2"/>
                <w14:ligatures w14:val="standardContextual"/>
              </w:rPr>
            </w:pPr>
            <w:r w:rsidRPr="001B39BA">
              <w:rPr>
                <w:rFonts w:ascii="Arial" w:hAnsi="Arial" w:cs="Arial"/>
                <w:spacing w:val="-10"/>
                <w:kern w:val="2"/>
                <w14:ligatures w14:val="standardContextual"/>
              </w:rPr>
              <w:t>1</w:t>
            </w:r>
          </w:p>
        </w:tc>
        <w:tc>
          <w:tcPr>
            <w:tcW w:w="1157" w:type="dxa"/>
            <w:tcBorders>
              <w:top w:val="nil"/>
              <w:left w:val="nil"/>
              <w:bottom w:val="single" w:sz="4" w:space="0" w:color="auto"/>
              <w:right w:val="nil"/>
            </w:tcBorders>
          </w:tcPr>
          <w:p w14:paraId="39D91B0F" w14:textId="77777777" w:rsidR="001B39BA" w:rsidRPr="001B39BA" w:rsidRDefault="001B39BA" w:rsidP="003D246B">
            <w:pPr>
              <w:spacing w:before="52"/>
              <w:jc w:val="both"/>
              <w:rPr>
                <w:rFonts w:ascii="Arial" w:hAnsi="Arial" w:cs="Arial"/>
                <w:kern w:val="2"/>
                <w14:ligatures w14:val="standardContextual"/>
              </w:rPr>
            </w:pPr>
          </w:p>
          <w:p w14:paraId="58EFE344" w14:textId="77777777" w:rsidR="001B39BA" w:rsidRPr="001B39BA" w:rsidRDefault="001B39BA" w:rsidP="003D246B">
            <w:pPr>
              <w:ind w:left="126"/>
              <w:jc w:val="both"/>
              <w:rPr>
                <w:rFonts w:ascii="Arial" w:hAnsi="Arial" w:cs="Arial"/>
                <w:kern w:val="2"/>
                <w14:ligatures w14:val="standardContextual"/>
              </w:rPr>
            </w:pPr>
            <w:r w:rsidRPr="001B39BA">
              <w:rPr>
                <w:rFonts w:ascii="Arial" w:hAnsi="Arial" w:cs="Arial"/>
                <w:spacing w:val="-2"/>
                <w:w w:val="110"/>
                <w:kern w:val="2"/>
                <w14:ligatures w14:val="standardContextual"/>
              </w:rPr>
              <w:t>1.00–1.80</w:t>
            </w:r>
          </w:p>
        </w:tc>
        <w:tc>
          <w:tcPr>
            <w:tcW w:w="1385" w:type="dxa"/>
            <w:tcBorders>
              <w:top w:val="nil"/>
              <w:left w:val="nil"/>
              <w:bottom w:val="single" w:sz="4" w:space="0" w:color="auto"/>
              <w:right w:val="nil"/>
            </w:tcBorders>
          </w:tcPr>
          <w:p w14:paraId="05EE9939" w14:textId="77777777" w:rsidR="001B39BA" w:rsidRPr="001B39BA" w:rsidRDefault="001B39BA" w:rsidP="003D246B">
            <w:pPr>
              <w:spacing w:before="52"/>
              <w:jc w:val="both"/>
              <w:rPr>
                <w:rFonts w:ascii="Arial" w:hAnsi="Arial" w:cs="Arial"/>
                <w:kern w:val="2"/>
                <w14:ligatures w14:val="standardContextual"/>
              </w:rPr>
            </w:pPr>
          </w:p>
          <w:p w14:paraId="2D78DA4D" w14:textId="77777777" w:rsidR="001B39BA" w:rsidRPr="001B39BA" w:rsidRDefault="001B39BA" w:rsidP="003D246B">
            <w:pPr>
              <w:ind w:left="366"/>
              <w:jc w:val="both"/>
              <w:rPr>
                <w:rFonts w:ascii="Arial" w:hAnsi="Arial" w:cs="Arial"/>
                <w:kern w:val="2"/>
                <w14:ligatures w14:val="standardContextual"/>
              </w:rPr>
            </w:pPr>
            <w:r w:rsidRPr="001B39BA">
              <w:rPr>
                <w:rFonts w:ascii="Arial" w:hAnsi="Arial" w:cs="Arial"/>
                <w:kern w:val="2"/>
                <w14:ligatures w14:val="standardContextual"/>
              </w:rPr>
              <w:t>Very</w:t>
            </w:r>
            <w:r w:rsidRPr="001B39BA">
              <w:rPr>
                <w:rFonts w:ascii="Arial" w:hAnsi="Arial" w:cs="Arial"/>
                <w:spacing w:val="1"/>
                <w:kern w:val="2"/>
                <w14:ligatures w14:val="standardContextual"/>
              </w:rPr>
              <w:t xml:space="preserve"> </w:t>
            </w:r>
            <w:r w:rsidRPr="001B39BA">
              <w:rPr>
                <w:rFonts w:ascii="Arial" w:hAnsi="Arial" w:cs="Arial"/>
                <w:spacing w:val="-5"/>
                <w:kern w:val="2"/>
                <w14:ligatures w14:val="standardContextual"/>
              </w:rPr>
              <w:t>Low</w:t>
            </w:r>
          </w:p>
        </w:tc>
        <w:tc>
          <w:tcPr>
            <w:tcW w:w="5294" w:type="dxa"/>
            <w:tcBorders>
              <w:top w:val="nil"/>
              <w:left w:val="nil"/>
              <w:bottom w:val="single" w:sz="4" w:space="0" w:color="auto"/>
              <w:right w:val="nil"/>
            </w:tcBorders>
          </w:tcPr>
          <w:p w14:paraId="105B9777" w14:textId="77777777" w:rsidR="001B39BA" w:rsidRPr="001B39BA" w:rsidRDefault="001B39BA" w:rsidP="003D246B">
            <w:pPr>
              <w:widowControl/>
              <w:autoSpaceDE/>
              <w:jc w:val="both"/>
              <w:rPr>
                <w:rFonts w:ascii="Arial" w:eastAsia="Calibri" w:hAnsi="Arial" w:cs="Arial"/>
                <w:kern w:val="2"/>
                <w:lang w:val="en-SG"/>
                <w14:ligatures w14:val="standardContextual"/>
              </w:rPr>
            </w:pPr>
          </w:p>
          <w:p w14:paraId="24CE5B64" w14:textId="77777777" w:rsidR="001B39BA" w:rsidRPr="001B39BA" w:rsidRDefault="001B39BA" w:rsidP="003D246B">
            <w:pPr>
              <w:widowControl/>
              <w:autoSpaceDE/>
              <w:jc w:val="both"/>
              <w:rPr>
                <w:rFonts w:ascii="Arial" w:hAnsi="Arial" w:cs="Arial"/>
                <w:kern w:val="2"/>
                <w14:ligatures w14:val="standardContextual"/>
              </w:rPr>
            </w:pPr>
            <w:r w:rsidRPr="001B39BA">
              <w:rPr>
                <w:rFonts w:ascii="Arial" w:eastAsia="Calibri" w:hAnsi="Arial" w:cs="Arial"/>
                <w:kern w:val="2"/>
                <w:lang w:val="en-SG"/>
                <w14:ligatures w14:val="standardContextual"/>
              </w:rPr>
              <w:t>Guidance counselors rarely demonstrate self-compassion as a work-specific characteristic, suggesting minimal self-understanding and emotional balance in relation to professional challenges.</w:t>
            </w:r>
          </w:p>
        </w:tc>
      </w:tr>
    </w:tbl>
    <w:p w14:paraId="38008D20"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0832CFA2"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On the other hand, compassion satisfaction and compassion fatigue were measured using the Professional Quality of Life Scale Version 5 (ProQOL v5) developed by Beth Hudnall Stamm. The instrument consists of three subscales: compassion satisfaction, burnout, and secondary traumatic stress. To ensure consistent interpretation of results, scores were categorized into low, moderate, and high levels based on standardized cut-off values provided in the ProQOL manual (Stamm, 2010).</w:t>
      </w:r>
    </w:p>
    <w:p w14:paraId="57562CF4"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 xml:space="preserve">Higher scores in compassion satisfaction indicated greater professional fulfillment, while higher scores in burnout and secondary traumatic stress reflected increased levels </w:t>
      </w:r>
      <w:r w:rsidRPr="001B39BA">
        <w:rPr>
          <w:rFonts w:ascii="Arial" w:eastAsia="Calibri" w:hAnsi="Arial" w:cs="Arial"/>
          <w:lang w:val="en-SG"/>
        </w:rPr>
        <w:lastRenderedPageBreak/>
        <w:t>of emotional strain and stress-related responses (Stamm, 2010). The compassion satisfaction subscale demonstrated good reliability (α = 0.809), indicating consistent measurement of positive professional outcomes (Hair Jr. et al., 2019).</w:t>
      </w:r>
    </w:p>
    <w:p w14:paraId="200783C7"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5B573BCA" w14:textId="77777777" w:rsidR="001B39BA" w:rsidRPr="001B39BA" w:rsidRDefault="001B39BA" w:rsidP="003D246B">
      <w:pPr>
        <w:widowControl/>
        <w:autoSpaceDE/>
        <w:jc w:val="both"/>
        <w:rPr>
          <w:rFonts w:ascii="Arial" w:eastAsia="Calibri" w:hAnsi="Arial" w:cs="Arial"/>
          <w:lang w:val="en-SG"/>
        </w:rPr>
      </w:pPr>
      <w:r w:rsidRPr="001B39BA">
        <w:rPr>
          <w:rFonts w:ascii="Arial" w:eastAsia="Calibri" w:hAnsi="Arial" w:cs="Arial"/>
          <w:lang w:val="en-SG"/>
        </w:rPr>
        <w:t>Level of Guidance Counselor’s Compassion Satisfaction</w:t>
      </w:r>
    </w:p>
    <w:tbl>
      <w:tblPr>
        <w:tblpPr w:leftFromText="180" w:rightFromText="180" w:bottomFromText="160" w:vertAnchor="text" w:horzAnchor="margin" w:tblpY="269"/>
        <w:tblW w:w="8700" w:type="dxa"/>
        <w:tblLayout w:type="fixed"/>
        <w:tblCellMar>
          <w:left w:w="0" w:type="dxa"/>
          <w:right w:w="0" w:type="dxa"/>
        </w:tblCellMar>
        <w:tblLook w:val="01E0" w:firstRow="1" w:lastRow="1" w:firstColumn="1" w:lastColumn="1" w:noHBand="0" w:noVBand="0"/>
      </w:tblPr>
      <w:tblGrid>
        <w:gridCol w:w="1119"/>
        <w:gridCol w:w="2257"/>
        <w:gridCol w:w="5324"/>
      </w:tblGrid>
      <w:tr w:rsidR="001B39BA" w:rsidRPr="001B39BA" w14:paraId="6A42594B" w14:textId="77777777">
        <w:trPr>
          <w:trHeight w:val="426"/>
        </w:trPr>
        <w:tc>
          <w:tcPr>
            <w:tcW w:w="1119" w:type="dxa"/>
            <w:tcBorders>
              <w:top w:val="single" w:sz="12" w:space="0" w:color="000000"/>
              <w:left w:val="nil"/>
              <w:bottom w:val="single" w:sz="12" w:space="0" w:color="000000"/>
              <w:right w:val="nil"/>
            </w:tcBorders>
            <w:hideMark/>
          </w:tcPr>
          <w:p w14:paraId="3C9D8DB3" w14:textId="77777777" w:rsidR="001B39BA" w:rsidRPr="001B39BA" w:rsidRDefault="001B39BA" w:rsidP="003D246B">
            <w:pPr>
              <w:spacing w:before="27"/>
              <w:ind w:left="28"/>
              <w:jc w:val="both"/>
              <w:rPr>
                <w:rFonts w:ascii="Arial" w:hAnsi="Arial" w:cs="Arial"/>
                <w:kern w:val="2"/>
                <w14:ligatures w14:val="standardContextual"/>
              </w:rPr>
            </w:pPr>
            <w:r w:rsidRPr="001B39BA">
              <w:rPr>
                <w:rFonts w:ascii="Arial" w:hAnsi="Arial" w:cs="Arial"/>
                <w:spacing w:val="-2"/>
                <w:kern w:val="2"/>
                <w14:ligatures w14:val="standardContextual"/>
              </w:rPr>
              <w:t>Score</w:t>
            </w:r>
          </w:p>
        </w:tc>
        <w:tc>
          <w:tcPr>
            <w:tcW w:w="2257" w:type="dxa"/>
            <w:tcBorders>
              <w:top w:val="single" w:sz="12" w:space="0" w:color="000000"/>
              <w:left w:val="nil"/>
              <w:bottom w:val="single" w:sz="12" w:space="0" w:color="000000"/>
              <w:right w:val="nil"/>
            </w:tcBorders>
            <w:hideMark/>
          </w:tcPr>
          <w:p w14:paraId="0351D34A" w14:textId="77777777" w:rsidR="001B39BA" w:rsidRPr="001B39BA" w:rsidRDefault="001B39BA" w:rsidP="003D246B">
            <w:pPr>
              <w:spacing w:before="27"/>
              <w:ind w:left="350"/>
              <w:jc w:val="both"/>
              <w:rPr>
                <w:rFonts w:ascii="Arial" w:hAnsi="Arial" w:cs="Arial"/>
                <w:kern w:val="2"/>
                <w14:ligatures w14:val="standardContextual"/>
              </w:rPr>
            </w:pPr>
            <w:r w:rsidRPr="001B39BA">
              <w:rPr>
                <w:rFonts w:ascii="Arial" w:hAnsi="Arial" w:cs="Arial"/>
                <w:spacing w:val="-2"/>
                <w:kern w:val="2"/>
                <w14:ligatures w14:val="standardContextual"/>
              </w:rPr>
              <w:t>Interpretation</w:t>
            </w:r>
          </w:p>
        </w:tc>
        <w:tc>
          <w:tcPr>
            <w:tcW w:w="5325" w:type="dxa"/>
            <w:tcBorders>
              <w:top w:val="single" w:sz="12" w:space="0" w:color="000000"/>
              <w:left w:val="nil"/>
              <w:bottom w:val="single" w:sz="12" w:space="0" w:color="000000"/>
              <w:right w:val="nil"/>
            </w:tcBorders>
            <w:hideMark/>
          </w:tcPr>
          <w:p w14:paraId="75236764" w14:textId="77777777" w:rsidR="001B39BA" w:rsidRPr="001B39BA" w:rsidRDefault="001B39BA" w:rsidP="003D246B">
            <w:pPr>
              <w:spacing w:before="27"/>
              <w:ind w:left="253"/>
              <w:jc w:val="both"/>
              <w:rPr>
                <w:rFonts w:ascii="Arial" w:hAnsi="Arial" w:cs="Arial"/>
                <w:kern w:val="2"/>
                <w14:ligatures w14:val="standardContextual"/>
              </w:rPr>
            </w:pPr>
            <w:r w:rsidRPr="001B39BA">
              <w:rPr>
                <w:rFonts w:ascii="Arial" w:hAnsi="Arial" w:cs="Arial"/>
                <w:kern w:val="2"/>
                <w14:ligatures w14:val="standardContextual"/>
              </w:rPr>
              <w:t>Descriptive</w:t>
            </w:r>
            <w:r w:rsidRPr="001B39BA">
              <w:rPr>
                <w:rFonts w:ascii="Arial" w:hAnsi="Arial" w:cs="Arial"/>
                <w:spacing w:val="-12"/>
                <w:kern w:val="2"/>
                <w14:ligatures w14:val="standardContextual"/>
              </w:rPr>
              <w:t xml:space="preserve"> </w:t>
            </w:r>
            <w:r w:rsidRPr="001B39BA">
              <w:rPr>
                <w:rFonts w:ascii="Arial" w:hAnsi="Arial" w:cs="Arial"/>
                <w:spacing w:val="-2"/>
                <w:kern w:val="2"/>
                <w14:ligatures w14:val="standardContextual"/>
              </w:rPr>
              <w:t>Interpretation</w:t>
            </w:r>
          </w:p>
        </w:tc>
      </w:tr>
      <w:tr w:rsidR="001B39BA" w:rsidRPr="001B39BA" w14:paraId="1656E2DF" w14:textId="77777777">
        <w:trPr>
          <w:trHeight w:val="414"/>
        </w:trPr>
        <w:tc>
          <w:tcPr>
            <w:tcW w:w="1119" w:type="dxa"/>
            <w:tcBorders>
              <w:top w:val="single" w:sz="12" w:space="0" w:color="000000"/>
              <w:left w:val="nil"/>
              <w:bottom w:val="nil"/>
              <w:right w:val="nil"/>
            </w:tcBorders>
            <w:hideMark/>
          </w:tcPr>
          <w:p w14:paraId="0E688DA8" w14:textId="77777777" w:rsidR="001B39BA" w:rsidRPr="001B39BA" w:rsidRDefault="001B39BA" w:rsidP="003D246B">
            <w:pPr>
              <w:spacing w:before="156"/>
              <w:ind w:left="57"/>
              <w:jc w:val="both"/>
              <w:rPr>
                <w:rFonts w:ascii="Arial" w:hAnsi="Arial" w:cs="Arial"/>
                <w:kern w:val="2"/>
                <w14:ligatures w14:val="standardContextual"/>
              </w:rPr>
            </w:pPr>
            <w:r w:rsidRPr="001B39BA">
              <w:rPr>
                <w:rFonts w:ascii="Arial" w:hAnsi="Arial" w:cs="Arial"/>
                <w:kern w:val="2"/>
                <w14:ligatures w14:val="standardContextual"/>
              </w:rPr>
              <w:t>≥</w:t>
            </w:r>
            <w:r w:rsidRPr="001B39BA">
              <w:rPr>
                <w:rFonts w:ascii="Arial" w:hAnsi="Arial" w:cs="Arial"/>
                <w:spacing w:val="-6"/>
                <w:kern w:val="2"/>
                <w14:ligatures w14:val="standardContextual"/>
              </w:rPr>
              <w:t xml:space="preserve"> </w:t>
            </w:r>
            <w:r w:rsidRPr="001B39BA">
              <w:rPr>
                <w:rFonts w:ascii="Arial" w:hAnsi="Arial" w:cs="Arial"/>
                <w:spacing w:val="-5"/>
                <w:kern w:val="2"/>
                <w14:ligatures w14:val="standardContextual"/>
              </w:rPr>
              <w:t>42</w:t>
            </w:r>
          </w:p>
        </w:tc>
        <w:tc>
          <w:tcPr>
            <w:tcW w:w="2257" w:type="dxa"/>
            <w:tcBorders>
              <w:top w:val="single" w:sz="12" w:space="0" w:color="000000"/>
              <w:left w:val="nil"/>
              <w:bottom w:val="nil"/>
              <w:right w:val="nil"/>
            </w:tcBorders>
            <w:hideMark/>
          </w:tcPr>
          <w:p w14:paraId="5C0F1FBA" w14:textId="77777777" w:rsidR="001B39BA" w:rsidRPr="001B39BA" w:rsidRDefault="001B39BA" w:rsidP="003D246B">
            <w:pPr>
              <w:spacing w:before="156"/>
              <w:ind w:left="350"/>
              <w:jc w:val="both"/>
              <w:rPr>
                <w:rFonts w:ascii="Arial" w:hAnsi="Arial" w:cs="Arial"/>
                <w:kern w:val="2"/>
                <w14:ligatures w14:val="standardContextual"/>
              </w:rPr>
            </w:pPr>
            <w:r w:rsidRPr="001B39BA">
              <w:rPr>
                <w:rFonts w:ascii="Arial" w:hAnsi="Arial" w:cs="Arial"/>
                <w:kern w:val="2"/>
                <w14:ligatures w14:val="standardContextual"/>
              </w:rPr>
              <w:t xml:space="preserve">High </w:t>
            </w:r>
            <w:r w:rsidRPr="001B39BA">
              <w:rPr>
                <w:rFonts w:ascii="Arial" w:hAnsi="Arial" w:cs="Arial"/>
                <w:spacing w:val="-2"/>
                <w:kern w:val="2"/>
                <w14:ligatures w14:val="standardContextual"/>
              </w:rPr>
              <w:t>Satisfaction</w:t>
            </w:r>
          </w:p>
        </w:tc>
        <w:tc>
          <w:tcPr>
            <w:tcW w:w="5325" w:type="dxa"/>
            <w:tcBorders>
              <w:top w:val="single" w:sz="12" w:space="0" w:color="000000"/>
              <w:left w:val="nil"/>
              <w:bottom w:val="nil"/>
              <w:right w:val="nil"/>
            </w:tcBorders>
            <w:hideMark/>
          </w:tcPr>
          <w:p w14:paraId="4B40F72A" w14:textId="77777777" w:rsidR="001B39BA" w:rsidRPr="001B39BA" w:rsidRDefault="001B39BA" w:rsidP="003D246B">
            <w:pPr>
              <w:spacing w:before="156"/>
              <w:ind w:left="253"/>
              <w:jc w:val="both"/>
              <w:rPr>
                <w:rFonts w:ascii="Arial" w:hAnsi="Arial" w:cs="Arial"/>
                <w:kern w:val="2"/>
                <w14:ligatures w14:val="standardContextual"/>
              </w:rPr>
            </w:pPr>
            <w:r w:rsidRPr="001B39BA">
              <w:rPr>
                <w:rFonts w:ascii="Arial" w:hAnsi="Arial" w:cs="Arial"/>
                <w:kern w:val="2"/>
                <w14:ligatures w14:val="standardContextual"/>
              </w:rPr>
              <w:t>The</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guidance</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counselor</w:t>
            </w:r>
            <w:r w:rsidRPr="001B39BA">
              <w:rPr>
                <w:rFonts w:ascii="Arial" w:hAnsi="Arial" w:cs="Arial"/>
                <w:spacing w:val="-9"/>
                <w:kern w:val="2"/>
                <w14:ligatures w14:val="standardContextual"/>
              </w:rPr>
              <w:t xml:space="preserve"> </w:t>
            </w:r>
            <w:r w:rsidRPr="001B39BA">
              <w:rPr>
                <w:rFonts w:ascii="Arial" w:hAnsi="Arial" w:cs="Arial"/>
                <w:kern w:val="2"/>
                <w14:ligatures w14:val="standardContextual"/>
              </w:rPr>
              <w:t>experiences</w:t>
            </w:r>
            <w:r w:rsidRPr="001B39BA">
              <w:rPr>
                <w:rFonts w:ascii="Arial" w:hAnsi="Arial" w:cs="Arial"/>
                <w:spacing w:val="-4"/>
                <w:kern w:val="2"/>
                <w14:ligatures w14:val="standardContextual"/>
              </w:rPr>
              <w:t xml:space="preserve"> </w:t>
            </w:r>
            <w:r w:rsidRPr="001B39BA">
              <w:rPr>
                <w:rFonts w:ascii="Arial" w:hAnsi="Arial" w:cs="Arial"/>
                <w:spacing w:val="-2"/>
                <w:kern w:val="2"/>
                <w14:ligatures w14:val="standardContextual"/>
              </w:rPr>
              <w:t xml:space="preserve">immense </w:t>
            </w:r>
            <w:r w:rsidRPr="001B39BA">
              <w:rPr>
                <w:rFonts w:ascii="Arial" w:hAnsi="Arial" w:cs="Arial"/>
                <w:kern w:val="2"/>
                <w14:ligatures w14:val="standardContextual"/>
              </w:rPr>
              <w:t>satisfaction</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in</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their</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profession</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by</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helping</w:t>
            </w:r>
            <w:r w:rsidRPr="001B39BA">
              <w:rPr>
                <w:rFonts w:ascii="Arial" w:hAnsi="Arial" w:cs="Arial"/>
                <w:spacing w:val="-3"/>
                <w:kern w:val="2"/>
                <w14:ligatures w14:val="standardContextual"/>
              </w:rPr>
              <w:t xml:space="preserve"> </w:t>
            </w:r>
            <w:r w:rsidRPr="001B39BA">
              <w:rPr>
                <w:rFonts w:ascii="Arial" w:hAnsi="Arial" w:cs="Arial"/>
                <w:spacing w:val="-2"/>
                <w:kern w:val="2"/>
                <w14:ligatures w14:val="standardContextual"/>
              </w:rPr>
              <w:t xml:space="preserve">others, </w:t>
            </w:r>
            <w:r w:rsidRPr="001B39BA">
              <w:rPr>
                <w:rFonts w:ascii="Arial" w:hAnsi="Arial" w:cs="Arial"/>
                <w:kern w:val="2"/>
                <w14:ligatures w14:val="standardContextual"/>
              </w:rPr>
              <w:t>feeling</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positive</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about</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colleagues</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and</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clients,</w:t>
            </w:r>
            <w:r w:rsidRPr="001B39BA">
              <w:rPr>
                <w:rFonts w:ascii="Arial" w:hAnsi="Arial" w:cs="Arial"/>
                <w:spacing w:val="-8"/>
                <w:kern w:val="2"/>
                <w14:ligatures w14:val="standardContextual"/>
              </w:rPr>
              <w:t xml:space="preserve"> </w:t>
            </w:r>
            <w:r w:rsidRPr="001B39BA">
              <w:rPr>
                <w:rFonts w:ascii="Arial" w:hAnsi="Arial" w:cs="Arial"/>
                <w:spacing w:val="-5"/>
                <w:kern w:val="2"/>
                <w14:ligatures w14:val="standardContextual"/>
              </w:rPr>
              <w:t xml:space="preserve">and </w:t>
            </w:r>
            <w:r w:rsidRPr="001B39BA">
              <w:rPr>
                <w:rFonts w:ascii="Arial" w:hAnsi="Arial" w:cs="Arial"/>
                <w:kern w:val="2"/>
                <w14:ligatures w14:val="standardContextual"/>
              </w:rPr>
              <w:t>their</w:t>
            </w:r>
            <w:r w:rsidRPr="001B39BA">
              <w:rPr>
                <w:rFonts w:ascii="Arial" w:hAnsi="Arial" w:cs="Arial"/>
                <w:spacing w:val="-11"/>
                <w:kern w:val="2"/>
                <w14:ligatures w14:val="standardContextual"/>
              </w:rPr>
              <w:t xml:space="preserve"> </w:t>
            </w:r>
            <w:r w:rsidRPr="001B39BA">
              <w:rPr>
                <w:rFonts w:ascii="Arial" w:hAnsi="Arial" w:cs="Arial"/>
                <w:kern w:val="2"/>
                <w14:ligatures w14:val="standardContextual"/>
              </w:rPr>
              <w:t>ability</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to</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contribute</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meaningfully</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to</w:t>
            </w:r>
            <w:r w:rsidRPr="001B39BA">
              <w:rPr>
                <w:rFonts w:ascii="Arial" w:hAnsi="Arial" w:cs="Arial"/>
                <w:spacing w:val="-4"/>
                <w:kern w:val="2"/>
                <w14:ligatures w14:val="standardContextual"/>
              </w:rPr>
              <w:t xml:space="preserve"> </w:t>
            </w:r>
            <w:r w:rsidRPr="001B39BA">
              <w:rPr>
                <w:rFonts w:ascii="Arial" w:hAnsi="Arial" w:cs="Arial"/>
                <w:spacing w:val="-2"/>
                <w:kern w:val="2"/>
                <w14:ligatures w14:val="standardContextual"/>
              </w:rPr>
              <w:t xml:space="preserve">society. </w:t>
            </w:r>
            <w:r w:rsidRPr="001B39BA">
              <w:rPr>
                <w:rFonts w:ascii="Arial" w:hAnsi="Arial" w:cs="Arial"/>
                <w:kern w:val="2"/>
                <w14:ligatures w14:val="standardContextual"/>
              </w:rPr>
              <w:t>This</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satisfaction</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is</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heightened</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by</w:t>
            </w:r>
            <w:r w:rsidRPr="001B39BA">
              <w:rPr>
                <w:rFonts w:ascii="Arial" w:hAnsi="Arial" w:cs="Arial"/>
                <w:spacing w:val="-4"/>
                <w:kern w:val="2"/>
                <w14:ligatures w14:val="standardContextual"/>
              </w:rPr>
              <w:t xml:space="preserve"> their </w:t>
            </w:r>
            <w:r w:rsidRPr="001B39BA">
              <w:rPr>
                <w:rFonts w:ascii="Arial" w:hAnsi="Arial" w:cs="Arial"/>
                <w:kern w:val="2"/>
                <w14:ligatures w14:val="standardContextual"/>
              </w:rPr>
              <w:t>effectiveness</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as</w:t>
            </w:r>
            <w:r w:rsidRPr="001B39BA">
              <w:rPr>
                <w:rFonts w:ascii="Arial" w:hAnsi="Arial" w:cs="Arial"/>
                <w:spacing w:val="-9"/>
                <w:kern w:val="2"/>
                <w14:ligatures w14:val="standardContextual"/>
              </w:rPr>
              <w:t xml:space="preserve"> </w:t>
            </w:r>
            <w:r w:rsidRPr="001B39BA">
              <w:rPr>
                <w:rFonts w:ascii="Arial" w:hAnsi="Arial" w:cs="Arial"/>
                <w:kern w:val="2"/>
                <w14:ligatures w14:val="standardContextual"/>
              </w:rPr>
              <w:t>caregivers,</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leading</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to</w:t>
            </w:r>
            <w:r w:rsidRPr="001B39BA">
              <w:rPr>
                <w:rFonts w:ascii="Arial" w:hAnsi="Arial" w:cs="Arial"/>
                <w:spacing w:val="-3"/>
                <w:kern w:val="2"/>
                <w14:ligatures w14:val="standardContextual"/>
              </w:rPr>
              <w:t xml:space="preserve"> </w:t>
            </w:r>
            <w:r w:rsidRPr="001B39BA">
              <w:rPr>
                <w:rFonts w:ascii="Arial" w:hAnsi="Arial" w:cs="Arial"/>
                <w:spacing w:val="-2"/>
                <w:kern w:val="2"/>
                <w14:ligatures w14:val="standardContextual"/>
              </w:rPr>
              <w:t xml:space="preserve">significant </w:t>
            </w:r>
            <w:r w:rsidRPr="001B39BA">
              <w:rPr>
                <w:rFonts w:ascii="Arial" w:hAnsi="Arial" w:cs="Arial"/>
                <w:kern w:val="2"/>
                <w14:ligatures w14:val="standardContextual"/>
              </w:rPr>
              <w:t>professional</w:t>
            </w:r>
            <w:r w:rsidRPr="001B39BA">
              <w:rPr>
                <w:rFonts w:ascii="Arial" w:hAnsi="Arial" w:cs="Arial"/>
                <w:spacing w:val="-9"/>
                <w:kern w:val="2"/>
                <w14:ligatures w14:val="standardContextual"/>
              </w:rPr>
              <w:t xml:space="preserve"> </w:t>
            </w:r>
            <w:r w:rsidRPr="001B39BA">
              <w:rPr>
                <w:rFonts w:ascii="Arial" w:hAnsi="Arial" w:cs="Arial"/>
                <w:kern w:val="2"/>
                <w14:ligatures w14:val="standardContextual"/>
              </w:rPr>
              <w:t>fulfillment.</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They</w:t>
            </w:r>
            <w:r w:rsidRPr="001B39BA">
              <w:rPr>
                <w:rFonts w:ascii="Arial" w:hAnsi="Arial" w:cs="Arial"/>
                <w:spacing w:val="-13"/>
                <w:kern w:val="2"/>
                <w14:ligatures w14:val="standardContextual"/>
              </w:rPr>
              <w:t xml:space="preserve"> </w:t>
            </w:r>
            <w:r w:rsidRPr="001B39BA">
              <w:rPr>
                <w:rFonts w:ascii="Arial" w:hAnsi="Arial" w:cs="Arial"/>
                <w:kern w:val="2"/>
                <w14:ligatures w14:val="standardContextual"/>
              </w:rPr>
              <w:t>find</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their</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work</w:t>
            </w:r>
            <w:r w:rsidRPr="001B39BA">
              <w:rPr>
                <w:rFonts w:ascii="Arial" w:hAnsi="Arial" w:cs="Arial"/>
                <w:spacing w:val="-9"/>
                <w:kern w:val="2"/>
                <w14:ligatures w14:val="standardContextual"/>
              </w:rPr>
              <w:t xml:space="preserve"> </w:t>
            </w:r>
            <w:r w:rsidRPr="001B39BA">
              <w:rPr>
                <w:rFonts w:ascii="Arial" w:hAnsi="Arial" w:cs="Arial"/>
                <w:spacing w:val="-2"/>
                <w:kern w:val="2"/>
                <w14:ligatures w14:val="standardContextual"/>
              </w:rPr>
              <w:t xml:space="preserve">deeply. </w:t>
            </w:r>
            <w:r w:rsidRPr="001B39BA">
              <w:rPr>
                <w:rFonts w:ascii="Arial" w:hAnsi="Arial" w:cs="Arial"/>
                <w:kern w:val="2"/>
                <w14:ligatures w14:val="standardContextual"/>
              </w:rPr>
              <w:t>rewarding</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and</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ultimately</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finding</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their</w:t>
            </w:r>
            <w:r w:rsidRPr="001B39BA">
              <w:rPr>
                <w:rFonts w:ascii="Arial" w:hAnsi="Arial" w:cs="Arial"/>
                <w:spacing w:val="-5"/>
                <w:kern w:val="2"/>
                <w14:ligatures w14:val="standardContextual"/>
              </w:rPr>
              <w:t xml:space="preserve"> </w:t>
            </w:r>
            <w:r w:rsidRPr="001B39BA">
              <w:rPr>
                <w:rFonts w:ascii="Arial" w:hAnsi="Arial" w:cs="Arial"/>
                <w:spacing w:val="-4"/>
                <w:kern w:val="2"/>
                <w14:ligatures w14:val="standardContextual"/>
              </w:rPr>
              <w:t xml:space="preserve">work </w:t>
            </w:r>
            <w:r w:rsidRPr="001B39BA">
              <w:rPr>
                <w:rFonts w:ascii="Arial" w:hAnsi="Arial" w:cs="Arial"/>
                <w:kern w:val="2"/>
                <w14:ligatures w14:val="standardContextual"/>
              </w:rPr>
              <w:t>meaningful</w:t>
            </w:r>
            <w:r w:rsidRPr="001B39BA">
              <w:rPr>
                <w:rFonts w:ascii="Arial" w:hAnsi="Arial" w:cs="Arial"/>
                <w:spacing w:val="-2"/>
                <w:kern w:val="2"/>
                <w14:ligatures w14:val="standardContextual"/>
              </w:rPr>
              <w:t>.</w:t>
            </w:r>
          </w:p>
        </w:tc>
      </w:tr>
      <w:tr w:rsidR="001B39BA" w:rsidRPr="001B39BA" w14:paraId="64FC44C2" w14:textId="77777777">
        <w:trPr>
          <w:trHeight w:val="263"/>
        </w:trPr>
        <w:tc>
          <w:tcPr>
            <w:tcW w:w="1119" w:type="dxa"/>
          </w:tcPr>
          <w:p w14:paraId="1E4A4BF9" w14:textId="77777777" w:rsidR="001B39BA" w:rsidRPr="001B39BA" w:rsidRDefault="001B39BA" w:rsidP="003D246B">
            <w:pPr>
              <w:jc w:val="both"/>
              <w:rPr>
                <w:rFonts w:ascii="Arial" w:hAnsi="Arial" w:cs="Arial"/>
                <w:w w:val="110"/>
                <w:kern w:val="2"/>
                <w14:ligatures w14:val="standardContextual"/>
              </w:rPr>
            </w:pPr>
          </w:p>
          <w:p w14:paraId="23514376" w14:textId="77777777" w:rsidR="001B39BA" w:rsidRPr="001B39BA" w:rsidRDefault="001B39BA" w:rsidP="003D246B">
            <w:pPr>
              <w:jc w:val="both"/>
              <w:rPr>
                <w:rFonts w:ascii="Arial" w:hAnsi="Arial" w:cs="Arial"/>
                <w:kern w:val="2"/>
                <w14:ligatures w14:val="standardContextual"/>
              </w:rPr>
            </w:pPr>
            <w:r w:rsidRPr="001B39BA">
              <w:rPr>
                <w:rFonts w:ascii="Arial" w:hAnsi="Arial" w:cs="Arial"/>
                <w:w w:val="110"/>
                <w:kern w:val="2"/>
                <w14:ligatures w14:val="standardContextual"/>
              </w:rPr>
              <w:t>23</w:t>
            </w:r>
            <w:r w:rsidRPr="001B39BA">
              <w:rPr>
                <w:rFonts w:ascii="Arial" w:hAnsi="Arial" w:cs="Arial"/>
                <w:spacing w:val="-12"/>
                <w:w w:val="110"/>
                <w:kern w:val="2"/>
                <w14:ligatures w14:val="standardContextual"/>
              </w:rPr>
              <w:t xml:space="preserve"> </w:t>
            </w:r>
            <w:r w:rsidRPr="001B39BA">
              <w:rPr>
                <w:rFonts w:ascii="Arial" w:hAnsi="Arial" w:cs="Arial"/>
                <w:w w:val="165"/>
                <w:kern w:val="2"/>
                <w14:ligatures w14:val="standardContextual"/>
              </w:rPr>
              <w:t>–</w:t>
            </w:r>
            <w:r w:rsidRPr="001B39BA">
              <w:rPr>
                <w:rFonts w:ascii="Arial" w:hAnsi="Arial" w:cs="Arial"/>
                <w:spacing w:val="-37"/>
                <w:w w:val="165"/>
                <w:kern w:val="2"/>
                <w14:ligatures w14:val="standardContextual"/>
              </w:rPr>
              <w:t xml:space="preserve"> </w:t>
            </w:r>
            <w:r w:rsidRPr="001B39BA">
              <w:rPr>
                <w:rFonts w:ascii="Arial" w:hAnsi="Arial" w:cs="Arial"/>
                <w:spacing w:val="-5"/>
                <w:w w:val="110"/>
                <w:kern w:val="2"/>
                <w14:ligatures w14:val="standardContextual"/>
              </w:rPr>
              <w:t>41</w:t>
            </w:r>
          </w:p>
        </w:tc>
        <w:tc>
          <w:tcPr>
            <w:tcW w:w="2257" w:type="dxa"/>
          </w:tcPr>
          <w:p w14:paraId="7F95BB96" w14:textId="77777777" w:rsidR="001B39BA" w:rsidRPr="001B39BA" w:rsidRDefault="001B39BA" w:rsidP="003D246B">
            <w:pPr>
              <w:jc w:val="both"/>
              <w:rPr>
                <w:rFonts w:ascii="Arial" w:hAnsi="Arial" w:cs="Arial"/>
                <w:spacing w:val="-2"/>
                <w:kern w:val="2"/>
                <w14:ligatures w14:val="standardContextual"/>
              </w:rPr>
            </w:pPr>
          </w:p>
          <w:p w14:paraId="2E4A72C3" w14:textId="77777777" w:rsidR="001B39BA" w:rsidRPr="001B39BA" w:rsidRDefault="001B39BA" w:rsidP="003D246B">
            <w:pPr>
              <w:jc w:val="both"/>
              <w:rPr>
                <w:rFonts w:ascii="Arial" w:hAnsi="Arial" w:cs="Arial"/>
                <w:kern w:val="2"/>
                <w14:ligatures w14:val="standardContextual"/>
              </w:rPr>
            </w:pPr>
            <w:r w:rsidRPr="001B39BA">
              <w:rPr>
                <w:rFonts w:ascii="Arial" w:hAnsi="Arial" w:cs="Arial"/>
                <w:spacing w:val="-2"/>
                <w:kern w:val="2"/>
                <w14:ligatures w14:val="standardContextual"/>
              </w:rPr>
              <w:t xml:space="preserve">Moderate Satisfaction </w:t>
            </w:r>
          </w:p>
        </w:tc>
        <w:tc>
          <w:tcPr>
            <w:tcW w:w="5325" w:type="dxa"/>
          </w:tcPr>
          <w:p w14:paraId="792173AF" w14:textId="77777777" w:rsidR="001B39BA" w:rsidRPr="001B39BA" w:rsidRDefault="001B39BA" w:rsidP="003D246B">
            <w:pPr>
              <w:spacing w:before="5"/>
              <w:ind w:left="253"/>
              <w:jc w:val="both"/>
              <w:rPr>
                <w:rFonts w:ascii="Arial" w:hAnsi="Arial" w:cs="Arial"/>
                <w:kern w:val="2"/>
                <w14:ligatures w14:val="standardContextual"/>
              </w:rPr>
            </w:pPr>
          </w:p>
          <w:p w14:paraId="13600068" w14:textId="77777777" w:rsidR="001B39BA" w:rsidRPr="001B39BA" w:rsidRDefault="001B39BA" w:rsidP="003D246B">
            <w:pPr>
              <w:spacing w:before="5"/>
              <w:ind w:left="253"/>
              <w:jc w:val="both"/>
              <w:rPr>
                <w:rFonts w:ascii="Arial" w:hAnsi="Arial" w:cs="Arial"/>
                <w:kern w:val="2"/>
                <w14:ligatures w14:val="standardContextual"/>
              </w:rPr>
            </w:pPr>
            <w:r w:rsidRPr="001B39BA">
              <w:rPr>
                <w:rFonts w:ascii="Arial" w:hAnsi="Arial" w:cs="Arial"/>
                <w:kern w:val="2"/>
                <w14:ligatures w14:val="standardContextual"/>
              </w:rPr>
              <w:t>This</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level</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signifies</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a</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moderate</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degree</w:t>
            </w:r>
            <w:r w:rsidRPr="001B39BA">
              <w:rPr>
                <w:rFonts w:ascii="Arial" w:hAnsi="Arial" w:cs="Arial"/>
                <w:spacing w:val="-7"/>
                <w:kern w:val="2"/>
                <w14:ligatures w14:val="standardContextual"/>
              </w:rPr>
              <w:t xml:space="preserve"> </w:t>
            </w:r>
            <w:r w:rsidRPr="001B39BA">
              <w:rPr>
                <w:rFonts w:ascii="Arial" w:hAnsi="Arial" w:cs="Arial"/>
                <w:spacing w:val="-5"/>
                <w:kern w:val="2"/>
                <w14:ligatures w14:val="standardContextual"/>
              </w:rPr>
              <w:t xml:space="preserve">of </w:t>
            </w:r>
            <w:r w:rsidRPr="001B39BA">
              <w:rPr>
                <w:rFonts w:ascii="Arial" w:hAnsi="Arial" w:cs="Arial"/>
                <w:kern w:val="2"/>
                <w14:ligatures w14:val="standardContextual"/>
              </w:rPr>
              <w:t>satisfaction,</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where</w:t>
            </w:r>
            <w:r w:rsidRPr="001B39BA">
              <w:rPr>
                <w:rFonts w:ascii="Arial" w:hAnsi="Arial" w:cs="Arial"/>
                <w:spacing w:val="-10"/>
                <w:kern w:val="2"/>
                <w14:ligatures w14:val="standardContextual"/>
              </w:rPr>
              <w:t xml:space="preserve"> </w:t>
            </w:r>
            <w:r w:rsidRPr="001B39BA">
              <w:rPr>
                <w:rFonts w:ascii="Arial" w:hAnsi="Arial" w:cs="Arial"/>
                <w:kern w:val="2"/>
                <w14:ligatures w14:val="standardContextual"/>
              </w:rPr>
              <w:t>Guidance</w:t>
            </w:r>
            <w:r w:rsidRPr="001B39BA">
              <w:rPr>
                <w:rFonts w:ascii="Arial" w:hAnsi="Arial" w:cs="Arial"/>
                <w:spacing w:val="-6"/>
                <w:kern w:val="2"/>
                <w14:ligatures w14:val="standardContextual"/>
              </w:rPr>
              <w:t xml:space="preserve"> </w:t>
            </w:r>
            <w:r w:rsidRPr="001B39BA">
              <w:rPr>
                <w:rFonts w:ascii="Arial" w:hAnsi="Arial" w:cs="Arial"/>
                <w:spacing w:val="-2"/>
                <w:kern w:val="2"/>
                <w14:ligatures w14:val="standardContextual"/>
              </w:rPr>
              <w:t xml:space="preserve">Counselors </w:t>
            </w:r>
            <w:r w:rsidRPr="001B39BA">
              <w:rPr>
                <w:rFonts w:ascii="Arial" w:hAnsi="Arial" w:cs="Arial"/>
                <w:kern w:val="2"/>
                <w14:ligatures w14:val="standardContextual"/>
              </w:rPr>
              <w:t>experience some contentment but are less profoundly</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fulfilled</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than</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those</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at</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higher</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levels.</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They find</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aspects</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of</w:t>
            </w:r>
            <w:r w:rsidRPr="001B39BA">
              <w:rPr>
                <w:rFonts w:ascii="Arial" w:hAnsi="Arial" w:cs="Arial"/>
                <w:spacing w:val="-1"/>
                <w:kern w:val="2"/>
                <w14:ligatures w14:val="standardContextual"/>
              </w:rPr>
              <w:t xml:space="preserve"> </w:t>
            </w:r>
            <w:r w:rsidRPr="001B39BA">
              <w:rPr>
                <w:rFonts w:ascii="Arial" w:hAnsi="Arial" w:cs="Arial"/>
                <w:kern w:val="2"/>
                <w14:ligatures w14:val="standardContextual"/>
              </w:rPr>
              <w:t>their</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work</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enjoyable</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but</w:t>
            </w:r>
            <w:r w:rsidRPr="001B39BA">
              <w:rPr>
                <w:rFonts w:ascii="Arial" w:hAnsi="Arial" w:cs="Arial"/>
                <w:spacing w:val="-4"/>
                <w:kern w:val="2"/>
                <w14:ligatures w14:val="standardContextual"/>
              </w:rPr>
              <w:t xml:space="preserve"> </w:t>
            </w:r>
            <w:r w:rsidRPr="001B39BA">
              <w:rPr>
                <w:rFonts w:ascii="Arial" w:hAnsi="Arial" w:cs="Arial"/>
                <w:spacing w:val="-2"/>
                <w:kern w:val="2"/>
                <w14:ligatures w14:val="standardContextual"/>
              </w:rPr>
              <w:t>encounter challenges.</w:t>
            </w:r>
          </w:p>
        </w:tc>
      </w:tr>
      <w:tr w:rsidR="001B39BA" w:rsidRPr="001B39BA" w14:paraId="1896C62E" w14:textId="77777777">
        <w:trPr>
          <w:trHeight w:val="263"/>
        </w:trPr>
        <w:tc>
          <w:tcPr>
            <w:tcW w:w="1119" w:type="dxa"/>
            <w:tcBorders>
              <w:top w:val="nil"/>
              <w:left w:val="nil"/>
              <w:bottom w:val="single" w:sz="4" w:space="0" w:color="auto"/>
              <w:right w:val="nil"/>
            </w:tcBorders>
          </w:tcPr>
          <w:p w14:paraId="3CE6C269" w14:textId="77777777" w:rsidR="001B39BA" w:rsidRPr="001B39BA" w:rsidRDefault="001B39BA" w:rsidP="003D246B">
            <w:pPr>
              <w:jc w:val="both"/>
              <w:rPr>
                <w:rFonts w:ascii="Arial" w:hAnsi="Arial" w:cs="Arial"/>
                <w:kern w:val="2"/>
                <w14:ligatures w14:val="standardContextual"/>
              </w:rPr>
            </w:pPr>
          </w:p>
          <w:p w14:paraId="7BBCFA40" w14:textId="77777777" w:rsidR="001B39BA" w:rsidRPr="001B39BA" w:rsidRDefault="001B39BA" w:rsidP="003D246B">
            <w:pPr>
              <w:jc w:val="both"/>
              <w:rPr>
                <w:rFonts w:ascii="Arial" w:hAnsi="Arial" w:cs="Arial"/>
                <w:kern w:val="2"/>
                <w14:ligatures w14:val="standardContextual"/>
              </w:rPr>
            </w:pPr>
            <w:r w:rsidRPr="001B39BA">
              <w:rPr>
                <w:rFonts w:ascii="Arial" w:hAnsi="Arial" w:cs="Arial"/>
                <w:kern w:val="2"/>
                <w14:ligatures w14:val="standardContextual"/>
              </w:rPr>
              <w:t>≤</w:t>
            </w:r>
            <w:r w:rsidRPr="001B39BA">
              <w:rPr>
                <w:rFonts w:ascii="Arial" w:hAnsi="Arial" w:cs="Arial"/>
                <w:spacing w:val="2"/>
                <w:kern w:val="2"/>
                <w14:ligatures w14:val="standardContextual"/>
              </w:rPr>
              <w:t xml:space="preserve"> </w:t>
            </w:r>
            <w:r w:rsidRPr="001B39BA">
              <w:rPr>
                <w:rFonts w:ascii="Arial" w:hAnsi="Arial" w:cs="Arial"/>
                <w:spacing w:val="-5"/>
                <w:kern w:val="2"/>
                <w14:ligatures w14:val="standardContextual"/>
              </w:rPr>
              <w:t>22</w:t>
            </w:r>
          </w:p>
        </w:tc>
        <w:tc>
          <w:tcPr>
            <w:tcW w:w="2257" w:type="dxa"/>
            <w:tcBorders>
              <w:top w:val="nil"/>
              <w:left w:val="nil"/>
              <w:bottom w:val="single" w:sz="4" w:space="0" w:color="auto"/>
              <w:right w:val="nil"/>
            </w:tcBorders>
          </w:tcPr>
          <w:p w14:paraId="1BD96DBA" w14:textId="77777777" w:rsidR="001B39BA" w:rsidRPr="001B39BA" w:rsidRDefault="001B39BA" w:rsidP="003D246B">
            <w:pPr>
              <w:jc w:val="both"/>
              <w:rPr>
                <w:rFonts w:ascii="Arial" w:hAnsi="Arial" w:cs="Arial"/>
                <w:spacing w:val="-5"/>
                <w:kern w:val="2"/>
                <w14:ligatures w14:val="standardContextual"/>
              </w:rPr>
            </w:pPr>
          </w:p>
          <w:p w14:paraId="7F533170" w14:textId="77777777" w:rsidR="001B39BA" w:rsidRPr="001B39BA" w:rsidRDefault="001B39BA" w:rsidP="003D246B">
            <w:pPr>
              <w:jc w:val="both"/>
              <w:rPr>
                <w:rFonts w:ascii="Arial" w:hAnsi="Arial" w:cs="Arial"/>
                <w:kern w:val="2"/>
                <w14:ligatures w14:val="standardContextual"/>
              </w:rPr>
            </w:pPr>
            <w:r w:rsidRPr="001B39BA">
              <w:rPr>
                <w:rFonts w:ascii="Arial" w:hAnsi="Arial" w:cs="Arial"/>
                <w:spacing w:val="-5"/>
                <w:kern w:val="2"/>
                <w14:ligatures w14:val="standardContextual"/>
              </w:rPr>
              <w:t>Low</w:t>
            </w:r>
          </w:p>
        </w:tc>
        <w:tc>
          <w:tcPr>
            <w:tcW w:w="5325" w:type="dxa"/>
            <w:tcBorders>
              <w:top w:val="nil"/>
              <w:left w:val="nil"/>
              <w:bottom w:val="single" w:sz="4" w:space="0" w:color="auto"/>
              <w:right w:val="nil"/>
            </w:tcBorders>
          </w:tcPr>
          <w:p w14:paraId="359C90B9" w14:textId="77777777" w:rsidR="001B39BA" w:rsidRPr="001B39BA" w:rsidRDefault="001B39BA" w:rsidP="003D246B">
            <w:pPr>
              <w:spacing w:before="5"/>
              <w:ind w:left="253"/>
              <w:jc w:val="both"/>
              <w:rPr>
                <w:rFonts w:ascii="Arial" w:hAnsi="Arial" w:cs="Arial"/>
                <w:kern w:val="2"/>
                <w14:ligatures w14:val="standardContextual"/>
              </w:rPr>
            </w:pPr>
          </w:p>
          <w:p w14:paraId="5268C693" w14:textId="77777777" w:rsidR="001B39BA" w:rsidRPr="001B39BA" w:rsidRDefault="001B39BA" w:rsidP="003D246B">
            <w:pPr>
              <w:spacing w:before="5"/>
              <w:ind w:left="253"/>
              <w:jc w:val="both"/>
              <w:rPr>
                <w:rFonts w:ascii="Arial" w:hAnsi="Arial" w:cs="Arial"/>
                <w:kern w:val="2"/>
                <w14:ligatures w14:val="standardContextual"/>
              </w:rPr>
            </w:pPr>
            <w:r w:rsidRPr="001B39BA">
              <w:rPr>
                <w:rFonts w:ascii="Arial" w:hAnsi="Arial" w:cs="Arial"/>
                <w:kern w:val="2"/>
                <w14:ligatures w14:val="standardContextual"/>
              </w:rPr>
              <w:t>This</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describes</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the</w:t>
            </w:r>
            <w:r w:rsidRPr="001B39BA">
              <w:rPr>
                <w:rFonts w:ascii="Arial" w:hAnsi="Arial" w:cs="Arial"/>
                <w:spacing w:val="-1"/>
                <w:kern w:val="2"/>
                <w14:ligatures w14:val="standardContextual"/>
              </w:rPr>
              <w:t xml:space="preserve"> </w:t>
            </w:r>
            <w:r w:rsidRPr="001B39BA">
              <w:rPr>
                <w:rFonts w:ascii="Arial" w:hAnsi="Arial" w:cs="Arial"/>
                <w:kern w:val="2"/>
                <w14:ligatures w14:val="standardContextual"/>
              </w:rPr>
              <w:t>lowest</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level</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of</w:t>
            </w:r>
            <w:r w:rsidRPr="001B39BA">
              <w:rPr>
                <w:rFonts w:ascii="Arial" w:hAnsi="Arial" w:cs="Arial"/>
                <w:spacing w:val="-3"/>
                <w:kern w:val="2"/>
                <w14:ligatures w14:val="standardContextual"/>
              </w:rPr>
              <w:t xml:space="preserve"> </w:t>
            </w:r>
            <w:r w:rsidRPr="001B39BA">
              <w:rPr>
                <w:rFonts w:ascii="Arial" w:hAnsi="Arial" w:cs="Arial"/>
                <w:spacing w:val="-2"/>
                <w:kern w:val="2"/>
                <w14:ligatures w14:val="standardContextual"/>
              </w:rPr>
              <w:t xml:space="preserve">satisfaction, </w:t>
            </w:r>
            <w:r w:rsidRPr="001B39BA">
              <w:rPr>
                <w:rFonts w:ascii="Arial" w:hAnsi="Arial" w:cs="Arial"/>
                <w:kern w:val="2"/>
                <w14:ligatures w14:val="standardContextual"/>
              </w:rPr>
              <w:t>where</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Guidance</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Counselors</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feel</w:t>
            </w:r>
            <w:r w:rsidRPr="001B39BA">
              <w:rPr>
                <w:rFonts w:ascii="Arial" w:hAnsi="Arial" w:cs="Arial"/>
                <w:spacing w:val="-7"/>
                <w:kern w:val="2"/>
                <w14:ligatures w14:val="standardContextual"/>
              </w:rPr>
              <w:t xml:space="preserve"> </w:t>
            </w:r>
            <w:r w:rsidRPr="001B39BA">
              <w:rPr>
                <w:rFonts w:ascii="Arial" w:hAnsi="Arial" w:cs="Arial"/>
                <w:spacing w:val="-2"/>
                <w:kern w:val="2"/>
                <w14:ligatures w14:val="standardContextual"/>
              </w:rPr>
              <w:t xml:space="preserve">deeply </w:t>
            </w:r>
            <w:r w:rsidRPr="001B39BA">
              <w:rPr>
                <w:rFonts w:ascii="Arial" w:hAnsi="Arial" w:cs="Arial"/>
                <w:kern w:val="2"/>
                <w14:ligatures w14:val="standardContextual"/>
              </w:rPr>
              <w:t>dissatisfied, unhappy, or unfulfilled in their work, leading</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to</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apathy,</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frustration,</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or</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despair.</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They</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also experience</w:t>
            </w:r>
            <w:r w:rsidRPr="001B39BA">
              <w:rPr>
                <w:rFonts w:ascii="Arial" w:hAnsi="Arial" w:cs="Arial"/>
                <w:spacing w:val="49"/>
                <w:kern w:val="2"/>
                <w14:ligatures w14:val="standardContextual"/>
              </w:rPr>
              <w:t xml:space="preserve"> </w:t>
            </w:r>
            <w:r w:rsidRPr="001B39BA">
              <w:rPr>
                <w:rFonts w:ascii="Arial" w:hAnsi="Arial" w:cs="Arial"/>
                <w:kern w:val="2"/>
                <w14:ligatures w14:val="standardContextual"/>
              </w:rPr>
              <w:t>low</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satisfaction</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in</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assisting</w:t>
            </w:r>
            <w:r w:rsidRPr="001B39BA">
              <w:rPr>
                <w:rFonts w:ascii="Arial" w:hAnsi="Arial" w:cs="Arial"/>
                <w:spacing w:val="-8"/>
                <w:kern w:val="2"/>
                <w14:ligatures w14:val="standardContextual"/>
              </w:rPr>
              <w:t xml:space="preserve"> </w:t>
            </w:r>
            <w:r w:rsidRPr="001B39BA">
              <w:rPr>
                <w:rFonts w:ascii="Arial" w:hAnsi="Arial" w:cs="Arial"/>
                <w:spacing w:val="-2"/>
                <w:kern w:val="2"/>
                <w14:ligatures w14:val="standardContextual"/>
              </w:rPr>
              <w:t xml:space="preserve">others, </w:t>
            </w:r>
            <w:r w:rsidRPr="001B39BA">
              <w:rPr>
                <w:rFonts w:ascii="Arial" w:hAnsi="Arial" w:cs="Arial"/>
                <w:kern w:val="2"/>
                <w14:ligatures w14:val="standardContextual"/>
              </w:rPr>
              <w:t>despite</w:t>
            </w:r>
            <w:r w:rsidRPr="001B39BA">
              <w:rPr>
                <w:rFonts w:ascii="Arial" w:hAnsi="Arial" w:cs="Arial"/>
                <w:spacing w:val="-7"/>
                <w:kern w:val="2"/>
                <w14:ligatures w14:val="standardContextual"/>
              </w:rPr>
              <w:t xml:space="preserve"> their efforts </w:t>
            </w:r>
            <w:r w:rsidRPr="001B39BA">
              <w:rPr>
                <w:rFonts w:ascii="Arial" w:hAnsi="Arial" w:cs="Arial"/>
                <w:kern w:val="2"/>
                <w14:ligatures w14:val="standardContextual"/>
              </w:rPr>
              <w:t>to</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make</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meaningful</w:t>
            </w:r>
            <w:r w:rsidRPr="001B39BA">
              <w:rPr>
                <w:rFonts w:ascii="Arial" w:hAnsi="Arial" w:cs="Arial"/>
                <w:spacing w:val="-5"/>
                <w:kern w:val="2"/>
                <w14:ligatures w14:val="standardContextual"/>
              </w:rPr>
              <w:t xml:space="preserve"> </w:t>
            </w:r>
            <w:r w:rsidRPr="001B39BA">
              <w:rPr>
                <w:rFonts w:ascii="Arial" w:hAnsi="Arial" w:cs="Arial"/>
                <w:spacing w:val="-2"/>
                <w:kern w:val="2"/>
                <w14:ligatures w14:val="standardContextual"/>
              </w:rPr>
              <w:t>contributions.</w:t>
            </w:r>
          </w:p>
        </w:tc>
      </w:tr>
    </w:tbl>
    <w:p w14:paraId="3137FDC9"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7D217D27" w14:textId="77777777" w:rsidR="003D246B" w:rsidRDefault="003D246B" w:rsidP="001B39BA">
      <w:pPr>
        <w:widowControl/>
        <w:autoSpaceDE/>
        <w:spacing w:line="360" w:lineRule="auto"/>
        <w:ind w:firstLine="720"/>
        <w:jc w:val="both"/>
        <w:rPr>
          <w:rFonts w:ascii="Arial" w:eastAsia="Calibri" w:hAnsi="Arial" w:cs="Arial"/>
          <w:lang w:val="en-SG"/>
        </w:rPr>
      </w:pPr>
    </w:p>
    <w:p w14:paraId="158FA6AB" w14:textId="566592F9" w:rsidR="001B39BA" w:rsidRPr="001B39BA" w:rsidRDefault="001B39BA" w:rsidP="003D246B">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Meanwhile, compassion fatigue was measured using the Professional Quality of Life Scale Version 5 (ProQOL v5) developed by Beth Hudnall Stamm. The compassion fatigue dimension of the instrument consists of two components: burnout and secondary traumatic stress. Burnout reflects emotional exhaustion and frustration resulting from prolonged work-related stress. In contrast, secondary traumatic stress refers to the negative emotional reactions that may arise from indirect exposure to the traumatic experiences of clients (Stamm, 2010).</w:t>
      </w:r>
      <w:r w:rsidR="003D246B">
        <w:rPr>
          <w:rFonts w:ascii="Arial" w:eastAsia="Calibri" w:hAnsi="Arial" w:cs="Arial"/>
          <w:lang w:val="en-SG"/>
        </w:rPr>
        <w:t xml:space="preserve"> </w:t>
      </w:r>
      <w:r w:rsidR="003D246B">
        <w:rPr>
          <w:rFonts w:ascii="Arial" w:eastAsia="Calibri" w:hAnsi="Arial" w:cs="Arial"/>
          <w:lang w:val="en-SG"/>
        </w:rPr>
        <w:tab/>
      </w:r>
      <w:r w:rsidR="003D246B">
        <w:rPr>
          <w:rFonts w:ascii="Arial" w:eastAsia="Calibri" w:hAnsi="Arial" w:cs="Arial"/>
          <w:lang w:val="en-SG"/>
        </w:rPr>
        <w:tab/>
      </w:r>
      <w:r w:rsidR="003D246B">
        <w:rPr>
          <w:rFonts w:ascii="Arial" w:eastAsia="Calibri" w:hAnsi="Arial" w:cs="Arial"/>
          <w:lang w:val="en-SG"/>
        </w:rPr>
        <w:tab/>
      </w:r>
      <w:r w:rsidR="003D246B">
        <w:rPr>
          <w:rFonts w:ascii="Arial" w:eastAsia="Calibri" w:hAnsi="Arial" w:cs="Arial"/>
          <w:lang w:val="en-SG"/>
        </w:rPr>
        <w:tab/>
      </w:r>
      <w:r w:rsidR="003D246B">
        <w:rPr>
          <w:rFonts w:ascii="Arial" w:eastAsia="Calibri" w:hAnsi="Arial" w:cs="Arial"/>
          <w:lang w:val="en-SG"/>
        </w:rPr>
        <w:tab/>
      </w:r>
      <w:r w:rsidR="003D246B">
        <w:rPr>
          <w:rFonts w:ascii="Arial" w:eastAsia="Calibri" w:hAnsi="Arial" w:cs="Arial"/>
          <w:lang w:val="en-SG"/>
        </w:rPr>
        <w:tab/>
      </w:r>
      <w:r w:rsidR="003D246B">
        <w:rPr>
          <w:rFonts w:ascii="Arial" w:eastAsia="Calibri" w:hAnsi="Arial" w:cs="Arial"/>
          <w:lang w:val="en-SG"/>
        </w:rPr>
        <w:tab/>
      </w:r>
      <w:r w:rsidRPr="001B39BA">
        <w:rPr>
          <w:rFonts w:ascii="Arial" w:eastAsia="Calibri" w:hAnsi="Arial" w:cs="Arial"/>
          <w:lang w:val="en-SG"/>
        </w:rPr>
        <w:t xml:space="preserve">For compassion fatigue, the burnout subscale yielded an acceptable Cronbach’s alpha of α = 0.657 for exploratory research, while the secondary traumatic stress subscale demonstrated high reliability (α = 0.863). Reliability coefficients within this range are considered acceptable in exploratory studies, particularly when instruments are applied to </w:t>
      </w:r>
      <w:r w:rsidRPr="001B39BA">
        <w:rPr>
          <w:rFonts w:ascii="Arial" w:eastAsia="Calibri" w:hAnsi="Arial" w:cs="Arial"/>
          <w:lang w:val="en-SG"/>
        </w:rPr>
        <w:lastRenderedPageBreak/>
        <w:t>new contexts or populations (Hair Jr. et al., 2019; Nunnally &amp; Bernstein, 1994). These results confirmed that the ProQOL instrument was appropriate for assessing both positive and negative aspects of professional experience among guidance counselors.</w:t>
      </w:r>
    </w:p>
    <w:p w14:paraId="42F9B9B9" w14:textId="77777777" w:rsidR="001B39BA" w:rsidRPr="001B39BA" w:rsidRDefault="001B39BA" w:rsidP="001B39BA">
      <w:pPr>
        <w:widowControl/>
        <w:autoSpaceDE/>
        <w:spacing w:line="360" w:lineRule="auto"/>
        <w:jc w:val="both"/>
        <w:rPr>
          <w:rFonts w:ascii="Arial" w:eastAsia="Calibri" w:hAnsi="Arial" w:cs="Arial"/>
          <w:lang w:val="en-SG"/>
        </w:rPr>
      </w:pPr>
    </w:p>
    <w:p w14:paraId="0156D29D" w14:textId="77777777" w:rsidR="001B39BA" w:rsidRPr="001B39BA" w:rsidRDefault="001B39BA" w:rsidP="001B39BA">
      <w:pPr>
        <w:widowControl/>
        <w:autoSpaceDE/>
        <w:spacing w:line="360" w:lineRule="auto"/>
        <w:jc w:val="both"/>
        <w:rPr>
          <w:rFonts w:ascii="Arial" w:eastAsia="Calibri" w:hAnsi="Arial" w:cs="Arial"/>
          <w:lang w:val="en-SG"/>
        </w:rPr>
      </w:pPr>
      <w:r w:rsidRPr="001B39BA">
        <w:rPr>
          <w:rFonts w:ascii="Arial" w:eastAsia="Calibri" w:hAnsi="Arial" w:cs="Arial"/>
          <w:lang w:val="en-SG"/>
        </w:rPr>
        <w:t>Level of Guidance Counselor’s Compassion Fatigue with Element of Burnout</w:t>
      </w:r>
    </w:p>
    <w:tbl>
      <w:tblPr>
        <w:tblpPr w:leftFromText="180" w:rightFromText="180" w:bottomFromText="160" w:vertAnchor="text" w:horzAnchor="margin" w:tblpY="141"/>
        <w:tblW w:w="8640" w:type="dxa"/>
        <w:tblLayout w:type="fixed"/>
        <w:tblCellMar>
          <w:left w:w="0" w:type="dxa"/>
          <w:right w:w="0" w:type="dxa"/>
        </w:tblCellMar>
        <w:tblLook w:val="01E0" w:firstRow="1" w:lastRow="1" w:firstColumn="1" w:lastColumn="1" w:noHBand="0" w:noVBand="0"/>
      </w:tblPr>
      <w:tblGrid>
        <w:gridCol w:w="1064"/>
        <w:gridCol w:w="1628"/>
        <w:gridCol w:w="5948"/>
      </w:tblGrid>
      <w:tr w:rsidR="001B39BA" w:rsidRPr="001B39BA" w14:paraId="727BBF9B" w14:textId="77777777">
        <w:trPr>
          <w:trHeight w:val="421"/>
        </w:trPr>
        <w:tc>
          <w:tcPr>
            <w:tcW w:w="1065" w:type="dxa"/>
            <w:tcBorders>
              <w:top w:val="single" w:sz="12" w:space="0" w:color="000000"/>
              <w:left w:val="nil"/>
              <w:bottom w:val="single" w:sz="12" w:space="0" w:color="000000"/>
              <w:right w:val="nil"/>
            </w:tcBorders>
            <w:hideMark/>
          </w:tcPr>
          <w:p w14:paraId="7ADA93CB" w14:textId="77777777" w:rsidR="001B39BA" w:rsidRPr="001B39BA" w:rsidRDefault="001B39BA" w:rsidP="003D246B">
            <w:pPr>
              <w:spacing w:before="27"/>
              <w:ind w:left="28"/>
              <w:jc w:val="both"/>
              <w:rPr>
                <w:rFonts w:ascii="Arial" w:hAnsi="Arial" w:cs="Arial"/>
                <w:kern w:val="2"/>
                <w14:ligatures w14:val="standardContextual"/>
              </w:rPr>
            </w:pPr>
            <w:r w:rsidRPr="001B39BA">
              <w:rPr>
                <w:rFonts w:ascii="Arial" w:hAnsi="Arial" w:cs="Arial"/>
                <w:spacing w:val="-2"/>
                <w:kern w:val="2"/>
                <w14:ligatures w14:val="standardContextual"/>
              </w:rPr>
              <w:t>Score</w:t>
            </w:r>
          </w:p>
        </w:tc>
        <w:tc>
          <w:tcPr>
            <w:tcW w:w="1629" w:type="dxa"/>
            <w:tcBorders>
              <w:top w:val="single" w:sz="12" w:space="0" w:color="000000"/>
              <w:left w:val="nil"/>
              <w:bottom w:val="single" w:sz="12" w:space="0" w:color="000000"/>
              <w:right w:val="nil"/>
            </w:tcBorders>
            <w:hideMark/>
          </w:tcPr>
          <w:p w14:paraId="2E64CCE2" w14:textId="77777777" w:rsidR="001B39BA" w:rsidRPr="001B39BA" w:rsidRDefault="001B39BA" w:rsidP="003D246B">
            <w:pPr>
              <w:spacing w:before="27"/>
              <w:ind w:left="350"/>
              <w:jc w:val="both"/>
              <w:rPr>
                <w:rFonts w:ascii="Arial" w:hAnsi="Arial" w:cs="Arial"/>
                <w:kern w:val="2"/>
                <w14:ligatures w14:val="standardContextual"/>
              </w:rPr>
            </w:pPr>
            <w:r w:rsidRPr="001B39BA">
              <w:rPr>
                <w:rFonts w:ascii="Arial" w:hAnsi="Arial" w:cs="Arial"/>
                <w:spacing w:val="-2"/>
                <w:kern w:val="2"/>
                <w14:ligatures w14:val="standardContextual"/>
              </w:rPr>
              <w:t>Interpretation</w:t>
            </w:r>
          </w:p>
        </w:tc>
        <w:tc>
          <w:tcPr>
            <w:tcW w:w="5953" w:type="dxa"/>
            <w:tcBorders>
              <w:top w:val="single" w:sz="12" w:space="0" w:color="000000"/>
              <w:left w:val="nil"/>
              <w:bottom w:val="single" w:sz="12" w:space="0" w:color="000000"/>
              <w:right w:val="nil"/>
            </w:tcBorders>
            <w:hideMark/>
          </w:tcPr>
          <w:p w14:paraId="6C14BBF6" w14:textId="77777777" w:rsidR="001B39BA" w:rsidRPr="001B39BA" w:rsidRDefault="001B39BA" w:rsidP="003D246B">
            <w:pPr>
              <w:spacing w:before="27"/>
              <w:ind w:left="430"/>
              <w:jc w:val="both"/>
              <w:rPr>
                <w:rFonts w:ascii="Arial" w:hAnsi="Arial" w:cs="Arial"/>
                <w:kern w:val="2"/>
                <w14:ligatures w14:val="standardContextual"/>
              </w:rPr>
            </w:pPr>
            <w:r w:rsidRPr="001B39BA">
              <w:rPr>
                <w:rFonts w:ascii="Arial" w:hAnsi="Arial" w:cs="Arial"/>
                <w:kern w:val="2"/>
                <w14:ligatures w14:val="standardContextual"/>
              </w:rPr>
              <w:t>Descriptive</w:t>
            </w:r>
            <w:r w:rsidRPr="001B39BA">
              <w:rPr>
                <w:rFonts w:ascii="Arial" w:hAnsi="Arial" w:cs="Arial"/>
                <w:spacing w:val="-12"/>
                <w:kern w:val="2"/>
                <w14:ligatures w14:val="standardContextual"/>
              </w:rPr>
              <w:t xml:space="preserve"> </w:t>
            </w:r>
            <w:r w:rsidRPr="001B39BA">
              <w:rPr>
                <w:rFonts w:ascii="Arial" w:hAnsi="Arial" w:cs="Arial"/>
                <w:spacing w:val="-2"/>
                <w:kern w:val="2"/>
                <w14:ligatures w14:val="standardContextual"/>
              </w:rPr>
              <w:t>Interpretation</w:t>
            </w:r>
          </w:p>
        </w:tc>
      </w:tr>
      <w:tr w:rsidR="001B39BA" w:rsidRPr="001B39BA" w14:paraId="6C228F5A" w14:textId="77777777">
        <w:trPr>
          <w:trHeight w:val="419"/>
        </w:trPr>
        <w:tc>
          <w:tcPr>
            <w:tcW w:w="1065" w:type="dxa"/>
            <w:tcBorders>
              <w:top w:val="single" w:sz="12" w:space="0" w:color="000000"/>
              <w:left w:val="nil"/>
              <w:bottom w:val="nil"/>
              <w:right w:val="nil"/>
            </w:tcBorders>
            <w:hideMark/>
          </w:tcPr>
          <w:p w14:paraId="1072853D" w14:textId="77777777" w:rsidR="001B39BA" w:rsidRPr="001B39BA" w:rsidRDefault="001B39BA" w:rsidP="003D246B">
            <w:pPr>
              <w:spacing w:before="161"/>
              <w:ind w:left="57"/>
              <w:jc w:val="both"/>
              <w:rPr>
                <w:rFonts w:ascii="Arial" w:hAnsi="Arial" w:cs="Arial"/>
                <w:kern w:val="2"/>
                <w14:ligatures w14:val="standardContextual"/>
              </w:rPr>
            </w:pPr>
            <w:r w:rsidRPr="001B39BA">
              <w:rPr>
                <w:rFonts w:ascii="Arial" w:hAnsi="Arial" w:cs="Arial"/>
                <w:kern w:val="2"/>
                <w14:ligatures w14:val="standardContextual"/>
              </w:rPr>
              <w:t>≥</w:t>
            </w:r>
            <w:r w:rsidRPr="001B39BA">
              <w:rPr>
                <w:rFonts w:ascii="Arial" w:hAnsi="Arial" w:cs="Arial"/>
                <w:spacing w:val="-6"/>
                <w:kern w:val="2"/>
                <w14:ligatures w14:val="standardContextual"/>
              </w:rPr>
              <w:t xml:space="preserve"> </w:t>
            </w:r>
            <w:r w:rsidRPr="001B39BA">
              <w:rPr>
                <w:rFonts w:ascii="Arial" w:hAnsi="Arial" w:cs="Arial"/>
                <w:spacing w:val="-5"/>
                <w:kern w:val="2"/>
                <w14:ligatures w14:val="standardContextual"/>
              </w:rPr>
              <w:t>42</w:t>
            </w:r>
          </w:p>
        </w:tc>
        <w:tc>
          <w:tcPr>
            <w:tcW w:w="1629" w:type="dxa"/>
            <w:tcBorders>
              <w:top w:val="single" w:sz="12" w:space="0" w:color="000000"/>
              <w:left w:val="nil"/>
              <w:bottom w:val="nil"/>
              <w:right w:val="nil"/>
            </w:tcBorders>
            <w:hideMark/>
          </w:tcPr>
          <w:p w14:paraId="146E263E" w14:textId="77777777" w:rsidR="001B39BA" w:rsidRPr="001B39BA" w:rsidRDefault="001B39BA" w:rsidP="003D246B">
            <w:pPr>
              <w:spacing w:before="161"/>
              <w:jc w:val="both"/>
              <w:rPr>
                <w:rFonts w:ascii="Arial" w:hAnsi="Arial" w:cs="Arial"/>
                <w:kern w:val="2"/>
                <w14:ligatures w14:val="standardContextual"/>
              </w:rPr>
            </w:pPr>
            <w:r w:rsidRPr="001B39BA">
              <w:rPr>
                <w:rFonts w:ascii="Arial" w:hAnsi="Arial" w:cs="Arial"/>
                <w:kern w:val="2"/>
                <w14:ligatures w14:val="standardContextual"/>
              </w:rPr>
              <w:t>High</w:t>
            </w:r>
            <w:r w:rsidRPr="001B39BA">
              <w:rPr>
                <w:rFonts w:ascii="Arial" w:hAnsi="Arial" w:cs="Arial"/>
                <w:spacing w:val="1"/>
                <w:kern w:val="2"/>
                <w14:ligatures w14:val="standardContextual"/>
              </w:rPr>
              <w:t xml:space="preserve"> </w:t>
            </w:r>
            <w:r w:rsidRPr="001B39BA">
              <w:rPr>
                <w:rFonts w:ascii="Arial" w:hAnsi="Arial" w:cs="Arial"/>
                <w:spacing w:val="-2"/>
                <w:kern w:val="2"/>
                <w14:ligatures w14:val="standardContextual"/>
              </w:rPr>
              <w:t>Burnout</w:t>
            </w:r>
          </w:p>
        </w:tc>
        <w:tc>
          <w:tcPr>
            <w:tcW w:w="5953" w:type="dxa"/>
            <w:tcBorders>
              <w:top w:val="single" w:sz="12" w:space="0" w:color="000000"/>
              <w:left w:val="nil"/>
              <w:bottom w:val="nil"/>
              <w:right w:val="nil"/>
            </w:tcBorders>
            <w:hideMark/>
          </w:tcPr>
          <w:p w14:paraId="60BDCB06" w14:textId="77777777" w:rsidR="001B39BA" w:rsidRPr="001B39BA" w:rsidRDefault="001B39BA" w:rsidP="003D246B">
            <w:pPr>
              <w:spacing w:before="161"/>
              <w:ind w:left="430"/>
              <w:jc w:val="both"/>
              <w:rPr>
                <w:rFonts w:ascii="Arial" w:hAnsi="Arial" w:cs="Arial"/>
                <w:kern w:val="2"/>
                <w14:ligatures w14:val="standardContextual"/>
              </w:rPr>
            </w:pPr>
            <w:r w:rsidRPr="001B39BA">
              <w:rPr>
                <w:rFonts w:ascii="Arial" w:hAnsi="Arial" w:cs="Arial"/>
                <w:kern w:val="2"/>
                <w14:ligatures w14:val="standardContextual"/>
              </w:rPr>
              <w:t>Guidance</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Counselors</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may</w:t>
            </w:r>
            <w:r w:rsidRPr="001B39BA">
              <w:rPr>
                <w:rFonts w:ascii="Arial" w:hAnsi="Arial" w:cs="Arial"/>
                <w:spacing w:val="-7"/>
                <w:kern w:val="2"/>
                <w14:ligatures w14:val="standardContextual"/>
              </w:rPr>
              <w:t xml:space="preserve"> </w:t>
            </w:r>
            <w:r w:rsidRPr="001B39BA">
              <w:rPr>
                <w:rFonts w:ascii="Arial" w:hAnsi="Arial" w:cs="Arial"/>
                <w:spacing w:val="-2"/>
                <w:kern w:val="2"/>
                <w14:ligatures w14:val="standardContextual"/>
              </w:rPr>
              <w:t xml:space="preserve">experience intense feelings of </w:t>
            </w:r>
            <w:r w:rsidRPr="001B39BA">
              <w:rPr>
                <w:rFonts w:ascii="Arial" w:hAnsi="Arial" w:cs="Arial"/>
                <w:kern w:val="2"/>
                <w14:ligatures w14:val="standardContextual"/>
              </w:rPr>
              <w:t>unhappiness,</w:t>
            </w:r>
            <w:r w:rsidRPr="001B39BA">
              <w:rPr>
                <w:rFonts w:ascii="Arial" w:hAnsi="Arial" w:cs="Arial"/>
                <w:spacing w:val="-9"/>
                <w:kern w:val="2"/>
                <w14:ligatures w14:val="standardContextual"/>
              </w:rPr>
              <w:t xml:space="preserve"> </w:t>
            </w:r>
            <w:r w:rsidRPr="001B39BA">
              <w:rPr>
                <w:rFonts w:ascii="Arial" w:hAnsi="Arial" w:cs="Arial"/>
                <w:kern w:val="2"/>
                <w14:ligatures w14:val="standardContextual"/>
              </w:rPr>
              <w:t>disconnectedness,</w:t>
            </w:r>
            <w:r w:rsidRPr="001B39BA">
              <w:rPr>
                <w:rFonts w:ascii="Arial" w:hAnsi="Arial" w:cs="Arial"/>
                <w:spacing w:val="-9"/>
                <w:kern w:val="2"/>
                <w14:ligatures w14:val="standardContextual"/>
              </w:rPr>
              <w:t xml:space="preserve"> </w:t>
            </w:r>
            <w:r w:rsidRPr="001B39BA">
              <w:rPr>
                <w:rFonts w:ascii="Arial" w:hAnsi="Arial" w:cs="Arial"/>
                <w:spacing w:val="-5"/>
                <w:kern w:val="2"/>
                <w14:ligatures w14:val="standardContextual"/>
              </w:rPr>
              <w:t xml:space="preserve">and insensitivity toward their </w:t>
            </w:r>
            <w:r w:rsidRPr="001B39BA">
              <w:rPr>
                <w:rFonts w:ascii="Arial" w:hAnsi="Arial" w:cs="Arial"/>
                <w:kern w:val="2"/>
                <w14:ligatures w14:val="standardContextual"/>
              </w:rPr>
              <w:t>work</w:t>
            </w:r>
            <w:r w:rsidRPr="001B39BA">
              <w:rPr>
                <w:rFonts w:ascii="Arial" w:hAnsi="Arial" w:cs="Arial"/>
                <w:spacing w:val="-10"/>
                <w:kern w:val="2"/>
                <w14:ligatures w14:val="standardContextual"/>
              </w:rPr>
              <w:t xml:space="preserve"> </w:t>
            </w:r>
            <w:r w:rsidRPr="001B39BA">
              <w:rPr>
                <w:rFonts w:ascii="Arial" w:hAnsi="Arial" w:cs="Arial"/>
                <w:kern w:val="2"/>
                <w14:ligatures w14:val="standardContextual"/>
              </w:rPr>
              <w:t>environment,</w:t>
            </w:r>
            <w:r w:rsidRPr="001B39BA">
              <w:rPr>
                <w:rFonts w:ascii="Arial" w:hAnsi="Arial" w:cs="Arial"/>
                <w:spacing w:val="-9"/>
                <w:kern w:val="2"/>
                <w14:ligatures w14:val="standardContextual"/>
              </w:rPr>
              <w:t xml:space="preserve"> </w:t>
            </w:r>
            <w:r w:rsidRPr="001B39BA">
              <w:rPr>
                <w:rFonts w:ascii="Arial" w:hAnsi="Arial" w:cs="Arial"/>
                <w:spacing w:val="-4"/>
                <w:kern w:val="2"/>
                <w14:ligatures w14:val="standardContextual"/>
              </w:rPr>
              <w:t xml:space="preserve">often experiencing </w:t>
            </w:r>
            <w:r w:rsidRPr="001B39BA">
              <w:rPr>
                <w:rFonts w:ascii="Arial" w:hAnsi="Arial" w:cs="Arial"/>
                <w:kern w:val="2"/>
                <w14:ligatures w14:val="standardContextual"/>
              </w:rPr>
              <w:t>symptoms</w:t>
            </w:r>
            <w:r w:rsidRPr="001B39BA">
              <w:rPr>
                <w:rFonts w:ascii="Arial" w:hAnsi="Arial" w:cs="Arial"/>
                <w:spacing w:val="-7"/>
                <w:kern w:val="2"/>
                <w14:ligatures w14:val="standardContextual"/>
              </w:rPr>
              <w:t xml:space="preserve"> </w:t>
            </w:r>
            <w:r w:rsidRPr="001B39BA">
              <w:rPr>
                <w:rFonts w:ascii="Arial" w:hAnsi="Arial" w:cs="Arial"/>
                <w:spacing w:val="-9"/>
                <w:kern w:val="2"/>
                <w14:ligatures w14:val="standardContextual"/>
              </w:rPr>
              <w:t xml:space="preserve">such as </w:t>
            </w:r>
            <w:r w:rsidRPr="001B39BA">
              <w:rPr>
                <w:rFonts w:ascii="Arial" w:hAnsi="Arial" w:cs="Arial"/>
                <w:kern w:val="2"/>
                <w14:ligatures w14:val="standardContextual"/>
              </w:rPr>
              <w:t>exhaustion,</w:t>
            </w:r>
            <w:r w:rsidRPr="001B39BA">
              <w:rPr>
                <w:rFonts w:ascii="Arial" w:hAnsi="Arial" w:cs="Arial"/>
                <w:spacing w:val="-9"/>
                <w:kern w:val="2"/>
                <w14:ligatures w14:val="standardContextual"/>
              </w:rPr>
              <w:t xml:space="preserve"> </w:t>
            </w:r>
            <w:r w:rsidRPr="001B39BA">
              <w:rPr>
                <w:rFonts w:ascii="Arial" w:hAnsi="Arial" w:cs="Arial"/>
                <w:spacing w:val="-2"/>
                <w:kern w:val="2"/>
                <w14:ligatures w14:val="standardContextual"/>
              </w:rPr>
              <w:t xml:space="preserve">feeling </w:t>
            </w:r>
            <w:r w:rsidRPr="001B39BA">
              <w:rPr>
                <w:rFonts w:ascii="Arial" w:hAnsi="Arial" w:cs="Arial"/>
                <w:kern w:val="2"/>
                <w14:ligatures w14:val="standardContextual"/>
              </w:rPr>
              <w:t>overwhelmed,</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and</w:t>
            </w:r>
            <w:r w:rsidRPr="001B39BA">
              <w:rPr>
                <w:rFonts w:ascii="Arial" w:hAnsi="Arial" w:cs="Arial"/>
                <w:spacing w:val="-1"/>
                <w:kern w:val="2"/>
                <w14:ligatures w14:val="standardContextual"/>
              </w:rPr>
              <w:t xml:space="preserve"> </w:t>
            </w:r>
            <w:r w:rsidRPr="001B39BA">
              <w:rPr>
                <w:rFonts w:ascii="Arial" w:hAnsi="Arial" w:cs="Arial"/>
                <w:kern w:val="2"/>
                <w14:ligatures w14:val="standardContextual"/>
              </w:rPr>
              <w:t>a</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loss</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of</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connection</w:t>
            </w:r>
            <w:r w:rsidRPr="001B39BA">
              <w:rPr>
                <w:rFonts w:ascii="Arial" w:hAnsi="Arial" w:cs="Arial"/>
                <w:spacing w:val="-1"/>
                <w:kern w:val="2"/>
                <w14:ligatures w14:val="standardContextual"/>
              </w:rPr>
              <w:t xml:space="preserve"> </w:t>
            </w:r>
            <w:r w:rsidRPr="001B39BA">
              <w:rPr>
                <w:rFonts w:ascii="Arial" w:hAnsi="Arial" w:cs="Arial"/>
                <w:kern w:val="2"/>
                <w14:ligatures w14:val="standardContextual"/>
              </w:rPr>
              <w:t>to</w:t>
            </w:r>
            <w:r w:rsidRPr="001B39BA">
              <w:rPr>
                <w:rFonts w:ascii="Arial" w:hAnsi="Arial" w:cs="Arial"/>
                <w:spacing w:val="-1"/>
                <w:kern w:val="2"/>
                <w14:ligatures w14:val="standardContextual"/>
              </w:rPr>
              <w:t xml:space="preserve"> </w:t>
            </w:r>
            <w:r w:rsidRPr="001B39BA">
              <w:rPr>
                <w:rFonts w:ascii="Arial" w:hAnsi="Arial" w:cs="Arial"/>
                <w:kern w:val="2"/>
                <w14:ligatures w14:val="standardContextual"/>
              </w:rPr>
              <w:t>their</w:t>
            </w:r>
            <w:r w:rsidRPr="001B39BA">
              <w:rPr>
                <w:rFonts w:ascii="Arial" w:hAnsi="Arial" w:cs="Arial"/>
                <w:spacing w:val="-4"/>
                <w:kern w:val="2"/>
                <w14:ligatures w14:val="standardContextual"/>
              </w:rPr>
              <w:t xml:space="preserve"> true </w:t>
            </w:r>
            <w:r w:rsidRPr="001B39BA">
              <w:rPr>
                <w:rFonts w:ascii="Arial" w:hAnsi="Arial" w:cs="Arial"/>
                <w:kern w:val="2"/>
                <w14:ligatures w14:val="standardContextual"/>
              </w:rPr>
              <w:t>selves</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and</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beliefs.</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These</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negative</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aspects</w:t>
            </w:r>
            <w:r w:rsidRPr="001B39BA">
              <w:rPr>
                <w:rFonts w:ascii="Arial" w:hAnsi="Arial" w:cs="Arial"/>
                <w:spacing w:val="-8"/>
                <w:kern w:val="2"/>
                <w14:ligatures w14:val="standardContextual"/>
              </w:rPr>
              <w:t xml:space="preserve"> </w:t>
            </w:r>
            <w:r w:rsidRPr="001B39BA">
              <w:rPr>
                <w:rFonts w:ascii="Arial" w:hAnsi="Arial" w:cs="Arial"/>
                <w:spacing w:val="-5"/>
                <w:kern w:val="2"/>
                <w14:ligatures w14:val="standardContextual"/>
              </w:rPr>
              <w:t xml:space="preserve">of </w:t>
            </w:r>
            <w:r w:rsidRPr="001B39BA">
              <w:rPr>
                <w:rFonts w:ascii="Arial" w:hAnsi="Arial" w:cs="Arial"/>
                <w:kern w:val="2"/>
                <w14:ligatures w14:val="standardContextual"/>
              </w:rPr>
              <w:t>caregiving</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can</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cause extreme</w:t>
            </w:r>
            <w:r w:rsidRPr="001B39BA">
              <w:rPr>
                <w:rFonts w:ascii="Arial" w:hAnsi="Arial" w:cs="Arial"/>
                <w:spacing w:val="-7"/>
                <w:kern w:val="2"/>
                <w14:ligatures w14:val="standardContextual"/>
              </w:rPr>
              <w:t xml:space="preserve"> </w:t>
            </w:r>
            <w:r w:rsidRPr="001B39BA">
              <w:rPr>
                <w:rFonts w:ascii="Arial" w:hAnsi="Arial" w:cs="Arial"/>
                <w:spacing w:val="-2"/>
                <w:kern w:val="2"/>
                <w14:ligatures w14:val="standardContextual"/>
              </w:rPr>
              <w:t xml:space="preserve">exhaustion, </w:t>
            </w:r>
            <w:r w:rsidRPr="001B39BA">
              <w:rPr>
                <w:rFonts w:ascii="Arial" w:hAnsi="Arial" w:cs="Arial"/>
                <w:kern w:val="2"/>
                <w14:ligatures w14:val="standardContextual"/>
              </w:rPr>
              <w:t>frustration,</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and</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depression,</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leading to</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challenges</w:t>
            </w:r>
            <w:r w:rsidRPr="001B39BA">
              <w:rPr>
                <w:rFonts w:ascii="Arial" w:hAnsi="Arial" w:cs="Arial"/>
                <w:spacing w:val="-10"/>
                <w:kern w:val="2"/>
                <w14:ligatures w14:val="standardContextual"/>
              </w:rPr>
              <w:t xml:space="preserve"> </w:t>
            </w:r>
            <w:r w:rsidRPr="001B39BA">
              <w:rPr>
                <w:rFonts w:ascii="Arial" w:hAnsi="Arial" w:cs="Arial"/>
                <w:spacing w:val="-5"/>
                <w:kern w:val="2"/>
                <w14:ligatures w14:val="standardContextual"/>
              </w:rPr>
              <w:t xml:space="preserve">in </w:t>
            </w:r>
            <w:r w:rsidRPr="001B39BA">
              <w:rPr>
                <w:rFonts w:ascii="Arial" w:hAnsi="Arial" w:cs="Arial"/>
                <w:kern w:val="2"/>
                <w14:ligatures w14:val="standardContextual"/>
              </w:rPr>
              <w:t>job</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performance</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and</w:t>
            </w:r>
            <w:r w:rsidRPr="001B39BA">
              <w:rPr>
                <w:rFonts w:ascii="Arial" w:hAnsi="Arial" w:cs="Arial"/>
                <w:spacing w:val="-1"/>
                <w:kern w:val="2"/>
                <w14:ligatures w14:val="standardContextual"/>
              </w:rPr>
              <w:t xml:space="preserve"> </w:t>
            </w:r>
            <w:r w:rsidRPr="001B39BA">
              <w:rPr>
                <w:rFonts w:ascii="Arial" w:hAnsi="Arial" w:cs="Arial"/>
                <w:kern w:val="2"/>
                <w14:ligatures w14:val="standardContextual"/>
              </w:rPr>
              <w:t>delivery</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of</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guidance</w:t>
            </w:r>
            <w:r w:rsidRPr="001B39BA">
              <w:rPr>
                <w:rFonts w:ascii="Arial" w:hAnsi="Arial" w:cs="Arial"/>
                <w:spacing w:val="-8"/>
                <w:kern w:val="2"/>
                <w14:ligatures w14:val="standardContextual"/>
              </w:rPr>
              <w:t xml:space="preserve"> services.</w:t>
            </w:r>
          </w:p>
        </w:tc>
      </w:tr>
      <w:tr w:rsidR="001B39BA" w:rsidRPr="001B39BA" w14:paraId="1F690576" w14:textId="77777777">
        <w:trPr>
          <w:trHeight w:val="261"/>
        </w:trPr>
        <w:tc>
          <w:tcPr>
            <w:tcW w:w="1065" w:type="dxa"/>
          </w:tcPr>
          <w:p w14:paraId="04E2584D" w14:textId="77777777" w:rsidR="001B39BA" w:rsidRPr="001B39BA" w:rsidRDefault="001B39BA" w:rsidP="003D246B">
            <w:pPr>
              <w:jc w:val="both"/>
              <w:rPr>
                <w:rFonts w:ascii="Arial" w:hAnsi="Arial" w:cs="Arial"/>
                <w:w w:val="110"/>
                <w:kern w:val="2"/>
                <w14:ligatures w14:val="standardContextual"/>
              </w:rPr>
            </w:pPr>
          </w:p>
          <w:p w14:paraId="7A6224F6" w14:textId="77777777" w:rsidR="001B39BA" w:rsidRPr="001B39BA" w:rsidRDefault="001B39BA" w:rsidP="003D246B">
            <w:pPr>
              <w:jc w:val="both"/>
              <w:rPr>
                <w:rFonts w:ascii="Arial" w:hAnsi="Arial" w:cs="Arial"/>
                <w:kern w:val="2"/>
                <w14:ligatures w14:val="standardContextual"/>
              </w:rPr>
            </w:pPr>
            <w:r w:rsidRPr="001B39BA">
              <w:rPr>
                <w:rFonts w:ascii="Arial" w:hAnsi="Arial" w:cs="Arial"/>
                <w:w w:val="110"/>
                <w:kern w:val="2"/>
                <w14:ligatures w14:val="standardContextual"/>
              </w:rPr>
              <w:t>23</w:t>
            </w:r>
            <w:r w:rsidRPr="001B39BA">
              <w:rPr>
                <w:rFonts w:ascii="Arial" w:hAnsi="Arial" w:cs="Arial"/>
                <w:spacing w:val="-12"/>
                <w:w w:val="110"/>
                <w:kern w:val="2"/>
                <w14:ligatures w14:val="standardContextual"/>
              </w:rPr>
              <w:t xml:space="preserve"> </w:t>
            </w:r>
            <w:r w:rsidRPr="001B39BA">
              <w:rPr>
                <w:rFonts w:ascii="Arial" w:hAnsi="Arial" w:cs="Arial"/>
                <w:w w:val="165"/>
                <w:kern w:val="2"/>
                <w14:ligatures w14:val="standardContextual"/>
              </w:rPr>
              <w:t>–</w:t>
            </w:r>
            <w:r w:rsidRPr="001B39BA">
              <w:rPr>
                <w:rFonts w:ascii="Arial" w:hAnsi="Arial" w:cs="Arial"/>
                <w:spacing w:val="-37"/>
                <w:w w:val="165"/>
                <w:kern w:val="2"/>
                <w14:ligatures w14:val="standardContextual"/>
              </w:rPr>
              <w:t xml:space="preserve"> </w:t>
            </w:r>
            <w:r w:rsidRPr="001B39BA">
              <w:rPr>
                <w:rFonts w:ascii="Arial" w:hAnsi="Arial" w:cs="Arial"/>
                <w:spacing w:val="-5"/>
                <w:w w:val="110"/>
                <w:kern w:val="2"/>
                <w14:ligatures w14:val="standardContextual"/>
              </w:rPr>
              <w:t>41</w:t>
            </w:r>
          </w:p>
        </w:tc>
        <w:tc>
          <w:tcPr>
            <w:tcW w:w="1629" w:type="dxa"/>
          </w:tcPr>
          <w:p w14:paraId="2230EAE7" w14:textId="77777777" w:rsidR="001B39BA" w:rsidRPr="001B39BA" w:rsidRDefault="001B39BA" w:rsidP="003D246B">
            <w:pPr>
              <w:jc w:val="both"/>
              <w:rPr>
                <w:rFonts w:ascii="Arial" w:hAnsi="Arial" w:cs="Arial"/>
                <w:spacing w:val="-2"/>
                <w:kern w:val="2"/>
                <w14:ligatures w14:val="standardContextual"/>
              </w:rPr>
            </w:pPr>
          </w:p>
          <w:p w14:paraId="49B06B5F" w14:textId="77777777" w:rsidR="001B39BA" w:rsidRPr="001B39BA" w:rsidRDefault="001B39BA" w:rsidP="003D246B">
            <w:pPr>
              <w:jc w:val="both"/>
              <w:rPr>
                <w:rFonts w:ascii="Arial" w:hAnsi="Arial" w:cs="Arial"/>
                <w:kern w:val="2"/>
                <w14:ligatures w14:val="standardContextual"/>
              </w:rPr>
            </w:pPr>
            <w:r w:rsidRPr="001B39BA">
              <w:rPr>
                <w:rFonts w:ascii="Arial" w:hAnsi="Arial" w:cs="Arial"/>
                <w:spacing w:val="-2"/>
                <w:kern w:val="2"/>
                <w14:ligatures w14:val="standardContextual"/>
              </w:rPr>
              <w:t>Moderate Burnout</w:t>
            </w:r>
          </w:p>
        </w:tc>
        <w:tc>
          <w:tcPr>
            <w:tcW w:w="5953" w:type="dxa"/>
          </w:tcPr>
          <w:p w14:paraId="1013F1FB" w14:textId="77777777" w:rsidR="001B39BA" w:rsidRPr="001B39BA" w:rsidRDefault="001B39BA" w:rsidP="003D246B">
            <w:pPr>
              <w:spacing w:before="6"/>
              <w:ind w:left="430"/>
              <w:jc w:val="both"/>
              <w:rPr>
                <w:rFonts w:ascii="Arial" w:hAnsi="Arial" w:cs="Arial"/>
                <w:kern w:val="2"/>
                <w14:ligatures w14:val="standardContextual"/>
              </w:rPr>
            </w:pPr>
          </w:p>
          <w:p w14:paraId="6836F52F" w14:textId="77777777" w:rsidR="001B39BA" w:rsidRPr="001B39BA" w:rsidRDefault="001B39BA" w:rsidP="003D246B">
            <w:pPr>
              <w:spacing w:before="6"/>
              <w:ind w:left="430"/>
              <w:jc w:val="both"/>
              <w:rPr>
                <w:rFonts w:ascii="Arial" w:hAnsi="Arial" w:cs="Arial"/>
                <w:kern w:val="2"/>
                <w14:ligatures w14:val="standardContextual"/>
              </w:rPr>
            </w:pPr>
            <w:r w:rsidRPr="001B39BA">
              <w:rPr>
                <w:rFonts w:ascii="Arial" w:hAnsi="Arial" w:cs="Arial"/>
                <w:kern w:val="2"/>
                <w14:ligatures w14:val="standardContextual"/>
              </w:rPr>
              <w:t>Guidance</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counselors</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may</w:t>
            </w:r>
            <w:r w:rsidRPr="001B39BA">
              <w:rPr>
                <w:rFonts w:ascii="Arial" w:hAnsi="Arial" w:cs="Arial"/>
                <w:spacing w:val="-10"/>
                <w:kern w:val="2"/>
                <w14:ligatures w14:val="standardContextual"/>
              </w:rPr>
              <w:t xml:space="preserve"> </w:t>
            </w:r>
            <w:r w:rsidRPr="001B39BA">
              <w:rPr>
                <w:rFonts w:ascii="Arial" w:hAnsi="Arial" w:cs="Arial"/>
                <w:kern w:val="2"/>
                <w14:ligatures w14:val="standardContextual"/>
              </w:rPr>
              <w:t>experience</w:t>
            </w:r>
            <w:r w:rsidRPr="001B39BA">
              <w:rPr>
                <w:rFonts w:ascii="Arial" w:hAnsi="Arial" w:cs="Arial"/>
                <w:spacing w:val="-8"/>
                <w:kern w:val="2"/>
                <w14:ligatures w14:val="standardContextual"/>
              </w:rPr>
              <w:t xml:space="preserve"> </w:t>
            </w:r>
            <w:r w:rsidRPr="001B39BA">
              <w:rPr>
                <w:rFonts w:ascii="Arial" w:hAnsi="Arial" w:cs="Arial"/>
                <w:spacing w:val="-2"/>
                <w:kern w:val="2"/>
                <w14:ligatures w14:val="standardContextual"/>
              </w:rPr>
              <w:t xml:space="preserve">moderate feelings of </w:t>
            </w:r>
            <w:r w:rsidRPr="001B39BA">
              <w:rPr>
                <w:rFonts w:ascii="Arial" w:hAnsi="Arial" w:cs="Arial"/>
                <w:kern w:val="2"/>
                <w14:ligatures w14:val="standardContextual"/>
              </w:rPr>
              <w:t>unhappiness, disconnectedness, and insensitivity</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toward</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their</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work</w:t>
            </w:r>
            <w:r w:rsidRPr="001B39BA">
              <w:rPr>
                <w:rFonts w:ascii="Arial" w:hAnsi="Arial" w:cs="Arial"/>
                <w:spacing w:val="-9"/>
                <w:kern w:val="2"/>
                <w14:ligatures w14:val="standardContextual"/>
              </w:rPr>
              <w:t xml:space="preserve"> </w:t>
            </w:r>
            <w:r w:rsidRPr="001B39BA">
              <w:rPr>
                <w:rFonts w:ascii="Arial" w:hAnsi="Arial" w:cs="Arial"/>
                <w:kern w:val="2"/>
                <w14:ligatures w14:val="standardContextual"/>
              </w:rPr>
              <w:t>environment,</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 xml:space="preserve">often </w:t>
            </w:r>
            <w:r w:rsidRPr="001B39BA">
              <w:rPr>
                <w:rFonts w:ascii="Arial" w:hAnsi="Arial" w:cs="Arial"/>
                <w:spacing w:val="-7"/>
                <w:kern w:val="2"/>
                <w14:ligatures w14:val="standardContextual"/>
              </w:rPr>
              <w:t xml:space="preserve">leading to </w:t>
            </w:r>
            <w:r w:rsidRPr="001B39BA">
              <w:rPr>
                <w:rFonts w:ascii="Arial" w:hAnsi="Arial" w:cs="Arial"/>
                <w:kern w:val="2"/>
                <w14:ligatures w14:val="standardContextual"/>
              </w:rPr>
              <w:t>exhaustion,</w:t>
            </w:r>
            <w:r w:rsidRPr="001B39BA">
              <w:rPr>
                <w:rFonts w:ascii="Arial" w:hAnsi="Arial" w:cs="Arial"/>
                <w:spacing w:val="-7"/>
                <w:kern w:val="2"/>
                <w14:ligatures w14:val="standardContextual"/>
              </w:rPr>
              <w:t xml:space="preserve"> </w:t>
            </w:r>
            <w:r w:rsidRPr="001B39BA">
              <w:rPr>
                <w:rFonts w:ascii="Arial" w:hAnsi="Arial" w:cs="Arial"/>
                <w:spacing w:val="-2"/>
                <w:kern w:val="2"/>
                <w14:ligatures w14:val="standardContextual"/>
              </w:rPr>
              <w:t xml:space="preserve">feelings of </w:t>
            </w:r>
            <w:r w:rsidRPr="001B39BA">
              <w:rPr>
                <w:rFonts w:ascii="Arial" w:hAnsi="Arial" w:cs="Arial"/>
                <w:kern w:val="2"/>
                <w14:ligatures w14:val="standardContextual"/>
              </w:rPr>
              <w:t>overwhelm,</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and</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a</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loss</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of connection</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to</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their</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true selves and beliefs. These adverse effects of caregiving</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can</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result</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in</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a moderate</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level</w:t>
            </w:r>
            <w:r w:rsidRPr="001B39BA">
              <w:rPr>
                <w:rFonts w:ascii="Arial" w:hAnsi="Arial" w:cs="Arial"/>
                <w:spacing w:val="-9"/>
                <w:kern w:val="2"/>
                <w14:ligatures w14:val="standardContextual"/>
              </w:rPr>
              <w:t xml:space="preserve"> </w:t>
            </w:r>
            <w:r w:rsidRPr="001B39BA">
              <w:rPr>
                <w:rFonts w:ascii="Arial" w:hAnsi="Arial" w:cs="Arial"/>
                <w:spacing w:val="-5"/>
                <w:kern w:val="2"/>
                <w14:ligatures w14:val="standardContextual"/>
              </w:rPr>
              <w:t xml:space="preserve">of </w:t>
            </w:r>
            <w:r w:rsidRPr="001B39BA">
              <w:rPr>
                <w:rFonts w:ascii="Arial" w:hAnsi="Arial" w:cs="Arial"/>
                <w:kern w:val="2"/>
                <w14:ligatures w14:val="standardContextual"/>
              </w:rPr>
              <w:t>exhaustion,</w:t>
            </w:r>
            <w:r w:rsidRPr="001B39BA">
              <w:rPr>
                <w:rFonts w:ascii="Arial" w:hAnsi="Arial" w:cs="Arial"/>
                <w:spacing w:val="-10"/>
                <w:kern w:val="2"/>
                <w14:ligatures w14:val="standardContextual"/>
              </w:rPr>
              <w:t xml:space="preserve"> </w:t>
            </w:r>
            <w:r w:rsidRPr="001B39BA">
              <w:rPr>
                <w:rFonts w:ascii="Arial" w:hAnsi="Arial" w:cs="Arial"/>
                <w:kern w:val="2"/>
                <w14:ligatures w14:val="standardContextual"/>
              </w:rPr>
              <w:t>frustration,</w:t>
            </w:r>
            <w:r w:rsidRPr="001B39BA">
              <w:rPr>
                <w:rFonts w:ascii="Arial" w:hAnsi="Arial" w:cs="Arial"/>
                <w:spacing w:val="-10"/>
                <w:kern w:val="2"/>
                <w14:ligatures w14:val="standardContextual"/>
              </w:rPr>
              <w:t xml:space="preserve"> </w:t>
            </w:r>
            <w:r w:rsidRPr="001B39BA">
              <w:rPr>
                <w:rFonts w:ascii="Arial" w:hAnsi="Arial" w:cs="Arial"/>
                <w:kern w:val="2"/>
                <w14:ligatures w14:val="standardContextual"/>
              </w:rPr>
              <w:t>and</w:t>
            </w:r>
            <w:r w:rsidRPr="001B39BA">
              <w:rPr>
                <w:rFonts w:ascii="Arial" w:hAnsi="Arial" w:cs="Arial"/>
                <w:spacing w:val="-10"/>
                <w:kern w:val="2"/>
                <w14:ligatures w14:val="standardContextual"/>
              </w:rPr>
              <w:t xml:space="preserve"> </w:t>
            </w:r>
            <w:r w:rsidRPr="001B39BA">
              <w:rPr>
                <w:rFonts w:ascii="Arial" w:hAnsi="Arial" w:cs="Arial"/>
                <w:kern w:val="2"/>
                <w14:ligatures w14:val="standardContextual"/>
              </w:rPr>
              <w:t>depression,</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ultimately leading to challenges in job performance and delivery</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of</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guidance</w:t>
            </w:r>
            <w:r w:rsidRPr="001B39BA">
              <w:rPr>
                <w:rFonts w:ascii="Arial" w:hAnsi="Arial" w:cs="Arial"/>
                <w:spacing w:val="-6"/>
                <w:kern w:val="2"/>
                <w14:ligatures w14:val="standardContextual"/>
              </w:rPr>
              <w:t xml:space="preserve"> </w:t>
            </w:r>
            <w:r w:rsidRPr="001B39BA">
              <w:rPr>
                <w:rFonts w:ascii="Arial" w:hAnsi="Arial" w:cs="Arial"/>
                <w:spacing w:val="-2"/>
                <w:kern w:val="2"/>
                <w14:ligatures w14:val="standardContextual"/>
              </w:rPr>
              <w:t>services.</w:t>
            </w:r>
          </w:p>
        </w:tc>
      </w:tr>
      <w:tr w:rsidR="001B39BA" w:rsidRPr="001B39BA" w14:paraId="2C45B73B" w14:textId="77777777">
        <w:trPr>
          <w:trHeight w:val="261"/>
        </w:trPr>
        <w:tc>
          <w:tcPr>
            <w:tcW w:w="1065" w:type="dxa"/>
            <w:tcBorders>
              <w:top w:val="nil"/>
              <w:left w:val="nil"/>
              <w:bottom w:val="single" w:sz="4" w:space="0" w:color="auto"/>
              <w:right w:val="nil"/>
            </w:tcBorders>
          </w:tcPr>
          <w:p w14:paraId="1B033D3C" w14:textId="77777777" w:rsidR="001B39BA" w:rsidRPr="001B39BA" w:rsidRDefault="001B39BA" w:rsidP="003D246B">
            <w:pPr>
              <w:jc w:val="both"/>
              <w:rPr>
                <w:rFonts w:ascii="Arial" w:hAnsi="Arial" w:cs="Arial"/>
                <w:kern w:val="2"/>
                <w14:ligatures w14:val="standardContextual"/>
              </w:rPr>
            </w:pPr>
          </w:p>
          <w:p w14:paraId="6650F791" w14:textId="77777777" w:rsidR="001B39BA" w:rsidRPr="001B39BA" w:rsidRDefault="001B39BA" w:rsidP="003D246B">
            <w:pPr>
              <w:jc w:val="both"/>
              <w:rPr>
                <w:rFonts w:ascii="Arial" w:hAnsi="Arial" w:cs="Arial"/>
                <w:kern w:val="2"/>
                <w14:ligatures w14:val="standardContextual"/>
              </w:rPr>
            </w:pPr>
            <w:r w:rsidRPr="001B39BA">
              <w:rPr>
                <w:rFonts w:ascii="Arial" w:hAnsi="Arial" w:cs="Arial"/>
                <w:kern w:val="2"/>
                <w14:ligatures w14:val="standardContextual"/>
              </w:rPr>
              <w:t>≤</w:t>
            </w:r>
            <w:r w:rsidRPr="001B39BA">
              <w:rPr>
                <w:rFonts w:ascii="Arial" w:hAnsi="Arial" w:cs="Arial"/>
                <w:spacing w:val="2"/>
                <w:kern w:val="2"/>
                <w14:ligatures w14:val="standardContextual"/>
              </w:rPr>
              <w:t xml:space="preserve"> </w:t>
            </w:r>
            <w:r w:rsidRPr="001B39BA">
              <w:rPr>
                <w:rFonts w:ascii="Arial" w:hAnsi="Arial" w:cs="Arial"/>
                <w:spacing w:val="-5"/>
                <w:kern w:val="2"/>
                <w14:ligatures w14:val="standardContextual"/>
              </w:rPr>
              <w:t>22</w:t>
            </w:r>
          </w:p>
        </w:tc>
        <w:tc>
          <w:tcPr>
            <w:tcW w:w="1629" w:type="dxa"/>
            <w:tcBorders>
              <w:top w:val="nil"/>
              <w:left w:val="nil"/>
              <w:bottom w:val="single" w:sz="4" w:space="0" w:color="auto"/>
              <w:right w:val="nil"/>
            </w:tcBorders>
          </w:tcPr>
          <w:p w14:paraId="4B366E89" w14:textId="77777777" w:rsidR="001B39BA" w:rsidRPr="001B39BA" w:rsidRDefault="001B39BA" w:rsidP="003D246B">
            <w:pPr>
              <w:jc w:val="both"/>
              <w:rPr>
                <w:rFonts w:ascii="Arial" w:hAnsi="Arial" w:cs="Arial"/>
                <w:spacing w:val="-4"/>
                <w:kern w:val="2"/>
                <w14:ligatures w14:val="standardContextual"/>
              </w:rPr>
            </w:pPr>
          </w:p>
          <w:p w14:paraId="023B5717" w14:textId="77777777" w:rsidR="001B39BA" w:rsidRPr="001B39BA" w:rsidRDefault="001B39BA" w:rsidP="003D246B">
            <w:pPr>
              <w:jc w:val="both"/>
              <w:rPr>
                <w:rFonts w:ascii="Arial" w:hAnsi="Arial" w:cs="Arial"/>
                <w:kern w:val="2"/>
                <w14:ligatures w14:val="standardContextual"/>
              </w:rPr>
            </w:pPr>
            <w:r w:rsidRPr="001B39BA">
              <w:rPr>
                <w:rFonts w:ascii="Arial" w:hAnsi="Arial" w:cs="Arial"/>
                <w:spacing w:val="-4"/>
                <w:kern w:val="2"/>
                <w14:ligatures w14:val="standardContextual"/>
              </w:rPr>
              <w:t xml:space="preserve">Low </w:t>
            </w:r>
            <w:r w:rsidRPr="001B39BA">
              <w:rPr>
                <w:rFonts w:ascii="Arial" w:hAnsi="Arial" w:cs="Arial"/>
                <w:spacing w:val="-2"/>
                <w:kern w:val="2"/>
                <w14:ligatures w14:val="standardContextual"/>
              </w:rPr>
              <w:t>Burnout</w:t>
            </w:r>
          </w:p>
        </w:tc>
        <w:tc>
          <w:tcPr>
            <w:tcW w:w="5953" w:type="dxa"/>
            <w:tcBorders>
              <w:top w:val="nil"/>
              <w:left w:val="nil"/>
              <w:bottom w:val="single" w:sz="4" w:space="0" w:color="auto"/>
              <w:right w:val="nil"/>
            </w:tcBorders>
          </w:tcPr>
          <w:p w14:paraId="3988AE40" w14:textId="77777777" w:rsidR="001B39BA" w:rsidRPr="001B39BA" w:rsidRDefault="001B39BA" w:rsidP="003D246B">
            <w:pPr>
              <w:spacing w:before="3"/>
              <w:ind w:left="430"/>
              <w:jc w:val="both"/>
              <w:rPr>
                <w:rFonts w:ascii="Arial" w:hAnsi="Arial" w:cs="Arial"/>
                <w:kern w:val="2"/>
                <w14:ligatures w14:val="standardContextual"/>
              </w:rPr>
            </w:pPr>
          </w:p>
          <w:p w14:paraId="4B919D20" w14:textId="77777777" w:rsidR="001B39BA" w:rsidRPr="001B39BA" w:rsidRDefault="001B39BA" w:rsidP="003D246B">
            <w:pPr>
              <w:spacing w:before="3"/>
              <w:ind w:left="430"/>
              <w:jc w:val="both"/>
              <w:rPr>
                <w:rFonts w:ascii="Arial" w:hAnsi="Arial" w:cs="Arial"/>
                <w:kern w:val="2"/>
                <w14:ligatures w14:val="standardContextual"/>
              </w:rPr>
            </w:pPr>
            <w:r w:rsidRPr="001B39BA">
              <w:rPr>
                <w:rFonts w:ascii="Arial" w:hAnsi="Arial" w:cs="Arial"/>
                <w:kern w:val="2"/>
                <w14:ligatures w14:val="standardContextual"/>
              </w:rPr>
              <w:t>Guidance</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counselors</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may</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experience</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a</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low</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level</w:t>
            </w:r>
            <w:r w:rsidRPr="001B39BA">
              <w:rPr>
                <w:rFonts w:ascii="Arial" w:hAnsi="Arial" w:cs="Arial"/>
                <w:spacing w:val="-9"/>
                <w:kern w:val="2"/>
                <w14:ligatures w14:val="standardContextual"/>
              </w:rPr>
              <w:t xml:space="preserve"> </w:t>
            </w:r>
            <w:r w:rsidRPr="001B39BA">
              <w:rPr>
                <w:rFonts w:ascii="Arial" w:hAnsi="Arial" w:cs="Arial"/>
                <w:kern w:val="2"/>
                <w14:ligatures w14:val="standardContextual"/>
              </w:rPr>
              <w:t>of unhappiness, disconnectedness, and insensitivity toward</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their</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work</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environment,</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often</w:t>
            </w:r>
            <w:r w:rsidRPr="001B39BA">
              <w:rPr>
                <w:rFonts w:ascii="Arial" w:hAnsi="Arial" w:cs="Arial"/>
                <w:spacing w:val="-6"/>
                <w:kern w:val="2"/>
                <w14:ligatures w14:val="standardContextual"/>
              </w:rPr>
              <w:t xml:space="preserve"> </w:t>
            </w:r>
            <w:r w:rsidRPr="001B39BA">
              <w:rPr>
                <w:rFonts w:ascii="Arial" w:hAnsi="Arial" w:cs="Arial"/>
                <w:spacing w:val="-2"/>
                <w:kern w:val="2"/>
                <w14:ligatures w14:val="standardContextual"/>
              </w:rPr>
              <w:t xml:space="preserve">displaying </w:t>
            </w:r>
            <w:r w:rsidRPr="001B39BA">
              <w:rPr>
                <w:rFonts w:ascii="Arial" w:hAnsi="Arial" w:cs="Arial"/>
                <w:kern w:val="2"/>
                <w14:ligatures w14:val="standardContextual"/>
              </w:rPr>
              <w:t>symptoms such as exhaustion, feeling overwhelmed,</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and</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a</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loss</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of connection</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to</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their</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true selves</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and</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beliefs.</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These</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negative</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aspects</w:t>
            </w:r>
            <w:r w:rsidRPr="001B39BA">
              <w:rPr>
                <w:rFonts w:ascii="Arial" w:hAnsi="Arial" w:cs="Arial"/>
                <w:spacing w:val="-8"/>
                <w:kern w:val="2"/>
                <w14:ligatures w14:val="standardContextual"/>
              </w:rPr>
              <w:t xml:space="preserve"> </w:t>
            </w:r>
            <w:r w:rsidRPr="001B39BA">
              <w:rPr>
                <w:rFonts w:ascii="Arial" w:hAnsi="Arial" w:cs="Arial"/>
                <w:spacing w:val="-5"/>
                <w:kern w:val="2"/>
                <w14:ligatures w14:val="standardContextual"/>
              </w:rPr>
              <w:t xml:space="preserve">of </w:t>
            </w:r>
            <w:r w:rsidRPr="001B39BA">
              <w:rPr>
                <w:rFonts w:ascii="Arial" w:hAnsi="Arial" w:cs="Arial"/>
                <w:kern w:val="2"/>
                <w14:ligatures w14:val="standardContextual"/>
              </w:rPr>
              <w:t>caregiving can result in low-level exhaustion, frustration,</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and</w:t>
            </w:r>
            <w:r w:rsidRPr="001B39BA">
              <w:rPr>
                <w:rFonts w:ascii="Arial" w:hAnsi="Arial" w:cs="Arial"/>
                <w:spacing w:val="-10"/>
                <w:kern w:val="2"/>
                <w14:ligatures w14:val="standardContextual"/>
              </w:rPr>
              <w:t xml:space="preserve"> </w:t>
            </w:r>
            <w:r w:rsidRPr="001B39BA">
              <w:rPr>
                <w:rFonts w:ascii="Arial" w:hAnsi="Arial" w:cs="Arial"/>
                <w:kern w:val="2"/>
                <w14:ligatures w14:val="standardContextual"/>
              </w:rPr>
              <w:t>depression,</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ultimately</w:t>
            </w:r>
            <w:r w:rsidRPr="001B39BA">
              <w:rPr>
                <w:rFonts w:ascii="Arial" w:hAnsi="Arial" w:cs="Arial"/>
                <w:spacing w:val="-11"/>
                <w:kern w:val="2"/>
                <w14:ligatures w14:val="standardContextual"/>
              </w:rPr>
              <w:t xml:space="preserve"> </w:t>
            </w:r>
            <w:r w:rsidRPr="001B39BA">
              <w:rPr>
                <w:rFonts w:ascii="Arial" w:hAnsi="Arial" w:cs="Arial"/>
                <w:kern w:val="2"/>
                <w14:ligatures w14:val="standardContextual"/>
              </w:rPr>
              <w:t>leading</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to challenges</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in</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job</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performance</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and</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delivery</w:t>
            </w:r>
            <w:r w:rsidRPr="001B39BA">
              <w:rPr>
                <w:rFonts w:ascii="Arial" w:hAnsi="Arial" w:cs="Arial"/>
                <w:spacing w:val="-9"/>
                <w:kern w:val="2"/>
                <w14:ligatures w14:val="standardContextual"/>
              </w:rPr>
              <w:t xml:space="preserve"> </w:t>
            </w:r>
            <w:r w:rsidRPr="001B39BA">
              <w:rPr>
                <w:rFonts w:ascii="Arial" w:hAnsi="Arial" w:cs="Arial"/>
                <w:spacing w:val="-5"/>
                <w:kern w:val="2"/>
                <w14:ligatures w14:val="standardContextual"/>
              </w:rPr>
              <w:t>of guidance services.</w:t>
            </w:r>
          </w:p>
        </w:tc>
      </w:tr>
    </w:tbl>
    <w:p w14:paraId="6E4FC883" w14:textId="77777777" w:rsidR="001B39BA" w:rsidRPr="001B39BA" w:rsidRDefault="001B39BA" w:rsidP="001B39BA">
      <w:pPr>
        <w:spacing w:before="167" w:line="360" w:lineRule="auto"/>
        <w:ind w:right="84" w:firstLine="720"/>
        <w:jc w:val="both"/>
        <w:rPr>
          <w:rFonts w:ascii="Arial" w:eastAsia="Calibri" w:hAnsi="Arial" w:cs="Arial"/>
          <w:lang w:val="en-SG"/>
        </w:rPr>
      </w:pPr>
      <w:r w:rsidRPr="001B39BA">
        <w:rPr>
          <w:rFonts w:ascii="Arial" w:eastAsia="Calibri" w:hAnsi="Arial" w:cs="Arial"/>
          <w:lang w:val="en-SG"/>
        </w:rPr>
        <w:t>Moreover, the secondary traumatic stress subscale, which measures stress reactions resulting from indirect exposure to clients' traumatic experiences, yielded a Cronbach’s alpha of α = 0.863, indicating high internal consistency and reliable measurement of the construct (Stamm, 2010).</w:t>
      </w:r>
    </w:p>
    <w:p w14:paraId="05CC43A7"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 xml:space="preserve">In the study, reliability analysis yielded a Cronbach’s alpha coefficient of α = 0.863, indicating high internal consistency among the items measuring secondary traumatic </w:t>
      </w:r>
      <w:r w:rsidRPr="001B39BA">
        <w:rPr>
          <w:rFonts w:ascii="Arial" w:eastAsia="Calibri" w:hAnsi="Arial" w:cs="Arial"/>
          <w:lang w:val="en-SG"/>
        </w:rPr>
        <w:lastRenderedPageBreak/>
        <w:t>stress. This result suggested that the items reliably measured the construct within the context of guidance counseling (Hair Jr. et al., 2019).</w:t>
      </w:r>
    </w:p>
    <w:p w14:paraId="084C0D1A" w14:textId="77777777" w:rsidR="001B39BA" w:rsidRPr="001B39BA" w:rsidRDefault="001B39BA" w:rsidP="001B39BA">
      <w:pPr>
        <w:spacing w:line="360" w:lineRule="auto"/>
        <w:jc w:val="both"/>
        <w:rPr>
          <w:rFonts w:ascii="Arial" w:hAnsi="Arial" w:cs="Arial"/>
        </w:rPr>
      </w:pPr>
    </w:p>
    <w:p w14:paraId="689F5118" w14:textId="77777777" w:rsidR="001B39BA" w:rsidRPr="001B39BA" w:rsidRDefault="001B39BA" w:rsidP="001B39BA">
      <w:pPr>
        <w:spacing w:line="360" w:lineRule="auto"/>
        <w:jc w:val="both"/>
        <w:rPr>
          <w:rFonts w:ascii="Arial" w:hAnsi="Arial" w:cs="Arial"/>
        </w:rPr>
      </w:pPr>
      <w:r w:rsidRPr="001B39BA">
        <w:rPr>
          <w:rFonts w:ascii="Arial" w:hAnsi="Arial" w:cs="Arial"/>
        </w:rPr>
        <w:t>Level</w:t>
      </w:r>
      <w:r w:rsidRPr="001B39BA">
        <w:rPr>
          <w:rFonts w:ascii="Arial" w:hAnsi="Arial" w:cs="Arial"/>
          <w:spacing w:val="-3"/>
        </w:rPr>
        <w:t xml:space="preserve"> </w:t>
      </w:r>
      <w:r w:rsidRPr="001B39BA">
        <w:rPr>
          <w:rFonts w:ascii="Arial" w:hAnsi="Arial" w:cs="Arial"/>
        </w:rPr>
        <w:t>of</w:t>
      </w:r>
      <w:r w:rsidRPr="001B39BA">
        <w:rPr>
          <w:rFonts w:ascii="Arial" w:hAnsi="Arial" w:cs="Arial"/>
          <w:spacing w:val="40"/>
        </w:rPr>
        <w:t xml:space="preserve"> </w:t>
      </w:r>
      <w:r w:rsidRPr="001B39BA">
        <w:rPr>
          <w:rFonts w:ascii="Arial" w:hAnsi="Arial" w:cs="Arial"/>
        </w:rPr>
        <w:t>Guidance</w:t>
      </w:r>
      <w:r w:rsidRPr="001B39BA">
        <w:rPr>
          <w:rFonts w:ascii="Arial" w:hAnsi="Arial" w:cs="Arial"/>
          <w:spacing w:val="-1"/>
        </w:rPr>
        <w:t xml:space="preserve"> </w:t>
      </w:r>
      <w:r w:rsidRPr="001B39BA">
        <w:rPr>
          <w:rFonts w:ascii="Arial" w:hAnsi="Arial" w:cs="Arial"/>
        </w:rPr>
        <w:t>Counselor’s Compassion</w:t>
      </w:r>
      <w:r w:rsidRPr="001B39BA">
        <w:rPr>
          <w:rFonts w:ascii="Arial" w:hAnsi="Arial" w:cs="Arial"/>
          <w:spacing w:val="-1"/>
        </w:rPr>
        <w:t xml:space="preserve"> </w:t>
      </w:r>
      <w:r w:rsidRPr="001B39BA">
        <w:rPr>
          <w:rFonts w:ascii="Arial" w:hAnsi="Arial" w:cs="Arial"/>
        </w:rPr>
        <w:t>Fatigue</w:t>
      </w:r>
      <w:r w:rsidRPr="001B39BA">
        <w:rPr>
          <w:rFonts w:ascii="Arial" w:hAnsi="Arial" w:cs="Arial"/>
          <w:spacing w:val="-1"/>
        </w:rPr>
        <w:t xml:space="preserve"> </w:t>
      </w:r>
      <w:r w:rsidRPr="001B39BA">
        <w:rPr>
          <w:rFonts w:ascii="Arial" w:hAnsi="Arial" w:cs="Arial"/>
        </w:rPr>
        <w:t>with</w:t>
      </w:r>
      <w:r w:rsidRPr="001B39BA">
        <w:rPr>
          <w:rFonts w:ascii="Arial" w:hAnsi="Arial" w:cs="Arial"/>
          <w:spacing w:val="-5"/>
        </w:rPr>
        <w:t xml:space="preserve"> </w:t>
      </w:r>
      <w:r w:rsidRPr="001B39BA">
        <w:rPr>
          <w:rFonts w:ascii="Arial" w:hAnsi="Arial" w:cs="Arial"/>
        </w:rPr>
        <w:t>Element</w:t>
      </w:r>
      <w:r w:rsidRPr="001B39BA">
        <w:rPr>
          <w:rFonts w:ascii="Arial" w:hAnsi="Arial" w:cs="Arial"/>
          <w:spacing w:val="-5"/>
        </w:rPr>
        <w:t xml:space="preserve"> </w:t>
      </w:r>
      <w:r w:rsidRPr="001B39BA">
        <w:rPr>
          <w:rFonts w:ascii="Arial" w:hAnsi="Arial" w:cs="Arial"/>
        </w:rPr>
        <w:t>of</w:t>
      </w:r>
      <w:r w:rsidRPr="001B39BA">
        <w:rPr>
          <w:rFonts w:ascii="Arial" w:hAnsi="Arial" w:cs="Arial"/>
          <w:spacing w:val="-1"/>
        </w:rPr>
        <w:t xml:space="preserve"> </w:t>
      </w:r>
      <w:r w:rsidRPr="001B39BA">
        <w:rPr>
          <w:rFonts w:ascii="Arial" w:hAnsi="Arial" w:cs="Arial"/>
        </w:rPr>
        <w:t xml:space="preserve">Secondary Stress </w:t>
      </w:r>
      <w:r w:rsidRPr="001B39BA">
        <w:rPr>
          <w:rFonts w:ascii="Arial" w:hAnsi="Arial" w:cs="Arial"/>
          <w:spacing w:val="-2"/>
        </w:rPr>
        <w:t>Trauma</w:t>
      </w:r>
    </w:p>
    <w:tbl>
      <w:tblPr>
        <w:tblW w:w="8647" w:type="dxa"/>
        <w:tblLayout w:type="fixed"/>
        <w:tblCellMar>
          <w:left w:w="0" w:type="dxa"/>
          <w:right w:w="0" w:type="dxa"/>
        </w:tblCellMar>
        <w:tblLook w:val="01E0" w:firstRow="1" w:lastRow="1" w:firstColumn="1" w:lastColumn="1" w:noHBand="0" w:noVBand="0"/>
      </w:tblPr>
      <w:tblGrid>
        <w:gridCol w:w="1109"/>
        <w:gridCol w:w="2245"/>
        <w:gridCol w:w="5293"/>
      </w:tblGrid>
      <w:tr w:rsidR="001B39BA" w:rsidRPr="001B39BA" w14:paraId="37073C85" w14:textId="77777777" w:rsidTr="003D246B">
        <w:trPr>
          <w:trHeight w:val="425"/>
        </w:trPr>
        <w:tc>
          <w:tcPr>
            <w:tcW w:w="1109" w:type="dxa"/>
            <w:tcBorders>
              <w:top w:val="single" w:sz="12" w:space="0" w:color="000000"/>
              <w:left w:val="nil"/>
              <w:bottom w:val="single" w:sz="12" w:space="0" w:color="000000"/>
              <w:right w:val="nil"/>
            </w:tcBorders>
            <w:hideMark/>
          </w:tcPr>
          <w:p w14:paraId="18748E60" w14:textId="77777777" w:rsidR="001B39BA" w:rsidRPr="001B39BA" w:rsidRDefault="001B39BA" w:rsidP="003D246B">
            <w:pPr>
              <w:spacing w:before="27"/>
              <w:ind w:left="28"/>
              <w:jc w:val="both"/>
              <w:rPr>
                <w:rFonts w:ascii="Arial" w:hAnsi="Arial" w:cs="Arial"/>
                <w:kern w:val="2"/>
                <w14:ligatures w14:val="standardContextual"/>
              </w:rPr>
            </w:pPr>
            <w:r w:rsidRPr="001B39BA">
              <w:rPr>
                <w:rFonts w:ascii="Arial" w:hAnsi="Arial" w:cs="Arial"/>
                <w:spacing w:val="-2"/>
                <w:kern w:val="2"/>
                <w14:ligatures w14:val="standardContextual"/>
              </w:rPr>
              <w:t>Score</w:t>
            </w:r>
          </w:p>
        </w:tc>
        <w:tc>
          <w:tcPr>
            <w:tcW w:w="2245" w:type="dxa"/>
            <w:tcBorders>
              <w:top w:val="single" w:sz="12" w:space="0" w:color="000000"/>
              <w:left w:val="nil"/>
              <w:bottom w:val="single" w:sz="12" w:space="0" w:color="000000"/>
              <w:right w:val="nil"/>
            </w:tcBorders>
            <w:hideMark/>
          </w:tcPr>
          <w:p w14:paraId="4A86C2FB" w14:textId="77777777" w:rsidR="001B39BA" w:rsidRPr="001B39BA" w:rsidRDefault="001B39BA" w:rsidP="003D246B">
            <w:pPr>
              <w:spacing w:before="27"/>
              <w:ind w:left="350"/>
              <w:jc w:val="both"/>
              <w:rPr>
                <w:rFonts w:ascii="Arial" w:hAnsi="Arial" w:cs="Arial"/>
                <w:kern w:val="2"/>
                <w14:ligatures w14:val="standardContextual"/>
              </w:rPr>
            </w:pPr>
            <w:r w:rsidRPr="001B39BA">
              <w:rPr>
                <w:rFonts w:ascii="Arial" w:hAnsi="Arial" w:cs="Arial"/>
                <w:spacing w:val="-2"/>
                <w:kern w:val="2"/>
                <w14:ligatures w14:val="standardContextual"/>
              </w:rPr>
              <w:t>Interpretation</w:t>
            </w:r>
          </w:p>
        </w:tc>
        <w:tc>
          <w:tcPr>
            <w:tcW w:w="5293" w:type="dxa"/>
            <w:tcBorders>
              <w:top w:val="single" w:sz="12" w:space="0" w:color="000000"/>
              <w:left w:val="nil"/>
              <w:bottom w:val="single" w:sz="12" w:space="0" w:color="000000"/>
              <w:right w:val="nil"/>
            </w:tcBorders>
            <w:hideMark/>
          </w:tcPr>
          <w:p w14:paraId="2EF2E350" w14:textId="77777777" w:rsidR="001B39BA" w:rsidRPr="001B39BA" w:rsidRDefault="001B39BA" w:rsidP="003D246B">
            <w:pPr>
              <w:spacing w:before="27"/>
              <w:ind w:left="247"/>
              <w:jc w:val="both"/>
              <w:rPr>
                <w:rFonts w:ascii="Arial" w:hAnsi="Arial" w:cs="Arial"/>
                <w:kern w:val="2"/>
                <w14:ligatures w14:val="standardContextual"/>
              </w:rPr>
            </w:pPr>
            <w:r w:rsidRPr="001B39BA">
              <w:rPr>
                <w:rFonts w:ascii="Arial" w:hAnsi="Arial" w:cs="Arial"/>
                <w:kern w:val="2"/>
                <w14:ligatures w14:val="standardContextual"/>
              </w:rPr>
              <w:t>Descriptive</w:t>
            </w:r>
            <w:r w:rsidRPr="001B39BA">
              <w:rPr>
                <w:rFonts w:ascii="Arial" w:hAnsi="Arial" w:cs="Arial"/>
                <w:spacing w:val="-12"/>
                <w:kern w:val="2"/>
                <w14:ligatures w14:val="standardContextual"/>
              </w:rPr>
              <w:t xml:space="preserve"> </w:t>
            </w:r>
            <w:r w:rsidRPr="001B39BA">
              <w:rPr>
                <w:rFonts w:ascii="Arial" w:hAnsi="Arial" w:cs="Arial"/>
                <w:spacing w:val="-2"/>
                <w:kern w:val="2"/>
                <w14:ligatures w14:val="standardContextual"/>
              </w:rPr>
              <w:t>Interpretation</w:t>
            </w:r>
          </w:p>
        </w:tc>
      </w:tr>
      <w:tr w:rsidR="001B39BA" w:rsidRPr="001B39BA" w14:paraId="7D0A2FF7" w14:textId="77777777" w:rsidTr="003D246B">
        <w:trPr>
          <w:trHeight w:val="423"/>
        </w:trPr>
        <w:tc>
          <w:tcPr>
            <w:tcW w:w="1109" w:type="dxa"/>
            <w:tcBorders>
              <w:top w:val="single" w:sz="12" w:space="0" w:color="000000"/>
              <w:left w:val="nil"/>
              <w:bottom w:val="nil"/>
              <w:right w:val="nil"/>
            </w:tcBorders>
            <w:hideMark/>
          </w:tcPr>
          <w:p w14:paraId="2BA98698" w14:textId="77777777" w:rsidR="001B39BA" w:rsidRPr="001B39BA" w:rsidRDefault="001B39BA" w:rsidP="003D246B">
            <w:pPr>
              <w:spacing w:before="161"/>
              <w:ind w:left="57"/>
              <w:jc w:val="both"/>
              <w:rPr>
                <w:rFonts w:ascii="Arial" w:hAnsi="Arial" w:cs="Arial"/>
                <w:kern w:val="2"/>
                <w14:ligatures w14:val="standardContextual"/>
              </w:rPr>
            </w:pPr>
            <w:r w:rsidRPr="001B39BA">
              <w:rPr>
                <w:rFonts w:ascii="Arial" w:hAnsi="Arial" w:cs="Arial"/>
                <w:kern w:val="2"/>
                <w14:ligatures w14:val="standardContextual"/>
              </w:rPr>
              <w:t>≥</w:t>
            </w:r>
            <w:r w:rsidRPr="001B39BA">
              <w:rPr>
                <w:rFonts w:ascii="Arial" w:hAnsi="Arial" w:cs="Arial"/>
                <w:spacing w:val="-6"/>
                <w:kern w:val="2"/>
                <w14:ligatures w14:val="standardContextual"/>
              </w:rPr>
              <w:t xml:space="preserve"> </w:t>
            </w:r>
            <w:r w:rsidRPr="001B39BA">
              <w:rPr>
                <w:rFonts w:ascii="Arial" w:hAnsi="Arial" w:cs="Arial"/>
                <w:spacing w:val="-5"/>
                <w:kern w:val="2"/>
                <w14:ligatures w14:val="standardContextual"/>
              </w:rPr>
              <w:t>42</w:t>
            </w:r>
          </w:p>
        </w:tc>
        <w:tc>
          <w:tcPr>
            <w:tcW w:w="2245" w:type="dxa"/>
            <w:tcBorders>
              <w:top w:val="single" w:sz="12" w:space="0" w:color="000000"/>
              <w:left w:val="nil"/>
              <w:bottom w:val="nil"/>
              <w:right w:val="nil"/>
            </w:tcBorders>
            <w:hideMark/>
          </w:tcPr>
          <w:p w14:paraId="219D4B9D" w14:textId="77777777" w:rsidR="001B39BA" w:rsidRPr="001B39BA" w:rsidRDefault="001B39BA" w:rsidP="003D246B">
            <w:pPr>
              <w:spacing w:before="161"/>
              <w:ind w:left="350"/>
              <w:jc w:val="both"/>
              <w:rPr>
                <w:rFonts w:ascii="Arial" w:hAnsi="Arial" w:cs="Arial"/>
                <w:spacing w:val="-2"/>
                <w:kern w:val="2"/>
                <w14:ligatures w14:val="standardContextual"/>
              </w:rPr>
            </w:pPr>
            <w:r w:rsidRPr="001B39BA">
              <w:rPr>
                <w:rFonts w:ascii="Arial" w:hAnsi="Arial" w:cs="Arial"/>
                <w:kern w:val="2"/>
                <w14:ligatures w14:val="standardContextual"/>
              </w:rPr>
              <w:t>High</w:t>
            </w:r>
            <w:r w:rsidRPr="001B39BA">
              <w:rPr>
                <w:rFonts w:ascii="Arial" w:hAnsi="Arial" w:cs="Arial"/>
                <w:spacing w:val="1"/>
                <w:kern w:val="2"/>
                <w14:ligatures w14:val="standardContextual"/>
              </w:rPr>
              <w:t xml:space="preserve"> </w:t>
            </w:r>
            <w:r w:rsidRPr="001B39BA">
              <w:rPr>
                <w:rFonts w:ascii="Arial" w:hAnsi="Arial" w:cs="Arial"/>
                <w:spacing w:val="-2"/>
                <w:kern w:val="2"/>
                <w14:ligatures w14:val="standardContextual"/>
              </w:rPr>
              <w:t>Secondary</w:t>
            </w:r>
          </w:p>
          <w:p w14:paraId="2A6A8A12" w14:textId="77777777" w:rsidR="001B39BA" w:rsidRPr="001B39BA" w:rsidRDefault="001B39BA" w:rsidP="003D246B">
            <w:pPr>
              <w:spacing w:before="161"/>
              <w:ind w:left="350"/>
              <w:jc w:val="both"/>
              <w:rPr>
                <w:rFonts w:ascii="Arial" w:hAnsi="Arial" w:cs="Arial"/>
                <w:kern w:val="2"/>
                <w14:ligatures w14:val="standardContextual"/>
              </w:rPr>
            </w:pPr>
            <w:r w:rsidRPr="001B39BA">
              <w:rPr>
                <w:rFonts w:ascii="Arial" w:hAnsi="Arial" w:cs="Arial"/>
                <w:kern w:val="2"/>
                <w14:ligatures w14:val="standardContextual"/>
              </w:rPr>
              <w:t>Traumatic</w:t>
            </w:r>
            <w:r w:rsidRPr="001B39BA">
              <w:rPr>
                <w:rFonts w:ascii="Arial" w:hAnsi="Arial" w:cs="Arial"/>
                <w:spacing w:val="-7"/>
                <w:kern w:val="2"/>
                <w14:ligatures w14:val="standardContextual"/>
              </w:rPr>
              <w:t xml:space="preserve"> </w:t>
            </w:r>
            <w:r w:rsidRPr="001B39BA">
              <w:rPr>
                <w:rFonts w:ascii="Arial" w:hAnsi="Arial" w:cs="Arial"/>
                <w:spacing w:val="-2"/>
                <w:kern w:val="2"/>
                <w14:ligatures w14:val="standardContextual"/>
              </w:rPr>
              <w:t>Stress</w:t>
            </w:r>
          </w:p>
        </w:tc>
        <w:tc>
          <w:tcPr>
            <w:tcW w:w="5293" w:type="dxa"/>
            <w:tcBorders>
              <w:top w:val="single" w:sz="12" w:space="0" w:color="000000"/>
              <w:left w:val="nil"/>
              <w:bottom w:val="nil"/>
              <w:right w:val="nil"/>
            </w:tcBorders>
          </w:tcPr>
          <w:p w14:paraId="6253803B" w14:textId="77777777" w:rsidR="001B39BA" w:rsidRDefault="001B39BA" w:rsidP="009C013D">
            <w:pPr>
              <w:spacing w:before="161"/>
              <w:ind w:left="247"/>
              <w:jc w:val="both"/>
              <w:rPr>
                <w:rFonts w:ascii="Arial" w:hAnsi="Arial" w:cs="Arial"/>
                <w:spacing w:val="-2"/>
                <w:kern w:val="2"/>
                <w14:ligatures w14:val="standardContextual"/>
              </w:rPr>
            </w:pPr>
            <w:r w:rsidRPr="001B39BA">
              <w:rPr>
                <w:rFonts w:ascii="Arial" w:hAnsi="Arial" w:cs="Arial"/>
                <w:kern w:val="2"/>
                <w14:ligatures w14:val="standardContextual"/>
              </w:rPr>
              <w:t>This</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condition</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is</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marked</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by</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a high</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negative</w:t>
            </w:r>
            <w:r w:rsidRPr="001B39BA">
              <w:rPr>
                <w:rFonts w:ascii="Arial" w:hAnsi="Arial" w:cs="Arial"/>
                <w:spacing w:val="-5"/>
                <w:kern w:val="2"/>
                <w14:ligatures w14:val="standardContextual"/>
              </w:rPr>
              <w:t xml:space="preserve"> </w:t>
            </w:r>
            <w:r w:rsidRPr="001B39BA">
              <w:rPr>
                <w:rFonts w:ascii="Arial" w:hAnsi="Arial" w:cs="Arial"/>
                <w:spacing w:val="-2"/>
                <w:kern w:val="2"/>
                <w14:ligatures w14:val="standardContextual"/>
              </w:rPr>
              <w:t xml:space="preserve">aspect </w:t>
            </w:r>
            <w:r w:rsidRPr="001B39BA">
              <w:rPr>
                <w:rFonts w:ascii="Arial" w:hAnsi="Arial" w:cs="Arial"/>
                <w:kern w:val="2"/>
                <w14:ligatures w14:val="standardContextual"/>
              </w:rPr>
              <w:t>of</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caregiving,</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particularly</w:t>
            </w:r>
            <w:r w:rsidRPr="001B39BA">
              <w:rPr>
                <w:rFonts w:ascii="Arial" w:hAnsi="Arial" w:cs="Arial"/>
                <w:spacing w:val="-10"/>
                <w:kern w:val="2"/>
                <w14:ligatures w14:val="standardContextual"/>
              </w:rPr>
              <w:t xml:space="preserve"> </w:t>
            </w:r>
            <w:r w:rsidRPr="001B39BA">
              <w:rPr>
                <w:rFonts w:ascii="Arial" w:hAnsi="Arial" w:cs="Arial"/>
                <w:kern w:val="2"/>
                <w14:ligatures w14:val="standardContextual"/>
              </w:rPr>
              <w:t>for</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individuals</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who</w:t>
            </w:r>
            <w:r w:rsidRPr="001B39BA">
              <w:rPr>
                <w:rFonts w:ascii="Arial" w:hAnsi="Arial" w:cs="Arial"/>
                <w:spacing w:val="-9"/>
                <w:kern w:val="2"/>
                <w14:ligatures w14:val="standardContextual"/>
              </w:rPr>
              <w:t xml:space="preserve"> </w:t>
            </w:r>
            <w:r w:rsidRPr="001B39BA">
              <w:rPr>
                <w:rFonts w:ascii="Arial" w:hAnsi="Arial" w:cs="Arial"/>
                <w:spacing w:val="-4"/>
                <w:kern w:val="2"/>
                <w14:ligatures w14:val="standardContextual"/>
              </w:rPr>
              <w:t xml:space="preserve">have </w:t>
            </w:r>
            <w:r w:rsidRPr="001B39BA">
              <w:rPr>
                <w:rFonts w:ascii="Arial" w:hAnsi="Arial" w:cs="Arial"/>
                <w:kern w:val="2"/>
                <w14:ligatures w14:val="standardContextual"/>
              </w:rPr>
              <w:t>encountered</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extreme</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or</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traumatic</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stressors.</w:t>
            </w:r>
            <w:r w:rsidRPr="001B39BA">
              <w:rPr>
                <w:rFonts w:ascii="Arial" w:hAnsi="Arial" w:cs="Arial"/>
                <w:spacing w:val="-2"/>
                <w:kern w:val="2"/>
                <w14:ligatures w14:val="standardContextual"/>
              </w:rPr>
              <w:t xml:space="preserve"> </w:t>
            </w:r>
            <w:r w:rsidRPr="001B39BA">
              <w:rPr>
                <w:rFonts w:ascii="Arial" w:hAnsi="Arial" w:cs="Arial"/>
                <w:spacing w:val="-5"/>
                <w:kern w:val="2"/>
                <w14:ligatures w14:val="standardContextual"/>
              </w:rPr>
              <w:t xml:space="preserve">The </w:t>
            </w:r>
            <w:r w:rsidRPr="001B39BA">
              <w:rPr>
                <w:rFonts w:ascii="Arial" w:hAnsi="Arial" w:cs="Arial"/>
                <w:kern w:val="2"/>
                <w14:ligatures w14:val="standardContextual"/>
              </w:rPr>
              <w:t>symptoms</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of STS</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may</w:t>
            </w:r>
            <w:r w:rsidRPr="001B39BA">
              <w:rPr>
                <w:rFonts w:ascii="Arial" w:hAnsi="Arial" w:cs="Arial"/>
                <w:spacing w:val="-1"/>
                <w:kern w:val="2"/>
                <w14:ligatures w14:val="standardContextual"/>
              </w:rPr>
              <w:t xml:space="preserve"> </w:t>
            </w:r>
            <w:r w:rsidRPr="001B39BA">
              <w:rPr>
                <w:rFonts w:ascii="Arial" w:hAnsi="Arial" w:cs="Arial"/>
                <w:kern w:val="2"/>
                <w14:ligatures w14:val="standardContextual"/>
              </w:rPr>
              <w:t>include</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being</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afraid,</w:t>
            </w:r>
            <w:r w:rsidRPr="001B39BA">
              <w:rPr>
                <w:rFonts w:ascii="Arial" w:hAnsi="Arial" w:cs="Arial"/>
                <w:spacing w:val="-4"/>
                <w:kern w:val="2"/>
                <w14:ligatures w14:val="standardContextual"/>
              </w:rPr>
              <w:t xml:space="preserve"> </w:t>
            </w:r>
            <w:r w:rsidRPr="001B39BA">
              <w:rPr>
                <w:rFonts w:ascii="Arial" w:hAnsi="Arial" w:cs="Arial"/>
                <w:spacing w:val="-2"/>
                <w:kern w:val="2"/>
                <w14:ligatures w14:val="standardContextual"/>
              </w:rPr>
              <w:t xml:space="preserve">having </w:t>
            </w:r>
            <w:r w:rsidRPr="001B39BA">
              <w:rPr>
                <w:rFonts w:ascii="Arial" w:hAnsi="Arial" w:cs="Arial"/>
                <w:kern w:val="2"/>
                <w14:ligatures w14:val="standardContextual"/>
              </w:rPr>
              <w:t>difficulty</w:t>
            </w:r>
            <w:r w:rsidRPr="001B39BA">
              <w:rPr>
                <w:rFonts w:ascii="Arial" w:hAnsi="Arial" w:cs="Arial"/>
                <w:spacing w:val="-9"/>
                <w:kern w:val="2"/>
                <w14:ligatures w14:val="standardContextual"/>
              </w:rPr>
              <w:t xml:space="preserve"> </w:t>
            </w:r>
            <w:r w:rsidRPr="001B39BA">
              <w:rPr>
                <w:rFonts w:ascii="Arial" w:hAnsi="Arial" w:cs="Arial"/>
                <w:kern w:val="2"/>
                <w14:ligatures w14:val="standardContextual"/>
              </w:rPr>
              <w:t>sleeping,</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having</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images</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of</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the</w:t>
            </w:r>
            <w:r w:rsidRPr="001B39BA">
              <w:rPr>
                <w:rFonts w:ascii="Arial" w:hAnsi="Arial" w:cs="Arial"/>
                <w:spacing w:val="-2"/>
                <w:kern w:val="2"/>
                <w14:ligatures w14:val="standardContextual"/>
              </w:rPr>
              <w:t xml:space="preserve"> upsetting </w:t>
            </w:r>
            <w:r w:rsidRPr="001B39BA">
              <w:rPr>
                <w:rFonts w:ascii="Arial" w:hAnsi="Arial" w:cs="Arial"/>
                <w:kern w:val="2"/>
                <w14:ligatures w14:val="standardContextual"/>
              </w:rPr>
              <w:t>event</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pop</w:t>
            </w:r>
            <w:r w:rsidRPr="001B39BA">
              <w:rPr>
                <w:rFonts w:ascii="Arial" w:hAnsi="Arial" w:cs="Arial"/>
                <w:spacing w:val="-1"/>
                <w:kern w:val="2"/>
                <w14:ligatures w14:val="standardContextual"/>
              </w:rPr>
              <w:t xml:space="preserve"> </w:t>
            </w:r>
            <w:r w:rsidRPr="001B39BA">
              <w:rPr>
                <w:rFonts w:ascii="Arial" w:hAnsi="Arial" w:cs="Arial"/>
                <w:kern w:val="2"/>
                <w14:ligatures w14:val="standardContextual"/>
              </w:rPr>
              <w:t>into</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their</w:t>
            </w:r>
            <w:r w:rsidRPr="001B39BA">
              <w:rPr>
                <w:rFonts w:ascii="Arial" w:hAnsi="Arial" w:cs="Arial"/>
                <w:spacing w:val="-1"/>
                <w:kern w:val="2"/>
                <w14:ligatures w14:val="standardContextual"/>
              </w:rPr>
              <w:t xml:space="preserve"> </w:t>
            </w:r>
            <w:r w:rsidRPr="001B39BA">
              <w:rPr>
                <w:rFonts w:ascii="Arial" w:hAnsi="Arial" w:cs="Arial"/>
                <w:kern w:val="2"/>
                <w14:ligatures w14:val="standardContextual"/>
              </w:rPr>
              <w:t>mind</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or</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avoiding</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things</w:t>
            </w:r>
            <w:r w:rsidRPr="001B39BA">
              <w:rPr>
                <w:rFonts w:ascii="Arial" w:hAnsi="Arial" w:cs="Arial"/>
                <w:spacing w:val="-6"/>
                <w:kern w:val="2"/>
                <w14:ligatures w14:val="standardContextual"/>
              </w:rPr>
              <w:t xml:space="preserve"> </w:t>
            </w:r>
            <w:r w:rsidRPr="001B39BA">
              <w:rPr>
                <w:rFonts w:ascii="Arial" w:hAnsi="Arial" w:cs="Arial"/>
                <w:spacing w:val="-4"/>
                <w:kern w:val="2"/>
                <w14:ligatures w14:val="standardContextual"/>
              </w:rPr>
              <w:t>that</w:t>
            </w:r>
            <w:r w:rsidRPr="001B39BA">
              <w:rPr>
                <w:rFonts w:ascii="Arial" w:hAnsi="Arial" w:cs="Arial"/>
                <w:kern w:val="2"/>
                <w14:ligatures w14:val="standardContextual"/>
              </w:rPr>
              <w:t xml:space="preserve"> remind</w:t>
            </w:r>
            <w:r w:rsidRPr="001B39BA">
              <w:rPr>
                <w:rFonts w:ascii="Arial" w:hAnsi="Arial" w:cs="Arial"/>
                <w:spacing w:val="1"/>
                <w:kern w:val="2"/>
                <w14:ligatures w14:val="standardContextual"/>
              </w:rPr>
              <w:t xml:space="preserve"> </w:t>
            </w:r>
            <w:r w:rsidRPr="001B39BA">
              <w:rPr>
                <w:rFonts w:ascii="Arial" w:hAnsi="Arial" w:cs="Arial"/>
                <w:kern w:val="2"/>
                <w14:ligatures w14:val="standardContextual"/>
              </w:rPr>
              <w:t>them</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of the</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event.</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While</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high</w:t>
            </w:r>
            <w:r w:rsidRPr="001B39BA">
              <w:rPr>
                <w:rFonts w:ascii="Arial" w:hAnsi="Arial" w:cs="Arial"/>
                <w:spacing w:val="1"/>
                <w:kern w:val="2"/>
                <w14:ligatures w14:val="standardContextual"/>
              </w:rPr>
              <w:t xml:space="preserve"> </w:t>
            </w:r>
            <w:r w:rsidRPr="001B39BA">
              <w:rPr>
                <w:rFonts w:ascii="Arial" w:hAnsi="Arial" w:cs="Arial"/>
                <w:kern w:val="2"/>
                <w14:ligatures w14:val="standardContextual"/>
              </w:rPr>
              <w:t>scores</w:t>
            </w:r>
            <w:r w:rsidRPr="001B39BA">
              <w:rPr>
                <w:rFonts w:ascii="Arial" w:hAnsi="Arial" w:cs="Arial"/>
                <w:spacing w:val="-5"/>
                <w:kern w:val="2"/>
                <w14:ligatures w14:val="standardContextual"/>
              </w:rPr>
              <w:t xml:space="preserve"> </w:t>
            </w:r>
            <w:r w:rsidRPr="001B39BA">
              <w:rPr>
                <w:rFonts w:ascii="Arial" w:hAnsi="Arial" w:cs="Arial"/>
                <w:spacing w:val="-4"/>
                <w:kern w:val="2"/>
                <w14:ligatures w14:val="standardContextual"/>
              </w:rPr>
              <w:t xml:space="preserve">do not </w:t>
            </w:r>
            <w:r w:rsidRPr="001B39BA">
              <w:rPr>
                <w:rFonts w:ascii="Arial" w:hAnsi="Arial" w:cs="Arial"/>
                <w:kern w:val="2"/>
                <w14:ligatures w14:val="standardContextual"/>
              </w:rPr>
              <w:t>necessarily</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indicate</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a</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problem,</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they</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suggest</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evaluat</w:t>
            </w:r>
            <w:r w:rsidRPr="001B39BA">
              <w:rPr>
                <w:rFonts w:ascii="Arial" w:hAnsi="Arial" w:cs="Arial"/>
                <w:spacing w:val="-4"/>
                <w:kern w:val="2"/>
                <w14:ligatures w14:val="standardContextual"/>
              </w:rPr>
              <w:t xml:space="preserve">ing </w:t>
            </w:r>
            <w:r w:rsidRPr="001B39BA">
              <w:rPr>
                <w:rFonts w:ascii="Arial" w:hAnsi="Arial" w:cs="Arial"/>
                <w:kern w:val="2"/>
                <w14:ligatures w14:val="standardContextual"/>
              </w:rPr>
              <w:t>one's</w:t>
            </w:r>
            <w:r w:rsidRPr="001B39BA">
              <w:rPr>
                <w:rFonts w:ascii="Arial" w:hAnsi="Arial" w:cs="Arial"/>
                <w:spacing w:val="-9"/>
                <w:kern w:val="2"/>
                <w14:ligatures w14:val="standardContextual"/>
              </w:rPr>
              <w:t xml:space="preserve"> </w:t>
            </w:r>
            <w:r w:rsidRPr="001B39BA">
              <w:rPr>
                <w:rFonts w:ascii="Arial" w:hAnsi="Arial" w:cs="Arial"/>
                <w:kern w:val="2"/>
                <w14:ligatures w14:val="standardContextual"/>
              </w:rPr>
              <w:t>feelings toward</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the</w:t>
            </w:r>
            <w:r w:rsidRPr="001B39BA">
              <w:rPr>
                <w:rFonts w:ascii="Arial" w:hAnsi="Arial" w:cs="Arial"/>
                <w:spacing w:val="-5"/>
                <w:kern w:val="2"/>
                <w14:ligatures w14:val="standardContextual"/>
              </w:rPr>
              <w:t xml:space="preserve"> </w:t>
            </w:r>
            <w:r w:rsidRPr="001B39BA">
              <w:rPr>
                <w:rFonts w:ascii="Arial" w:hAnsi="Arial" w:cs="Arial"/>
                <w:spacing w:val="-4"/>
                <w:kern w:val="2"/>
                <w14:ligatures w14:val="standardContextual"/>
              </w:rPr>
              <w:t xml:space="preserve">work </w:t>
            </w:r>
            <w:r w:rsidRPr="001B39BA">
              <w:rPr>
                <w:rFonts w:ascii="Arial" w:hAnsi="Arial" w:cs="Arial"/>
                <w:kern w:val="2"/>
                <w14:ligatures w14:val="standardContextual"/>
              </w:rPr>
              <w:t>environment</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and</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the</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delivery</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of</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guidance</w:t>
            </w:r>
            <w:r w:rsidRPr="001B39BA">
              <w:rPr>
                <w:rFonts w:ascii="Arial" w:hAnsi="Arial" w:cs="Arial"/>
                <w:spacing w:val="-2"/>
                <w:kern w:val="2"/>
                <w14:ligatures w14:val="standardContextual"/>
              </w:rPr>
              <w:t xml:space="preserve"> services.</w:t>
            </w:r>
          </w:p>
          <w:p w14:paraId="29AA1591" w14:textId="20476E34" w:rsidR="009C013D" w:rsidRPr="001B39BA" w:rsidRDefault="009C013D" w:rsidP="009C013D">
            <w:pPr>
              <w:spacing w:before="161"/>
              <w:ind w:left="247"/>
              <w:jc w:val="both"/>
              <w:rPr>
                <w:rFonts w:ascii="Arial" w:hAnsi="Arial" w:cs="Arial"/>
                <w:kern w:val="2"/>
                <w14:ligatures w14:val="standardContextual"/>
              </w:rPr>
            </w:pPr>
          </w:p>
        </w:tc>
      </w:tr>
      <w:tr w:rsidR="001B39BA" w:rsidRPr="001B39BA" w14:paraId="3AA75F67" w14:textId="77777777" w:rsidTr="003D246B">
        <w:trPr>
          <w:trHeight w:val="266"/>
        </w:trPr>
        <w:tc>
          <w:tcPr>
            <w:tcW w:w="1109" w:type="dxa"/>
          </w:tcPr>
          <w:p w14:paraId="0ADF2433" w14:textId="77777777" w:rsidR="001B39BA" w:rsidRPr="001B39BA" w:rsidRDefault="001B39BA" w:rsidP="003D246B">
            <w:pPr>
              <w:jc w:val="both"/>
              <w:rPr>
                <w:rFonts w:ascii="Arial" w:hAnsi="Arial" w:cs="Arial"/>
                <w:w w:val="110"/>
                <w:kern w:val="2"/>
                <w14:ligatures w14:val="standardContextual"/>
              </w:rPr>
            </w:pPr>
          </w:p>
          <w:p w14:paraId="2D7C699B" w14:textId="77777777" w:rsidR="001B39BA" w:rsidRPr="001B39BA" w:rsidRDefault="001B39BA" w:rsidP="003D246B">
            <w:pPr>
              <w:jc w:val="both"/>
              <w:rPr>
                <w:rFonts w:ascii="Arial" w:hAnsi="Arial" w:cs="Arial"/>
                <w:kern w:val="2"/>
                <w14:ligatures w14:val="standardContextual"/>
              </w:rPr>
            </w:pPr>
            <w:r w:rsidRPr="001B39BA">
              <w:rPr>
                <w:rFonts w:ascii="Arial" w:hAnsi="Arial" w:cs="Arial"/>
                <w:w w:val="110"/>
                <w:kern w:val="2"/>
                <w14:ligatures w14:val="standardContextual"/>
              </w:rPr>
              <w:t>23</w:t>
            </w:r>
            <w:r w:rsidRPr="001B39BA">
              <w:rPr>
                <w:rFonts w:ascii="Arial" w:hAnsi="Arial" w:cs="Arial"/>
                <w:spacing w:val="-12"/>
                <w:w w:val="110"/>
                <w:kern w:val="2"/>
                <w14:ligatures w14:val="standardContextual"/>
              </w:rPr>
              <w:t xml:space="preserve"> </w:t>
            </w:r>
            <w:r w:rsidRPr="001B39BA">
              <w:rPr>
                <w:rFonts w:ascii="Arial" w:hAnsi="Arial" w:cs="Arial"/>
                <w:w w:val="165"/>
                <w:kern w:val="2"/>
                <w14:ligatures w14:val="standardContextual"/>
              </w:rPr>
              <w:t>–</w:t>
            </w:r>
            <w:r w:rsidRPr="001B39BA">
              <w:rPr>
                <w:rFonts w:ascii="Arial" w:hAnsi="Arial" w:cs="Arial"/>
                <w:spacing w:val="-37"/>
                <w:w w:val="165"/>
                <w:kern w:val="2"/>
                <w14:ligatures w14:val="standardContextual"/>
              </w:rPr>
              <w:t xml:space="preserve"> </w:t>
            </w:r>
            <w:r w:rsidRPr="001B39BA">
              <w:rPr>
                <w:rFonts w:ascii="Arial" w:hAnsi="Arial" w:cs="Arial"/>
                <w:spacing w:val="-5"/>
                <w:w w:val="110"/>
                <w:kern w:val="2"/>
                <w14:ligatures w14:val="standardContextual"/>
              </w:rPr>
              <w:t>41</w:t>
            </w:r>
          </w:p>
        </w:tc>
        <w:tc>
          <w:tcPr>
            <w:tcW w:w="2245" w:type="dxa"/>
          </w:tcPr>
          <w:p w14:paraId="18EC382D" w14:textId="77777777" w:rsidR="001B39BA" w:rsidRPr="001B39BA" w:rsidRDefault="001B39BA" w:rsidP="003D246B">
            <w:pPr>
              <w:spacing w:before="5"/>
              <w:ind w:left="350"/>
              <w:jc w:val="both"/>
              <w:rPr>
                <w:rFonts w:ascii="Arial" w:hAnsi="Arial" w:cs="Arial"/>
                <w:spacing w:val="-2"/>
                <w:kern w:val="2"/>
                <w14:ligatures w14:val="standardContextual"/>
              </w:rPr>
            </w:pPr>
          </w:p>
          <w:p w14:paraId="3933DA29" w14:textId="77777777" w:rsidR="001B39BA" w:rsidRPr="001B39BA" w:rsidRDefault="001B39BA" w:rsidP="003D246B">
            <w:pPr>
              <w:spacing w:before="5"/>
              <w:ind w:left="350"/>
              <w:jc w:val="both"/>
              <w:rPr>
                <w:rFonts w:ascii="Arial" w:hAnsi="Arial" w:cs="Arial"/>
                <w:kern w:val="2"/>
                <w14:ligatures w14:val="standardContextual"/>
              </w:rPr>
            </w:pPr>
            <w:r w:rsidRPr="001B39BA">
              <w:rPr>
                <w:rFonts w:ascii="Arial" w:hAnsi="Arial" w:cs="Arial"/>
                <w:spacing w:val="-2"/>
                <w:kern w:val="2"/>
                <w14:ligatures w14:val="standardContextual"/>
              </w:rPr>
              <w:t>Moderate Secondary Traumatic Stress</w:t>
            </w:r>
          </w:p>
        </w:tc>
        <w:tc>
          <w:tcPr>
            <w:tcW w:w="5293" w:type="dxa"/>
          </w:tcPr>
          <w:p w14:paraId="15451922" w14:textId="77777777" w:rsidR="001B39BA" w:rsidRPr="001B39BA" w:rsidRDefault="001B39BA" w:rsidP="003D246B">
            <w:pPr>
              <w:spacing w:before="5"/>
              <w:ind w:left="247"/>
              <w:jc w:val="both"/>
              <w:rPr>
                <w:rFonts w:ascii="Arial" w:hAnsi="Arial" w:cs="Arial"/>
                <w:kern w:val="2"/>
                <w14:ligatures w14:val="standardContextual"/>
              </w:rPr>
            </w:pPr>
          </w:p>
          <w:p w14:paraId="071C9044" w14:textId="77777777" w:rsidR="001B39BA" w:rsidRDefault="001B39BA" w:rsidP="009C013D">
            <w:pPr>
              <w:spacing w:before="5"/>
              <w:ind w:left="247"/>
              <w:jc w:val="both"/>
              <w:rPr>
                <w:rFonts w:ascii="Arial" w:hAnsi="Arial" w:cs="Arial"/>
                <w:spacing w:val="-2"/>
                <w:kern w:val="2"/>
                <w14:ligatures w14:val="standardContextual"/>
              </w:rPr>
            </w:pPr>
            <w:r w:rsidRPr="001B39BA">
              <w:rPr>
                <w:rFonts w:ascii="Arial" w:hAnsi="Arial" w:cs="Arial"/>
                <w:kern w:val="2"/>
                <w14:ligatures w14:val="standardContextual"/>
              </w:rPr>
              <w:t>This</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condition</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is</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characterized</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by</w:t>
            </w:r>
            <w:r w:rsidRPr="001B39BA">
              <w:rPr>
                <w:rFonts w:ascii="Arial" w:hAnsi="Arial" w:cs="Arial"/>
                <w:spacing w:val="-9"/>
                <w:kern w:val="2"/>
                <w14:ligatures w14:val="standardContextual"/>
              </w:rPr>
              <w:t xml:space="preserve"> </w:t>
            </w:r>
            <w:r w:rsidRPr="001B39BA">
              <w:rPr>
                <w:rFonts w:ascii="Arial" w:hAnsi="Arial" w:cs="Arial"/>
                <w:kern w:val="2"/>
                <w14:ligatures w14:val="standardContextual"/>
              </w:rPr>
              <w:t>a</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moderate negative aspect of caregiving, especially for individuals</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who</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have</w:t>
            </w:r>
            <w:r w:rsidRPr="001B39BA">
              <w:rPr>
                <w:rFonts w:ascii="Arial" w:hAnsi="Arial" w:cs="Arial"/>
                <w:spacing w:val="-8"/>
                <w:kern w:val="2"/>
                <w14:ligatures w14:val="standardContextual"/>
              </w:rPr>
              <w:t xml:space="preserve"> experienced </w:t>
            </w:r>
            <w:r w:rsidRPr="001B39BA">
              <w:rPr>
                <w:rFonts w:ascii="Arial" w:hAnsi="Arial" w:cs="Arial"/>
                <w:kern w:val="2"/>
                <w14:ligatures w14:val="standardContextual"/>
              </w:rPr>
              <w:t>extreme</w:t>
            </w:r>
            <w:r w:rsidRPr="001B39BA">
              <w:rPr>
                <w:rFonts w:ascii="Arial" w:hAnsi="Arial" w:cs="Arial"/>
                <w:spacing w:val="-8"/>
                <w:kern w:val="2"/>
                <w14:ligatures w14:val="standardContextual"/>
              </w:rPr>
              <w:t xml:space="preserve"> </w:t>
            </w:r>
            <w:r w:rsidRPr="001B39BA">
              <w:rPr>
                <w:rFonts w:ascii="Arial" w:hAnsi="Arial" w:cs="Arial"/>
                <w:spacing w:val="-5"/>
                <w:kern w:val="2"/>
                <w14:ligatures w14:val="standardContextual"/>
              </w:rPr>
              <w:t xml:space="preserve">or </w:t>
            </w:r>
            <w:r w:rsidRPr="001B39BA">
              <w:rPr>
                <w:rFonts w:ascii="Arial" w:hAnsi="Arial" w:cs="Arial"/>
                <w:kern w:val="2"/>
                <w14:ligatures w14:val="standardContextual"/>
              </w:rPr>
              <w:t>traumatic</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stressors.</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These</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adverse</w:t>
            </w:r>
            <w:r w:rsidRPr="001B39BA">
              <w:rPr>
                <w:rFonts w:ascii="Arial" w:hAnsi="Arial" w:cs="Arial"/>
                <w:spacing w:val="-7"/>
                <w:kern w:val="2"/>
                <w14:ligatures w14:val="standardContextual"/>
              </w:rPr>
              <w:t xml:space="preserve"> </w:t>
            </w:r>
            <w:r w:rsidRPr="001B39BA">
              <w:rPr>
                <w:rFonts w:ascii="Arial" w:hAnsi="Arial" w:cs="Arial"/>
                <w:spacing w:val="-2"/>
                <w:kern w:val="2"/>
                <w14:ligatures w14:val="standardContextual"/>
              </w:rPr>
              <w:t xml:space="preserve">reactions </w:t>
            </w:r>
            <w:r w:rsidRPr="001B39BA">
              <w:rPr>
                <w:rFonts w:ascii="Arial" w:hAnsi="Arial" w:cs="Arial"/>
                <w:kern w:val="2"/>
                <w14:ligatures w14:val="standardContextual"/>
              </w:rPr>
              <w:t>involve</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a</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moderate</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sense</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of</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feeling</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overwhelmed by the workload, which differs from the fear associated</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with</w:t>
            </w:r>
            <w:r w:rsidRPr="001B39BA">
              <w:rPr>
                <w:rFonts w:ascii="Arial" w:hAnsi="Arial" w:cs="Arial"/>
                <w:spacing w:val="-1"/>
                <w:kern w:val="2"/>
                <w14:ligatures w14:val="standardContextual"/>
              </w:rPr>
              <w:t xml:space="preserve"> </w:t>
            </w:r>
            <w:r w:rsidRPr="001B39BA">
              <w:rPr>
                <w:rFonts w:ascii="Arial" w:hAnsi="Arial" w:cs="Arial"/>
                <w:kern w:val="2"/>
                <w14:ligatures w14:val="standardContextual"/>
              </w:rPr>
              <w:t>the</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tasks</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and</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delivery</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of</w:t>
            </w:r>
            <w:r w:rsidRPr="001B39BA">
              <w:rPr>
                <w:rFonts w:ascii="Arial" w:hAnsi="Arial" w:cs="Arial"/>
                <w:spacing w:val="-3"/>
                <w:kern w:val="2"/>
                <w14:ligatures w14:val="standardContextual"/>
              </w:rPr>
              <w:t xml:space="preserve"> </w:t>
            </w:r>
            <w:r w:rsidRPr="001B39BA">
              <w:rPr>
                <w:rFonts w:ascii="Arial" w:hAnsi="Arial" w:cs="Arial"/>
                <w:spacing w:val="-2"/>
                <w:kern w:val="2"/>
                <w14:ligatures w14:val="standardContextual"/>
              </w:rPr>
              <w:t>guidance services.</w:t>
            </w:r>
          </w:p>
          <w:p w14:paraId="75C250EC" w14:textId="6F5B7BDC" w:rsidR="009C013D" w:rsidRPr="001B39BA" w:rsidRDefault="009C013D" w:rsidP="009C013D">
            <w:pPr>
              <w:spacing w:before="5"/>
              <w:ind w:left="247"/>
              <w:jc w:val="both"/>
              <w:rPr>
                <w:rFonts w:ascii="Arial" w:hAnsi="Arial" w:cs="Arial"/>
                <w:kern w:val="2"/>
                <w14:ligatures w14:val="standardContextual"/>
              </w:rPr>
            </w:pPr>
          </w:p>
        </w:tc>
      </w:tr>
      <w:tr w:rsidR="001B39BA" w:rsidRPr="001B39BA" w14:paraId="4441746E" w14:textId="77777777" w:rsidTr="003D246B">
        <w:trPr>
          <w:trHeight w:val="263"/>
        </w:trPr>
        <w:tc>
          <w:tcPr>
            <w:tcW w:w="1109" w:type="dxa"/>
            <w:tcBorders>
              <w:top w:val="nil"/>
              <w:left w:val="nil"/>
              <w:bottom w:val="single" w:sz="4" w:space="0" w:color="auto"/>
              <w:right w:val="nil"/>
            </w:tcBorders>
          </w:tcPr>
          <w:p w14:paraId="4203BB06" w14:textId="77777777" w:rsidR="001B39BA" w:rsidRPr="001B39BA" w:rsidRDefault="001B39BA" w:rsidP="003D246B">
            <w:pPr>
              <w:jc w:val="both"/>
              <w:rPr>
                <w:rFonts w:ascii="Arial" w:hAnsi="Arial" w:cs="Arial"/>
                <w:kern w:val="2"/>
                <w14:ligatures w14:val="standardContextual"/>
              </w:rPr>
            </w:pPr>
          </w:p>
          <w:p w14:paraId="242AAF65" w14:textId="77777777" w:rsidR="001B39BA" w:rsidRPr="001B39BA" w:rsidRDefault="001B39BA" w:rsidP="003D246B">
            <w:pPr>
              <w:jc w:val="both"/>
              <w:rPr>
                <w:rFonts w:ascii="Arial" w:hAnsi="Arial" w:cs="Arial"/>
                <w:kern w:val="2"/>
                <w14:ligatures w14:val="standardContextual"/>
              </w:rPr>
            </w:pPr>
            <w:r w:rsidRPr="001B39BA">
              <w:rPr>
                <w:rFonts w:ascii="Arial" w:hAnsi="Arial" w:cs="Arial"/>
                <w:kern w:val="2"/>
                <w14:ligatures w14:val="standardContextual"/>
              </w:rPr>
              <w:t>≤</w:t>
            </w:r>
            <w:r w:rsidRPr="001B39BA">
              <w:rPr>
                <w:rFonts w:ascii="Arial" w:hAnsi="Arial" w:cs="Arial"/>
                <w:spacing w:val="2"/>
                <w:kern w:val="2"/>
                <w14:ligatures w14:val="standardContextual"/>
              </w:rPr>
              <w:t xml:space="preserve"> </w:t>
            </w:r>
            <w:r w:rsidRPr="001B39BA">
              <w:rPr>
                <w:rFonts w:ascii="Arial" w:hAnsi="Arial" w:cs="Arial"/>
                <w:spacing w:val="-5"/>
                <w:kern w:val="2"/>
                <w14:ligatures w14:val="standardContextual"/>
              </w:rPr>
              <w:t>22</w:t>
            </w:r>
          </w:p>
        </w:tc>
        <w:tc>
          <w:tcPr>
            <w:tcW w:w="2245" w:type="dxa"/>
            <w:tcBorders>
              <w:top w:val="nil"/>
              <w:left w:val="nil"/>
              <w:bottom w:val="single" w:sz="4" w:space="0" w:color="auto"/>
              <w:right w:val="nil"/>
            </w:tcBorders>
          </w:tcPr>
          <w:p w14:paraId="149783D8" w14:textId="77777777" w:rsidR="001B39BA" w:rsidRPr="001B39BA" w:rsidRDefault="001B39BA" w:rsidP="003D246B">
            <w:pPr>
              <w:jc w:val="both"/>
              <w:rPr>
                <w:rFonts w:ascii="Arial" w:hAnsi="Arial" w:cs="Arial"/>
                <w:spacing w:val="-5"/>
                <w:kern w:val="2"/>
                <w14:ligatures w14:val="standardContextual"/>
              </w:rPr>
            </w:pPr>
          </w:p>
          <w:p w14:paraId="13A9BA42" w14:textId="77777777" w:rsidR="001B39BA" w:rsidRPr="001B39BA" w:rsidRDefault="001B39BA" w:rsidP="003D246B">
            <w:pPr>
              <w:jc w:val="both"/>
              <w:rPr>
                <w:rFonts w:ascii="Arial" w:hAnsi="Arial" w:cs="Arial"/>
                <w:spacing w:val="-5"/>
                <w:kern w:val="2"/>
                <w14:ligatures w14:val="standardContextual"/>
              </w:rPr>
            </w:pPr>
            <w:r w:rsidRPr="001B39BA">
              <w:rPr>
                <w:rFonts w:ascii="Arial" w:hAnsi="Arial" w:cs="Arial"/>
                <w:spacing w:val="-5"/>
                <w:kern w:val="2"/>
                <w14:ligatures w14:val="standardContextual"/>
              </w:rPr>
              <w:t xml:space="preserve">Low Secondary </w:t>
            </w:r>
          </w:p>
          <w:p w14:paraId="715B1FB5" w14:textId="77777777" w:rsidR="001B39BA" w:rsidRPr="001B39BA" w:rsidRDefault="001B39BA" w:rsidP="003D246B">
            <w:pPr>
              <w:jc w:val="both"/>
              <w:rPr>
                <w:rFonts w:ascii="Arial" w:hAnsi="Arial" w:cs="Arial"/>
                <w:kern w:val="2"/>
                <w14:ligatures w14:val="standardContextual"/>
              </w:rPr>
            </w:pPr>
            <w:r w:rsidRPr="001B39BA">
              <w:rPr>
                <w:rFonts w:ascii="Arial" w:hAnsi="Arial" w:cs="Arial"/>
                <w:spacing w:val="-5"/>
                <w:kern w:val="2"/>
                <w14:ligatures w14:val="standardContextual"/>
              </w:rPr>
              <w:t>Traumatic Stress</w:t>
            </w:r>
          </w:p>
        </w:tc>
        <w:tc>
          <w:tcPr>
            <w:tcW w:w="5293" w:type="dxa"/>
            <w:tcBorders>
              <w:top w:val="nil"/>
              <w:left w:val="nil"/>
              <w:bottom w:val="single" w:sz="4" w:space="0" w:color="auto"/>
              <w:right w:val="nil"/>
            </w:tcBorders>
          </w:tcPr>
          <w:p w14:paraId="4FDC69A0" w14:textId="77777777" w:rsidR="001B39BA" w:rsidRPr="001B39BA" w:rsidRDefault="001B39BA" w:rsidP="003D246B">
            <w:pPr>
              <w:spacing w:before="5"/>
              <w:ind w:left="247"/>
              <w:jc w:val="both"/>
              <w:rPr>
                <w:rFonts w:ascii="Arial" w:hAnsi="Arial" w:cs="Arial"/>
                <w:kern w:val="2"/>
                <w14:ligatures w14:val="standardContextual"/>
              </w:rPr>
            </w:pPr>
          </w:p>
          <w:p w14:paraId="55CCF72A" w14:textId="77777777" w:rsidR="001B39BA" w:rsidRPr="001B39BA" w:rsidRDefault="001B39BA" w:rsidP="003D246B">
            <w:pPr>
              <w:spacing w:before="5"/>
              <w:ind w:left="247"/>
              <w:jc w:val="both"/>
              <w:rPr>
                <w:rFonts w:ascii="Arial" w:hAnsi="Arial" w:cs="Arial"/>
                <w:kern w:val="2"/>
                <w14:ligatures w14:val="standardContextual"/>
              </w:rPr>
            </w:pPr>
            <w:r w:rsidRPr="001B39BA">
              <w:rPr>
                <w:rFonts w:ascii="Arial" w:hAnsi="Arial" w:cs="Arial"/>
                <w:kern w:val="2"/>
                <w14:ligatures w14:val="standardContextual"/>
              </w:rPr>
              <w:t>This</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condition</w:t>
            </w:r>
            <w:r w:rsidRPr="001B39BA">
              <w:rPr>
                <w:rFonts w:ascii="Arial" w:hAnsi="Arial" w:cs="Arial"/>
                <w:spacing w:val="-6"/>
                <w:kern w:val="2"/>
                <w14:ligatures w14:val="standardContextual"/>
              </w:rPr>
              <w:t xml:space="preserve"> </w:t>
            </w:r>
            <w:r w:rsidRPr="001B39BA">
              <w:rPr>
                <w:rFonts w:ascii="Arial" w:hAnsi="Arial" w:cs="Arial"/>
                <w:kern w:val="2"/>
                <w14:ligatures w14:val="standardContextual"/>
              </w:rPr>
              <w:t>is</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characterized</w:t>
            </w:r>
            <w:r w:rsidRPr="001B39BA">
              <w:rPr>
                <w:rFonts w:ascii="Arial" w:hAnsi="Arial" w:cs="Arial"/>
                <w:spacing w:val="-1"/>
                <w:kern w:val="2"/>
                <w14:ligatures w14:val="standardContextual"/>
              </w:rPr>
              <w:t xml:space="preserve"> </w:t>
            </w:r>
            <w:r w:rsidRPr="001B39BA">
              <w:rPr>
                <w:rFonts w:ascii="Arial" w:hAnsi="Arial" w:cs="Arial"/>
                <w:kern w:val="2"/>
                <w14:ligatures w14:val="standardContextual"/>
              </w:rPr>
              <w:t>by</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a</w:t>
            </w:r>
            <w:r w:rsidRPr="001B39BA">
              <w:rPr>
                <w:rFonts w:ascii="Arial" w:hAnsi="Arial" w:cs="Arial"/>
                <w:spacing w:val="-6"/>
                <w:kern w:val="2"/>
                <w14:ligatures w14:val="standardContextual"/>
              </w:rPr>
              <w:t xml:space="preserve"> </w:t>
            </w:r>
            <w:r w:rsidRPr="001B39BA">
              <w:rPr>
                <w:rFonts w:ascii="Arial" w:hAnsi="Arial" w:cs="Arial"/>
                <w:spacing w:val="-2"/>
                <w:kern w:val="2"/>
                <w14:ligatures w14:val="standardContextual"/>
              </w:rPr>
              <w:t xml:space="preserve">moderate </w:t>
            </w:r>
            <w:r w:rsidRPr="001B39BA">
              <w:rPr>
                <w:rFonts w:ascii="Arial" w:hAnsi="Arial" w:cs="Arial"/>
                <w:kern w:val="2"/>
                <w14:ligatures w14:val="standardContextual"/>
              </w:rPr>
              <w:t>negative aspect of caregiving, especially for individuals</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who</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have</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experienced</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extreme</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or traumatic</w:t>
            </w:r>
            <w:r w:rsidRPr="001B39BA">
              <w:rPr>
                <w:rFonts w:ascii="Arial" w:hAnsi="Arial" w:cs="Arial"/>
                <w:spacing w:val="-5"/>
                <w:kern w:val="2"/>
                <w14:ligatures w14:val="standardContextual"/>
              </w:rPr>
              <w:t xml:space="preserve"> </w:t>
            </w:r>
            <w:r w:rsidRPr="001B39BA">
              <w:rPr>
                <w:rFonts w:ascii="Arial" w:hAnsi="Arial" w:cs="Arial"/>
                <w:kern w:val="2"/>
                <w14:ligatures w14:val="standardContextual"/>
              </w:rPr>
              <w:t>stressors.</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These</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adverse</w:t>
            </w:r>
            <w:r w:rsidRPr="001B39BA">
              <w:rPr>
                <w:rFonts w:ascii="Arial" w:hAnsi="Arial" w:cs="Arial"/>
                <w:spacing w:val="-7"/>
                <w:kern w:val="2"/>
                <w14:ligatures w14:val="standardContextual"/>
              </w:rPr>
              <w:t xml:space="preserve"> </w:t>
            </w:r>
            <w:r w:rsidRPr="001B39BA">
              <w:rPr>
                <w:rFonts w:ascii="Arial" w:hAnsi="Arial" w:cs="Arial"/>
                <w:spacing w:val="-2"/>
                <w:kern w:val="2"/>
                <w14:ligatures w14:val="standardContextual"/>
              </w:rPr>
              <w:t xml:space="preserve">reactions </w:t>
            </w:r>
            <w:r w:rsidRPr="001B39BA">
              <w:rPr>
                <w:rFonts w:ascii="Arial" w:hAnsi="Arial" w:cs="Arial"/>
                <w:kern w:val="2"/>
                <w14:ligatures w14:val="standardContextual"/>
              </w:rPr>
              <w:t>involve</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a</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moderate</w:t>
            </w:r>
            <w:r w:rsidRPr="001B39BA">
              <w:rPr>
                <w:rFonts w:ascii="Arial" w:hAnsi="Arial" w:cs="Arial"/>
                <w:spacing w:val="-1"/>
                <w:kern w:val="2"/>
                <w14:ligatures w14:val="standardContextual"/>
              </w:rPr>
              <w:t xml:space="preserve"> </w:t>
            </w:r>
            <w:r w:rsidRPr="001B39BA">
              <w:rPr>
                <w:rFonts w:ascii="Arial" w:hAnsi="Arial" w:cs="Arial"/>
                <w:kern w:val="2"/>
                <w14:ligatures w14:val="standardContextual"/>
              </w:rPr>
              <w:t>sense</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of</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feeling</w:t>
            </w:r>
            <w:r w:rsidRPr="001B39BA">
              <w:rPr>
                <w:rFonts w:ascii="Arial" w:hAnsi="Arial" w:cs="Arial"/>
                <w:spacing w:val="-7"/>
                <w:kern w:val="2"/>
                <w14:ligatures w14:val="standardContextual"/>
              </w:rPr>
              <w:t xml:space="preserve"> </w:t>
            </w:r>
            <w:r w:rsidRPr="001B39BA">
              <w:rPr>
                <w:rFonts w:ascii="Arial" w:hAnsi="Arial" w:cs="Arial"/>
                <w:spacing w:val="-2"/>
                <w:kern w:val="2"/>
                <w14:ligatures w14:val="standardContextual"/>
              </w:rPr>
              <w:t xml:space="preserve">overwhelmed </w:t>
            </w:r>
            <w:r w:rsidRPr="001B39BA">
              <w:rPr>
                <w:rFonts w:ascii="Arial" w:hAnsi="Arial" w:cs="Arial"/>
                <w:kern w:val="2"/>
                <w14:ligatures w14:val="standardContextual"/>
              </w:rPr>
              <w:t>by the workload, which differs from the fear associated</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with</w:t>
            </w:r>
            <w:r w:rsidRPr="001B39BA">
              <w:rPr>
                <w:rFonts w:ascii="Arial" w:hAnsi="Arial" w:cs="Arial"/>
                <w:spacing w:val="-2"/>
                <w:kern w:val="2"/>
                <w14:ligatures w14:val="standardContextual"/>
              </w:rPr>
              <w:t xml:space="preserve"> </w:t>
            </w:r>
            <w:r w:rsidRPr="001B39BA">
              <w:rPr>
                <w:rFonts w:ascii="Arial" w:hAnsi="Arial" w:cs="Arial"/>
                <w:kern w:val="2"/>
                <w14:ligatures w14:val="standardContextual"/>
              </w:rPr>
              <w:t>the</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tasks</w:t>
            </w:r>
            <w:r w:rsidRPr="001B39BA">
              <w:rPr>
                <w:rFonts w:ascii="Arial" w:hAnsi="Arial" w:cs="Arial"/>
                <w:spacing w:val="-4"/>
                <w:kern w:val="2"/>
                <w14:ligatures w14:val="standardContextual"/>
              </w:rPr>
              <w:t xml:space="preserve"> </w:t>
            </w:r>
            <w:r w:rsidRPr="001B39BA">
              <w:rPr>
                <w:rFonts w:ascii="Arial" w:hAnsi="Arial" w:cs="Arial"/>
                <w:kern w:val="2"/>
                <w14:ligatures w14:val="standardContextual"/>
              </w:rPr>
              <w:t>and</w:t>
            </w:r>
            <w:r w:rsidRPr="001B39BA">
              <w:rPr>
                <w:rFonts w:ascii="Arial" w:hAnsi="Arial" w:cs="Arial"/>
                <w:spacing w:val="-7"/>
                <w:kern w:val="2"/>
                <w14:ligatures w14:val="standardContextual"/>
              </w:rPr>
              <w:t xml:space="preserve"> </w:t>
            </w:r>
            <w:r w:rsidRPr="001B39BA">
              <w:rPr>
                <w:rFonts w:ascii="Arial" w:hAnsi="Arial" w:cs="Arial"/>
                <w:kern w:val="2"/>
                <w14:ligatures w14:val="standardContextual"/>
              </w:rPr>
              <w:t>delivery</w:t>
            </w:r>
            <w:r w:rsidRPr="001B39BA">
              <w:rPr>
                <w:rFonts w:ascii="Arial" w:hAnsi="Arial" w:cs="Arial"/>
                <w:spacing w:val="-8"/>
                <w:kern w:val="2"/>
                <w14:ligatures w14:val="standardContextual"/>
              </w:rPr>
              <w:t xml:space="preserve"> </w:t>
            </w:r>
            <w:r w:rsidRPr="001B39BA">
              <w:rPr>
                <w:rFonts w:ascii="Arial" w:hAnsi="Arial" w:cs="Arial"/>
                <w:kern w:val="2"/>
                <w14:ligatures w14:val="standardContextual"/>
              </w:rPr>
              <w:t>of</w:t>
            </w:r>
            <w:r w:rsidRPr="001B39BA">
              <w:rPr>
                <w:rFonts w:ascii="Arial" w:hAnsi="Arial" w:cs="Arial"/>
                <w:spacing w:val="-3"/>
                <w:kern w:val="2"/>
                <w14:ligatures w14:val="standardContextual"/>
              </w:rPr>
              <w:t xml:space="preserve"> </w:t>
            </w:r>
            <w:r w:rsidRPr="001B39BA">
              <w:rPr>
                <w:rFonts w:ascii="Arial" w:hAnsi="Arial" w:cs="Arial"/>
                <w:kern w:val="2"/>
                <w14:ligatures w14:val="standardContextual"/>
              </w:rPr>
              <w:t>guidance services.</w:t>
            </w:r>
          </w:p>
          <w:p w14:paraId="3332F082" w14:textId="77777777" w:rsidR="001B39BA" w:rsidRPr="001B39BA" w:rsidRDefault="001B39BA" w:rsidP="003D246B">
            <w:pPr>
              <w:spacing w:before="5"/>
              <w:ind w:left="247"/>
              <w:jc w:val="both"/>
              <w:rPr>
                <w:rFonts w:ascii="Arial" w:hAnsi="Arial" w:cs="Arial"/>
                <w:kern w:val="2"/>
                <w14:ligatures w14:val="standardContextual"/>
              </w:rPr>
            </w:pPr>
          </w:p>
        </w:tc>
      </w:tr>
    </w:tbl>
    <w:p w14:paraId="1E1C8B8F"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4822C07E" w14:textId="77777777" w:rsid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Overall, the results demonstrated that the instruments used in the study were both valid and reliable. Content validity was established through expert evaluation, internal consistency was confirmed through Cronbach’s alpha coefficients, and construct validity was supported through Structural Equation Modeling (SEM)-based measures such as Composite Reliability (CR) and Average Variance Extracted (AVE) (Hair Jr. et al., 2019; Kline, 2023).</w:t>
      </w:r>
    </w:p>
    <w:p w14:paraId="783F8FEA" w14:textId="77777777" w:rsidR="001B39BA" w:rsidRPr="001B39BA" w:rsidRDefault="001B39BA" w:rsidP="001B39BA">
      <w:pPr>
        <w:widowControl/>
        <w:autoSpaceDE/>
        <w:spacing w:line="360" w:lineRule="auto"/>
        <w:jc w:val="both"/>
        <w:rPr>
          <w:rFonts w:ascii="Arial" w:eastAsia="Calibri" w:hAnsi="Arial" w:cs="Arial"/>
          <w:lang w:val="en-SG"/>
        </w:rPr>
      </w:pPr>
      <w:r w:rsidRPr="001B39BA">
        <w:rPr>
          <w:rFonts w:ascii="Arial" w:eastAsia="Calibri" w:hAnsi="Arial" w:cs="Arial"/>
          <w:lang w:val="en-SG"/>
        </w:rPr>
        <w:lastRenderedPageBreak/>
        <w:t>Procedures</w:t>
      </w:r>
    </w:p>
    <w:p w14:paraId="398104A9"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259C9C97"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To ensure comprehensive and systematic data collection, the researcher implemented a structured three-phase procedure: pre-data collection, data collection, and post-data collection.</w:t>
      </w:r>
    </w:p>
    <w:p w14:paraId="0430147E" w14:textId="77777777" w:rsidR="001B39BA" w:rsidRPr="001B39BA" w:rsidRDefault="001B39BA" w:rsidP="001B39BA">
      <w:pPr>
        <w:widowControl/>
        <w:autoSpaceDE/>
        <w:spacing w:line="360" w:lineRule="auto"/>
        <w:jc w:val="both"/>
        <w:rPr>
          <w:rFonts w:ascii="Arial" w:eastAsia="Calibri" w:hAnsi="Arial" w:cs="Arial"/>
          <w:lang w:val="en-SG"/>
        </w:rPr>
      </w:pPr>
    </w:p>
    <w:p w14:paraId="438ECBC3" w14:textId="77777777" w:rsidR="001B39BA" w:rsidRPr="001B39BA" w:rsidRDefault="001B39BA" w:rsidP="001B39BA">
      <w:pPr>
        <w:widowControl/>
        <w:autoSpaceDE/>
        <w:spacing w:line="360" w:lineRule="auto"/>
        <w:jc w:val="both"/>
        <w:rPr>
          <w:rFonts w:ascii="Arial" w:eastAsia="Calibri" w:hAnsi="Arial" w:cs="Arial"/>
          <w:lang w:val="en-SG"/>
        </w:rPr>
      </w:pPr>
      <w:r w:rsidRPr="001B39BA">
        <w:rPr>
          <w:rFonts w:ascii="Arial" w:eastAsia="Calibri" w:hAnsi="Arial" w:cs="Arial"/>
          <w:lang w:val="en-SG"/>
        </w:rPr>
        <w:t>A. Pre-Data Gathering Phase</w:t>
      </w:r>
    </w:p>
    <w:p w14:paraId="582BD533" w14:textId="77777777" w:rsidR="001B39BA" w:rsidRPr="001B39BA" w:rsidRDefault="001B39BA" w:rsidP="001B39BA">
      <w:pPr>
        <w:widowControl/>
        <w:autoSpaceDE/>
        <w:spacing w:line="360" w:lineRule="auto"/>
        <w:jc w:val="both"/>
        <w:rPr>
          <w:rFonts w:ascii="Arial" w:eastAsia="Calibri" w:hAnsi="Arial" w:cs="Arial"/>
          <w:lang w:val="en-SG"/>
        </w:rPr>
      </w:pPr>
    </w:p>
    <w:p w14:paraId="249EEBCE" w14:textId="77777777" w:rsidR="001B39BA" w:rsidRPr="001B39BA" w:rsidRDefault="001B39BA" w:rsidP="001B39BA">
      <w:pPr>
        <w:widowControl/>
        <w:numPr>
          <w:ilvl w:val="0"/>
          <w:numId w:val="34"/>
        </w:numPr>
        <w:autoSpaceDE/>
        <w:spacing w:line="360" w:lineRule="auto"/>
        <w:jc w:val="both"/>
        <w:rPr>
          <w:rFonts w:ascii="Arial" w:eastAsia="Calibri" w:hAnsi="Arial" w:cs="Arial"/>
          <w:lang w:val="en-SG"/>
        </w:rPr>
      </w:pPr>
      <w:r w:rsidRPr="001B39BA">
        <w:rPr>
          <w:rFonts w:ascii="Arial" w:eastAsia="Calibri" w:hAnsi="Arial" w:cs="Arial"/>
          <w:lang w:val="en-SG"/>
        </w:rPr>
        <w:t xml:space="preserve">The researcher conceptualized and developed a questionnaire aligned with the study's objectives. </w:t>
      </w:r>
    </w:p>
    <w:p w14:paraId="7FC91559" w14:textId="77777777" w:rsidR="001B39BA" w:rsidRPr="001B39BA" w:rsidRDefault="001B39BA" w:rsidP="001B39BA">
      <w:pPr>
        <w:widowControl/>
        <w:numPr>
          <w:ilvl w:val="0"/>
          <w:numId w:val="34"/>
        </w:numPr>
        <w:autoSpaceDE/>
        <w:spacing w:line="360" w:lineRule="auto"/>
        <w:jc w:val="both"/>
        <w:rPr>
          <w:rFonts w:ascii="Arial" w:eastAsia="Calibri" w:hAnsi="Arial" w:cs="Arial"/>
          <w:lang w:val="en-SG"/>
        </w:rPr>
      </w:pPr>
      <w:r w:rsidRPr="001B39BA">
        <w:rPr>
          <w:rFonts w:ascii="Arial" w:eastAsia="Calibri" w:hAnsi="Arial" w:cs="Arial"/>
          <w:lang w:val="en-SG"/>
        </w:rPr>
        <w:t xml:space="preserve">An extensive search for existing instruments relevant to the study variables was conducted. When appropriate, the instrument was adapted and modified, and permission to use and adapt the instrument was secured from the original author. </w:t>
      </w:r>
    </w:p>
    <w:p w14:paraId="6044FD87" w14:textId="77777777" w:rsidR="001B39BA" w:rsidRPr="001B39BA" w:rsidRDefault="001B39BA" w:rsidP="001B39BA">
      <w:pPr>
        <w:widowControl/>
        <w:numPr>
          <w:ilvl w:val="0"/>
          <w:numId w:val="34"/>
        </w:numPr>
        <w:autoSpaceDE/>
        <w:spacing w:line="360" w:lineRule="auto"/>
        <w:jc w:val="both"/>
        <w:rPr>
          <w:rFonts w:ascii="Arial" w:eastAsia="Calibri" w:hAnsi="Arial" w:cs="Arial"/>
          <w:lang w:val="en-SG"/>
        </w:rPr>
      </w:pPr>
      <w:r w:rsidRPr="001B39BA">
        <w:rPr>
          <w:rFonts w:ascii="Arial" w:eastAsia="Calibri" w:hAnsi="Arial" w:cs="Arial"/>
          <w:lang w:val="en-SG"/>
        </w:rPr>
        <w:t xml:space="preserve">The researcher-developed and adapted instruments were reviewed and validated by four experts in guidance and counseling, including two members of the research panel and two licensed guidance counselors from higher education institutions. This process ensured that the items were relevant, clear, and representative of the constructs being measured. </w:t>
      </w:r>
    </w:p>
    <w:p w14:paraId="51BF0A2B" w14:textId="77777777" w:rsidR="001B39BA" w:rsidRPr="001B39BA" w:rsidRDefault="001B39BA" w:rsidP="001B39BA">
      <w:pPr>
        <w:widowControl/>
        <w:numPr>
          <w:ilvl w:val="0"/>
          <w:numId w:val="34"/>
        </w:numPr>
        <w:autoSpaceDE/>
        <w:spacing w:line="360" w:lineRule="auto"/>
        <w:jc w:val="both"/>
        <w:rPr>
          <w:rFonts w:ascii="Arial" w:eastAsia="Calibri" w:hAnsi="Arial" w:cs="Arial"/>
          <w:lang w:val="en-SG"/>
        </w:rPr>
      </w:pPr>
      <w:r w:rsidRPr="001B39BA">
        <w:rPr>
          <w:rFonts w:ascii="Arial" w:eastAsia="Calibri" w:hAnsi="Arial" w:cs="Arial"/>
          <w:lang w:val="en-SG"/>
        </w:rPr>
        <w:t xml:space="preserve">Ethical clearance was obtained from the SPC Research Ethics Committee prior to data collection. The committee ensured that all procedures adhered to established ethical standards, including respect for participants’ rights, confidentiality, and voluntary participation. </w:t>
      </w:r>
    </w:p>
    <w:p w14:paraId="28F60391" w14:textId="77777777" w:rsidR="001B39BA" w:rsidRPr="001B39BA" w:rsidRDefault="001B39BA" w:rsidP="001B39BA">
      <w:pPr>
        <w:widowControl/>
        <w:numPr>
          <w:ilvl w:val="0"/>
          <w:numId w:val="34"/>
        </w:numPr>
        <w:autoSpaceDE/>
        <w:spacing w:line="360" w:lineRule="auto"/>
        <w:jc w:val="both"/>
        <w:rPr>
          <w:rFonts w:ascii="Arial" w:eastAsia="Calibri" w:hAnsi="Arial" w:cs="Arial"/>
          <w:lang w:val="en-SG"/>
        </w:rPr>
      </w:pPr>
      <w:r w:rsidRPr="001B39BA">
        <w:rPr>
          <w:rFonts w:ascii="Arial" w:eastAsia="Calibri" w:hAnsi="Arial" w:cs="Arial"/>
          <w:lang w:val="en-SG"/>
        </w:rPr>
        <w:t xml:space="preserve">A pilot test involving 32 participants from the target population was conducted to assess the instrument's clarity and reliability using Cronbach's alpha. Participants involved in the pilot testing were excluded from the final data collection to avoid potential bias. </w:t>
      </w:r>
    </w:p>
    <w:p w14:paraId="00F39364" w14:textId="77777777" w:rsidR="001B39BA" w:rsidRPr="001B39BA" w:rsidRDefault="001B39BA" w:rsidP="001B39BA">
      <w:pPr>
        <w:widowControl/>
        <w:numPr>
          <w:ilvl w:val="0"/>
          <w:numId w:val="34"/>
        </w:numPr>
        <w:autoSpaceDE/>
        <w:spacing w:line="360" w:lineRule="auto"/>
        <w:jc w:val="both"/>
        <w:rPr>
          <w:rFonts w:ascii="Arial" w:eastAsia="Calibri" w:hAnsi="Arial" w:cs="Arial"/>
          <w:lang w:val="en-SG"/>
        </w:rPr>
      </w:pPr>
      <w:r w:rsidRPr="001B39BA">
        <w:rPr>
          <w:rFonts w:ascii="Arial" w:eastAsia="Calibri" w:hAnsi="Arial" w:cs="Arial"/>
          <w:lang w:val="en-SG"/>
        </w:rPr>
        <w:t xml:space="preserve">Permission to conduct the study was secured from the identified chapters of the Philippine Guidance and Counseling Association (PGCA) in Mindanao. Data collection commenced only after obtaining approval from the respective Chapter Presidents and endorsement from the PGCA National Office. </w:t>
      </w:r>
    </w:p>
    <w:p w14:paraId="1B6A2245" w14:textId="77777777" w:rsidR="001B39BA" w:rsidRPr="001B39BA" w:rsidRDefault="001B39BA" w:rsidP="001B39BA">
      <w:pPr>
        <w:widowControl/>
        <w:numPr>
          <w:ilvl w:val="0"/>
          <w:numId w:val="34"/>
        </w:numPr>
        <w:autoSpaceDE/>
        <w:spacing w:line="360" w:lineRule="auto"/>
        <w:jc w:val="both"/>
        <w:rPr>
          <w:rFonts w:ascii="Arial" w:eastAsia="Calibri" w:hAnsi="Arial" w:cs="Arial"/>
          <w:lang w:val="en-SG"/>
        </w:rPr>
      </w:pPr>
      <w:r w:rsidRPr="001B39BA">
        <w:rPr>
          <w:rFonts w:ascii="Arial" w:eastAsia="Calibri" w:hAnsi="Arial" w:cs="Arial"/>
          <w:lang w:val="en-SG"/>
        </w:rPr>
        <w:t>Recruitment procedures were designed in accordance with ethical guidelines to ensure informed consent, voluntary participation, confidentiality, and appropriate screening of eligible participants.</w:t>
      </w:r>
    </w:p>
    <w:p w14:paraId="51B17AB9" w14:textId="77777777" w:rsidR="001B39BA" w:rsidRPr="001B39BA" w:rsidRDefault="001B39BA" w:rsidP="001B39BA">
      <w:pPr>
        <w:widowControl/>
        <w:autoSpaceDE/>
        <w:spacing w:line="360" w:lineRule="auto"/>
        <w:jc w:val="both"/>
        <w:rPr>
          <w:rFonts w:ascii="Arial" w:eastAsia="Calibri" w:hAnsi="Arial" w:cs="Arial"/>
          <w:lang w:val="en-SG"/>
        </w:rPr>
      </w:pPr>
    </w:p>
    <w:p w14:paraId="20BDDF64" w14:textId="77777777" w:rsidR="001B39BA" w:rsidRPr="001B39BA" w:rsidRDefault="001B39BA" w:rsidP="001B39BA">
      <w:pPr>
        <w:widowControl/>
        <w:autoSpaceDE/>
        <w:spacing w:line="360" w:lineRule="auto"/>
        <w:jc w:val="both"/>
        <w:rPr>
          <w:rFonts w:ascii="Arial" w:eastAsia="Calibri" w:hAnsi="Arial" w:cs="Arial"/>
          <w:lang w:val="en-SG"/>
        </w:rPr>
      </w:pPr>
      <w:r w:rsidRPr="001B39BA">
        <w:rPr>
          <w:rFonts w:ascii="Arial" w:eastAsia="Calibri" w:hAnsi="Arial" w:cs="Arial"/>
          <w:lang w:val="en-SG"/>
        </w:rPr>
        <w:lastRenderedPageBreak/>
        <w:t>B. During Data Gathering</w:t>
      </w:r>
    </w:p>
    <w:p w14:paraId="2F2FC8C2" w14:textId="77777777" w:rsidR="001B39BA" w:rsidRPr="001B39BA" w:rsidRDefault="001B39BA" w:rsidP="001B39BA">
      <w:pPr>
        <w:widowControl/>
        <w:autoSpaceDE/>
        <w:spacing w:line="360" w:lineRule="auto"/>
        <w:jc w:val="both"/>
        <w:rPr>
          <w:rFonts w:ascii="Arial" w:eastAsia="Calibri" w:hAnsi="Arial" w:cs="Arial"/>
          <w:lang w:val="en-SG"/>
        </w:rPr>
      </w:pPr>
    </w:p>
    <w:p w14:paraId="5735949D" w14:textId="77777777" w:rsidR="001B39BA" w:rsidRPr="001B39BA" w:rsidRDefault="001B39BA" w:rsidP="001B39BA">
      <w:pPr>
        <w:widowControl/>
        <w:numPr>
          <w:ilvl w:val="0"/>
          <w:numId w:val="36"/>
        </w:numPr>
        <w:autoSpaceDE/>
        <w:spacing w:line="360" w:lineRule="auto"/>
        <w:jc w:val="both"/>
        <w:rPr>
          <w:rFonts w:ascii="Arial" w:eastAsia="Calibri" w:hAnsi="Arial" w:cs="Arial"/>
          <w:lang w:val="en-SG"/>
        </w:rPr>
      </w:pPr>
      <w:r w:rsidRPr="001B39BA">
        <w:rPr>
          <w:rFonts w:ascii="Arial" w:eastAsia="Calibri" w:hAnsi="Arial" w:cs="Arial"/>
          <w:lang w:val="en-SG"/>
        </w:rPr>
        <w:t>Participants in distant areas were provided access to the survey via email and personal messaging platforms. At the same time, those in nearby locations could choose to complete the questionnaire in person or through an online survey.</w:t>
      </w:r>
    </w:p>
    <w:p w14:paraId="3D933895" w14:textId="77777777" w:rsidR="001B39BA" w:rsidRPr="001B39BA" w:rsidRDefault="001B39BA" w:rsidP="001B39BA">
      <w:pPr>
        <w:widowControl/>
        <w:numPr>
          <w:ilvl w:val="0"/>
          <w:numId w:val="36"/>
        </w:numPr>
        <w:autoSpaceDE/>
        <w:spacing w:line="360" w:lineRule="auto"/>
        <w:jc w:val="both"/>
        <w:rPr>
          <w:rFonts w:ascii="Arial" w:eastAsia="Calibri" w:hAnsi="Arial" w:cs="Arial"/>
          <w:lang w:val="en-SG"/>
        </w:rPr>
      </w:pPr>
      <w:r w:rsidRPr="001B39BA">
        <w:rPr>
          <w:rFonts w:ascii="Arial" w:eastAsia="Calibri" w:hAnsi="Arial" w:cs="Arial"/>
          <w:lang w:val="en-SG"/>
        </w:rPr>
        <w:t>The questionnaire was primarily administered via Google Forms to facilitate efficient and accessible data collection.</w:t>
      </w:r>
    </w:p>
    <w:p w14:paraId="53EE7509" w14:textId="77777777" w:rsidR="001B39BA" w:rsidRPr="001B39BA" w:rsidRDefault="001B39BA" w:rsidP="001B39BA">
      <w:pPr>
        <w:widowControl/>
        <w:numPr>
          <w:ilvl w:val="0"/>
          <w:numId w:val="36"/>
        </w:numPr>
        <w:autoSpaceDE/>
        <w:spacing w:line="360" w:lineRule="auto"/>
        <w:jc w:val="both"/>
        <w:rPr>
          <w:rFonts w:ascii="Arial" w:eastAsia="Calibri" w:hAnsi="Arial" w:cs="Arial"/>
          <w:lang w:val="en-SG"/>
        </w:rPr>
      </w:pPr>
      <w:r w:rsidRPr="001B39BA">
        <w:rPr>
          <w:rFonts w:ascii="Arial" w:eastAsia="Calibri" w:hAnsi="Arial" w:cs="Arial"/>
          <w:lang w:val="en-SG"/>
        </w:rPr>
        <w:t xml:space="preserve">To address potential internet connectivity issues, several measures were implemented, including a user-friendly survey interface, clear instructions, follow-up reminders, flexible response timelines, and alternative modes of distribution when necessary. </w:t>
      </w:r>
    </w:p>
    <w:p w14:paraId="7E0CA9FD" w14:textId="77777777" w:rsidR="001B39BA" w:rsidRPr="001B39BA" w:rsidRDefault="001B39BA" w:rsidP="001B39BA">
      <w:pPr>
        <w:widowControl/>
        <w:numPr>
          <w:ilvl w:val="0"/>
          <w:numId w:val="36"/>
        </w:numPr>
        <w:autoSpaceDE/>
        <w:spacing w:line="360" w:lineRule="auto"/>
        <w:jc w:val="both"/>
        <w:rPr>
          <w:rFonts w:ascii="Arial" w:eastAsia="Calibri" w:hAnsi="Arial" w:cs="Arial"/>
          <w:lang w:val="en-SG"/>
        </w:rPr>
      </w:pPr>
      <w:r w:rsidRPr="001B39BA">
        <w:rPr>
          <w:rFonts w:ascii="Arial" w:eastAsia="Calibri" w:hAnsi="Arial" w:cs="Arial"/>
          <w:lang w:val="en-SG"/>
        </w:rPr>
        <w:t xml:space="preserve">Prior to participation, respondents were presented with a privacy statement outlining the purpose of the study, confidentiality of responses, and data protection procedures. Participants indicated informed consent by selecting “Yes” to proceed or “No” to decline participation. </w:t>
      </w:r>
    </w:p>
    <w:p w14:paraId="46E2594D" w14:textId="77777777" w:rsidR="001B39BA" w:rsidRPr="001B39BA" w:rsidRDefault="001B39BA" w:rsidP="001B39BA">
      <w:pPr>
        <w:widowControl/>
        <w:numPr>
          <w:ilvl w:val="0"/>
          <w:numId w:val="36"/>
        </w:numPr>
        <w:autoSpaceDE/>
        <w:spacing w:line="360" w:lineRule="auto"/>
        <w:jc w:val="both"/>
        <w:rPr>
          <w:rFonts w:ascii="Arial" w:eastAsia="Calibri" w:hAnsi="Arial" w:cs="Arial"/>
          <w:lang w:val="en-SG"/>
        </w:rPr>
      </w:pPr>
      <w:r w:rsidRPr="001B39BA">
        <w:rPr>
          <w:rFonts w:ascii="Arial" w:eastAsia="Calibri" w:hAnsi="Arial" w:cs="Arial"/>
          <w:lang w:val="en-SG"/>
        </w:rPr>
        <w:t xml:space="preserve">Upon providing consent, participants completed the questionnaire, and their responses were automatically recorded and securely stored in the researcher’s database. </w:t>
      </w:r>
    </w:p>
    <w:p w14:paraId="7488CBB1" w14:textId="77777777" w:rsidR="001B39BA" w:rsidRPr="001B39BA" w:rsidRDefault="001B39BA" w:rsidP="001B39BA">
      <w:pPr>
        <w:widowControl/>
        <w:numPr>
          <w:ilvl w:val="0"/>
          <w:numId w:val="36"/>
        </w:numPr>
        <w:autoSpaceDE/>
        <w:spacing w:line="360" w:lineRule="auto"/>
        <w:jc w:val="both"/>
        <w:rPr>
          <w:rFonts w:ascii="Arial" w:eastAsia="Calibri" w:hAnsi="Arial" w:cs="Arial"/>
          <w:lang w:val="en-SG"/>
        </w:rPr>
      </w:pPr>
      <w:r w:rsidRPr="001B39BA">
        <w:rPr>
          <w:rFonts w:ascii="Arial" w:eastAsia="Calibri" w:hAnsi="Arial" w:cs="Arial"/>
          <w:lang w:val="en-SG"/>
        </w:rPr>
        <w:t xml:space="preserve"> All responses submitted through Google Forms were saved in a private Google Drive accessible only to the researcher. The questionnaire included demographic items and work-related statements and required approximately 25 minutes to complete. </w:t>
      </w:r>
    </w:p>
    <w:p w14:paraId="3EFB34A5" w14:textId="77777777" w:rsidR="001B39BA" w:rsidRPr="001B39BA" w:rsidRDefault="001B39BA" w:rsidP="001B39BA">
      <w:pPr>
        <w:widowControl/>
        <w:numPr>
          <w:ilvl w:val="0"/>
          <w:numId w:val="36"/>
        </w:numPr>
        <w:autoSpaceDE/>
        <w:spacing w:line="360" w:lineRule="auto"/>
        <w:jc w:val="both"/>
        <w:rPr>
          <w:rFonts w:ascii="Arial" w:eastAsia="Calibri" w:hAnsi="Arial" w:cs="Arial"/>
          <w:lang w:val="en-SG"/>
        </w:rPr>
      </w:pPr>
      <w:r w:rsidRPr="001B39BA">
        <w:rPr>
          <w:rFonts w:ascii="Arial" w:eastAsia="Calibri" w:hAnsi="Arial" w:cs="Arial"/>
          <w:lang w:val="en-SG"/>
        </w:rPr>
        <w:t>Data collection concluded once the required number of responses was achieved, after which the survey system was closed.</w:t>
      </w:r>
    </w:p>
    <w:p w14:paraId="461F74C9" w14:textId="77777777" w:rsidR="001B39BA" w:rsidRPr="001B39BA" w:rsidRDefault="001B39BA" w:rsidP="001B39BA">
      <w:pPr>
        <w:widowControl/>
        <w:autoSpaceDE/>
        <w:spacing w:line="360" w:lineRule="auto"/>
        <w:jc w:val="both"/>
        <w:rPr>
          <w:rFonts w:ascii="Arial" w:eastAsia="Calibri" w:hAnsi="Arial" w:cs="Arial"/>
          <w:lang w:val="en-SG"/>
        </w:rPr>
      </w:pPr>
    </w:p>
    <w:p w14:paraId="3FD00A80" w14:textId="77777777" w:rsidR="001B39BA" w:rsidRPr="001B39BA" w:rsidRDefault="001B39BA" w:rsidP="001B39BA">
      <w:pPr>
        <w:widowControl/>
        <w:autoSpaceDE/>
        <w:spacing w:line="360" w:lineRule="auto"/>
        <w:jc w:val="both"/>
        <w:rPr>
          <w:rFonts w:ascii="Arial" w:eastAsia="Calibri" w:hAnsi="Arial" w:cs="Arial"/>
          <w:lang w:val="en-SG"/>
        </w:rPr>
      </w:pPr>
      <w:r w:rsidRPr="001B39BA">
        <w:rPr>
          <w:rFonts w:ascii="Arial" w:eastAsia="Calibri" w:hAnsi="Arial" w:cs="Arial"/>
          <w:lang w:val="en-SG"/>
        </w:rPr>
        <w:t>C. Post-Data Gathering</w:t>
      </w:r>
    </w:p>
    <w:p w14:paraId="2B2FB548" w14:textId="77777777" w:rsidR="001B39BA" w:rsidRPr="001B39BA" w:rsidRDefault="001B39BA" w:rsidP="001B39BA">
      <w:pPr>
        <w:widowControl/>
        <w:autoSpaceDE/>
        <w:spacing w:line="360" w:lineRule="auto"/>
        <w:jc w:val="both"/>
        <w:rPr>
          <w:rFonts w:ascii="Arial" w:eastAsia="Calibri" w:hAnsi="Arial" w:cs="Arial"/>
          <w:lang w:val="en-SG"/>
        </w:rPr>
      </w:pPr>
    </w:p>
    <w:p w14:paraId="604A4A65" w14:textId="77777777" w:rsidR="001B39BA" w:rsidRPr="001B39BA" w:rsidRDefault="001B39BA" w:rsidP="001B39BA">
      <w:pPr>
        <w:widowControl/>
        <w:numPr>
          <w:ilvl w:val="0"/>
          <w:numId w:val="38"/>
        </w:numPr>
        <w:autoSpaceDE/>
        <w:spacing w:line="360" w:lineRule="auto"/>
        <w:jc w:val="both"/>
        <w:rPr>
          <w:rFonts w:ascii="Arial" w:eastAsia="Calibri" w:hAnsi="Arial" w:cs="Arial"/>
          <w:lang w:val="en-SG"/>
        </w:rPr>
      </w:pPr>
      <w:r w:rsidRPr="001B39BA">
        <w:rPr>
          <w:rFonts w:ascii="Arial" w:eastAsia="Calibri" w:hAnsi="Arial" w:cs="Arial"/>
          <w:lang w:val="en-SG"/>
        </w:rPr>
        <w:t xml:space="preserve">Following data collection, the researcher conducted data tabulation and statistical analysis to ensure accurate interpretation of the findings. </w:t>
      </w:r>
    </w:p>
    <w:p w14:paraId="1D14EA39" w14:textId="77777777" w:rsidR="001B39BA" w:rsidRPr="001B39BA" w:rsidRDefault="001B39BA" w:rsidP="001B39BA">
      <w:pPr>
        <w:widowControl/>
        <w:numPr>
          <w:ilvl w:val="0"/>
          <w:numId w:val="38"/>
        </w:numPr>
        <w:autoSpaceDE/>
        <w:spacing w:line="360" w:lineRule="auto"/>
        <w:jc w:val="both"/>
        <w:rPr>
          <w:rFonts w:ascii="Arial" w:eastAsia="Calibri" w:hAnsi="Arial" w:cs="Arial"/>
          <w:lang w:val="en-SG"/>
        </w:rPr>
      </w:pPr>
      <w:r w:rsidRPr="001B39BA">
        <w:rPr>
          <w:rFonts w:ascii="Arial" w:eastAsia="Calibri" w:hAnsi="Arial" w:cs="Arial"/>
          <w:lang w:val="en-SG"/>
        </w:rPr>
        <w:t xml:space="preserve">The collected data were stored in a password-protected Excel file within a secure Google Drive environment, accessible only to the researcher, the research adviser, and the statistician. </w:t>
      </w:r>
    </w:p>
    <w:p w14:paraId="466A44E7" w14:textId="77777777" w:rsidR="001B39BA" w:rsidRPr="001B39BA" w:rsidRDefault="001B39BA" w:rsidP="001B39BA">
      <w:pPr>
        <w:widowControl/>
        <w:numPr>
          <w:ilvl w:val="0"/>
          <w:numId w:val="38"/>
        </w:numPr>
        <w:autoSpaceDE/>
        <w:spacing w:line="360" w:lineRule="auto"/>
        <w:jc w:val="both"/>
        <w:rPr>
          <w:rFonts w:ascii="Arial" w:eastAsia="Calibri" w:hAnsi="Arial" w:cs="Arial"/>
          <w:lang w:val="en-SG"/>
        </w:rPr>
      </w:pPr>
      <w:r w:rsidRPr="001B39BA">
        <w:rPr>
          <w:rFonts w:ascii="Arial" w:eastAsia="Calibri" w:hAnsi="Arial" w:cs="Arial"/>
          <w:lang w:val="en-SG"/>
        </w:rPr>
        <w:lastRenderedPageBreak/>
        <w:t xml:space="preserve">All research data were retained until September 2025, after which participant information was permanently deleted in accordance with data protection protocols. Participants could request access to their individual responses if needed. </w:t>
      </w:r>
    </w:p>
    <w:p w14:paraId="75E23498" w14:textId="77777777" w:rsidR="001B39BA" w:rsidRPr="001B39BA" w:rsidRDefault="001B39BA" w:rsidP="001B39BA">
      <w:pPr>
        <w:widowControl/>
        <w:numPr>
          <w:ilvl w:val="0"/>
          <w:numId w:val="38"/>
        </w:numPr>
        <w:autoSpaceDE/>
        <w:spacing w:line="360" w:lineRule="auto"/>
        <w:jc w:val="both"/>
        <w:rPr>
          <w:rFonts w:ascii="Arial" w:eastAsia="Calibri" w:hAnsi="Arial" w:cs="Arial"/>
          <w:lang w:val="en-SG"/>
        </w:rPr>
      </w:pPr>
      <w:r w:rsidRPr="001B39BA">
        <w:rPr>
          <w:rFonts w:ascii="Arial" w:eastAsia="Calibri" w:hAnsi="Arial" w:cs="Arial"/>
          <w:lang w:val="en-SG"/>
        </w:rPr>
        <w:t xml:space="preserve">The researcher ensured that the study posed no physical, social, or psychological risks to participants. Ethical principles, including confidentiality, voluntary participation, and protection of participant rights, were strictly upheld. </w:t>
      </w:r>
    </w:p>
    <w:p w14:paraId="0208B3E4" w14:textId="77777777" w:rsidR="001B39BA" w:rsidRPr="001B39BA" w:rsidRDefault="001B39BA" w:rsidP="001B39BA">
      <w:pPr>
        <w:widowControl/>
        <w:numPr>
          <w:ilvl w:val="0"/>
          <w:numId w:val="38"/>
        </w:numPr>
        <w:autoSpaceDE/>
        <w:spacing w:line="360" w:lineRule="auto"/>
        <w:jc w:val="both"/>
        <w:rPr>
          <w:rFonts w:ascii="Arial" w:eastAsia="Calibri" w:hAnsi="Arial" w:cs="Arial"/>
          <w:lang w:val="en-SG"/>
        </w:rPr>
      </w:pPr>
      <w:r w:rsidRPr="001B39BA">
        <w:rPr>
          <w:rFonts w:ascii="Arial" w:eastAsia="Calibri" w:hAnsi="Arial" w:cs="Arial"/>
          <w:lang w:val="en-SG"/>
        </w:rPr>
        <w:t xml:space="preserve">Although no monetary compensation was provided, participants received a formal acknowledgment of gratitude for their contribution to the study. </w:t>
      </w:r>
    </w:p>
    <w:p w14:paraId="22E9F14B" w14:textId="77777777" w:rsidR="001B39BA" w:rsidRPr="001B39BA" w:rsidRDefault="001B39BA" w:rsidP="001B39BA">
      <w:pPr>
        <w:widowControl/>
        <w:numPr>
          <w:ilvl w:val="0"/>
          <w:numId w:val="38"/>
        </w:numPr>
        <w:autoSpaceDE/>
        <w:spacing w:line="360" w:lineRule="auto"/>
        <w:jc w:val="both"/>
        <w:rPr>
          <w:rFonts w:ascii="Arial" w:eastAsia="Calibri" w:hAnsi="Arial" w:cs="Arial"/>
          <w:lang w:val="en-SG"/>
        </w:rPr>
      </w:pPr>
      <w:r w:rsidRPr="001B39BA">
        <w:rPr>
          <w:rFonts w:ascii="Arial" w:eastAsia="Calibri" w:hAnsi="Arial" w:cs="Arial"/>
          <w:lang w:val="en-SG"/>
        </w:rPr>
        <w:t>The results of the study were analyzed, presented, and disseminated to contribute to the existing body of knowledge and to support professional development within the field of guidance and counseling.</w:t>
      </w:r>
    </w:p>
    <w:p w14:paraId="03DA9E52" w14:textId="77777777" w:rsidR="001B39BA" w:rsidRPr="001B39BA" w:rsidRDefault="001B39BA" w:rsidP="001B39BA">
      <w:pPr>
        <w:widowControl/>
        <w:autoSpaceDE/>
        <w:spacing w:line="360" w:lineRule="auto"/>
        <w:jc w:val="both"/>
        <w:rPr>
          <w:rFonts w:ascii="Arial" w:eastAsia="Calibri" w:hAnsi="Arial" w:cs="Arial"/>
          <w:lang w:val="en-SG"/>
        </w:rPr>
      </w:pPr>
    </w:p>
    <w:p w14:paraId="74F8729F" w14:textId="77777777" w:rsidR="001B39BA" w:rsidRPr="001B39BA" w:rsidRDefault="001B39BA" w:rsidP="001B39BA">
      <w:pPr>
        <w:widowControl/>
        <w:autoSpaceDE/>
        <w:spacing w:line="360" w:lineRule="auto"/>
        <w:jc w:val="both"/>
        <w:rPr>
          <w:rFonts w:ascii="Arial" w:eastAsia="Calibri" w:hAnsi="Arial" w:cs="Arial"/>
          <w:lang w:val="en-SG"/>
        </w:rPr>
      </w:pPr>
      <w:r w:rsidRPr="001B39BA">
        <w:rPr>
          <w:rFonts w:ascii="Arial" w:eastAsia="Calibri" w:hAnsi="Arial" w:cs="Arial"/>
          <w:lang w:val="en-SG"/>
        </w:rPr>
        <w:t>Data Analysis</w:t>
      </w:r>
    </w:p>
    <w:p w14:paraId="7A523EDC"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40427CED"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This section presents the statistical techniques employed to analyze the data gathered in the study. Data analysis was conducted using IBM SPSS Statistics and IBM SPSS AMOS to examine the relationships among guidance counselors' work-specific characteristics, compassion fatigue, and compassion satisfaction.</w:t>
      </w:r>
    </w:p>
    <w:p w14:paraId="51BF6571"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To address the first three research questions, which aimed to determine the levels of guidance counselors’ work-specific characteristics, compassion satisfaction, and compassion fatigue, descriptive statistics were utilized. Specifically, the mean and standard deviation were computed to summarize respondents’ perceptions and experiences regarding empathic understanding, genuineness, non-judgmental attitude, interpersonal skills, and self-compassion, as well as burnout and secondary traumatic stress. These statistics provided a basis for interpreting the overall levels of the variables under investigation.</w:t>
      </w:r>
    </w:p>
    <w:p w14:paraId="36A3759F"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To examine the relationships among the variables, specifically to determine the influence of work-specific characteristics on compassion satisfaction, compassion fatigue, and burnout and secondary stress trauma towards compassion satisfaction, the Pearson Product–Moment Correlation Coefficient (r) was employed to determine the strength and direction of the associations among work-specific characteristics, compassion fatigue, and compassion satisfaction. This analysis provided preliminary evidence of statistically significant relationships among the variables.</w:t>
      </w:r>
    </w:p>
    <w:p w14:paraId="37E418DF"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lastRenderedPageBreak/>
        <w:t>To further examine predictive relationships among work-specific characteristics, compassion satisfaction, and compassion fatigue, a multiple linear regression analysis was conducted to determine whether work-specific characteristics significantly predicted compassion satisfaction and compassion fatigue among guidance counselors. Prior to conducting the regression analysis, key assumptions, including linearity, normality, homoscedasticity, and absence of multicollinearity, were tested to ensure the validity and robustness of the results.</w:t>
      </w:r>
    </w:p>
    <w:p w14:paraId="449B011F"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In addition, a two-way Analysis of Variance (ANOVA) was employed to examine interaction effects among selected variables related to work-specific characteristics, thereby providing further insight into group differences, where applicable.</w:t>
      </w:r>
    </w:p>
    <w:p w14:paraId="0986E180"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To address the study's core objectives and test the hypothesized model (SOP 4–10 and Hypotheses Ha</w:t>
      </w:r>
      <w:r w:rsidRPr="001B39BA">
        <w:rPr>
          <w:rFonts w:ascii="Cambria Math" w:eastAsia="Calibri" w:hAnsi="Cambria Math" w:cs="Cambria Math"/>
          <w:lang w:val="en-SG"/>
        </w:rPr>
        <w:t>₁</w:t>
      </w:r>
      <w:r w:rsidRPr="001B39BA">
        <w:rPr>
          <w:rFonts w:ascii="Arial" w:eastAsia="Calibri" w:hAnsi="Arial" w:cs="Arial"/>
          <w:lang w:val="en-SG"/>
        </w:rPr>
        <w:t>-Ha</w:t>
      </w:r>
      <w:r w:rsidRPr="001B39BA">
        <w:rPr>
          <w:rFonts w:ascii="Cambria Math" w:eastAsia="Calibri" w:hAnsi="Cambria Math" w:cs="Cambria Math"/>
          <w:lang w:val="en-SG"/>
        </w:rPr>
        <w:t>₇</w:t>
      </w:r>
      <w:r w:rsidRPr="001B39BA">
        <w:rPr>
          <w:rFonts w:ascii="Arial" w:eastAsia="Calibri" w:hAnsi="Arial" w:cs="Arial"/>
          <w:lang w:val="en-SG"/>
        </w:rPr>
        <w:t>), Structural Equation Modeling (SEM) was employed as the primary analytical technique. SEM enabled the simultaneous estimation of multiple direct, indirect, and total effects among latent and observed variables, thereby allowing a comprehensive evaluation of the proposed theoretical framework.</w:t>
      </w:r>
    </w:p>
    <w:p w14:paraId="168599CF"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Specifically, SEM was utilized to, examine whether work-specific characteristics significantly influenced compassion satisfaction (Ha</w:t>
      </w:r>
      <w:r w:rsidRPr="001B39BA">
        <w:rPr>
          <w:rFonts w:ascii="Cambria Math" w:eastAsia="Calibri" w:hAnsi="Cambria Math" w:cs="Cambria Math"/>
          <w:lang w:val="en-SG"/>
        </w:rPr>
        <w:t>₁</w:t>
      </w:r>
      <w:r w:rsidRPr="001B39BA">
        <w:rPr>
          <w:rFonts w:ascii="Arial" w:eastAsia="Calibri" w:hAnsi="Arial" w:cs="Arial"/>
          <w:lang w:val="en-SG"/>
        </w:rPr>
        <w:t>; SOP 4); determine whether work-specific characteristics significantly influenced compassion fatigue (Ha</w:t>
      </w:r>
      <w:r w:rsidRPr="001B39BA">
        <w:rPr>
          <w:rFonts w:ascii="Cambria Math" w:eastAsia="Calibri" w:hAnsi="Cambria Math" w:cs="Cambria Math"/>
          <w:lang w:val="en-SG"/>
        </w:rPr>
        <w:t>₂</w:t>
      </w:r>
      <w:r w:rsidRPr="001B39BA">
        <w:rPr>
          <w:rFonts w:ascii="Arial" w:eastAsia="Calibri" w:hAnsi="Arial" w:cs="Arial"/>
          <w:lang w:val="en-SG"/>
        </w:rPr>
        <w:t>; SOP 5); test whether compassion fatigue mediated the relationship between work-specific characteristics and compassion satisfaction (Ha</w:t>
      </w:r>
      <w:r w:rsidRPr="001B39BA">
        <w:rPr>
          <w:rFonts w:ascii="Cambria Math" w:eastAsia="Calibri" w:hAnsi="Cambria Math" w:cs="Cambria Math"/>
          <w:lang w:val="en-SG"/>
        </w:rPr>
        <w:t>₃</w:t>
      </w:r>
      <w:r w:rsidRPr="001B39BA">
        <w:rPr>
          <w:rFonts w:ascii="Arial" w:eastAsia="Calibri" w:hAnsi="Arial" w:cs="Arial"/>
          <w:lang w:val="en-SG"/>
        </w:rPr>
        <w:t>; SOP 6); evaluate whether compassion fatigue significantly influenced compassion satisfaction (Ha</w:t>
      </w:r>
      <w:r w:rsidRPr="001B39BA">
        <w:rPr>
          <w:rFonts w:ascii="Cambria Math" w:eastAsia="Calibri" w:hAnsi="Cambria Math" w:cs="Cambria Math"/>
          <w:lang w:val="en-SG"/>
        </w:rPr>
        <w:t>₄</w:t>
      </w:r>
      <w:r w:rsidRPr="001B39BA">
        <w:rPr>
          <w:rFonts w:ascii="Arial" w:eastAsia="Calibri" w:hAnsi="Arial" w:cs="Arial"/>
          <w:lang w:val="en-SG"/>
        </w:rPr>
        <w:t>; SOP 7); confirm whether work-specific characteristics significantly predicted compassion satisfaction and compassion fatigue (Ha</w:t>
      </w:r>
      <w:r w:rsidRPr="001B39BA">
        <w:rPr>
          <w:rFonts w:ascii="Cambria Math" w:eastAsia="Calibri" w:hAnsi="Cambria Math" w:cs="Cambria Math"/>
          <w:lang w:val="en-SG"/>
        </w:rPr>
        <w:t>₅</w:t>
      </w:r>
      <w:r w:rsidRPr="001B39BA">
        <w:rPr>
          <w:rFonts w:ascii="Arial" w:eastAsia="Calibri" w:hAnsi="Arial" w:cs="Arial"/>
          <w:lang w:val="en-SG"/>
        </w:rPr>
        <w:t>; SOP 8).</w:t>
      </w:r>
    </w:p>
    <w:p w14:paraId="1E6A576B"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To assess whether the indicators of work-specific characteristics, empathic understanding, genuineness, non-judgmental attitude, interpersonal skills, and self-compassion significantly loaded onto their respective latent construct within the measurement model using Confirmatory Factor Analysis (CFA) (Ha</w:t>
      </w:r>
      <w:r w:rsidRPr="001B39BA">
        <w:rPr>
          <w:rFonts w:ascii="Cambria Math" w:eastAsia="Calibri" w:hAnsi="Cambria Math" w:cs="Cambria Math"/>
          <w:lang w:val="en-SG"/>
        </w:rPr>
        <w:t>₆</w:t>
      </w:r>
      <w:r w:rsidRPr="001B39BA">
        <w:rPr>
          <w:rFonts w:ascii="Arial" w:eastAsia="Calibri" w:hAnsi="Arial" w:cs="Arial"/>
          <w:lang w:val="en-SG"/>
        </w:rPr>
        <w:t xml:space="preserve">; SOP 9). </w:t>
      </w:r>
    </w:p>
    <w:p w14:paraId="70A866B4"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Furthermore, to determine whether the empirical data fit the hypothesized structural model (Ha</w:t>
      </w:r>
      <w:r w:rsidRPr="001B39BA">
        <w:rPr>
          <w:rFonts w:ascii="Cambria Math" w:eastAsia="Calibri" w:hAnsi="Cambria Math" w:cs="Cambria Math"/>
          <w:lang w:val="en-SG"/>
        </w:rPr>
        <w:t>₇</w:t>
      </w:r>
      <w:r w:rsidRPr="001B39BA">
        <w:rPr>
          <w:rFonts w:ascii="Arial" w:eastAsia="Calibri" w:hAnsi="Arial" w:cs="Arial"/>
          <w:lang w:val="en-SG"/>
        </w:rPr>
        <w:t xml:space="preserve">; SOP 10). </w:t>
      </w:r>
    </w:p>
    <w:p w14:paraId="0779087F"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 xml:space="preserve">Model fit in Structural Equation Modeling (SEM) was evaluated using multiple goodness-of-fit indices, including the Comparative Fit Index (CFI), the Tucker–Lewis Index (TLI), the Root Mean Square Error of Approximation (RMSEA), and the Standardized Root Mean Square Residual (SRMR). These indices were used to assess the adequacy of the model in representing the observed data. </w:t>
      </w:r>
    </w:p>
    <w:p w14:paraId="4947A26A"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lastRenderedPageBreak/>
        <w:t>By integrating these statistical procedures, the study provided a comprehensive analysis of the levels, relationships, predictive effects, and structural interactions among work-specific characteristics, compassion fatigue, and compassion satisfaction. The application of SEM, in particular, enabled a rigorous examination of the hypothesized theoretical model and its alignment with the empirical data.</w:t>
      </w:r>
    </w:p>
    <w:p w14:paraId="5C2E91C6" w14:textId="77777777" w:rsidR="001B39BA" w:rsidRPr="001B39BA" w:rsidRDefault="001B39BA" w:rsidP="001B39BA">
      <w:pPr>
        <w:widowControl/>
        <w:autoSpaceDE/>
        <w:spacing w:line="360" w:lineRule="auto"/>
        <w:jc w:val="both"/>
        <w:rPr>
          <w:rFonts w:ascii="Arial" w:eastAsia="Calibri" w:hAnsi="Arial" w:cs="Arial"/>
          <w:lang w:val="en-SG"/>
        </w:rPr>
      </w:pPr>
    </w:p>
    <w:p w14:paraId="019B4DE6" w14:textId="77777777" w:rsidR="001B39BA" w:rsidRPr="001B39BA" w:rsidRDefault="001B39BA" w:rsidP="001B39BA">
      <w:pPr>
        <w:widowControl/>
        <w:autoSpaceDE/>
        <w:spacing w:line="360" w:lineRule="auto"/>
        <w:jc w:val="both"/>
        <w:rPr>
          <w:rFonts w:ascii="Arial" w:eastAsia="Calibri" w:hAnsi="Arial" w:cs="Arial"/>
          <w:lang w:val="en-SG"/>
        </w:rPr>
      </w:pPr>
      <w:r w:rsidRPr="001B39BA">
        <w:rPr>
          <w:rFonts w:ascii="Arial" w:eastAsia="Calibri" w:hAnsi="Arial" w:cs="Arial"/>
          <w:lang w:val="en-SG"/>
        </w:rPr>
        <w:t>Ethical Considerations</w:t>
      </w:r>
    </w:p>
    <w:p w14:paraId="3E08126C" w14:textId="77777777" w:rsidR="001B39BA" w:rsidRPr="001B39BA" w:rsidRDefault="001B39BA" w:rsidP="001B39BA">
      <w:pPr>
        <w:widowControl/>
        <w:autoSpaceDE/>
        <w:spacing w:line="360" w:lineRule="auto"/>
        <w:ind w:firstLine="720"/>
        <w:jc w:val="both"/>
        <w:rPr>
          <w:rFonts w:ascii="Arial" w:eastAsia="Calibri" w:hAnsi="Arial" w:cs="Arial"/>
          <w:lang w:val="en-SG"/>
        </w:rPr>
      </w:pPr>
    </w:p>
    <w:p w14:paraId="56B796F8"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In conducting this study, the researcher adhered to established ethical principles throughout the research process. The study followed the ethical guidelines outlined in the Code of Ethics for Guidance Counselors (PRBGC, 2008), complied with the provisions of Republic Act No. 10173, or the Data Privacy Act of 2012, and was guided by internationally recognized ethical frameworks such as the Belmont Report and the ethical principles of the American Psychological Association (2020). These frameworks emphasize respect for persons, beneficence, and justice, which were upheld throughout the study.</w:t>
      </w:r>
    </w:p>
    <w:p w14:paraId="5C279650"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The Institutional Ethics Committee conducted an ethical review, and all procedures were carried out in accordance with approved protocols. The researcher ensured that all research instruments, particularly the questionnaire, were non-discriminatory, culturally sensitive, and non-judgmental in content and presentation.</w:t>
      </w:r>
    </w:p>
    <w:p w14:paraId="75BE5C51"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Prior to data collection, the researcher secured permission from relevant institutions and offices where the target participants were employed. Coordination was also established with the Philippine Guidance and Counseling Association (PGCA) Chapter Presidents in Mindanao to facilitate participants' access. All permission requests and procedures were reviewed and approved by the SPC Ethics Committee and the research adviser before data collection commenced.</w:t>
      </w:r>
    </w:p>
    <w:p w14:paraId="22E886CA"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 xml:space="preserve">To ensure confidentiality and data protection, appropriate safeguards were implemented for handling sensitive information. Participants’ rights to privacy, anonymity, and confidentiality were strictly upheld throughout the study, consistent with contemporary data protection principles and ethical research practices (World Health Organization, 2021; American Psychological Association, 2020). The initial section of the survey questionnaire included a comprehensive informed consent statement outlining the study’s nature, objectives, and purpose. Participants were provided with a clear explanation of the survey content and were required to indicate their voluntary consent before proceeding. </w:t>
      </w:r>
    </w:p>
    <w:p w14:paraId="4D87B47F" w14:textId="7B33F3E4"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lastRenderedPageBreak/>
        <w:t>Participation was entirely voluntary, allowing respondents to make informed decisions regarding their involvement, consistent with contemporary ethical principles emphasizing respect for autonomy and informed consent (World Health Organization, 2021).</w:t>
      </w:r>
      <w:r w:rsidRPr="001B39BA">
        <w:rPr>
          <w:rFonts w:ascii="Arial" w:eastAsia="Calibri" w:hAnsi="Arial" w:cs="Arial"/>
          <w:lang w:val="en-SG"/>
        </w:rPr>
        <w:tab/>
      </w:r>
      <w:r w:rsidRPr="001B39BA">
        <w:rPr>
          <w:rFonts w:ascii="Arial" w:eastAsia="Calibri" w:hAnsi="Arial" w:cs="Arial"/>
          <w:lang w:val="en-SG"/>
        </w:rPr>
        <w:tab/>
      </w:r>
      <w:r w:rsidRPr="001B39BA">
        <w:rPr>
          <w:rFonts w:ascii="Arial" w:eastAsia="Calibri" w:hAnsi="Arial" w:cs="Arial"/>
          <w:lang w:val="en-SG"/>
        </w:rPr>
        <w:tab/>
      </w:r>
      <w:r w:rsidRPr="001B39BA">
        <w:rPr>
          <w:rFonts w:ascii="Arial" w:eastAsia="Calibri" w:hAnsi="Arial" w:cs="Arial"/>
          <w:lang w:val="en-SG"/>
        </w:rPr>
        <w:tab/>
      </w:r>
      <w:r w:rsidRPr="001B39BA">
        <w:rPr>
          <w:rFonts w:ascii="Arial" w:eastAsia="Calibri" w:hAnsi="Arial" w:cs="Arial"/>
          <w:lang w:val="en-SG"/>
        </w:rPr>
        <w:tab/>
      </w:r>
      <w:r w:rsidRPr="001B39BA">
        <w:rPr>
          <w:rFonts w:ascii="Arial" w:eastAsia="Calibri" w:hAnsi="Arial" w:cs="Arial"/>
          <w:lang w:val="en-SG"/>
        </w:rPr>
        <w:tab/>
      </w:r>
      <w:r w:rsidRPr="001B39BA">
        <w:rPr>
          <w:rFonts w:ascii="Arial" w:eastAsia="Calibri" w:hAnsi="Arial" w:cs="Arial"/>
          <w:lang w:val="en-SG"/>
        </w:rPr>
        <w:tab/>
      </w:r>
      <w:r w:rsidRPr="001B39BA">
        <w:rPr>
          <w:rFonts w:ascii="Arial" w:eastAsia="Calibri" w:hAnsi="Arial" w:cs="Arial"/>
          <w:lang w:val="en-SG"/>
        </w:rPr>
        <w:tab/>
      </w:r>
      <w:r w:rsidRPr="001B39BA">
        <w:rPr>
          <w:rFonts w:ascii="Arial" w:eastAsia="Calibri" w:hAnsi="Arial" w:cs="Arial"/>
          <w:lang w:val="en-SG"/>
        </w:rPr>
        <w:tab/>
      </w:r>
      <w:r w:rsidRPr="001B39BA">
        <w:rPr>
          <w:rFonts w:ascii="Arial" w:eastAsia="Calibri" w:hAnsi="Arial" w:cs="Arial"/>
          <w:lang w:val="en-SG"/>
        </w:rPr>
        <w:tab/>
      </w:r>
      <w:r w:rsidRPr="001B39BA">
        <w:rPr>
          <w:rFonts w:ascii="Arial" w:eastAsia="Calibri" w:hAnsi="Arial" w:cs="Arial"/>
          <w:lang w:val="en-SG"/>
        </w:rPr>
        <w:tab/>
      </w:r>
      <w:r w:rsidRPr="001B39BA">
        <w:rPr>
          <w:rFonts w:ascii="Arial" w:eastAsia="Calibri" w:hAnsi="Arial" w:cs="Arial"/>
          <w:lang w:val="en-SG"/>
        </w:rPr>
        <w:tab/>
        <w:t>To maintain anonymity, no personally identifiable information was collected beyond general demographic data necessary for the study. Each participant was assigned a unique code to ensure confidentiality during data processing and analysis. All data were stored in a secure, password-protected digital environment accessible only to the researcher, the research adviser, and the statistician.</w:t>
      </w:r>
    </w:p>
    <w:p w14:paraId="6A24400E"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 xml:space="preserve">The researcher ensured that all data were used solely for academic and research purposes. In cases where disclosure of information became necessary, explicit permission was obtained from the participants. </w:t>
      </w:r>
    </w:p>
    <w:p w14:paraId="0BBA43B6"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Upon completion of data analysis, raw data files, including those stored in Google Forms and Excel, were securely deleted, and only aggregated results were included in the final report.</w:t>
      </w:r>
    </w:p>
    <w:p w14:paraId="03C462CE"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Throughout the research process, the researcher upheld academic integrity by avoiding deceptive practices, data fabrication, and misrepresentation of findings. Proper acknowledgment and citation of all scholarly works were observed in accordance with the ethical standards of the American Psychological Association (2020). The accuracy and validity of the results were carefully verified to maintain the study's credibility and integrity.</w:t>
      </w:r>
    </w:p>
    <w:p w14:paraId="200F2977"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Participants' right to withdraw from the study at any time was fully respected, and no coercion or undue influence was exerted. Participation remained voluntary at all times.</w:t>
      </w:r>
    </w:p>
    <w:p w14:paraId="00B68FA7"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All collected data were securely stored in an external storage device and a protected environment for the duration of the study. Participants’ anonymity was maintained, and access to individual responses was granted only upon request.</w:t>
      </w:r>
    </w:p>
    <w:p w14:paraId="76B1AFD7"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Following the completion of the study, research records were retained for a minimum period of three (3) years in accordance with established data retention guidelines, such as those recommended by the Berkeley Human Research Protection Program (2024). After this period, all identifiable data will be permanently deleted.</w:t>
      </w:r>
    </w:p>
    <w:p w14:paraId="19B3B176" w14:textId="77777777" w:rsidR="001B39BA" w:rsidRPr="001B39BA" w:rsidRDefault="001B39BA" w:rsidP="001B39BA">
      <w:pPr>
        <w:widowControl/>
        <w:autoSpaceDE/>
        <w:spacing w:line="360" w:lineRule="auto"/>
        <w:ind w:firstLine="720"/>
        <w:jc w:val="both"/>
        <w:rPr>
          <w:rFonts w:ascii="Arial" w:eastAsia="Calibri" w:hAnsi="Arial" w:cs="Arial"/>
          <w:lang w:val="en-SG"/>
        </w:rPr>
      </w:pPr>
      <w:r w:rsidRPr="001B39BA">
        <w:rPr>
          <w:rFonts w:ascii="Arial" w:eastAsia="Calibri" w:hAnsi="Arial" w:cs="Arial"/>
          <w:lang w:val="en-SG"/>
        </w:rPr>
        <w:t>Although no monetary compensation was provided, participants received a formal acknowledgment for their contribution to the study.</w:t>
      </w:r>
    </w:p>
    <w:p w14:paraId="1DABBF88" w14:textId="77777777" w:rsidR="001B39BA" w:rsidRPr="001B39BA" w:rsidRDefault="001B39BA" w:rsidP="001B39BA">
      <w:pPr>
        <w:spacing w:line="360" w:lineRule="auto"/>
        <w:rPr>
          <w:rFonts w:ascii="Arial" w:hAnsi="Arial" w:cs="Arial"/>
          <w:lang w:val="en-SG"/>
        </w:rPr>
      </w:pPr>
    </w:p>
    <w:p w14:paraId="5D959C4E" w14:textId="77777777" w:rsidR="003D246B" w:rsidRDefault="003D246B" w:rsidP="001B39BA">
      <w:pPr>
        <w:widowControl/>
        <w:autoSpaceDE/>
        <w:autoSpaceDN/>
        <w:spacing w:line="360" w:lineRule="auto"/>
        <w:rPr>
          <w:rFonts w:ascii="Arial" w:eastAsiaTheme="minorHAnsi" w:hAnsi="Arial" w:cs="Arial"/>
          <w:b/>
          <w:bCs/>
          <w:kern w:val="2"/>
          <w:lang w:val="en-SG"/>
          <w14:ligatures w14:val="standardContextual"/>
        </w:rPr>
      </w:pPr>
    </w:p>
    <w:p w14:paraId="6DBDA43F" w14:textId="77777777" w:rsidR="003D246B" w:rsidRDefault="003D246B" w:rsidP="001B39BA">
      <w:pPr>
        <w:widowControl/>
        <w:autoSpaceDE/>
        <w:autoSpaceDN/>
        <w:spacing w:line="360" w:lineRule="auto"/>
        <w:rPr>
          <w:rFonts w:ascii="Arial" w:eastAsiaTheme="minorHAnsi" w:hAnsi="Arial" w:cs="Arial"/>
          <w:b/>
          <w:bCs/>
          <w:kern w:val="2"/>
          <w:lang w:val="en-SG"/>
          <w14:ligatures w14:val="standardContextual"/>
        </w:rPr>
      </w:pPr>
    </w:p>
    <w:p w14:paraId="17BBA78F" w14:textId="4F9A4E60" w:rsidR="001B39BA" w:rsidRPr="001B39BA" w:rsidRDefault="001B39BA" w:rsidP="001B39BA">
      <w:pPr>
        <w:widowControl/>
        <w:autoSpaceDE/>
        <w:autoSpaceDN/>
        <w:spacing w:line="360" w:lineRule="auto"/>
        <w:rPr>
          <w:rFonts w:ascii="Arial" w:eastAsiaTheme="minorHAnsi" w:hAnsi="Arial" w:cs="Arial"/>
          <w:b/>
          <w:bCs/>
          <w:kern w:val="2"/>
          <w:lang w:val="en-SG"/>
          <w14:ligatures w14:val="standardContextual"/>
        </w:rPr>
      </w:pPr>
      <w:r w:rsidRPr="001B39BA">
        <w:rPr>
          <w:rFonts w:ascii="Arial" w:eastAsiaTheme="minorHAnsi" w:hAnsi="Arial" w:cs="Arial"/>
          <w:b/>
          <w:bCs/>
          <w:kern w:val="2"/>
          <w:lang w:val="en-SG"/>
          <w14:ligatures w14:val="standardContextual"/>
        </w:rPr>
        <w:lastRenderedPageBreak/>
        <w:t>Results</w:t>
      </w:r>
    </w:p>
    <w:p w14:paraId="1517D891" w14:textId="77777777" w:rsidR="001B39BA" w:rsidRPr="001B39BA" w:rsidRDefault="001B39BA" w:rsidP="001B39BA">
      <w:pPr>
        <w:spacing w:line="360" w:lineRule="auto"/>
        <w:rPr>
          <w:rFonts w:ascii="Arial" w:hAnsi="Arial" w:cs="Arial"/>
        </w:rPr>
      </w:pPr>
    </w:p>
    <w:p w14:paraId="4EDBEE51" w14:textId="77777777" w:rsidR="001B39BA" w:rsidRDefault="001B39BA" w:rsidP="001B39BA">
      <w:pPr>
        <w:spacing w:line="360" w:lineRule="auto"/>
        <w:ind w:firstLine="720"/>
        <w:jc w:val="both"/>
        <w:rPr>
          <w:rFonts w:ascii="Arial" w:hAnsi="Arial" w:cs="Arial"/>
        </w:rPr>
      </w:pPr>
      <w:r w:rsidRPr="001B39BA">
        <w:rPr>
          <w:rFonts w:ascii="Arial" w:hAnsi="Arial" w:cs="Arial"/>
        </w:rPr>
        <w:t>This chapter presents the results of the study examining the relationships among guidance counselors’ work-specific characteristics, compassion satisfaction, and compassion fatigue. The analysis proceeded in three stages. The descriptive statistics were used to determine the levels of the key variables. The measurement model was evaluated to establish the validity and reliability of the latent constructs, and Structural Equation Modeling (SEM) was employed to test the hypothesized structural relationships, including direct and indirect effects, and to assess overall model fit. Prior to SEM analysis, statistical assumptions were examined. The data met the assumptions of normality, linearity, independence, and absence of multicollinearity. Multivariate normality was assessed using skewness values within acceptable thresholds, while collinearity diagnostics indicated no violations. These results support the suitability of the data for SEM analysis.</w:t>
      </w:r>
    </w:p>
    <w:p w14:paraId="47395957" w14:textId="77777777" w:rsidR="003D246B" w:rsidRPr="001B39BA" w:rsidRDefault="003D246B" w:rsidP="001B39BA">
      <w:pPr>
        <w:spacing w:line="360" w:lineRule="auto"/>
        <w:ind w:firstLine="720"/>
        <w:jc w:val="both"/>
        <w:rPr>
          <w:rFonts w:ascii="Arial" w:hAnsi="Arial" w:cs="Arial"/>
        </w:rPr>
      </w:pPr>
    </w:p>
    <w:p w14:paraId="665289BE" w14:textId="77777777" w:rsidR="001B39BA" w:rsidRPr="003D246B" w:rsidRDefault="001B39BA" w:rsidP="003D246B">
      <w:pPr>
        <w:pStyle w:val="NoSpacing"/>
        <w:spacing w:line="276" w:lineRule="auto"/>
        <w:rPr>
          <w:rFonts w:ascii="Arial" w:hAnsi="Arial" w:cs="Arial"/>
        </w:rPr>
      </w:pPr>
      <w:r w:rsidRPr="003D246B">
        <w:rPr>
          <w:rFonts w:ascii="Arial" w:hAnsi="Arial" w:cs="Arial"/>
        </w:rPr>
        <w:t>Table</w:t>
      </w:r>
      <w:r w:rsidRPr="003D246B">
        <w:rPr>
          <w:rFonts w:ascii="Arial" w:hAnsi="Arial" w:cs="Arial"/>
          <w:spacing w:val="-2"/>
        </w:rPr>
        <w:t xml:space="preserve"> </w:t>
      </w:r>
      <w:r w:rsidRPr="003D246B">
        <w:rPr>
          <w:rFonts w:ascii="Arial" w:hAnsi="Arial" w:cs="Arial"/>
          <w:spacing w:val="-10"/>
        </w:rPr>
        <w:t>1</w:t>
      </w:r>
    </w:p>
    <w:p w14:paraId="077B2295" w14:textId="77777777" w:rsidR="001B39BA" w:rsidRPr="003D246B" w:rsidRDefault="001B39BA" w:rsidP="003D246B">
      <w:pPr>
        <w:pStyle w:val="NoSpacing"/>
        <w:spacing w:line="276" w:lineRule="auto"/>
        <w:rPr>
          <w:rFonts w:ascii="Arial" w:hAnsi="Arial" w:cs="Arial"/>
          <w:iCs/>
          <w:spacing w:val="-2"/>
        </w:rPr>
      </w:pPr>
      <w:r w:rsidRPr="003D246B">
        <w:rPr>
          <w:rFonts w:ascii="Arial" w:hAnsi="Arial" w:cs="Arial"/>
          <w:iCs/>
        </w:rPr>
        <w:t>Level</w:t>
      </w:r>
      <w:r w:rsidRPr="003D246B">
        <w:rPr>
          <w:rFonts w:ascii="Arial" w:hAnsi="Arial" w:cs="Arial"/>
          <w:iCs/>
          <w:spacing w:val="-6"/>
        </w:rPr>
        <w:t xml:space="preserve"> </w:t>
      </w:r>
      <w:r w:rsidRPr="003D246B">
        <w:rPr>
          <w:rFonts w:ascii="Arial" w:hAnsi="Arial" w:cs="Arial"/>
          <w:iCs/>
        </w:rPr>
        <w:t>of</w:t>
      </w:r>
      <w:r w:rsidRPr="003D246B">
        <w:rPr>
          <w:rFonts w:ascii="Arial" w:hAnsi="Arial" w:cs="Arial"/>
          <w:iCs/>
          <w:spacing w:val="-8"/>
        </w:rPr>
        <w:t xml:space="preserve"> </w:t>
      </w:r>
      <w:r w:rsidRPr="003D246B">
        <w:rPr>
          <w:rFonts w:ascii="Arial" w:hAnsi="Arial" w:cs="Arial"/>
          <w:iCs/>
        </w:rPr>
        <w:t>Guidance</w:t>
      </w:r>
      <w:r w:rsidRPr="003D246B">
        <w:rPr>
          <w:rFonts w:ascii="Arial" w:hAnsi="Arial" w:cs="Arial"/>
          <w:iCs/>
          <w:spacing w:val="-4"/>
        </w:rPr>
        <w:t xml:space="preserve"> </w:t>
      </w:r>
      <w:r w:rsidRPr="003D246B">
        <w:rPr>
          <w:rFonts w:ascii="Arial" w:hAnsi="Arial" w:cs="Arial"/>
          <w:iCs/>
        </w:rPr>
        <w:t>Counselors'</w:t>
      </w:r>
      <w:r w:rsidRPr="003D246B">
        <w:rPr>
          <w:rFonts w:ascii="Arial" w:hAnsi="Arial" w:cs="Arial"/>
          <w:iCs/>
          <w:spacing w:val="-8"/>
        </w:rPr>
        <w:t xml:space="preserve"> </w:t>
      </w:r>
      <w:r w:rsidRPr="003D246B">
        <w:rPr>
          <w:rFonts w:ascii="Arial" w:hAnsi="Arial" w:cs="Arial"/>
          <w:iCs/>
        </w:rPr>
        <w:t>Work-Specific Characteristics</w:t>
      </w:r>
    </w:p>
    <w:tbl>
      <w:tblPr>
        <w:tblStyle w:val="PlainTable2"/>
        <w:tblW w:w="8647" w:type="dxa"/>
        <w:tblLook w:val="04A0" w:firstRow="1" w:lastRow="0" w:firstColumn="1" w:lastColumn="0" w:noHBand="0" w:noVBand="1"/>
      </w:tblPr>
      <w:tblGrid>
        <w:gridCol w:w="3119"/>
        <w:gridCol w:w="1134"/>
        <w:gridCol w:w="992"/>
        <w:gridCol w:w="1701"/>
        <w:gridCol w:w="1701"/>
      </w:tblGrid>
      <w:tr w:rsidR="001B39BA" w:rsidRPr="001B39BA" w14:paraId="2CA442EB" w14:textId="77777777" w:rsidTr="003D24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tcBorders>
          </w:tcPr>
          <w:p w14:paraId="19EA5877" w14:textId="77777777" w:rsidR="001B39BA" w:rsidRPr="001B39BA" w:rsidRDefault="001B39BA" w:rsidP="001B39BA">
            <w:pPr>
              <w:widowControl/>
              <w:autoSpaceDE/>
              <w:autoSpaceDN/>
              <w:spacing w:line="360" w:lineRule="auto"/>
              <w:jc w:val="both"/>
              <w:rPr>
                <w:rFonts w:ascii="Arial" w:eastAsiaTheme="minorHAnsi" w:hAnsi="Arial" w:cs="Arial"/>
                <w:kern w:val="2"/>
                <w14:ligatures w14:val="standardContextual"/>
              </w:rPr>
            </w:pPr>
          </w:p>
        </w:tc>
        <w:tc>
          <w:tcPr>
            <w:tcW w:w="1134" w:type="dxa"/>
            <w:tcBorders>
              <w:top w:val="single" w:sz="4" w:space="0" w:color="auto"/>
              <w:bottom w:val="single" w:sz="4" w:space="0" w:color="auto"/>
            </w:tcBorders>
          </w:tcPr>
          <w:p w14:paraId="4E5098C2" w14:textId="77777777" w:rsidR="001B39BA" w:rsidRPr="001B39BA" w:rsidRDefault="001B39BA" w:rsidP="001B39BA">
            <w:pPr>
              <w:widowControl/>
              <w:autoSpaceDE/>
              <w:autoSpaceDN/>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Mean</w:t>
            </w:r>
          </w:p>
        </w:tc>
        <w:tc>
          <w:tcPr>
            <w:tcW w:w="992" w:type="dxa"/>
            <w:tcBorders>
              <w:top w:val="single" w:sz="4" w:space="0" w:color="auto"/>
              <w:bottom w:val="single" w:sz="4" w:space="0" w:color="auto"/>
            </w:tcBorders>
          </w:tcPr>
          <w:p w14:paraId="050127EB" w14:textId="77777777" w:rsidR="001B39BA" w:rsidRPr="001B39BA" w:rsidRDefault="001B39BA" w:rsidP="001B39BA">
            <w:pPr>
              <w:widowControl/>
              <w:autoSpaceDE/>
              <w:autoSpaceDN/>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SD</w:t>
            </w:r>
          </w:p>
        </w:tc>
        <w:tc>
          <w:tcPr>
            <w:tcW w:w="1701" w:type="dxa"/>
            <w:tcBorders>
              <w:top w:val="single" w:sz="4" w:space="0" w:color="auto"/>
              <w:bottom w:val="single" w:sz="4" w:space="0" w:color="auto"/>
            </w:tcBorders>
          </w:tcPr>
          <w:p w14:paraId="186502E5" w14:textId="77777777" w:rsidR="001B39BA" w:rsidRPr="001B39BA" w:rsidRDefault="001B39BA" w:rsidP="001B39BA">
            <w:pPr>
              <w:widowControl/>
              <w:autoSpaceDE/>
              <w:autoSpaceDN/>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Interpretation</w:t>
            </w:r>
          </w:p>
        </w:tc>
        <w:tc>
          <w:tcPr>
            <w:tcW w:w="1701" w:type="dxa"/>
            <w:tcBorders>
              <w:top w:val="single" w:sz="4" w:space="0" w:color="auto"/>
              <w:bottom w:val="single" w:sz="4" w:space="0" w:color="auto"/>
            </w:tcBorders>
          </w:tcPr>
          <w:p w14:paraId="762CB838" w14:textId="77777777" w:rsidR="001B39BA" w:rsidRPr="001B39BA" w:rsidRDefault="001B39BA" w:rsidP="001B39BA">
            <w:pPr>
              <w:widowControl/>
              <w:autoSpaceDE/>
              <w:autoSpaceDN/>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Skewness</w:t>
            </w:r>
          </w:p>
        </w:tc>
      </w:tr>
      <w:tr w:rsidR="001B39BA" w:rsidRPr="001B39BA" w14:paraId="504CC35A" w14:textId="77777777" w:rsidTr="003D2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nil"/>
            </w:tcBorders>
          </w:tcPr>
          <w:p w14:paraId="34A7ED8A" w14:textId="77777777" w:rsidR="001B39BA" w:rsidRPr="001B39BA" w:rsidRDefault="001B39BA" w:rsidP="001B39BA">
            <w:pPr>
              <w:widowControl/>
              <w:autoSpaceDE/>
              <w:autoSpaceDN/>
              <w:spacing w:line="360" w:lineRule="auto"/>
              <w:jc w:val="both"/>
              <w:rPr>
                <w:rFonts w:ascii="Arial" w:eastAsiaTheme="minorHAnsi" w:hAnsi="Arial" w:cs="Arial"/>
                <w:kern w:val="2"/>
                <w14:ligatures w14:val="standardContextual"/>
              </w:rPr>
            </w:pPr>
          </w:p>
          <w:p w14:paraId="29509B81" w14:textId="77777777" w:rsidR="001B39BA" w:rsidRPr="001B39BA" w:rsidRDefault="001B39BA" w:rsidP="001B39BA">
            <w:pPr>
              <w:widowControl/>
              <w:autoSpaceDE/>
              <w:autoSpaceDN/>
              <w:spacing w:line="360" w:lineRule="auto"/>
              <w:jc w:val="both"/>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Empathic Understanding</w:t>
            </w:r>
          </w:p>
        </w:tc>
        <w:tc>
          <w:tcPr>
            <w:tcW w:w="1134" w:type="dxa"/>
            <w:tcBorders>
              <w:top w:val="single" w:sz="4" w:space="0" w:color="auto"/>
              <w:bottom w:val="nil"/>
            </w:tcBorders>
            <w:vAlign w:val="bottom"/>
          </w:tcPr>
          <w:p w14:paraId="146A6B93"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4.63</w:t>
            </w:r>
          </w:p>
        </w:tc>
        <w:tc>
          <w:tcPr>
            <w:tcW w:w="992" w:type="dxa"/>
            <w:tcBorders>
              <w:top w:val="single" w:sz="4" w:space="0" w:color="auto"/>
              <w:bottom w:val="nil"/>
            </w:tcBorders>
            <w:vAlign w:val="bottom"/>
          </w:tcPr>
          <w:p w14:paraId="51AD935C"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0.43</w:t>
            </w:r>
          </w:p>
        </w:tc>
        <w:tc>
          <w:tcPr>
            <w:tcW w:w="1701" w:type="dxa"/>
            <w:tcBorders>
              <w:top w:val="single" w:sz="4" w:space="0" w:color="auto"/>
              <w:bottom w:val="nil"/>
            </w:tcBorders>
            <w:vAlign w:val="bottom"/>
          </w:tcPr>
          <w:p w14:paraId="0AFB09AA"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Very High</w:t>
            </w:r>
          </w:p>
        </w:tc>
        <w:tc>
          <w:tcPr>
            <w:tcW w:w="1701" w:type="dxa"/>
            <w:tcBorders>
              <w:top w:val="single" w:sz="4" w:space="0" w:color="auto"/>
              <w:bottom w:val="nil"/>
            </w:tcBorders>
            <w:vAlign w:val="bottom"/>
          </w:tcPr>
          <w:p w14:paraId="5BAE7F0C" w14:textId="77777777" w:rsidR="001B39BA" w:rsidRPr="001B39BA" w:rsidRDefault="001B39BA" w:rsidP="003D246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-1.02</w:t>
            </w:r>
          </w:p>
        </w:tc>
      </w:tr>
      <w:tr w:rsidR="001B39BA" w:rsidRPr="001B39BA" w14:paraId="11F8922E" w14:textId="77777777" w:rsidTr="003D246B">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tcPr>
          <w:p w14:paraId="2BEF454A" w14:textId="77777777" w:rsidR="001B39BA" w:rsidRPr="001B39BA" w:rsidRDefault="001B39BA" w:rsidP="001B39BA">
            <w:pPr>
              <w:widowControl/>
              <w:autoSpaceDE/>
              <w:autoSpaceDN/>
              <w:spacing w:line="360" w:lineRule="auto"/>
              <w:jc w:val="both"/>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Genuineness</w:t>
            </w:r>
          </w:p>
        </w:tc>
        <w:tc>
          <w:tcPr>
            <w:tcW w:w="1134" w:type="dxa"/>
            <w:tcBorders>
              <w:top w:val="nil"/>
              <w:bottom w:val="nil"/>
            </w:tcBorders>
            <w:vAlign w:val="bottom"/>
          </w:tcPr>
          <w:p w14:paraId="1541E973" w14:textId="77777777" w:rsidR="001B39BA" w:rsidRPr="001B39BA" w:rsidRDefault="001B39BA" w:rsidP="001B39BA">
            <w:pPr>
              <w:widowControl/>
              <w:autoSpaceDE/>
              <w:autoSpaceDN/>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4.51</w:t>
            </w:r>
          </w:p>
        </w:tc>
        <w:tc>
          <w:tcPr>
            <w:tcW w:w="992" w:type="dxa"/>
            <w:tcBorders>
              <w:top w:val="nil"/>
              <w:bottom w:val="nil"/>
            </w:tcBorders>
            <w:vAlign w:val="bottom"/>
          </w:tcPr>
          <w:p w14:paraId="1CA591C8" w14:textId="77777777" w:rsidR="001B39BA" w:rsidRPr="001B39BA" w:rsidRDefault="001B39BA" w:rsidP="001B39BA">
            <w:pPr>
              <w:widowControl/>
              <w:autoSpaceDE/>
              <w:autoSpaceDN/>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0.50</w:t>
            </w:r>
          </w:p>
        </w:tc>
        <w:tc>
          <w:tcPr>
            <w:tcW w:w="1701" w:type="dxa"/>
            <w:tcBorders>
              <w:top w:val="nil"/>
              <w:bottom w:val="nil"/>
            </w:tcBorders>
            <w:vAlign w:val="bottom"/>
          </w:tcPr>
          <w:p w14:paraId="16D6778E" w14:textId="77777777" w:rsidR="001B39BA" w:rsidRPr="001B39BA" w:rsidRDefault="001B39BA" w:rsidP="001B39BA">
            <w:pPr>
              <w:widowControl/>
              <w:autoSpaceDE/>
              <w:autoSpaceDN/>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Very High</w:t>
            </w:r>
          </w:p>
        </w:tc>
        <w:tc>
          <w:tcPr>
            <w:tcW w:w="1701" w:type="dxa"/>
            <w:tcBorders>
              <w:top w:val="nil"/>
              <w:bottom w:val="nil"/>
            </w:tcBorders>
            <w:vAlign w:val="bottom"/>
          </w:tcPr>
          <w:p w14:paraId="3CB54A85" w14:textId="77777777" w:rsidR="001B39BA" w:rsidRPr="001B39BA" w:rsidRDefault="001B39BA" w:rsidP="003D246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-0.48</w:t>
            </w:r>
          </w:p>
        </w:tc>
      </w:tr>
      <w:tr w:rsidR="001B39BA" w:rsidRPr="001B39BA" w14:paraId="6436D498" w14:textId="77777777" w:rsidTr="003D2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tcPr>
          <w:p w14:paraId="080CBB97" w14:textId="77777777" w:rsidR="001B39BA" w:rsidRPr="001B39BA" w:rsidRDefault="001B39BA" w:rsidP="001B39BA">
            <w:pPr>
              <w:widowControl/>
              <w:autoSpaceDE/>
              <w:autoSpaceDN/>
              <w:spacing w:line="360" w:lineRule="auto"/>
              <w:jc w:val="both"/>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Non-Judgmental Attitude</w:t>
            </w:r>
          </w:p>
        </w:tc>
        <w:tc>
          <w:tcPr>
            <w:tcW w:w="1134" w:type="dxa"/>
            <w:tcBorders>
              <w:top w:val="nil"/>
              <w:bottom w:val="nil"/>
            </w:tcBorders>
            <w:vAlign w:val="bottom"/>
          </w:tcPr>
          <w:p w14:paraId="6B855144"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4.71</w:t>
            </w:r>
          </w:p>
        </w:tc>
        <w:tc>
          <w:tcPr>
            <w:tcW w:w="992" w:type="dxa"/>
            <w:tcBorders>
              <w:top w:val="nil"/>
              <w:bottom w:val="nil"/>
            </w:tcBorders>
            <w:vAlign w:val="bottom"/>
          </w:tcPr>
          <w:p w14:paraId="748B8D7E"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0.40</w:t>
            </w:r>
          </w:p>
        </w:tc>
        <w:tc>
          <w:tcPr>
            <w:tcW w:w="1701" w:type="dxa"/>
            <w:tcBorders>
              <w:top w:val="nil"/>
              <w:bottom w:val="nil"/>
            </w:tcBorders>
            <w:vAlign w:val="bottom"/>
          </w:tcPr>
          <w:p w14:paraId="28C01B47"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Very High</w:t>
            </w:r>
          </w:p>
        </w:tc>
        <w:tc>
          <w:tcPr>
            <w:tcW w:w="1701" w:type="dxa"/>
            <w:tcBorders>
              <w:top w:val="nil"/>
              <w:bottom w:val="nil"/>
            </w:tcBorders>
            <w:vAlign w:val="bottom"/>
          </w:tcPr>
          <w:p w14:paraId="6CE33A0C" w14:textId="77777777" w:rsidR="001B39BA" w:rsidRPr="001B39BA" w:rsidRDefault="001B39BA" w:rsidP="003D246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-1.17</w:t>
            </w:r>
          </w:p>
        </w:tc>
      </w:tr>
      <w:tr w:rsidR="001B39BA" w:rsidRPr="001B39BA" w14:paraId="09D87595" w14:textId="77777777" w:rsidTr="003D246B">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tcPr>
          <w:p w14:paraId="2686BD56" w14:textId="77777777" w:rsidR="001B39BA" w:rsidRPr="001B39BA" w:rsidRDefault="001B39BA" w:rsidP="001B39BA">
            <w:pPr>
              <w:widowControl/>
              <w:autoSpaceDE/>
              <w:autoSpaceDN/>
              <w:spacing w:line="360" w:lineRule="auto"/>
              <w:jc w:val="both"/>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Interpersonal Skills</w:t>
            </w:r>
          </w:p>
        </w:tc>
        <w:tc>
          <w:tcPr>
            <w:tcW w:w="1134" w:type="dxa"/>
            <w:tcBorders>
              <w:top w:val="nil"/>
              <w:bottom w:val="nil"/>
            </w:tcBorders>
            <w:vAlign w:val="bottom"/>
          </w:tcPr>
          <w:p w14:paraId="1A1A5839" w14:textId="77777777" w:rsidR="001B39BA" w:rsidRPr="001B39BA" w:rsidRDefault="001B39BA" w:rsidP="001B39BA">
            <w:pPr>
              <w:widowControl/>
              <w:autoSpaceDE/>
              <w:autoSpaceDN/>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4.67</w:t>
            </w:r>
          </w:p>
        </w:tc>
        <w:tc>
          <w:tcPr>
            <w:tcW w:w="992" w:type="dxa"/>
            <w:tcBorders>
              <w:top w:val="nil"/>
              <w:bottom w:val="nil"/>
            </w:tcBorders>
            <w:vAlign w:val="bottom"/>
          </w:tcPr>
          <w:p w14:paraId="7FB73D39" w14:textId="77777777" w:rsidR="001B39BA" w:rsidRPr="001B39BA" w:rsidRDefault="001B39BA" w:rsidP="001B39BA">
            <w:pPr>
              <w:widowControl/>
              <w:autoSpaceDE/>
              <w:autoSpaceDN/>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041</w:t>
            </w:r>
          </w:p>
        </w:tc>
        <w:tc>
          <w:tcPr>
            <w:tcW w:w="1701" w:type="dxa"/>
            <w:tcBorders>
              <w:top w:val="nil"/>
              <w:bottom w:val="nil"/>
            </w:tcBorders>
            <w:vAlign w:val="bottom"/>
          </w:tcPr>
          <w:p w14:paraId="33B4AE97" w14:textId="77777777" w:rsidR="001B39BA" w:rsidRPr="001B39BA" w:rsidRDefault="001B39BA" w:rsidP="001B39BA">
            <w:pPr>
              <w:widowControl/>
              <w:autoSpaceDE/>
              <w:autoSpaceDN/>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Very High</w:t>
            </w:r>
          </w:p>
        </w:tc>
        <w:tc>
          <w:tcPr>
            <w:tcW w:w="1701" w:type="dxa"/>
            <w:tcBorders>
              <w:top w:val="nil"/>
              <w:bottom w:val="nil"/>
            </w:tcBorders>
            <w:vAlign w:val="bottom"/>
          </w:tcPr>
          <w:p w14:paraId="359AAC80" w14:textId="77777777" w:rsidR="001B39BA" w:rsidRPr="001B39BA" w:rsidRDefault="001B39BA" w:rsidP="003D246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-0.91</w:t>
            </w:r>
          </w:p>
        </w:tc>
      </w:tr>
      <w:tr w:rsidR="001B39BA" w:rsidRPr="001B39BA" w14:paraId="5A003034" w14:textId="77777777" w:rsidTr="003D2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tcPr>
          <w:p w14:paraId="502388C1" w14:textId="77777777" w:rsidR="001B39BA" w:rsidRPr="001B39BA" w:rsidRDefault="001B39BA" w:rsidP="001B39BA">
            <w:pPr>
              <w:widowControl/>
              <w:autoSpaceDE/>
              <w:autoSpaceDN/>
              <w:spacing w:line="360" w:lineRule="auto"/>
              <w:jc w:val="both"/>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Self-Compassion</w:t>
            </w:r>
          </w:p>
        </w:tc>
        <w:tc>
          <w:tcPr>
            <w:tcW w:w="1134" w:type="dxa"/>
            <w:tcBorders>
              <w:top w:val="nil"/>
              <w:bottom w:val="nil"/>
            </w:tcBorders>
            <w:vAlign w:val="bottom"/>
          </w:tcPr>
          <w:p w14:paraId="7E4233B8"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4.47</w:t>
            </w:r>
          </w:p>
        </w:tc>
        <w:tc>
          <w:tcPr>
            <w:tcW w:w="992" w:type="dxa"/>
            <w:tcBorders>
              <w:top w:val="nil"/>
              <w:bottom w:val="nil"/>
            </w:tcBorders>
            <w:vAlign w:val="bottom"/>
          </w:tcPr>
          <w:p w14:paraId="4CC7115B"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0.54</w:t>
            </w:r>
          </w:p>
        </w:tc>
        <w:tc>
          <w:tcPr>
            <w:tcW w:w="1701" w:type="dxa"/>
            <w:tcBorders>
              <w:top w:val="nil"/>
              <w:bottom w:val="nil"/>
            </w:tcBorders>
            <w:vAlign w:val="bottom"/>
          </w:tcPr>
          <w:p w14:paraId="0BF19F1D"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Very High</w:t>
            </w:r>
          </w:p>
        </w:tc>
        <w:tc>
          <w:tcPr>
            <w:tcW w:w="1701" w:type="dxa"/>
            <w:tcBorders>
              <w:top w:val="nil"/>
              <w:bottom w:val="nil"/>
            </w:tcBorders>
            <w:vAlign w:val="bottom"/>
          </w:tcPr>
          <w:p w14:paraId="4F71C0D9" w14:textId="77777777" w:rsidR="001B39BA" w:rsidRPr="001B39BA" w:rsidRDefault="001B39BA" w:rsidP="003D246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-1.07</w:t>
            </w:r>
          </w:p>
        </w:tc>
      </w:tr>
      <w:tr w:rsidR="001B39BA" w:rsidRPr="001B39BA" w14:paraId="43BDE123" w14:textId="77777777" w:rsidTr="003D246B">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auto"/>
            </w:tcBorders>
          </w:tcPr>
          <w:p w14:paraId="54461FE5" w14:textId="77777777" w:rsidR="001B39BA" w:rsidRPr="001B39BA" w:rsidRDefault="001B39BA" w:rsidP="001B39BA">
            <w:pPr>
              <w:widowControl/>
              <w:autoSpaceDE/>
              <w:autoSpaceDN/>
              <w:spacing w:line="360" w:lineRule="auto"/>
              <w:jc w:val="both"/>
              <w:rPr>
                <w:rFonts w:ascii="Arial" w:eastAsiaTheme="minorHAnsi" w:hAnsi="Arial" w:cs="Arial"/>
                <w:kern w:val="2"/>
                <w14:ligatures w14:val="standardContextual"/>
              </w:rPr>
            </w:pPr>
          </w:p>
          <w:p w14:paraId="21426857" w14:textId="77777777" w:rsidR="001B39BA" w:rsidRPr="001B39BA" w:rsidRDefault="001B39BA" w:rsidP="001B39BA">
            <w:pPr>
              <w:widowControl/>
              <w:autoSpaceDE/>
              <w:autoSpaceDN/>
              <w:spacing w:line="360" w:lineRule="auto"/>
              <w:jc w:val="both"/>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Overall Mean</w:t>
            </w:r>
          </w:p>
        </w:tc>
        <w:tc>
          <w:tcPr>
            <w:tcW w:w="1134" w:type="dxa"/>
            <w:tcBorders>
              <w:top w:val="nil"/>
              <w:bottom w:val="single" w:sz="4" w:space="0" w:color="auto"/>
            </w:tcBorders>
            <w:vAlign w:val="bottom"/>
          </w:tcPr>
          <w:p w14:paraId="0BA98469" w14:textId="77777777" w:rsidR="001B39BA" w:rsidRPr="001B39BA" w:rsidRDefault="001B39BA" w:rsidP="001B39BA">
            <w:pPr>
              <w:widowControl/>
              <w:autoSpaceDE/>
              <w:autoSpaceDN/>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4.60</w:t>
            </w:r>
          </w:p>
        </w:tc>
        <w:tc>
          <w:tcPr>
            <w:tcW w:w="992" w:type="dxa"/>
            <w:tcBorders>
              <w:top w:val="nil"/>
              <w:bottom w:val="single" w:sz="4" w:space="0" w:color="auto"/>
            </w:tcBorders>
            <w:vAlign w:val="bottom"/>
          </w:tcPr>
          <w:p w14:paraId="01496978" w14:textId="77777777" w:rsidR="001B39BA" w:rsidRPr="001B39BA" w:rsidRDefault="001B39BA" w:rsidP="001B39BA">
            <w:pPr>
              <w:widowControl/>
              <w:autoSpaceDE/>
              <w:autoSpaceDN/>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0.46</w:t>
            </w:r>
          </w:p>
        </w:tc>
        <w:tc>
          <w:tcPr>
            <w:tcW w:w="1701" w:type="dxa"/>
            <w:tcBorders>
              <w:top w:val="nil"/>
              <w:bottom w:val="single" w:sz="4" w:space="0" w:color="auto"/>
            </w:tcBorders>
            <w:vAlign w:val="bottom"/>
          </w:tcPr>
          <w:p w14:paraId="785FD258" w14:textId="77777777" w:rsidR="001B39BA" w:rsidRPr="001B39BA" w:rsidRDefault="001B39BA" w:rsidP="001B39BA">
            <w:pPr>
              <w:widowControl/>
              <w:autoSpaceDE/>
              <w:autoSpaceDN/>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Very High</w:t>
            </w:r>
          </w:p>
        </w:tc>
        <w:tc>
          <w:tcPr>
            <w:tcW w:w="1701" w:type="dxa"/>
            <w:tcBorders>
              <w:top w:val="nil"/>
              <w:bottom w:val="single" w:sz="4" w:space="0" w:color="auto"/>
            </w:tcBorders>
            <w:vAlign w:val="bottom"/>
          </w:tcPr>
          <w:p w14:paraId="0F156B31" w14:textId="77777777" w:rsidR="001B39BA" w:rsidRPr="001B39BA" w:rsidRDefault="001B39BA" w:rsidP="003D246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-0.93</w:t>
            </w:r>
          </w:p>
        </w:tc>
      </w:tr>
    </w:tbl>
    <w:p w14:paraId="6672C73E" w14:textId="77777777" w:rsidR="001B39BA" w:rsidRPr="001B39BA" w:rsidRDefault="001B39BA" w:rsidP="001B39BA">
      <w:pPr>
        <w:widowControl/>
        <w:autoSpaceDE/>
        <w:autoSpaceDN/>
        <w:spacing w:line="360" w:lineRule="auto"/>
        <w:jc w:val="both"/>
        <w:rPr>
          <w:rFonts w:ascii="Arial" w:eastAsiaTheme="minorHAnsi" w:hAnsi="Arial" w:cs="Arial"/>
          <w:i/>
          <w:kern w:val="2"/>
          <w:lang w:val="en-SG"/>
          <w14:ligatures w14:val="standardContextual"/>
        </w:rPr>
      </w:pPr>
    </w:p>
    <w:p w14:paraId="5C5272F5"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 xml:space="preserve">Table 1 presents the level of guidance counselors’ work-specific characteristics. The results indicate an overall very high level (M = 4.60, SD = 0.46), suggesting that respondents consistently demonstrate strong professional competencies essential for effective counseling practice. Across the five dimensions, all indicators were rated in the very high range (M = 4.47-4.71). Among these, a non-judgmental attitude obtained the highest mean (M = 4.71, SD = 0.40), followed by interpersonal skills (M = 4.67, SD = 0.41) and empathic understanding (M = 4.63, SD = 0.43). </w:t>
      </w:r>
    </w:p>
    <w:p w14:paraId="435C80A5"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lastRenderedPageBreak/>
        <w:t>These results indicate that guidance counselors are highly capable of fostering acceptance, building rapport, and understanding clients’ perspectives, core elements of effective helping relationships. Meanwhile, genuineness (M = 4.51, SD = 0.50) and self-compassion (M = 4.47, SD = 0.54), although lower, remain in the very high range, reflecting consistent authenticity and self-awareness among respondents.</w:t>
      </w:r>
    </w:p>
    <w:p w14:paraId="4EC01A26"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Despite the uniformly high ratings, item-level patterns suggest subtle variations. Guidance counselors reported stronger agreement in their ability to adopt clients’ perspectives, while relatively lower ratings were observed in understanding experiences beyond their personal background. Similarly, although self-acceptance was high, respondents reported comparatively less ease in responding compassionately to personal challenges. These findings indicate that while interpersonal competencies are well-developed, intrapersonal processes, particularly self-directed compassion, may require further strengthening.</w:t>
      </w:r>
    </w:p>
    <w:p w14:paraId="3AB80656" w14:textId="77777777" w:rsidR="001B39BA" w:rsidRDefault="001B39BA" w:rsidP="001B39BA">
      <w:pPr>
        <w:spacing w:line="360" w:lineRule="auto"/>
        <w:ind w:firstLine="720"/>
        <w:jc w:val="both"/>
        <w:rPr>
          <w:rFonts w:ascii="Arial" w:hAnsi="Arial" w:cs="Arial"/>
        </w:rPr>
      </w:pPr>
      <w:r w:rsidRPr="001B39BA">
        <w:rPr>
          <w:rFonts w:ascii="Arial" w:hAnsi="Arial" w:cs="Arial"/>
        </w:rPr>
        <w:t>Regarding data distribution, skewness values ranged from –0.48 to –1.17, indicating a concentration of responses toward the higher end of the scale. These values fall within acceptable limits, suggesting that the data are sufficiently normal and appropriate for subsequent inferential and structural analyses. Overall, the findings demonstrate that guidance counselors possess strong work-related competencies, particularly in relational domains. However, the results also highlight the need to enhance self-compassion further, emphasizing the importance of balancing professional effectiveness with personal well-being.</w:t>
      </w:r>
    </w:p>
    <w:p w14:paraId="46F5A11D" w14:textId="77777777" w:rsidR="003D246B" w:rsidRPr="001B39BA" w:rsidRDefault="003D246B" w:rsidP="001B39BA">
      <w:pPr>
        <w:spacing w:line="360" w:lineRule="auto"/>
        <w:ind w:firstLine="720"/>
        <w:jc w:val="both"/>
        <w:rPr>
          <w:rFonts w:ascii="Arial" w:hAnsi="Arial" w:cs="Arial"/>
        </w:rPr>
      </w:pPr>
    </w:p>
    <w:p w14:paraId="40D7E59D" w14:textId="77777777" w:rsidR="001B39BA" w:rsidRPr="003D246B" w:rsidRDefault="001B39BA" w:rsidP="003D246B">
      <w:pPr>
        <w:pStyle w:val="NoSpacing"/>
        <w:spacing w:line="276" w:lineRule="auto"/>
        <w:rPr>
          <w:rFonts w:ascii="Arial" w:hAnsi="Arial" w:cs="Arial"/>
        </w:rPr>
      </w:pPr>
      <w:r w:rsidRPr="003D246B">
        <w:rPr>
          <w:rFonts w:ascii="Arial" w:hAnsi="Arial" w:cs="Arial"/>
        </w:rPr>
        <w:t>Table</w:t>
      </w:r>
      <w:r w:rsidRPr="003D246B">
        <w:rPr>
          <w:rFonts w:ascii="Arial" w:hAnsi="Arial" w:cs="Arial"/>
          <w:spacing w:val="-2"/>
        </w:rPr>
        <w:t xml:space="preserve"> 2</w:t>
      </w:r>
    </w:p>
    <w:p w14:paraId="35907FBE" w14:textId="77777777" w:rsidR="001B39BA" w:rsidRPr="003D246B" w:rsidRDefault="001B39BA" w:rsidP="003D246B">
      <w:pPr>
        <w:pStyle w:val="NoSpacing"/>
        <w:spacing w:line="276" w:lineRule="auto"/>
        <w:rPr>
          <w:rFonts w:ascii="Arial" w:hAnsi="Arial" w:cs="Arial"/>
          <w:spacing w:val="-2"/>
        </w:rPr>
      </w:pPr>
      <w:r w:rsidRPr="003D246B">
        <w:rPr>
          <w:rFonts w:ascii="Arial" w:hAnsi="Arial" w:cs="Arial"/>
        </w:rPr>
        <w:t>Level</w:t>
      </w:r>
      <w:r w:rsidRPr="003D246B">
        <w:rPr>
          <w:rFonts w:ascii="Arial" w:hAnsi="Arial" w:cs="Arial"/>
          <w:spacing w:val="-6"/>
        </w:rPr>
        <w:t xml:space="preserve"> </w:t>
      </w:r>
      <w:r w:rsidRPr="003D246B">
        <w:rPr>
          <w:rFonts w:ascii="Arial" w:hAnsi="Arial" w:cs="Arial"/>
        </w:rPr>
        <w:t>of</w:t>
      </w:r>
      <w:r w:rsidRPr="003D246B">
        <w:rPr>
          <w:rFonts w:ascii="Arial" w:hAnsi="Arial" w:cs="Arial"/>
          <w:spacing w:val="-8"/>
        </w:rPr>
        <w:t xml:space="preserve"> </w:t>
      </w:r>
      <w:r w:rsidRPr="003D246B">
        <w:rPr>
          <w:rFonts w:ascii="Arial" w:hAnsi="Arial" w:cs="Arial"/>
        </w:rPr>
        <w:t>Guidance</w:t>
      </w:r>
      <w:r w:rsidRPr="003D246B">
        <w:rPr>
          <w:rFonts w:ascii="Arial" w:hAnsi="Arial" w:cs="Arial"/>
          <w:spacing w:val="-4"/>
        </w:rPr>
        <w:t xml:space="preserve"> </w:t>
      </w:r>
      <w:r w:rsidRPr="003D246B">
        <w:rPr>
          <w:rFonts w:ascii="Arial" w:hAnsi="Arial" w:cs="Arial"/>
        </w:rPr>
        <w:t>Counselors'</w:t>
      </w:r>
      <w:r w:rsidRPr="003D246B">
        <w:rPr>
          <w:rFonts w:ascii="Arial" w:hAnsi="Arial" w:cs="Arial"/>
          <w:spacing w:val="-8"/>
        </w:rPr>
        <w:t xml:space="preserve"> </w:t>
      </w:r>
      <w:r w:rsidRPr="003D246B">
        <w:rPr>
          <w:rFonts w:ascii="Arial" w:hAnsi="Arial" w:cs="Arial"/>
        </w:rPr>
        <w:t>Compassion Satisfaction</w:t>
      </w:r>
    </w:p>
    <w:tbl>
      <w:tblPr>
        <w:tblStyle w:val="PlainTable2"/>
        <w:tblW w:w="8647" w:type="dxa"/>
        <w:tblLook w:val="04A0" w:firstRow="1" w:lastRow="0" w:firstColumn="1" w:lastColumn="0" w:noHBand="0" w:noVBand="1"/>
      </w:tblPr>
      <w:tblGrid>
        <w:gridCol w:w="3119"/>
        <w:gridCol w:w="1134"/>
        <w:gridCol w:w="992"/>
        <w:gridCol w:w="1701"/>
        <w:gridCol w:w="1701"/>
      </w:tblGrid>
      <w:tr w:rsidR="001B39BA" w:rsidRPr="001B39BA" w14:paraId="4D3C81B0" w14:textId="77777777" w:rsidTr="003D24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tcBorders>
          </w:tcPr>
          <w:p w14:paraId="03816F59" w14:textId="77777777" w:rsidR="001B39BA" w:rsidRPr="001B39BA" w:rsidRDefault="001B39BA" w:rsidP="001B39BA">
            <w:pPr>
              <w:widowControl/>
              <w:autoSpaceDE/>
              <w:autoSpaceDN/>
              <w:spacing w:line="360" w:lineRule="auto"/>
              <w:jc w:val="both"/>
              <w:rPr>
                <w:rFonts w:ascii="Arial" w:eastAsiaTheme="minorHAnsi" w:hAnsi="Arial" w:cs="Arial"/>
                <w:kern w:val="2"/>
                <w14:ligatures w14:val="standardContextual"/>
              </w:rPr>
            </w:pPr>
          </w:p>
        </w:tc>
        <w:tc>
          <w:tcPr>
            <w:tcW w:w="1134" w:type="dxa"/>
            <w:tcBorders>
              <w:top w:val="single" w:sz="4" w:space="0" w:color="auto"/>
              <w:bottom w:val="single" w:sz="4" w:space="0" w:color="auto"/>
            </w:tcBorders>
          </w:tcPr>
          <w:p w14:paraId="17995C36" w14:textId="77777777" w:rsidR="001B39BA" w:rsidRPr="001B39BA" w:rsidRDefault="001B39BA" w:rsidP="001B39BA">
            <w:pPr>
              <w:widowControl/>
              <w:autoSpaceDE/>
              <w:autoSpaceDN/>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Mean</w:t>
            </w:r>
          </w:p>
        </w:tc>
        <w:tc>
          <w:tcPr>
            <w:tcW w:w="992" w:type="dxa"/>
            <w:tcBorders>
              <w:top w:val="single" w:sz="4" w:space="0" w:color="auto"/>
              <w:bottom w:val="single" w:sz="4" w:space="0" w:color="auto"/>
            </w:tcBorders>
          </w:tcPr>
          <w:p w14:paraId="717343E7" w14:textId="77777777" w:rsidR="001B39BA" w:rsidRPr="001B39BA" w:rsidRDefault="001B39BA" w:rsidP="001B39BA">
            <w:pPr>
              <w:widowControl/>
              <w:autoSpaceDE/>
              <w:autoSpaceDN/>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SD</w:t>
            </w:r>
          </w:p>
        </w:tc>
        <w:tc>
          <w:tcPr>
            <w:tcW w:w="1701" w:type="dxa"/>
            <w:tcBorders>
              <w:top w:val="single" w:sz="4" w:space="0" w:color="auto"/>
              <w:bottom w:val="single" w:sz="4" w:space="0" w:color="auto"/>
            </w:tcBorders>
          </w:tcPr>
          <w:p w14:paraId="6E00EF46" w14:textId="77777777" w:rsidR="001B39BA" w:rsidRPr="001B39BA" w:rsidRDefault="001B39BA" w:rsidP="001B39BA">
            <w:pPr>
              <w:widowControl/>
              <w:autoSpaceDE/>
              <w:autoSpaceDN/>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Interpretation</w:t>
            </w:r>
          </w:p>
        </w:tc>
        <w:tc>
          <w:tcPr>
            <w:tcW w:w="1701" w:type="dxa"/>
            <w:tcBorders>
              <w:top w:val="single" w:sz="4" w:space="0" w:color="auto"/>
              <w:bottom w:val="single" w:sz="4" w:space="0" w:color="auto"/>
            </w:tcBorders>
          </w:tcPr>
          <w:p w14:paraId="34E84219" w14:textId="77777777" w:rsidR="001B39BA" w:rsidRPr="001B39BA" w:rsidRDefault="001B39BA" w:rsidP="001B39BA">
            <w:pPr>
              <w:widowControl/>
              <w:autoSpaceDE/>
              <w:autoSpaceDN/>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Skewness</w:t>
            </w:r>
          </w:p>
        </w:tc>
      </w:tr>
      <w:tr w:rsidR="001B39BA" w:rsidRPr="001B39BA" w14:paraId="3329B274" w14:textId="77777777" w:rsidTr="003D2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tcBorders>
          </w:tcPr>
          <w:p w14:paraId="25481727" w14:textId="77777777" w:rsidR="001B39BA" w:rsidRPr="001B39BA" w:rsidRDefault="001B39BA" w:rsidP="001B39BA">
            <w:pPr>
              <w:widowControl/>
              <w:autoSpaceDE/>
              <w:autoSpaceDN/>
              <w:spacing w:line="360" w:lineRule="auto"/>
              <w:jc w:val="both"/>
              <w:rPr>
                <w:rFonts w:ascii="Arial" w:eastAsiaTheme="minorHAnsi" w:hAnsi="Arial" w:cs="Arial"/>
                <w:kern w:val="2"/>
                <w14:ligatures w14:val="standardContextual"/>
              </w:rPr>
            </w:pPr>
          </w:p>
          <w:p w14:paraId="59AD0151" w14:textId="77777777" w:rsidR="001B39BA" w:rsidRPr="001B39BA" w:rsidRDefault="001B39BA" w:rsidP="001B39BA">
            <w:pPr>
              <w:widowControl/>
              <w:autoSpaceDE/>
              <w:autoSpaceDN/>
              <w:spacing w:line="360" w:lineRule="auto"/>
              <w:jc w:val="both"/>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Compassion Satisfaction</w:t>
            </w:r>
          </w:p>
        </w:tc>
        <w:tc>
          <w:tcPr>
            <w:tcW w:w="1134" w:type="dxa"/>
            <w:tcBorders>
              <w:top w:val="single" w:sz="4" w:space="0" w:color="auto"/>
              <w:bottom w:val="single" w:sz="4" w:space="0" w:color="auto"/>
            </w:tcBorders>
            <w:vAlign w:val="bottom"/>
          </w:tcPr>
          <w:p w14:paraId="5D186B92"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lang w:val="en-SG"/>
                <w14:ligatures w14:val="standardContextual"/>
              </w:rPr>
              <w:t>4.47</w:t>
            </w:r>
          </w:p>
        </w:tc>
        <w:tc>
          <w:tcPr>
            <w:tcW w:w="992" w:type="dxa"/>
            <w:tcBorders>
              <w:top w:val="single" w:sz="4" w:space="0" w:color="auto"/>
              <w:bottom w:val="single" w:sz="4" w:space="0" w:color="auto"/>
            </w:tcBorders>
            <w:vAlign w:val="bottom"/>
          </w:tcPr>
          <w:p w14:paraId="0CE3B681"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lang w:val="en-SG"/>
                <w14:ligatures w14:val="standardContextual"/>
              </w:rPr>
              <w:t>0.54</w:t>
            </w:r>
          </w:p>
        </w:tc>
        <w:tc>
          <w:tcPr>
            <w:tcW w:w="1701" w:type="dxa"/>
            <w:tcBorders>
              <w:top w:val="single" w:sz="4" w:space="0" w:color="auto"/>
              <w:bottom w:val="single" w:sz="4" w:space="0" w:color="auto"/>
            </w:tcBorders>
            <w:vAlign w:val="bottom"/>
          </w:tcPr>
          <w:p w14:paraId="16DD2D03"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lang w:val="en-SG"/>
                <w14:ligatures w14:val="standardContextual"/>
              </w:rPr>
              <w:t>-1.07</w:t>
            </w:r>
          </w:p>
        </w:tc>
        <w:tc>
          <w:tcPr>
            <w:tcW w:w="1701" w:type="dxa"/>
            <w:tcBorders>
              <w:top w:val="single" w:sz="4" w:space="0" w:color="auto"/>
              <w:bottom w:val="single" w:sz="4" w:space="0" w:color="auto"/>
            </w:tcBorders>
            <w:vAlign w:val="bottom"/>
          </w:tcPr>
          <w:p w14:paraId="3E147DC5"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lang w:val="en-SG"/>
                <w14:ligatures w14:val="standardContextual"/>
              </w:rPr>
              <w:t>4.47</w:t>
            </w:r>
          </w:p>
        </w:tc>
      </w:tr>
    </w:tbl>
    <w:p w14:paraId="61AFD558" w14:textId="77777777" w:rsidR="001B39BA" w:rsidRPr="001B39BA" w:rsidRDefault="001B39BA" w:rsidP="001B39BA">
      <w:pPr>
        <w:spacing w:line="360" w:lineRule="auto"/>
        <w:ind w:firstLine="720"/>
        <w:jc w:val="both"/>
        <w:rPr>
          <w:rFonts w:ascii="Arial" w:hAnsi="Arial" w:cs="Arial"/>
        </w:rPr>
      </w:pPr>
    </w:p>
    <w:p w14:paraId="31987C91"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 xml:space="preserve">Table 2 presents the level of guidance counselors’ compassion satisfaction. The results indicate a high level of compassion satisfaction (M = 4.47, SD = 0.54), suggesting that respondents generally experience strong fulfillment, purpose, and reward in their professional roles. The relatively low standard deviation indicates minimal variability in responses, implying that participants share a consistently positive perception of their work. This uniformity suggests that the rewarding aspects of helping students are commonly </w:t>
      </w:r>
      <w:r w:rsidRPr="001B39BA">
        <w:rPr>
          <w:rFonts w:ascii="Arial" w:hAnsi="Arial" w:cs="Arial"/>
        </w:rPr>
        <w:lastRenderedPageBreak/>
        <w:t>experienced among guidance counselors.</w:t>
      </w:r>
    </w:p>
    <w:p w14:paraId="1FFC447E" w14:textId="77777777" w:rsidR="001B39BA" w:rsidRDefault="001B39BA" w:rsidP="001B39BA">
      <w:pPr>
        <w:spacing w:line="360" w:lineRule="auto"/>
        <w:ind w:firstLine="720"/>
        <w:jc w:val="both"/>
        <w:rPr>
          <w:rFonts w:ascii="Arial" w:hAnsi="Arial" w:cs="Arial"/>
        </w:rPr>
      </w:pPr>
      <w:r w:rsidRPr="001B39BA">
        <w:rPr>
          <w:rFonts w:ascii="Arial" w:hAnsi="Arial" w:cs="Arial"/>
        </w:rPr>
        <w:t>Moreover, the skewness value of –1.07 indicates that responses are concentrated toward the higher end of the scale, with only a few respondents reporting moderate levels. As this value falls within acceptable limits, the distribution is considered sufficiently normal for subsequent inferential and structural analyses. Overall, the findings demonstrate that guidance counselors derive meaningful and rewarding experiences from their roles, reflecting a consistently high level of professional fulfillment.</w:t>
      </w:r>
    </w:p>
    <w:p w14:paraId="7B04D43A" w14:textId="77777777" w:rsidR="003D246B" w:rsidRDefault="003D246B" w:rsidP="003D246B">
      <w:pPr>
        <w:pStyle w:val="NoSpacing"/>
        <w:rPr>
          <w:rFonts w:ascii="Arial" w:hAnsi="Arial" w:cs="Arial"/>
        </w:rPr>
      </w:pPr>
    </w:p>
    <w:p w14:paraId="718416B4" w14:textId="77777777" w:rsidR="009C013D" w:rsidRDefault="009C013D" w:rsidP="003D246B">
      <w:pPr>
        <w:pStyle w:val="NoSpacing"/>
        <w:rPr>
          <w:rFonts w:ascii="Arial" w:hAnsi="Arial" w:cs="Arial"/>
        </w:rPr>
      </w:pPr>
    </w:p>
    <w:p w14:paraId="2BDC49B3" w14:textId="06D6D70D" w:rsidR="001B39BA" w:rsidRPr="003D246B" w:rsidRDefault="001B39BA" w:rsidP="003D246B">
      <w:pPr>
        <w:pStyle w:val="NoSpacing"/>
        <w:spacing w:line="276" w:lineRule="auto"/>
        <w:rPr>
          <w:rFonts w:ascii="Arial" w:hAnsi="Arial" w:cs="Arial"/>
        </w:rPr>
      </w:pPr>
      <w:r w:rsidRPr="003D246B">
        <w:rPr>
          <w:rFonts w:ascii="Arial" w:hAnsi="Arial" w:cs="Arial"/>
        </w:rPr>
        <w:t>Table</w:t>
      </w:r>
      <w:r w:rsidRPr="003D246B">
        <w:rPr>
          <w:rFonts w:ascii="Arial" w:hAnsi="Arial" w:cs="Arial"/>
          <w:spacing w:val="-2"/>
        </w:rPr>
        <w:t xml:space="preserve"> 3</w:t>
      </w:r>
    </w:p>
    <w:p w14:paraId="3D042D25" w14:textId="034EB25B" w:rsidR="001B39BA" w:rsidRPr="003D246B" w:rsidRDefault="001B39BA" w:rsidP="003D246B">
      <w:pPr>
        <w:pStyle w:val="NoSpacing"/>
        <w:spacing w:line="276" w:lineRule="auto"/>
        <w:rPr>
          <w:rFonts w:ascii="Arial" w:hAnsi="Arial" w:cs="Arial"/>
          <w:iCs/>
        </w:rPr>
      </w:pPr>
      <w:r w:rsidRPr="003D246B">
        <w:rPr>
          <w:rFonts w:ascii="Arial" w:hAnsi="Arial" w:cs="Arial"/>
          <w:iCs/>
        </w:rPr>
        <w:t>Level</w:t>
      </w:r>
      <w:r w:rsidRPr="003D246B">
        <w:rPr>
          <w:rFonts w:ascii="Arial" w:hAnsi="Arial" w:cs="Arial"/>
          <w:iCs/>
          <w:spacing w:val="-6"/>
        </w:rPr>
        <w:t xml:space="preserve"> </w:t>
      </w:r>
      <w:r w:rsidRPr="003D246B">
        <w:rPr>
          <w:rFonts w:ascii="Arial" w:hAnsi="Arial" w:cs="Arial"/>
          <w:iCs/>
        </w:rPr>
        <w:t>of</w:t>
      </w:r>
      <w:r w:rsidRPr="003D246B">
        <w:rPr>
          <w:rFonts w:ascii="Arial" w:hAnsi="Arial" w:cs="Arial"/>
          <w:iCs/>
          <w:spacing w:val="-8"/>
        </w:rPr>
        <w:t xml:space="preserve"> </w:t>
      </w:r>
      <w:r w:rsidRPr="003D246B">
        <w:rPr>
          <w:rFonts w:ascii="Arial" w:hAnsi="Arial" w:cs="Arial"/>
          <w:iCs/>
        </w:rPr>
        <w:t>Guidance</w:t>
      </w:r>
      <w:r w:rsidRPr="003D246B">
        <w:rPr>
          <w:rFonts w:ascii="Arial" w:hAnsi="Arial" w:cs="Arial"/>
          <w:iCs/>
          <w:spacing w:val="-4"/>
        </w:rPr>
        <w:t xml:space="preserve"> </w:t>
      </w:r>
      <w:r w:rsidRPr="003D246B">
        <w:rPr>
          <w:rFonts w:ascii="Arial" w:hAnsi="Arial" w:cs="Arial"/>
          <w:iCs/>
        </w:rPr>
        <w:t>Counselors'</w:t>
      </w:r>
      <w:r w:rsidRPr="003D246B">
        <w:rPr>
          <w:rFonts w:ascii="Arial" w:hAnsi="Arial" w:cs="Arial"/>
          <w:iCs/>
          <w:spacing w:val="-8"/>
        </w:rPr>
        <w:t xml:space="preserve"> </w:t>
      </w:r>
      <w:r w:rsidRPr="003D246B">
        <w:rPr>
          <w:rFonts w:ascii="Arial" w:hAnsi="Arial" w:cs="Arial"/>
          <w:iCs/>
        </w:rPr>
        <w:t>Compassion Fatigue</w:t>
      </w:r>
    </w:p>
    <w:tbl>
      <w:tblPr>
        <w:tblStyle w:val="PlainTable2"/>
        <w:tblW w:w="8647" w:type="dxa"/>
        <w:tblLook w:val="04A0" w:firstRow="1" w:lastRow="0" w:firstColumn="1" w:lastColumn="0" w:noHBand="0" w:noVBand="1"/>
      </w:tblPr>
      <w:tblGrid>
        <w:gridCol w:w="3119"/>
        <w:gridCol w:w="1134"/>
        <w:gridCol w:w="992"/>
        <w:gridCol w:w="1701"/>
        <w:gridCol w:w="1701"/>
      </w:tblGrid>
      <w:tr w:rsidR="001B39BA" w:rsidRPr="001B39BA" w14:paraId="2CFAFF81" w14:textId="77777777" w:rsidTr="00570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tcBorders>
          </w:tcPr>
          <w:p w14:paraId="6444CB77" w14:textId="77777777" w:rsidR="001B39BA" w:rsidRPr="001B39BA" w:rsidRDefault="001B39BA" w:rsidP="001B39BA">
            <w:pPr>
              <w:widowControl/>
              <w:autoSpaceDE/>
              <w:autoSpaceDN/>
              <w:spacing w:line="360" w:lineRule="auto"/>
              <w:jc w:val="both"/>
              <w:rPr>
                <w:rFonts w:ascii="Arial" w:eastAsiaTheme="minorHAnsi" w:hAnsi="Arial" w:cs="Arial"/>
                <w:kern w:val="2"/>
                <w14:ligatures w14:val="standardContextual"/>
              </w:rPr>
            </w:pPr>
          </w:p>
          <w:p w14:paraId="3E3E8B11" w14:textId="77777777" w:rsidR="001B39BA" w:rsidRPr="001B39BA" w:rsidRDefault="001B39BA" w:rsidP="001B39BA">
            <w:pPr>
              <w:widowControl/>
              <w:autoSpaceDE/>
              <w:autoSpaceDN/>
              <w:spacing w:line="360" w:lineRule="auto"/>
              <w:jc w:val="both"/>
              <w:rPr>
                <w:rFonts w:ascii="Arial" w:eastAsiaTheme="minorHAnsi" w:hAnsi="Arial" w:cs="Arial"/>
                <w:kern w:val="2"/>
                <w14:ligatures w14:val="standardContextual"/>
              </w:rPr>
            </w:pPr>
          </w:p>
        </w:tc>
        <w:tc>
          <w:tcPr>
            <w:tcW w:w="1134" w:type="dxa"/>
            <w:tcBorders>
              <w:top w:val="single" w:sz="4" w:space="0" w:color="auto"/>
              <w:bottom w:val="single" w:sz="4" w:space="0" w:color="auto"/>
            </w:tcBorders>
          </w:tcPr>
          <w:p w14:paraId="0069E82A" w14:textId="77777777" w:rsidR="001B39BA" w:rsidRPr="001B39BA" w:rsidRDefault="001B39BA" w:rsidP="001B39BA">
            <w:pPr>
              <w:widowControl/>
              <w:autoSpaceDE/>
              <w:autoSpaceDN/>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Mean</w:t>
            </w:r>
          </w:p>
        </w:tc>
        <w:tc>
          <w:tcPr>
            <w:tcW w:w="992" w:type="dxa"/>
            <w:tcBorders>
              <w:top w:val="single" w:sz="4" w:space="0" w:color="auto"/>
              <w:bottom w:val="single" w:sz="4" w:space="0" w:color="auto"/>
            </w:tcBorders>
          </w:tcPr>
          <w:p w14:paraId="79FC56B1" w14:textId="77777777" w:rsidR="001B39BA" w:rsidRPr="001B39BA" w:rsidRDefault="001B39BA" w:rsidP="001B39BA">
            <w:pPr>
              <w:widowControl/>
              <w:autoSpaceDE/>
              <w:autoSpaceDN/>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SD</w:t>
            </w:r>
          </w:p>
        </w:tc>
        <w:tc>
          <w:tcPr>
            <w:tcW w:w="1701" w:type="dxa"/>
            <w:tcBorders>
              <w:top w:val="single" w:sz="4" w:space="0" w:color="auto"/>
              <w:bottom w:val="single" w:sz="4" w:space="0" w:color="auto"/>
            </w:tcBorders>
          </w:tcPr>
          <w:p w14:paraId="6096B06C" w14:textId="77777777" w:rsidR="001B39BA" w:rsidRPr="001B39BA" w:rsidRDefault="001B39BA" w:rsidP="001B39BA">
            <w:pPr>
              <w:widowControl/>
              <w:autoSpaceDE/>
              <w:autoSpaceDN/>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Interpretation</w:t>
            </w:r>
          </w:p>
        </w:tc>
        <w:tc>
          <w:tcPr>
            <w:tcW w:w="1701" w:type="dxa"/>
            <w:tcBorders>
              <w:top w:val="single" w:sz="4" w:space="0" w:color="auto"/>
              <w:bottom w:val="single" w:sz="4" w:space="0" w:color="auto"/>
            </w:tcBorders>
          </w:tcPr>
          <w:p w14:paraId="0FFB0BA9" w14:textId="77777777" w:rsidR="001B39BA" w:rsidRPr="001B39BA" w:rsidRDefault="001B39BA" w:rsidP="001B39BA">
            <w:pPr>
              <w:widowControl/>
              <w:autoSpaceDE/>
              <w:autoSpaceDN/>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Skewness</w:t>
            </w:r>
          </w:p>
        </w:tc>
      </w:tr>
      <w:tr w:rsidR="001B39BA" w:rsidRPr="001B39BA" w14:paraId="0A53E97D" w14:textId="77777777" w:rsidTr="00570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nil"/>
            </w:tcBorders>
          </w:tcPr>
          <w:p w14:paraId="3428B8AD" w14:textId="77777777" w:rsidR="001B39BA" w:rsidRPr="001B39BA" w:rsidRDefault="001B39BA" w:rsidP="001B39BA">
            <w:pPr>
              <w:widowControl/>
              <w:autoSpaceDE/>
              <w:autoSpaceDN/>
              <w:spacing w:line="360" w:lineRule="auto"/>
              <w:jc w:val="both"/>
              <w:rPr>
                <w:rFonts w:ascii="Arial" w:eastAsiaTheme="minorHAnsi" w:hAnsi="Arial" w:cs="Arial"/>
                <w:kern w:val="2"/>
                <w14:ligatures w14:val="standardContextual"/>
              </w:rPr>
            </w:pPr>
          </w:p>
          <w:p w14:paraId="1941A343" w14:textId="77777777" w:rsidR="001B39BA" w:rsidRPr="001B39BA" w:rsidRDefault="001B39BA" w:rsidP="001B39BA">
            <w:pPr>
              <w:widowControl/>
              <w:autoSpaceDE/>
              <w:autoSpaceDN/>
              <w:spacing w:line="360" w:lineRule="auto"/>
              <w:jc w:val="both"/>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Burnout</w:t>
            </w:r>
          </w:p>
        </w:tc>
        <w:tc>
          <w:tcPr>
            <w:tcW w:w="1134" w:type="dxa"/>
            <w:tcBorders>
              <w:top w:val="single" w:sz="4" w:space="0" w:color="auto"/>
              <w:bottom w:val="nil"/>
            </w:tcBorders>
          </w:tcPr>
          <w:p w14:paraId="0620EFB9"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lang w:val="en-SG"/>
                <w14:ligatures w14:val="standardContextual"/>
              </w:rPr>
            </w:pPr>
          </w:p>
          <w:p w14:paraId="38995064"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lang w:val="en-SG"/>
                <w14:ligatures w14:val="standardContextual"/>
              </w:rPr>
              <w:t>24.61</w:t>
            </w:r>
          </w:p>
        </w:tc>
        <w:tc>
          <w:tcPr>
            <w:tcW w:w="992" w:type="dxa"/>
            <w:tcBorders>
              <w:top w:val="single" w:sz="4" w:space="0" w:color="auto"/>
              <w:bottom w:val="nil"/>
            </w:tcBorders>
          </w:tcPr>
          <w:p w14:paraId="6CADF167"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lang w:val="en-SG"/>
                <w14:ligatures w14:val="standardContextual"/>
              </w:rPr>
            </w:pPr>
          </w:p>
          <w:p w14:paraId="6812FDE4"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lang w:val="en-SG"/>
                <w14:ligatures w14:val="standardContextual"/>
              </w:rPr>
              <w:t>7.46</w:t>
            </w:r>
          </w:p>
        </w:tc>
        <w:tc>
          <w:tcPr>
            <w:tcW w:w="1701" w:type="dxa"/>
            <w:tcBorders>
              <w:top w:val="single" w:sz="4" w:space="0" w:color="auto"/>
              <w:bottom w:val="nil"/>
            </w:tcBorders>
          </w:tcPr>
          <w:p w14:paraId="3BA30F3C"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p>
          <w:p w14:paraId="798C50DA"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14:ligatures w14:val="standardContextual"/>
              </w:rPr>
              <w:t xml:space="preserve">Moderate </w:t>
            </w:r>
          </w:p>
        </w:tc>
        <w:tc>
          <w:tcPr>
            <w:tcW w:w="1701" w:type="dxa"/>
            <w:tcBorders>
              <w:top w:val="single" w:sz="4" w:space="0" w:color="auto"/>
              <w:bottom w:val="nil"/>
            </w:tcBorders>
          </w:tcPr>
          <w:p w14:paraId="1706B628"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lang w:val="en-SG"/>
                <w14:ligatures w14:val="standardContextual"/>
              </w:rPr>
            </w:pPr>
          </w:p>
          <w:p w14:paraId="7786D2DA" w14:textId="77777777" w:rsidR="001B39BA" w:rsidRPr="001B39BA" w:rsidRDefault="001B39BA" w:rsidP="001B39BA">
            <w:pPr>
              <w:widowControl/>
              <w:autoSpaceDE/>
              <w:autoSpaceDN/>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14:ligatures w14:val="standardContextual"/>
              </w:rPr>
            </w:pPr>
            <w:r w:rsidRPr="001B39BA">
              <w:rPr>
                <w:rFonts w:ascii="Arial" w:eastAsiaTheme="minorHAnsi" w:hAnsi="Arial" w:cs="Arial"/>
                <w:kern w:val="2"/>
                <w:lang w:val="en-SG"/>
                <w14:ligatures w14:val="standardContextual"/>
              </w:rPr>
              <w:t>0.18</w:t>
            </w:r>
          </w:p>
        </w:tc>
      </w:tr>
      <w:tr w:rsidR="001B39BA" w:rsidRPr="001B39BA" w14:paraId="10CC3BA7" w14:textId="77777777" w:rsidTr="005703E4">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auto"/>
            </w:tcBorders>
          </w:tcPr>
          <w:p w14:paraId="5031104A" w14:textId="77777777" w:rsidR="001B39BA" w:rsidRPr="001B39BA" w:rsidRDefault="001B39BA" w:rsidP="001B39BA">
            <w:pPr>
              <w:widowControl/>
              <w:autoSpaceDE/>
              <w:autoSpaceDN/>
              <w:spacing w:line="360" w:lineRule="auto"/>
              <w:jc w:val="both"/>
              <w:rPr>
                <w:rFonts w:ascii="Arial" w:eastAsiaTheme="minorHAnsi" w:hAnsi="Arial" w:cs="Arial"/>
                <w:kern w:val="2"/>
                <w14:ligatures w14:val="standardContextual"/>
              </w:rPr>
            </w:pPr>
          </w:p>
          <w:p w14:paraId="054AC359" w14:textId="77777777" w:rsidR="001B39BA" w:rsidRPr="001B39BA" w:rsidRDefault="001B39BA" w:rsidP="001B39BA">
            <w:pPr>
              <w:widowControl/>
              <w:autoSpaceDE/>
              <w:autoSpaceDN/>
              <w:spacing w:line="360" w:lineRule="auto"/>
              <w:jc w:val="both"/>
              <w:rPr>
                <w:rFonts w:ascii="Arial" w:eastAsiaTheme="minorHAnsi" w:hAnsi="Arial" w:cs="Arial"/>
                <w:kern w:val="2"/>
                <w14:ligatures w14:val="standardContextual"/>
              </w:rPr>
            </w:pPr>
            <w:r w:rsidRPr="001B39BA">
              <w:rPr>
                <w:rFonts w:ascii="Arial" w:eastAsiaTheme="minorHAnsi" w:hAnsi="Arial" w:cs="Arial"/>
                <w:b w:val="0"/>
                <w:bCs w:val="0"/>
                <w:kern w:val="2"/>
                <w14:ligatures w14:val="standardContextual"/>
              </w:rPr>
              <w:t>Secondary Traumatic Stress</w:t>
            </w:r>
          </w:p>
        </w:tc>
        <w:tc>
          <w:tcPr>
            <w:tcW w:w="1134" w:type="dxa"/>
            <w:tcBorders>
              <w:top w:val="nil"/>
              <w:bottom w:val="single" w:sz="4" w:space="0" w:color="auto"/>
            </w:tcBorders>
          </w:tcPr>
          <w:p w14:paraId="2034E65B" w14:textId="77777777" w:rsidR="001B39BA" w:rsidRPr="001B39BA" w:rsidRDefault="001B39BA" w:rsidP="001B39BA">
            <w:pPr>
              <w:widowControl/>
              <w:autoSpaceDE/>
              <w:autoSpaceDN/>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lang w:val="en-SG"/>
                <w14:ligatures w14:val="standardContextual"/>
              </w:rPr>
            </w:pPr>
          </w:p>
          <w:p w14:paraId="2875ED4D" w14:textId="77777777" w:rsidR="001B39BA" w:rsidRPr="001B39BA" w:rsidRDefault="001B39BA" w:rsidP="001B39BA">
            <w:pPr>
              <w:widowControl/>
              <w:autoSpaceDE/>
              <w:autoSpaceDN/>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23.93</w:t>
            </w:r>
          </w:p>
        </w:tc>
        <w:tc>
          <w:tcPr>
            <w:tcW w:w="992" w:type="dxa"/>
            <w:tcBorders>
              <w:top w:val="nil"/>
              <w:bottom w:val="single" w:sz="4" w:space="0" w:color="auto"/>
            </w:tcBorders>
          </w:tcPr>
          <w:p w14:paraId="4F1D7E4F" w14:textId="77777777" w:rsidR="001B39BA" w:rsidRPr="001B39BA" w:rsidRDefault="001B39BA" w:rsidP="001B39BA">
            <w:pPr>
              <w:widowControl/>
              <w:autoSpaceDE/>
              <w:autoSpaceDN/>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lang w:val="en-SG"/>
                <w14:ligatures w14:val="standardContextual"/>
              </w:rPr>
            </w:pPr>
          </w:p>
          <w:p w14:paraId="398386A6" w14:textId="77777777" w:rsidR="001B39BA" w:rsidRPr="001B39BA" w:rsidRDefault="001B39BA" w:rsidP="001B39BA">
            <w:pPr>
              <w:widowControl/>
              <w:autoSpaceDE/>
              <w:autoSpaceDN/>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7.26</w:t>
            </w:r>
          </w:p>
        </w:tc>
        <w:tc>
          <w:tcPr>
            <w:tcW w:w="1701" w:type="dxa"/>
            <w:tcBorders>
              <w:top w:val="nil"/>
              <w:bottom w:val="single" w:sz="4" w:space="0" w:color="auto"/>
            </w:tcBorders>
          </w:tcPr>
          <w:p w14:paraId="05D16201" w14:textId="77777777" w:rsidR="001B39BA" w:rsidRPr="001B39BA" w:rsidRDefault="001B39BA" w:rsidP="001B39BA">
            <w:pPr>
              <w:widowControl/>
              <w:autoSpaceDE/>
              <w:autoSpaceDN/>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lang w:val="en-SG"/>
                <w14:ligatures w14:val="standardContextual"/>
              </w:rPr>
            </w:pPr>
          </w:p>
          <w:p w14:paraId="4CA96FB8" w14:textId="77777777" w:rsidR="001B39BA" w:rsidRPr="001B39BA" w:rsidRDefault="001B39BA" w:rsidP="001B39BA">
            <w:pPr>
              <w:widowControl/>
              <w:autoSpaceDE/>
              <w:autoSpaceDN/>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Moderate</w:t>
            </w:r>
          </w:p>
        </w:tc>
        <w:tc>
          <w:tcPr>
            <w:tcW w:w="1701" w:type="dxa"/>
            <w:tcBorders>
              <w:top w:val="nil"/>
              <w:bottom w:val="single" w:sz="4" w:space="0" w:color="auto"/>
            </w:tcBorders>
          </w:tcPr>
          <w:p w14:paraId="1B2FB7E5" w14:textId="77777777" w:rsidR="001B39BA" w:rsidRPr="001B39BA" w:rsidRDefault="001B39BA" w:rsidP="001B39BA">
            <w:pPr>
              <w:widowControl/>
              <w:autoSpaceDE/>
              <w:autoSpaceDN/>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lang w:val="en-SG"/>
                <w14:ligatures w14:val="standardContextual"/>
              </w:rPr>
            </w:pPr>
          </w:p>
          <w:p w14:paraId="10AE7BB3" w14:textId="77777777" w:rsidR="001B39BA" w:rsidRPr="001B39BA" w:rsidRDefault="001B39BA" w:rsidP="001B39BA">
            <w:pPr>
              <w:widowControl/>
              <w:autoSpaceDE/>
              <w:autoSpaceDN/>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0.74</w:t>
            </w:r>
          </w:p>
        </w:tc>
      </w:tr>
    </w:tbl>
    <w:p w14:paraId="06191CEF" w14:textId="77777777" w:rsidR="001B39BA" w:rsidRPr="001B39BA" w:rsidRDefault="001B39BA" w:rsidP="001B39BA">
      <w:pPr>
        <w:spacing w:line="360" w:lineRule="auto"/>
        <w:ind w:firstLine="720"/>
        <w:jc w:val="both"/>
        <w:rPr>
          <w:rFonts w:ascii="Arial" w:hAnsi="Arial" w:cs="Arial"/>
        </w:rPr>
      </w:pPr>
    </w:p>
    <w:p w14:paraId="0C77B732"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 xml:space="preserve">Table 3 presents the level of compassion fatigue among guidance counselors. The findings indicate moderate levels of compassion fatigue, as reflected in burnout (M = 24.61, SD = 7.46) and secondary traumatic stress (M = 23.93, SD = 7.26). These results suggest the presence of manageable emotional and mental strain associated with professional responsibilities rather than severe psychological distress. Comparatively, burnout is slightly higher than secondary traumatic stress, indicating that guidance counselors may be more affected by ongoing work demands, such as workload and role-related pressures, than by indirect exposure to students’ traumatic experiences. </w:t>
      </w:r>
    </w:p>
    <w:p w14:paraId="28B7E046"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 xml:space="preserve">The standard deviation values reflect moderate variability, suggesting that while most respondents fall within the moderate range, some experience higher or lower levels of fatigue. However, this variation is not substantial, indicating a generally consistent pattern across participants. Furthermore, skewness values for burnout (0.18) and secondary traumatic stress (0.74) show a slight concentration of responses toward the lower end of the moderate range. As these values fall within acceptable limits, the data are considered sufficiently normal and appropriate for subsequent inferential and structural analyses. </w:t>
      </w:r>
    </w:p>
    <w:p w14:paraId="3FE79E82"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 xml:space="preserve">Overall, the findings indicate that guidance counselors experience noticeable but </w:t>
      </w:r>
      <w:r w:rsidRPr="001B39BA">
        <w:rPr>
          <w:rFonts w:ascii="Arial" w:hAnsi="Arial" w:cs="Arial"/>
        </w:rPr>
        <w:lastRenderedPageBreak/>
        <w:t>manageable levels of compassion fatigue, primarily associated with routine work demands. This underscores the importance of providing support mechanisms to help counselors effectively manage daily occupational stressors.</w:t>
      </w:r>
    </w:p>
    <w:p w14:paraId="33B8C3AF" w14:textId="77777777" w:rsidR="001B39BA" w:rsidRPr="001B39BA" w:rsidRDefault="001B39BA" w:rsidP="001B39BA">
      <w:pPr>
        <w:spacing w:line="360" w:lineRule="auto"/>
        <w:jc w:val="both"/>
        <w:rPr>
          <w:rFonts w:ascii="Arial" w:hAnsi="Arial" w:cs="Arial"/>
          <w:lang w:val="en-SG"/>
        </w:rPr>
      </w:pPr>
    </w:p>
    <w:p w14:paraId="5237DDF9"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Table 4</w:t>
      </w:r>
    </w:p>
    <w:p w14:paraId="444B8BA6" w14:textId="77777777" w:rsidR="001B39BA" w:rsidRPr="001B39BA" w:rsidRDefault="001B39BA" w:rsidP="001B39BA">
      <w:pPr>
        <w:spacing w:line="360" w:lineRule="auto"/>
        <w:rPr>
          <w:rFonts w:ascii="Arial" w:hAnsi="Arial" w:cs="Arial"/>
          <w:lang w:val="en-SG" w:eastAsia="en-SG"/>
        </w:rPr>
      </w:pPr>
      <w:r w:rsidRPr="001B39BA">
        <w:rPr>
          <w:rFonts w:ascii="Arial" w:hAnsi="Arial" w:cs="Arial"/>
          <w:lang w:val="en-SG" w:eastAsia="en-SG"/>
        </w:rPr>
        <w:t>Work-Specific Characteristics of Guidance Counselors’ Predicting Compassion Satisfaction</w:t>
      </w:r>
    </w:p>
    <w:tbl>
      <w:tblPr>
        <w:tblW w:w="8931" w:type="dxa"/>
        <w:tblLayout w:type="fixed"/>
        <w:tblLook w:val="04A0" w:firstRow="1" w:lastRow="0" w:firstColumn="1" w:lastColumn="0" w:noHBand="0" w:noVBand="1"/>
      </w:tblPr>
      <w:tblGrid>
        <w:gridCol w:w="1418"/>
        <w:gridCol w:w="1161"/>
        <w:gridCol w:w="859"/>
        <w:gridCol w:w="1149"/>
        <w:gridCol w:w="595"/>
        <w:gridCol w:w="595"/>
        <w:gridCol w:w="1169"/>
        <w:gridCol w:w="992"/>
        <w:gridCol w:w="993"/>
      </w:tblGrid>
      <w:tr w:rsidR="001B39BA" w:rsidRPr="001B39BA" w14:paraId="0B56B802" w14:textId="77777777" w:rsidTr="005703E4">
        <w:tc>
          <w:tcPr>
            <w:tcW w:w="1418" w:type="dxa"/>
            <w:tcBorders>
              <w:top w:val="single" w:sz="4" w:space="0" w:color="auto"/>
              <w:bottom w:val="single" w:sz="4" w:space="0" w:color="auto"/>
            </w:tcBorders>
            <w:vAlign w:val="center"/>
          </w:tcPr>
          <w:p w14:paraId="21393241"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Predictor Variables</w:t>
            </w:r>
          </w:p>
        </w:tc>
        <w:tc>
          <w:tcPr>
            <w:tcW w:w="1161" w:type="dxa"/>
            <w:tcBorders>
              <w:top w:val="single" w:sz="4" w:space="0" w:color="auto"/>
              <w:bottom w:val="single" w:sz="4" w:space="0" w:color="auto"/>
            </w:tcBorders>
            <w:vAlign w:val="center"/>
          </w:tcPr>
          <w:p w14:paraId="2A499E03"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Unstandardized Coefficient (B)</w:t>
            </w:r>
          </w:p>
        </w:tc>
        <w:tc>
          <w:tcPr>
            <w:tcW w:w="859" w:type="dxa"/>
            <w:tcBorders>
              <w:top w:val="single" w:sz="4" w:space="0" w:color="auto"/>
              <w:bottom w:val="single" w:sz="4" w:space="0" w:color="auto"/>
            </w:tcBorders>
            <w:vAlign w:val="center"/>
          </w:tcPr>
          <w:p w14:paraId="653FADFB"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Standard Error</w:t>
            </w:r>
          </w:p>
        </w:tc>
        <w:tc>
          <w:tcPr>
            <w:tcW w:w="1149" w:type="dxa"/>
            <w:tcBorders>
              <w:top w:val="single" w:sz="4" w:space="0" w:color="auto"/>
              <w:bottom w:val="single" w:sz="4" w:space="0" w:color="auto"/>
            </w:tcBorders>
            <w:vAlign w:val="center"/>
          </w:tcPr>
          <w:p w14:paraId="57026EAB"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Standardized Coefficient (β)</w:t>
            </w:r>
          </w:p>
        </w:tc>
        <w:tc>
          <w:tcPr>
            <w:tcW w:w="595" w:type="dxa"/>
            <w:tcBorders>
              <w:top w:val="single" w:sz="4" w:space="0" w:color="auto"/>
              <w:bottom w:val="single" w:sz="4" w:space="0" w:color="auto"/>
            </w:tcBorders>
            <w:vAlign w:val="center"/>
          </w:tcPr>
          <w:p w14:paraId="135C72F6"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t-value</w:t>
            </w:r>
          </w:p>
        </w:tc>
        <w:tc>
          <w:tcPr>
            <w:tcW w:w="595" w:type="dxa"/>
            <w:tcBorders>
              <w:top w:val="single" w:sz="4" w:space="0" w:color="auto"/>
              <w:bottom w:val="single" w:sz="4" w:space="0" w:color="auto"/>
            </w:tcBorders>
            <w:vAlign w:val="center"/>
          </w:tcPr>
          <w:p w14:paraId="5CB2FCDD"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p-value</w:t>
            </w:r>
          </w:p>
        </w:tc>
        <w:tc>
          <w:tcPr>
            <w:tcW w:w="1169" w:type="dxa"/>
            <w:tcBorders>
              <w:top w:val="single" w:sz="4" w:space="0" w:color="auto"/>
              <w:bottom w:val="single" w:sz="4" w:space="0" w:color="auto"/>
            </w:tcBorders>
            <w:vAlign w:val="center"/>
          </w:tcPr>
          <w:p w14:paraId="599B9EA6"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95% Confidence Interval (Lower)</w:t>
            </w:r>
          </w:p>
        </w:tc>
        <w:tc>
          <w:tcPr>
            <w:tcW w:w="992" w:type="dxa"/>
            <w:tcBorders>
              <w:top w:val="single" w:sz="4" w:space="0" w:color="auto"/>
              <w:bottom w:val="single" w:sz="4" w:space="0" w:color="auto"/>
            </w:tcBorders>
            <w:vAlign w:val="center"/>
          </w:tcPr>
          <w:p w14:paraId="42222384"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95% Confidence Interval (Upper)</w:t>
            </w:r>
          </w:p>
        </w:tc>
        <w:tc>
          <w:tcPr>
            <w:tcW w:w="993" w:type="dxa"/>
            <w:tcBorders>
              <w:top w:val="single" w:sz="4" w:space="0" w:color="auto"/>
              <w:bottom w:val="single" w:sz="4" w:space="0" w:color="auto"/>
            </w:tcBorders>
            <w:vAlign w:val="center"/>
          </w:tcPr>
          <w:p w14:paraId="32B9574B"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Variance Inflation Factor</w:t>
            </w:r>
          </w:p>
        </w:tc>
      </w:tr>
      <w:tr w:rsidR="001B39BA" w:rsidRPr="001B39BA" w14:paraId="5E25AF58" w14:textId="77777777" w:rsidTr="005703E4">
        <w:tc>
          <w:tcPr>
            <w:tcW w:w="1418" w:type="dxa"/>
            <w:tcBorders>
              <w:top w:val="single" w:sz="4" w:space="0" w:color="auto"/>
            </w:tcBorders>
            <w:vAlign w:val="center"/>
          </w:tcPr>
          <w:p w14:paraId="18DDDD73"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Constant</w:t>
            </w:r>
          </w:p>
        </w:tc>
        <w:tc>
          <w:tcPr>
            <w:tcW w:w="1161" w:type="dxa"/>
            <w:tcBorders>
              <w:top w:val="single" w:sz="4" w:space="0" w:color="auto"/>
            </w:tcBorders>
            <w:vAlign w:val="center"/>
          </w:tcPr>
          <w:p w14:paraId="12854B83"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7.55</w:t>
            </w:r>
          </w:p>
        </w:tc>
        <w:tc>
          <w:tcPr>
            <w:tcW w:w="859" w:type="dxa"/>
            <w:tcBorders>
              <w:top w:val="single" w:sz="4" w:space="0" w:color="auto"/>
            </w:tcBorders>
            <w:vAlign w:val="center"/>
          </w:tcPr>
          <w:p w14:paraId="1EAEA60D"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4.13</w:t>
            </w:r>
          </w:p>
        </w:tc>
        <w:tc>
          <w:tcPr>
            <w:tcW w:w="1149" w:type="dxa"/>
            <w:tcBorders>
              <w:top w:val="single" w:sz="4" w:space="0" w:color="auto"/>
            </w:tcBorders>
            <w:vAlign w:val="center"/>
          </w:tcPr>
          <w:p w14:paraId="2D2502D0"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w:t>
            </w:r>
          </w:p>
        </w:tc>
        <w:tc>
          <w:tcPr>
            <w:tcW w:w="595" w:type="dxa"/>
            <w:tcBorders>
              <w:top w:val="single" w:sz="4" w:space="0" w:color="auto"/>
            </w:tcBorders>
            <w:vAlign w:val="center"/>
          </w:tcPr>
          <w:p w14:paraId="7FE9A0FA"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1.83</w:t>
            </w:r>
          </w:p>
        </w:tc>
        <w:tc>
          <w:tcPr>
            <w:tcW w:w="595" w:type="dxa"/>
            <w:tcBorders>
              <w:top w:val="single" w:sz="4" w:space="0" w:color="auto"/>
            </w:tcBorders>
            <w:vAlign w:val="center"/>
          </w:tcPr>
          <w:p w14:paraId="40D19899"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.070</w:t>
            </w:r>
          </w:p>
        </w:tc>
        <w:tc>
          <w:tcPr>
            <w:tcW w:w="1169" w:type="dxa"/>
            <w:tcBorders>
              <w:top w:val="single" w:sz="4" w:space="0" w:color="auto"/>
            </w:tcBorders>
            <w:vAlign w:val="center"/>
          </w:tcPr>
          <w:p w14:paraId="43D7F023"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-0.63</w:t>
            </w:r>
          </w:p>
        </w:tc>
        <w:tc>
          <w:tcPr>
            <w:tcW w:w="992" w:type="dxa"/>
            <w:tcBorders>
              <w:top w:val="single" w:sz="4" w:space="0" w:color="auto"/>
            </w:tcBorders>
            <w:vAlign w:val="center"/>
          </w:tcPr>
          <w:p w14:paraId="4E243E4A"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15.73</w:t>
            </w:r>
          </w:p>
        </w:tc>
        <w:tc>
          <w:tcPr>
            <w:tcW w:w="993" w:type="dxa"/>
            <w:tcBorders>
              <w:top w:val="single" w:sz="4" w:space="0" w:color="auto"/>
            </w:tcBorders>
            <w:vAlign w:val="center"/>
          </w:tcPr>
          <w:p w14:paraId="5F7672F9"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w:t>
            </w:r>
          </w:p>
        </w:tc>
      </w:tr>
      <w:tr w:rsidR="001B39BA" w:rsidRPr="001B39BA" w14:paraId="4E59C54D" w14:textId="77777777" w:rsidTr="005703E4">
        <w:tc>
          <w:tcPr>
            <w:tcW w:w="1418" w:type="dxa"/>
            <w:vAlign w:val="center"/>
          </w:tcPr>
          <w:p w14:paraId="66C4AA98"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Empathetic Understanding</w:t>
            </w:r>
          </w:p>
        </w:tc>
        <w:tc>
          <w:tcPr>
            <w:tcW w:w="1161" w:type="dxa"/>
            <w:vAlign w:val="center"/>
          </w:tcPr>
          <w:p w14:paraId="21D16B14"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1.33</w:t>
            </w:r>
          </w:p>
        </w:tc>
        <w:tc>
          <w:tcPr>
            <w:tcW w:w="859" w:type="dxa"/>
            <w:vAlign w:val="center"/>
          </w:tcPr>
          <w:p w14:paraId="7A059A48"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1.28</w:t>
            </w:r>
          </w:p>
        </w:tc>
        <w:tc>
          <w:tcPr>
            <w:tcW w:w="1149" w:type="dxa"/>
            <w:vAlign w:val="center"/>
          </w:tcPr>
          <w:p w14:paraId="43FCA8F4"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.12</w:t>
            </w:r>
          </w:p>
        </w:tc>
        <w:tc>
          <w:tcPr>
            <w:tcW w:w="595" w:type="dxa"/>
            <w:vAlign w:val="center"/>
          </w:tcPr>
          <w:p w14:paraId="4EEA6897"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1.04</w:t>
            </w:r>
          </w:p>
        </w:tc>
        <w:tc>
          <w:tcPr>
            <w:tcW w:w="595" w:type="dxa"/>
            <w:vAlign w:val="center"/>
          </w:tcPr>
          <w:p w14:paraId="11BB3B6E"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.300</w:t>
            </w:r>
          </w:p>
        </w:tc>
        <w:tc>
          <w:tcPr>
            <w:tcW w:w="1169" w:type="dxa"/>
            <w:vAlign w:val="center"/>
          </w:tcPr>
          <w:p w14:paraId="56E3A4E1"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-1.20</w:t>
            </w:r>
          </w:p>
        </w:tc>
        <w:tc>
          <w:tcPr>
            <w:tcW w:w="992" w:type="dxa"/>
            <w:vAlign w:val="center"/>
          </w:tcPr>
          <w:p w14:paraId="7639353C"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3.86</w:t>
            </w:r>
          </w:p>
        </w:tc>
        <w:tc>
          <w:tcPr>
            <w:tcW w:w="993" w:type="dxa"/>
            <w:vAlign w:val="center"/>
          </w:tcPr>
          <w:p w14:paraId="0BBC3569"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2.79</w:t>
            </w:r>
          </w:p>
        </w:tc>
      </w:tr>
      <w:tr w:rsidR="001B39BA" w:rsidRPr="001B39BA" w14:paraId="6CD79EBE" w14:textId="77777777" w:rsidTr="005703E4">
        <w:tc>
          <w:tcPr>
            <w:tcW w:w="1418" w:type="dxa"/>
            <w:vAlign w:val="center"/>
          </w:tcPr>
          <w:p w14:paraId="64F2F1BD"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Genuineness</w:t>
            </w:r>
          </w:p>
        </w:tc>
        <w:tc>
          <w:tcPr>
            <w:tcW w:w="1161" w:type="dxa"/>
            <w:vAlign w:val="center"/>
          </w:tcPr>
          <w:p w14:paraId="5730C689"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2.82</w:t>
            </w:r>
          </w:p>
        </w:tc>
        <w:tc>
          <w:tcPr>
            <w:tcW w:w="859" w:type="dxa"/>
            <w:vAlign w:val="center"/>
          </w:tcPr>
          <w:p w14:paraId="053D5EAC"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1.17</w:t>
            </w:r>
          </w:p>
        </w:tc>
        <w:tc>
          <w:tcPr>
            <w:tcW w:w="1149" w:type="dxa"/>
            <w:vAlign w:val="center"/>
          </w:tcPr>
          <w:p w14:paraId="1E65AB5A"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.29</w:t>
            </w:r>
          </w:p>
        </w:tc>
        <w:tc>
          <w:tcPr>
            <w:tcW w:w="595" w:type="dxa"/>
            <w:vAlign w:val="center"/>
          </w:tcPr>
          <w:p w14:paraId="3D6B5E62"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2.40</w:t>
            </w:r>
          </w:p>
        </w:tc>
        <w:tc>
          <w:tcPr>
            <w:tcW w:w="595" w:type="dxa"/>
            <w:vAlign w:val="center"/>
          </w:tcPr>
          <w:p w14:paraId="5B10A267"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.018</w:t>
            </w:r>
          </w:p>
        </w:tc>
        <w:tc>
          <w:tcPr>
            <w:tcW w:w="1169" w:type="dxa"/>
            <w:vAlign w:val="center"/>
          </w:tcPr>
          <w:p w14:paraId="28332A3A"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0.49</w:t>
            </w:r>
          </w:p>
        </w:tc>
        <w:tc>
          <w:tcPr>
            <w:tcW w:w="992" w:type="dxa"/>
            <w:vAlign w:val="center"/>
          </w:tcPr>
          <w:p w14:paraId="4DE7C09F"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5.14</w:t>
            </w:r>
          </w:p>
        </w:tc>
        <w:tc>
          <w:tcPr>
            <w:tcW w:w="993" w:type="dxa"/>
            <w:vAlign w:val="center"/>
          </w:tcPr>
          <w:p w14:paraId="4ED56D86"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3.11</w:t>
            </w:r>
          </w:p>
        </w:tc>
      </w:tr>
      <w:tr w:rsidR="001B39BA" w:rsidRPr="001B39BA" w14:paraId="1C1F3792" w14:textId="77777777" w:rsidTr="005703E4">
        <w:tc>
          <w:tcPr>
            <w:tcW w:w="1418" w:type="dxa"/>
            <w:vAlign w:val="center"/>
          </w:tcPr>
          <w:p w14:paraId="26F1E2E6"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Non-Judgmental Attitude</w:t>
            </w:r>
          </w:p>
        </w:tc>
        <w:tc>
          <w:tcPr>
            <w:tcW w:w="1161" w:type="dxa"/>
            <w:vAlign w:val="center"/>
          </w:tcPr>
          <w:p w14:paraId="289A5F68"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-4.12</w:t>
            </w:r>
          </w:p>
        </w:tc>
        <w:tc>
          <w:tcPr>
            <w:tcW w:w="859" w:type="dxa"/>
            <w:vAlign w:val="center"/>
          </w:tcPr>
          <w:p w14:paraId="454AE80E"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1.84</w:t>
            </w:r>
          </w:p>
        </w:tc>
        <w:tc>
          <w:tcPr>
            <w:tcW w:w="1149" w:type="dxa"/>
            <w:vAlign w:val="center"/>
          </w:tcPr>
          <w:p w14:paraId="65B541AB"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-.35</w:t>
            </w:r>
          </w:p>
        </w:tc>
        <w:tc>
          <w:tcPr>
            <w:tcW w:w="595" w:type="dxa"/>
            <w:vAlign w:val="center"/>
          </w:tcPr>
          <w:p w14:paraId="75A51C21"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-2.24</w:t>
            </w:r>
          </w:p>
        </w:tc>
        <w:tc>
          <w:tcPr>
            <w:tcW w:w="595" w:type="dxa"/>
            <w:vAlign w:val="center"/>
          </w:tcPr>
          <w:p w14:paraId="5A35041D"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.027</w:t>
            </w:r>
          </w:p>
        </w:tc>
        <w:tc>
          <w:tcPr>
            <w:tcW w:w="1169" w:type="dxa"/>
            <w:vAlign w:val="center"/>
          </w:tcPr>
          <w:p w14:paraId="3EEBBC8E"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-7.75</w:t>
            </w:r>
          </w:p>
        </w:tc>
        <w:tc>
          <w:tcPr>
            <w:tcW w:w="992" w:type="dxa"/>
            <w:vAlign w:val="center"/>
          </w:tcPr>
          <w:p w14:paraId="74AD5C43"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-0.48</w:t>
            </w:r>
          </w:p>
        </w:tc>
        <w:tc>
          <w:tcPr>
            <w:tcW w:w="993" w:type="dxa"/>
            <w:vAlign w:val="center"/>
          </w:tcPr>
          <w:p w14:paraId="39B97DE3"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5.02</w:t>
            </w:r>
          </w:p>
        </w:tc>
      </w:tr>
      <w:tr w:rsidR="001B39BA" w:rsidRPr="001B39BA" w14:paraId="51673D76" w14:textId="77777777" w:rsidTr="005703E4">
        <w:tc>
          <w:tcPr>
            <w:tcW w:w="1418" w:type="dxa"/>
            <w:vAlign w:val="center"/>
          </w:tcPr>
          <w:p w14:paraId="74A3A82A"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Interpersonal Skills</w:t>
            </w:r>
          </w:p>
        </w:tc>
        <w:tc>
          <w:tcPr>
            <w:tcW w:w="1161" w:type="dxa"/>
            <w:vAlign w:val="center"/>
          </w:tcPr>
          <w:p w14:paraId="45774214"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6.57</w:t>
            </w:r>
          </w:p>
        </w:tc>
        <w:tc>
          <w:tcPr>
            <w:tcW w:w="859" w:type="dxa"/>
            <w:vAlign w:val="center"/>
          </w:tcPr>
          <w:p w14:paraId="0B2EC59F"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1.70</w:t>
            </w:r>
          </w:p>
        </w:tc>
        <w:tc>
          <w:tcPr>
            <w:tcW w:w="1149" w:type="dxa"/>
            <w:vAlign w:val="center"/>
          </w:tcPr>
          <w:p w14:paraId="1C601BC3"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.56</w:t>
            </w:r>
          </w:p>
        </w:tc>
        <w:tc>
          <w:tcPr>
            <w:tcW w:w="595" w:type="dxa"/>
            <w:vAlign w:val="center"/>
          </w:tcPr>
          <w:p w14:paraId="2E15C7C1"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3.86</w:t>
            </w:r>
          </w:p>
        </w:tc>
        <w:tc>
          <w:tcPr>
            <w:tcW w:w="595" w:type="dxa"/>
            <w:vAlign w:val="center"/>
          </w:tcPr>
          <w:p w14:paraId="149D0EA2"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&lt; .001</w:t>
            </w:r>
          </w:p>
        </w:tc>
        <w:tc>
          <w:tcPr>
            <w:tcW w:w="1169" w:type="dxa"/>
            <w:vAlign w:val="center"/>
          </w:tcPr>
          <w:p w14:paraId="68471652"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3.20</w:t>
            </w:r>
          </w:p>
        </w:tc>
        <w:tc>
          <w:tcPr>
            <w:tcW w:w="992" w:type="dxa"/>
            <w:vAlign w:val="center"/>
          </w:tcPr>
          <w:p w14:paraId="0A302DD8"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9.94</w:t>
            </w:r>
          </w:p>
        </w:tc>
        <w:tc>
          <w:tcPr>
            <w:tcW w:w="993" w:type="dxa"/>
            <w:vAlign w:val="center"/>
          </w:tcPr>
          <w:p w14:paraId="755B7A14"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4.38</w:t>
            </w:r>
          </w:p>
        </w:tc>
      </w:tr>
      <w:tr w:rsidR="001B39BA" w:rsidRPr="001B39BA" w14:paraId="0EC7C210" w14:textId="77777777" w:rsidTr="005703E4">
        <w:tc>
          <w:tcPr>
            <w:tcW w:w="1418" w:type="dxa"/>
            <w:vAlign w:val="center"/>
          </w:tcPr>
          <w:p w14:paraId="00ADBCCD"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Self-Compassion</w:t>
            </w:r>
          </w:p>
        </w:tc>
        <w:tc>
          <w:tcPr>
            <w:tcW w:w="1161" w:type="dxa"/>
            <w:vAlign w:val="center"/>
          </w:tcPr>
          <w:p w14:paraId="2430AB4A"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1.21</w:t>
            </w:r>
          </w:p>
        </w:tc>
        <w:tc>
          <w:tcPr>
            <w:tcW w:w="859" w:type="dxa"/>
            <w:vAlign w:val="center"/>
          </w:tcPr>
          <w:p w14:paraId="7A27ECCE"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0.87</w:t>
            </w:r>
          </w:p>
        </w:tc>
        <w:tc>
          <w:tcPr>
            <w:tcW w:w="1149" w:type="dxa"/>
            <w:vAlign w:val="center"/>
          </w:tcPr>
          <w:p w14:paraId="68B485A5"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.14</w:t>
            </w:r>
          </w:p>
        </w:tc>
        <w:tc>
          <w:tcPr>
            <w:tcW w:w="595" w:type="dxa"/>
            <w:vAlign w:val="center"/>
          </w:tcPr>
          <w:p w14:paraId="7077F543"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1.40</w:t>
            </w:r>
          </w:p>
        </w:tc>
        <w:tc>
          <w:tcPr>
            <w:tcW w:w="595" w:type="dxa"/>
            <w:vAlign w:val="center"/>
          </w:tcPr>
          <w:p w14:paraId="450901E0"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.165</w:t>
            </w:r>
          </w:p>
        </w:tc>
        <w:tc>
          <w:tcPr>
            <w:tcW w:w="1169" w:type="dxa"/>
            <w:vAlign w:val="center"/>
          </w:tcPr>
          <w:p w14:paraId="0599D601"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-0.50</w:t>
            </w:r>
          </w:p>
        </w:tc>
        <w:tc>
          <w:tcPr>
            <w:tcW w:w="992" w:type="dxa"/>
            <w:vAlign w:val="center"/>
          </w:tcPr>
          <w:p w14:paraId="79B39FDA"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2.92</w:t>
            </w:r>
          </w:p>
        </w:tc>
        <w:tc>
          <w:tcPr>
            <w:tcW w:w="993" w:type="dxa"/>
            <w:vAlign w:val="center"/>
          </w:tcPr>
          <w:p w14:paraId="7B0876F0"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2.02</w:t>
            </w:r>
          </w:p>
        </w:tc>
      </w:tr>
      <w:tr w:rsidR="001B39BA" w:rsidRPr="001B39BA" w14:paraId="311ED8CE" w14:textId="77777777" w:rsidTr="005703E4">
        <w:tc>
          <w:tcPr>
            <w:tcW w:w="1418" w:type="dxa"/>
            <w:vAlign w:val="center"/>
          </w:tcPr>
          <w:p w14:paraId="206C9071"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Constant</w:t>
            </w:r>
          </w:p>
        </w:tc>
        <w:tc>
          <w:tcPr>
            <w:tcW w:w="1161" w:type="dxa"/>
            <w:vAlign w:val="center"/>
          </w:tcPr>
          <w:p w14:paraId="7FEE1477"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7.55</w:t>
            </w:r>
          </w:p>
        </w:tc>
        <w:tc>
          <w:tcPr>
            <w:tcW w:w="859" w:type="dxa"/>
            <w:vAlign w:val="center"/>
          </w:tcPr>
          <w:p w14:paraId="6B941C21"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4.13</w:t>
            </w:r>
          </w:p>
        </w:tc>
        <w:tc>
          <w:tcPr>
            <w:tcW w:w="1149" w:type="dxa"/>
            <w:vAlign w:val="center"/>
          </w:tcPr>
          <w:p w14:paraId="2C08046B"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w:t>
            </w:r>
          </w:p>
        </w:tc>
        <w:tc>
          <w:tcPr>
            <w:tcW w:w="595" w:type="dxa"/>
            <w:vAlign w:val="center"/>
          </w:tcPr>
          <w:p w14:paraId="4A9E3C09"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1.83</w:t>
            </w:r>
          </w:p>
        </w:tc>
        <w:tc>
          <w:tcPr>
            <w:tcW w:w="595" w:type="dxa"/>
            <w:vAlign w:val="center"/>
          </w:tcPr>
          <w:p w14:paraId="337203D5"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.070</w:t>
            </w:r>
          </w:p>
        </w:tc>
        <w:tc>
          <w:tcPr>
            <w:tcW w:w="1169" w:type="dxa"/>
            <w:vAlign w:val="center"/>
          </w:tcPr>
          <w:p w14:paraId="3809BEB2"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-0.63</w:t>
            </w:r>
          </w:p>
        </w:tc>
        <w:tc>
          <w:tcPr>
            <w:tcW w:w="992" w:type="dxa"/>
            <w:vAlign w:val="center"/>
          </w:tcPr>
          <w:p w14:paraId="68E594F8"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15.73</w:t>
            </w:r>
          </w:p>
        </w:tc>
        <w:tc>
          <w:tcPr>
            <w:tcW w:w="993" w:type="dxa"/>
            <w:vAlign w:val="center"/>
          </w:tcPr>
          <w:p w14:paraId="4A90D3EC"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w:t>
            </w:r>
          </w:p>
        </w:tc>
      </w:tr>
      <w:tr w:rsidR="001B39BA" w:rsidRPr="001B39BA" w14:paraId="3C7D18D0" w14:textId="77777777" w:rsidTr="005703E4">
        <w:tc>
          <w:tcPr>
            <w:tcW w:w="1418" w:type="dxa"/>
            <w:tcBorders>
              <w:bottom w:val="single" w:sz="4" w:space="0" w:color="auto"/>
            </w:tcBorders>
            <w:vAlign w:val="center"/>
          </w:tcPr>
          <w:p w14:paraId="07702909"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Empathetic Understanding</w:t>
            </w:r>
          </w:p>
        </w:tc>
        <w:tc>
          <w:tcPr>
            <w:tcW w:w="1161" w:type="dxa"/>
            <w:tcBorders>
              <w:bottom w:val="single" w:sz="4" w:space="0" w:color="auto"/>
            </w:tcBorders>
            <w:vAlign w:val="center"/>
          </w:tcPr>
          <w:p w14:paraId="74E2FBB5"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1.33</w:t>
            </w:r>
          </w:p>
        </w:tc>
        <w:tc>
          <w:tcPr>
            <w:tcW w:w="859" w:type="dxa"/>
            <w:tcBorders>
              <w:bottom w:val="single" w:sz="4" w:space="0" w:color="auto"/>
            </w:tcBorders>
            <w:vAlign w:val="center"/>
          </w:tcPr>
          <w:p w14:paraId="42DF4CDC"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1.28</w:t>
            </w:r>
          </w:p>
        </w:tc>
        <w:tc>
          <w:tcPr>
            <w:tcW w:w="1149" w:type="dxa"/>
            <w:tcBorders>
              <w:bottom w:val="single" w:sz="4" w:space="0" w:color="auto"/>
            </w:tcBorders>
            <w:vAlign w:val="center"/>
          </w:tcPr>
          <w:p w14:paraId="0B946260"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.12</w:t>
            </w:r>
          </w:p>
        </w:tc>
        <w:tc>
          <w:tcPr>
            <w:tcW w:w="595" w:type="dxa"/>
            <w:tcBorders>
              <w:bottom w:val="single" w:sz="4" w:space="0" w:color="auto"/>
            </w:tcBorders>
            <w:vAlign w:val="center"/>
          </w:tcPr>
          <w:p w14:paraId="568EB72B"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1.04</w:t>
            </w:r>
          </w:p>
        </w:tc>
        <w:tc>
          <w:tcPr>
            <w:tcW w:w="595" w:type="dxa"/>
            <w:tcBorders>
              <w:bottom w:val="single" w:sz="4" w:space="0" w:color="auto"/>
            </w:tcBorders>
            <w:vAlign w:val="center"/>
          </w:tcPr>
          <w:p w14:paraId="3C15D299"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.300</w:t>
            </w:r>
          </w:p>
        </w:tc>
        <w:tc>
          <w:tcPr>
            <w:tcW w:w="1169" w:type="dxa"/>
            <w:tcBorders>
              <w:bottom w:val="single" w:sz="4" w:space="0" w:color="auto"/>
            </w:tcBorders>
            <w:vAlign w:val="center"/>
          </w:tcPr>
          <w:p w14:paraId="2C3D1997"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-1.20</w:t>
            </w:r>
          </w:p>
        </w:tc>
        <w:tc>
          <w:tcPr>
            <w:tcW w:w="992" w:type="dxa"/>
            <w:tcBorders>
              <w:bottom w:val="single" w:sz="4" w:space="0" w:color="auto"/>
            </w:tcBorders>
            <w:vAlign w:val="center"/>
          </w:tcPr>
          <w:p w14:paraId="3F0B7FCF"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3.86</w:t>
            </w:r>
          </w:p>
        </w:tc>
        <w:tc>
          <w:tcPr>
            <w:tcW w:w="993" w:type="dxa"/>
            <w:tcBorders>
              <w:bottom w:val="single" w:sz="4" w:space="0" w:color="auto"/>
            </w:tcBorders>
            <w:vAlign w:val="center"/>
          </w:tcPr>
          <w:p w14:paraId="37330CC1"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2.79</w:t>
            </w:r>
          </w:p>
        </w:tc>
      </w:tr>
    </w:tbl>
    <w:p w14:paraId="5131F6C5" w14:textId="77777777" w:rsidR="003D246B" w:rsidRDefault="003D246B" w:rsidP="001B39BA">
      <w:pPr>
        <w:spacing w:line="360" w:lineRule="auto"/>
        <w:ind w:firstLine="720"/>
        <w:jc w:val="both"/>
        <w:rPr>
          <w:rFonts w:ascii="Arial" w:hAnsi="Arial" w:cs="Arial"/>
        </w:rPr>
      </w:pPr>
    </w:p>
    <w:p w14:paraId="20E34CA1" w14:textId="3051E7AF" w:rsidR="001B39BA" w:rsidRPr="001B39BA" w:rsidRDefault="001B39BA" w:rsidP="001B39BA">
      <w:pPr>
        <w:spacing w:line="360" w:lineRule="auto"/>
        <w:ind w:firstLine="720"/>
        <w:jc w:val="both"/>
        <w:rPr>
          <w:rFonts w:ascii="Arial" w:eastAsia="Times New Roman" w:hAnsi="Arial" w:cs="Arial"/>
          <w:lang w:val="en-SG"/>
        </w:rPr>
      </w:pPr>
      <w:r w:rsidRPr="001B39BA">
        <w:rPr>
          <w:rFonts w:ascii="Arial" w:hAnsi="Arial" w:cs="Arial"/>
        </w:rPr>
        <w:lastRenderedPageBreak/>
        <w:t>Table 4 presents the predictive relationship between work-specific characteristics and guidance counselors’ compassion satisfaction. While multiple linear regression was initially employed to examine individual predictor effects, the results are interpreted in alignment with the study’s overall structural model to maintain theoretical consistency. Prior to analysis, all relevant assumptions, including linearity, normality of residuals, homoscedasticity, independence of errors, and absence of multicollinearity, were assessed and found to be met. Variance Inflation Factor (VIF) values fell within acceptable thresholds, indicating that multicollinearity was not a concern and that the data were appropriate for regression analysis.</w:t>
      </w:r>
    </w:p>
    <w:p w14:paraId="4AFF8FE2"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 xml:space="preserve">The model was statistically significant, </w:t>
      </w:r>
      <w:r w:rsidRPr="001B39BA">
        <w:rPr>
          <w:rFonts w:ascii="Arial" w:hAnsi="Arial" w:cs="Arial"/>
          <w:i/>
          <w:iCs/>
        </w:rPr>
        <w:t>F</w:t>
      </w:r>
      <w:r w:rsidRPr="001B39BA">
        <w:rPr>
          <w:rFonts w:ascii="Arial" w:hAnsi="Arial" w:cs="Arial"/>
        </w:rPr>
        <w:t xml:space="preserve"> = 14.83, </w:t>
      </w:r>
      <w:r w:rsidRPr="001B39BA">
        <w:rPr>
          <w:rFonts w:ascii="Arial" w:hAnsi="Arial" w:cs="Arial"/>
          <w:i/>
          <w:iCs/>
        </w:rPr>
        <w:t>p</w:t>
      </w:r>
      <w:r w:rsidRPr="001B39BA">
        <w:rPr>
          <w:rFonts w:ascii="Arial" w:hAnsi="Arial" w:cs="Arial"/>
        </w:rPr>
        <w:t xml:space="preserve"> &lt; .001, explaining 62% of the variance in compassion satisfaction</w:t>
      </w:r>
      <w:r w:rsidRPr="001B39BA">
        <w:rPr>
          <w:rFonts w:ascii="Arial" w:hAnsi="Arial" w:cs="Arial"/>
          <w:b/>
          <w:bCs/>
        </w:rPr>
        <w:t xml:space="preserve"> </w:t>
      </w:r>
      <w:r w:rsidRPr="001B39BA">
        <w:rPr>
          <w:rFonts w:ascii="Arial" w:hAnsi="Arial" w:cs="Arial"/>
        </w:rPr>
        <w:t>(</w:t>
      </w:r>
      <w:r w:rsidRPr="001B39BA">
        <w:rPr>
          <w:rFonts w:ascii="Arial" w:hAnsi="Arial" w:cs="Arial"/>
          <w:i/>
          <w:iCs/>
        </w:rPr>
        <w:t>R²</w:t>
      </w:r>
      <w:r w:rsidRPr="001B39BA">
        <w:rPr>
          <w:rFonts w:ascii="Arial" w:hAnsi="Arial" w:cs="Arial"/>
        </w:rPr>
        <w:t xml:space="preserve"> = .62; Adjusted </w:t>
      </w:r>
      <w:r w:rsidRPr="001B39BA">
        <w:rPr>
          <w:rFonts w:ascii="Arial" w:hAnsi="Arial" w:cs="Arial"/>
          <w:i/>
          <w:iCs/>
        </w:rPr>
        <w:t>R²</w:t>
      </w:r>
      <w:r w:rsidRPr="001B39BA">
        <w:rPr>
          <w:rFonts w:ascii="Arial" w:hAnsi="Arial" w:cs="Arial"/>
        </w:rPr>
        <w:t xml:space="preserve"> = .58). This indicates that work-specific characteristics play a substantial role in shaping guidance counselors’ level of professional fulfillment, although other contextual factors such as work environment and organizational support may also contribute. Among the predictors, interpersonal skills emerged as the strongest and most significant factor (β = .56, </w:t>
      </w:r>
      <w:r w:rsidRPr="001B39BA">
        <w:rPr>
          <w:rFonts w:ascii="Arial" w:hAnsi="Arial" w:cs="Arial"/>
          <w:i/>
          <w:iCs/>
        </w:rPr>
        <w:t>p</w:t>
      </w:r>
      <w:r w:rsidRPr="001B39BA">
        <w:rPr>
          <w:rFonts w:ascii="Arial" w:hAnsi="Arial" w:cs="Arial"/>
        </w:rPr>
        <w:t xml:space="preserve"> &lt; .001), indicating that guidance counselors with strong communication and relational abilities are more likely to experience higher levels of satisfaction. Similarly, genuineness demonstrated a significant positive effect (β = .29, </w:t>
      </w:r>
      <w:r w:rsidRPr="001B39BA">
        <w:rPr>
          <w:rFonts w:ascii="Arial" w:hAnsi="Arial" w:cs="Arial"/>
          <w:i/>
          <w:iCs/>
        </w:rPr>
        <w:t>p</w:t>
      </w:r>
      <w:r w:rsidRPr="001B39BA">
        <w:rPr>
          <w:rFonts w:ascii="Arial" w:hAnsi="Arial" w:cs="Arial"/>
        </w:rPr>
        <w:t xml:space="preserve"> = .018), suggesting that authenticity in counselor–client interactions enhances professional fulfillment.</w:t>
      </w:r>
    </w:p>
    <w:p w14:paraId="493FB14F"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 xml:space="preserve">In contrast, a non-judgmental attitude showed a significant negative effect (β = –.35, </w:t>
      </w:r>
      <w:r w:rsidRPr="001B39BA">
        <w:rPr>
          <w:rFonts w:ascii="Arial" w:hAnsi="Arial" w:cs="Arial"/>
          <w:i/>
          <w:iCs/>
        </w:rPr>
        <w:t>p</w:t>
      </w:r>
      <w:r w:rsidRPr="001B39BA">
        <w:rPr>
          <w:rFonts w:ascii="Arial" w:hAnsi="Arial" w:cs="Arial"/>
        </w:rPr>
        <w:t xml:space="preserve"> = .027). This finding may reflect the emotional demands associated with maintaining a consistently non-judgmental stance, particularly in complex or challenging counseling situations, which may, over time, reduce perceived satisfaction. Meanwhile, empathic understanding (β = .12, </w:t>
      </w:r>
      <w:r w:rsidRPr="001B39BA">
        <w:rPr>
          <w:rFonts w:ascii="Arial" w:hAnsi="Arial" w:cs="Arial"/>
          <w:i/>
          <w:iCs/>
        </w:rPr>
        <w:t>p</w:t>
      </w:r>
      <w:r w:rsidRPr="001B39BA">
        <w:rPr>
          <w:rFonts w:ascii="Arial" w:hAnsi="Arial" w:cs="Arial"/>
        </w:rPr>
        <w:t xml:space="preserve"> = .300) and self-compassion (β = .14, </w:t>
      </w:r>
      <w:r w:rsidRPr="001B39BA">
        <w:rPr>
          <w:rFonts w:ascii="Arial" w:hAnsi="Arial" w:cs="Arial"/>
          <w:i/>
          <w:iCs/>
        </w:rPr>
        <w:t>p</w:t>
      </w:r>
      <w:r w:rsidRPr="001B39BA">
        <w:rPr>
          <w:rFonts w:ascii="Arial" w:hAnsi="Arial" w:cs="Arial"/>
        </w:rPr>
        <w:t xml:space="preserve"> = .165) were not statistically significant predictors. This suggests that, when considered alongside stronger variables such as interpersonal skills, these characteristics do not independently contribute to variations in compassion satisfaction.</w:t>
      </w:r>
    </w:p>
    <w:p w14:paraId="2B82063B"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Overall, the findings indicate that work-specific characteristics collectively exert a significant influence on compassion satisfaction, with interpersonal skills and genuineness serving as the most salient predictors. These results support their role as key determinants of professional well-being among guidance counselors. Accordingly, the hypothesis stating that work-specific characteristics significantly influence compassion satisfaction is accepted.</w:t>
      </w:r>
    </w:p>
    <w:p w14:paraId="3635D9CE"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4AF17B8B"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lastRenderedPageBreak/>
        <w:t>Table 5</w:t>
      </w:r>
    </w:p>
    <w:p w14:paraId="5998692A" w14:textId="77777777" w:rsidR="001B39BA" w:rsidRPr="001B39BA" w:rsidRDefault="001B39BA" w:rsidP="001B39BA">
      <w:pPr>
        <w:spacing w:line="360" w:lineRule="auto"/>
        <w:rPr>
          <w:rFonts w:ascii="Arial" w:hAnsi="Arial" w:cs="Arial"/>
          <w:lang w:val="en-SG"/>
        </w:rPr>
      </w:pPr>
      <w:r w:rsidRPr="001B39BA">
        <w:rPr>
          <w:rFonts w:ascii="Arial" w:hAnsi="Arial" w:cs="Arial"/>
          <w:lang w:val="en-SG"/>
        </w:rPr>
        <w:t xml:space="preserve">Work-Specific Characteristics of Guidance Counselors’ Predicting Compassion Fatigue </w:t>
      </w:r>
    </w:p>
    <w:tbl>
      <w:tblPr>
        <w:tblW w:w="0" w:type="auto"/>
        <w:tblLook w:val="04A0" w:firstRow="1" w:lastRow="0" w:firstColumn="1" w:lastColumn="0" w:noHBand="0" w:noVBand="1"/>
      </w:tblPr>
      <w:tblGrid>
        <w:gridCol w:w="1647"/>
        <w:gridCol w:w="1757"/>
        <w:gridCol w:w="1111"/>
        <w:gridCol w:w="1513"/>
        <w:gridCol w:w="780"/>
        <w:gridCol w:w="760"/>
        <w:gridCol w:w="1072"/>
      </w:tblGrid>
      <w:tr w:rsidR="001B39BA" w:rsidRPr="001B39BA" w14:paraId="21ABCA83" w14:textId="77777777" w:rsidTr="005703E4">
        <w:tc>
          <w:tcPr>
            <w:tcW w:w="1517" w:type="dxa"/>
            <w:tcBorders>
              <w:top w:val="single" w:sz="4" w:space="0" w:color="auto"/>
              <w:bottom w:val="single" w:sz="4" w:space="0" w:color="auto"/>
            </w:tcBorders>
            <w:vAlign w:val="center"/>
          </w:tcPr>
          <w:p w14:paraId="470756E9"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Predictor Variables</w:t>
            </w:r>
          </w:p>
        </w:tc>
        <w:tc>
          <w:tcPr>
            <w:tcW w:w="1746" w:type="dxa"/>
            <w:tcBorders>
              <w:top w:val="single" w:sz="4" w:space="0" w:color="auto"/>
              <w:bottom w:val="single" w:sz="4" w:space="0" w:color="auto"/>
            </w:tcBorders>
            <w:vAlign w:val="center"/>
          </w:tcPr>
          <w:p w14:paraId="7F9DFCA3"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Unstandardized Coefficient (B)</w:t>
            </w:r>
          </w:p>
        </w:tc>
        <w:tc>
          <w:tcPr>
            <w:tcW w:w="1119" w:type="dxa"/>
            <w:tcBorders>
              <w:top w:val="single" w:sz="4" w:space="0" w:color="auto"/>
              <w:bottom w:val="single" w:sz="4" w:space="0" w:color="auto"/>
            </w:tcBorders>
            <w:vAlign w:val="center"/>
          </w:tcPr>
          <w:p w14:paraId="6AF1EACE"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Standard Error</w:t>
            </w:r>
          </w:p>
        </w:tc>
        <w:tc>
          <w:tcPr>
            <w:tcW w:w="1505" w:type="dxa"/>
            <w:tcBorders>
              <w:top w:val="single" w:sz="4" w:space="0" w:color="auto"/>
              <w:bottom w:val="single" w:sz="4" w:space="0" w:color="auto"/>
            </w:tcBorders>
            <w:vAlign w:val="center"/>
          </w:tcPr>
          <w:p w14:paraId="5DC9C8C3"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Standardized Coefficient (β)</w:t>
            </w:r>
          </w:p>
        </w:tc>
        <w:tc>
          <w:tcPr>
            <w:tcW w:w="833" w:type="dxa"/>
            <w:tcBorders>
              <w:top w:val="single" w:sz="4" w:space="0" w:color="auto"/>
              <w:bottom w:val="single" w:sz="4" w:space="0" w:color="auto"/>
            </w:tcBorders>
            <w:vAlign w:val="center"/>
          </w:tcPr>
          <w:p w14:paraId="2127B849"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t-value</w:t>
            </w:r>
          </w:p>
        </w:tc>
        <w:tc>
          <w:tcPr>
            <w:tcW w:w="832" w:type="dxa"/>
            <w:tcBorders>
              <w:top w:val="single" w:sz="4" w:space="0" w:color="auto"/>
              <w:bottom w:val="single" w:sz="4" w:space="0" w:color="auto"/>
            </w:tcBorders>
            <w:vAlign w:val="center"/>
          </w:tcPr>
          <w:p w14:paraId="0BD57B06"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p-value</w:t>
            </w:r>
          </w:p>
        </w:tc>
        <w:tc>
          <w:tcPr>
            <w:tcW w:w="1088" w:type="dxa"/>
            <w:tcBorders>
              <w:top w:val="single" w:sz="4" w:space="0" w:color="auto"/>
              <w:bottom w:val="single" w:sz="4" w:space="0" w:color="auto"/>
            </w:tcBorders>
            <w:vAlign w:val="center"/>
          </w:tcPr>
          <w:p w14:paraId="17DD58FE"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Variance Inflation Factor</w:t>
            </w:r>
          </w:p>
        </w:tc>
      </w:tr>
      <w:tr w:rsidR="001B39BA" w:rsidRPr="001B39BA" w14:paraId="46B2AE59" w14:textId="77777777" w:rsidTr="005703E4">
        <w:tc>
          <w:tcPr>
            <w:tcW w:w="1517" w:type="dxa"/>
            <w:tcBorders>
              <w:top w:val="single" w:sz="4" w:space="0" w:color="auto"/>
            </w:tcBorders>
            <w:vAlign w:val="center"/>
          </w:tcPr>
          <w:p w14:paraId="5684CCF2"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Constant</w:t>
            </w:r>
          </w:p>
        </w:tc>
        <w:tc>
          <w:tcPr>
            <w:tcW w:w="1746" w:type="dxa"/>
            <w:tcBorders>
              <w:top w:val="single" w:sz="4" w:space="0" w:color="auto"/>
            </w:tcBorders>
            <w:vAlign w:val="center"/>
          </w:tcPr>
          <w:p w14:paraId="3FB73316"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38.513</w:t>
            </w:r>
          </w:p>
        </w:tc>
        <w:tc>
          <w:tcPr>
            <w:tcW w:w="1119" w:type="dxa"/>
            <w:tcBorders>
              <w:top w:val="single" w:sz="4" w:space="0" w:color="auto"/>
            </w:tcBorders>
            <w:vAlign w:val="center"/>
          </w:tcPr>
          <w:p w14:paraId="722F9E4B"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8.556</w:t>
            </w:r>
          </w:p>
        </w:tc>
        <w:tc>
          <w:tcPr>
            <w:tcW w:w="1505" w:type="dxa"/>
            <w:tcBorders>
              <w:top w:val="single" w:sz="4" w:space="0" w:color="auto"/>
            </w:tcBorders>
            <w:vAlign w:val="center"/>
          </w:tcPr>
          <w:p w14:paraId="27D89224"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w:t>
            </w:r>
          </w:p>
        </w:tc>
        <w:tc>
          <w:tcPr>
            <w:tcW w:w="833" w:type="dxa"/>
            <w:tcBorders>
              <w:top w:val="single" w:sz="4" w:space="0" w:color="auto"/>
            </w:tcBorders>
            <w:vAlign w:val="center"/>
          </w:tcPr>
          <w:p w14:paraId="3A6B4253"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4.501</w:t>
            </w:r>
          </w:p>
        </w:tc>
        <w:tc>
          <w:tcPr>
            <w:tcW w:w="832" w:type="dxa"/>
            <w:tcBorders>
              <w:top w:val="single" w:sz="4" w:space="0" w:color="auto"/>
            </w:tcBorders>
            <w:vAlign w:val="center"/>
          </w:tcPr>
          <w:p w14:paraId="3FDC3C6D"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&lt; .001</w:t>
            </w:r>
          </w:p>
        </w:tc>
        <w:tc>
          <w:tcPr>
            <w:tcW w:w="1088" w:type="dxa"/>
            <w:tcBorders>
              <w:top w:val="single" w:sz="4" w:space="0" w:color="auto"/>
            </w:tcBorders>
            <w:vAlign w:val="center"/>
          </w:tcPr>
          <w:p w14:paraId="7F06E601"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w:t>
            </w:r>
          </w:p>
        </w:tc>
      </w:tr>
      <w:tr w:rsidR="001B39BA" w:rsidRPr="001B39BA" w14:paraId="1C132A66" w14:textId="77777777" w:rsidTr="005703E4">
        <w:tc>
          <w:tcPr>
            <w:tcW w:w="1517" w:type="dxa"/>
            <w:vAlign w:val="center"/>
          </w:tcPr>
          <w:p w14:paraId="4FD75B15"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Empathetic Understanding</w:t>
            </w:r>
          </w:p>
        </w:tc>
        <w:tc>
          <w:tcPr>
            <w:tcW w:w="1746" w:type="dxa"/>
            <w:vAlign w:val="center"/>
          </w:tcPr>
          <w:p w14:paraId="13CE0ACD"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1.012</w:t>
            </w:r>
          </w:p>
        </w:tc>
        <w:tc>
          <w:tcPr>
            <w:tcW w:w="1119" w:type="dxa"/>
            <w:vAlign w:val="center"/>
          </w:tcPr>
          <w:p w14:paraId="6281099A"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2.645</w:t>
            </w:r>
          </w:p>
        </w:tc>
        <w:tc>
          <w:tcPr>
            <w:tcW w:w="1505" w:type="dxa"/>
            <w:vAlign w:val="center"/>
          </w:tcPr>
          <w:p w14:paraId="0B5A3C74"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.059</w:t>
            </w:r>
          </w:p>
        </w:tc>
        <w:tc>
          <w:tcPr>
            <w:tcW w:w="833" w:type="dxa"/>
            <w:vAlign w:val="center"/>
          </w:tcPr>
          <w:p w14:paraId="1FCDEA03"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0.383</w:t>
            </w:r>
          </w:p>
        </w:tc>
        <w:tc>
          <w:tcPr>
            <w:tcW w:w="832" w:type="dxa"/>
            <w:vAlign w:val="center"/>
          </w:tcPr>
          <w:p w14:paraId="39972D96"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.703</w:t>
            </w:r>
          </w:p>
        </w:tc>
        <w:tc>
          <w:tcPr>
            <w:tcW w:w="1088" w:type="dxa"/>
            <w:vAlign w:val="center"/>
          </w:tcPr>
          <w:p w14:paraId="77BCABAE"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2.794</w:t>
            </w:r>
          </w:p>
        </w:tc>
      </w:tr>
      <w:tr w:rsidR="001B39BA" w:rsidRPr="001B39BA" w14:paraId="64F3469C" w14:textId="77777777" w:rsidTr="005703E4">
        <w:tc>
          <w:tcPr>
            <w:tcW w:w="1517" w:type="dxa"/>
            <w:vAlign w:val="center"/>
          </w:tcPr>
          <w:p w14:paraId="264E4C05"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Genuineness</w:t>
            </w:r>
          </w:p>
        </w:tc>
        <w:tc>
          <w:tcPr>
            <w:tcW w:w="1746" w:type="dxa"/>
            <w:vAlign w:val="center"/>
          </w:tcPr>
          <w:p w14:paraId="24C721CD"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0.563</w:t>
            </w:r>
          </w:p>
        </w:tc>
        <w:tc>
          <w:tcPr>
            <w:tcW w:w="1119" w:type="dxa"/>
            <w:vAlign w:val="center"/>
          </w:tcPr>
          <w:p w14:paraId="066881FA"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2.432</w:t>
            </w:r>
          </w:p>
        </w:tc>
        <w:tc>
          <w:tcPr>
            <w:tcW w:w="1505" w:type="dxa"/>
            <w:vAlign w:val="center"/>
          </w:tcPr>
          <w:p w14:paraId="724F18C0"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.037</w:t>
            </w:r>
          </w:p>
        </w:tc>
        <w:tc>
          <w:tcPr>
            <w:tcW w:w="833" w:type="dxa"/>
            <w:vAlign w:val="center"/>
          </w:tcPr>
          <w:p w14:paraId="5F758226"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0.231</w:t>
            </w:r>
          </w:p>
        </w:tc>
        <w:tc>
          <w:tcPr>
            <w:tcW w:w="832" w:type="dxa"/>
            <w:vAlign w:val="center"/>
          </w:tcPr>
          <w:p w14:paraId="3A0EC425"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.817</w:t>
            </w:r>
          </w:p>
        </w:tc>
        <w:tc>
          <w:tcPr>
            <w:tcW w:w="1088" w:type="dxa"/>
            <w:vAlign w:val="center"/>
          </w:tcPr>
          <w:p w14:paraId="63879F33"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3.108</w:t>
            </w:r>
          </w:p>
        </w:tc>
      </w:tr>
      <w:tr w:rsidR="001B39BA" w:rsidRPr="001B39BA" w14:paraId="7C84B520" w14:textId="77777777" w:rsidTr="005703E4">
        <w:tc>
          <w:tcPr>
            <w:tcW w:w="1517" w:type="dxa"/>
            <w:vAlign w:val="center"/>
          </w:tcPr>
          <w:p w14:paraId="63E8BBC4"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Non-Judgmental Attitude</w:t>
            </w:r>
          </w:p>
        </w:tc>
        <w:tc>
          <w:tcPr>
            <w:tcW w:w="1746" w:type="dxa"/>
            <w:vAlign w:val="center"/>
          </w:tcPr>
          <w:p w14:paraId="72783A06"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0.788</w:t>
            </w:r>
          </w:p>
        </w:tc>
        <w:tc>
          <w:tcPr>
            <w:tcW w:w="1119" w:type="dxa"/>
            <w:vAlign w:val="center"/>
          </w:tcPr>
          <w:p w14:paraId="0956E0A2"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3.805</w:t>
            </w:r>
          </w:p>
        </w:tc>
        <w:tc>
          <w:tcPr>
            <w:tcW w:w="1505" w:type="dxa"/>
            <w:vAlign w:val="center"/>
          </w:tcPr>
          <w:p w14:paraId="64F4626B"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.043</w:t>
            </w:r>
          </w:p>
        </w:tc>
        <w:tc>
          <w:tcPr>
            <w:tcW w:w="833" w:type="dxa"/>
            <w:vAlign w:val="center"/>
          </w:tcPr>
          <w:p w14:paraId="0E708C39"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0.207</w:t>
            </w:r>
          </w:p>
        </w:tc>
        <w:tc>
          <w:tcPr>
            <w:tcW w:w="832" w:type="dxa"/>
            <w:vAlign w:val="center"/>
          </w:tcPr>
          <w:p w14:paraId="0EC02906"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.836</w:t>
            </w:r>
          </w:p>
        </w:tc>
        <w:tc>
          <w:tcPr>
            <w:tcW w:w="1088" w:type="dxa"/>
            <w:vAlign w:val="center"/>
          </w:tcPr>
          <w:p w14:paraId="7CF27523"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5.021</w:t>
            </w:r>
          </w:p>
        </w:tc>
      </w:tr>
      <w:tr w:rsidR="001B39BA" w:rsidRPr="001B39BA" w14:paraId="7F0BE967" w14:textId="77777777" w:rsidTr="005703E4">
        <w:tc>
          <w:tcPr>
            <w:tcW w:w="1517" w:type="dxa"/>
            <w:vAlign w:val="center"/>
          </w:tcPr>
          <w:p w14:paraId="0A257EBF"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Interpersonal Skills</w:t>
            </w:r>
          </w:p>
        </w:tc>
        <w:tc>
          <w:tcPr>
            <w:tcW w:w="1746" w:type="dxa"/>
            <w:vAlign w:val="center"/>
          </w:tcPr>
          <w:p w14:paraId="5B7C0B13"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-2.374</w:t>
            </w:r>
          </w:p>
        </w:tc>
        <w:tc>
          <w:tcPr>
            <w:tcW w:w="1119" w:type="dxa"/>
            <w:vAlign w:val="center"/>
          </w:tcPr>
          <w:p w14:paraId="40C1BFC1"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3.526</w:t>
            </w:r>
          </w:p>
        </w:tc>
        <w:tc>
          <w:tcPr>
            <w:tcW w:w="1505" w:type="dxa"/>
            <w:vAlign w:val="center"/>
          </w:tcPr>
          <w:p w14:paraId="63E61F82"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-.129</w:t>
            </w:r>
          </w:p>
        </w:tc>
        <w:tc>
          <w:tcPr>
            <w:tcW w:w="833" w:type="dxa"/>
            <w:vAlign w:val="center"/>
          </w:tcPr>
          <w:p w14:paraId="0E53BA9C"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-0.673</w:t>
            </w:r>
          </w:p>
        </w:tc>
        <w:tc>
          <w:tcPr>
            <w:tcW w:w="832" w:type="dxa"/>
            <w:vAlign w:val="center"/>
          </w:tcPr>
          <w:p w14:paraId="3D2ABA3B"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.502</w:t>
            </w:r>
          </w:p>
        </w:tc>
        <w:tc>
          <w:tcPr>
            <w:tcW w:w="1088" w:type="dxa"/>
            <w:vAlign w:val="center"/>
          </w:tcPr>
          <w:p w14:paraId="2B372ED2"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4.377</w:t>
            </w:r>
          </w:p>
        </w:tc>
      </w:tr>
      <w:tr w:rsidR="001B39BA" w:rsidRPr="001B39BA" w14:paraId="4928B011" w14:textId="77777777" w:rsidTr="005703E4">
        <w:tc>
          <w:tcPr>
            <w:tcW w:w="1517" w:type="dxa"/>
            <w:tcBorders>
              <w:bottom w:val="single" w:sz="4" w:space="0" w:color="auto"/>
            </w:tcBorders>
            <w:vAlign w:val="center"/>
          </w:tcPr>
          <w:p w14:paraId="070620B0"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Self-Compassion</w:t>
            </w:r>
          </w:p>
        </w:tc>
        <w:tc>
          <w:tcPr>
            <w:tcW w:w="1746" w:type="dxa"/>
            <w:tcBorders>
              <w:bottom w:val="single" w:sz="4" w:space="0" w:color="auto"/>
            </w:tcBorders>
            <w:vAlign w:val="center"/>
          </w:tcPr>
          <w:p w14:paraId="1120B49E"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-3.080</w:t>
            </w:r>
          </w:p>
        </w:tc>
        <w:tc>
          <w:tcPr>
            <w:tcW w:w="1119" w:type="dxa"/>
            <w:tcBorders>
              <w:bottom w:val="single" w:sz="4" w:space="0" w:color="auto"/>
            </w:tcBorders>
            <w:vAlign w:val="center"/>
          </w:tcPr>
          <w:p w14:paraId="2EBDB91D"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1.791</w:t>
            </w:r>
          </w:p>
        </w:tc>
        <w:tc>
          <w:tcPr>
            <w:tcW w:w="1505" w:type="dxa"/>
            <w:tcBorders>
              <w:bottom w:val="single" w:sz="4" w:space="0" w:color="auto"/>
            </w:tcBorders>
            <w:vAlign w:val="center"/>
          </w:tcPr>
          <w:p w14:paraId="3F734B5A"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-.224</w:t>
            </w:r>
          </w:p>
        </w:tc>
        <w:tc>
          <w:tcPr>
            <w:tcW w:w="833" w:type="dxa"/>
            <w:tcBorders>
              <w:bottom w:val="single" w:sz="4" w:space="0" w:color="auto"/>
            </w:tcBorders>
            <w:vAlign w:val="center"/>
          </w:tcPr>
          <w:p w14:paraId="451E8FEA"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-1.720</w:t>
            </w:r>
          </w:p>
        </w:tc>
        <w:tc>
          <w:tcPr>
            <w:tcW w:w="832" w:type="dxa"/>
            <w:tcBorders>
              <w:bottom w:val="single" w:sz="4" w:space="0" w:color="auto"/>
            </w:tcBorders>
            <w:vAlign w:val="center"/>
          </w:tcPr>
          <w:p w14:paraId="4083E424"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.088</w:t>
            </w:r>
          </w:p>
        </w:tc>
        <w:tc>
          <w:tcPr>
            <w:tcW w:w="1088" w:type="dxa"/>
            <w:tcBorders>
              <w:bottom w:val="single" w:sz="4" w:space="0" w:color="auto"/>
            </w:tcBorders>
            <w:vAlign w:val="center"/>
          </w:tcPr>
          <w:p w14:paraId="1ED414A5"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2.017</w:t>
            </w:r>
          </w:p>
        </w:tc>
      </w:tr>
    </w:tbl>
    <w:p w14:paraId="38F769DF"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06A566DC"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Table 5 presents the relationship between work-specific characteristics and compassion fatigue among guidance counselors. Although the analysis initially used multiple linear regression, the results are interpreted within the study’s broader structural framework to maintain theoretical consistency. Prior to analysis, all necessary assumptions were examined and satisfied, including linearity, normality of residuals, homoscedasticity, independence of errors, and absence of multicollinearity</w:t>
      </w:r>
      <w:r w:rsidRPr="001B39BA">
        <w:rPr>
          <w:rFonts w:ascii="Arial" w:hAnsi="Arial" w:cs="Arial"/>
          <w:b/>
          <w:bCs/>
        </w:rPr>
        <w:t>.</w:t>
      </w:r>
      <w:r w:rsidRPr="001B39BA">
        <w:rPr>
          <w:rFonts w:ascii="Arial" w:hAnsi="Arial" w:cs="Arial"/>
        </w:rPr>
        <w:t xml:space="preserve"> Variance Inflation Factor (VIF) values were below the acceptable threshold of 10, indicating that multicollinearity was not a concern and that the data were appropriate for inferential analysis.</w:t>
      </w:r>
    </w:p>
    <w:p w14:paraId="1267A70B"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The results indicate that none of the work-specific characteristics significantly predicted compassion fatigue (p &gt; .05), suggesting that these variables do not meaningfully explain variations in guidance counselors’ levels of emotional exhaustion.</w:t>
      </w:r>
    </w:p>
    <w:p w14:paraId="2D800F6A" w14:textId="77777777" w:rsidR="001B39BA" w:rsidRPr="001B39BA" w:rsidRDefault="001B39BA" w:rsidP="001B39BA">
      <w:pPr>
        <w:spacing w:line="360" w:lineRule="auto"/>
        <w:jc w:val="both"/>
        <w:rPr>
          <w:rFonts w:ascii="Arial" w:hAnsi="Arial" w:cs="Arial"/>
        </w:rPr>
      </w:pPr>
      <w:r w:rsidRPr="001B39BA">
        <w:rPr>
          <w:rFonts w:ascii="Arial" w:hAnsi="Arial" w:cs="Arial"/>
        </w:rPr>
        <w:t>Although not statistically significant, some patterns were observed. Interpersonal skills</w:t>
      </w:r>
      <w:r w:rsidRPr="001B39BA">
        <w:rPr>
          <w:rFonts w:ascii="Arial" w:hAnsi="Arial" w:cs="Arial"/>
          <w:b/>
          <w:bCs/>
        </w:rPr>
        <w:t xml:space="preserve"> </w:t>
      </w:r>
      <w:r w:rsidRPr="001B39BA">
        <w:rPr>
          <w:rFonts w:ascii="Arial" w:hAnsi="Arial" w:cs="Arial"/>
        </w:rPr>
        <w:t xml:space="preserve">(B = –2.37, β = –.129) and self-compassion (B = –3.08, β = –.224) were negatively associated with compassion fatigue, suggesting that higher levels of these characteristics may be associated with lower emotional strain. However, these trends should be interpreted with </w:t>
      </w:r>
      <w:r w:rsidRPr="001B39BA">
        <w:rPr>
          <w:rFonts w:ascii="Arial" w:hAnsi="Arial" w:cs="Arial"/>
        </w:rPr>
        <w:lastRenderedPageBreak/>
        <w:t>caution due to the lack of statistical significance.</w:t>
      </w:r>
    </w:p>
    <w:p w14:paraId="24DC14C0"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In contrast, empathic understanding, genuineness, and non-judgmental attitude demonstrated small, positive but non-significant relationships, indicating that these characteristics do not function as strong predictors of compassion fatigue within the model. This suggests that, although these traits are essential in building effective helping relationships, they may not be sufficient to protect guidance counselors from emotional exhaustion. In practice, counselors can still experience fatigue despite being empathic, genuine, and accepting, particularly when they are continuously exposed to high emotional demands. This highlights the possibility that compassion fatigue is less about the presence of professional skills and more about the conditions under which these skills are exercised.</w:t>
      </w:r>
    </w:p>
    <w:p w14:paraId="7A6C9790"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Overall, the findings imply that compassion fatigue may be shaped more by external and contextual factors</w:t>
      </w:r>
      <w:r w:rsidRPr="001B39BA">
        <w:rPr>
          <w:rFonts w:ascii="Arial" w:hAnsi="Arial" w:cs="Arial"/>
          <w:b/>
          <w:bCs/>
        </w:rPr>
        <w:t>,</w:t>
      </w:r>
      <w:r w:rsidRPr="001B39BA">
        <w:rPr>
          <w:rFonts w:ascii="Arial" w:hAnsi="Arial" w:cs="Arial"/>
        </w:rPr>
        <w:t xml:space="preserve"> such as heavy workload, role expectations, limited institutional support, and organizational pressures, rather than by individual competencies alone. This means that even highly skilled counselors may experience fatigue when working in demanding environments without adequate support systems. Accordingly, the hypothesis that work-specific characteristics significantly influence compassion fatigue is rejected, underscoring the need to address systemic and organizational factors to promote guidance counselors’ well-being.</w:t>
      </w:r>
    </w:p>
    <w:p w14:paraId="32FF785C"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7188EAFE" w14:textId="77777777" w:rsidR="001B39BA" w:rsidRPr="003D246B" w:rsidRDefault="001B39BA" w:rsidP="003D246B">
      <w:pPr>
        <w:pStyle w:val="NoSpacing"/>
        <w:spacing w:line="276" w:lineRule="auto"/>
        <w:rPr>
          <w:rFonts w:ascii="Arial" w:hAnsi="Arial" w:cs="Arial"/>
          <w:lang w:val="en-SG" w:eastAsia="en-SG"/>
        </w:rPr>
      </w:pPr>
      <w:r w:rsidRPr="003D246B">
        <w:rPr>
          <w:rFonts w:ascii="Arial" w:hAnsi="Arial" w:cs="Arial"/>
          <w:lang w:val="en-SG" w:eastAsia="en-SG"/>
        </w:rPr>
        <w:t>Table 6</w:t>
      </w:r>
    </w:p>
    <w:p w14:paraId="5F36D0AF" w14:textId="77777777" w:rsidR="001B39BA" w:rsidRPr="003D246B" w:rsidRDefault="001B39BA" w:rsidP="003D246B">
      <w:pPr>
        <w:pStyle w:val="NoSpacing"/>
        <w:spacing w:line="276" w:lineRule="auto"/>
        <w:rPr>
          <w:rFonts w:ascii="Arial" w:hAnsi="Arial" w:cs="Arial"/>
          <w:lang w:val="en-SG" w:eastAsia="en-SG"/>
        </w:rPr>
      </w:pPr>
      <w:r w:rsidRPr="003D246B">
        <w:rPr>
          <w:rFonts w:ascii="Arial" w:hAnsi="Arial" w:cs="Arial"/>
          <w:lang w:val="en-SG" w:eastAsia="en-SG"/>
        </w:rPr>
        <w:t>Compassion Fatigue Components among Guidance Counselors’ Predicting Compassion Satisfaction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030"/>
        <w:gridCol w:w="633"/>
        <w:gridCol w:w="558"/>
        <w:gridCol w:w="558"/>
        <w:gridCol w:w="633"/>
        <w:gridCol w:w="535"/>
        <w:gridCol w:w="482"/>
        <w:gridCol w:w="558"/>
        <w:gridCol w:w="548"/>
        <w:gridCol w:w="558"/>
        <w:gridCol w:w="558"/>
        <w:gridCol w:w="535"/>
        <w:gridCol w:w="893"/>
      </w:tblGrid>
      <w:tr w:rsidR="001B39BA" w:rsidRPr="003D246B" w14:paraId="459FF260" w14:textId="77777777" w:rsidTr="005703E4">
        <w:tc>
          <w:tcPr>
            <w:tcW w:w="426" w:type="dxa"/>
            <w:tcBorders>
              <w:top w:val="single" w:sz="4" w:space="0" w:color="auto"/>
              <w:bottom w:val="single" w:sz="4" w:space="0" w:color="auto"/>
            </w:tcBorders>
            <w:vAlign w:val="center"/>
          </w:tcPr>
          <w:p w14:paraId="54F0C102"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Model</w:t>
            </w:r>
          </w:p>
        </w:tc>
        <w:tc>
          <w:tcPr>
            <w:tcW w:w="1030" w:type="dxa"/>
            <w:tcBorders>
              <w:top w:val="single" w:sz="4" w:space="0" w:color="auto"/>
              <w:bottom w:val="single" w:sz="4" w:space="0" w:color="auto"/>
            </w:tcBorders>
            <w:vAlign w:val="center"/>
          </w:tcPr>
          <w:p w14:paraId="33295819"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Predictor Variables</w:t>
            </w:r>
          </w:p>
        </w:tc>
        <w:tc>
          <w:tcPr>
            <w:tcW w:w="633" w:type="dxa"/>
            <w:tcBorders>
              <w:top w:val="single" w:sz="4" w:space="0" w:color="auto"/>
              <w:bottom w:val="single" w:sz="4" w:space="0" w:color="auto"/>
            </w:tcBorders>
            <w:vAlign w:val="center"/>
          </w:tcPr>
          <w:p w14:paraId="54257FE9"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B</w:t>
            </w:r>
          </w:p>
        </w:tc>
        <w:tc>
          <w:tcPr>
            <w:tcW w:w="558" w:type="dxa"/>
            <w:tcBorders>
              <w:top w:val="single" w:sz="4" w:space="0" w:color="auto"/>
              <w:bottom w:val="single" w:sz="4" w:space="0" w:color="auto"/>
            </w:tcBorders>
            <w:vAlign w:val="center"/>
          </w:tcPr>
          <w:p w14:paraId="3DA8FCC3"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SE B</w:t>
            </w:r>
          </w:p>
        </w:tc>
        <w:tc>
          <w:tcPr>
            <w:tcW w:w="558" w:type="dxa"/>
            <w:tcBorders>
              <w:top w:val="single" w:sz="4" w:space="0" w:color="auto"/>
              <w:bottom w:val="single" w:sz="4" w:space="0" w:color="auto"/>
            </w:tcBorders>
            <w:vAlign w:val="center"/>
          </w:tcPr>
          <w:p w14:paraId="16F5ACFE"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β</w:t>
            </w:r>
          </w:p>
        </w:tc>
        <w:tc>
          <w:tcPr>
            <w:tcW w:w="633" w:type="dxa"/>
            <w:tcBorders>
              <w:top w:val="single" w:sz="4" w:space="0" w:color="auto"/>
              <w:bottom w:val="single" w:sz="4" w:space="0" w:color="auto"/>
            </w:tcBorders>
            <w:vAlign w:val="center"/>
          </w:tcPr>
          <w:p w14:paraId="69FA522E"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t</w:t>
            </w:r>
          </w:p>
        </w:tc>
        <w:tc>
          <w:tcPr>
            <w:tcW w:w="535" w:type="dxa"/>
            <w:tcBorders>
              <w:top w:val="single" w:sz="4" w:space="0" w:color="auto"/>
              <w:bottom w:val="single" w:sz="4" w:space="0" w:color="auto"/>
            </w:tcBorders>
            <w:vAlign w:val="center"/>
          </w:tcPr>
          <w:p w14:paraId="432F9A9C"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p</w:t>
            </w:r>
          </w:p>
        </w:tc>
        <w:tc>
          <w:tcPr>
            <w:tcW w:w="482" w:type="dxa"/>
            <w:tcBorders>
              <w:top w:val="single" w:sz="4" w:space="0" w:color="auto"/>
              <w:bottom w:val="single" w:sz="4" w:space="0" w:color="auto"/>
            </w:tcBorders>
            <w:vAlign w:val="center"/>
          </w:tcPr>
          <w:p w14:paraId="144B1BBB"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VIF</w:t>
            </w:r>
          </w:p>
        </w:tc>
        <w:tc>
          <w:tcPr>
            <w:tcW w:w="558" w:type="dxa"/>
            <w:tcBorders>
              <w:top w:val="single" w:sz="4" w:space="0" w:color="auto"/>
              <w:bottom w:val="single" w:sz="4" w:space="0" w:color="auto"/>
            </w:tcBorders>
            <w:vAlign w:val="center"/>
          </w:tcPr>
          <w:p w14:paraId="20738C3C"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R</w:t>
            </w:r>
          </w:p>
        </w:tc>
        <w:tc>
          <w:tcPr>
            <w:tcW w:w="548" w:type="dxa"/>
            <w:tcBorders>
              <w:top w:val="single" w:sz="4" w:space="0" w:color="auto"/>
              <w:bottom w:val="single" w:sz="4" w:space="0" w:color="auto"/>
            </w:tcBorders>
            <w:vAlign w:val="center"/>
          </w:tcPr>
          <w:p w14:paraId="0BD78F39"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R²</w:t>
            </w:r>
          </w:p>
        </w:tc>
        <w:tc>
          <w:tcPr>
            <w:tcW w:w="558" w:type="dxa"/>
            <w:tcBorders>
              <w:top w:val="single" w:sz="4" w:space="0" w:color="auto"/>
              <w:bottom w:val="single" w:sz="4" w:space="0" w:color="auto"/>
            </w:tcBorders>
            <w:vAlign w:val="center"/>
          </w:tcPr>
          <w:p w14:paraId="679E44BD"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Adj. R²</w:t>
            </w:r>
          </w:p>
        </w:tc>
        <w:tc>
          <w:tcPr>
            <w:tcW w:w="558" w:type="dxa"/>
            <w:tcBorders>
              <w:top w:val="single" w:sz="4" w:space="0" w:color="auto"/>
              <w:bottom w:val="single" w:sz="4" w:space="0" w:color="auto"/>
            </w:tcBorders>
            <w:vAlign w:val="center"/>
          </w:tcPr>
          <w:p w14:paraId="3DBFE7FE"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F</w:t>
            </w:r>
          </w:p>
        </w:tc>
        <w:tc>
          <w:tcPr>
            <w:tcW w:w="535" w:type="dxa"/>
            <w:tcBorders>
              <w:top w:val="single" w:sz="4" w:space="0" w:color="auto"/>
              <w:bottom w:val="single" w:sz="4" w:space="0" w:color="auto"/>
            </w:tcBorders>
            <w:vAlign w:val="center"/>
          </w:tcPr>
          <w:p w14:paraId="0633D33E"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Sig.</w:t>
            </w:r>
          </w:p>
        </w:tc>
        <w:tc>
          <w:tcPr>
            <w:tcW w:w="893" w:type="dxa"/>
            <w:tcBorders>
              <w:top w:val="single" w:sz="4" w:space="0" w:color="auto"/>
              <w:bottom w:val="single" w:sz="4" w:space="0" w:color="auto"/>
            </w:tcBorders>
            <w:vAlign w:val="center"/>
          </w:tcPr>
          <w:p w14:paraId="0D3BAE72"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Durbin–Watson</w:t>
            </w:r>
          </w:p>
        </w:tc>
      </w:tr>
      <w:tr w:rsidR="001B39BA" w:rsidRPr="003D246B" w14:paraId="3EFDE707" w14:textId="77777777" w:rsidTr="005703E4">
        <w:tc>
          <w:tcPr>
            <w:tcW w:w="426" w:type="dxa"/>
            <w:tcBorders>
              <w:top w:val="single" w:sz="4" w:space="0" w:color="auto"/>
            </w:tcBorders>
            <w:vAlign w:val="center"/>
          </w:tcPr>
          <w:p w14:paraId="24223819"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1</w:t>
            </w:r>
          </w:p>
        </w:tc>
        <w:tc>
          <w:tcPr>
            <w:tcW w:w="1030" w:type="dxa"/>
            <w:tcBorders>
              <w:top w:val="single" w:sz="4" w:space="0" w:color="auto"/>
            </w:tcBorders>
            <w:vAlign w:val="center"/>
          </w:tcPr>
          <w:p w14:paraId="4FCEEE26"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Constant</w:t>
            </w:r>
          </w:p>
        </w:tc>
        <w:tc>
          <w:tcPr>
            <w:tcW w:w="633" w:type="dxa"/>
            <w:tcBorders>
              <w:top w:val="single" w:sz="4" w:space="0" w:color="auto"/>
            </w:tcBorders>
            <w:vAlign w:val="center"/>
          </w:tcPr>
          <w:p w14:paraId="50930431"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48.271</w:t>
            </w:r>
          </w:p>
        </w:tc>
        <w:tc>
          <w:tcPr>
            <w:tcW w:w="558" w:type="dxa"/>
            <w:tcBorders>
              <w:top w:val="single" w:sz="4" w:space="0" w:color="auto"/>
            </w:tcBorders>
            <w:vAlign w:val="center"/>
          </w:tcPr>
          <w:p w14:paraId="3314A438"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1.708</w:t>
            </w:r>
          </w:p>
        </w:tc>
        <w:tc>
          <w:tcPr>
            <w:tcW w:w="558" w:type="dxa"/>
            <w:tcBorders>
              <w:top w:val="single" w:sz="4" w:space="0" w:color="auto"/>
            </w:tcBorders>
            <w:vAlign w:val="center"/>
          </w:tcPr>
          <w:p w14:paraId="39ECB8B5"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w:t>
            </w:r>
          </w:p>
        </w:tc>
        <w:tc>
          <w:tcPr>
            <w:tcW w:w="633" w:type="dxa"/>
            <w:tcBorders>
              <w:top w:val="single" w:sz="4" w:space="0" w:color="auto"/>
            </w:tcBorders>
            <w:vAlign w:val="center"/>
          </w:tcPr>
          <w:p w14:paraId="4976D2B7"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28.259</w:t>
            </w:r>
          </w:p>
        </w:tc>
        <w:tc>
          <w:tcPr>
            <w:tcW w:w="535" w:type="dxa"/>
            <w:tcBorders>
              <w:top w:val="single" w:sz="4" w:space="0" w:color="auto"/>
            </w:tcBorders>
            <w:vAlign w:val="center"/>
          </w:tcPr>
          <w:p w14:paraId="6E7EA3F3"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.000</w:t>
            </w:r>
          </w:p>
        </w:tc>
        <w:tc>
          <w:tcPr>
            <w:tcW w:w="482" w:type="dxa"/>
            <w:tcBorders>
              <w:top w:val="single" w:sz="4" w:space="0" w:color="auto"/>
            </w:tcBorders>
            <w:vAlign w:val="center"/>
          </w:tcPr>
          <w:p w14:paraId="0B648995"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w:t>
            </w:r>
          </w:p>
        </w:tc>
        <w:tc>
          <w:tcPr>
            <w:tcW w:w="558" w:type="dxa"/>
            <w:tcBorders>
              <w:top w:val="single" w:sz="4" w:space="0" w:color="auto"/>
            </w:tcBorders>
            <w:vAlign w:val="center"/>
          </w:tcPr>
          <w:p w14:paraId="2AFEC69D"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0.332</w:t>
            </w:r>
          </w:p>
        </w:tc>
        <w:tc>
          <w:tcPr>
            <w:tcW w:w="548" w:type="dxa"/>
            <w:tcBorders>
              <w:top w:val="single" w:sz="4" w:space="0" w:color="auto"/>
            </w:tcBorders>
            <w:vAlign w:val="center"/>
          </w:tcPr>
          <w:p w14:paraId="0B163254"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0.110</w:t>
            </w:r>
          </w:p>
        </w:tc>
        <w:tc>
          <w:tcPr>
            <w:tcW w:w="558" w:type="dxa"/>
            <w:tcBorders>
              <w:top w:val="single" w:sz="4" w:space="0" w:color="auto"/>
            </w:tcBorders>
            <w:vAlign w:val="center"/>
          </w:tcPr>
          <w:p w14:paraId="6D958A51"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0.095</w:t>
            </w:r>
          </w:p>
        </w:tc>
        <w:tc>
          <w:tcPr>
            <w:tcW w:w="558" w:type="dxa"/>
            <w:tcBorders>
              <w:top w:val="single" w:sz="4" w:space="0" w:color="auto"/>
            </w:tcBorders>
            <w:vAlign w:val="center"/>
          </w:tcPr>
          <w:p w14:paraId="1CE84269"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7.174</w:t>
            </w:r>
          </w:p>
        </w:tc>
        <w:tc>
          <w:tcPr>
            <w:tcW w:w="535" w:type="dxa"/>
            <w:tcBorders>
              <w:top w:val="single" w:sz="4" w:space="0" w:color="auto"/>
            </w:tcBorders>
            <w:vAlign w:val="center"/>
          </w:tcPr>
          <w:p w14:paraId="154868B9"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.001*</w:t>
            </w:r>
          </w:p>
        </w:tc>
        <w:tc>
          <w:tcPr>
            <w:tcW w:w="893" w:type="dxa"/>
            <w:tcBorders>
              <w:top w:val="single" w:sz="4" w:space="0" w:color="auto"/>
            </w:tcBorders>
            <w:vAlign w:val="center"/>
          </w:tcPr>
          <w:p w14:paraId="15E64BFD"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1.95</w:t>
            </w:r>
          </w:p>
        </w:tc>
      </w:tr>
      <w:tr w:rsidR="001B39BA" w:rsidRPr="003D246B" w14:paraId="20E93660" w14:textId="77777777" w:rsidTr="005703E4">
        <w:tc>
          <w:tcPr>
            <w:tcW w:w="426" w:type="dxa"/>
            <w:vAlign w:val="center"/>
          </w:tcPr>
          <w:p w14:paraId="2D94C146"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p>
        </w:tc>
        <w:tc>
          <w:tcPr>
            <w:tcW w:w="1030" w:type="dxa"/>
            <w:vAlign w:val="center"/>
          </w:tcPr>
          <w:p w14:paraId="3EC76A14"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Burnout</w:t>
            </w:r>
          </w:p>
        </w:tc>
        <w:tc>
          <w:tcPr>
            <w:tcW w:w="633" w:type="dxa"/>
            <w:vAlign w:val="center"/>
          </w:tcPr>
          <w:p w14:paraId="033D5E55"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-0.216</w:t>
            </w:r>
          </w:p>
        </w:tc>
        <w:tc>
          <w:tcPr>
            <w:tcW w:w="558" w:type="dxa"/>
            <w:vAlign w:val="center"/>
          </w:tcPr>
          <w:p w14:paraId="645886EB"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0.061</w:t>
            </w:r>
          </w:p>
        </w:tc>
        <w:tc>
          <w:tcPr>
            <w:tcW w:w="558" w:type="dxa"/>
            <w:vAlign w:val="center"/>
          </w:tcPr>
          <w:p w14:paraId="333CCD60"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-0.335</w:t>
            </w:r>
          </w:p>
        </w:tc>
        <w:tc>
          <w:tcPr>
            <w:tcW w:w="633" w:type="dxa"/>
            <w:vAlign w:val="center"/>
          </w:tcPr>
          <w:p w14:paraId="3E9FAADA"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-3.509</w:t>
            </w:r>
          </w:p>
        </w:tc>
        <w:tc>
          <w:tcPr>
            <w:tcW w:w="535" w:type="dxa"/>
            <w:vAlign w:val="center"/>
          </w:tcPr>
          <w:p w14:paraId="0E6A31E8"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.001*</w:t>
            </w:r>
          </w:p>
        </w:tc>
        <w:tc>
          <w:tcPr>
            <w:tcW w:w="482" w:type="dxa"/>
            <w:vAlign w:val="center"/>
          </w:tcPr>
          <w:p w14:paraId="1B095A6A"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1.19</w:t>
            </w:r>
          </w:p>
        </w:tc>
        <w:tc>
          <w:tcPr>
            <w:tcW w:w="558" w:type="dxa"/>
            <w:vAlign w:val="center"/>
          </w:tcPr>
          <w:p w14:paraId="50DE52C6"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p>
        </w:tc>
        <w:tc>
          <w:tcPr>
            <w:tcW w:w="548" w:type="dxa"/>
            <w:vAlign w:val="center"/>
          </w:tcPr>
          <w:p w14:paraId="7C1A4D98"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p>
        </w:tc>
        <w:tc>
          <w:tcPr>
            <w:tcW w:w="558" w:type="dxa"/>
            <w:vAlign w:val="center"/>
          </w:tcPr>
          <w:p w14:paraId="181FADFE"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p>
        </w:tc>
        <w:tc>
          <w:tcPr>
            <w:tcW w:w="558" w:type="dxa"/>
            <w:vAlign w:val="center"/>
          </w:tcPr>
          <w:p w14:paraId="1262A0CC"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p>
        </w:tc>
        <w:tc>
          <w:tcPr>
            <w:tcW w:w="535" w:type="dxa"/>
            <w:vAlign w:val="center"/>
          </w:tcPr>
          <w:p w14:paraId="6CBF7C70"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p>
        </w:tc>
        <w:tc>
          <w:tcPr>
            <w:tcW w:w="893" w:type="dxa"/>
            <w:vAlign w:val="center"/>
          </w:tcPr>
          <w:p w14:paraId="0915B5B9"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p>
        </w:tc>
      </w:tr>
      <w:tr w:rsidR="001B39BA" w:rsidRPr="003D246B" w14:paraId="1FBFB4D3" w14:textId="77777777" w:rsidTr="005703E4">
        <w:tc>
          <w:tcPr>
            <w:tcW w:w="426" w:type="dxa"/>
            <w:tcBorders>
              <w:bottom w:val="single" w:sz="4" w:space="0" w:color="auto"/>
            </w:tcBorders>
            <w:vAlign w:val="center"/>
          </w:tcPr>
          <w:p w14:paraId="2DD7D53F"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p>
        </w:tc>
        <w:tc>
          <w:tcPr>
            <w:tcW w:w="1030" w:type="dxa"/>
            <w:tcBorders>
              <w:bottom w:val="single" w:sz="4" w:space="0" w:color="auto"/>
            </w:tcBorders>
            <w:vAlign w:val="center"/>
          </w:tcPr>
          <w:p w14:paraId="4C1C9998"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Secondary Traumatic Stress</w:t>
            </w:r>
          </w:p>
        </w:tc>
        <w:tc>
          <w:tcPr>
            <w:tcW w:w="633" w:type="dxa"/>
            <w:tcBorders>
              <w:bottom w:val="single" w:sz="4" w:space="0" w:color="auto"/>
            </w:tcBorders>
            <w:vAlign w:val="center"/>
          </w:tcPr>
          <w:p w14:paraId="003D2F8B"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0.006</w:t>
            </w:r>
          </w:p>
        </w:tc>
        <w:tc>
          <w:tcPr>
            <w:tcW w:w="558" w:type="dxa"/>
            <w:tcBorders>
              <w:bottom w:val="single" w:sz="4" w:space="0" w:color="auto"/>
            </w:tcBorders>
            <w:vAlign w:val="center"/>
          </w:tcPr>
          <w:p w14:paraId="46559A5F"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0.063</w:t>
            </w:r>
          </w:p>
        </w:tc>
        <w:tc>
          <w:tcPr>
            <w:tcW w:w="558" w:type="dxa"/>
            <w:tcBorders>
              <w:bottom w:val="single" w:sz="4" w:space="0" w:color="auto"/>
            </w:tcBorders>
            <w:vAlign w:val="center"/>
          </w:tcPr>
          <w:p w14:paraId="5D10152A"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0.009</w:t>
            </w:r>
          </w:p>
        </w:tc>
        <w:tc>
          <w:tcPr>
            <w:tcW w:w="633" w:type="dxa"/>
            <w:tcBorders>
              <w:bottom w:val="single" w:sz="4" w:space="0" w:color="auto"/>
            </w:tcBorders>
            <w:vAlign w:val="center"/>
          </w:tcPr>
          <w:p w14:paraId="4D08CEA3"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0.094</w:t>
            </w:r>
          </w:p>
        </w:tc>
        <w:tc>
          <w:tcPr>
            <w:tcW w:w="535" w:type="dxa"/>
            <w:tcBorders>
              <w:bottom w:val="single" w:sz="4" w:space="0" w:color="auto"/>
            </w:tcBorders>
            <w:vAlign w:val="center"/>
          </w:tcPr>
          <w:p w14:paraId="65EC3002"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.926</w:t>
            </w:r>
          </w:p>
        </w:tc>
        <w:tc>
          <w:tcPr>
            <w:tcW w:w="482" w:type="dxa"/>
            <w:tcBorders>
              <w:bottom w:val="single" w:sz="4" w:space="0" w:color="auto"/>
            </w:tcBorders>
            <w:vAlign w:val="center"/>
          </w:tcPr>
          <w:p w14:paraId="30FAB30A"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r w:rsidRPr="003D246B">
              <w:rPr>
                <w:rFonts w:ascii="Arial" w:eastAsiaTheme="minorHAnsi" w:hAnsi="Arial" w:cs="Arial"/>
                <w:kern w:val="2"/>
                <w:sz w:val="18"/>
                <w:szCs w:val="18"/>
                <w:lang w:val="en-SG" w:eastAsia="en-SG"/>
                <w14:ligatures w14:val="standardContextual"/>
              </w:rPr>
              <w:t>1.19</w:t>
            </w:r>
          </w:p>
        </w:tc>
        <w:tc>
          <w:tcPr>
            <w:tcW w:w="558" w:type="dxa"/>
            <w:tcBorders>
              <w:bottom w:val="single" w:sz="4" w:space="0" w:color="auto"/>
            </w:tcBorders>
            <w:vAlign w:val="center"/>
          </w:tcPr>
          <w:p w14:paraId="1CB35935"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p>
        </w:tc>
        <w:tc>
          <w:tcPr>
            <w:tcW w:w="548" w:type="dxa"/>
            <w:tcBorders>
              <w:bottom w:val="single" w:sz="4" w:space="0" w:color="auto"/>
            </w:tcBorders>
            <w:vAlign w:val="center"/>
          </w:tcPr>
          <w:p w14:paraId="2772002D"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p>
        </w:tc>
        <w:tc>
          <w:tcPr>
            <w:tcW w:w="558" w:type="dxa"/>
            <w:tcBorders>
              <w:bottom w:val="single" w:sz="4" w:space="0" w:color="auto"/>
            </w:tcBorders>
            <w:vAlign w:val="center"/>
          </w:tcPr>
          <w:p w14:paraId="5B7D817B"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p>
        </w:tc>
        <w:tc>
          <w:tcPr>
            <w:tcW w:w="558" w:type="dxa"/>
            <w:tcBorders>
              <w:bottom w:val="single" w:sz="4" w:space="0" w:color="auto"/>
            </w:tcBorders>
            <w:vAlign w:val="center"/>
          </w:tcPr>
          <w:p w14:paraId="78DD424B"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p>
        </w:tc>
        <w:tc>
          <w:tcPr>
            <w:tcW w:w="535" w:type="dxa"/>
            <w:tcBorders>
              <w:bottom w:val="single" w:sz="4" w:space="0" w:color="auto"/>
            </w:tcBorders>
            <w:vAlign w:val="center"/>
          </w:tcPr>
          <w:p w14:paraId="5B4525B0"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p>
        </w:tc>
        <w:tc>
          <w:tcPr>
            <w:tcW w:w="893" w:type="dxa"/>
            <w:tcBorders>
              <w:bottom w:val="single" w:sz="4" w:space="0" w:color="auto"/>
            </w:tcBorders>
            <w:vAlign w:val="center"/>
          </w:tcPr>
          <w:p w14:paraId="06C3C741" w14:textId="77777777" w:rsidR="001B39BA" w:rsidRPr="003D246B" w:rsidRDefault="001B39BA" w:rsidP="001B39BA">
            <w:pPr>
              <w:widowControl/>
              <w:autoSpaceDE/>
              <w:autoSpaceDN/>
              <w:spacing w:line="360" w:lineRule="auto"/>
              <w:jc w:val="both"/>
              <w:rPr>
                <w:rFonts w:ascii="Arial" w:eastAsiaTheme="minorHAnsi" w:hAnsi="Arial" w:cs="Arial"/>
                <w:kern w:val="2"/>
                <w:sz w:val="18"/>
                <w:szCs w:val="18"/>
                <w:lang w:val="en-SG" w:eastAsia="en-SG"/>
                <w14:ligatures w14:val="standardContextual"/>
              </w:rPr>
            </w:pPr>
          </w:p>
        </w:tc>
      </w:tr>
    </w:tbl>
    <w:p w14:paraId="07AABD21" w14:textId="77777777" w:rsidR="00AF4E8C" w:rsidRDefault="00AF4E8C" w:rsidP="001B39BA">
      <w:pPr>
        <w:widowControl/>
        <w:autoSpaceDE/>
        <w:autoSpaceDN/>
        <w:spacing w:after="160" w:line="360" w:lineRule="auto"/>
        <w:jc w:val="both"/>
        <w:rPr>
          <w:rFonts w:ascii="Arial" w:eastAsia="Times New Roman" w:hAnsi="Arial" w:cs="Arial"/>
          <w:lang w:val="en-SG" w:eastAsia="en-SG"/>
        </w:rPr>
      </w:pPr>
    </w:p>
    <w:p w14:paraId="50B7168A" w14:textId="0CAA988B" w:rsidR="001B39BA" w:rsidRPr="001B39BA" w:rsidRDefault="001B39BA" w:rsidP="001B39BA">
      <w:pPr>
        <w:widowControl/>
        <w:autoSpaceDE/>
        <w:autoSpaceDN/>
        <w:spacing w:after="160" w:line="360" w:lineRule="auto"/>
        <w:jc w:val="both"/>
        <w:rPr>
          <w:rFonts w:ascii="Arial" w:eastAsia="Times New Roman" w:hAnsi="Arial" w:cs="Arial"/>
          <w:lang w:val="en-SG" w:eastAsia="en-SG"/>
        </w:rPr>
      </w:pPr>
      <w:r w:rsidRPr="001B39BA">
        <w:rPr>
          <w:rFonts w:ascii="Arial" w:eastAsia="Times New Roman" w:hAnsi="Arial" w:cs="Arial"/>
          <w:lang w:val="en-SG" w:eastAsia="en-SG"/>
        </w:rPr>
        <w:lastRenderedPageBreak/>
        <w:t>Model Summary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659"/>
        <w:gridCol w:w="1659"/>
        <w:gridCol w:w="1659"/>
        <w:gridCol w:w="1660"/>
      </w:tblGrid>
      <w:tr w:rsidR="001B39BA" w:rsidRPr="001B39BA" w14:paraId="1E1F6494" w14:textId="77777777" w:rsidTr="005703E4">
        <w:tc>
          <w:tcPr>
            <w:tcW w:w="1659" w:type="dxa"/>
            <w:tcBorders>
              <w:top w:val="single" w:sz="4" w:space="0" w:color="auto"/>
              <w:bottom w:val="single" w:sz="4" w:space="0" w:color="auto"/>
            </w:tcBorders>
            <w:vAlign w:val="center"/>
          </w:tcPr>
          <w:p w14:paraId="1AE87C62"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R</w:t>
            </w:r>
          </w:p>
        </w:tc>
        <w:tc>
          <w:tcPr>
            <w:tcW w:w="1659" w:type="dxa"/>
            <w:tcBorders>
              <w:top w:val="single" w:sz="4" w:space="0" w:color="auto"/>
              <w:bottom w:val="single" w:sz="4" w:space="0" w:color="auto"/>
            </w:tcBorders>
            <w:vAlign w:val="center"/>
          </w:tcPr>
          <w:p w14:paraId="63F883AE"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R²</w:t>
            </w:r>
          </w:p>
        </w:tc>
        <w:tc>
          <w:tcPr>
            <w:tcW w:w="1659" w:type="dxa"/>
            <w:tcBorders>
              <w:top w:val="single" w:sz="4" w:space="0" w:color="auto"/>
              <w:bottom w:val="single" w:sz="4" w:space="0" w:color="auto"/>
            </w:tcBorders>
            <w:vAlign w:val="center"/>
          </w:tcPr>
          <w:p w14:paraId="4FE0A05F"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Adjusted R²</w:t>
            </w:r>
          </w:p>
        </w:tc>
        <w:tc>
          <w:tcPr>
            <w:tcW w:w="1659" w:type="dxa"/>
            <w:tcBorders>
              <w:top w:val="single" w:sz="4" w:space="0" w:color="auto"/>
              <w:bottom w:val="single" w:sz="4" w:space="0" w:color="auto"/>
            </w:tcBorders>
            <w:vAlign w:val="center"/>
          </w:tcPr>
          <w:p w14:paraId="77754782"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Std. Error of the Estimate</w:t>
            </w:r>
          </w:p>
        </w:tc>
        <w:tc>
          <w:tcPr>
            <w:tcW w:w="1660" w:type="dxa"/>
            <w:tcBorders>
              <w:top w:val="single" w:sz="4" w:space="0" w:color="auto"/>
              <w:bottom w:val="single" w:sz="4" w:space="0" w:color="auto"/>
            </w:tcBorders>
            <w:vAlign w:val="center"/>
          </w:tcPr>
          <w:p w14:paraId="69452EC0"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Durbin–Watson</w:t>
            </w:r>
          </w:p>
        </w:tc>
      </w:tr>
      <w:tr w:rsidR="001B39BA" w:rsidRPr="001B39BA" w14:paraId="721A7EB3" w14:textId="77777777" w:rsidTr="005703E4">
        <w:tc>
          <w:tcPr>
            <w:tcW w:w="1659" w:type="dxa"/>
            <w:tcBorders>
              <w:top w:val="single" w:sz="4" w:space="0" w:color="auto"/>
            </w:tcBorders>
            <w:vAlign w:val="center"/>
          </w:tcPr>
          <w:p w14:paraId="356239AA"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p>
          <w:p w14:paraId="144AF591"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0.332</w:t>
            </w:r>
          </w:p>
        </w:tc>
        <w:tc>
          <w:tcPr>
            <w:tcW w:w="1659" w:type="dxa"/>
            <w:tcBorders>
              <w:top w:val="single" w:sz="4" w:space="0" w:color="auto"/>
            </w:tcBorders>
            <w:vAlign w:val="center"/>
          </w:tcPr>
          <w:p w14:paraId="1ABB881B"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p>
          <w:p w14:paraId="276131C7"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0.110</w:t>
            </w:r>
          </w:p>
        </w:tc>
        <w:tc>
          <w:tcPr>
            <w:tcW w:w="1659" w:type="dxa"/>
            <w:tcBorders>
              <w:top w:val="single" w:sz="4" w:space="0" w:color="auto"/>
            </w:tcBorders>
            <w:vAlign w:val="center"/>
          </w:tcPr>
          <w:p w14:paraId="56BF5B16"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p>
          <w:p w14:paraId="061632E3"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0.095</w:t>
            </w:r>
          </w:p>
        </w:tc>
        <w:tc>
          <w:tcPr>
            <w:tcW w:w="1659" w:type="dxa"/>
            <w:tcBorders>
              <w:top w:val="single" w:sz="4" w:space="0" w:color="auto"/>
            </w:tcBorders>
            <w:vAlign w:val="center"/>
          </w:tcPr>
          <w:p w14:paraId="1CAAE46A"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p>
          <w:p w14:paraId="630987F4"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4.56266</w:t>
            </w:r>
          </w:p>
        </w:tc>
        <w:tc>
          <w:tcPr>
            <w:tcW w:w="1660" w:type="dxa"/>
            <w:tcBorders>
              <w:top w:val="single" w:sz="4" w:space="0" w:color="auto"/>
            </w:tcBorders>
            <w:vAlign w:val="center"/>
          </w:tcPr>
          <w:p w14:paraId="7FB1867C"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p>
          <w:p w14:paraId="588143FF"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1.95</w:t>
            </w:r>
          </w:p>
        </w:tc>
      </w:tr>
    </w:tbl>
    <w:p w14:paraId="7D7B9CE6" w14:textId="77777777" w:rsidR="001B39BA" w:rsidRPr="001B39BA" w:rsidRDefault="001B39BA" w:rsidP="001B39BA">
      <w:pPr>
        <w:widowControl/>
        <w:autoSpaceDE/>
        <w:autoSpaceDN/>
        <w:spacing w:after="160" w:line="360" w:lineRule="auto"/>
        <w:jc w:val="both"/>
        <w:rPr>
          <w:rFonts w:ascii="Arial" w:eastAsia="Times New Roman" w:hAnsi="Arial" w:cs="Arial"/>
          <w:lang w:val="en-SG" w:eastAsia="en-SG"/>
        </w:rPr>
      </w:pPr>
    </w:p>
    <w:p w14:paraId="0A3F17C6" w14:textId="77777777" w:rsidR="001B39BA" w:rsidRPr="001B39BA" w:rsidRDefault="001B39BA" w:rsidP="001B39BA">
      <w:pPr>
        <w:widowControl/>
        <w:autoSpaceDE/>
        <w:autoSpaceDN/>
        <w:spacing w:after="160" w:line="360" w:lineRule="auto"/>
        <w:jc w:val="both"/>
        <w:rPr>
          <w:rFonts w:ascii="Arial" w:eastAsia="Times New Roman" w:hAnsi="Arial" w:cs="Arial"/>
          <w:lang w:val="en-SG" w:eastAsia="en-SG"/>
        </w:rPr>
      </w:pPr>
      <w:r w:rsidRPr="001B39BA">
        <w:rPr>
          <w:rFonts w:ascii="Arial" w:eastAsia="Times New Roman" w:hAnsi="Arial" w:cs="Arial"/>
          <w:lang w:val="en-SG" w:eastAsia="en-SG"/>
        </w:rPr>
        <w:t>ANOVA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1382"/>
        <w:gridCol w:w="1383"/>
        <w:gridCol w:w="1383"/>
        <w:gridCol w:w="1383"/>
        <w:gridCol w:w="1383"/>
      </w:tblGrid>
      <w:tr w:rsidR="001B39BA" w:rsidRPr="001B39BA" w14:paraId="316FA6C7" w14:textId="77777777" w:rsidTr="005703E4">
        <w:tc>
          <w:tcPr>
            <w:tcW w:w="1382" w:type="dxa"/>
            <w:tcBorders>
              <w:top w:val="single" w:sz="4" w:space="0" w:color="auto"/>
              <w:bottom w:val="single" w:sz="4" w:space="0" w:color="auto"/>
            </w:tcBorders>
            <w:vAlign w:val="center"/>
          </w:tcPr>
          <w:p w14:paraId="317FAFEB"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Source</w:t>
            </w:r>
          </w:p>
        </w:tc>
        <w:tc>
          <w:tcPr>
            <w:tcW w:w="1382" w:type="dxa"/>
            <w:tcBorders>
              <w:top w:val="single" w:sz="4" w:space="0" w:color="auto"/>
              <w:bottom w:val="single" w:sz="4" w:space="0" w:color="auto"/>
            </w:tcBorders>
            <w:vAlign w:val="center"/>
          </w:tcPr>
          <w:p w14:paraId="0A8C8B90"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SS</w:t>
            </w:r>
          </w:p>
        </w:tc>
        <w:tc>
          <w:tcPr>
            <w:tcW w:w="1383" w:type="dxa"/>
            <w:tcBorders>
              <w:top w:val="single" w:sz="4" w:space="0" w:color="auto"/>
              <w:bottom w:val="single" w:sz="4" w:space="0" w:color="auto"/>
            </w:tcBorders>
            <w:vAlign w:val="center"/>
          </w:tcPr>
          <w:p w14:paraId="4CD2C7D6"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df</w:t>
            </w:r>
          </w:p>
        </w:tc>
        <w:tc>
          <w:tcPr>
            <w:tcW w:w="1383" w:type="dxa"/>
            <w:tcBorders>
              <w:top w:val="single" w:sz="4" w:space="0" w:color="auto"/>
              <w:bottom w:val="single" w:sz="4" w:space="0" w:color="auto"/>
            </w:tcBorders>
            <w:vAlign w:val="center"/>
          </w:tcPr>
          <w:p w14:paraId="4D49433E"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MS</w:t>
            </w:r>
          </w:p>
        </w:tc>
        <w:tc>
          <w:tcPr>
            <w:tcW w:w="1383" w:type="dxa"/>
            <w:tcBorders>
              <w:top w:val="single" w:sz="4" w:space="0" w:color="auto"/>
              <w:bottom w:val="single" w:sz="4" w:space="0" w:color="auto"/>
            </w:tcBorders>
            <w:vAlign w:val="center"/>
          </w:tcPr>
          <w:p w14:paraId="0EA58DF3"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F</w:t>
            </w:r>
          </w:p>
        </w:tc>
        <w:tc>
          <w:tcPr>
            <w:tcW w:w="1383" w:type="dxa"/>
            <w:tcBorders>
              <w:top w:val="single" w:sz="4" w:space="0" w:color="auto"/>
              <w:bottom w:val="single" w:sz="4" w:space="0" w:color="auto"/>
            </w:tcBorders>
            <w:vAlign w:val="center"/>
          </w:tcPr>
          <w:p w14:paraId="00435063"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p</w:t>
            </w:r>
          </w:p>
        </w:tc>
      </w:tr>
      <w:tr w:rsidR="001B39BA" w:rsidRPr="001B39BA" w14:paraId="2AACB370" w14:textId="77777777" w:rsidTr="005703E4">
        <w:tc>
          <w:tcPr>
            <w:tcW w:w="1382" w:type="dxa"/>
            <w:tcBorders>
              <w:top w:val="single" w:sz="4" w:space="0" w:color="auto"/>
            </w:tcBorders>
            <w:vAlign w:val="center"/>
          </w:tcPr>
          <w:p w14:paraId="235DFEB5"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p>
          <w:p w14:paraId="68012285"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Regression</w:t>
            </w:r>
          </w:p>
        </w:tc>
        <w:tc>
          <w:tcPr>
            <w:tcW w:w="1382" w:type="dxa"/>
            <w:tcBorders>
              <w:top w:val="single" w:sz="4" w:space="0" w:color="auto"/>
            </w:tcBorders>
            <w:vAlign w:val="center"/>
          </w:tcPr>
          <w:p w14:paraId="0E962E13"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p>
          <w:p w14:paraId="327235A4"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298.703</w:t>
            </w:r>
          </w:p>
        </w:tc>
        <w:tc>
          <w:tcPr>
            <w:tcW w:w="1383" w:type="dxa"/>
            <w:tcBorders>
              <w:top w:val="single" w:sz="4" w:space="0" w:color="auto"/>
            </w:tcBorders>
            <w:vAlign w:val="center"/>
          </w:tcPr>
          <w:p w14:paraId="6280AAE5"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p>
          <w:p w14:paraId="7D28F69E"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2</w:t>
            </w:r>
          </w:p>
        </w:tc>
        <w:tc>
          <w:tcPr>
            <w:tcW w:w="1383" w:type="dxa"/>
            <w:tcBorders>
              <w:top w:val="single" w:sz="4" w:space="0" w:color="auto"/>
            </w:tcBorders>
            <w:vAlign w:val="center"/>
          </w:tcPr>
          <w:p w14:paraId="278A0D07"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p>
          <w:p w14:paraId="7622824F"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149.352</w:t>
            </w:r>
          </w:p>
        </w:tc>
        <w:tc>
          <w:tcPr>
            <w:tcW w:w="1383" w:type="dxa"/>
            <w:tcBorders>
              <w:top w:val="single" w:sz="4" w:space="0" w:color="auto"/>
            </w:tcBorders>
            <w:vAlign w:val="center"/>
          </w:tcPr>
          <w:p w14:paraId="24EDF674"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p>
          <w:p w14:paraId="58148D64"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7.174</w:t>
            </w:r>
          </w:p>
        </w:tc>
        <w:tc>
          <w:tcPr>
            <w:tcW w:w="1383" w:type="dxa"/>
            <w:tcBorders>
              <w:top w:val="single" w:sz="4" w:space="0" w:color="auto"/>
            </w:tcBorders>
            <w:vAlign w:val="center"/>
          </w:tcPr>
          <w:p w14:paraId="27811996"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p>
          <w:p w14:paraId="1EBF4452"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.001*</w:t>
            </w:r>
          </w:p>
        </w:tc>
      </w:tr>
      <w:tr w:rsidR="001B39BA" w:rsidRPr="001B39BA" w14:paraId="2B954AC1" w14:textId="77777777" w:rsidTr="005703E4">
        <w:tc>
          <w:tcPr>
            <w:tcW w:w="1382" w:type="dxa"/>
            <w:vAlign w:val="center"/>
          </w:tcPr>
          <w:p w14:paraId="3E6CABA0"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Residual</w:t>
            </w:r>
          </w:p>
        </w:tc>
        <w:tc>
          <w:tcPr>
            <w:tcW w:w="1382" w:type="dxa"/>
            <w:vAlign w:val="center"/>
          </w:tcPr>
          <w:p w14:paraId="6A00EE17"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2414.877</w:t>
            </w:r>
          </w:p>
        </w:tc>
        <w:tc>
          <w:tcPr>
            <w:tcW w:w="1383" w:type="dxa"/>
            <w:vAlign w:val="center"/>
          </w:tcPr>
          <w:p w14:paraId="40BAE7CF"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116</w:t>
            </w:r>
          </w:p>
        </w:tc>
        <w:tc>
          <w:tcPr>
            <w:tcW w:w="1383" w:type="dxa"/>
            <w:vAlign w:val="center"/>
          </w:tcPr>
          <w:p w14:paraId="5D5BC8EA"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20.818</w:t>
            </w:r>
          </w:p>
        </w:tc>
        <w:tc>
          <w:tcPr>
            <w:tcW w:w="1383" w:type="dxa"/>
            <w:vAlign w:val="center"/>
          </w:tcPr>
          <w:p w14:paraId="2537953F"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p>
        </w:tc>
        <w:tc>
          <w:tcPr>
            <w:tcW w:w="1383" w:type="dxa"/>
            <w:vAlign w:val="center"/>
          </w:tcPr>
          <w:p w14:paraId="60655C5D"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p>
        </w:tc>
      </w:tr>
      <w:tr w:rsidR="001B39BA" w:rsidRPr="001B39BA" w14:paraId="17FE6FD9" w14:textId="77777777" w:rsidTr="005703E4">
        <w:tc>
          <w:tcPr>
            <w:tcW w:w="1382" w:type="dxa"/>
            <w:tcBorders>
              <w:bottom w:val="single" w:sz="4" w:space="0" w:color="auto"/>
            </w:tcBorders>
            <w:vAlign w:val="center"/>
          </w:tcPr>
          <w:p w14:paraId="1961A854"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Total</w:t>
            </w:r>
          </w:p>
        </w:tc>
        <w:tc>
          <w:tcPr>
            <w:tcW w:w="1382" w:type="dxa"/>
            <w:tcBorders>
              <w:bottom w:val="single" w:sz="4" w:space="0" w:color="auto"/>
            </w:tcBorders>
            <w:vAlign w:val="center"/>
          </w:tcPr>
          <w:p w14:paraId="52836CAA"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2713.580</w:t>
            </w:r>
          </w:p>
        </w:tc>
        <w:tc>
          <w:tcPr>
            <w:tcW w:w="1383" w:type="dxa"/>
            <w:tcBorders>
              <w:bottom w:val="single" w:sz="4" w:space="0" w:color="auto"/>
            </w:tcBorders>
            <w:vAlign w:val="center"/>
          </w:tcPr>
          <w:p w14:paraId="16ECA0E8"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118</w:t>
            </w:r>
          </w:p>
        </w:tc>
        <w:tc>
          <w:tcPr>
            <w:tcW w:w="1383" w:type="dxa"/>
            <w:tcBorders>
              <w:bottom w:val="single" w:sz="4" w:space="0" w:color="auto"/>
            </w:tcBorders>
            <w:vAlign w:val="center"/>
          </w:tcPr>
          <w:p w14:paraId="0EE5B462"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p>
        </w:tc>
        <w:tc>
          <w:tcPr>
            <w:tcW w:w="1383" w:type="dxa"/>
            <w:tcBorders>
              <w:bottom w:val="single" w:sz="4" w:space="0" w:color="auto"/>
            </w:tcBorders>
            <w:vAlign w:val="center"/>
          </w:tcPr>
          <w:p w14:paraId="1D45CDC0"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p>
        </w:tc>
        <w:tc>
          <w:tcPr>
            <w:tcW w:w="1383" w:type="dxa"/>
            <w:tcBorders>
              <w:bottom w:val="single" w:sz="4" w:space="0" w:color="auto"/>
            </w:tcBorders>
            <w:vAlign w:val="center"/>
          </w:tcPr>
          <w:p w14:paraId="19F2F06E" w14:textId="77777777" w:rsidR="001B39BA" w:rsidRPr="001B39BA" w:rsidRDefault="001B39BA" w:rsidP="001B39BA">
            <w:pPr>
              <w:widowControl/>
              <w:autoSpaceDE/>
              <w:autoSpaceDN/>
              <w:spacing w:line="360" w:lineRule="auto"/>
              <w:jc w:val="center"/>
              <w:rPr>
                <w:rFonts w:ascii="Arial" w:eastAsiaTheme="minorHAnsi" w:hAnsi="Arial" w:cs="Arial"/>
                <w:kern w:val="2"/>
                <w:lang w:val="en-SG" w:eastAsia="en-SG"/>
                <w14:ligatures w14:val="standardContextual"/>
              </w:rPr>
            </w:pPr>
          </w:p>
        </w:tc>
      </w:tr>
    </w:tbl>
    <w:p w14:paraId="1715A10A" w14:textId="77777777" w:rsidR="001B39BA" w:rsidRPr="001B39BA" w:rsidRDefault="001B39BA" w:rsidP="001B39BA">
      <w:pPr>
        <w:widowControl/>
        <w:autoSpaceDE/>
        <w:autoSpaceDN/>
        <w:spacing w:after="160" w:line="360" w:lineRule="auto"/>
        <w:jc w:val="both"/>
        <w:rPr>
          <w:rFonts w:ascii="Arial" w:eastAsia="Times New Roman" w:hAnsi="Arial" w:cs="Arial"/>
          <w:b/>
          <w:bCs/>
          <w:lang w:val="en-SG" w:eastAsia="en-SG"/>
        </w:rPr>
      </w:pPr>
      <w:r w:rsidRPr="001B39BA">
        <w:rPr>
          <w:rFonts w:ascii="Arial" w:eastAsia="Times New Roman" w:hAnsi="Arial" w:cs="Arial"/>
          <w:b/>
          <w:bCs/>
          <w:vanish/>
          <w:lang w:val="en-SG" w:eastAsia="en-SG"/>
        </w:rPr>
        <w:t>Bottom of Form</w:t>
      </w:r>
    </w:p>
    <w:p w14:paraId="33CFC1DE"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Table 6 presents the predictive effects of the components of compassion fatigue, burnout, and secondary traumatic stress on compassion satisfaction</w:t>
      </w:r>
      <w:r w:rsidRPr="001B39BA">
        <w:rPr>
          <w:rFonts w:ascii="Arial" w:hAnsi="Arial" w:cs="Arial"/>
          <w:b/>
          <w:bCs/>
        </w:rPr>
        <w:t xml:space="preserve"> </w:t>
      </w:r>
      <w:r w:rsidRPr="001B39BA">
        <w:rPr>
          <w:rFonts w:ascii="Arial" w:hAnsi="Arial" w:cs="Arial"/>
        </w:rPr>
        <w:t>among guidance counselors. Although analyzed using the enter method in multiple linear regression, the findings are interpreted within the study’s broader structural framework to maintain consistency with the hypothesized model. Prior to analysis, all necessary assumptions were examined and satisfied, including linearity, normality of residuals, homoscedasticity, independence of errors, and absence of multicollinearity. Variance Inflation Factor (VIF) values were below the acceptable threshold of 10, indicating no multicollinearity concerns, while the Durbin–Watson value of 1.95</w:t>
      </w:r>
      <w:r w:rsidRPr="001B39BA">
        <w:rPr>
          <w:rFonts w:ascii="Arial" w:hAnsi="Arial" w:cs="Arial"/>
          <w:b/>
          <w:bCs/>
        </w:rPr>
        <w:t xml:space="preserve"> </w:t>
      </w:r>
      <w:r w:rsidRPr="001B39BA">
        <w:rPr>
          <w:rFonts w:ascii="Arial" w:hAnsi="Arial" w:cs="Arial"/>
        </w:rPr>
        <w:t>confirmed independence of errors. These results indicate that the data were appropriate for regression analysis.</w:t>
      </w:r>
    </w:p>
    <w:p w14:paraId="444D3532"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 xml:space="preserve">The model was statistically significant, </w:t>
      </w:r>
      <w:r w:rsidRPr="001B39BA">
        <w:rPr>
          <w:rFonts w:ascii="Arial" w:hAnsi="Arial" w:cs="Arial"/>
          <w:i/>
          <w:iCs/>
        </w:rPr>
        <w:t>F</w:t>
      </w:r>
      <w:r w:rsidRPr="001B39BA">
        <w:rPr>
          <w:rFonts w:ascii="Arial" w:hAnsi="Arial" w:cs="Arial"/>
        </w:rPr>
        <w:t xml:space="preserve">(2,116) = 7.174, </w:t>
      </w:r>
      <w:r w:rsidRPr="001B39BA">
        <w:rPr>
          <w:rFonts w:ascii="Arial" w:hAnsi="Arial" w:cs="Arial"/>
          <w:i/>
          <w:iCs/>
        </w:rPr>
        <w:t>p</w:t>
      </w:r>
      <w:r w:rsidRPr="001B39BA">
        <w:rPr>
          <w:rFonts w:ascii="Arial" w:hAnsi="Arial" w:cs="Arial"/>
        </w:rPr>
        <w:t xml:space="preserve"> = .001, explaining 11% of the variance in compassion satisfaction (</w:t>
      </w:r>
      <w:r w:rsidRPr="001B39BA">
        <w:rPr>
          <w:rFonts w:ascii="Arial" w:hAnsi="Arial" w:cs="Arial"/>
          <w:i/>
          <w:iCs/>
        </w:rPr>
        <w:t>R²</w:t>
      </w:r>
      <w:r w:rsidRPr="001B39BA">
        <w:rPr>
          <w:rFonts w:ascii="Arial" w:hAnsi="Arial" w:cs="Arial"/>
        </w:rPr>
        <w:t xml:space="preserve"> = .110; Adjusted </w:t>
      </w:r>
      <w:r w:rsidRPr="001B39BA">
        <w:rPr>
          <w:rFonts w:ascii="Arial" w:hAnsi="Arial" w:cs="Arial"/>
          <w:i/>
          <w:iCs/>
        </w:rPr>
        <w:t>R²</w:t>
      </w:r>
      <w:r w:rsidRPr="001B39BA">
        <w:rPr>
          <w:rFonts w:ascii="Arial" w:hAnsi="Arial" w:cs="Arial"/>
        </w:rPr>
        <w:t xml:space="preserve"> = .095). This suggests that components of compassion fatigue contribute to variations in professional fulfillment, although their overall influence is relatively modest. Other factors, such as work-specific characteristics, organizational support, and personal resources, may explain a substantial portion of the variance.</w:t>
      </w:r>
    </w:p>
    <w:p w14:paraId="60FE86F2"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Examining individual predictors</w:t>
      </w:r>
      <w:r w:rsidRPr="001B39BA">
        <w:rPr>
          <w:rFonts w:ascii="Arial" w:hAnsi="Arial" w:cs="Arial"/>
          <w:b/>
          <w:bCs/>
        </w:rPr>
        <w:t xml:space="preserve">, </w:t>
      </w:r>
      <w:r w:rsidRPr="001B39BA">
        <w:rPr>
          <w:rFonts w:ascii="Arial" w:hAnsi="Arial" w:cs="Arial"/>
        </w:rPr>
        <w:t>burnout emerged as a significant negative predictor</w:t>
      </w:r>
      <w:r w:rsidRPr="001B39BA">
        <w:rPr>
          <w:rFonts w:ascii="Arial" w:hAnsi="Arial" w:cs="Arial"/>
          <w:b/>
          <w:bCs/>
        </w:rPr>
        <w:t xml:space="preserve"> (</w:t>
      </w:r>
      <w:r w:rsidRPr="001B39BA">
        <w:rPr>
          <w:rFonts w:ascii="Arial" w:hAnsi="Arial" w:cs="Arial"/>
        </w:rPr>
        <w:t xml:space="preserve">B = –0.216, β = –0.335, </w:t>
      </w:r>
      <w:r w:rsidRPr="001B39BA">
        <w:rPr>
          <w:rFonts w:ascii="Arial" w:hAnsi="Arial" w:cs="Arial"/>
          <w:i/>
          <w:iCs/>
        </w:rPr>
        <w:t>p</w:t>
      </w:r>
      <w:r w:rsidRPr="001B39BA">
        <w:rPr>
          <w:rFonts w:ascii="Arial" w:hAnsi="Arial" w:cs="Arial"/>
        </w:rPr>
        <w:t xml:space="preserve"> = .001), indicating that higher emotional exhaustion is associated with lower compassion satisfaction. In practical terms, increased work-</w:t>
      </w:r>
      <w:r w:rsidRPr="001B39BA">
        <w:rPr>
          <w:rFonts w:ascii="Arial" w:hAnsi="Arial" w:cs="Arial"/>
        </w:rPr>
        <w:lastRenderedPageBreak/>
        <w:t xml:space="preserve">related strain may diminish counselors’ sense of fulfillment in helping others. In contrast, secondary traumatic stress did not significantly predict compassion satisfaction (β = 0.009, </w:t>
      </w:r>
      <w:r w:rsidRPr="001B39BA">
        <w:rPr>
          <w:rFonts w:ascii="Arial" w:hAnsi="Arial" w:cs="Arial"/>
          <w:i/>
          <w:iCs/>
        </w:rPr>
        <w:t>p</w:t>
      </w:r>
      <w:r w:rsidRPr="001B39BA">
        <w:rPr>
          <w:rFonts w:ascii="Arial" w:hAnsi="Arial" w:cs="Arial"/>
        </w:rPr>
        <w:t xml:space="preserve"> = .926), suggesting that indirect exposure to clients’ traumatic experiences does not meaningfully influence professional fulfillment in this model.</w:t>
      </w:r>
    </w:p>
    <w:p w14:paraId="5125BC02" w14:textId="77777777" w:rsidR="001B39BA" w:rsidRPr="001B39BA" w:rsidRDefault="001B39BA" w:rsidP="001B39BA">
      <w:pPr>
        <w:spacing w:line="360" w:lineRule="auto"/>
        <w:ind w:firstLine="720"/>
        <w:jc w:val="both"/>
        <w:rPr>
          <w:rFonts w:ascii="Arial" w:hAnsi="Arial" w:cs="Arial"/>
          <w:b/>
          <w:bCs/>
        </w:rPr>
      </w:pPr>
      <w:r w:rsidRPr="001B39BA">
        <w:rPr>
          <w:rFonts w:ascii="Arial" w:hAnsi="Arial" w:cs="Arial"/>
        </w:rPr>
        <w:t>Overall, the findings indicate that burnout plays a more critical role than secondary traumatic stress in shaping compassion satisfaction, although the overall effect of compassion fatigue remains limited. These results highlight the importance of addressing emotional exhaustion while also considering other protective and contextual factors that support guidance counselors’ well-being. Accordingly, the hypothesis stating that compassion fatigue, through burnout and secondary traumatic stress, significantly influences compassion satisfaction is partially supported</w:t>
      </w:r>
      <w:r w:rsidRPr="001B39BA">
        <w:rPr>
          <w:rFonts w:ascii="Arial" w:hAnsi="Arial" w:cs="Arial"/>
          <w:b/>
          <w:bCs/>
        </w:rPr>
        <w:t>.</w:t>
      </w:r>
    </w:p>
    <w:p w14:paraId="2FAA7FC1"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3AF3DF96"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Table 7</w:t>
      </w:r>
    </w:p>
    <w:p w14:paraId="6BFCE41E"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r w:rsidRPr="001B39BA">
        <w:rPr>
          <w:rFonts w:ascii="Arial" w:eastAsia="Times New Roman" w:hAnsi="Arial" w:cs="Arial"/>
          <w:lang w:val="en-SG" w:eastAsia="en-SG"/>
        </w:rPr>
        <w:t xml:space="preserve">Work-Specific Characteristics among Guidance Counselors’ Predicting Compassion Satisfaction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992"/>
        <w:gridCol w:w="992"/>
        <w:gridCol w:w="1701"/>
        <w:gridCol w:w="3623"/>
      </w:tblGrid>
      <w:tr w:rsidR="001B39BA" w:rsidRPr="001B39BA" w14:paraId="7816D6E7" w14:textId="77777777" w:rsidTr="005703E4">
        <w:tc>
          <w:tcPr>
            <w:tcW w:w="988" w:type="dxa"/>
            <w:tcBorders>
              <w:top w:val="single" w:sz="4" w:space="0" w:color="auto"/>
              <w:bottom w:val="single" w:sz="4" w:space="0" w:color="auto"/>
            </w:tcBorders>
            <w:vAlign w:val="center"/>
          </w:tcPr>
          <w:p w14:paraId="5FC83F05"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heme="minorHAnsi" w:hAnsi="Arial" w:cs="Arial"/>
                <w:kern w:val="2"/>
                <w:sz w:val="16"/>
                <w:szCs w:val="16"/>
                <w:lang w:val="en-SG" w:eastAsia="en-SG"/>
                <w14:ligatures w14:val="standardContextual"/>
              </w:rPr>
              <w:t>Model</w:t>
            </w:r>
          </w:p>
        </w:tc>
        <w:tc>
          <w:tcPr>
            <w:tcW w:w="992" w:type="dxa"/>
            <w:tcBorders>
              <w:top w:val="single" w:sz="4" w:space="0" w:color="auto"/>
              <w:bottom w:val="single" w:sz="4" w:space="0" w:color="auto"/>
            </w:tcBorders>
            <w:vAlign w:val="center"/>
          </w:tcPr>
          <w:p w14:paraId="202680DB"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heme="minorHAnsi" w:hAnsi="Arial" w:cs="Arial"/>
                <w:kern w:val="2"/>
                <w:sz w:val="16"/>
                <w:szCs w:val="16"/>
                <w:lang w:val="en-SG" w:eastAsia="en-SG"/>
                <w14:ligatures w14:val="standardContextual"/>
              </w:rPr>
              <w:t>R</w:t>
            </w:r>
          </w:p>
        </w:tc>
        <w:tc>
          <w:tcPr>
            <w:tcW w:w="992" w:type="dxa"/>
            <w:tcBorders>
              <w:top w:val="single" w:sz="4" w:space="0" w:color="auto"/>
              <w:bottom w:val="single" w:sz="4" w:space="0" w:color="auto"/>
            </w:tcBorders>
            <w:vAlign w:val="center"/>
          </w:tcPr>
          <w:p w14:paraId="002A0377"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heme="minorHAnsi" w:hAnsi="Arial" w:cs="Arial"/>
                <w:kern w:val="2"/>
                <w:sz w:val="16"/>
                <w:szCs w:val="16"/>
                <w:lang w:val="en-SG" w:eastAsia="en-SG"/>
                <w14:ligatures w14:val="standardContextual"/>
              </w:rPr>
              <w:t>R²</w:t>
            </w:r>
          </w:p>
        </w:tc>
        <w:tc>
          <w:tcPr>
            <w:tcW w:w="1701" w:type="dxa"/>
            <w:tcBorders>
              <w:top w:val="single" w:sz="4" w:space="0" w:color="auto"/>
              <w:bottom w:val="single" w:sz="4" w:space="0" w:color="auto"/>
            </w:tcBorders>
            <w:vAlign w:val="center"/>
          </w:tcPr>
          <w:p w14:paraId="66D39EA8"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heme="minorHAnsi" w:hAnsi="Arial" w:cs="Arial"/>
                <w:kern w:val="2"/>
                <w:sz w:val="16"/>
                <w:szCs w:val="16"/>
                <w:lang w:val="en-SG" w:eastAsia="en-SG"/>
                <w14:ligatures w14:val="standardContextual"/>
              </w:rPr>
              <w:t>Adjusted R²</w:t>
            </w:r>
          </w:p>
        </w:tc>
        <w:tc>
          <w:tcPr>
            <w:tcW w:w="3623" w:type="dxa"/>
            <w:tcBorders>
              <w:top w:val="single" w:sz="4" w:space="0" w:color="auto"/>
              <w:bottom w:val="single" w:sz="4" w:space="0" w:color="auto"/>
            </w:tcBorders>
            <w:vAlign w:val="center"/>
          </w:tcPr>
          <w:p w14:paraId="5F7A763C"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heme="minorHAnsi" w:hAnsi="Arial" w:cs="Arial"/>
                <w:kern w:val="2"/>
                <w:sz w:val="16"/>
                <w:szCs w:val="16"/>
                <w:lang w:val="en-SG" w:eastAsia="en-SG"/>
                <w14:ligatures w14:val="standardContextual"/>
              </w:rPr>
              <w:t>Std. Error of the Estimate</w:t>
            </w:r>
          </w:p>
        </w:tc>
      </w:tr>
      <w:tr w:rsidR="001B39BA" w:rsidRPr="001B39BA" w14:paraId="77B4A1DC" w14:textId="77777777" w:rsidTr="005703E4">
        <w:tc>
          <w:tcPr>
            <w:tcW w:w="988" w:type="dxa"/>
            <w:tcBorders>
              <w:top w:val="single" w:sz="4" w:space="0" w:color="auto"/>
              <w:bottom w:val="single" w:sz="4" w:space="0" w:color="auto"/>
            </w:tcBorders>
            <w:vAlign w:val="center"/>
          </w:tcPr>
          <w:p w14:paraId="1F3F4678"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p>
          <w:p w14:paraId="597F2875"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heme="minorHAnsi" w:hAnsi="Arial" w:cs="Arial"/>
                <w:kern w:val="2"/>
                <w:sz w:val="16"/>
                <w:szCs w:val="16"/>
                <w:lang w:val="en-SG" w:eastAsia="en-SG"/>
                <w14:ligatures w14:val="standardContextual"/>
              </w:rPr>
              <w:t>1</w:t>
            </w:r>
          </w:p>
        </w:tc>
        <w:tc>
          <w:tcPr>
            <w:tcW w:w="992" w:type="dxa"/>
            <w:tcBorders>
              <w:top w:val="single" w:sz="4" w:space="0" w:color="auto"/>
              <w:bottom w:val="single" w:sz="4" w:space="0" w:color="auto"/>
            </w:tcBorders>
            <w:vAlign w:val="center"/>
          </w:tcPr>
          <w:p w14:paraId="7E3FF98D"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p>
          <w:p w14:paraId="77558962"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heme="minorHAnsi" w:hAnsi="Arial" w:cs="Arial"/>
                <w:kern w:val="2"/>
                <w:sz w:val="16"/>
                <w:szCs w:val="16"/>
                <w:lang w:val="en-SG" w:eastAsia="en-SG"/>
                <w14:ligatures w14:val="standardContextual"/>
              </w:rPr>
              <w:t>0.680</w:t>
            </w:r>
          </w:p>
        </w:tc>
        <w:tc>
          <w:tcPr>
            <w:tcW w:w="992" w:type="dxa"/>
            <w:tcBorders>
              <w:top w:val="single" w:sz="4" w:space="0" w:color="auto"/>
              <w:bottom w:val="single" w:sz="4" w:space="0" w:color="auto"/>
            </w:tcBorders>
            <w:vAlign w:val="center"/>
          </w:tcPr>
          <w:p w14:paraId="27847BD9"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p>
          <w:p w14:paraId="2090086E"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heme="minorHAnsi" w:hAnsi="Arial" w:cs="Arial"/>
                <w:kern w:val="2"/>
                <w:sz w:val="16"/>
                <w:szCs w:val="16"/>
                <w:lang w:val="en-SG" w:eastAsia="en-SG"/>
                <w14:ligatures w14:val="standardContextual"/>
              </w:rPr>
              <w:t>0.463</w:t>
            </w:r>
          </w:p>
        </w:tc>
        <w:tc>
          <w:tcPr>
            <w:tcW w:w="1701" w:type="dxa"/>
            <w:tcBorders>
              <w:top w:val="single" w:sz="4" w:space="0" w:color="auto"/>
              <w:bottom w:val="single" w:sz="4" w:space="0" w:color="auto"/>
            </w:tcBorders>
            <w:vAlign w:val="center"/>
          </w:tcPr>
          <w:p w14:paraId="50A01A35"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p>
          <w:p w14:paraId="291A5093"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heme="minorHAnsi" w:hAnsi="Arial" w:cs="Arial"/>
                <w:kern w:val="2"/>
                <w:sz w:val="16"/>
                <w:szCs w:val="16"/>
                <w:lang w:val="en-SG" w:eastAsia="en-SG"/>
                <w14:ligatures w14:val="standardContextual"/>
              </w:rPr>
              <w:t>0.439</w:t>
            </w:r>
          </w:p>
        </w:tc>
        <w:tc>
          <w:tcPr>
            <w:tcW w:w="3623" w:type="dxa"/>
            <w:tcBorders>
              <w:top w:val="single" w:sz="4" w:space="0" w:color="auto"/>
              <w:bottom w:val="single" w:sz="4" w:space="0" w:color="auto"/>
            </w:tcBorders>
            <w:vAlign w:val="center"/>
          </w:tcPr>
          <w:p w14:paraId="7191F1C3"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p>
          <w:p w14:paraId="06F4C84B"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heme="minorHAnsi" w:hAnsi="Arial" w:cs="Arial"/>
                <w:kern w:val="2"/>
                <w:sz w:val="16"/>
                <w:szCs w:val="16"/>
                <w:lang w:val="en-SG" w:eastAsia="en-SG"/>
                <w14:ligatures w14:val="standardContextual"/>
              </w:rPr>
              <w:t>3.592</w:t>
            </w:r>
          </w:p>
        </w:tc>
      </w:tr>
    </w:tbl>
    <w:p w14:paraId="67B27319"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p>
    <w:p w14:paraId="43F681CA"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ANOVA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1382"/>
        <w:gridCol w:w="1383"/>
        <w:gridCol w:w="1383"/>
        <w:gridCol w:w="1383"/>
        <w:gridCol w:w="1383"/>
      </w:tblGrid>
      <w:tr w:rsidR="001B39BA" w:rsidRPr="001B39BA" w14:paraId="3E6D3102" w14:textId="77777777" w:rsidTr="005703E4">
        <w:tc>
          <w:tcPr>
            <w:tcW w:w="1382" w:type="dxa"/>
            <w:tcBorders>
              <w:top w:val="single" w:sz="4" w:space="0" w:color="auto"/>
              <w:bottom w:val="single" w:sz="4" w:space="0" w:color="auto"/>
            </w:tcBorders>
            <w:vAlign w:val="center"/>
          </w:tcPr>
          <w:p w14:paraId="62DDF7F3"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imes New Roman" w:hAnsi="Arial" w:cs="Arial"/>
                <w:sz w:val="16"/>
                <w:szCs w:val="16"/>
                <w:lang w:val="en-SG" w:eastAsia="en-SG"/>
              </w:rPr>
              <w:t>Source</w:t>
            </w:r>
          </w:p>
        </w:tc>
        <w:tc>
          <w:tcPr>
            <w:tcW w:w="1382" w:type="dxa"/>
            <w:tcBorders>
              <w:top w:val="single" w:sz="4" w:space="0" w:color="auto"/>
              <w:bottom w:val="single" w:sz="4" w:space="0" w:color="auto"/>
            </w:tcBorders>
            <w:vAlign w:val="center"/>
          </w:tcPr>
          <w:p w14:paraId="787E0FBF"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imes New Roman" w:hAnsi="Arial" w:cs="Arial"/>
                <w:sz w:val="16"/>
                <w:szCs w:val="16"/>
                <w:lang w:val="en-SG" w:eastAsia="en-SG"/>
              </w:rPr>
              <w:t>Sum of Squares</w:t>
            </w:r>
          </w:p>
        </w:tc>
        <w:tc>
          <w:tcPr>
            <w:tcW w:w="1383" w:type="dxa"/>
            <w:tcBorders>
              <w:top w:val="single" w:sz="4" w:space="0" w:color="auto"/>
              <w:bottom w:val="single" w:sz="4" w:space="0" w:color="auto"/>
            </w:tcBorders>
            <w:vAlign w:val="center"/>
          </w:tcPr>
          <w:p w14:paraId="172F16DD"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imes New Roman" w:hAnsi="Arial" w:cs="Arial"/>
                <w:sz w:val="16"/>
                <w:szCs w:val="16"/>
                <w:lang w:val="en-SG" w:eastAsia="en-SG"/>
              </w:rPr>
              <w:t>df</w:t>
            </w:r>
          </w:p>
        </w:tc>
        <w:tc>
          <w:tcPr>
            <w:tcW w:w="1383" w:type="dxa"/>
            <w:tcBorders>
              <w:top w:val="single" w:sz="4" w:space="0" w:color="auto"/>
              <w:bottom w:val="single" w:sz="4" w:space="0" w:color="auto"/>
            </w:tcBorders>
            <w:vAlign w:val="center"/>
          </w:tcPr>
          <w:p w14:paraId="048CD529"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imes New Roman" w:hAnsi="Arial" w:cs="Arial"/>
                <w:sz w:val="16"/>
                <w:szCs w:val="16"/>
                <w:lang w:val="en-SG" w:eastAsia="en-SG"/>
              </w:rPr>
              <w:t>Mean Square</w:t>
            </w:r>
          </w:p>
        </w:tc>
        <w:tc>
          <w:tcPr>
            <w:tcW w:w="1383" w:type="dxa"/>
            <w:tcBorders>
              <w:top w:val="single" w:sz="4" w:space="0" w:color="auto"/>
              <w:bottom w:val="single" w:sz="4" w:space="0" w:color="auto"/>
            </w:tcBorders>
            <w:vAlign w:val="center"/>
          </w:tcPr>
          <w:p w14:paraId="29DA3434"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imes New Roman" w:hAnsi="Arial" w:cs="Arial"/>
                <w:sz w:val="16"/>
                <w:szCs w:val="16"/>
                <w:lang w:val="en-SG" w:eastAsia="en-SG"/>
              </w:rPr>
              <w:t>F</w:t>
            </w:r>
          </w:p>
        </w:tc>
        <w:tc>
          <w:tcPr>
            <w:tcW w:w="1383" w:type="dxa"/>
            <w:tcBorders>
              <w:top w:val="single" w:sz="4" w:space="0" w:color="auto"/>
              <w:bottom w:val="single" w:sz="4" w:space="0" w:color="auto"/>
            </w:tcBorders>
            <w:vAlign w:val="center"/>
          </w:tcPr>
          <w:p w14:paraId="33116C1C"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imes New Roman" w:hAnsi="Arial" w:cs="Arial"/>
                <w:sz w:val="16"/>
                <w:szCs w:val="16"/>
                <w:lang w:val="en-SG" w:eastAsia="en-SG"/>
              </w:rPr>
              <w:t>Sig.</w:t>
            </w:r>
          </w:p>
        </w:tc>
      </w:tr>
      <w:tr w:rsidR="001B39BA" w:rsidRPr="001B39BA" w14:paraId="3B65E22B" w14:textId="77777777" w:rsidTr="005703E4">
        <w:tc>
          <w:tcPr>
            <w:tcW w:w="1382" w:type="dxa"/>
            <w:tcBorders>
              <w:top w:val="single" w:sz="4" w:space="0" w:color="auto"/>
            </w:tcBorders>
            <w:vAlign w:val="center"/>
          </w:tcPr>
          <w:p w14:paraId="7DFDF476" w14:textId="77777777" w:rsidR="001B39BA" w:rsidRPr="00AF4E8C" w:rsidRDefault="001B39BA" w:rsidP="00AF4E8C">
            <w:pPr>
              <w:widowControl/>
              <w:autoSpaceDE/>
              <w:autoSpaceDN/>
              <w:jc w:val="center"/>
              <w:rPr>
                <w:rFonts w:ascii="Arial" w:eastAsia="Times New Roman" w:hAnsi="Arial" w:cs="Arial"/>
                <w:sz w:val="16"/>
                <w:szCs w:val="16"/>
                <w:lang w:val="en-SG" w:eastAsia="en-SG"/>
              </w:rPr>
            </w:pPr>
          </w:p>
          <w:p w14:paraId="129851CC"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imes New Roman" w:hAnsi="Arial" w:cs="Arial"/>
                <w:sz w:val="16"/>
                <w:szCs w:val="16"/>
                <w:lang w:val="en-SG" w:eastAsia="en-SG"/>
              </w:rPr>
              <w:t>Regression</w:t>
            </w:r>
          </w:p>
        </w:tc>
        <w:tc>
          <w:tcPr>
            <w:tcW w:w="1382" w:type="dxa"/>
            <w:tcBorders>
              <w:top w:val="single" w:sz="4" w:space="0" w:color="auto"/>
            </w:tcBorders>
            <w:vAlign w:val="center"/>
          </w:tcPr>
          <w:p w14:paraId="7886CD8E" w14:textId="77777777" w:rsidR="001B39BA" w:rsidRPr="00AF4E8C" w:rsidRDefault="001B39BA" w:rsidP="00AF4E8C">
            <w:pPr>
              <w:widowControl/>
              <w:autoSpaceDE/>
              <w:autoSpaceDN/>
              <w:jc w:val="center"/>
              <w:rPr>
                <w:rFonts w:ascii="Arial" w:eastAsia="Times New Roman" w:hAnsi="Arial" w:cs="Arial"/>
                <w:sz w:val="16"/>
                <w:szCs w:val="16"/>
                <w:lang w:val="en-SG" w:eastAsia="en-SG"/>
              </w:rPr>
            </w:pPr>
          </w:p>
          <w:p w14:paraId="6688C79B"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imes New Roman" w:hAnsi="Arial" w:cs="Arial"/>
                <w:sz w:val="16"/>
                <w:szCs w:val="16"/>
                <w:lang w:val="en-SG" w:eastAsia="en-SG"/>
              </w:rPr>
              <w:t>1255.773</w:t>
            </w:r>
          </w:p>
        </w:tc>
        <w:tc>
          <w:tcPr>
            <w:tcW w:w="1383" w:type="dxa"/>
            <w:tcBorders>
              <w:top w:val="single" w:sz="4" w:space="0" w:color="auto"/>
            </w:tcBorders>
            <w:vAlign w:val="center"/>
          </w:tcPr>
          <w:p w14:paraId="285E6B70" w14:textId="77777777" w:rsidR="001B39BA" w:rsidRPr="00AF4E8C" w:rsidRDefault="001B39BA" w:rsidP="00AF4E8C">
            <w:pPr>
              <w:widowControl/>
              <w:autoSpaceDE/>
              <w:autoSpaceDN/>
              <w:jc w:val="center"/>
              <w:rPr>
                <w:rFonts w:ascii="Arial" w:eastAsia="Times New Roman" w:hAnsi="Arial" w:cs="Arial"/>
                <w:sz w:val="16"/>
                <w:szCs w:val="16"/>
                <w:lang w:val="en-SG" w:eastAsia="en-SG"/>
              </w:rPr>
            </w:pPr>
          </w:p>
          <w:p w14:paraId="494C7144"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imes New Roman" w:hAnsi="Arial" w:cs="Arial"/>
                <w:sz w:val="16"/>
                <w:szCs w:val="16"/>
                <w:lang w:val="en-SG" w:eastAsia="en-SG"/>
              </w:rPr>
              <w:t>5</w:t>
            </w:r>
          </w:p>
        </w:tc>
        <w:tc>
          <w:tcPr>
            <w:tcW w:w="1383" w:type="dxa"/>
            <w:tcBorders>
              <w:top w:val="single" w:sz="4" w:space="0" w:color="auto"/>
            </w:tcBorders>
            <w:vAlign w:val="center"/>
          </w:tcPr>
          <w:p w14:paraId="14A225C8" w14:textId="77777777" w:rsidR="001B39BA" w:rsidRPr="00AF4E8C" w:rsidRDefault="001B39BA" w:rsidP="00AF4E8C">
            <w:pPr>
              <w:widowControl/>
              <w:autoSpaceDE/>
              <w:autoSpaceDN/>
              <w:jc w:val="center"/>
              <w:rPr>
                <w:rFonts w:ascii="Arial" w:eastAsia="Times New Roman" w:hAnsi="Arial" w:cs="Arial"/>
                <w:sz w:val="16"/>
                <w:szCs w:val="16"/>
                <w:lang w:val="en-SG" w:eastAsia="en-SG"/>
              </w:rPr>
            </w:pPr>
          </w:p>
          <w:p w14:paraId="2B902899"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imes New Roman" w:hAnsi="Arial" w:cs="Arial"/>
                <w:sz w:val="16"/>
                <w:szCs w:val="16"/>
                <w:lang w:val="en-SG" w:eastAsia="en-SG"/>
              </w:rPr>
              <w:t>251.155</w:t>
            </w:r>
          </w:p>
        </w:tc>
        <w:tc>
          <w:tcPr>
            <w:tcW w:w="1383" w:type="dxa"/>
            <w:tcBorders>
              <w:top w:val="single" w:sz="4" w:space="0" w:color="auto"/>
            </w:tcBorders>
            <w:vAlign w:val="center"/>
          </w:tcPr>
          <w:p w14:paraId="54723F3C" w14:textId="77777777" w:rsidR="001B39BA" w:rsidRPr="00AF4E8C" w:rsidRDefault="001B39BA" w:rsidP="00AF4E8C">
            <w:pPr>
              <w:widowControl/>
              <w:autoSpaceDE/>
              <w:autoSpaceDN/>
              <w:jc w:val="center"/>
              <w:rPr>
                <w:rFonts w:ascii="Arial" w:eastAsia="Times New Roman" w:hAnsi="Arial" w:cs="Arial"/>
                <w:sz w:val="16"/>
                <w:szCs w:val="16"/>
                <w:lang w:val="en-SG" w:eastAsia="en-SG"/>
              </w:rPr>
            </w:pPr>
          </w:p>
          <w:p w14:paraId="3DF0CFD7"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imes New Roman" w:hAnsi="Arial" w:cs="Arial"/>
                <w:sz w:val="16"/>
                <w:szCs w:val="16"/>
                <w:lang w:val="en-SG" w:eastAsia="en-SG"/>
              </w:rPr>
              <w:t>19.468</w:t>
            </w:r>
          </w:p>
        </w:tc>
        <w:tc>
          <w:tcPr>
            <w:tcW w:w="1383" w:type="dxa"/>
            <w:tcBorders>
              <w:top w:val="single" w:sz="4" w:space="0" w:color="auto"/>
            </w:tcBorders>
            <w:vAlign w:val="center"/>
          </w:tcPr>
          <w:p w14:paraId="5A624C49" w14:textId="77777777" w:rsidR="001B39BA" w:rsidRPr="00AF4E8C" w:rsidRDefault="001B39BA" w:rsidP="00AF4E8C">
            <w:pPr>
              <w:widowControl/>
              <w:autoSpaceDE/>
              <w:autoSpaceDN/>
              <w:jc w:val="center"/>
              <w:rPr>
                <w:rFonts w:ascii="Arial" w:eastAsia="Times New Roman" w:hAnsi="Arial" w:cs="Arial"/>
                <w:sz w:val="16"/>
                <w:szCs w:val="16"/>
                <w:lang w:val="en-SG" w:eastAsia="en-SG"/>
              </w:rPr>
            </w:pPr>
          </w:p>
          <w:p w14:paraId="08157CEA"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imes New Roman" w:hAnsi="Arial" w:cs="Arial"/>
                <w:sz w:val="16"/>
                <w:szCs w:val="16"/>
                <w:lang w:val="en-SG" w:eastAsia="en-SG"/>
              </w:rPr>
              <w:t>&lt; .001</w:t>
            </w:r>
          </w:p>
        </w:tc>
      </w:tr>
      <w:tr w:rsidR="001B39BA" w:rsidRPr="001B39BA" w14:paraId="7113F56D" w14:textId="77777777" w:rsidTr="005703E4">
        <w:tc>
          <w:tcPr>
            <w:tcW w:w="1382" w:type="dxa"/>
            <w:vAlign w:val="center"/>
          </w:tcPr>
          <w:p w14:paraId="4EA25832"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imes New Roman" w:hAnsi="Arial" w:cs="Arial"/>
                <w:sz w:val="16"/>
                <w:szCs w:val="16"/>
                <w:lang w:val="en-SG" w:eastAsia="en-SG"/>
              </w:rPr>
              <w:t>Residual</w:t>
            </w:r>
          </w:p>
        </w:tc>
        <w:tc>
          <w:tcPr>
            <w:tcW w:w="1382" w:type="dxa"/>
            <w:vAlign w:val="center"/>
          </w:tcPr>
          <w:p w14:paraId="451E686E"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imes New Roman" w:hAnsi="Arial" w:cs="Arial"/>
                <w:sz w:val="16"/>
                <w:szCs w:val="16"/>
                <w:lang w:val="en-SG" w:eastAsia="en-SG"/>
              </w:rPr>
              <w:t>1457.807</w:t>
            </w:r>
          </w:p>
        </w:tc>
        <w:tc>
          <w:tcPr>
            <w:tcW w:w="1383" w:type="dxa"/>
            <w:vAlign w:val="center"/>
          </w:tcPr>
          <w:p w14:paraId="3A991DE0"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imes New Roman" w:hAnsi="Arial" w:cs="Arial"/>
                <w:sz w:val="16"/>
                <w:szCs w:val="16"/>
                <w:lang w:val="en-SG" w:eastAsia="en-SG"/>
              </w:rPr>
              <w:t>113</w:t>
            </w:r>
          </w:p>
        </w:tc>
        <w:tc>
          <w:tcPr>
            <w:tcW w:w="1383" w:type="dxa"/>
            <w:vAlign w:val="center"/>
          </w:tcPr>
          <w:p w14:paraId="1F1BF304"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imes New Roman" w:hAnsi="Arial" w:cs="Arial"/>
                <w:sz w:val="16"/>
                <w:szCs w:val="16"/>
                <w:lang w:val="en-SG" w:eastAsia="en-SG"/>
              </w:rPr>
              <w:t>12.901</w:t>
            </w:r>
          </w:p>
        </w:tc>
        <w:tc>
          <w:tcPr>
            <w:tcW w:w="1383" w:type="dxa"/>
            <w:vAlign w:val="center"/>
          </w:tcPr>
          <w:p w14:paraId="0E46B5BA"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p>
        </w:tc>
        <w:tc>
          <w:tcPr>
            <w:tcW w:w="1383" w:type="dxa"/>
            <w:vAlign w:val="center"/>
          </w:tcPr>
          <w:p w14:paraId="49B648CE"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p>
        </w:tc>
      </w:tr>
      <w:tr w:rsidR="001B39BA" w:rsidRPr="001B39BA" w14:paraId="3D09C718" w14:textId="77777777" w:rsidTr="005703E4">
        <w:tc>
          <w:tcPr>
            <w:tcW w:w="1382" w:type="dxa"/>
            <w:tcBorders>
              <w:bottom w:val="single" w:sz="4" w:space="0" w:color="auto"/>
            </w:tcBorders>
            <w:vAlign w:val="center"/>
          </w:tcPr>
          <w:p w14:paraId="25BB5AB3"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imes New Roman" w:hAnsi="Arial" w:cs="Arial"/>
                <w:sz w:val="16"/>
                <w:szCs w:val="16"/>
                <w:lang w:val="en-SG" w:eastAsia="en-SG"/>
              </w:rPr>
              <w:t>Total</w:t>
            </w:r>
          </w:p>
        </w:tc>
        <w:tc>
          <w:tcPr>
            <w:tcW w:w="1382" w:type="dxa"/>
            <w:tcBorders>
              <w:bottom w:val="single" w:sz="4" w:space="0" w:color="auto"/>
            </w:tcBorders>
            <w:vAlign w:val="center"/>
          </w:tcPr>
          <w:p w14:paraId="1F93417F"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imes New Roman" w:hAnsi="Arial" w:cs="Arial"/>
                <w:sz w:val="16"/>
                <w:szCs w:val="16"/>
                <w:lang w:val="en-SG" w:eastAsia="en-SG"/>
              </w:rPr>
              <w:t>2713.580</w:t>
            </w:r>
          </w:p>
        </w:tc>
        <w:tc>
          <w:tcPr>
            <w:tcW w:w="1383" w:type="dxa"/>
            <w:tcBorders>
              <w:bottom w:val="single" w:sz="4" w:space="0" w:color="auto"/>
            </w:tcBorders>
            <w:vAlign w:val="center"/>
          </w:tcPr>
          <w:p w14:paraId="6F446F03"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r w:rsidRPr="00AF4E8C">
              <w:rPr>
                <w:rFonts w:ascii="Arial" w:eastAsia="Times New Roman" w:hAnsi="Arial" w:cs="Arial"/>
                <w:sz w:val="16"/>
                <w:szCs w:val="16"/>
                <w:lang w:val="en-SG" w:eastAsia="en-SG"/>
              </w:rPr>
              <w:t>118</w:t>
            </w:r>
          </w:p>
        </w:tc>
        <w:tc>
          <w:tcPr>
            <w:tcW w:w="1383" w:type="dxa"/>
            <w:tcBorders>
              <w:bottom w:val="single" w:sz="4" w:space="0" w:color="auto"/>
            </w:tcBorders>
            <w:vAlign w:val="center"/>
          </w:tcPr>
          <w:p w14:paraId="2F63CA0A"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p>
        </w:tc>
        <w:tc>
          <w:tcPr>
            <w:tcW w:w="1383" w:type="dxa"/>
            <w:tcBorders>
              <w:bottom w:val="single" w:sz="4" w:space="0" w:color="auto"/>
            </w:tcBorders>
            <w:vAlign w:val="center"/>
          </w:tcPr>
          <w:p w14:paraId="224AB687"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p>
        </w:tc>
        <w:tc>
          <w:tcPr>
            <w:tcW w:w="1383" w:type="dxa"/>
            <w:tcBorders>
              <w:bottom w:val="single" w:sz="4" w:space="0" w:color="auto"/>
            </w:tcBorders>
            <w:vAlign w:val="center"/>
          </w:tcPr>
          <w:p w14:paraId="27492B2B" w14:textId="77777777" w:rsidR="001B39BA" w:rsidRPr="00AF4E8C" w:rsidRDefault="001B39BA" w:rsidP="00AF4E8C">
            <w:pPr>
              <w:widowControl/>
              <w:autoSpaceDE/>
              <w:autoSpaceDN/>
              <w:jc w:val="center"/>
              <w:rPr>
                <w:rFonts w:ascii="Arial" w:eastAsiaTheme="minorHAnsi" w:hAnsi="Arial" w:cs="Arial"/>
                <w:kern w:val="2"/>
                <w:sz w:val="16"/>
                <w:szCs w:val="16"/>
                <w:lang w:val="en-SG" w:eastAsia="en-SG"/>
                <w14:ligatures w14:val="standardContextual"/>
              </w:rPr>
            </w:pPr>
          </w:p>
        </w:tc>
      </w:tr>
    </w:tbl>
    <w:p w14:paraId="3B27BF95" w14:textId="77777777" w:rsidR="001B39BA" w:rsidRPr="001B39BA" w:rsidRDefault="001B39BA" w:rsidP="001B39BA">
      <w:pPr>
        <w:widowControl/>
        <w:autoSpaceDE/>
        <w:autoSpaceDN/>
        <w:spacing w:line="360" w:lineRule="auto"/>
        <w:jc w:val="center"/>
        <w:rPr>
          <w:rFonts w:ascii="Arial" w:eastAsiaTheme="minorHAnsi" w:hAnsi="Arial" w:cs="Arial"/>
          <w:i/>
          <w:iCs/>
          <w:kern w:val="2"/>
          <w:lang w:val="en-SG" w:eastAsia="en-SG"/>
          <w14:ligatures w14:val="standardContextual"/>
        </w:rPr>
      </w:pPr>
    </w:p>
    <w:p w14:paraId="79192032"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 xml:space="preserve">Table 7 presents the combined influence of work-specific characteristics, empathic understanding, genuineness, non-judgmental attitude, interpersonal skills, and self-compassion on compassion satisfaction among guidance counselors. Although analyzed using the enter method in multiple regression, the findings are interpreted within the study’s broader structural framework to ensure consistency with the hypothesized model. </w:t>
      </w:r>
    </w:p>
    <w:p w14:paraId="087CD933" w14:textId="77777777" w:rsidR="00AF4E8C" w:rsidRDefault="001B39BA" w:rsidP="00AF4E8C">
      <w:pPr>
        <w:spacing w:line="360" w:lineRule="auto"/>
        <w:jc w:val="both"/>
        <w:rPr>
          <w:rFonts w:ascii="Arial" w:hAnsi="Arial" w:cs="Arial"/>
        </w:rPr>
      </w:pPr>
      <w:r w:rsidRPr="001B39BA">
        <w:rPr>
          <w:rFonts w:ascii="Arial" w:hAnsi="Arial" w:cs="Arial"/>
        </w:rPr>
        <w:t>Prior to analysis, all necessary assumptions were examined and satisfied, including linearity, normality of residuals, homoscedasticity, independence of errors, and absence of multicollinearity</w:t>
      </w:r>
      <w:r w:rsidRPr="001B39BA">
        <w:rPr>
          <w:rFonts w:ascii="Arial" w:hAnsi="Arial" w:cs="Arial"/>
          <w:b/>
          <w:bCs/>
        </w:rPr>
        <w:t>,</w:t>
      </w:r>
      <w:r w:rsidRPr="001B39BA">
        <w:rPr>
          <w:rFonts w:ascii="Arial" w:hAnsi="Arial" w:cs="Arial"/>
        </w:rPr>
        <w:t xml:space="preserve"> indicating that the data were appropriate for inferential analysis.</w:t>
      </w:r>
      <w:r w:rsidR="00AF4E8C">
        <w:rPr>
          <w:rFonts w:ascii="Arial" w:hAnsi="Arial" w:cs="Arial"/>
        </w:rPr>
        <w:t xml:space="preserve"> </w:t>
      </w:r>
      <w:r w:rsidRPr="001B39BA">
        <w:rPr>
          <w:rFonts w:ascii="Arial" w:hAnsi="Arial" w:cs="Arial"/>
        </w:rPr>
        <w:t xml:space="preserve">The model was statistically significant, </w:t>
      </w:r>
      <w:r w:rsidRPr="001B39BA">
        <w:rPr>
          <w:rFonts w:ascii="Arial" w:hAnsi="Arial" w:cs="Arial"/>
          <w:i/>
          <w:iCs/>
        </w:rPr>
        <w:t>F</w:t>
      </w:r>
      <w:r w:rsidRPr="001B39BA">
        <w:rPr>
          <w:rFonts w:ascii="Arial" w:hAnsi="Arial" w:cs="Arial"/>
        </w:rPr>
        <w:t xml:space="preserve">(5,113) = 19.468, </w:t>
      </w:r>
      <w:r w:rsidRPr="001B39BA">
        <w:rPr>
          <w:rFonts w:ascii="Arial" w:hAnsi="Arial" w:cs="Arial"/>
          <w:i/>
          <w:iCs/>
        </w:rPr>
        <w:t>p</w:t>
      </w:r>
      <w:r w:rsidRPr="001B39BA">
        <w:rPr>
          <w:rFonts w:ascii="Arial" w:hAnsi="Arial" w:cs="Arial"/>
        </w:rPr>
        <w:t xml:space="preserve"> &lt; .001, explaining 46.3% of the variance in compassion satisfaction (</w:t>
      </w:r>
      <w:r w:rsidRPr="001B39BA">
        <w:rPr>
          <w:rFonts w:ascii="Arial" w:hAnsi="Arial" w:cs="Arial"/>
          <w:i/>
          <w:iCs/>
        </w:rPr>
        <w:t>R²</w:t>
      </w:r>
      <w:r w:rsidRPr="001B39BA">
        <w:rPr>
          <w:rFonts w:ascii="Arial" w:hAnsi="Arial" w:cs="Arial"/>
        </w:rPr>
        <w:t xml:space="preserve"> = .463; Adjusted </w:t>
      </w:r>
      <w:r w:rsidRPr="001B39BA">
        <w:rPr>
          <w:rFonts w:ascii="Arial" w:hAnsi="Arial" w:cs="Arial"/>
          <w:i/>
          <w:iCs/>
        </w:rPr>
        <w:t>R²</w:t>
      </w:r>
      <w:r w:rsidRPr="001B39BA">
        <w:rPr>
          <w:rFonts w:ascii="Arial" w:hAnsi="Arial" w:cs="Arial"/>
        </w:rPr>
        <w:t xml:space="preserve"> = .439). </w:t>
      </w:r>
    </w:p>
    <w:p w14:paraId="4987998C" w14:textId="326C002B" w:rsidR="001B39BA" w:rsidRPr="001B39BA" w:rsidRDefault="001B39BA" w:rsidP="001B39BA">
      <w:pPr>
        <w:spacing w:line="360" w:lineRule="auto"/>
        <w:ind w:firstLine="720"/>
        <w:jc w:val="both"/>
        <w:rPr>
          <w:rFonts w:ascii="Arial" w:hAnsi="Arial" w:cs="Arial"/>
          <w:b/>
          <w:bCs/>
        </w:rPr>
      </w:pPr>
      <w:r w:rsidRPr="001B39BA">
        <w:rPr>
          <w:rFonts w:ascii="Arial" w:hAnsi="Arial" w:cs="Arial"/>
        </w:rPr>
        <w:t xml:space="preserve">This indicates that nearly half of the variation in guidance counselors’ professional fulfillment is attributable to their work-specific characteristics. These findings highlight the </w:t>
      </w:r>
      <w:r w:rsidRPr="001B39BA">
        <w:rPr>
          <w:rFonts w:ascii="Arial" w:hAnsi="Arial" w:cs="Arial"/>
        </w:rPr>
        <w:lastRenderedPageBreak/>
        <w:t>important role of competencies such as interpersonal effectiveness, authenticity, empathy, and self-awareness in enhancing guidance counselors’ sense of purpose and professional satisfaction. At the same time, the remaining 53.7% of the variance suggests the influence of other factors not included in the model, such as organizational conditions, workload, institutional support, and broader contextual influences. This underscores that while individual competencies are critical, external factors also play a substantial role in shaping professional well-being.</w:t>
      </w:r>
      <w:r w:rsidR="00AF4E8C">
        <w:rPr>
          <w:rFonts w:ascii="Arial" w:hAnsi="Arial" w:cs="Arial"/>
        </w:rPr>
        <w:t xml:space="preserve"> </w:t>
      </w:r>
      <w:r w:rsidRPr="001B39BA">
        <w:rPr>
          <w:rFonts w:ascii="Arial" w:hAnsi="Arial" w:cs="Arial"/>
        </w:rPr>
        <w:t>Consistent with the broader structural model, the findings demonstrate that</w:t>
      </w:r>
      <w:r w:rsidRPr="001B39BA">
        <w:rPr>
          <w:rFonts w:ascii="Arial" w:hAnsi="Arial" w:cs="Arial"/>
          <w:b/>
          <w:bCs/>
        </w:rPr>
        <w:t xml:space="preserve"> </w:t>
      </w:r>
      <w:r w:rsidRPr="001B39BA">
        <w:rPr>
          <w:rFonts w:ascii="Arial" w:hAnsi="Arial" w:cs="Arial"/>
        </w:rPr>
        <w:t>work-specific characteristics are strong and meaningful predictors of compassion satisfaction. In contrast, earlier results indicate that these characteristics do not significantly predict compassion fatigue. Accordingly, the hypothesis stating that work-specific characteristics significantly predict both compassion satisfaction and compassion fatigue is partially supported</w:t>
      </w:r>
      <w:r w:rsidRPr="001B39BA">
        <w:rPr>
          <w:rFonts w:ascii="Arial" w:hAnsi="Arial" w:cs="Arial"/>
          <w:b/>
          <w:bCs/>
        </w:rPr>
        <w:t>.</w:t>
      </w:r>
    </w:p>
    <w:p w14:paraId="3FAD1FDA" w14:textId="77777777" w:rsidR="00AF4E8C" w:rsidRDefault="00AF4E8C" w:rsidP="001B39BA">
      <w:pPr>
        <w:widowControl/>
        <w:autoSpaceDE/>
        <w:autoSpaceDN/>
        <w:spacing w:line="360" w:lineRule="auto"/>
        <w:jc w:val="both"/>
        <w:rPr>
          <w:rFonts w:ascii="Arial" w:eastAsiaTheme="minorHAnsi" w:hAnsi="Arial" w:cs="Arial"/>
          <w:kern w:val="2"/>
          <w:lang w:val="en-SG" w:eastAsia="en-SG"/>
          <w14:ligatures w14:val="standardContextual"/>
        </w:rPr>
      </w:pPr>
    </w:p>
    <w:p w14:paraId="7364D4AC" w14:textId="7694A5E4" w:rsidR="001B39BA" w:rsidRPr="001B39BA" w:rsidRDefault="001B39BA" w:rsidP="001B39BA">
      <w:pPr>
        <w:widowControl/>
        <w:autoSpaceDE/>
        <w:autoSpaceDN/>
        <w:spacing w:line="360" w:lineRule="auto"/>
        <w:jc w:val="both"/>
        <w:rPr>
          <w:rFonts w:ascii="Arial" w:eastAsiaTheme="minorHAnsi" w:hAnsi="Arial" w:cs="Arial"/>
          <w:i/>
          <w:iCs/>
          <w:kern w:val="2"/>
          <w:lang w:val="en-SG" w:eastAsia="en-SG"/>
          <w14:ligatures w14:val="standardContextual"/>
        </w:rPr>
      </w:pPr>
      <w:r w:rsidRPr="001B39BA">
        <w:rPr>
          <w:rFonts w:ascii="Arial" w:eastAsiaTheme="minorHAnsi" w:hAnsi="Arial" w:cs="Arial"/>
          <w:kern w:val="2"/>
          <w:lang w:val="en-SG" w:eastAsia="en-SG"/>
          <w14:ligatures w14:val="standardContextual"/>
        </w:rPr>
        <w:t>Table 8</w:t>
      </w:r>
    </w:p>
    <w:p w14:paraId="7E3FB3FB"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Work-Specific Characteristics Mediation on Compassion Satisfaction and Compassion Fatigue </w:t>
      </w:r>
    </w:p>
    <w:tbl>
      <w:tblPr>
        <w:tblW w:w="8647" w:type="dxa"/>
        <w:tblLook w:val="04A0" w:firstRow="1" w:lastRow="0" w:firstColumn="1" w:lastColumn="0" w:noHBand="0" w:noVBand="1"/>
      </w:tblPr>
      <w:tblGrid>
        <w:gridCol w:w="1147"/>
        <w:gridCol w:w="2382"/>
        <w:gridCol w:w="667"/>
        <w:gridCol w:w="667"/>
        <w:gridCol w:w="925"/>
        <w:gridCol w:w="925"/>
        <w:gridCol w:w="667"/>
        <w:gridCol w:w="700"/>
        <w:gridCol w:w="567"/>
      </w:tblGrid>
      <w:tr w:rsidR="001B39BA" w:rsidRPr="001B39BA" w14:paraId="5858B6E2" w14:textId="77777777" w:rsidTr="005703E4">
        <w:tc>
          <w:tcPr>
            <w:tcW w:w="1147" w:type="dxa"/>
            <w:tcBorders>
              <w:top w:val="single" w:sz="4" w:space="0" w:color="auto"/>
              <w:bottom w:val="single" w:sz="4" w:space="0" w:color="auto"/>
            </w:tcBorders>
            <w:vAlign w:val="center"/>
          </w:tcPr>
          <w:p w14:paraId="6CE89ACB"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Type of Effect</w:t>
            </w:r>
          </w:p>
        </w:tc>
        <w:tc>
          <w:tcPr>
            <w:tcW w:w="2382" w:type="dxa"/>
            <w:tcBorders>
              <w:top w:val="single" w:sz="4" w:space="0" w:color="auto"/>
              <w:bottom w:val="single" w:sz="4" w:space="0" w:color="auto"/>
            </w:tcBorders>
            <w:vAlign w:val="center"/>
          </w:tcPr>
          <w:p w14:paraId="32874C44"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Path</w:t>
            </w:r>
          </w:p>
        </w:tc>
        <w:tc>
          <w:tcPr>
            <w:tcW w:w="667" w:type="dxa"/>
            <w:tcBorders>
              <w:top w:val="single" w:sz="4" w:space="0" w:color="auto"/>
              <w:bottom w:val="single" w:sz="4" w:space="0" w:color="auto"/>
            </w:tcBorders>
            <w:vAlign w:val="center"/>
          </w:tcPr>
          <w:p w14:paraId="0B85A38C"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B</w:t>
            </w:r>
          </w:p>
        </w:tc>
        <w:tc>
          <w:tcPr>
            <w:tcW w:w="667" w:type="dxa"/>
            <w:tcBorders>
              <w:top w:val="single" w:sz="4" w:space="0" w:color="auto"/>
              <w:bottom w:val="single" w:sz="4" w:space="0" w:color="auto"/>
            </w:tcBorders>
            <w:vAlign w:val="center"/>
          </w:tcPr>
          <w:p w14:paraId="20DFF958"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SE</w:t>
            </w:r>
          </w:p>
        </w:tc>
        <w:tc>
          <w:tcPr>
            <w:tcW w:w="925" w:type="dxa"/>
            <w:tcBorders>
              <w:top w:val="single" w:sz="4" w:space="0" w:color="auto"/>
              <w:bottom w:val="single" w:sz="4" w:space="0" w:color="auto"/>
            </w:tcBorders>
            <w:vAlign w:val="center"/>
          </w:tcPr>
          <w:p w14:paraId="4B6D6362"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95% CI LL</w:t>
            </w:r>
          </w:p>
        </w:tc>
        <w:tc>
          <w:tcPr>
            <w:tcW w:w="925" w:type="dxa"/>
            <w:tcBorders>
              <w:top w:val="single" w:sz="4" w:space="0" w:color="auto"/>
              <w:bottom w:val="single" w:sz="4" w:space="0" w:color="auto"/>
            </w:tcBorders>
            <w:vAlign w:val="center"/>
          </w:tcPr>
          <w:p w14:paraId="3E8A8C34"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95% CI UL</w:t>
            </w:r>
          </w:p>
        </w:tc>
        <w:tc>
          <w:tcPr>
            <w:tcW w:w="667" w:type="dxa"/>
            <w:tcBorders>
              <w:top w:val="single" w:sz="4" w:space="0" w:color="auto"/>
              <w:bottom w:val="single" w:sz="4" w:space="0" w:color="auto"/>
            </w:tcBorders>
            <w:vAlign w:val="center"/>
          </w:tcPr>
          <w:p w14:paraId="64318C6B"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β</w:t>
            </w:r>
          </w:p>
        </w:tc>
        <w:tc>
          <w:tcPr>
            <w:tcW w:w="700" w:type="dxa"/>
            <w:tcBorders>
              <w:top w:val="single" w:sz="4" w:space="0" w:color="auto"/>
              <w:bottom w:val="single" w:sz="4" w:space="0" w:color="auto"/>
            </w:tcBorders>
            <w:vAlign w:val="center"/>
          </w:tcPr>
          <w:p w14:paraId="5BE4C36E"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z</w:t>
            </w:r>
          </w:p>
        </w:tc>
        <w:tc>
          <w:tcPr>
            <w:tcW w:w="567" w:type="dxa"/>
            <w:tcBorders>
              <w:top w:val="single" w:sz="4" w:space="0" w:color="auto"/>
              <w:bottom w:val="single" w:sz="4" w:space="0" w:color="auto"/>
            </w:tcBorders>
            <w:vAlign w:val="center"/>
          </w:tcPr>
          <w:p w14:paraId="722A35A4"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p</w:t>
            </w:r>
          </w:p>
        </w:tc>
      </w:tr>
      <w:tr w:rsidR="001B39BA" w:rsidRPr="001B39BA" w14:paraId="27630F91" w14:textId="77777777" w:rsidTr="005703E4">
        <w:tc>
          <w:tcPr>
            <w:tcW w:w="1147" w:type="dxa"/>
            <w:tcBorders>
              <w:top w:val="single" w:sz="4" w:space="0" w:color="auto"/>
            </w:tcBorders>
            <w:vAlign w:val="center"/>
          </w:tcPr>
          <w:p w14:paraId="5E6CE1ED"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Indirect Effects</w:t>
            </w:r>
          </w:p>
        </w:tc>
        <w:tc>
          <w:tcPr>
            <w:tcW w:w="2382" w:type="dxa"/>
            <w:tcBorders>
              <w:top w:val="single" w:sz="4" w:space="0" w:color="auto"/>
            </w:tcBorders>
            <w:vAlign w:val="center"/>
          </w:tcPr>
          <w:p w14:paraId="12243B89"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Compassion Satisfaction → Empathic understanding → Compassion Fatigue</w:t>
            </w:r>
          </w:p>
        </w:tc>
        <w:tc>
          <w:tcPr>
            <w:tcW w:w="667" w:type="dxa"/>
            <w:tcBorders>
              <w:top w:val="single" w:sz="4" w:space="0" w:color="auto"/>
            </w:tcBorders>
            <w:vAlign w:val="center"/>
          </w:tcPr>
          <w:p w14:paraId="130CA29B"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0.091</w:t>
            </w:r>
          </w:p>
        </w:tc>
        <w:tc>
          <w:tcPr>
            <w:tcW w:w="667" w:type="dxa"/>
            <w:tcBorders>
              <w:top w:val="single" w:sz="4" w:space="0" w:color="auto"/>
            </w:tcBorders>
            <w:vAlign w:val="center"/>
          </w:tcPr>
          <w:p w14:paraId="66C6D1BF"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0.121</w:t>
            </w:r>
          </w:p>
        </w:tc>
        <w:tc>
          <w:tcPr>
            <w:tcW w:w="925" w:type="dxa"/>
            <w:tcBorders>
              <w:top w:val="single" w:sz="4" w:space="0" w:color="auto"/>
            </w:tcBorders>
            <w:vAlign w:val="center"/>
          </w:tcPr>
          <w:p w14:paraId="74698A7D"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-0.147</w:t>
            </w:r>
          </w:p>
        </w:tc>
        <w:tc>
          <w:tcPr>
            <w:tcW w:w="925" w:type="dxa"/>
            <w:tcBorders>
              <w:top w:val="single" w:sz="4" w:space="0" w:color="auto"/>
            </w:tcBorders>
            <w:vAlign w:val="center"/>
          </w:tcPr>
          <w:p w14:paraId="0FF2D227"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0.329</w:t>
            </w:r>
          </w:p>
        </w:tc>
        <w:tc>
          <w:tcPr>
            <w:tcW w:w="667" w:type="dxa"/>
            <w:tcBorders>
              <w:top w:val="single" w:sz="4" w:space="0" w:color="auto"/>
            </w:tcBorders>
            <w:vAlign w:val="center"/>
          </w:tcPr>
          <w:p w14:paraId="7174D5A4"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0.058</w:t>
            </w:r>
          </w:p>
        </w:tc>
        <w:tc>
          <w:tcPr>
            <w:tcW w:w="700" w:type="dxa"/>
            <w:tcBorders>
              <w:top w:val="single" w:sz="4" w:space="0" w:color="auto"/>
            </w:tcBorders>
            <w:vAlign w:val="center"/>
          </w:tcPr>
          <w:p w14:paraId="2A34EC9D"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0.749</w:t>
            </w:r>
          </w:p>
        </w:tc>
        <w:tc>
          <w:tcPr>
            <w:tcW w:w="567" w:type="dxa"/>
            <w:tcBorders>
              <w:top w:val="single" w:sz="4" w:space="0" w:color="auto"/>
            </w:tcBorders>
            <w:vAlign w:val="center"/>
          </w:tcPr>
          <w:p w14:paraId="4B661C93"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.454</w:t>
            </w:r>
          </w:p>
        </w:tc>
      </w:tr>
      <w:tr w:rsidR="001B39BA" w:rsidRPr="001B39BA" w14:paraId="77DD5A74" w14:textId="77777777" w:rsidTr="005703E4">
        <w:tc>
          <w:tcPr>
            <w:tcW w:w="1147" w:type="dxa"/>
            <w:vAlign w:val="center"/>
          </w:tcPr>
          <w:p w14:paraId="1E58F130"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p>
        </w:tc>
        <w:tc>
          <w:tcPr>
            <w:tcW w:w="2382" w:type="dxa"/>
            <w:vAlign w:val="center"/>
          </w:tcPr>
          <w:p w14:paraId="55298B2A"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Compassion Satisfaction → Genuineness → Compassion Fatigue</w:t>
            </w:r>
          </w:p>
        </w:tc>
        <w:tc>
          <w:tcPr>
            <w:tcW w:w="667" w:type="dxa"/>
            <w:vAlign w:val="center"/>
          </w:tcPr>
          <w:p w14:paraId="35CCA419"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0.144</w:t>
            </w:r>
          </w:p>
        </w:tc>
        <w:tc>
          <w:tcPr>
            <w:tcW w:w="667" w:type="dxa"/>
            <w:vAlign w:val="center"/>
          </w:tcPr>
          <w:p w14:paraId="06C024C2"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0.143</w:t>
            </w:r>
          </w:p>
        </w:tc>
        <w:tc>
          <w:tcPr>
            <w:tcW w:w="925" w:type="dxa"/>
            <w:vAlign w:val="center"/>
          </w:tcPr>
          <w:p w14:paraId="144ED98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-0.136</w:t>
            </w:r>
          </w:p>
        </w:tc>
        <w:tc>
          <w:tcPr>
            <w:tcW w:w="925" w:type="dxa"/>
            <w:vAlign w:val="center"/>
          </w:tcPr>
          <w:p w14:paraId="2FFAF817"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0.425</w:t>
            </w:r>
          </w:p>
        </w:tc>
        <w:tc>
          <w:tcPr>
            <w:tcW w:w="667" w:type="dxa"/>
            <w:vAlign w:val="center"/>
          </w:tcPr>
          <w:p w14:paraId="4A0C561C"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0.093</w:t>
            </w:r>
          </w:p>
        </w:tc>
        <w:tc>
          <w:tcPr>
            <w:tcW w:w="700" w:type="dxa"/>
            <w:vAlign w:val="center"/>
          </w:tcPr>
          <w:p w14:paraId="56503C26"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1.009</w:t>
            </w:r>
          </w:p>
        </w:tc>
        <w:tc>
          <w:tcPr>
            <w:tcW w:w="567" w:type="dxa"/>
            <w:vAlign w:val="center"/>
          </w:tcPr>
          <w:p w14:paraId="5F205EAF"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.313</w:t>
            </w:r>
          </w:p>
        </w:tc>
      </w:tr>
      <w:tr w:rsidR="001B39BA" w:rsidRPr="001B39BA" w14:paraId="211BBEA5" w14:textId="77777777" w:rsidTr="005703E4">
        <w:tc>
          <w:tcPr>
            <w:tcW w:w="1147" w:type="dxa"/>
            <w:vAlign w:val="center"/>
          </w:tcPr>
          <w:p w14:paraId="01E41027"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p>
        </w:tc>
        <w:tc>
          <w:tcPr>
            <w:tcW w:w="2382" w:type="dxa"/>
            <w:vAlign w:val="center"/>
          </w:tcPr>
          <w:p w14:paraId="254C4CF6"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Compassion Satisfaction → Non-judgmental Attitude → Compassion Fatigue</w:t>
            </w:r>
          </w:p>
        </w:tc>
        <w:tc>
          <w:tcPr>
            <w:tcW w:w="667" w:type="dxa"/>
            <w:vAlign w:val="center"/>
          </w:tcPr>
          <w:p w14:paraId="7B3133F6"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-0.076</w:t>
            </w:r>
          </w:p>
        </w:tc>
        <w:tc>
          <w:tcPr>
            <w:tcW w:w="667" w:type="dxa"/>
            <w:vAlign w:val="center"/>
          </w:tcPr>
          <w:p w14:paraId="29A356DC"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0.151</w:t>
            </w:r>
          </w:p>
        </w:tc>
        <w:tc>
          <w:tcPr>
            <w:tcW w:w="925" w:type="dxa"/>
            <w:vAlign w:val="center"/>
          </w:tcPr>
          <w:p w14:paraId="7A47FE60"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-0.371</w:t>
            </w:r>
          </w:p>
        </w:tc>
        <w:tc>
          <w:tcPr>
            <w:tcW w:w="925" w:type="dxa"/>
            <w:vAlign w:val="center"/>
          </w:tcPr>
          <w:p w14:paraId="36F69B84"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0.219</w:t>
            </w:r>
          </w:p>
        </w:tc>
        <w:tc>
          <w:tcPr>
            <w:tcW w:w="667" w:type="dxa"/>
            <w:vAlign w:val="center"/>
          </w:tcPr>
          <w:p w14:paraId="2DB8ED7F"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-0.049</w:t>
            </w:r>
          </w:p>
        </w:tc>
        <w:tc>
          <w:tcPr>
            <w:tcW w:w="700" w:type="dxa"/>
            <w:vAlign w:val="center"/>
          </w:tcPr>
          <w:p w14:paraId="2A7BF31C"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-0.504</w:t>
            </w:r>
          </w:p>
        </w:tc>
        <w:tc>
          <w:tcPr>
            <w:tcW w:w="567" w:type="dxa"/>
            <w:vAlign w:val="center"/>
          </w:tcPr>
          <w:p w14:paraId="702A4812"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.614</w:t>
            </w:r>
          </w:p>
        </w:tc>
      </w:tr>
      <w:tr w:rsidR="001B39BA" w:rsidRPr="001B39BA" w14:paraId="284B1278" w14:textId="77777777" w:rsidTr="005703E4">
        <w:tc>
          <w:tcPr>
            <w:tcW w:w="1147" w:type="dxa"/>
            <w:vAlign w:val="center"/>
          </w:tcPr>
          <w:p w14:paraId="406D8D3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p>
        </w:tc>
        <w:tc>
          <w:tcPr>
            <w:tcW w:w="2382" w:type="dxa"/>
            <w:vAlign w:val="center"/>
          </w:tcPr>
          <w:p w14:paraId="45CE750E"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Compassion Satisfaction → Interpersonal Skills → Compassion Fatigue</w:t>
            </w:r>
          </w:p>
        </w:tc>
        <w:tc>
          <w:tcPr>
            <w:tcW w:w="667" w:type="dxa"/>
            <w:vAlign w:val="center"/>
          </w:tcPr>
          <w:p w14:paraId="1C6D7547"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0.090</w:t>
            </w:r>
          </w:p>
        </w:tc>
        <w:tc>
          <w:tcPr>
            <w:tcW w:w="667" w:type="dxa"/>
            <w:vAlign w:val="center"/>
          </w:tcPr>
          <w:p w14:paraId="2E38DA7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0.174</w:t>
            </w:r>
          </w:p>
        </w:tc>
        <w:tc>
          <w:tcPr>
            <w:tcW w:w="925" w:type="dxa"/>
            <w:vAlign w:val="center"/>
          </w:tcPr>
          <w:p w14:paraId="5620FCFD"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-0.252</w:t>
            </w:r>
          </w:p>
        </w:tc>
        <w:tc>
          <w:tcPr>
            <w:tcW w:w="925" w:type="dxa"/>
            <w:vAlign w:val="center"/>
          </w:tcPr>
          <w:p w14:paraId="4A964AE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0.431</w:t>
            </w:r>
          </w:p>
        </w:tc>
        <w:tc>
          <w:tcPr>
            <w:tcW w:w="667" w:type="dxa"/>
            <w:vAlign w:val="center"/>
          </w:tcPr>
          <w:p w14:paraId="02C372D5"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0.058</w:t>
            </w:r>
          </w:p>
        </w:tc>
        <w:tc>
          <w:tcPr>
            <w:tcW w:w="700" w:type="dxa"/>
            <w:vAlign w:val="center"/>
          </w:tcPr>
          <w:p w14:paraId="1F1907BC"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0.514</w:t>
            </w:r>
          </w:p>
        </w:tc>
        <w:tc>
          <w:tcPr>
            <w:tcW w:w="567" w:type="dxa"/>
            <w:vAlign w:val="center"/>
          </w:tcPr>
          <w:p w14:paraId="1E4A6D2D"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.607</w:t>
            </w:r>
          </w:p>
        </w:tc>
      </w:tr>
      <w:tr w:rsidR="001B39BA" w:rsidRPr="001B39BA" w14:paraId="5210B748" w14:textId="77777777" w:rsidTr="005703E4">
        <w:tc>
          <w:tcPr>
            <w:tcW w:w="1147" w:type="dxa"/>
            <w:vAlign w:val="center"/>
          </w:tcPr>
          <w:p w14:paraId="63104522"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p>
        </w:tc>
        <w:tc>
          <w:tcPr>
            <w:tcW w:w="2382" w:type="dxa"/>
            <w:vAlign w:val="center"/>
          </w:tcPr>
          <w:p w14:paraId="02390465"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Compassion Satisfaction → Self-Compassion → Compassion Fatigue</w:t>
            </w:r>
          </w:p>
        </w:tc>
        <w:tc>
          <w:tcPr>
            <w:tcW w:w="667" w:type="dxa"/>
            <w:vAlign w:val="center"/>
          </w:tcPr>
          <w:p w14:paraId="606A3E67"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-0.130</w:t>
            </w:r>
          </w:p>
        </w:tc>
        <w:tc>
          <w:tcPr>
            <w:tcW w:w="667" w:type="dxa"/>
            <w:vAlign w:val="center"/>
          </w:tcPr>
          <w:p w14:paraId="66E8D999"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0.097</w:t>
            </w:r>
          </w:p>
        </w:tc>
        <w:tc>
          <w:tcPr>
            <w:tcW w:w="925" w:type="dxa"/>
            <w:vAlign w:val="center"/>
          </w:tcPr>
          <w:p w14:paraId="0DF0ADCF"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-0.319</w:t>
            </w:r>
          </w:p>
        </w:tc>
        <w:tc>
          <w:tcPr>
            <w:tcW w:w="925" w:type="dxa"/>
            <w:vAlign w:val="center"/>
          </w:tcPr>
          <w:p w14:paraId="65488EE7"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0.059</w:t>
            </w:r>
          </w:p>
        </w:tc>
        <w:tc>
          <w:tcPr>
            <w:tcW w:w="667" w:type="dxa"/>
            <w:vAlign w:val="center"/>
          </w:tcPr>
          <w:p w14:paraId="2B9F104E"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-0.084</w:t>
            </w:r>
          </w:p>
        </w:tc>
        <w:tc>
          <w:tcPr>
            <w:tcW w:w="700" w:type="dxa"/>
            <w:vAlign w:val="center"/>
          </w:tcPr>
          <w:p w14:paraId="104158C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-1.348</w:t>
            </w:r>
          </w:p>
        </w:tc>
        <w:tc>
          <w:tcPr>
            <w:tcW w:w="567" w:type="dxa"/>
            <w:vAlign w:val="center"/>
          </w:tcPr>
          <w:p w14:paraId="35F6A47A"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.178</w:t>
            </w:r>
          </w:p>
        </w:tc>
      </w:tr>
      <w:tr w:rsidR="001B39BA" w:rsidRPr="001B39BA" w14:paraId="2C61FB1E" w14:textId="77777777" w:rsidTr="005703E4">
        <w:tc>
          <w:tcPr>
            <w:tcW w:w="1147" w:type="dxa"/>
            <w:vAlign w:val="center"/>
          </w:tcPr>
          <w:p w14:paraId="665432A0"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Component Paths</w:t>
            </w:r>
          </w:p>
        </w:tc>
        <w:tc>
          <w:tcPr>
            <w:tcW w:w="2382" w:type="dxa"/>
            <w:vAlign w:val="center"/>
          </w:tcPr>
          <w:p w14:paraId="47270C6D"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Compassion Satisfaction → Empathic Understanding</w:t>
            </w:r>
          </w:p>
        </w:tc>
        <w:tc>
          <w:tcPr>
            <w:tcW w:w="667" w:type="dxa"/>
            <w:vAlign w:val="center"/>
          </w:tcPr>
          <w:p w14:paraId="4014857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0.049</w:t>
            </w:r>
          </w:p>
        </w:tc>
        <w:tc>
          <w:tcPr>
            <w:tcW w:w="667" w:type="dxa"/>
            <w:vAlign w:val="center"/>
          </w:tcPr>
          <w:p w14:paraId="6E5023B4"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0.007</w:t>
            </w:r>
          </w:p>
        </w:tc>
        <w:tc>
          <w:tcPr>
            <w:tcW w:w="925" w:type="dxa"/>
            <w:vAlign w:val="center"/>
          </w:tcPr>
          <w:p w14:paraId="1376A090"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0.035</w:t>
            </w:r>
          </w:p>
        </w:tc>
        <w:tc>
          <w:tcPr>
            <w:tcW w:w="925" w:type="dxa"/>
            <w:vAlign w:val="center"/>
          </w:tcPr>
          <w:p w14:paraId="48FA64A4"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0.063</w:t>
            </w:r>
          </w:p>
        </w:tc>
        <w:tc>
          <w:tcPr>
            <w:tcW w:w="667" w:type="dxa"/>
            <w:vAlign w:val="center"/>
          </w:tcPr>
          <w:p w14:paraId="48F3C77C"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0.542</w:t>
            </w:r>
          </w:p>
        </w:tc>
        <w:tc>
          <w:tcPr>
            <w:tcW w:w="700" w:type="dxa"/>
            <w:vAlign w:val="center"/>
          </w:tcPr>
          <w:p w14:paraId="4B38CD1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7.039</w:t>
            </w:r>
          </w:p>
        </w:tc>
        <w:tc>
          <w:tcPr>
            <w:tcW w:w="567" w:type="dxa"/>
            <w:vAlign w:val="center"/>
          </w:tcPr>
          <w:p w14:paraId="5D1FEA07"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&lt; .001</w:t>
            </w:r>
          </w:p>
        </w:tc>
      </w:tr>
      <w:tr w:rsidR="001B39BA" w:rsidRPr="001B39BA" w14:paraId="46E1ECD2" w14:textId="77777777" w:rsidTr="005703E4">
        <w:tc>
          <w:tcPr>
            <w:tcW w:w="1147" w:type="dxa"/>
            <w:vAlign w:val="center"/>
          </w:tcPr>
          <w:p w14:paraId="45EB68F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p>
        </w:tc>
        <w:tc>
          <w:tcPr>
            <w:tcW w:w="2382" w:type="dxa"/>
            <w:vAlign w:val="center"/>
          </w:tcPr>
          <w:p w14:paraId="7325C47B"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Empathic understanding → Compassion Fatigue</w:t>
            </w:r>
          </w:p>
        </w:tc>
        <w:tc>
          <w:tcPr>
            <w:tcW w:w="667" w:type="dxa"/>
            <w:vAlign w:val="center"/>
          </w:tcPr>
          <w:p w14:paraId="0AEFA836"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1.856</w:t>
            </w:r>
          </w:p>
        </w:tc>
        <w:tc>
          <w:tcPr>
            <w:tcW w:w="667" w:type="dxa"/>
            <w:vAlign w:val="center"/>
          </w:tcPr>
          <w:p w14:paraId="2714C71B"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2.466</w:t>
            </w:r>
          </w:p>
        </w:tc>
        <w:tc>
          <w:tcPr>
            <w:tcW w:w="925" w:type="dxa"/>
            <w:vAlign w:val="center"/>
          </w:tcPr>
          <w:p w14:paraId="63272615"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-2.976</w:t>
            </w:r>
          </w:p>
        </w:tc>
        <w:tc>
          <w:tcPr>
            <w:tcW w:w="925" w:type="dxa"/>
            <w:vAlign w:val="center"/>
          </w:tcPr>
          <w:p w14:paraId="6FECD435"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6.689</w:t>
            </w:r>
          </w:p>
        </w:tc>
        <w:tc>
          <w:tcPr>
            <w:tcW w:w="667" w:type="dxa"/>
            <w:vAlign w:val="center"/>
          </w:tcPr>
          <w:p w14:paraId="6B95FAA0"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0.108</w:t>
            </w:r>
          </w:p>
        </w:tc>
        <w:tc>
          <w:tcPr>
            <w:tcW w:w="700" w:type="dxa"/>
            <w:vAlign w:val="center"/>
          </w:tcPr>
          <w:p w14:paraId="73BCB240"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0.753</w:t>
            </w:r>
          </w:p>
        </w:tc>
        <w:tc>
          <w:tcPr>
            <w:tcW w:w="567" w:type="dxa"/>
            <w:vAlign w:val="center"/>
          </w:tcPr>
          <w:p w14:paraId="290F3145"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.451</w:t>
            </w:r>
          </w:p>
        </w:tc>
      </w:tr>
      <w:tr w:rsidR="001B39BA" w:rsidRPr="001B39BA" w14:paraId="75AFCC11" w14:textId="77777777" w:rsidTr="005703E4">
        <w:tc>
          <w:tcPr>
            <w:tcW w:w="1147" w:type="dxa"/>
            <w:vAlign w:val="center"/>
          </w:tcPr>
          <w:p w14:paraId="64471C70"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p>
        </w:tc>
        <w:tc>
          <w:tcPr>
            <w:tcW w:w="2382" w:type="dxa"/>
            <w:vAlign w:val="center"/>
          </w:tcPr>
          <w:p w14:paraId="171AE0F6"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Compassion Satisfaction → Genuineness</w:t>
            </w:r>
          </w:p>
        </w:tc>
        <w:tc>
          <w:tcPr>
            <w:tcW w:w="667" w:type="dxa"/>
            <w:vAlign w:val="center"/>
          </w:tcPr>
          <w:p w14:paraId="7D3502E6"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0.061</w:t>
            </w:r>
          </w:p>
        </w:tc>
        <w:tc>
          <w:tcPr>
            <w:tcW w:w="667" w:type="dxa"/>
            <w:vAlign w:val="center"/>
          </w:tcPr>
          <w:p w14:paraId="75BD20F8"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0.008</w:t>
            </w:r>
          </w:p>
        </w:tc>
        <w:tc>
          <w:tcPr>
            <w:tcW w:w="925" w:type="dxa"/>
            <w:vAlign w:val="center"/>
          </w:tcPr>
          <w:p w14:paraId="73A6CE3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0.046</w:t>
            </w:r>
          </w:p>
        </w:tc>
        <w:tc>
          <w:tcPr>
            <w:tcW w:w="925" w:type="dxa"/>
            <w:vAlign w:val="center"/>
          </w:tcPr>
          <w:p w14:paraId="614110A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0.076</w:t>
            </w:r>
          </w:p>
        </w:tc>
        <w:tc>
          <w:tcPr>
            <w:tcW w:w="667" w:type="dxa"/>
            <w:vAlign w:val="center"/>
          </w:tcPr>
          <w:p w14:paraId="1827E0CF"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0.593</w:t>
            </w:r>
          </w:p>
        </w:tc>
        <w:tc>
          <w:tcPr>
            <w:tcW w:w="700" w:type="dxa"/>
            <w:vAlign w:val="center"/>
          </w:tcPr>
          <w:p w14:paraId="4CE82364"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8.029</w:t>
            </w:r>
          </w:p>
        </w:tc>
        <w:tc>
          <w:tcPr>
            <w:tcW w:w="567" w:type="dxa"/>
            <w:vAlign w:val="center"/>
          </w:tcPr>
          <w:p w14:paraId="00A28408"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&lt; .001</w:t>
            </w:r>
          </w:p>
        </w:tc>
      </w:tr>
      <w:tr w:rsidR="001B39BA" w:rsidRPr="001B39BA" w14:paraId="18DF21D1" w14:textId="77777777" w:rsidTr="005703E4">
        <w:tc>
          <w:tcPr>
            <w:tcW w:w="1147" w:type="dxa"/>
            <w:vAlign w:val="center"/>
          </w:tcPr>
          <w:p w14:paraId="7434ABF9"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p>
        </w:tc>
        <w:tc>
          <w:tcPr>
            <w:tcW w:w="2382" w:type="dxa"/>
            <w:vAlign w:val="center"/>
          </w:tcPr>
          <w:p w14:paraId="23B66852"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Genuineness → Compassion Fatigue</w:t>
            </w:r>
          </w:p>
        </w:tc>
        <w:tc>
          <w:tcPr>
            <w:tcW w:w="667" w:type="dxa"/>
            <w:vAlign w:val="center"/>
          </w:tcPr>
          <w:p w14:paraId="27CCC4D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2.351</w:t>
            </w:r>
          </w:p>
        </w:tc>
        <w:tc>
          <w:tcPr>
            <w:tcW w:w="667" w:type="dxa"/>
            <w:vAlign w:val="center"/>
          </w:tcPr>
          <w:p w14:paraId="75A75426"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2.312</w:t>
            </w:r>
          </w:p>
        </w:tc>
        <w:tc>
          <w:tcPr>
            <w:tcW w:w="925" w:type="dxa"/>
            <w:vAlign w:val="center"/>
          </w:tcPr>
          <w:p w14:paraId="2F5427EC"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-2.181</w:t>
            </w:r>
          </w:p>
        </w:tc>
        <w:tc>
          <w:tcPr>
            <w:tcW w:w="925" w:type="dxa"/>
            <w:vAlign w:val="center"/>
          </w:tcPr>
          <w:p w14:paraId="4A8C54C9"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6.884</w:t>
            </w:r>
          </w:p>
        </w:tc>
        <w:tc>
          <w:tcPr>
            <w:tcW w:w="667" w:type="dxa"/>
            <w:vAlign w:val="center"/>
          </w:tcPr>
          <w:p w14:paraId="049D8AE0"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0.157</w:t>
            </w:r>
          </w:p>
        </w:tc>
        <w:tc>
          <w:tcPr>
            <w:tcW w:w="700" w:type="dxa"/>
            <w:vAlign w:val="center"/>
          </w:tcPr>
          <w:p w14:paraId="2AE55D69"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1.017</w:t>
            </w:r>
          </w:p>
        </w:tc>
        <w:tc>
          <w:tcPr>
            <w:tcW w:w="567" w:type="dxa"/>
            <w:vAlign w:val="center"/>
          </w:tcPr>
          <w:p w14:paraId="3C3D5B2A"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.309</w:t>
            </w:r>
          </w:p>
        </w:tc>
      </w:tr>
      <w:tr w:rsidR="001B39BA" w:rsidRPr="001B39BA" w14:paraId="5F8A8E97" w14:textId="77777777" w:rsidTr="005703E4">
        <w:tc>
          <w:tcPr>
            <w:tcW w:w="1147" w:type="dxa"/>
            <w:vAlign w:val="center"/>
          </w:tcPr>
          <w:p w14:paraId="4321144F"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p>
        </w:tc>
        <w:tc>
          <w:tcPr>
            <w:tcW w:w="2382" w:type="dxa"/>
            <w:vAlign w:val="center"/>
          </w:tcPr>
          <w:p w14:paraId="6714FC2E"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Compassion Satisfaction → Non-judgmental Attitude</w:t>
            </w:r>
          </w:p>
        </w:tc>
        <w:tc>
          <w:tcPr>
            <w:tcW w:w="667" w:type="dxa"/>
            <w:vAlign w:val="center"/>
          </w:tcPr>
          <w:p w14:paraId="2B1B569D"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0.042</w:t>
            </w:r>
          </w:p>
        </w:tc>
        <w:tc>
          <w:tcPr>
            <w:tcW w:w="667" w:type="dxa"/>
            <w:vAlign w:val="center"/>
          </w:tcPr>
          <w:p w14:paraId="52D6A012"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0.007</w:t>
            </w:r>
          </w:p>
        </w:tc>
        <w:tc>
          <w:tcPr>
            <w:tcW w:w="925" w:type="dxa"/>
            <w:vAlign w:val="center"/>
          </w:tcPr>
          <w:p w14:paraId="0EC7C6FB"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0.029</w:t>
            </w:r>
          </w:p>
        </w:tc>
        <w:tc>
          <w:tcPr>
            <w:tcW w:w="925" w:type="dxa"/>
            <w:vAlign w:val="center"/>
          </w:tcPr>
          <w:p w14:paraId="21294900"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0.055</w:t>
            </w:r>
          </w:p>
        </w:tc>
        <w:tc>
          <w:tcPr>
            <w:tcW w:w="667" w:type="dxa"/>
            <w:vAlign w:val="center"/>
          </w:tcPr>
          <w:p w14:paraId="47E25938"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0.495</w:t>
            </w:r>
          </w:p>
        </w:tc>
        <w:tc>
          <w:tcPr>
            <w:tcW w:w="700" w:type="dxa"/>
            <w:vAlign w:val="center"/>
          </w:tcPr>
          <w:p w14:paraId="5185997A"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6.214</w:t>
            </w:r>
          </w:p>
        </w:tc>
        <w:tc>
          <w:tcPr>
            <w:tcW w:w="567" w:type="dxa"/>
            <w:vAlign w:val="center"/>
          </w:tcPr>
          <w:p w14:paraId="0D5DB8E3"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&lt; .001</w:t>
            </w:r>
          </w:p>
        </w:tc>
      </w:tr>
      <w:tr w:rsidR="001B39BA" w:rsidRPr="001B39BA" w14:paraId="5172010E" w14:textId="77777777" w:rsidTr="005703E4">
        <w:tc>
          <w:tcPr>
            <w:tcW w:w="1147" w:type="dxa"/>
            <w:vAlign w:val="center"/>
          </w:tcPr>
          <w:p w14:paraId="618D248C"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p>
        </w:tc>
        <w:tc>
          <w:tcPr>
            <w:tcW w:w="2382" w:type="dxa"/>
            <w:vAlign w:val="center"/>
          </w:tcPr>
          <w:p w14:paraId="7EC00C10"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Non-judgmental attitude → Compassion Fatigue</w:t>
            </w:r>
          </w:p>
        </w:tc>
        <w:tc>
          <w:tcPr>
            <w:tcW w:w="667" w:type="dxa"/>
            <w:vAlign w:val="center"/>
          </w:tcPr>
          <w:p w14:paraId="289BAFA9"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-1.824</w:t>
            </w:r>
          </w:p>
        </w:tc>
        <w:tc>
          <w:tcPr>
            <w:tcW w:w="667" w:type="dxa"/>
            <w:vAlign w:val="center"/>
          </w:tcPr>
          <w:p w14:paraId="77AEA4F5"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3.607</w:t>
            </w:r>
          </w:p>
        </w:tc>
        <w:tc>
          <w:tcPr>
            <w:tcW w:w="925" w:type="dxa"/>
            <w:vAlign w:val="center"/>
          </w:tcPr>
          <w:p w14:paraId="01FB3E8C"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-8.893</w:t>
            </w:r>
          </w:p>
        </w:tc>
        <w:tc>
          <w:tcPr>
            <w:tcW w:w="925" w:type="dxa"/>
            <w:vAlign w:val="center"/>
          </w:tcPr>
          <w:p w14:paraId="1E9B37EF"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5.246</w:t>
            </w:r>
          </w:p>
        </w:tc>
        <w:tc>
          <w:tcPr>
            <w:tcW w:w="667" w:type="dxa"/>
            <w:vAlign w:val="center"/>
          </w:tcPr>
          <w:p w14:paraId="43BD92B5"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-0.099</w:t>
            </w:r>
          </w:p>
        </w:tc>
        <w:tc>
          <w:tcPr>
            <w:tcW w:w="700" w:type="dxa"/>
            <w:vAlign w:val="center"/>
          </w:tcPr>
          <w:p w14:paraId="5AB21427"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-0.506</w:t>
            </w:r>
          </w:p>
        </w:tc>
        <w:tc>
          <w:tcPr>
            <w:tcW w:w="567" w:type="dxa"/>
            <w:vAlign w:val="center"/>
          </w:tcPr>
          <w:p w14:paraId="7CBBF34E"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.613</w:t>
            </w:r>
          </w:p>
        </w:tc>
      </w:tr>
      <w:tr w:rsidR="001B39BA" w:rsidRPr="001B39BA" w14:paraId="4AB39B60" w14:textId="77777777" w:rsidTr="005703E4">
        <w:tc>
          <w:tcPr>
            <w:tcW w:w="1147" w:type="dxa"/>
            <w:vAlign w:val="center"/>
          </w:tcPr>
          <w:p w14:paraId="1D9F4A88"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p>
        </w:tc>
        <w:tc>
          <w:tcPr>
            <w:tcW w:w="2382" w:type="dxa"/>
            <w:vAlign w:val="center"/>
          </w:tcPr>
          <w:p w14:paraId="02FB1216"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Compassion Satisfaction → Interpersonal Skills</w:t>
            </w:r>
          </w:p>
        </w:tc>
        <w:tc>
          <w:tcPr>
            <w:tcW w:w="667" w:type="dxa"/>
            <w:vAlign w:val="center"/>
          </w:tcPr>
          <w:p w14:paraId="74F17ED3"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0.050</w:t>
            </w:r>
          </w:p>
        </w:tc>
        <w:tc>
          <w:tcPr>
            <w:tcW w:w="667" w:type="dxa"/>
            <w:vAlign w:val="center"/>
          </w:tcPr>
          <w:p w14:paraId="6F9B64A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0.006</w:t>
            </w:r>
          </w:p>
        </w:tc>
        <w:tc>
          <w:tcPr>
            <w:tcW w:w="925" w:type="dxa"/>
            <w:vAlign w:val="center"/>
          </w:tcPr>
          <w:p w14:paraId="37706EB2"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0.038</w:t>
            </w:r>
          </w:p>
        </w:tc>
        <w:tc>
          <w:tcPr>
            <w:tcW w:w="925" w:type="dxa"/>
            <w:vAlign w:val="center"/>
          </w:tcPr>
          <w:p w14:paraId="6F538664"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0.062</w:t>
            </w:r>
          </w:p>
        </w:tc>
        <w:tc>
          <w:tcPr>
            <w:tcW w:w="667" w:type="dxa"/>
            <w:vAlign w:val="center"/>
          </w:tcPr>
          <w:p w14:paraId="7257A176"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0.589</w:t>
            </w:r>
          </w:p>
        </w:tc>
        <w:tc>
          <w:tcPr>
            <w:tcW w:w="700" w:type="dxa"/>
            <w:vAlign w:val="center"/>
          </w:tcPr>
          <w:p w14:paraId="26DA24E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7.958</w:t>
            </w:r>
          </w:p>
        </w:tc>
        <w:tc>
          <w:tcPr>
            <w:tcW w:w="567" w:type="dxa"/>
            <w:vAlign w:val="center"/>
          </w:tcPr>
          <w:p w14:paraId="19C58CB4"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&lt; .001</w:t>
            </w:r>
          </w:p>
        </w:tc>
      </w:tr>
      <w:tr w:rsidR="001B39BA" w:rsidRPr="001B39BA" w14:paraId="44588E39" w14:textId="77777777" w:rsidTr="005703E4">
        <w:tc>
          <w:tcPr>
            <w:tcW w:w="1147" w:type="dxa"/>
            <w:vAlign w:val="center"/>
          </w:tcPr>
          <w:p w14:paraId="675C7E60"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p>
        </w:tc>
        <w:tc>
          <w:tcPr>
            <w:tcW w:w="2382" w:type="dxa"/>
            <w:vAlign w:val="center"/>
          </w:tcPr>
          <w:p w14:paraId="6269142C"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Interpersonal Skills → Compassion Fatigue</w:t>
            </w:r>
          </w:p>
        </w:tc>
        <w:tc>
          <w:tcPr>
            <w:tcW w:w="667" w:type="dxa"/>
            <w:vAlign w:val="center"/>
          </w:tcPr>
          <w:p w14:paraId="7437BA04"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1.794</w:t>
            </w:r>
          </w:p>
        </w:tc>
        <w:tc>
          <w:tcPr>
            <w:tcW w:w="667" w:type="dxa"/>
            <w:vAlign w:val="center"/>
          </w:tcPr>
          <w:p w14:paraId="18E82A16"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3.480</w:t>
            </w:r>
          </w:p>
        </w:tc>
        <w:tc>
          <w:tcPr>
            <w:tcW w:w="925" w:type="dxa"/>
            <w:vAlign w:val="center"/>
          </w:tcPr>
          <w:p w14:paraId="1DA34092"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-5.026</w:t>
            </w:r>
          </w:p>
        </w:tc>
        <w:tc>
          <w:tcPr>
            <w:tcW w:w="925" w:type="dxa"/>
            <w:vAlign w:val="center"/>
          </w:tcPr>
          <w:p w14:paraId="1AF0EBD2"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8.614</w:t>
            </w:r>
          </w:p>
        </w:tc>
        <w:tc>
          <w:tcPr>
            <w:tcW w:w="667" w:type="dxa"/>
            <w:vAlign w:val="center"/>
          </w:tcPr>
          <w:p w14:paraId="27939568"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0.098</w:t>
            </w:r>
          </w:p>
        </w:tc>
        <w:tc>
          <w:tcPr>
            <w:tcW w:w="700" w:type="dxa"/>
            <w:vAlign w:val="center"/>
          </w:tcPr>
          <w:p w14:paraId="63D78082"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0.516</w:t>
            </w:r>
          </w:p>
        </w:tc>
        <w:tc>
          <w:tcPr>
            <w:tcW w:w="567" w:type="dxa"/>
            <w:vAlign w:val="center"/>
          </w:tcPr>
          <w:p w14:paraId="5D69F13D"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.606</w:t>
            </w:r>
          </w:p>
        </w:tc>
      </w:tr>
      <w:tr w:rsidR="001B39BA" w:rsidRPr="001B39BA" w14:paraId="1F51C6EA" w14:textId="77777777" w:rsidTr="005703E4">
        <w:tc>
          <w:tcPr>
            <w:tcW w:w="1147" w:type="dxa"/>
            <w:vAlign w:val="center"/>
          </w:tcPr>
          <w:p w14:paraId="1454EB1D"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p>
        </w:tc>
        <w:tc>
          <w:tcPr>
            <w:tcW w:w="2382" w:type="dxa"/>
            <w:vAlign w:val="center"/>
          </w:tcPr>
          <w:p w14:paraId="18CC792D"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Compassion Satisfaction → Self-Compassion</w:t>
            </w:r>
          </w:p>
        </w:tc>
        <w:tc>
          <w:tcPr>
            <w:tcW w:w="667" w:type="dxa"/>
            <w:vAlign w:val="center"/>
          </w:tcPr>
          <w:p w14:paraId="77516B5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0.056</w:t>
            </w:r>
          </w:p>
        </w:tc>
        <w:tc>
          <w:tcPr>
            <w:tcW w:w="667" w:type="dxa"/>
            <w:vAlign w:val="center"/>
          </w:tcPr>
          <w:p w14:paraId="098EF69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0.009</w:t>
            </w:r>
          </w:p>
        </w:tc>
        <w:tc>
          <w:tcPr>
            <w:tcW w:w="925" w:type="dxa"/>
            <w:vAlign w:val="center"/>
          </w:tcPr>
          <w:p w14:paraId="4C95E122"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0.039</w:t>
            </w:r>
          </w:p>
        </w:tc>
        <w:tc>
          <w:tcPr>
            <w:tcW w:w="925" w:type="dxa"/>
            <w:vAlign w:val="center"/>
          </w:tcPr>
          <w:p w14:paraId="2CEAA1A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0.074</w:t>
            </w:r>
          </w:p>
        </w:tc>
        <w:tc>
          <w:tcPr>
            <w:tcW w:w="667" w:type="dxa"/>
            <w:vAlign w:val="center"/>
          </w:tcPr>
          <w:p w14:paraId="404773E2"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0.497</w:t>
            </w:r>
          </w:p>
        </w:tc>
        <w:tc>
          <w:tcPr>
            <w:tcW w:w="700" w:type="dxa"/>
            <w:vAlign w:val="center"/>
          </w:tcPr>
          <w:p w14:paraId="10356924"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6.242</w:t>
            </w:r>
          </w:p>
        </w:tc>
        <w:tc>
          <w:tcPr>
            <w:tcW w:w="567" w:type="dxa"/>
            <w:vAlign w:val="center"/>
          </w:tcPr>
          <w:p w14:paraId="6C0F3ADB"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&lt; .001</w:t>
            </w:r>
          </w:p>
        </w:tc>
      </w:tr>
      <w:tr w:rsidR="001B39BA" w:rsidRPr="001B39BA" w14:paraId="599196D9" w14:textId="77777777" w:rsidTr="005703E4">
        <w:tc>
          <w:tcPr>
            <w:tcW w:w="1147" w:type="dxa"/>
            <w:vAlign w:val="center"/>
          </w:tcPr>
          <w:p w14:paraId="1F48D374"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p>
        </w:tc>
        <w:tc>
          <w:tcPr>
            <w:tcW w:w="2382" w:type="dxa"/>
            <w:vAlign w:val="center"/>
          </w:tcPr>
          <w:p w14:paraId="47E4D7D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Self-Compassion → Compassion Fatigue</w:t>
            </w:r>
          </w:p>
        </w:tc>
        <w:tc>
          <w:tcPr>
            <w:tcW w:w="667" w:type="dxa"/>
            <w:vAlign w:val="center"/>
          </w:tcPr>
          <w:p w14:paraId="31383C20"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-2.313</w:t>
            </w:r>
          </w:p>
        </w:tc>
        <w:tc>
          <w:tcPr>
            <w:tcW w:w="667" w:type="dxa"/>
            <w:vAlign w:val="center"/>
          </w:tcPr>
          <w:p w14:paraId="5567713D"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1.676</w:t>
            </w:r>
          </w:p>
        </w:tc>
        <w:tc>
          <w:tcPr>
            <w:tcW w:w="925" w:type="dxa"/>
            <w:vAlign w:val="center"/>
          </w:tcPr>
          <w:p w14:paraId="7C701449"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-5.597</w:t>
            </w:r>
          </w:p>
        </w:tc>
        <w:tc>
          <w:tcPr>
            <w:tcW w:w="925" w:type="dxa"/>
            <w:vAlign w:val="center"/>
          </w:tcPr>
          <w:p w14:paraId="72C740A2"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0.971</w:t>
            </w:r>
          </w:p>
        </w:tc>
        <w:tc>
          <w:tcPr>
            <w:tcW w:w="667" w:type="dxa"/>
            <w:vAlign w:val="center"/>
          </w:tcPr>
          <w:p w14:paraId="61077A77"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-0.169</w:t>
            </w:r>
          </w:p>
        </w:tc>
        <w:tc>
          <w:tcPr>
            <w:tcW w:w="700" w:type="dxa"/>
            <w:vAlign w:val="center"/>
          </w:tcPr>
          <w:p w14:paraId="76F20B8E"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-1.380</w:t>
            </w:r>
          </w:p>
        </w:tc>
        <w:tc>
          <w:tcPr>
            <w:tcW w:w="567" w:type="dxa"/>
            <w:vAlign w:val="center"/>
          </w:tcPr>
          <w:p w14:paraId="3EB24F1B"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.167</w:t>
            </w:r>
          </w:p>
        </w:tc>
      </w:tr>
      <w:tr w:rsidR="001B39BA" w:rsidRPr="001B39BA" w14:paraId="6D002C50" w14:textId="77777777" w:rsidTr="005703E4">
        <w:tc>
          <w:tcPr>
            <w:tcW w:w="1147" w:type="dxa"/>
            <w:vAlign w:val="center"/>
          </w:tcPr>
          <w:p w14:paraId="4154ED15"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Direct Effect</w:t>
            </w:r>
          </w:p>
        </w:tc>
        <w:tc>
          <w:tcPr>
            <w:tcW w:w="2382" w:type="dxa"/>
            <w:vAlign w:val="center"/>
          </w:tcPr>
          <w:p w14:paraId="721807D5"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Compassion satisfaction → Compassion Fatigue</w:t>
            </w:r>
          </w:p>
        </w:tc>
        <w:tc>
          <w:tcPr>
            <w:tcW w:w="667" w:type="dxa"/>
            <w:vAlign w:val="center"/>
          </w:tcPr>
          <w:p w14:paraId="1EF161FA"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-0.635</w:t>
            </w:r>
          </w:p>
        </w:tc>
        <w:tc>
          <w:tcPr>
            <w:tcW w:w="667" w:type="dxa"/>
            <w:vAlign w:val="center"/>
          </w:tcPr>
          <w:p w14:paraId="2D48875E"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0.181</w:t>
            </w:r>
          </w:p>
        </w:tc>
        <w:tc>
          <w:tcPr>
            <w:tcW w:w="925" w:type="dxa"/>
            <w:vAlign w:val="center"/>
          </w:tcPr>
          <w:p w14:paraId="527DE8EE"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-0.989</w:t>
            </w:r>
          </w:p>
        </w:tc>
        <w:tc>
          <w:tcPr>
            <w:tcW w:w="925" w:type="dxa"/>
            <w:vAlign w:val="center"/>
          </w:tcPr>
          <w:p w14:paraId="435DCCC0"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-0.280</w:t>
            </w:r>
          </w:p>
        </w:tc>
        <w:tc>
          <w:tcPr>
            <w:tcW w:w="667" w:type="dxa"/>
            <w:vAlign w:val="center"/>
          </w:tcPr>
          <w:p w14:paraId="0084B6DF"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-0.408</w:t>
            </w:r>
          </w:p>
        </w:tc>
        <w:tc>
          <w:tcPr>
            <w:tcW w:w="700" w:type="dxa"/>
            <w:vAlign w:val="center"/>
          </w:tcPr>
          <w:p w14:paraId="7E6849AC"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-3.510</w:t>
            </w:r>
          </w:p>
        </w:tc>
        <w:tc>
          <w:tcPr>
            <w:tcW w:w="567" w:type="dxa"/>
            <w:vAlign w:val="center"/>
          </w:tcPr>
          <w:p w14:paraId="01DF4253"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&lt; .001</w:t>
            </w:r>
          </w:p>
        </w:tc>
      </w:tr>
      <w:tr w:rsidR="001B39BA" w:rsidRPr="001B39BA" w14:paraId="2F7BEF4F" w14:textId="77777777" w:rsidTr="005703E4">
        <w:tc>
          <w:tcPr>
            <w:tcW w:w="1147" w:type="dxa"/>
            <w:vAlign w:val="center"/>
          </w:tcPr>
          <w:p w14:paraId="3AB0E1D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Total Effect</w:t>
            </w:r>
          </w:p>
        </w:tc>
        <w:tc>
          <w:tcPr>
            <w:tcW w:w="2382" w:type="dxa"/>
            <w:vAlign w:val="center"/>
          </w:tcPr>
          <w:p w14:paraId="2ED3D6EF"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Compassion satisfaction → Compassion Fatigue</w:t>
            </w:r>
          </w:p>
        </w:tc>
        <w:tc>
          <w:tcPr>
            <w:tcW w:w="667" w:type="dxa"/>
            <w:vAlign w:val="center"/>
          </w:tcPr>
          <w:p w14:paraId="0FE957A8"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-0.516</w:t>
            </w:r>
          </w:p>
        </w:tc>
        <w:tc>
          <w:tcPr>
            <w:tcW w:w="667" w:type="dxa"/>
            <w:vAlign w:val="center"/>
          </w:tcPr>
          <w:p w14:paraId="05D490CA"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0.135</w:t>
            </w:r>
          </w:p>
        </w:tc>
        <w:tc>
          <w:tcPr>
            <w:tcW w:w="925" w:type="dxa"/>
            <w:vAlign w:val="center"/>
          </w:tcPr>
          <w:p w14:paraId="46C3572B"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-0.781</w:t>
            </w:r>
          </w:p>
        </w:tc>
        <w:tc>
          <w:tcPr>
            <w:tcW w:w="925" w:type="dxa"/>
            <w:vAlign w:val="center"/>
          </w:tcPr>
          <w:p w14:paraId="4EF3F8E4"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-0.251</w:t>
            </w:r>
          </w:p>
        </w:tc>
        <w:tc>
          <w:tcPr>
            <w:tcW w:w="667" w:type="dxa"/>
            <w:vAlign w:val="center"/>
          </w:tcPr>
          <w:p w14:paraId="00A02EBB"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-0.332</w:t>
            </w:r>
          </w:p>
        </w:tc>
        <w:tc>
          <w:tcPr>
            <w:tcW w:w="700" w:type="dxa"/>
            <w:vAlign w:val="center"/>
          </w:tcPr>
          <w:p w14:paraId="1C2D5EA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-3.819</w:t>
            </w:r>
          </w:p>
        </w:tc>
        <w:tc>
          <w:tcPr>
            <w:tcW w:w="567" w:type="dxa"/>
            <w:vAlign w:val="center"/>
          </w:tcPr>
          <w:p w14:paraId="1393FDCA"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&lt; .001</w:t>
            </w:r>
          </w:p>
        </w:tc>
      </w:tr>
      <w:tr w:rsidR="001B39BA" w:rsidRPr="001B39BA" w14:paraId="2E7F8123" w14:textId="77777777" w:rsidTr="005703E4">
        <w:tc>
          <w:tcPr>
            <w:tcW w:w="1147" w:type="dxa"/>
            <w:vAlign w:val="center"/>
          </w:tcPr>
          <w:p w14:paraId="40987F6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Indirect Effects</w:t>
            </w:r>
          </w:p>
        </w:tc>
        <w:tc>
          <w:tcPr>
            <w:tcW w:w="2382" w:type="dxa"/>
            <w:vAlign w:val="center"/>
          </w:tcPr>
          <w:p w14:paraId="355B8DFC"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Compassion Satisfaction → Empathic understanding → Compassion Fatigue</w:t>
            </w:r>
          </w:p>
        </w:tc>
        <w:tc>
          <w:tcPr>
            <w:tcW w:w="667" w:type="dxa"/>
            <w:vAlign w:val="center"/>
          </w:tcPr>
          <w:p w14:paraId="1462C156"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0.091</w:t>
            </w:r>
          </w:p>
        </w:tc>
        <w:tc>
          <w:tcPr>
            <w:tcW w:w="667" w:type="dxa"/>
            <w:vAlign w:val="center"/>
          </w:tcPr>
          <w:p w14:paraId="2B9FA9FB"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0.121</w:t>
            </w:r>
          </w:p>
        </w:tc>
        <w:tc>
          <w:tcPr>
            <w:tcW w:w="925" w:type="dxa"/>
            <w:vAlign w:val="center"/>
          </w:tcPr>
          <w:p w14:paraId="2748BC54"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-0.147</w:t>
            </w:r>
          </w:p>
        </w:tc>
        <w:tc>
          <w:tcPr>
            <w:tcW w:w="925" w:type="dxa"/>
            <w:vAlign w:val="center"/>
          </w:tcPr>
          <w:p w14:paraId="2C6DBA8F"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0.329</w:t>
            </w:r>
          </w:p>
        </w:tc>
        <w:tc>
          <w:tcPr>
            <w:tcW w:w="667" w:type="dxa"/>
            <w:vAlign w:val="center"/>
          </w:tcPr>
          <w:p w14:paraId="089AC3D7"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0.058</w:t>
            </w:r>
          </w:p>
        </w:tc>
        <w:tc>
          <w:tcPr>
            <w:tcW w:w="700" w:type="dxa"/>
            <w:vAlign w:val="center"/>
          </w:tcPr>
          <w:p w14:paraId="3457B1F3"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0.749</w:t>
            </w:r>
          </w:p>
        </w:tc>
        <w:tc>
          <w:tcPr>
            <w:tcW w:w="567" w:type="dxa"/>
            <w:vAlign w:val="center"/>
          </w:tcPr>
          <w:p w14:paraId="23527C83"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.454</w:t>
            </w:r>
          </w:p>
        </w:tc>
      </w:tr>
      <w:tr w:rsidR="001B39BA" w:rsidRPr="001B39BA" w14:paraId="7A3D832D" w14:textId="77777777" w:rsidTr="005703E4">
        <w:tc>
          <w:tcPr>
            <w:tcW w:w="1147" w:type="dxa"/>
            <w:tcBorders>
              <w:bottom w:val="single" w:sz="4" w:space="0" w:color="auto"/>
            </w:tcBorders>
            <w:vAlign w:val="center"/>
          </w:tcPr>
          <w:p w14:paraId="6C89E37E"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p>
        </w:tc>
        <w:tc>
          <w:tcPr>
            <w:tcW w:w="2382" w:type="dxa"/>
            <w:tcBorders>
              <w:bottom w:val="single" w:sz="4" w:space="0" w:color="auto"/>
            </w:tcBorders>
            <w:vAlign w:val="center"/>
          </w:tcPr>
          <w:p w14:paraId="00E9596E"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Compassion Satisfaction → Genuineness → Compassion Fatigue</w:t>
            </w:r>
          </w:p>
        </w:tc>
        <w:tc>
          <w:tcPr>
            <w:tcW w:w="667" w:type="dxa"/>
            <w:tcBorders>
              <w:bottom w:val="single" w:sz="4" w:space="0" w:color="auto"/>
            </w:tcBorders>
            <w:vAlign w:val="center"/>
          </w:tcPr>
          <w:p w14:paraId="13187FCB"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0.144</w:t>
            </w:r>
          </w:p>
        </w:tc>
        <w:tc>
          <w:tcPr>
            <w:tcW w:w="667" w:type="dxa"/>
            <w:tcBorders>
              <w:bottom w:val="single" w:sz="4" w:space="0" w:color="auto"/>
            </w:tcBorders>
            <w:vAlign w:val="center"/>
          </w:tcPr>
          <w:p w14:paraId="2DEB5661"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0.143</w:t>
            </w:r>
          </w:p>
        </w:tc>
        <w:tc>
          <w:tcPr>
            <w:tcW w:w="925" w:type="dxa"/>
            <w:tcBorders>
              <w:bottom w:val="single" w:sz="4" w:space="0" w:color="auto"/>
            </w:tcBorders>
            <w:vAlign w:val="center"/>
          </w:tcPr>
          <w:p w14:paraId="385D9F18"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-0.136</w:t>
            </w:r>
          </w:p>
        </w:tc>
        <w:tc>
          <w:tcPr>
            <w:tcW w:w="925" w:type="dxa"/>
            <w:tcBorders>
              <w:bottom w:val="single" w:sz="4" w:space="0" w:color="auto"/>
            </w:tcBorders>
            <w:vAlign w:val="center"/>
          </w:tcPr>
          <w:p w14:paraId="7AAD215D"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0.425</w:t>
            </w:r>
          </w:p>
        </w:tc>
        <w:tc>
          <w:tcPr>
            <w:tcW w:w="667" w:type="dxa"/>
            <w:tcBorders>
              <w:bottom w:val="single" w:sz="4" w:space="0" w:color="auto"/>
            </w:tcBorders>
            <w:vAlign w:val="center"/>
          </w:tcPr>
          <w:p w14:paraId="5EE5D36F"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0.093</w:t>
            </w:r>
          </w:p>
        </w:tc>
        <w:tc>
          <w:tcPr>
            <w:tcW w:w="700" w:type="dxa"/>
            <w:tcBorders>
              <w:bottom w:val="single" w:sz="4" w:space="0" w:color="auto"/>
            </w:tcBorders>
            <w:vAlign w:val="center"/>
          </w:tcPr>
          <w:p w14:paraId="31ED43D5"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1.009</w:t>
            </w:r>
          </w:p>
        </w:tc>
        <w:tc>
          <w:tcPr>
            <w:tcW w:w="567" w:type="dxa"/>
            <w:tcBorders>
              <w:bottom w:val="single" w:sz="4" w:space="0" w:color="auto"/>
            </w:tcBorders>
            <w:vAlign w:val="center"/>
          </w:tcPr>
          <w:p w14:paraId="76501B8A" w14:textId="77777777" w:rsidR="001B39BA" w:rsidRPr="00AF4E8C" w:rsidRDefault="001B39BA" w:rsidP="00AF4E8C">
            <w:pPr>
              <w:widowControl/>
              <w:autoSpaceDE/>
              <w:autoSpaceDN/>
              <w:jc w:val="both"/>
              <w:rPr>
                <w:rFonts w:ascii="Arial" w:eastAsiaTheme="minorHAnsi" w:hAnsi="Arial" w:cs="Arial"/>
                <w:kern w:val="2"/>
                <w:sz w:val="13"/>
                <w:szCs w:val="13"/>
                <w:lang w:val="en-SG" w:eastAsia="en-SG"/>
                <w14:ligatures w14:val="standardContextual"/>
              </w:rPr>
            </w:pPr>
            <w:r w:rsidRPr="00AF4E8C">
              <w:rPr>
                <w:rFonts w:ascii="Arial" w:eastAsiaTheme="minorHAnsi" w:hAnsi="Arial" w:cs="Arial"/>
                <w:kern w:val="2"/>
                <w:sz w:val="13"/>
                <w:szCs w:val="13"/>
                <w:lang w:val="en-SG" w:eastAsia="en-SG"/>
                <w14:ligatures w14:val="standardContextual"/>
              </w:rPr>
              <w:t>.313</w:t>
            </w:r>
          </w:p>
        </w:tc>
      </w:tr>
    </w:tbl>
    <w:p w14:paraId="24DE53E7"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004596D2" w14:textId="7DCD1587" w:rsidR="001B39BA" w:rsidRPr="001B39BA" w:rsidRDefault="001B39BA" w:rsidP="001B39BA">
      <w:pPr>
        <w:spacing w:line="360" w:lineRule="auto"/>
        <w:ind w:firstLine="720"/>
        <w:jc w:val="both"/>
        <w:rPr>
          <w:rFonts w:ascii="Arial" w:hAnsi="Arial" w:cs="Arial"/>
        </w:rPr>
      </w:pPr>
      <w:r w:rsidRPr="001B39BA">
        <w:rPr>
          <w:rFonts w:ascii="Arial" w:hAnsi="Arial" w:cs="Arial"/>
        </w:rPr>
        <w:lastRenderedPageBreak/>
        <w:t xml:space="preserve">Table 8 presents the mediation analysis examining whether compassion fatigue mediates the relationship between work-specific characteristics and compassion satisfaction among guidance counselors. In this model, work-specific characteristics were specified as the independent variable, compassion fatigue as the mediator, and compassion satisfaction as the outcome variable, consistent with the study’s conceptual framework. Prior to analysis, all relevant assumptions for mediation were examined and </w:t>
      </w:r>
      <w:r w:rsidR="003D246B">
        <w:rPr>
          <w:rFonts w:ascii="Arial" w:hAnsi="Arial" w:cs="Arial"/>
        </w:rPr>
        <w:t xml:space="preserve">found to be </w:t>
      </w:r>
      <w:r w:rsidRPr="001B39BA">
        <w:rPr>
          <w:rFonts w:ascii="Arial" w:hAnsi="Arial" w:cs="Arial"/>
        </w:rPr>
        <w:t>satisfied, including linearity, normality, and independence. Indirect effects were evaluated using confidence intervals, providing a robust basis for assessing mediation.</w:t>
      </w:r>
    </w:p>
    <w:p w14:paraId="08B797DC"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 xml:space="preserve">The results indicate that none of the indirect effects were statistically significant, as their confidence intervals included zero. This demonstrates that compassion fatigue does not significantly mediate the relationship between work-specific characteristics and compassion satisfaction. In other words, work-specific characteristics do not influence professional fulfillment by increasing or reducing fatigue. </w:t>
      </w:r>
    </w:p>
    <w:p w14:paraId="4FDDBE46" w14:textId="77777777" w:rsidR="001B39BA" w:rsidRPr="001B39BA" w:rsidRDefault="001B39BA" w:rsidP="001B39BA">
      <w:pPr>
        <w:spacing w:line="360" w:lineRule="auto"/>
        <w:ind w:firstLine="720"/>
        <w:jc w:val="both"/>
        <w:rPr>
          <w:rFonts w:ascii="Arial" w:eastAsia="Times New Roman" w:hAnsi="Arial" w:cs="Arial"/>
          <w:lang w:val="en-SG"/>
        </w:rPr>
      </w:pPr>
      <w:r w:rsidRPr="001B39BA">
        <w:rPr>
          <w:rFonts w:ascii="Arial" w:hAnsi="Arial" w:cs="Arial"/>
        </w:rPr>
        <w:t>These findings suggest that the influence of work-specific characteristics on compassion satisfaction operates primarily through</w:t>
      </w:r>
      <w:r w:rsidRPr="001B39BA">
        <w:rPr>
          <w:rFonts w:ascii="Arial" w:hAnsi="Arial" w:cs="Arial"/>
          <w:b/>
          <w:bCs/>
        </w:rPr>
        <w:t xml:space="preserve"> </w:t>
      </w:r>
      <w:r w:rsidRPr="001B39BA">
        <w:rPr>
          <w:rFonts w:ascii="Arial" w:hAnsi="Arial" w:cs="Arial"/>
        </w:rPr>
        <w:t>direct experiences of professional engagement and fulfillment</w:t>
      </w:r>
      <w:r w:rsidRPr="001B39BA">
        <w:rPr>
          <w:rFonts w:ascii="Arial" w:hAnsi="Arial" w:cs="Arial"/>
          <w:b/>
          <w:bCs/>
        </w:rPr>
        <w:t>,</w:t>
      </w:r>
      <w:r w:rsidRPr="001B39BA">
        <w:rPr>
          <w:rFonts w:ascii="Arial" w:hAnsi="Arial" w:cs="Arial"/>
        </w:rPr>
        <w:t xml:space="preserve"> rather than through reducing or managing compassion fatigue. This further means that guidance counselors derive satisfaction not because they feel less exhausted, but because they can effectively connect with, support, and positively impact their clients. The sense of meaning, purpose, and accomplishment that comes from exercising skills such as empathy, genuineness, and interpersonal effectiveness is inherently rewarding, regardless of fatigue.</w:t>
      </w:r>
    </w:p>
    <w:p w14:paraId="14F1504F"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Furthermore, the results imply that work-specific characteristics and compassion fatigue may constitute distinct yet</w:t>
      </w:r>
      <w:r w:rsidRPr="001B39BA">
        <w:rPr>
          <w:rFonts w:ascii="Arial" w:hAnsi="Arial" w:cs="Arial"/>
          <w:b/>
          <w:bCs/>
        </w:rPr>
        <w:t xml:space="preserve"> </w:t>
      </w:r>
      <w:r w:rsidRPr="001B39BA">
        <w:rPr>
          <w:rFonts w:ascii="Arial" w:hAnsi="Arial" w:cs="Arial"/>
        </w:rPr>
        <w:t xml:space="preserve">coexisting aspects of counselors’ professional lives. While counselors may experience emotional strain from the demands of their role, this does not necessarily diminish the satisfaction they derive from helping others. This highlights a complex reality in counseling practice: professionals can feel both challenged and fulfilled at the same time. </w:t>
      </w:r>
    </w:p>
    <w:p w14:paraId="08A291B6"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 xml:space="preserve">Consequently, enhancing competencies such as interpersonal skills, authenticity, and self-awareness may directly strengthen compassion satisfaction, even in the presence of fatigue. Overall, the absence of a mediating effect suggests that improving counselors’ well-being should not rely solely on reducing fatigue but should also focus on strengthening the meaningful and rewarding aspects of their work. Accordingly, the hypothesis stating that compassion fatigue significantly mediates the relationship between </w:t>
      </w:r>
      <w:r w:rsidRPr="001B39BA">
        <w:rPr>
          <w:rFonts w:ascii="Arial" w:hAnsi="Arial" w:cs="Arial"/>
        </w:rPr>
        <w:lastRenderedPageBreak/>
        <w:t>work-specific characteristics and compassion satisfaction is rejected.</w:t>
      </w:r>
    </w:p>
    <w:p w14:paraId="5FBCB0A2"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64D1158F"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Table 9</w:t>
      </w:r>
    </w:p>
    <w:p w14:paraId="403D37BD"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Interaction among constructs in Work-Specific Characteristics</w:t>
      </w:r>
    </w:p>
    <w:tbl>
      <w:tblPr>
        <w:tblW w:w="8647" w:type="dxa"/>
        <w:tblCellSpacing w:w="15" w:type="dxa"/>
        <w:tblCellMar>
          <w:top w:w="15" w:type="dxa"/>
          <w:left w:w="15" w:type="dxa"/>
          <w:bottom w:w="15" w:type="dxa"/>
          <w:right w:w="15" w:type="dxa"/>
        </w:tblCellMar>
        <w:tblLook w:val="04A0" w:firstRow="1" w:lastRow="0" w:firstColumn="1" w:lastColumn="0" w:noHBand="0" w:noVBand="1"/>
      </w:tblPr>
      <w:tblGrid>
        <w:gridCol w:w="3402"/>
        <w:gridCol w:w="1843"/>
        <w:gridCol w:w="1418"/>
        <w:gridCol w:w="1984"/>
      </w:tblGrid>
      <w:tr w:rsidR="001B39BA" w:rsidRPr="001B39BA" w14:paraId="63B812ED" w14:textId="77777777" w:rsidTr="005703E4">
        <w:trPr>
          <w:tblHeader/>
          <w:tblCellSpacing w:w="15" w:type="dxa"/>
        </w:trPr>
        <w:tc>
          <w:tcPr>
            <w:tcW w:w="3357" w:type="dxa"/>
            <w:tcBorders>
              <w:top w:val="single" w:sz="4" w:space="0" w:color="auto"/>
              <w:bottom w:val="single" w:sz="4" w:space="0" w:color="auto"/>
            </w:tcBorders>
            <w:vAlign w:val="center"/>
            <w:hideMark/>
          </w:tcPr>
          <w:p w14:paraId="0790343E"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Variable</w:t>
            </w:r>
          </w:p>
        </w:tc>
        <w:tc>
          <w:tcPr>
            <w:tcW w:w="1813" w:type="dxa"/>
            <w:tcBorders>
              <w:top w:val="single" w:sz="4" w:space="0" w:color="auto"/>
              <w:bottom w:val="single" w:sz="4" w:space="0" w:color="auto"/>
            </w:tcBorders>
            <w:vAlign w:val="center"/>
            <w:hideMark/>
          </w:tcPr>
          <w:p w14:paraId="4230D530"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F (df)</w:t>
            </w:r>
          </w:p>
        </w:tc>
        <w:tc>
          <w:tcPr>
            <w:tcW w:w="1388" w:type="dxa"/>
            <w:tcBorders>
              <w:top w:val="single" w:sz="4" w:space="0" w:color="auto"/>
              <w:bottom w:val="single" w:sz="4" w:space="0" w:color="auto"/>
            </w:tcBorders>
            <w:vAlign w:val="center"/>
            <w:hideMark/>
          </w:tcPr>
          <w:p w14:paraId="666F61C9"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p-value</w:t>
            </w:r>
          </w:p>
        </w:tc>
        <w:tc>
          <w:tcPr>
            <w:tcW w:w="1939" w:type="dxa"/>
            <w:tcBorders>
              <w:top w:val="single" w:sz="4" w:space="0" w:color="auto"/>
              <w:bottom w:val="single" w:sz="4" w:space="0" w:color="auto"/>
            </w:tcBorders>
            <w:vAlign w:val="center"/>
            <w:hideMark/>
          </w:tcPr>
          <w:p w14:paraId="5A074392"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Partial η²</w:t>
            </w:r>
          </w:p>
        </w:tc>
      </w:tr>
      <w:tr w:rsidR="001B39BA" w:rsidRPr="001B39BA" w14:paraId="660CD631" w14:textId="77777777" w:rsidTr="005703E4">
        <w:trPr>
          <w:tblCellSpacing w:w="15" w:type="dxa"/>
        </w:trPr>
        <w:tc>
          <w:tcPr>
            <w:tcW w:w="3357" w:type="dxa"/>
            <w:vAlign w:val="center"/>
            <w:hideMark/>
          </w:tcPr>
          <w:p w14:paraId="27BAF49A"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4A467E01"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Empathic Understanding</w:t>
            </w:r>
          </w:p>
        </w:tc>
        <w:tc>
          <w:tcPr>
            <w:tcW w:w="1813" w:type="dxa"/>
            <w:vAlign w:val="center"/>
            <w:hideMark/>
          </w:tcPr>
          <w:p w14:paraId="0D5CBFD6"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p>
          <w:p w14:paraId="3A38358E"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0.024 (1,115)</w:t>
            </w:r>
          </w:p>
        </w:tc>
        <w:tc>
          <w:tcPr>
            <w:tcW w:w="1388" w:type="dxa"/>
            <w:vAlign w:val="center"/>
            <w:hideMark/>
          </w:tcPr>
          <w:p w14:paraId="196B6700"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p>
          <w:p w14:paraId="485B1961"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.878</w:t>
            </w:r>
          </w:p>
        </w:tc>
        <w:tc>
          <w:tcPr>
            <w:tcW w:w="1939" w:type="dxa"/>
            <w:vAlign w:val="center"/>
            <w:hideMark/>
          </w:tcPr>
          <w:p w14:paraId="69E988C9"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p>
          <w:p w14:paraId="3F316C19"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.000</w:t>
            </w:r>
          </w:p>
        </w:tc>
      </w:tr>
      <w:tr w:rsidR="001B39BA" w:rsidRPr="001B39BA" w14:paraId="36CCD4E6" w14:textId="77777777" w:rsidTr="005703E4">
        <w:trPr>
          <w:tblCellSpacing w:w="15" w:type="dxa"/>
        </w:trPr>
        <w:tc>
          <w:tcPr>
            <w:tcW w:w="3357" w:type="dxa"/>
            <w:vAlign w:val="center"/>
            <w:hideMark/>
          </w:tcPr>
          <w:p w14:paraId="15821136"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Genuineness</w:t>
            </w:r>
          </w:p>
        </w:tc>
        <w:tc>
          <w:tcPr>
            <w:tcW w:w="1813" w:type="dxa"/>
            <w:vAlign w:val="center"/>
            <w:hideMark/>
          </w:tcPr>
          <w:p w14:paraId="39DAFE50"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0.848 (1,115)</w:t>
            </w:r>
          </w:p>
        </w:tc>
        <w:tc>
          <w:tcPr>
            <w:tcW w:w="1388" w:type="dxa"/>
            <w:vAlign w:val="center"/>
            <w:hideMark/>
          </w:tcPr>
          <w:p w14:paraId="215B17A9"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.359</w:t>
            </w:r>
          </w:p>
        </w:tc>
        <w:tc>
          <w:tcPr>
            <w:tcW w:w="1939" w:type="dxa"/>
            <w:vAlign w:val="center"/>
            <w:hideMark/>
          </w:tcPr>
          <w:p w14:paraId="3EA764A5"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.007</w:t>
            </w:r>
          </w:p>
        </w:tc>
      </w:tr>
      <w:tr w:rsidR="001B39BA" w:rsidRPr="001B39BA" w14:paraId="0ED4D681" w14:textId="77777777" w:rsidTr="005703E4">
        <w:trPr>
          <w:tblCellSpacing w:w="15" w:type="dxa"/>
        </w:trPr>
        <w:tc>
          <w:tcPr>
            <w:tcW w:w="3357" w:type="dxa"/>
            <w:vAlign w:val="center"/>
            <w:hideMark/>
          </w:tcPr>
          <w:p w14:paraId="6B1055EA"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Non-Judgmental Attitude</w:t>
            </w:r>
          </w:p>
        </w:tc>
        <w:tc>
          <w:tcPr>
            <w:tcW w:w="1813" w:type="dxa"/>
            <w:vAlign w:val="center"/>
            <w:hideMark/>
          </w:tcPr>
          <w:p w14:paraId="6CBCF475"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0.269 (1,119)</w:t>
            </w:r>
          </w:p>
        </w:tc>
        <w:tc>
          <w:tcPr>
            <w:tcW w:w="1388" w:type="dxa"/>
            <w:vAlign w:val="center"/>
            <w:hideMark/>
          </w:tcPr>
          <w:p w14:paraId="27FB0F7C"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.605</w:t>
            </w:r>
          </w:p>
        </w:tc>
        <w:tc>
          <w:tcPr>
            <w:tcW w:w="1939" w:type="dxa"/>
            <w:vAlign w:val="center"/>
            <w:hideMark/>
          </w:tcPr>
          <w:p w14:paraId="658DDFF0"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.002</w:t>
            </w:r>
          </w:p>
        </w:tc>
      </w:tr>
      <w:tr w:rsidR="001B39BA" w:rsidRPr="001B39BA" w14:paraId="1D0A0366" w14:textId="77777777" w:rsidTr="005703E4">
        <w:trPr>
          <w:tblCellSpacing w:w="15" w:type="dxa"/>
        </w:trPr>
        <w:tc>
          <w:tcPr>
            <w:tcW w:w="3357" w:type="dxa"/>
            <w:vAlign w:val="center"/>
            <w:hideMark/>
          </w:tcPr>
          <w:p w14:paraId="1635BDF3"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Interpersonal Skills</w:t>
            </w:r>
          </w:p>
        </w:tc>
        <w:tc>
          <w:tcPr>
            <w:tcW w:w="1813" w:type="dxa"/>
            <w:vAlign w:val="center"/>
            <w:hideMark/>
          </w:tcPr>
          <w:p w14:paraId="26C4D7C3"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0.000 (1,115)</w:t>
            </w:r>
          </w:p>
        </w:tc>
        <w:tc>
          <w:tcPr>
            <w:tcW w:w="1388" w:type="dxa"/>
            <w:vAlign w:val="center"/>
            <w:hideMark/>
          </w:tcPr>
          <w:p w14:paraId="68962E6D"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.986</w:t>
            </w:r>
          </w:p>
        </w:tc>
        <w:tc>
          <w:tcPr>
            <w:tcW w:w="1939" w:type="dxa"/>
            <w:vAlign w:val="center"/>
            <w:hideMark/>
          </w:tcPr>
          <w:p w14:paraId="647FFC96"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.000</w:t>
            </w:r>
          </w:p>
        </w:tc>
      </w:tr>
      <w:tr w:rsidR="001B39BA" w:rsidRPr="001B39BA" w14:paraId="69F75FE8" w14:textId="77777777" w:rsidTr="005703E4">
        <w:trPr>
          <w:tblCellSpacing w:w="15" w:type="dxa"/>
        </w:trPr>
        <w:tc>
          <w:tcPr>
            <w:tcW w:w="3357" w:type="dxa"/>
            <w:tcBorders>
              <w:bottom w:val="single" w:sz="4" w:space="0" w:color="auto"/>
            </w:tcBorders>
            <w:vAlign w:val="center"/>
            <w:hideMark/>
          </w:tcPr>
          <w:p w14:paraId="24313207"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Self-Compassion</w:t>
            </w:r>
          </w:p>
        </w:tc>
        <w:tc>
          <w:tcPr>
            <w:tcW w:w="1813" w:type="dxa"/>
            <w:tcBorders>
              <w:bottom w:val="single" w:sz="4" w:space="0" w:color="auto"/>
            </w:tcBorders>
            <w:vAlign w:val="center"/>
            <w:hideMark/>
          </w:tcPr>
          <w:p w14:paraId="0E590572"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0.433 (1,115)</w:t>
            </w:r>
          </w:p>
        </w:tc>
        <w:tc>
          <w:tcPr>
            <w:tcW w:w="1388" w:type="dxa"/>
            <w:tcBorders>
              <w:bottom w:val="single" w:sz="4" w:space="0" w:color="auto"/>
            </w:tcBorders>
            <w:vAlign w:val="center"/>
            <w:hideMark/>
          </w:tcPr>
          <w:p w14:paraId="0832A429"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.512</w:t>
            </w:r>
          </w:p>
        </w:tc>
        <w:tc>
          <w:tcPr>
            <w:tcW w:w="1939" w:type="dxa"/>
            <w:tcBorders>
              <w:bottom w:val="single" w:sz="4" w:space="0" w:color="auto"/>
            </w:tcBorders>
            <w:vAlign w:val="center"/>
            <w:hideMark/>
          </w:tcPr>
          <w:p w14:paraId="19D05FC9"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.004</w:t>
            </w:r>
          </w:p>
        </w:tc>
      </w:tr>
    </w:tbl>
    <w:p w14:paraId="522748D5"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4821EF64"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Table 9 presents an analysis of interaction effects between compassion satisfaction and compassion fatigue on work-specific characteristics, including empathic understanding, genuineness, non-judgmental attitude, interpersonal skills, and self-compassion, using a General Linear Model (GLM). The GLM is a statistical method used to examine whether combining two variables produces an effect different from that when they are considered separately. In this study, the combined influence of compassion satisfaction and compassion fatigue was examined to determine whether it changes or affects guidance counselors’ professional characteristics. Prior to analysis, all relevant assumptions were examined and satisfied, including linearity, normality, homogeneity of variance, and independence of errors</w:t>
      </w:r>
      <w:r w:rsidRPr="001B39BA">
        <w:rPr>
          <w:rFonts w:ascii="Arial" w:hAnsi="Arial" w:cs="Arial"/>
          <w:b/>
          <w:bCs/>
        </w:rPr>
        <w:t xml:space="preserve">, </w:t>
      </w:r>
      <w:r w:rsidRPr="001B39BA">
        <w:rPr>
          <w:rFonts w:ascii="Arial" w:hAnsi="Arial" w:cs="Arial"/>
        </w:rPr>
        <w:t>indicating that the data were appropriate for inferential analysis.</w:t>
      </w:r>
    </w:p>
    <w:p w14:paraId="58E9AB44"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The results indicate that no statistically significant interaction effects were observed across all variables (p &gt; .05). Specifically, the interaction effects for empathic understanding (F(1,115) = 0.024, p = .878, η² = .000), genuineness (F(1,115) = 0.848, p = .359, η² = .007), non-judgmental attitude (F(1,119) = 0.269, p = .605, η² = .002), interpersonal skills (F(1,115) = 0.000, p = .986, η² = .000), and self-compassion (F(1,115) = 0.433, p = .512, η² = .004) were all non-significant, with negligible effect sizes.</w:t>
      </w:r>
    </w:p>
    <w:p w14:paraId="175C24AD"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These findings indicate that compassion fatigue does not moderate the relationship between compassion satisfaction and work-specific characteristics</w:t>
      </w:r>
      <w:r w:rsidRPr="001B39BA">
        <w:rPr>
          <w:rFonts w:ascii="Arial" w:hAnsi="Arial" w:cs="Arial"/>
          <w:b/>
          <w:bCs/>
        </w:rPr>
        <w:t xml:space="preserve">, </w:t>
      </w:r>
      <w:r w:rsidRPr="001B39BA">
        <w:rPr>
          <w:rFonts w:ascii="Arial" w:hAnsi="Arial" w:cs="Arial"/>
        </w:rPr>
        <w:t>suggesting that the positive influence of compassion satisfaction on guidance counselors’ professional competencies remains consistent across fatigue levels</w:t>
      </w:r>
      <w:r w:rsidRPr="001B39BA">
        <w:rPr>
          <w:rFonts w:ascii="Arial" w:hAnsi="Arial" w:cs="Arial"/>
          <w:b/>
          <w:bCs/>
        </w:rPr>
        <w:t xml:space="preserve">. </w:t>
      </w:r>
      <w:r w:rsidRPr="001B39BA">
        <w:rPr>
          <w:rFonts w:ascii="Arial" w:hAnsi="Arial" w:cs="Arial"/>
        </w:rPr>
        <w:t xml:space="preserve">Moreover, the </w:t>
      </w:r>
      <w:r w:rsidRPr="001B39BA">
        <w:rPr>
          <w:rFonts w:ascii="Arial" w:hAnsi="Arial" w:cs="Arial"/>
        </w:rPr>
        <w:lastRenderedPageBreak/>
        <w:t>consistently small effect sizes (η² ranging from .000 to .007) suggest that the interaction effects lack both statistical and practical significance. The uniform pattern of non-significant results across all dimensions further strengthens the consistency of the findings.</w:t>
      </w:r>
    </w:p>
    <w:p w14:paraId="44F7B393" w14:textId="77777777" w:rsidR="001B39BA" w:rsidRPr="001B39BA" w:rsidRDefault="001B39BA" w:rsidP="001B39BA">
      <w:pPr>
        <w:spacing w:line="360" w:lineRule="auto"/>
        <w:ind w:firstLine="720"/>
        <w:jc w:val="both"/>
        <w:rPr>
          <w:rFonts w:ascii="Arial" w:eastAsia="Times New Roman" w:hAnsi="Arial" w:cs="Arial"/>
          <w:lang w:val="en-SG"/>
        </w:rPr>
      </w:pPr>
      <w:r w:rsidRPr="001B39BA">
        <w:rPr>
          <w:rFonts w:ascii="Arial" w:hAnsi="Arial" w:cs="Arial"/>
        </w:rPr>
        <w:t>Overall, the results suggest that work-specific characteristics function independently rather than interactively, with compassion satisfaction and compassion fatigue exerting separate, non-combined influences on these professional traits. In a practical sense, this indicates that guidance counselors’ competencies, such as empathy, genuineness, and interpersonal skills, are relatively stable and are not significantly shaped by whether they feel fulfilled or emotionally drained. This may reflect the professional nature of counseling, in which core helping skills are grounded in training, ethical standards, and personal commitment, enabling counselors to maintain their effectiveness even under varying emotional conditions.</w:t>
      </w:r>
    </w:p>
    <w:p w14:paraId="6DB0E71D"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At the same time, the findings highlight that compassion satisfaction and compassion fatigue represent distinct dimensions of counselors’ experiences. Guidance counselors may continue to demonstrate high levels of professional competence while simultaneously experiencing fatigue, suggesting that effectiveness in practice does not depend solely on emotional state. This underscores the importance of viewing counselor well-being as multidimensional, in which sustaining professional skills and addressing emotional strain require distinct forms of support. Rather than expecting fatigue to weaken competencies or satisfaction to enhance them, the results point to the need for parallel strategies that strengthen professional capacities while also managing workplace stressors to support overall guidance counselor functioning.</w:t>
      </w:r>
    </w:p>
    <w:p w14:paraId="369F4623" w14:textId="77777777" w:rsidR="001B39BA" w:rsidRPr="001B39BA" w:rsidRDefault="001B39BA" w:rsidP="001B39BA">
      <w:pPr>
        <w:widowControl/>
        <w:autoSpaceDE/>
        <w:autoSpaceDN/>
        <w:spacing w:line="360" w:lineRule="auto"/>
        <w:jc w:val="both"/>
        <w:rPr>
          <w:rFonts w:ascii="Arial" w:hAnsi="Arial" w:cs="Arial"/>
          <w:lang w:val="en-SG"/>
        </w:rPr>
      </w:pPr>
    </w:p>
    <w:p w14:paraId="17527745"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Table 10</w:t>
      </w:r>
    </w:p>
    <w:p w14:paraId="5CCCA6AB"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Initial Structural Model Fit </w:t>
      </w:r>
    </w:p>
    <w:tbl>
      <w:tblPr>
        <w:tblW w:w="8647" w:type="dxa"/>
        <w:tblCellSpacing w:w="15" w:type="dxa"/>
        <w:tblCellMar>
          <w:top w:w="15" w:type="dxa"/>
          <w:left w:w="15" w:type="dxa"/>
          <w:bottom w:w="15" w:type="dxa"/>
          <w:right w:w="15" w:type="dxa"/>
        </w:tblCellMar>
        <w:tblLook w:val="04A0" w:firstRow="1" w:lastRow="0" w:firstColumn="1" w:lastColumn="0" w:noHBand="0" w:noVBand="1"/>
      </w:tblPr>
      <w:tblGrid>
        <w:gridCol w:w="1276"/>
        <w:gridCol w:w="1701"/>
        <w:gridCol w:w="2126"/>
        <w:gridCol w:w="3544"/>
      </w:tblGrid>
      <w:tr w:rsidR="001B39BA" w:rsidRPr="001B39BA" w14:paraId="6FC2FC7B" w14:textId="77777777" w:rsidTr="005703E4">
        <w:trPr>
          <w:tblHeader/>
          <w:tblCellSpacing w:w="15" w:type="dxa"/>
        </w:trPr>
        <w:tc>
          <w:tcPr>
            <w:tcW w:w="1231" w:type="dxa"/>
            <w:tcBorders>
              <w:top w:val="single" w:sz="4" w:space="0" w:color="auto"/>
            </w:tcBorders>
            <w:vAlign w:val="center"/>
            <w:hideMark/>
          </w:tcPr>
          <w:p w14:paraId="3222E303"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Fit Index</w:t>
            </w:r>
          </w:p>
        </w:tc>
        <w:tc>
          <w:tcPr>
            <w:tcW w:w="1671" w:type="dxa"/>
            <w:tcBorders>
              <w:top w:val="single" w:sz="4" w:space="0" w:color="auto"/>
            </w:tcBorders>
            <w:vAlign w:val="center"/>
            <w:hideMark/>
          </w:tcPr>
          <w:p w14:paraId="7F6BAB59"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Obtained Value</w:t>
            </w:r>
          </w:p>
        </w:tc>
        <w:tc>
          <w:tcPr>
            <w:tcW w:w="2096" w:type="dxa"/>
            <w:tcBorders>
              <w:top w:val="single" w:sz="4" w:space="0" w:color="auto"/>
            </w:tcBorders>
            <w:vAlign w:val="center"/>
            <w:hideMark/>
          </w:tcPr>
          <w:p w14:paraId="60997D8D"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Acceptable Criteria</w:t>
            </w:r>
          </w:p>
        </w:tc>
        <w:tc>
          <w:tcPr>
            <w:tcW w:w="3499" w:type="dxa"/>
            <w:tcBorders>
              <w:top w:val="single" w:sz="4" w:space="0" w:color="auto"/>
            </w:tcBorders>
            <w:vAlign w:val="center"/>
            <w:hideMark/>
          </w:tcPr>
          <w:p w14:paraId="7B726CC0"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Interpretation</w:t>
            </w:r>
          </w:p>
        </w:tc>
      </w:tr>
      <w:tr w:rsidR="001B39BA" w:rsidRPr="001B39BA" w14:paraId="2C1D1260" w14:textId="77777777" w:rsidTr="005703E4">
        <w:trPr>
          <w:tblCellSpacing w:w="15" w:type="dxa"/>
        </w:trPr>
        <w:tc>
          <w:tcPr>
            <w:tcW w:w="1231" w:type="dxa"/>
            <w:vAlign w:val="center"/>
            <w:hideMark/>
          </w:tcPr>
          <w:p w14:paraId="265CE8E8"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555FC740"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CFI</w:t>
            </w:r>
          </w:p>
        </w:tc>
        <w:tc>
          <w:tcPr>
            <w:tcW w:w="1671" w:type="dxa"/>
            <w:vAlign w:val="center"/>
            <w:hideMark/>
          </w:tcPr>
          <w:p w14:paraId="566BBA37"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p>
          <w:p w14:paraId="7DD3B342"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0.465</w:t>
            </w:r>
          </w:p>
        </w:tc>
        <w:tc>
          <w:tcPr>
            <w:tcW w:w="2096" w:type="dxa"/>
            <w:vAlign w:val="center"/>
            <w:hideMark/>
          </w:tcPr>
          <w:p w14:paraId="3D90DEAB"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p>
          <w:p w14:paraId="79BB0AFA"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0.90</w:t>
            </w:r>
          </w:p>
        </w:tc>
        <w:tc>
          <w:tcPr>
            <w:tcW w:w="3499" w:type="dxa"/>
            <w:vAlign w:val="center"/>
            <w:hideMark/>
          </w:tcPr>
          <w:p w14:paraId="17A11641"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p>
          <w:p w14:paraId="19DF71CA"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Poor Fit (Unmet)</w:t>
            </w:r>
          </w:p>
        </w:tc>
      </w:tr>
      <w:tr w:rsidR="001B39BA" w:rsidRPr="001B39BA" w14:paraId="16C5A28E" w14:textId="77777777" w:rsidTr="005703E4">
        <w:trPr>
          <w:tblCellSpacing w:w="15" w:type="dxa"/>
        </w:trPr>
        <w:tc>
          <w:tcPr>
            <w:tcW w:w="1231" w:type="dxa"/>
            <w:vAlign w:val="center"/>
            <w:hideMark/>
          </w:tcPr>
          <w:p w14:paraId="7256A4FE"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TLI</w:t>
            </w:r>
          </w:p>
        </w:tc>
        <w:tc>
          <w:tcPr>
            <w:tcW w:w="1671" w:type="dxa"/>
            <w:vAlign w:val="center"/>
            <w:hideMark/>
          </w:tcPr>
          <w:p w14:paraId="0104A65A"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0.441</w:t>
            </w:r>
          </w:p>
        </w:tc>
        <w:tc>
          <w:tcPr>
            <w:tcW w:w="2096" w:type="dxa"/>
            <w:vAlign w:val="center"/>
            <w:hideMark/>
          </w:tcPr>
          <w:p w14:paraId="2A6E8AC3"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0.90</w:t>
            </w:r>
          </w:p>
        </w:tc>
        <w:tc>
          <w:tcPr>
            <w:tcW w:w="3499" w:type="dxa"/>
            <w:vAlign w:val="center"/>
            <w:hideMark/>
          </w:tcPr>
          <w:p w14:paraId="6DCE19EE"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Poor Fit (Unmet)</w:t>
            </w:r>
          </w:p>
        </w:tc>
      </w:tr>
      <w:tr w:rsidR="001B39BA" w:rsidRPr="001B39BA" w14:paraId="457BF74A" w14:textId="77777777" w:rsidTr="005703E4">
        <w:trPr>
          <w:tblCellSpacing w:w="15" w:type="dxa"/>
        </w:trPr>
        <w:tc>
          <w:tcPr>
            <w:tcW w:w="1231" w:type="dxa"/>
            <w:vAlign w:val="center"/>
            <w:hideMark/>
          </w:tcPr>
          <w:p w14:paraId="36F9F0C9"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RMSEA</w:t>
            </w:r>
          </w:p>
        </w:tc>
        <w:tc>
          <w:tcPr>
            <w:tcW w:w="1671" w:type="dxa"/>
            <w:vAlign w:val="center"/>
            <w:hideMark/>
          </w:tcPr>
          <w:p w14:paraId="2D9728A3"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0.144</w:t>
            </w:r>
          </w:p>
        </w:tc>
        <w:tc>
          <w:tcPr>
            <w:tcW w:w="2096" w:type="dxa"/>
            <w:vAlign w:val="center"/>
            <w:hideMark/>
          </w:tcPr>
          <w:p w14:paraId="1AFEB1FC"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0.08</w:t>
            </w:r>
          </w:p>
        </w:tc>
        <w:tc>
          <w:tcPr>
            <w:tcW w:w="3499" w:type="dxa"/>
            <w:vAlign w:val="center"/>
            <w:hideMark/>
          </w:tcPr>
          <w:p w14:paraId="37FECFF0"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Poor Fit (Unmet)</w:t>
            </w:r>
          </w:p>
        </w:tc>
      </w:tr>
      <w:tr w:rsidR="001B39BA" w:rsidRPr="001B39BA" w14:paraId="33FA6564" w14:textId="77777777" w:rsidTr="005703E4">
        <w:trPr>
          <w:tblCellSpacing w:w="15" w:type="dxa"/>
        </w:trPr>
        <w:tc>
          <w:tcPr>
            <w:tcW w:w="1231" w:type="dxa"/>
            <w:tcBorders>
              <w:bottom w:val="single" w:sz="4" w:space="0" w:color="auto"/>
            </w:tcBorders>
            <w:vAlign w:val="center"/>
            <w:hideMark/>
          </w:tcPr>
          <w:p w14:paraId="3FCAA833"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SRMR</w:t>
            </w:r>
          </w:p>
        </w:tc>
        <w:tc>
          <w:tcPr>
            <w:tcW w:w="1671" w:type="dxa"/>
            <w:tcBorders>
              <w:bottom w:val="single" w:sz="4" w:space="0" w:color="auto"/>
            </w:tcBorders>
            <w:vAlign w:val="center"/>
            <w:hideMark/>
          </w:tcPr>
          <w:p w14:paraId="5CA38FF5"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0.171</w:t>
            </w:r>
          </w:p>
        </w:tc>
        <w:tc>
          <w:tcPr>
            <w:tcW w:w="2096" w:type="dxa"/>
            <w:tcBorders>
              <w:bottom w:val="single" w:sz="4" w:space="0" w:color="auto"/>
            </w:tcBorders>
            <w:vAlign w:val="center"/>
            <w:hideMark/>
          </w:tcPr>
          <w:p w14:paraId="09D68545"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0.08</w:t>
            </w:r>
          </w:p>
        </w:tc>
        <w:tc>
          <w:tcPr>
            <w:tcW w:w="3499" w:type="dxa"/>
            <w:tcBorders>
              <w:bottom w:val="single" w:sz="4" w:space="0" w:color="auto"/>
            </w:tcBorders>
            <w:vAlign w:val="center"/>
            <w:hideMark/>
          </w:tcPr>
          <w:p w14:paraId="05C364B0"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Poor Fit (Unmet)</w:t>
            </w:r>
          </w:p>
        </w:tc>
      </w:tr>
    </w:tbl>
    <w:p w14:paraId="114F20B1" w14:textId="77777777" w:rsidR="00AF4E8C" w:rsidRDefault="00AF4E8C" w:rsidP="001B39BA">
      <w:pPr>
        <w:spacing w:line="360" w:lineRule="auto"/>
        <w:ind w:firstLine="720"/>
        <w:jc w:val="both"/>
        <w:rPr>
          <w:rFonts w:ascii="Arial" w:hAnsi="Arial" w:cs="Arial"/>
        </w:rPr>
      </w:pPr>
    </w:p>
    <w:p w14:paraId="1C71D60E" w14:textId="2BA26D7D" w:rsidR="001B39BA" w:rsidRPr="001B39BA" w:rsidRDefault="001B39BA" w:rsidP="001B39BA">
      <w:pPr>
        <w:spacing w:line="360" w:lineRule="auto"/>
        <w:ind w:firstLine="720"/>
        <w:jc w:val="both"/>
        <w:rPr>
          <w:rFonts w:ascii="Arial" w:hAnsi="Arial" w:cs="Arial"/>
        </w:rPr>
      </w:pPr>
      <w:r w:rsidRPr="001B39BA">
        <w:rPr>
          <w:rFonts w:ascii="Arial" w:hAnsi="Arial" w:cs="Arial"/>
        </w:rPr>
        <w:lastRenderedPageBreak/>
        <w:t xml:space="preserve">Table 10 presents the initial </w:t>
      </w:r>
      <w:r w:rsidRPr="001B39BA">
        <w:rPr>
          <w:rFonts w:ascii="Arial" w:eastAsiaTheme="majorEastAsia" w:hAnsi="Arial" w:cs="Arial"/>
        </w:rPr>
        <w:t xml:space="preserve">structural </w:t>
      </w:r>
      <w:r w:rsidRPr="001B39BA">
        <w:rPr>
          <w:rFonts w:ascii="Arial" w:hAnsi="Arial" w:cs="Arial"/>
        </w:rPr>
        <w:t>model fit of the hypothesized structural equation model, evaluated using standard fit indices, including the Comparative Fit Index (CFI), the Tucker–Lewis Index (TLI), the Root Mean Square Error of Approximation (RMSEA), and the Standardized Root Mean Square Residual (SRMR)</w:t>
      </w:r>
      <w:r w:rsidRPr="001B39BA">
        <w:rPr>
          <w:rFonts w:ascii="Arial" w:hAnsi="Arial" w:cs="Arial"/>
          <w:b/>
          <w:bCs/>
        </w:rPr>
        <w:t xml:space="preserve">. </w:t>
      </w:r>
      <w:r w:rsidRPr="001B39BA">
        <w:rPr>
          <w:rFonts w:ascii="Arial" w:hAnsi="Arial" w:cs="Arial"/>
        </w:rPr>
        <w:t>Each index was assessed against established criteria for acceptable model fit. Specifically, CFI and TLI values≥ 0.90 indicate good incremental fit, while RMSEA and SRMR values ≤ 0.08 indicate acceptable absolute fit. The results indicate that none of the fit indices met the recommended thresholds</w:t>
      </w:r>
      <w:r w:rsidRPr="001B39BA">
        <w:rPr>
          <w:rFonts w:ascii="Arial" w:hAnsi="Arial" w:cs="Arial"/>
          <w:b/>
          <w:bCs/>
        </w:rPr>
        <w:t>,</w:t>
      </w:r>
      <w:r w:rsidRPr="001B39BA">
        <w:rPr>
          <w:rFonts w:ascii="Arial" w:hAnsi="Arial" w:cs="Arial"/>
        </w:rPr>
        <w:t xml:space="preserve"> suggesting that the model does not adequately represent the observed data. The CFI (0.465) and TLI (0.441) were substantially below the acceptable level, indicating poor incremental fit. Similarly, the RMSEA (0.144) exceeded the recommended cutoff, reflecting a high level of approximation error, while the SRMR (0.171) surpassed acceptable limits, indicating considerable discrepancies between observed and predicted relationships.</w:t>
      </w:r>
    </w:p>
    <w:p w14:paraId="562D9B32"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Taken together, these results consistently demonstrate poor overall model fit</w:t>
      </w:r>
      <w:r w:rsidRPr="001B39BA">
        <w:rPr>
          <w:rFonts w:ascii="Arial" w:hAnsi="Arial" w:cs="Arial"/>
          <w:b/>
          <w:bCs/>
        </w:rPr>
        <w:t>,</w:t>
      </w:r>
      <w:r w:rsidRPr="001B39BA">
        <w:rPr>
          <w:rFonts w:ascii="Arial" w:hAnsi="Arial" w:cs="Arial"/>
        </w:rPr>
        <w:t xml:space="preserve"> indicating that the hypothesized structural relationships among work-specific characteristics, compassion fatigue, and compassion satisfaction are not sufficiently supported by the data. Overall, the findings suggest that the initial structural model is not well-specified and requires further refinement</w:t>
      </w:r>
      <w:r w:rsidRPr="001B39BA">
        <w:rPr>
          <w:rFonts w:ascii="Arial" w:hAnsi="Arial" w:cs="Arial"/>
          <w:b/>
          <w:bCs/>
        </w:rPr>
        <w:t xml:space="preserve">. </w:t>
      </w:r>
      <w:r w:rsidRPr="001B39BA">
        <w:rPr>
          <w:rFonts w:ascii="Arial" w:hAnsi="Arial" w:cs="Arial"/>
        </w:rPr>
        <w:t>This highlights the need to re-examine the proposed relationships and consider additional theoretical or contextual variables to improve model adequacy.</w:t>
      </w:r>
    </w:p>
    <w:p w14:paraId="71627BA9"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noProof/>
          <w:kern w:val="2"/>
          <w:lang w:val="en-SG"/>
          <w14:ligatures w14:val="standardContextual"/>
        </w:rPr>
        <mc:AlternateContent>
          <mc:Choice Requires="wps">
            <w:drawing>
              <wp:inline distT="0" distB="0" distL="0" distR="0" wp14:anchorId="03F940D3" wp14:editId="0C387F79">
                <wp:extent cx="304800" cy="304800"/>
                <wp:effectExtent l="0" t="0" r="0" b="0"/>
                <wp:docPr id="173559870" name="Rectangle 1" descr="Generated image: Structural model of work characteristic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w14:anchorId="69E7EEAB" id="Rectangle 1" o:spid="_x0000_s1026" alt="Generated image: Structural model of work characteristic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LOPQqckBAACEAwAADgAAAAAAAAAAAAAA&#10;AAAuAgAAZHJzL2Uyb0RvYy54bWxQSwECLQAUAAYACAAAACEATKDpLNgAAAADAQAADwAAAAAAAAAA&#10;AAAAAAAjBAAAZHJzL2Rvd25yZXYueG1sUEsFBgAAAAAEAAQA8wAAACgFAAAAAA==&#10;" filled="f" stroked="f">
                <o:lock v:ext="edit" aspectratio="t"/>
                <w10:anchorlock/>
              </v:rect>
            </w:pict>
          </mc:Fallback>
        </mc:AlternateContent>
      </w:r>
      <w:r w:rsidRPr="001B39BA">
        <w:rPr>
          <w:rFonts w:ascii="Arial" w:eastAsiaTheme="minorHAnsi" w:hAnsi="Arial" w:cs="Arial"/>
          <w:noProof/>
          <w:kern w:val="2"/>
          <w:lang w:val="en-SG"/>
          <w14:ligatures w14:val="standardContextual"/>
        </w:rPr>
        <w:drawing>
          <wp:inline distT="0" distB="0" distL="0" distR="0" wp14:anchorId="6E7F0DDC" wp14:editId="5736F0A6">
            <wp:extent cx="5141595" cy="2895600"/>
            <wp:effectExtent l="0" t="0" r="1905" b="0"/>
            <wp:docPr id="1782257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57351"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t="11792" b="9670"/>
                    <a:stretch>
                      <a:fillRect/>
                    </a:stretch>
                  </pic:blipFill>
                  <pic:spPr bwMode="auto">
                    <a:xfrm>
                      <a:off x="0" y="0"/>
                      <a:ext cx="5172477" cy="2912992"/>
                    </a:xfrm>
                    <a:prstGeom prst="rect">
                      <a:avLst/>
                    </a:prstGeom>
                    <a:noFill/>
                    <a:ln>
                      <a:noFill/>
                    </a:ln>
                    <a:extLst>
                      <a:ext uri="{53640926-AAD7-44D8-BBD7-CCE9431645EC}">
                        <a14:shadowObscured xmlns:a14="http://schemas.microsoft.com/office/drawing/2010/main"/>
                      </a:ext>
                    </a:extLst>
                  </pic:spPr>
                </pic:pic>
              </a:graphicData>
            </a:graphic>
          </wp:inline>
        </w:drawing>
      </w:r>
    </w:p>
    <w:p w14:paraId="6A2EFD6D"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Figure 4. Initial Structural Model Fit</w:t>
      </w:r>
    </w:p>
    <w:p w14:paraId="27BD2254"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1DDAC14A"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lastRenderedPageBreak/>
        <w:t>Figure 4 presents the initial structural model fit, illustrating the relationships among work-specific characteristics, compassion fatigue, and compassion satisfaction among guidance counselors. At the measurement level, work-specific characteristics are represented as a latent construct reflected by five indicators: empathic understanding, genuineness, non-judgmental attitude, interpersonal skills, and self-compassion. This indicates that these dimensions collectively define the professional competencies of guidance counselors and function as a unified construct within the model.</w:t>
      </w:r>
    </w:p>
    <w:p w14:paraId="6C360660"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Meanwhile, at the structural level, the diagram shows a strong and statistically significant direct effect of work-specific characteristics on compassion satisfaction (β = 1.219, p &lt; .001). This suggests that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counselors who demonstrate higher levels of professional skills and relational competencies are more likely to experience greater fulfillment in their work. Highlighting this positive relationship can make the audience feel optimistic about the potential for targeted improvements in professional skills to enhance well-being.</w:t>
      </w:r>
    </w:p>
    <w:p w14:paraId="6F9F908D"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In contrast, the paths involving compassion fatigue are not statistically significant, as indicated by the dashed lines labeled “ns.” Specifically, compassion fatigue does not significantly predict compassion satisfaction, nor does it significantly influence work-specific characteristics. This indicates that emotional exhaustion does not have a direct or reliable impact on either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counselors’ professional competencies or their level of satisfaction.</w:t>
      </w:r>
    </w:p>
    <w:p w14:paraId="57795ED7"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Furthermore, the absence of significant indirect pathways suggests that compassion fatigue does not mediate the relationship between work-specific characteristics and compassion satisfaction. In simple terms, the effect of professional competencies on satisfaction operates directly and is not influenced by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counselors' fatigue levels.</w:t>
      </w:r>
    </w:p>
    <w:p w14:paraId="6638546A"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Taken together, the diagram highlights a clear and consistent pattern: work-specific characteristics are the primary determinants of compassion satisfaction. In contrast, compassion fatigue serves as an independent variable with no significant structural role in the model. This supports a strengths-based interpretation, emphasizing that enhancing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counselors’ competencies is more critical for improving professional well-being than focusing solely on reducing emotional strain. However, the model fit indices suggest only moderate fit, indicating that while the relationships are meaningful, the model may not fully capture the complexity of the variables' interactions, guiding future refinement efforts.</w:t>
      </w:r>
    </w:p>
    <w:p w14:paraId="1A0B5F72"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lastRenderedPageBreak/>
        <w:t>TABLE 11</w:t>
      </w:r>
    </w:p>
    <w:p w14:paraId="1AB87061" w14:textId="77777777" w:rsidR="001B39BA" w:rsidRPr="001B39BA" w:rsidRDefault="001B39BA" w:rsidP="001B39BA">
      <w:pPr>
        <w:widowControl/>
        <w:autoSpaceDE/>
        <w:autoSpaceDN/>
        <w:spacing w:line="360" w:lineRule="auto"/>
        <w:jc w:val="both"/>
        <w:rPr>
          <w:rFonts w:ascii="Arial" w:eastAsia="Times New Roman" w:hAnsi="Arial" w:cs="Arial"/>
          <w:kern w:val="36"/>
          <w:lang w:val="en-SG" w:eastAsia="en-SG"/>
        </w:rPr>
      </w:pPr>
      <w:r w:rsidRPr="001B39BA">
        <w:rPr>
          <w:rFonts w:ascii="Arial" w:eastAsia="Times New Roman" w:hAnsi="Arial" w:cs="Arial"/>
          <w:kern w:val="36"/>
          <w:lang w:val="en-SG" w:eastAsia="en-SG"/>
        </w:rPr>
        <w:t xml:space="preserve">Revised Structural Model Fit </w:t>
      </w:r>
    </w:p>
    <w:tbl>
      <w:tblPr>
        <w:tblW w:w="8789" w:type="dxa"/>
        <w:tblCellSpacing w:w="15" w:type="dxa"/>
        <w:tblCellMar>
          <w:top w:w="15" w:type="dxa"/>
          <w:left w:w="15" w:type="dxa"/>
          <w:bottom w:w="15" w:type="dxa"/>
          <w:right w:w="15" w:type="dxa"/>
        </w:tblCellMar>
        <w:tblLook w:val="04A0" w:firstRow="1" w:lastRow="0" w:firstColumn="1" w:lastColumn="0" w:noHBand="0" w:noVBand="1"/>
      </w:tblPr>
      <w:tblGrid>
        <w:gridCol w:w="1701"/>
        <w:gridCol w:w="1560"/>
        <w:gridCol w:w="1984"/>
        <w:gridCol w:w="3544"/>
      </w:tblGrid>
      <w:tr w:rsidR="001B39BA" w:rsidRPr="001B39BA" w14:paraId="11A13ECC" w14:textId="77777777" w:rsidTr="005703E4">
        <w:trPr>
          <w:tblHeader/>
          <w:tblCellSpacing w:w="15" w:type="dxa"/>
        </w:trPr>
        <w:tc>
          <w:tcPr>
            <w:tcW w:w="1656" w:type="dxa"/>
            <w:tcBorders>
              <w:top w:val="single" w:sz="4" w:space="0" w:color="auto"/>
            </w:tcBorders>
            <w:vAlign w:val="center"/>
            <w:hideMark/>
          </w:tcPr>
          <w:p w14:paraId="30BC097D"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Fit Index</w:t>
            </w:r>
          </w:p>
        </w:tc>
        <w:tc>
          <w:tcPr>
            <w:tcW w:w="1530" w:type="dxa"/>
            <w:tcBorders>
              <w:top w:val="single" w:sz="4" w:space="0" w:color="auto"/>
            </w:tcBorders>
            <w:vAlign w:val="center"/>
            <w:hideMark/>
          </w:tcPr>
          <w:p w14:paraId="38C4C87E"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Value</w:t>
            </w:r>
          </w:p>
        </w:tc>
        <w:tc>
          <w:tcPr>
            <w:tcW w:w="1954" w:type="dxa"/>
            <w:tcBorders>
              <w:top w:val="single" w:sz="4" w:space="0" w:color="auto"/>
            </w:tcBorders>
            <w:vAlign w:val="center"/>
            <w:hideMark/>
          </w:tcPr>
          <w:p w14:paraId="704C5992"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Acceptable Criteria</w:t>
            </w:r>
          </w:p>
        </w:tc>
        <w:tc>
          <w:tcPr>
            <w:tcW w:w="3499" w:type="dxa"/>
            <w:tcBorders>
              <w:top w:val="single" w:sz="4" w:space="0" w:color="auto"/>
            </w:tcBorders>
            <w:vAlign w:val="center"/>
            <w:hideMark/>
          </w:tcPr>
          <w:p w14:paraId="3C15210A"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Interpretation</w:t>
            </w:r>
          </w:p>
        </w:tc>
      </w:tr>
      <w:tr w:rsidR="001B39BA" w:rsidRPr="001B39BA" w14:paraId="4FF4BFAF" w14:textId="77777777" w:rsidTr="005703E4">
        <w:trPr>
          <w:tblCellSpacing w:w="15" w:type="dxa"/>
        </w:trPr>
        <w:tc>
          <w:tcPr>
            <w:tcW w:w="1656" w:type="dxa"/>
            <w:vAlign w:val="center"/>
          </w:tcPr>
          <w:p w14:paraId="71F2DA7E"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p>
          <w:p w14:paraId="0CB5116F"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r w:rsidRPr="001B39BA">
              <w:rPr>
                <w:rFonts w:ascii="Arial" w:eastAsia="Times New Roman" w:hAnsi="Arial" w:cs="Arial"/>
                <w:lang w:val="en-SG" w:eastAsia="en-SG"/>
              </w:rPr>
              <w:t>CFI</w:t>
            </w:r>
          </w:p>
        </w:tc>
        <w:tc>
          <w:tcPr>
            <w:tcW w:w="1530" w:type="dxa"/>
            <w:vAlign w:val="center"/>
          </w:tcPr>
          <w:p w14:paraId="196A73F8"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p>
          <w:p w14:paraId="23EF9DC1"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0.751</w:t>
            </w:r>
          </w:p>
        </w:tc>
        <w:tc>
          <w:tcPr>
            <w:tcW w:w="1954" w:type="dxa"/>
            <w:vAlign w:val="center"/>
          </w:tcPr>
          <w:p w14:paraId="3A83B27B"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p>
          <w:p w14:paraId="6962E974"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 0.90</w:t>
            </w:r>
          </w:p>
        </w:tc>
        <w:tc>
          <w:tcPr>
            <w:tcW w:w="3499" w:type="dxa"/>
            <w:vAlign w:val="center"/>
          </w:tcPr>
          <w:p w14:paraId="12A30001"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p>
          <w:p w14:paraId="1243D951"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r w:rsidRPr="001B39BA">
              <w:rPr>
                <w:rFonts w:ascii="Arial" w:eastAsia="Times New Roman" w:hAnsi="Arial" w:cs="Arial"/>
                <w:lang w:val="en-SG" w:eastAsia="en-SG"/>
              </w:rPr>
              <w:t>Below the acceptable level; poor incremental fit</w:t>
            </w:r>
          </w:p>
        </w:tc>
      </w:tr>
      <w:tr w:rsidR="001B39BA" w:rsidRPr="001B39BA" w14:paraId="1A18FAC9" w14:textId="77777777" w:rsidTr="005703E4">
        <w:trPr>
          <w:tblCellSpacing w:w="15" w:type="dxa"/>
        </w:trPr>
        <w:tc>
          <w:tcPr>
            <w:tcW w:w="1656" w:type="dxa"/>
            <w:vAlign w:val="center"/>
          </w:tcPr>
          <w:p w14:paraId="7B6A6C72"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r w:rsidRPr="001B39BA">
              <w:rPr>
                <w:rFonts w:ascii="Arial" w:eastAsia="Times New Roman" w:hAnsi="Arial" w:cs="Arial"/>
                <w:lang w:val="en-SG" w:eastAsia="en-SG"/>
              </w:rPr>
              <w:t>TLI</w:t>
            </w:r>
          </w:p>
        </w:tc>
        <w:tc>
          <w:tcPr>
            <w:tcW w:w="1530" w:type="dxa"/>
            <w:vAlign w:val="center"/>
          </w:tcPr>
          <w:p w14:paraId="3CCF4361"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0.734</w:t>
            </w:r>
          </w:p>
        </w:tc>
        <w:tc>
          <w:tcPr>
            <w:tcW w:w="1954" w:type="dxa"/>
            <w:vAlign w:val="center"/>
          </w:tcPr>
          <w:p w14:paraId="7658C4B7"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 0.90</w:t>
            </w:r>
          </w:p>
        </w:tc>
        <w:tc>
          <w:tcPr>
            <w:tcW w:w="3499" w:type="dxa"/>
            <w:vAlign w:val="center"/>
          </w:tcPr>
          <w:p w14:paraId="467F9093"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p>
          <w:p w14:paraId="26DA270E"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r w:rsidRPr="001B39BA">
              <w:rPr>
                <w:rFonts w:ascii="Arial" w:eastAsia="Times New Roman" w:hAnsi="Arial" w:cs="Arial"/>
                <w:lang w:val="en-SG" w:eastAsia="en-SG"/>
              </w:rPr>
              <w:t>Below the acceptable level; poor incremental fit</w:t>
            </w:r>
          </w:p>
        </w:tc>
      </w:tr>
      <w:tr w:rsidR="001B39BA" w:rsidRPr="001B39BA" w14:paraId="0BB47BF4" w14:textId="77777777" w:rsidTr="005703E4">
        <w:trPr>
          <w:tblCellSpacing w:w="15" w:type="dxa"/>
        </w:trPr>
        <w:tc>
          <w:tcPr>
            <w:tcW w:w="1656" w:type="dxa"/>
            <w:vAlign w:val="center"/>
          </w:tcPr>
          <w:p w14:paraId="4B59BB6C"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r w:rsidRPr="001B39BA">
              <w:rPr>
                <w:rFonts w:ascii="Arial" w:eastAsia="Times New Roman" w:hAnsi="Arial" w:cs="Arial"/>
                <w:lang w:val="en-SG" w:eastAsia="en-SG"/>
              </w:rPr>
              <w:t>RMSEA</w:t>
            </w:r>
          </w:p>
        </w:tc>
        <w:tc>
          <w:tcPr>
            <w:tcW w:w="1530" w:type="dxa"/>
            <w:vAlign w:val="center"/>
          </w:tcPr>
          <w:p w14:paraId="4C78063C"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0.107</w:t>
            </w:r>
          </w:p>
        </w:tc>
        <w:tc>
          <w:tcPr>
            <w:tcW w:w="1954" w:type="dxa"/>
            <w:vAlign w:val="center"/>
          </w:tcPr>
          <w:p w14:paraId="33940A22"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 0.08</w:t>
            </w:r>
          </w:p>
        </w:tc>
        <w:tc>
          <w:tcPr>
            <w:tcW w:w="3499" w:type="dxa"/>
            <w:vAlign w:val="center"/>
          </w:tcPr>
          <w:p w14:paraId="51558820"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p>
          <w:p w14:paraId="5954224B"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r w:rsidRPr="001B39BA">
              <w:rPr>
                <w:rFonts w:ascii="Arial" w:eastAsia="Times New Roman" w:hAnsi="Arial" w:cs="Arial"/>
                <w:lang w:val="en-SG" w:eastAsia="en-SG"/>
              </w:rPr>
              <w:t>Exceeds threshold; high approximation error</w:t>
            </w:r>
          </w:p>
        </w:tc>
      </w:tr>
      <w:tr w:rsidR="001B39BA" w:rsidRPr="001B39BA" w14:paraId="6D3C05F9" w14:textId="77777777" w:rsidTr="005703E4">
        <w:trPr>
          <w:tblCellSpacing w:w="15" w:type="dxa"/>
        </w:trPr>
        <w:tc>
          <w:tcPr>
            <w:tcW w:w="1656" w:type="dxa"/>
            <w:tcBorders>
              <w:bottom w:val="single" w:sz="4" w:space="0" w:color="auto"/>
            </w:tcBorders>
            <w:vAlign w:val="center"/>
          </w:tcPr>
          <w:p w14:paraId="2603F7EA"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r w:rsidRPr="001B39BA">
              <w:rPr>
                <w:rFonts w:ascii="Arial" w:eastAsia="Times New Roman" w:hAnsi="Arial" w:cs="Arial"/>
                <w:lang w:val="en-SG" w:eastAsia="en-SG"/>
              </w:rPr>
              <w:t>SRMR</w:t>
            </w:r>
          </w:p>
        </w:tc>
        <w:tc>
          <w:tcPr>
            <w:tcW w:w="1530" w:type="dxa"/>
            <w:tcBorders>
              <w:bottom w:val="single" w:sz="4" w:space="0" w:color="auto"/>
            </w:tcBorders>
            <w:vAlign w:val="center"/>
          </w:tcPr>
          <w:p w14:paraId="014A8F4C"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0.097</w:t>
            </w:r>
          </w:p>
        </w:tc>
        <w:tc>
          <w:tcPr>
            <w:tcW w:w="1954" w:type="dxa"/>
            <w:tcBorders>
              <w:bottom w:val="single" w:sz="4" w:space="0" w:color="auto"/>
            </w:tcBorders>
            <w:vAlign w:val="center"/>
          </w:tcPr>
          <w:p w14:paraId="24680E6F"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 0.08</w:t>
            </w:r>
          </w:p>
        </w:tc>
        <w:tc>
          <w:tcPr>
            <w:tcW w:w="3499" w:type="dxa"/>
            <w:tcBorders>
              <w:bottom w:val="single" w:sz="4" w:space="0" w:color="auto"/>
            </w:tcBorders>
            <w:vAlign w:val="center"/>
          </w:tcPr>
          <w:p w14:paraId="46FE782A"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p>
          <w:p w14:paraId="2B54BF4F"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r w:rsidRPr="001B39BA">
              <w:rPr>
                <w:rFonts w:ascii="Arial" w:eastAsia="Times New Roman" w:hAnsi="Arial" w:cs="Arial"/>
                <w:lang w:val="en-SG" w:eastAsia="en-SG"/>
              </w:rPr>
              <w:t>Exceeds threshold; notable residual discrepancies.</w:t>
            </w:r>
          </w:p>
        </w:tc>
      </w:tr>
    </w:tbl>
    <w:p w14:paraId="32BE1E37"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4299E817" w14:textId="77777777" w:rsidR="001B39BA" w:rsidRPr="001B39BA" w:rsidRDefault="001B39BA" w:rsidP="001B39BA">
      <w:pPr>
        <w:spacing w:line="360" w:lineRule="auto"/>
        <w:ind w:firstLine="720"/>
        <w:jc w:val="both"/>
        <w:rPr>
          <w:rFonts w:ascii="Arial" w:eastAsia="Times New Roman" w:hAnsi="Arial" w:cs="Arial"/>
          <w:b/>
          <w:bCs/>
          <w:lang w:val="en-SG"/>
        </w:rPr>
      </w:pPr>
      <w:r w:rsidRPr="001B39BA">
        <w:rPr>
          <w:rFonts w:ascii="Arial" w:hAnsi="Arial" w:cs="Arial"/>
        </w:rPr>
        <w:t>Table 11 presents the revised structural model fit following initial model modification. The model was evaluated using standard fit indices, including the Comparative Fit Index (CFI), the Tucker–Lewis Index (TLI), the Root Mean Square Error of Approximation (RMSEA), and the Standardized Root Mean Square Residual (SRMR)</w:t>
      </w:r>
      <w:r w:rsidRPr="001B39BA">
        <w:rPr>
          <w:rFonts w:ascii="Arial" w:hAnsi="Arial" w:cs="Arial"/>
          <w:b/>
          <w:bCs/>
        </w:rPr>
        <w:t>.</w:t>
      </w:r>
    </w:p>
    <w:p w14:paraId="25699878" w14:textId="77777777" w:rsidR="001B39BA" w:rsidRPr="001B39BA" w:rsidRDefault="001B39BA" w:rsidP="001B39BA">
      <w:pPr>
        <w:spacing w:line="360" w:lineRule="auto"/>
        <w:jc w:val="both"/>
        <w:rPr>
          <w:rFonts w:ascii="Arial" w:hAnsi="Arial" w:cs="Arial"/>
        </w:rPr>
      </w:pPr>
      <w:r w:rsidRPr="001B39BA">
        <w:rPr>
          <w:rFonts w:ascii="Arial" w:hAnsi="Arial" w:cs="Arial"/>
        </w:rPr>
        <w:t>Each index was assessed against established criteria for acceptable fit: CFI and TLI values≥ 0.90 indicate good incremental fit, and RMSEA and SRMR values ≤ 0.08 indicate acceptable absolute fit.</w:t>
      </w:r>
    </w:p>
    <w:p w14:paraId="5F0AEC76"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The results show that, although slight improvements were observed compared to the initial model, none of the fit indices met the recommended thresholds. Specifically, the CFI (0.751) and TLI (0.734) remained below the acceptable level, indicating continued issues with incremental fit. Similarly, the RMSEA (0.107) and SRMR (0.097) exceeded the recommended cutoffs, reflecting persistent model error and discrepancies between observed and predicted relationships.</w:t>
      </w:r>
    </w:p>
    <w:p w14:paraId="411E65E6"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 xml:space="preserve">Taken together, these findings indicate that the revised model still does not achieve an adequate level of fit, despite some improvement. This suggests that the hypothesized relationships among work-specific characteristics, compassion fatigue, and compassion satisfaction remain insufficiently specified. Overall, the results highlight the </w:t>
      </w:r>
      <w:r w:rsidRPr="001B39BA">
        <w:rPr>
          <w:rFonts w:ascii="Arial" w:hAnsi="Arial" w:cs="Arial"/>
        </w:rPr>
        <w:lastRenderedPageBreak/>
        <w:t>need for further model refinement, including reconsideration of structural paths and the possible inclusion of additional variables better to capture the complexity of the relationships among the constructs.</w:t>
      </w:r>
    </w:p>
    <w:p w14:paraId="46380C22"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6F365D8C"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TABLE 12</w:t>
      </w:r>
    </w:p>
    <w:p w14:paraId="13AFC4F7"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5923EA02" w14:textId="77777777" w:rsidR="001B39BA" w:rsidRPr="001B39BA" w:rsidRDefault="001B39BA" w:rsidP="001B39BA">
      <w:pPr>
        <w:widowControl/>
        <w:autoSpaceDE/>
        <w:autoSpaceDN/>
        <w:spacing w:line="360" w:lineRule="auto"/>
        <w:jc w:val="both"/>
        <w:rPr>
          <w:rFonts w:ascii="Arial" w:eastAsia="Times New Roman" w:hAnsi="Arial" w:cs="Arial"/>
          <w:kern w:val="36"/>
          <w:lang w:val="en-SG" w:eastAsia="en-SG"/>
        </w:rPr>
      </w:pPr>
      <w:r w:rsidRPr="001B39BA">
        <w:rPr>
          <w:rFonts w:ascii="Arial" w:eastAsia="Times New Roman" w:hAnsi="Arial" w:cs="Arial"/>
          <w:kern w:val="36"/>
          <w:lang w:val="en-SG" w:eastAsia="en-SG"/>
        </w:rPr>
        <w:t>Final Structural Model Fit</w:t>
      </w:r>
    </w:p>
    <w:tbl>
      <w:tblPr>
        <w:tblW w:w="8647" w:type="dxa"/>
        <w:tblCellSpacing w:w="15" w:type="dxa"/>
        <w:tblCellMar>
          <w:top w:w="15" w:type="dxa"/>
          <w:left w:w="15" w:type="dxa"/>
          <w:bottom w:w="15" w:type="dxa"/>
          <w:right w:w="15" w:type="dxa"/>
        </w:tblCellMar>
        <w:tblLook w:val="04A0" w:firstRow="1" w:lastRow="0" w:firstColumn="1" w:lastColumn="0" w:noHBand="0" w:noVBand="1"/>
      </w:tblPr>
      <w:tblGrid>
        <w:gridCol w:w="3969"/>
        <w:gridCol w:w="1418"/>
        <w:gridCol w:w="1276"/>
        <w:gridCol w:w="1984"/>
      </w:tblGrid>
      <w:tr w:rsidR="001B39BA" w:rsidRPr="001B39BA" w14:paraId="10F97292" w14:textId="77777777" w:rsidTr="005703E4">
        <w:trPr>
          <w:tblHeader/>
          <w:tblCellSpacing w:w="15" w:type="dxa"/>
        </w:trPr>
        <w:tc>
          <w:tcPr>
            <w:tcW w:w="3924" w:type="dxa"/>
            <w:tcBorders>
              <w:top w:val="single" w:sz="4" w:space="0" w:color="auto"/>
              <w:bottom w:val="single" w:sz="4" w:space="0" w:color="auto"/>
            </w:tcBorders>
            <w:vAlign w:val="center"/>
            <w:hideMark/>
          </w:tcPr>
          <w:p w14:paraId="51D523FF"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r w:rsidRPr="001B39BA">
              <w:rPr>
                <w:rFonts w:ascii="Arial" w:eastAsia="Times New Roman" w:hAnsi="Arial" w:cs="Arial"/>
                <w:lang w:val="en-SG" w:eastAsia="en-SG"/>
              </w:rPr>
              <w:t>Fit Index</w:t>
            </w:r>
          </w:p>
        </w:tc>
        <w:tc>
          <w:tcPr>
            <w:tcW w:w="1388" w:type="dxa"/>
            <w:tcBorders>
              <w:top w:val="single" w:sz="4" w:space="0" w:color="auto"/>
              <w:bottom w:val="single" w:sz="4" w:space="0" w:color="auto"/>
            </w:tcBorders>
            <w:vAlign w:val="center"/>
            <w:hideMark/>
          </w:tcPr>
          <w:p w14:paraId="78D2BC3C"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Obtained Value</w:t>
            </w:r>
          </w:p>
        </w:tc>
        <w:tc>
          <w:tcPr>
            <w:tcW w:w="1246" w:type="dxa"/>
            <w:tcBorders>
              <w:top w:val="single" w:sz="4" w:space="0" w:color="auto"/>
              <w:bottom w:val="single" w:sz="4" w:space="0" w:color="auto"/>
            </w:tcBorders>
            <w:vAlign w:val="center"/>
            <w:hideMark/>
          </w:tcPr>
          <w:p w14:paraId="478C3864"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Acceptable Criteria</w:t>
            </w:r>
          </w:p>
        </w:tc>
        <w:tc>
          <w:tcPr>
            <w:tcW w:w="1939" w:type="dxa"/>
            <w:tcBorders>
              <w:top w:val="single" w:sz="4" w:space="0" w:color="auto"/>
              <w:bottom w:val="single" w:sz="4" w:space="0" w:color="auto"/>
            </w:tcBorders>
            <w:vAlign w:val="center"/>
            <w:hideMark/>
          </w:tcPr>
          <w:p w14:paraId="695C3210"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Interpretation</w:t>
            </w:r>
          </w:p>
        </w:tc>
      </w:tr>
      <w:tr w:rsidR="001B39BA" w:rsidRPr="001B39BA" w14:paraId="3D7CCE88" w14:textId="77777777" w:rsidTr="005703E4">
        <w:trPr>
          <w:tblCellSpacing w:w="15" w:type="dxa"/>
        </w:trPr>
        <w:tc>
          <w:tcPr>
            <w:tcW w:w="3924" w:type="dxa"/>
            <w:vAlign w:val="center"/>
          </w:tcPr>
          <w:p w14:paraId="4CAD0DF3"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p>
          <w:p w14:paraId="25FD04FC"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r w:rsidRPr="001B39BA">
              <w:rPr>
                <w:rFonts w:ascii="Arial" w:eastAsia="Times New Roman" w:hAnsi="Arial" w:cs="Arial"/>
                <w:lang w:val="en-SG" w:eastAsia="en-SG"/>
              </w:rPr>
              <w:t>Comparative Fit Index (CFI)</w:t>
            </w:r>
          </w:p>
        </w:tc>
        <w:tc>
          <w:tcPr>
            <w:tcW w:w="1388" w:type="dxa"/>
            <w:vAlign w:val="center"/>
          </w:tcPr>
          <w:p w14:paraId="76B50BFD"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p>
          <w:p w14:paraId="1A99DDF3"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0.751</w:t>
            </w:r>
          </w:p>
        </w:tc>
        <w:tc>
          <w:tcPr>
            <w:tcW w:w="1246" w:type="dxa"/>
            <w:vAlign w:val="center"/>
          </w:tcPr>
          <w:p w14:paraId="1BE482A1"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p>
          <w:p w14:paraId="28741BAD"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 0.90</w:t>
            </w:r>
          </w:p>
        </w:tc>
        <w:tc>
          <w:tcPr>
            <w:tcW w:w="1939" w:type="dxa"/>
            <w:vAlign w:val="center"/>
          </w:tcPr>
          <w:p w14:paraId="095696BD"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p>
          <w:p w14:paraId="59E190CC"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Moderate Fit</w:t>
            </w:r>
          </w:p>
        </w:tc>
      </w:tr>
      <w:tr w:rsidR="001B39BA" w:rsidRPr="001B39BA" w14:paraId="675DAF32" w14:textId="77777777" w:rsidTr="005703E4">
        <w:trPr>
          <w:tblCellSpacing w:w="15" w:type="dxa"/>
        </w:trPr>
        <w:tc>
          <w:tcPr>
            <w:tcW w:w="3924" w:type="dxa"/>
            <w:vAlign w:val="center"/>
          </w:tcPr>
          <w:p w14:paraId="780C0AE0"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r w:rsidRPr="001B39BA">
              <w:rPr>
                <w:rFonts w:ascii="Arial" w:eastAsia="Times New Roman" w:hAnsi="Arial" w:cs="Arial"/>
                <w:lang w:val="en-SG" w:eastAsia="en-SG"/>
              </w:rPr>
              <w:t>Tucker–Lewis Index (TLI)</w:t>
            </w:r>
          </w:p>
        </w:tc>
        <w:tc>
          <w:tcPr>
            <w:tcW w:w="1388" w:type="dxa"/>
            <w:vAlign w:val="center"/>
          </w:tcPr>
          <w:p w14:paraId="010A1A8E"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0.734</w:t>
            </w:r>
          </w:p>
        </w:tc>
        <w:tc>
          <w:tcPr>
            <w:tcW w:w="1246" w:type="dxa"/>
            <w:vAlign w:val="center"/>
          </w:tcPr>
          <w:p w14:paraId="7BA971B4"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 0.90</w:t>
            </w:r>
          </w:p>
        </w:tc>
        <w:tc>
          <w:tcPr>
            <w:tcW w:w="1939" w:type="dxa"/>
            <w:vAlign w:val="center"/>
          </w:tcPr>
          <w:p w14:paraId="2E7C0878"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Moderate Fit</w:t>
            </w:r>
          </w:p>
        </w:tc>
      </w:tr>
      <w:tr w:rsidR="001B39BA" w:rsidRPr="001B39BA" w14:paraId="1ACE309F" w14:textId="77777777" w:rsidTr="005703E4">
        <w:trPr>
          <w:tblCellSpacing w:w="15" w:type="dxa"/>
        </w:trPr>
        <w:tc>
          <w:tcPr>
            <w:tcW w:w="3924" w:type="dxa"/>
            <w:vAlign w:val="center"/>
          </w:tcPr>
          <w:p w14:paraId="1016F592"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r w:rsidRPr="001B39BA">
              <w:rPr>
                <w:rFonts w:ascii="Arial" w:eastAsia="Times New Roman" w:hAnsi="Arial" w:cs="Arial"/>
                <w:lang w:val="en-SG" w:eastAsia="en-SG"/>
              </w:rPr>
              <w:t>Root Mean Square Error of Approximation (RMSEA)</w:t>
            </w:r>
          </w:p>
        </w:tc>
        <w:tc>
          <w:tcPr>
            <w:tcW w:w="1388" w:type="dxa"/>
            <w:vAlign w:val="center"/>
          </w:tcPr>
          <w:p w14:paraId="5BD7A4CC"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0.107</w:t>
            </w:r>
          </w:p>
        </w:tc>
        <w:tc>
          <w:tcPr>
            <w:tcW w:w="1246" w:type="dxa"/>
            <w:vAlign w:val="center"/>
          </w:tcPr>
          <w:p w14:paraId="7ADA203D"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 0.08</w:t>
            </w:r>
          </w:p>
        </w:tc>
        <w:tc>
          <w:tcPr>
            <w:tcW w:w="1939" w:type="dxa"/>
            <w:vAlign w:val="center"/>
          </w:tcPr>
          <w:p w14:paraId="1D13C736"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Marginal Fit</w:t>
            </w:r>
          </w:p>
        </w:tc>
      </w:tr>
      <w:tr w:rsidR="001B39BA" w:rsidRPr="001B39BA" w14:paraId="2E61D7DE" w14:textId="77777777" w:rsidTr="005703E4">
        <w:trPr>
          <w:tblCellSpacing w:w="15" w:type="dxa"/>
        </w:trPr>
        <w:tc>
          <w:tcPr>
            <w:tcW w:w="3924" w:type="dxa"/>
            <w:tcBorders>
              <w:bottom w:val="single" w:sz="4" w:space="0" w:color="auto"/>
            </w:tcBorders>
            <w:vAlign w:val="center"/>
          </w:tcPr>
          <w:p w14:paraId="732BFA9B"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r w:rsidRPr="001B39BA">
              <w:rPr>
                <w:rFonts w:ascii="Arial" w:eastAsia="Times New Roman" w:hAnsi="Arial" w:cs="Arial"/>
                <w:lang w:val="en-SG" w:eastAsia="en-SG"/>
              </w:rPr>
              <w:t>Standardized Root Mean Square Residual (SRMR)</w:t>
            </w:r>
          </w:p>
        </w:tc>
        <w:tc>
          <w:tcPr>
            <w:tcW w:w="1388" w:type="dxa"/>
            <w:tcBorders>
              <w:bottom w:val="single" w:sz="4" w:space="0" w:color="auto"/>
            </w:tcBorders>
            <w:vAlign w:val="center"/>
          </w:tcPr>
          <w:p w14:paraId="793A0B02"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0.097</w:t>
            </w:r>
          </w:p>
        </w:tc>
        <w:tc>
          <w:tcPr>
            <w:tcW w:w="1246" w:type="dxa"/>
            <w:tcBorders>
              <w:bottom w:val="single" w:sz="4" w:space="0" w:color="auto"/>
            </w:tcBorders>
            <w:vAlign w:val="center"/>
          </w:tcPr>
          <w:p w14:paraId="42C551EC"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 0.08</w:t>
            </w:r>
          </w:p>
        </w:tc>
        <w:tc>
          <w:tcPr>
            <w:tcW w:w="1939" w:type="dxa"/>
            <w:tcBorders>
              <w:bottom w:val="single" w:sz="4" w:space="0" w:color="auto"/>
            </w:tcBorders>
            <w:vAlign w:val="center"/>
          </w:tcPr>
          <w:p w14:paraId="26E4B0DD" w14:textId="77777777" w:rsidR="001B39BA" w:rsidRPr="001B39BA" w:rsidRDefault="001B39BA" w:rsidP="001B39BA">
            <w:pPr>
              <w:widowControl/>
              <w:autoSpaceDE/>
              <w:autoSpaceDN/>
              <w:spacing w:line="360" w:lineRule="auto"/>
              <w:jc w:val="center"/>
              <w:rPr>
                <w:rFonts w:ascii="Arial" w:eastAsia="Times New Roman" w:hAnsi="Arial" w:cs="Arial"/>
                <w:lang w:val="en-SG" w:eastAsia="en-SG"/>
              </w:rPr>
            </w:pPr>
            <w:r w:rsidRPr="001B39BA">
              <w:rPr>
                <w:rFonts w:ascii="Arial" w:eastAsia="Times New Roman" w:hAnsi="Arial" w:cs="Arial"/>
                <w:lang w:val="en-SG" w:eastAsia="en-SG"/>
              </w:rPr>
              <w:t>Marginal Fit</w:t>
            </w:r>
          </w:p>
        </w:tc>
      </w:tr>
    </w:tbl>
    <w:p w14:paraId="7AA3215B"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5F43ABB9"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Table 12 presents the final structural model fit following model refinement. The model was evaluated using standard fit indices, including the Comparative Fit Index (CFI), the Tucker–Lewis Index (TLI), the Root Mean Square Error of Approximation (RMSEA), and the Standardized Root Mean Square Residual (SRMR)</w:t>
      </w:r>
      <w:r w:rsidRPr="001B39BA">
        <w:rPr>
          <w:rFonts w:ascii="Arial" w:hAnsi="Arial" w:cs="Arial"/>
          <w:b/>
          <w:bCs/>
        </w:rPr>
        <w:t xml:space="preserve">. </w:t>
      </w:r>
      <w:r w:rsidRPr="001B39BA">
        <w:rPr>
          <w:rFonts w:ascii="Arial" w:hAnsi="Arial" w:cs="Arial"/>
        </w:rPr>
        <w:t>Each index was assessed against established criteria for acceptable fit: CFI and TLI values≥ 0.90 indicate good incremental fit, and RMSEA and SRMR values ≤ 0.08 indicate acceptable absolute fit. The results indicate that the model demonstrates a marginal to poor fit</w:t>
      </w:r>
      <w:r w:rsidRPr="001B39BA">
        <w:rPr>
          <w:rFonts w:ascii="Arial" w:hAnsi="Arial" w:cs="Arial"/>
          <w:b/>
          <w:bCs/>
        </w:rPr>
        <w:t>,</w:t>
      </w:r>
      <w:r w:rsidRPr="001B39BA">
        <w:rPr>
          <w:rFonts w:ascii="Arial" w:hAnsi="Arial" w:cs="Arial"/>
        </w:rPr>
        <w:t xml:space="preserve"> as none of the indices met the recommended thresholds. Specifically, the CFI (0.751) and TLI (0.734) remained below the acceptable level, indicating inadequate incremental fit. Similarly, the RMSEA (0.107) exceeded the acceptable limit, reflecting a high level of approximation error, while the SRMR (0.097) also surpassed the recommended cutoff, indicating notable discrepancies between observed and predicted relationships.</w:t>
      </w:r>
    </w:p>
    <w:p w14:paraId="421FC83A"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Taken together, these findings consistently indicate that the final model does not adequately represent the empirical data</w:t>
      </w:r>
      <w:r w:rsidRPr="001B39BA">
        <w:rPr>
          <w:rFonts w:ascii="Arial" w:hAnsi="Arial" w:cs="Arial"/>
          <w:b/>
          <w:bCs/>
        </w:rPr>
        <w:t>,</w:t>
      </w:r>
      <w:r w:rsidRPr="001B39BA">
        <w:rPr>
          <w:rFonts w:ascii="Arial" w:hAnsi="Arial" w:cs="Arial"/>
        </w:rPr>
        <w:t xml:space="preserve"> despite improvements from earlier iterations. While some structural relationships are meaningful and statistically significant, the overall model fails to capture the complexity of the relationships among work-specific </w:t>
      </w:r>
      <w:r w:rsidRPr="001B39BA">
        <w:rPr>
          <w:rFonts w:ascii="Arial" w:hAnsi="Arial" w:cs="Arial"/>
        </w:rPr>
        <w:lastRenderedPageBreak/>
        <w:t>characteristics, compassion fatigue, and compassion satisfaction. In summary, the model fit evaluation indicates that the hypothesized structural model does not achieve an acceptable level of fit according to</w:t>
      </w:r>
      <w:r w:rsidRPr="001B39BA">
        <w:rPr>
          <w:rFonts w:ascii="Arial" w:hAnsi="Arial" w:cs="Arial"/>
          <w:b/>
          <w:bCs/>
        </w:rPr>
        <w:t xml:space="preserve"> </w:t>
      </w:r>
      <w:r w:rsidRPr="001B39BA">
        <w:rPr>
          <w:rFonts w:ascii="Arial" w:hAnsi="Arial" w:cs="Arial"/>
        </w:rPr>
        <w:t>established SEM criteria. Accordingly, the hypothesis regarding the adequacy of the proposed model is rejected, and further theoretical and empirical refinement is recommended.</w:t>
      </w:r>
    </w:p>
    <w:p w14:paraId="585121C0"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3B88A3EF"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noProof/>
          <w:kern w:val="2"/>
          <w:lang w:val="en-SG"/>
          <w14:ligatures w14:val="standardContextual"/>
        </w:rPr>
        <w:drawing>
          <wp:anchor distT="0" distB="0" distL="114300" distR="114300" simplePos="0" relativeHeight="251665408" behindDoc="1" locked="0" layoutInCell="1" allowOverlap="1" wp14:anchorId="0D6ADBC2" wp14:editId="577D67C2">
            <wp:simplePos x="0" y="0"/>
            <wp:positionH relativeFrom="column">
              <wp:posOffset>211455</wp:posOffset>
            </wp:positionH>
            <wp:positionV relativeFrom="paragraph">
              <wp:posOffset>240665</wp:posOffset>
            </wp:positionV>
            <wp:extent cx="5274310" cy="3806190"/>
            <wp:effectExtent l="0" t="0" r="2540" b="3810"/>
            <wp:wrapTight wrapText="bothSides">
              <wp:wrapPolygon edited="0">
                <wp:start x="0" y="0"/>
                <wp:lineTo x="0" y="21514"/>
                <wp:lineTo x="21532" y="21514"/>
                <wp:lineTo x="21532" y="0"/>
                <wp:lineTo x="0" y="0"/>
              </wp:wrapPolygon>
            </wp:wrapTight>
            <wp:docPr id="11527326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32617"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t="11378"/>
                    <a:stretch>
                      <a:fillRect/>
                    </a:stretch>
                  </pic:blipFill>
                  <pic:spPr bwMode="auto">
                    <a:xfrm>
                      <a:off x="0" y="0"/>
                      <a:ext cx="5274310" cy="38061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E5083B7" w14:textId="77777777" w:rsidR="001B39BA" w:rsidRPr="001B39BA" w:rsidRDefault="001B39BA" w:rsidP="001B39BA">
      <w:pPr>
        <w:widowControl/>
        <w:autoSpaceDE/>
        <w:autoSpaceDN/>
        <w:spacing w:line="360" w:lineRule="auto"/>
        <w:ind w:firstLine="720"/>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Figure 5  Final Structural Model Fit</w:t>
      </w:r>
    </w:p>
    <w:p w14:paraId="21D9F66C"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4AA12D5F" w14:textId="5944443A"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Figure 5 presents the Final Structural Model Fit, illustrating the relationships among work-specific characteristics, compassion fatigue, and compassion satisfaction after initial model refinement. At the measurement level, work-specific characteristics are represented as a latent construct, reflected by five indicators: empathic understanding, genuineness, non-judgmental attitude, interpersonal skills, and self-compassion. This indicates that these dimensions consistently define the professional competencies of guidance counselors and remain theoretically and empirically relevant in the revised model.</w:t>
      </w:r>
      <w:r w:rsidR="00AF4E8C">
        <w:rPr>
          <w:rFonts w:ascii="Arial" w:eastAsiaTheme="minorHAnsi" w:hAnsi="Arial" w:cs="Arial"/>
          <w:kern w:val="2"/>
          <w:lang w:val="en-SG"/>
          <w14:ligatures w14:val="standardContextual"/>
        </w:rPr>
        <w:tab/>
      </w:r>
      <w:r w:rsidR="00AF4E8C">
        <w:rPr>
          <w:rFonts w:ascii="Arial" w:eastAsiaTheme="minorHAnsi" w:hAnsi="Arial" w:cs="Arial"/>
          <w:kern w:val="2"/>
          <w:lang w:val="en-SG"/>
          <w14:ligatures w14:val="standardContextual"/>
        </w:rPr>
        <w:tab/>
      </w:r>
      <w:r w:rsidR="00AF4E8C">
        <w:rPr>
          <w:rFonts w:ascii="Arial" w:eastAsiaTheme="minorHAnsi" w:hAnsi="Arial" w:cs="Arial"/>
          <w:kern w:val="2"/>
          <w:lang w:val="en-SG"/>
          <w14:ligatures w14:val="standardContextual"/>
        </w:rPr>
        <w:tab/>
      </w:r>
      <w:r w:rsidR="00AF4E8C">
        <w:rPr>
          <w:rFonts w:ascii="Arial" w:eastAsiaTheme="minorHAnsi" w:hAnsi="Arial" w:cs="Arial"/>
          <w:kern w:val="2"/>
          <w:lang w:val="en-SG"/>
          <w14:ligatures w14:val="standardContextual"/>
        </w:rPr>
        <w:tab/>
      </w:r>
      <w:r w:rsidR="00AF4E8C">
        <w:rPr>
          <w:rFonts w:ascii="Arial" w:eastAsiaTheme="minorHAnsi" w:hAnsi="Arial" w:cs="Arial"/>
          <w:kern w:val="2"/>
          <w:lang w:val="en-SG"/>
          <w14:ligatures w14:val="standardContextual"/>
        </w:rPr>
        <w:tab/>
      </w:r>
      <w:r w:rsidR="00AF4E8C">
        <w:rPr>
          <w:rFonts w:ascii="Arial" w:eastAsiaTheme="minorHAnsi" w:hAnsi="Arial" w:cs="Arial"/>
          <w:kern w:val="2"/>
          <w:lang w:val="en-SG"/>
          <w14:ligatures w14:val="standardContextual"/>
        </w:rPr>
        <w:tab/>
      </w:r>
      <w:r w:rsidR="00AF4E8C">
        <w:rPr>
          <w:rFonts w:ascii="Arial" w:eastAsiaTheme="minorHAnsi" w:hAnsi="Arial" w:cs="Arial"/>
          <w:kern w:val="2"/>
          <w:lang w:val="en-SG"/>
          <w14:ligatures w14:val="standardContextual"/>
        </w:rPr>
        <w:tab/>
      </w:r>
      <w:r w:rsidR="00AF4E8C">
        <w:rPr>
          <w:rFonts w:ascii="Arial" w:eastAsiaTheme="minorHAnsi" w:hAnsi="Arial" w:cs="Arial"/>
          <w:kern w:val="2"/>
          <w:lang w:val="en-SG"/>
          <w14:ligatures w14:val="standardContextual"/>
        </w:rPr>
        <w:tab/>
      </w:r>
      <w:r w:rsidR="00AF4E8C">
        <w:rPr>
          <w:rFonts w:ascii="Arial" w:eastAsiaTheme="minorHAnsi" w:hAnsi="Arial" w:cs="Arial"/>
          <w:kern w:val="2"/>
          <w:lang w:val="en-SG"/>
          <w14:ligatures w14:val="standardContextual"/>
        </w:rPr>
        <w:tab/>
      </w:r>
      <w:r w:rsidR="00AF4E8C">
        <w:rPr>
          <w:rFonts w:ascii="Arial" w:eastAsiaTheme="minorHAnsi" w:hAnsi="Arial" w:cs="Arial"/>
          <w:kern w:val="2"/>
          <w:lang w:val="en-SG"/>
          <w14:ligatures w14:val="standardContextual"/>
        </w:rPr>
        <w:tab/>
      </w:r>
      <w:r w:rsidR="00AF4E8C">
        <w:rPr>
          <w:rFonts w:ascii="Arial" w:eastAsiaTheme="minorHAnsi" w:hAnsi="Arial" w:cs="Arial"/>
          <w:kern w:val="2"/>
          <w:lang w:val="en-SG"/>
          <w14:ligatures w14:val="standardContextual"/>
        </w:rPr>
        <w:tab/>
      </w:r>
      <w:r w:rsidR="00AF4E8C">
        <w:rPr>
          <w:rFonts w:ascii="Arial" w:eastAsiaTheme="minorHAnsi" w:hAnsi="Arial" w:cs="Arial"/>
          <w:kern w:val="2"/>
          <w:lang w:val="en-SG"/>
          <w14:ligatures w14:val="standardContextual"/>
        </w:rPr>
        <w:tab/>
      </w:r>
      <w:r w:rsidRPr="001B39BA">
        <w:rPr>
          <w:rFonts w:ascii="Arial" w:eastAsiaTheme="minorHAnsi" w:hAnsi="Arial" w:cs="Arial"/>
          <w:kern w:val="2"/>
          <w:lang w:val="en-SG"/>
          <w14:ligatures w14:val="standardContextual"/>
        </w:rPr>
        <w:t xml:space="preserve">At the structural level, the diagram shows a direct pathway from work-specific </w:t>
      </w:r>
      <w:r w:rsidRPr="001B39BA">
        <w:rPr>
          <w:rFonts w:ascii="Arial" w:eastAsiaTheme="minorHAnsi" w:hAnsi="Arial" w:cs="Arial"/>
          <w:kern w:val="2"/>
          <w:lang w:val="en-SG"/>
          <w14:ligatures w14:val="standardContextual"/>
        </w:rPr>
        <w:lastRenderedPageBreak/>
        <w:t>characteristics to compassion satisfaction, suggesting that guidance counselors' competencies contribute to their level of professional competence. This relationship appears stronger compared to the initial model, indicating that model refinement improved the clarity of this key pathway. In contrast, the paths involving compassion fatigue remain non-significant, as indicated by the dashed arrows. Specifically, compassion fatigue does not significantly predict compassion satisfaction, nor does it significantly influence work-specific characteristics. This suggests that emotional exhaustion does not play a meaningful role in explaining either guidance counselors’ competencies or their sense of guidance counselors within the revised model.</w:t>
      </w:r>
    </w:p>
    <w:p w14:paraId="219071AA"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Furthermore, the absence of significant indirect pathways indicates that compassion fatigue does not mediate the relationship between work-specific characteristics and compassion satisfaction. In simple terms, the effect of professional competencies on satisfaction is direct and is not influenced by fatigue.</w:t>
      </w:r>
    </w:p>
    <w:p w14:paraId="3D654E51"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Despite these structural improvements, the overall model fit indices remain below acceptable criteria (CFI = 0.751, TLI = 0.734, RMSEA = 0.107, SRMR = 0.097), indicating that the revised model still does not adequately represent the empirical data. Although the model shows improvement over the initial version, it still exhibits notable discrepancies between observed and predicted relationships.</w:t>
      </w:r>
    </w:p>
    <w:p w14:paraId="56C86CAE"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Taken together, Figure 4 further demonstrates partial improvement in capturing the relationships among the variables, particularly highlighting the importance of work-specific characteristics in predicting compassion satisfaction. However, the lack of significant effects involving compassion fatigue and the overall inadequate model fit suggest that further model refinement is necessary.</w:t>
      </w:r>
    </w:p>
    <w:p w14:paraId="61FE3530"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704B5471"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Table 13</w:t>
      </w:r>
    </w:p>
    <w:p w14:paraId="14F3635F"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 xml:space="preserve">Summary of the Final Structural Equation Model </w:t>
      </w:r>
    </w:p>
    <w:p w14:paraId="5837F1C7" w14:textId="77777777" w:rsidR="001B39BA" w:rsidRPr="001B39BA" w:rsidRDefault="001B39BA" w:rsidP="001B39BA">
      <w:pPr>
        <w:widowControl/>
        <w:numPr>
          <w:ilvl w:val="0"/>
          <w:numId w:val="24"/>
        </w:numPr>
        <w:autoSpaceDE/>
        <w:autoSpaceDN/>
        <w:spacing w:line="360" w:lineRule="auto"/>
        <w:contextualSpacing/>
        <w:jc w:val="both"/>
        <w:rPr>
          <w:rFonts w:ascii="Arial" w:eastAsiaTheme="minorHAnsi" w:hAnsi="Arial" w:cs="Arial"/>
          <w:lang w:val="en-SG" w:eastAsia="en-SG"/>
          <w14:ligatures w14:val="standardContextual"/>
        </w:rPr>
      </w:pPr>
      <w:r w:rsidRPr="001B39BA">
        <w:rPr>
          <w:rFonts w:ascii="Arial" w:eastAsiaTheme="minorHAnsi" w:hAnsi="Arial" w:cs="Arial"/>
          <w:lang w:val="en-SG" w:eastAsia="en-SG"/>
          <w14:ligatures w14:val="standardContextual"/>
        </w:rPr>
        <w:t>Structural Relationships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1"/>
        <w:gridCol w:w="1100"/>
        <w:gridCol w:w="695"/>
        <w:gridCol w:w="2144"/>
      </w:tblGrid>
      <w:tr w:rsidR="001B39BA" w:rsidRPr="001B39BA" w14:paraId="7B80A5A4" w14:textId="77777777" w:rsidTr="005703E4">
        <w:trPr>
          <w:tblHeader/>
          <w:tblCellSpacing w:w="15" w:type="dxa"/>
        </w:trPr>
        <w:tc>
          <w:tcPr>
            <w:tcW w:w="0" w:type="auto"/>
            <w:tcBorders>
              <w:top w:val="single" w:sz="4" w:space="0" w:color="auto"/>
              <w:bottom w:val="single" w:sz="4" w:space="0" w:color="auto"/>
            </w:tcBorders>
            <w:vAlign w:val="center"/>
            <w:hideMark/>
          </w:tcPr>
          <w:p w14:paraId="754336F5" w14:textId="77777777" w:rsidR="001B39BA" w:rsidRPr="00AF4E8C" w:rsidRDefault="001B39BA" w:rsidP="00AF4E8C">
            <w:pPr>
              <w:pStyle w:val="NoSpacing"/>
              <w:rPr>
                <w:sz w:val="20"/>
                <w:szCs w:val="20"/>
                <w:lang w:val="en-SG"/>
              </w:rPr>
            </w:pPr>
            <w:r w:rsidRPr="00AF4E8C">
              <w:rPr>
                <w:sz w:val="20"/>
                <w:szCs w:val="20"/>
                <w:lang w:val="en-SG"/>
              </w:rPr>
              <w:t>Structural Path</w:t>
            </w:r>
          </w:p>
        </w:tc>
        <w:tc>
          <w:tcPr>
            <w:tcW w:w="0" w:type="auto"/>
            <w:tcBorders>
              <w:top w:val="single" w:sz="4" w:space="0" w:color="auto"/>
              <w:bottom w:val="single" w:sz="4" w:space="0" w:color="auto"/>
            </w:tcBorders>
            <w:vAlign w:val="center"/>
            <w:hideMark/>
          </w:tcPr>
          <w:p w14:paraId="2EA042C6" w14:textId="77777777" w:rsidR="001B39BA" w:rsidRPr="00AF4E8C" w:rsidRDefault="001B39BA" w:rsidP="00AF4E8C">
            <w:pPr>
              <w:pStyle w:val="NoSpacing"/>
              <w:rPr>
                <w:sz w:val="20"/>
                <w:szCs w:val="20"/>
                <w:lang w:val="en-SG"/>
              </w:rPr>
            </w:pPr>
            <w:r w:rsidRPr="00AF4E8C">
              <w:rPr>
                <w:sz w:val="20"/>
                <w:szCs w:val="20"/>
                <w:lang w:val="en-SG"/>
              </w:rPr>
              <w:t>Estimate (β)</w:t>
            </w:r>
          </w:p>
        </w:tc>
        <w:tc>
          <w:tcPr>
            <w:tcW w:w="0" w:type="auto"/>
            <w:tcBorders>
              <w:top w:val="single" w:sz="4" w:space="0" w:color="auto"/>
              <w:bottom w:val="single" w:sz="4" w:space="0" w:color="auto"/>
            </w:tcBorders>
            <w:vAlign w:val="center"/>
            <w:hideMark/>
          </w:tcPr>
          <w:p w14:paraId="552E83D0" w14:textId="77777777" w:rsidR="001B39BA" w:rsidRPr="00AF4E8C" w:rsidRDefault="001B39BA" w:rsidP="00AF4E8C">
            <w:pPr>
              <w:pStyle w:val="NoSpacing"/>
              <w:rPr>
                <w:sz w:val="20"/>
                <w:szCs w:val="20"/>
                <w:lang w:val="en-SG"/>
              </w:rPr>
            </w:pPr>
            <w:r w:rsidRPr="00AF4E8C">
              <w:rPr>
                <w:sz w:val="20"/>
                <w:szCs w:val="20"/>
                <w:lang w:val="en-SG"/>
              </w:rPr>
              <w:t>p-value</w:t>
            </w:r>
          </w:p>
        </w:tc>
        <w:tc>
          <w:tcPr>
            <w:tcW w:w="0" w:type="auto"/>
            <w:tcBorders>
              <w:top w:val="single" w:sz="4" w:space="0" w:color="auto"/>
              <w:bottom w:val="single" w:sz="4" w:space="0" w:color="auto"/>
            </w:tcBorders>
            <w:vAlign w:val="center"/>
            <w:hideMark/>
          </w:tcPr>
          <w:p w14:paraId="7483B340" w14:textId="77777777" w:rsidR="001B39BA" w:rsidRPr="00AF4E8C" w:rsidRDefault="001B39BA" w:rsidP="00AF4E8C">
            <w:pPr>
              <w:pStyle w:val="NoSpacing"/>
              <w:rPr>
                <w:sz w:val="20"/>
                <w:szCs w:val="20"/>
                <w:lang w:val="en-SG"/>
              </w:rPr>
            </w:pPr>
            <w:r w:rsidRPr="00AF4E8C">
              <w:rPr>
                <w:sz w:val="20"/>
                <w:szCs w:val="20"/>
                <w:lang w:val="en-SG"/>
              </w:rPr>
              <w:t>Interpretation</w:t>
            </w:r>
          </w:p>
        </w:tc>
      </w:tr>
      <w:tr w:rsidR="001B39BA" w:rsidRPr="001B39BA" w14:paraId="7536CA8B" w14:textId="77777777" w:rsidTr="005703E4">
        <w:trPr>
          <w:tblCellSpacing w:w="15" w:type="dxa"/>
        </w:trPr>
        <w:tc>
          <w:tcPr>
            <w:tcW w:w="0" w:type="auto"/>
            <w:vAlign w:val="center"/>
            <w:hideMark/>
          </w:tcPr>
          <w:p w14:paraId="115F8D7A" w14:textId="77777777" w:rsidR="001B39BA" w:rsidRPr="00AF4E8C" w:rsidRDefault="001B39BA" w:rsidP="00AF4E8C">
            <w:pPr>
              <w:pStyle w:val="NoSpacing"/>
              <w:rPr>
                <w:sz w:val="20"/>
                <w:szCs w:val="20"/>
                <w:lang w:val="en-SG"/>
              </w:rPr>
            </w:pPr>
            <w:r w:rsidRPr="00AF4E8C">
              <w:rPr>
                <w:sz w:val="20"/>
                <w:szCs w:val="20"/>
                <w:lang w:val="en-SG"/>
              </w:rPr>
              <w:t>Work-Specific Characteristics → Compassion Satisfaction</w:t>
            </w:r>
          </w:p>
        </w:tc>
        <w:tc>
          <w:tcPr>
            <w:tcW w:w="0" w:type="auto"/>
            <w:vAlign w:val="center"/>
            <w:hideMark/>
          </w:tcPr>
          <w:p w14:paraId="19C32F67" w14:textId="77777777" w:rsidR="001B39BA" w:rsidRPr="00AF4E8C" w:rsidRDefault="001B39BA" w:rsidP="00AF4E8C">
            <w:pPr>
              <w:pStyle w:val="NoSpacing"/>
              <w:rPr>
                <w:sz w:val="20"/>
                <w:szCs w:val="20"/>
                <w:lang w:val="en-SG"/>
              </w:rPr>
            </w:pPr>
            <w:r w:rsidRPr="00AF4E8C">
              <w:rPr>
                <w:sz w:val="20"/>
                <w:szCs w:val="20"/>
                <w:lang w:val="en-SG"/>
              </w:rPr>
              <w:t>1.219</w:t>
            </w:r>
          </w:p>
        </w:tc>
        <w:tc>
          <w:tcPr>
            <w:tcW w:w="0" w:type="auto"/>
            <w:vAlign w:val="center"/>
            <w:hideMark/>
          </w:tcPr>
          <w:p w14:paraId="6FFE5117" w14:textId="77777777" w:rsidR="001B39BA" w:rsidRPr="00AF4E8C" w:rsidRDefault="001B39BA" w:rsidP="00AF4E8C">
            <w:pPr>
              <w:pStyle w:val="NoSpacing"/>
              <w:rPr>
                <w:sz w:val="20"/>
                <w:szCs w:val="20"/>
                <w:lang w:val="en-SG"/>
              </w:rPr>
            </w:pPr>
            <w:r w:rsidRPr="00AF4E8C">
              <w:rPr>
                <w:sz w:val="20"/>
                <w:szCs w:val="20"/>
                <w:lang w:val="en-SG"/>
              </w:rPr>
              <w:t>&lt; .001</w:t>
            </w:r>
          </w:p>
        </w:tc>
        <w:tc>
          <w:tcPr>
            <w:tcW w:w="0" w:type="auto"/>
            <w:vAlign w:val="center"/>
            <w:hideMark/>
          </w:tcPr>
          <w:p w14:paraId="0A79D4EC" w14:textId="77777777" w:rsidR="001B39BA" w:rsidRPr="00AF4E8C" w:rsidRDefault="001B39BA" w:rsidP="00AF4E8C">
            <w:pPr>
              <w:pStyle w:val="NoSpacing"/>
              <w:rPr>
                <w:sz w:val="20"/>
                <w:szCs w:val="20"/>
                <w:lang w:val="en-SG"/>
              </w:rPr>
            </w:pPr>
          </w:p>
          <w:p w14:paraId="7EEA150F" w14:textId="77777777" w:rsidR="001B39BA" w:rsidRPr="00AF4E8C" w:rsidRDefault="001B39BA" w:rsidP="00AF4E8C">
            <w:pPr>
              <w:pStyle w:val="NoSpacing"/>
              <w:rPr>
                <w:sz w:val="20"/>
                <w:szCs w:val="20"/>
                <w:lang w:val="en-SG"/>
              </w:rPr>
            </w:pPr>
            <w:r w:rsidRPr="00AF4E8C">
              <w:rPr>
                <w:sz w:val="20"/>
                <w:szCs w:val="20"/>
                <w:lang w:val="en-SG"/>
              </w:rPr>
              <w:t>Significant positive effect</w:t>
            </w:r>
          </w:p>
        </w:tc>
      </w:tr>
      <w:tr w:rsidR="001B39BA" w:rsidRPr="001B39BA" w14:paraId="3131125C" w14:textId="77777777" w:rsidTr="005703E4">
        <w:trPr>
          <w:tblCellSpacing w:w="15" w:type="dxa"/>
        </w:trPr>
        <w:tc>
          <w:tcPr>
            <w:tcW w:w="0" w:type="auto"/>
            <w:vAlign w:val="center"/>
            <w:hideMark/>
          </w:tcPr>
          <w:p w14:paraId="52053E7D" w14:textId="77777777" w:rsidR="001B39BA" w:rsidRPr="00AF4E8C" w:rsidRDefault="001B39BA" w:rsidP="00AF4E8C">
            <w:pPr>
              <w:pStyle w:val="NoSpacing"/>
              <w:rPr>
                <w:sz w:val="20"/>
                <w:szCs w:val="20"/>
                <w:lang w:val="en-SG"/>
              </w:rPr>
            </w:pPr>
          </w:p>
          <w:p w14:paraId="2E3B3553" w14:textId="77777777" w:rsidR="001B39BA" w:rsidRPr="00AF4E8C" w:rsidRDefault="001B39BA" w:rsidP="00AF4E8C">
            <w:pPr>
              <w:pStyle w:val="NoSpacing"/>
              <w:rPr>
                <w:sz w:val="20"/>
                <w:szCs w:val="20"/>
                <w:lang w:val="en-SG"/>
              </w:rPr>
            </w:pPr>
            <w:r w:rsidRPr="00AF4E8C">
              <w:rPr>
                <w:sz w:val="20"/>
                <w:szCs w:val="20"/>
                <w:lang w:val="en-SG"/>
              </w:rPr>
              <w:t>Compassion Fatigue → Compassion Satisfaction</w:t>
            </w:r>
          </w:p>
        </w:tc>
        <w:tc>
          <w:tcPr>
            <w:tcW w:w="0" w:type="auto"/>
            <w:vAlign w:val="center"/>
            <w:hideMark/>
          </w:tcPr>
          <w:p w14:paraId="30798AEB" w14:textId="77777777" w:rsidR="001B39BA" w:rsidRPr="00AF4E8C" w:rsidRDefault="001B39BA" w:rsidP="00AF4E8C">
            <w:pPr>
              <w:pStyle w:val="NoSpacing"/>
              <w:rPr>
                <w:sz w:val="20"/>
                <w:szCs w:val="20"/>
                <w:lang w:val="en-SG"/>
              </w:rPr>
            </w:pPr>
            <w:r w:rsidRPr="00AF4E8C">
              <w:rPr>
                <w:sz w:val="20"/>
                <w:szCs w:val="20"/>
                <w:lang w:val="en-SG"/>
              </w:rPr>
              <w:t>-1.324</w:t>
            </w:r>
          </w:p>
        </w:tc>
        <w:tc>
          <w:tcPr>
            <w:tcW w:w="0" w:type="auto"/>
            <w:vAlign w:val="center"/>
            <w:hideMark/>
          </w:tcPr>
          <w:p w14:paraId="41D32413" w14:textId="77777777" w:rsidR="001B39BA" w:rsidRPr="00AF4E8C" w:rsidRDefault="001B39BA" w:rsidP="00AF4E8C">
            <w:pPr>
              <w:pStyle w:val="NoSpacing"/>
              <w:rPr>
                <w:sz w:val="20"/>
                <w:szCs w:val="20"/>
                <w:lang w:val="en-SG"/>
              </w:rPr>
            </w:pPr>
            <w:r w:rsidRPr="00AF4E8C">
              <w:rPr>
                <w:sz w:val="20"/>
                <w:szCs w:val="20"/>
                <w:lang w:val="en-SG"/>
              </w:rPr>
              <w:t>.702</w:t>
            </w:r>
          </w:p>
        </w:tc>
        <w:tc>
          <w:tcPr>
            <w:tcW w:w="0" w:type="auto"/>
            <w:vAlign w:val="center"/>
            <w:hideMark/>
          </w:tcPr>
          <w:p w14:paraId="5C1BCA69" w14:textId="77777777" w:rsidR="001B39BA" w:rsidRPr="00AF4E8C" w:rsidRDefault="001B39BA" w:rsidP="00AF4E8C">
            <w:pPr>
              <w:pStyle w:val="NoSpacing"/>
              <w:rPr>
                <w:sz w:val="20"/>
                <w:szCs w:val="20"/>
                <w:lang w:val="en-SG"/>
              </w:rPr>
            </w:pPr>
            <w:r w:rsidRPr="00AF4E8C">
              <w:rPr>
                <w:sz w:val="20"/>
                <w:szCs w:val="20"/>
                <w:lang w:val="en-SG"/>
              </w:rPr>
              <w:t>Not significant</w:t>
            </w:r>
          </w:p>
        </w:tc>
      </w:tr>
      <w:tr w:rsidR="001B39BA" w:rsidRPr="001B39BA" w14:paraId="258C363A" w14:textId="77777777" w:rsidTr="005703E4">
        <w:trPr>
          <w:tblCellSpacing w:w="15" w:type="dxa"/>
        </w:trPr>
        <w:tc>
          <w:tcPr>
            <w:tcW w:w="0" w:type="auto"/>
            <w:tcBorders>
              <w:bottom w:val="single" w:sz="4" w:space="0" w:color="auto"/>
            </w:tcBorders>
            <w:vAlign w:val="center"/>
            <w:hideMark/>
          </w:tcPr>
          <w:p w14:paraId="429A22B2" w14:textId="77777777" w:rsidR="001B39BA" w:rsidRPr="00AF4E8C" w:rsidRDefault="001B39BA" w:rsidP="00AF4E8C">
            <w:pPr>
              <w:pStyle w:val="NoSpacing"/>
              <w:rPr>
                <w:sz w:val="20"/>
                <w:szCs w:val="20"/>
                <w:lang w:val="en-SG"/>
              </w:rPr>
            </w:pPr>
          </w:p>
          <w:p w14:paraId="2E31E73F" w14:textId="77777777" w:rsidR="001B39BA" w:rsidRPr="00AF4E8C" w:rsidRDefault="001B39BA" w:rsidP="00AF4E8C">
            <w:pPr>
              <w:pStyle w:val="NoSpacing"/>
              <w:rPr>
                <w:sz w:val="20"/>
                <w:szCs w:val="20"/>
                <w:lang w:val="en-SG"/>
              </w:rPr>
            </w:pPr>
            <w:r w:rsidRPr="00AF4E8C">
              <w:rPr>
                <w:sz w:val="20"/>
                <w:szCs w:val="20"/>
                <w:lang w:val="en-SG"/>
              </w:rPr>
              <w:t>Compassion Fatigue → Work-Specific Characteristics</w:t>
            </w:r>
          </w:p>
        </w:tc>
        <w:tc>
          <w:tcPr>
            <w:tcW w:w="0" w:type="auto"/>
            <w:tcBorders>
              <w:bottom w:val="single" w:sz="4" w:space="0" w:color="auto"/>
            </w:tcBorders>
            <w:vAlign w:val="center"/>
            <w:hideMark/>
          </w:tcPr>
          <w:p w14:paraId="4B813AE5" w14:textId="77777777" w:rsidR="001B39BA" w:rsidRPr="00AF4E8C" w:rsidRDefault="001B39BA" w:rsidP="00AF4E8C">
            <w:pPr>
              <w:pStyle w:val="NoSpacing"/>
              <w:rPr>
                <w:sz w:val="20"/>
                <w:szCs w:val="20"/>
                <w:lang w:val="en-SG"/>
              </w:rPr>
            </w:pPr>
            <w:r w:rsidRPr="00AF4E8C">
              <w:rPr>
                <w:sz w:val="20"/>
                <w:szCs w:val="20"/>
                <w:lang w:val="en-SG"/>
              </w:rPr>
              <w:t>-0.002</w:t>
            </w:r>
          </w:p>
        </w:tc>
        <w:tc>
          <w:tcPr>
            <w:tcW w:w="0" w:type="auto"/>
            <w:tcBorders>
              <w:bottom w:val="single" w:sz="4" w:space="0" w:color="auto"/>
            </w:tcBorders>
            <w:vAlign w:val="center"/>
            <w:hideMark/>
          </w:tcPr>
          <w:p w14:paraId="37BD4952" w14:textId="77777777" w:rsidR="001B39BA" w:rsidRPr="00AF4E8C" w:rsidRDefault="001B39BA" w:rsidP="00AF4E8C">
            <w:pPr>
              <w:pStyle w:val="NoSpacing"/>
              <w:rPr>
                <w:sz w:val="20"/>
                <w:szCs w:val="20"/>
                <w:lang w:val="en-SG"/>
              </w:rPr>
            </w:pPr>
            <w:r w:rsidRPr="00AF4E8C">
              <w:rPr>
                <w:sz w:val="20"/>
                <w:szCs w:val="20"/>
                <w:lang w:val="en-SG"/>
              </w:rPr>
              <w:t>.704</w:t>
            </w:r>
          </w:p>
        </w:tc>
        <w:tc>
          <w:tcPr>
            <w:tcW w:w="0" w:type="auto"/>
            <w:tcBorders>
              <w:bottom w:val="single" w:sz="4" w:space="0" w:color="auto"/>
            </w:tcBorders>
            <w:vAlign w:val="center"/>
            <w:hideMark/>
          </w:tcPr>
          <w:p w14:paraId="73B2985E" w14:textId="77777777" w:rsidR="001B39BA" w:rsidRPr="00AF4E8C" w:rsidRDefault="001B39BA" w:rsidP="00AF4E8C">
            <w:pPr>
              <w:pStyle w:val="NoSpacing"/>
              <w:rPr>
                <w:sz w:val="20"/>
                <w:szCs w:val="20"/>
                <w:lang w:val="en-SG"/>
              </w:rPr>
            </w:pPr>
            <w:r w:rsidRPr="00AF4E8C">
              <w:rPr>
                <w:sz w:val="20"/>
                <w:szCs w:val="20"/>
                <w:lang w:val="en-SG"/>
              </w:rPr>
              <w:t>Not significant</w:t>
            </w:r>
          </w:p>
        </w:tc>
      </w:tr>
    </w:tbl>
    <w:p w14:paraId="43989BF5" w14:textId="77777777" w:rsidR="001B39BA" w:rsidRPr="001B39BA" w:rsidRDefault="001B39BA" w:rsidP="001B39BA">
      <w:pPr>
        <w:spacing w:line="360" w:lineRule="auto"/>
        <w:rPr>
          <w:rFonts w:ascii="Arial" w:hAnsi="Arial" w:cs="Arial"/>
          <w:lang w:val="en-SG" w:eastAsia="en-SG"/>
        </w:rPr>
      </w:pPr>
      <w:r w:rsidRPr="001B39BA">
        <w:rPr>
          <w:rFonts w:ascii="Arial" w:hAnsi="Arial" w:cs="Arial"/>
          <w:lang w:val="en-SG" w:eastAsia="en-SG"/>
        </w:rPr>
        <w:lastRenderedPageBreak/>
        <w:t>B. Variance of Latent Constructs</w:t>
      </w:r>
    </w:p>
    <w:tbl>
      <w:tblPr>
        <w:tblW w:w="8364" w:type="dxa"/>
        <w:tblCellSpacing w:w="15" w:type="dxa"/>
        <w:tblCellMar>
          <w:top w:w="15" w:type="dxa"/>
          <w:left w:w="15" w:type="dxa"/>
          <w:bottom w:w="15" w:type="dxa"/>
          <w:right w:w="15" w:type="dxa"/>
        </w:tblCellMar>
        <w:tblLook w:val="04A0" w:firstRow="1" w:lastRow="0" w:firstColumn="1" w:lastColumn="0" w:noHBand="0" w:noVBand="1"/>
      </w:tblPr>
      <w:tblGrid>
        <w:gridCol w:w="3402"/>
        <w:gridCol w:w="1276"/>
        <w:gridCol w:w="1418"/>
        <w:gridCol w:w="2268"/>
      </w:tblGrid>
      <w:tr w:rsidR="001B39BA" w:rsidRPr="001B39BA" w14:paraId="36E49D0D" w14:textId="77777777" w:rsidTr="005703E4">
        <w:trPr>
          <w:tblHeader/>
          <w:tblCellSpacing w:w="15" w:type="dxa"/>
        </w:trPr>
        <w:tc>
          <w:tcPr>
            <w:tcW w:w="3357" w:type="dxa"/>
            <w:tcBorders>
              <w:top w:val="single" w:sz="4" w:space="0" w:color="auto"/>
              <w:bottom w:val="single" w:sz="4" w:space="0" w:color="auto"/>
            </w:tcBorders>
            <w:vAlign w:val="center"/>
            <w:hideMark/>
          </w:tcPr>
          <w:p w14:paraId="50A3E78F" w14:textId="77777777" w:rsidR="001B39BA" w:rsidRPr="001B39BA" w:rsidRDefault="001B39BA" w:rsidP="00AF4E8C">
            <w:pPr>
              <w:pStyle w:val="NoSpacing"/>
              <w:rPr>
                <w:lang w:val="en-SG"/>
              </w:rPr>
            </w:pPr>
            <w:r w:rsidRPr="001B39BA">
              <w:rPr>
                <w:lang w:val="en-SG"/>
              </w:rPr>
              <w:t>Latent Construct</w:t>
            </w:r>
          </w:p>
        </w:tc>
        <w:tc>
          <w:tcPr>
            <w:tcW w:w="1246" w:type="dxa"/>
            <w:tcBorders>
              <w:top w:val="single" w:sz="4" w:space="0" w:color="auto"/>
              <w:bottom w:val="single" w:sz="4" w:space="0" w:color="auto"/>
            </w:tcBorders>
            <w:vAlign w:val="center"/>
            <w:hideMark/>
          </w:tcPr>
          <w:p w14:paraId="3AF745D2" w14:textId="77777777" w:rsidR="001B39BA" w:rsidRPr="001B39BA" w:rsidRDefault="001B39BA" w:rsidP="00AF4E8C">
            <w:pPr>
              <w:pStyle w:val="NoSpacing"/>
              <w:rPr>
                <w:lang w:val="en-SG"/>
              </w:rPr>
            </w:pPr>
            <w:r w:rsidRPr="001B39BA">
              <w:rPr>
                <w:lang w:val="en-SG"/>
              </w:rPr>
              <w:t>Variance</w:t>
            </w:r>
          </w:p>
        </w:tc>
        <w:tc>
          <w:tcPr>
            <w:tcW w:w="1388" w:type="dxa"/>
            <w:tcBorders>
              <w:top w:val="single" w:sz="4" w:space="0" w:color="auto"/>
              <w:bottom w:val="single" w:sz="4" w:space="0" w:color="auto"/>
            </w:tcBorders>
            <w:vAlign w:val="center"/>
            <w:hideMark/>
          </w:tcPr>
          <w:p w14:paraId="3B3E6035" w14:textId="77777777" w:rsidR="001B39BA" w:rsidRPr="001B39BA" w:rsidRDefault="001B39BA" w:rsidP="00AF4E8C">
            <w:pPr>
              <w:pStyle w:val="NoSpacing"/>
              <w:rPr>
                <w:lang w:val="en-SG"/>
              </w:rPr>
            </w:pPr>
            <w:r w:rsidRPr="001B39BA">
              <w:rPr>
                <w:lang w:val="en-SG"/>
              </w:rPr>
              <w:t>p-value</w:t>
            </w:r>
          </w:p>
        </w:tc>
        <w:tc>
          <w:tcPr>
            <w:tcW w:w="2223" w:type="dxa"/>
            <w:tcBorders>
              <w:top w:val="single" w:sz="4" w:space="0" w:color="auto"/>
              <w:bottom w:val="single" w:sz="4" w:space="0" w:color="auto"/>
            </w:tcBorders>
            <w:vAlign w:val="center"/>
            <w:hideMark/>
          </w:tcPr>
          <w:p w14:paraId="62FD9FB4" w14:textId="77777777" w:rsidR="001B39BA" w:rsidRPr="001B39BA" w:rsidRDefault="001B39BA" w:rsidP="00AF4E8C">
            <w:pPr>
              <w:pStyle w:val="NoSpacing"/>
              <w:rPr>
                <w:lang w:val="en-SG"/>
              </w:rPr>
            </w:pPr>
            <w:r w:rsidRPr="001B39BA">
              <w:rPr>
                <w:lang w:val="en-SG"/>
              </w:rPr>
              <w:t>Interpretation</w:t>
            </w:r>
          </w:p>
        </w:tc>
      </w:tr>
      <w:tr w:rsidR="001B39BA" w:rsidRPr="001B39BA" w14:paraId="37D966BF" w14:textId="77777777" w:rsidTr="005703E4">
        <w:trPr>
          <w:tblCellSpacing w:w="15" w:type="dxa"/>
        </w:trPr>
        <w:tc>
          <w:tcPr>
            <w:tcW w:w="3357" w:type="dxa"/>
            <w:vAlign w:val="center"/>
            <w:hideMark/>
          </w:tcPr>
          <w:p w14:paraId="7B69BB55" w14:textId="77777777" w:rsidR="001B39BA" w:rsidRPr="001B39BA" w:rsidRDefault="001B39BA" w:rsidP="00AF4E8C">
            <w:pPr>
              <w:pStyle w:val="NoSpacing"/>
              <w:rPr>
                <w:lang w:val="en-SG"/>
              </w:rPr>
            </w:pPr>
          </w:p>
          <w:p w14:paraId="2244B440" w14:textId="77777777" w:rsidR="001B39BA" w:rsidRPr="001B39BA" w:rsidRDefault="001B39BA" w:rsidP="00AF4E8C">
            <w:pPr>
              <w:pStyle w:val="NoSpacing"/>
              <w:rPr>
                <w:lang w:val="en-SG"/>
              </w:rPr>
            </w:pPr>
            <w:r w:rsidRPr="001B39BA">
              <w:rPr>
                <w:lang w:val="en-SG"/>
              </w:rPr>
              <w:t>Work-Specific Characteristics</w:t>
            </w:r>
          </w:p>
        </w:tc>
        <w:tc>
          <w:tcPr>
            <w:tcW w:w="1246" w:type="dxa"/>
            <w:vAlign w:val="center"/>
            <w:hideMark/>
          </w:tcPr>
          <w:p w14:paraId="40C3C534" w14:textId="77777777" w:rsidR="001B39BA" w:rsidRPr="001B39BA" w:rsidRDefault="001B39BA" w:rsidP="00AF4E8C">
            <w:pPr>
              <w:pStyle w:val="NoSpacing"/>
              <w:rPr>
                <w:lang w:val="en-SG"/>
              </w:rPr>
            </w:pPr>
          </w:p>
          <w:p w14:paraId="31714072" w14:textId="77777777" w:rsidR="001B39BA" w:rsidRPr="001B39BA" w:rsidRDefault="001B39BA" w:rsidP="00AF4E8C">
            <w:pPr>
              <w:pStyle w:val="NoSpacing"/>
              <w:rPr>
                <w:lang w:val="en-SG"/>
              </w:rPr>
            </w:pPr>
            <w:r w:rsidRPr="001B39BA">
              <w:rPr>
                <w:lang w:val="en-SG"/>
              </w:rPr>
              <w:t>0.161</w:t>
            </w:r>
          </w:p>
        </w:tc>
        <w:tc>
          <w:tcPr>
            <w:tcW w:w="1388" w:type="dxa"/>
            <w:vAlign w:val="center"/>
            <w:hideMark/>
          </w:tcPr>
          <w:p w14:paraId="60C2261C" w14:textId="77777777" w:rsidR="001B39BA" w:rsidRPr="001B39BA" w:rsidRDefault="001B39BA" w:rsidP="00AF4E8C">
            <w:pPr>
              <w:pStyle w:val="NoSpacing"/>
              <w:rPr>
                <w:lang w:val="en-SG"/>
              </w:rPr>
            </w:pPr>
          </w:p>
          <w:p w14:paraId="133CF211" w14:textId="77777777" w:rsidR="001B39BA" w:rsidRPr="001B39BA" w:rsidRDefault="001B39BA" w:rsidP="00AF4E8C">
            <w:pPr>
              <w:pStyle w:val="NoSpacing"/>
              <w:rPr>
                <w:lang w:val="en-SG"/>
              </w:rPr>
            </w:pPr>
            <w:r w:rsidRPr="001B39BA">
              <w:rPr>
                <w:lang w:val="en-SG"/>
              </w:rPr>
              <w:t>&lt; .001</w:t>
            </w:r>
          </w:p>
        </w:tc>
        <w:tc>
          <w:tcPr>
            <w:tcW w:w="2223" w:type="dxa"/>
            <w:vAlign w:val="center"/>
            <w:hideMark/>
          </w:tcPr>
          <w:p w14:paraId="241F2D40" w14:textId="77777777" w:rsidR="001B39BA" w:rsidRPr="001B39BA" w:rsidRDefault="001B39BA" w:rsidP="00AF4E8C">
            <w:pPr>
              <w:pStyle w:val="NoSpacing"/>
              <w:rPr>
                <w:lang w:val="en-SG"/>
              </w:rPr>
            </w:pPr>
          </w:p>
          <w:p w14:paraId="5B17B721" w14:textId="77777777" w:rsidR="001B39BA" w:rsidRPr="001B39BA" w:rsidRDefault="001B39BA" w:rsidP="00AF4E8C">
            <w:pPr>
              <w:pStyle w:val="NoSpacing"/>
              <w:rPr>
                <w:lang w:val="en-SG"/>
              </w:rPr>
            </w:pPr>
            <w:r w:rsidRPr="001B39BA">
              <w:rPr>
                <w:lang w:val="en-SG"/>
              </w:rPr>
              <w:t>Moderate variability</w:t>
            </w:r>
          </w:p>
        </w:tc>
      </w:tr>
      <w:tr w:rsidR="001B39BA" w:rsidRPr="001B39BA" w14:paraId="13C98D7E" w14:textId="77777777" w:rsidTr="005703E4">
        <w:trPr>
          <w:tblCellSpacing w:w="15" w:type="dxa"/>
        </w:trPr>
        <w:tc>
          <w:tcPr>
            <w:tcW w:w="3357" w:type="dxa"/>
            <w:vAlign w:val="center"/>
            <w:hideMark/>
          </w:tcPr>
          <w:p w14:paraId="2A478D99" w14:textId="77777777" w:rsidR="001B39BA" w:rsidRPr="001B39BA" w:rsidRDefault="001B39BA" w:rsidP="00AF4E8C">
            <w:pPr>
              <w:pStyle w:val="NoSpacing"/>
              <w:rPr>
                <w:lang w:val="en-SG"/>
              </w:rPr>
            </w:pPr>
            <w:r w:rsidRPr="001B39BA">
              <w:rPr>
                <w:lang w:val="en-SG"/>
              </w:rPr>
              <w:t>Compassion Satisfaction</w:t>
            </w:r>
          </w:p>
        </w:tc>
        <w:tc>
          <w:tcPr>
            <w:tcW w:w="1246" w:type="dxa"/>
            <w:vAlign w:val="center"/>
            <w:hideMark/>
          </w:tcPr>
          <w:p w14:paraId="160FE2C1" w14:textId="77777777" w:rsidR="001B39BA" w:rsidRPr="001B39BA" w:rsidRDefault="001B39BA" w:rsidP="00AF4E8C">
            <w:pPr>
              <w:pStyle w:val="NoSpacing"/>
              <w:rPr>
                <w:lang w:val="en-SG"/>
              </w:rPr>
            </w:pPr>
            <w:r w:rsidRPr="001B39BA">
              <w:rPr>
                <w:lang w:val="en-SG"/>
              </w:rPr>
              <w:t>0.051</w:t>
            </w:r>
          </w:p>
        </w:tc>
        <w:tc>
          <w:tcPr>
            <w:tcW w:w="1388" w:type="dxa"/>
            <w:vAlign w:val="center"/>
            <w:hideMark/>
          </w:tcPr>
          <w:p w14:paraId="7A7AB41E" w14:textId="77777777" w:rsidR="001B39BA" w:rsidRPr="001B39BA" w:rsidRDefault="001B39BA" w:rsidP="00AF4E8C">
            <w:pPr>
              <w:pStyle w:val="NoSpacing"/>
              <w:rPr>
                <w:lang w:val="en-SG"/>
              </w:rPr>
            </w:pPr>
            <w:r w:rsidRPr="001B39BA">
              <w:rPr>
                <w:lang w:val="en-SG"/>
              </w:rPr>
              <w:t>.004</w:t>
            </w:r>
          </w:p>
        </w:tc>
        <w:tc>
          <w:tcPr>
            <w:tcW w:w="2223" w:type="dxa"/>
            <w:vAlign w:val="center"/>
            <w:hideMark/>
          </w:tcPr>
          <w:p w14:paraId="505CD0F8" w14:textId="77777777" w:rsidR="001B39BA" w:rsidRPr="001B39BA" w:rsidRDefault="001B39BA" w:rsidP="00AF4E8C">
            <w:pPr>
              <w:pStyle w:val="NoSpacing"/>
              <w:rPr>
                <w:lang w:val="en-SG"/>
              </w:rPr>
            </w:pPr>
            <w:r w:rsidRPr="001B39BA">
              <w:rPr>
                <w:lang w:val="en-SG"/>
              </w:rPr>
              <w:t>Low variability</w:t>
            </w:r>
          </w:p>
        </w:tc>
      </w:tr>
      <w:tr w:rsidR="001B39BA" w:rsidRPr="001B39BA" w14:paraId="20B4F351" w14:textId="77777777" w:rsidTr="005703E4">
        <w:trPr>
          <w:tblCellSpacing w:w="15" w:type="dxa"/>
        </w:trPr>
        <w:tc>
          <w:tcPr>
            <w:tcW w:w="3357" w:type="dxa"/>
            <w:tcBorders>
              <w:bottom w:val="single" w:sz="4" w:space="0" w:color="auto"/>
            </w:tcBorders>
            <w:vAlign w:val="center"/>
            <w:hideMark/>
          </w:tcPr>
          <w:p w14:paraId="3645D49E" w14:textId="77777777" w:rsidR="001B39BA" w:rsidRPr="001B39BA" w:rsidRDefault="001B39BA" w:rsidP="00AF4E8C">
            <w:pPr>
              <w:pStyle w:val="NoSpacing"/>
              <w:rPr>
                <w:lang w:val="en-SG"/>
              </w:rPr>
            </w:pPr>
            <w:r w:rsidRPr="001B39BA">
              <w:rPr>
                <w:lang w:val="en-SG"/>
              </w:rPr>
              <w:t>Compassion Fatigue</w:t>
            </w:r>
          </w:p>
        </w:tc>
        <w:tc>
          <w:tcPr>
            <w:tcW w:w="1246" w:type="dxa"/>
            <w:tcBorders>
              <w:bottom w:val="single" w:sz="4" w:space="0" w:color="auto"/>
            </w:tcBorders>
            <w:vAlign w:val="center"/>
            <w:hideMark/>
          </w:tcPr>
          <w:p w14:paraId="2FFA93EE" w14:textId="77777777" w:rsidR="001B39BA" w:rsidRPr="001B39BA" w:rsidRDefault="001B39BA" w:rsidP="00AF4E8C">
            <w:pPr>
              <w:pStyle w:val="NoSpacing"/>
              <w:rPr>
                <w:lang w:val="en-SG"/>
              </w:rPr>
            </w:pPr>
            <w:r w:rsidRPr="001B39BA">
              <w:rPr>
                <w:lang w:val="en-SG"/>
              </w:rPr>
              <w:t>1.634</w:t>
            </w:r>
          </w:p>
        </w:tc>
        <w:tc>
          <w:tcPr>
            <w:tcW w:w="1388" w:type="dxa"/>
            <w:tcBorders>
              <w:bottom w:val="single" w:sz="4" w:space="0" w:color="auto"/>
            </w:tcBorders>
            <w:vAlign w:val="center"/>
            <w:hideMark/>
          </w:tcPr>
          <w:p w14:paraId="3B09E5D5" w14:textId="77777777" w:rsidR="001B39BA" w:rsidRPr="001B39BA" w:rsidRDefault="001B39BA" w:rsidP="00AF4E8C">
            <w:pPr>
              <w:pStyle w:val="NoSpacing"/>
              <w:rPr>
                <w:lang w:val="en-SG"/>
              </w:rPr>
            </w:pPr>
            <w:r w:rsidRPr="001B39BA">
              <w:rPr>
                <w:lang w:val="en-SG"/>
              </w:rPr>
              <w:t>&lt; .001</w:t>
            </w:r>
          </w:p>
        </w:tc>
        <w:tc>
          <w:tcPr>
            <w:tcW w:w="2223" w:type="dxa"/>
            <w:tcBorders>
              <w:bottom w:val="single" w:sz="4" w:space="0" w:color="auto"/>
            </w:tcBorders>
            <w:vAlign w:val="center"/>
            <w:hideMark/>
          </w:tcPr>
          <w:p w14:paraId="05C2E417" w14:textId="77777777" w:rsidR="001B39BA" w:rsidRPr="001B39BA" w:rsidRDefault="001B39BA" w:rsidP="00AF4E8C">
            <w:pPr>
              <w:pStyle w:val="NoSpacing"/>
              <w:rPr>
                <w:lang w:val="en-SG"/>
              </w:rPr>
            </w:pPr>
            <w:r w:rsidRPr="001B39BA">
              <w:rPr>
                <w:lang w:val="en-SG"/>
              </w:rPr>
              <w:t>High variability</w:t>
            </w:r>
          </w:p>
        </w:tc>
      </w:tr>
    </w:tbl>
    <w:p w14:paraId="58E71D4D" w14:textId="77777777" w:rsidR="001B39BA" w:rsidRPr="001B39BA" w:rsidRDefault="001B39BA" w:rsidP="001B39BA">
      <w:pPr>
        <w:widowControl/>
        <w:autoSpaceDE/>
        <w:autoSpaceDN/>
        <w:spacing w:line="360" w:lineRule="auto"/>
        <w:jc w:val="both"/>
        <w:rPr>
          <w:rFonts w:ascii="Arial" w:eastAsiaTheme="minorHAnsi" w:hAnsi="Arial" w:cs="Arial"/>
          <w:lang w:val="en-SG" w:eastAsia="en-SG"/>
          <w14:ligatures w14:val="standardContextual"/>
        </w:rPr>
      </w:pPr>
    </w:p>
    <w:p w14:paraId="355BF9A0" w14:textId="77777777" w:rsidR="001B39BA" w:rsidRPr="001B39BA" w:rsidRDefault="001B39BA" w:rsidP="001B39BA">
      <w:pPr>
        <w:widowControl/>
        <w:autoSpaceDE/>
        <w:autoSpaceDN/>
        <w:spacing w:line="360" w:lineRule="auto"/>
        <w:jc w:val="both"/>
        <w:rPr>
          <w:rFonts w:ascii="Arial" w:eastAsiaTheme="minorHAnsi" w:hAnsi="Arial" w:cs="Arial"/>
          <w:lang w:val="en-SG" w:eastAsia="en-SG"/>
          <w14:ligatures w14:val="standardContextual"/>
        </w:rPr>
      </w:pPr>
      <w:r w:rsidRPr="001B39BA">
        <w:rPr>
          <w:rFonts w:ascii="Arial" w:eastAsiaTheme="minorHAnsi" w:hAnsi="Arial" w:cs="Arial"/>
          <w:lang w:val="en-SG" w:eastAsia="en-SG"/>
          <w14:ligatures w14:val="standardContextual"/>
        </w:rPr>
        <w:t>C. Overall Model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14"/>
        <w:gridCol w:w="2540"/>
        <w:gridCol w:w="3686"/>
      </w:tblGrid>
      <w:tr w:rsidR="001B39BA" w:rsidRPr="001B39BA" w14:paraId="1C18309D" w14:textId="77777777" w:rsidTr="005703E4">
        <w:trPr>
          <w:tblHeader/>
          <w:tblCellSpacing w:w="15" w:type="dxa"/>
        </w:trPr>
        <w:tc>
          <w:tcPr>
            <w:tcW w:w="0" w:type="auto"/>
            <w:tcBorders>
              <w:top w:val="single" w:sz="4" w:space="0" w:color="auto"/>
              <w:bottom w:val="single" w:sz="4" w:space="0" w:color="auto"/>
            </w:tcBorders>
            <w:vAlign w:val="center"/>
            <w:hideMark/>
          </w:tcPr>
          <w:p w14:paraId="2484431F" w14:textId="77777777" w:rsidR="001B39BA" w:rsidRPr="001B39BA" w:rsidRDefault="001B39BA" w:rsidP="00AF4E8C">
            <w:pPr>
              <w:pStyle w:val="NoSpacing"/>
              <w:rPr>
                <w:lang w:val="en-SG"/>
              </w:rPr>
            </w:pPr>
            <w:r w:rsidRPr="001B39BA">
              <w:rPr>
                <w:lang w:val="en-SG"/>
              </w:rPr>
              <w:t>Component</w:t>
            </w:r>
          </w:p>
        </w:tc>
        <w:tc>
          <w:tcPr>
            <w:tcW w:w="0" w:type="auto"/>
            <w:tcBorders>
              <w:top w:val="single" w:sz="4" w:space="0" w:color="auto"/>
              <w:bottom w:val="single" w:sz="4" w:space="0" w:color="auto"/>
            </w:tcBorders>
            <w:vAlign w:val="center"/>
            <w:hideMark/>
          </w:tcPr>
          <w:p w14:paraId="010FC77E" w14:textId="77777777" w:rsidR="001B39BA" w:rsidRPr="001B39BA" w:rsidRDefault="001B39BA" w:rsidP="00AF4E8C">
            <w:pPr>
              <w:pStyle w:val="NoSpacing"/>
              <w:rPr>
                <w:lang w:val="en-SG"/>
              </w:rPr>
            </w:pPr>
            <w:r w:rsidRPr="001B39BA">
              <w:rPr>
                <w:lang w:val="en-SG"/>
              </w:rPr>
              <w:t>Key Finding</w:t>
            </w:r>
          </w:p>
        </w:tc>
        <w:tc>
          <w:tcPr>
            <w:tcW w:w="0" w:type="auto"/>
            <w:tcBorders>
              <w:top w:val="single" w:sz="4" w:space="0" w:color="auto"/>
              <w:bottom w:val="single" w:sz="4" w:space="0" w:color="auto"/>
            </w:tcBorders>
            <w:vAlign w:val="center"/>
            <w:hideMark/>
          </w:tcPr>
          <w:p w14:paraId="5564EE56" w14:textId="77777777" w:rsidR="001B39BA" w:rsidRPr="001B39BA" w:rsidRDefault="001B39BA" w:rsidP="00AF4E8C">
            <w:pPr>
              <w:pStyle w:val="NoSpacing"/>
              <w:rPr>
                <w:lang w:val="en-SG"/>
              </w:rPr>
            </w:pPr>
            <w:r w:rsidRPr="001B39BA">
              <w:rPr>
                <w:lang w:val="en-SG"/>
              </w:rPr>
              <w:t>Interpretation</w:t>
            </w:r>
          </w:p>
        </w:tc>
      </w:tr>
      <w:tr w:rsidR="001B39BA" w:rsidRPr="001B39BA" w14:paraId="537EC2FD" w14:textId="77777777" w:rsidTr="005703E4">
        <w:trPr>
          <w:tblCellSpacing w:w="15" w:type="dxa"/>
        </w:trPr>
        <w:tc>
          <w:tcPr>
            <w:tcW w:w="0" w:type="auto"/>
            <w:vAlign w:val="center"/>
            <w:hideMark/>
          </w:tcPr>
          <w:p w14:paraId="670DAE08" w14:textId="77777777" w:rsidR="001B39BA" w:rsidRPr="001B39BA" w:rsidRDefault="001B39BA" w:rsidP="00AF4E8C">
            <w:pPr>
              <w:pStyle w:val="NoSpacing"/>
              <w:rPr>
                <w:lang w:val="en-SG"/>
              </w:rPr>
            </w:pPr>
            <w:r w:rsidRPr="001B39BA">
              <w:rPr>
                <w:lang w:val="en-SG"/>
              </w:rPr>
              <w:t>Strongest Predictor</w:t>
            </w:r>
          </w:p>
        </w:tc>
        <w:tc>
          <w:tcPr>
            <w:tcW w:w="0" w:type="auto"/>
            <w:vAlign w:val="center"/>
            <w:hideMark/>
          </w:tcPr>
          <w:p w14:paraId="12DA4F30" w14:textId="77777777" w:rsidR="001B39BA" w:rsidRPr="001B39BA" w:rsidRDefault="001B39BA" w:rsidP="00AF4E8C">
            <w:pPr>
              <w:pStyle w:val="NoSpacing"/>
              <w:rPr>
                <w:lang w:val="en-SG"/>
              </w:rPr>
            </w:pPr>
          </w:p>
          <w:p w14:paraId="5C1C9597" w14:textId="77777777" w:rsidR="001B39BA" w:rsidRPr="001B39BA" w:rsidRDefault="001B39BA" w:rsidP="00AF4E8C">
            <w:pPr>
              <w:pStyle w:val="NoSpacing"/>
              <w:rPr>
                <w:lang w:val="en-SG"/>
              </w:rPr>
            </w:pPr>
            <w:r w:rsidRPr="001B39BA">
              <w:rPr>
                <w:lang w:val="en-SG"/>
              </w:rPr>
              <w:t>Work-Specific Characteristics</w:t>
            </w:r>
          </w:p>
        </w:tc>
        <w:tc>
          <w:tcPr>
            <w:tcW w:w="0" w:type="auto"/>
            <w:vAlign w:val="center"/>
            <w:hideMark/>
          </w:tcPr>
          <w:p w14:paraId="4FA3A1B0" w14:textId="77777777" w:rsidR="001B39BA" w:rsidRPr="001B39BA" w:rsidRDefault="001B39BA" w:rsidP="00AF4E8C">
            <w:pPr>
              <w:pStyle w:val="NoSpacing"/>
              <w:rPr>
                <w:lang w:val="en-SG"/>
              </w:rPr>
            </w:pPr>
            <w:r w:rsidRPr="001B39BA">
              <w:rPr>
                <w:lang w:val="en-SG"/>
              </w:rPr>
              <w:t>Main driver of satisfaction</w:t>
            </w:r>
          </w:p>
        </w:tc>
      </w:tr>
      <w:tr w:rsidR="001B39BA" w:rsidRPr="001B39BA" w14:paraId="631AB94F" w14:textId="77777777" w:rsidTr="005703E4">
        <w:trPr>
          <w:tblCellSpacing w:w="15" w:type="dxa"/>
        </w:trPr>
        <w:tc>
          <w:tcPr>
            <w:tcW w:w="0" w:type="auto"/>
            <w:vAlign w:val="center"/>
            <w:hideMark/>
          </w:tcPr>
          <w:p w14:paraId="410B4CE3" w14:textId="77777777" w:rsidR="001B39BA" w:rsidRPr="001B39BA" w:rsidRDefault="001B39BA" w:rsidP="00AF4E8C">
            <w:pPr>
              <w:pStyle w:val="NoSpacing"/>
              <w:rPr>
                <w:lang w:val="en-SG"/>
              </w:rPr>
            </w:pPr>
            <w:r w:rsidRPr="001B39BA">
              <w:rPr>
                <w:lang w:val="en-SG"/>
              </w:rPr>
              <w:t>Role of Compassion Fatigue</w:t>
            </w:r>
          </w:p>
        </w:tc>
        <w:tc>
          <w:tcPr>
            <w:tcW w:w="0" w:type="auto"/>
            <w:vAlign w:val="center"/>
            <w:hideMark/>
          </w:tcPr>
          <w:p w14:paraId="6991664C" w14:textId="77777777" w:rsidR="001B39BA" w:rsidRPr="001B39BA" w:rsidRDefault="001B39BA" w:rsidP="00AF4E8C">
            <w:pPr>
              <w:pStyle w:val="NoSpacing"/>
              <w:rPr>
                <w:lang w:val="en-SG"/>
              </w:rPr>
            </w:pPr>
            <w:r w:rsidRPr="001B39BA">
              <w:rPr>
                <w:lang w:val="en-SG"/>
              </w:rPr>
              <w:t>Not significant</w:t>
            </w:r>
          </w:p>
        </w:tc>
        <w:tc>
          <w:tcPr>
            <w:tcW w:w="0" w:type="auto"/>
            <w:vAlign w:val="center"/>
            <w:hideMark/>
          </w:tcPr>
          <w:p w14:paraId="0A0E568B" w14:textId="77777777" w:rsidR="001B39BA" w:rsidRPr="001B39BA" w:rsidRDefault="001B39BA" w:rsidP="00AF4E8C">
            <w:pPr>
              <w:pStyle w:val="NoSpacing"/>
              <w:rPr>
                <w:lang w:val="en-SG"/>
              </w:rPr>
            </w:pPr>
            <w:r w:rsidRPr="001B39BA">
              <w:rPr>
                <w:lang w:val="en-SG"/>
              </w:rPr>
              <w:t>Does not reduce satisfaction</w:t>
            </w:r>
          </w:p>
        </w:tc>
      </w:tr>
      <w:tr w:rsidR="001B39BA" w:rsidRPr="001B39BA" w14:paraId="0248F0A0" w14:textId="77777777" w:rsidTr="005703E4">
        <w:trPr>
          <w:tblCellSpacing w:w="15" w:type="dxa"/>
        </w:trPr>
        <w:tc>
          <w:tcPr>
            <w:tcW w:w="0" w:type="auto"/>
            <w:vAlign w:val="center"/>
            <w:hideMark/>
          </w:tcPr>
          <w:p w14:paraId="1343E8FD" w14:textId="77777777" w:rsidR="001B39BA" w:rsidRPr="001B39BA" w:rsidRDefault="001B39BA" w:rsidP="00AF4E8C">
            <w:pPr>
              <w:pStyle w:val="NoSpacing"/>
              <w:rPr>
                <w:lang w:val="en-SG"/>
              </w:rPr>
            </w:pPr>
            <w:r w:rsidRPr="001B39BA">
              <w:rPr>
                <w:lang w:val="en-SG"/>
              </w:rPr>
              <w:t>Variability</w:t>
            </w:r>
          </w:p>
        </w:tc>
        <w:tc>
          <w:tcPr>
            <w:tcW w:w="0" w:type="auto"/>
            <w:vAlign w:val="center"/>
            <w:hideMark/>
          </w:tcPr>
          <w:p w14:paraId="2F4DEADB" w14:textId="77777777" w:rsidR="001B39BA" w:rsidRPr="001B39BA" w:rsidRDefault="001B39BA" w:rsidP="00AF4E8C">
            <w:pPr>
              <w:pStyle w:val="NoSpacing"/>
              <w:rPr>
                <w:lang w:val="en-SG"/>
              </w:rPr>
            </w:pPr>
            <w:r w:rsidRPr="001B39BA">
              <w:rPr>
                <w:lang w:val="en-SG"/>
              </w:rPr>
              <w:t>Highest in fatigue</w:t>
            </w:r>
          </w:p>
        </w:tc>
        <w:tc>
          <w:tcPr>
            <w:tcW w:w="0" w:type="auto"/>
            <w:vAlign w:val="center"/>
            <w:hideMark/>
          </w:tcPr>
          <w:p w14:paraId="5B37AF32" w14:textId="77777777" w:rsidR="001B39BA" w:rsidRPr="001B39BA" w:rsidRDefault="001B39BA" w:rsidP="00AF4E8C">
            <w:pPr>
              <w:pStyle w:val="NoSpacing"/>
              <w:rPr>
                <w:lang w:val="en-SG"/>
              </w:rPr>
            </w:pPr>
            <w:r w:rsidRPr="001B39BA">
              <w:rPr>
                <w:lang w:val="en-SG"/>
              </w:rPr>
              <w:t>Guidance Counselors differ in emotional strain</w:t>
            </w:r>
          </w:p>
        </w:tc>
      </w:tr>
      <w:tr w:rsidR="001B39BA" w:rsidRPr="001B39BA" w14:paraId="419B227C" w14:textId="77777777" w:rsidTr="005703E4">
        <w:trPr>
          <w:tblCellSpacing w:w="15" w:type="dxa"/>
        </w:trPr>
        <w:tc>
          <w:tcPr>
            <w:tcW w:w="0" w:type="auto"/>
            <w:tcBorders>
              <w:bottom w:val="single" w:sz="4" w:space="0" w:color="auto"/>
            </w:tcBorders>
            <w:vAlign w:val="center"/>
            <w:hideMark/>
          </w:tcPr>
          <w:p w14:paraId="4343ED56" w14:textId="77777777" w:rsidR="001B39BA" w:rsidRPr="001B39BA" w:rsidRDefault="001B39BA" w:rsidP="00AF4E8C">
            <w:pPr>
              <w:pStyle w:val="NoSpacing"/>
              <w:rPr>
                <w:lang w:val="en-SG"/>
              </w:rPr>
            </w:pPr>
            <w:r w:rsidRPr="001B39BA">
              <w:rPr>
                <w:lang w:val="en-SG"/>
              </w:rPr>
              <w:t>Model Fit</w:t>
            </w:r>
          </w:p>
        </w:tc>
        <w:tc>
          <w:tcPr>
            <w:tcW w:w="0" w:type="auto"/>
            <w:tcBorders>
              <w:bottom w:val="single" w:sz="4" w:space="0" w:color="auto"/>
            </w:tcBorders>
            <w:vAlign w:val="center"/>
            <w:hideMark/>
          </w:tcPr>
          <w:p w14:paraId="1FF4D377" w14:textId="77777777" w:rsidR="001B39BA" w:rsidRPr="001B39BA" w:rsidRDefault="001B39BA" w:rsidP="00AF4E8C">
            <w:pPr>
              <w:pStyle w:val="NoSpacing"/>
              <w:rPr>
                <w:lang w:val="en-SG"/>
              </w:rPr>
            </w:pPr>
            <w:r w:rsidRPr="001B39BA">
              <w:rPr>
                <w:lang w:val="en-SG"/>
              </w:rPr>
              <w:t>Moderate</w:t>
            </w:r>
          </w:p>
        </w:tc>
        <w:tc>
          <w:tcPr>
            <w:tcW w:w="0" w:type="auto"/>
            <w:tcBorders>
              <w:bottom w:val="single" w:sz="4" w:space="0" w:color="auto"/>
            </w:tcBorders>
            <w:vAlign w:val="center"/>
            <w:hideMark/>
          </w:tcPr>
          <w:p w14:paraId="0E6130D5" w14:textId="77777777" w:rsidR="001B39BA" w:rsidRPr="001B39BA" w:rsidRDefault="001B39BA" w:rsidP="00AF4E8C">
            <w:pPr>
              <w:pStyle w:val="NoSpacing"/>
              <w:rPr>
                <w:lang w:val="en-SG"/>
              </w:rPr>
            </w:pPr>
            <w:r w:rsidRPr="001B39BA">
              <w:rPr>
                <w:lang w:val="en-SG"/>
              </w:rPr>
              <w:t>Acceptable for interpretation</w:t>
            </w:r>
          </w:p>
        </w:tc>
      </w:tr>
    </w:tbl>
    <w:p w14:paraId="7786D758" w14:textId="77777777" w:rsidR="001B39BA" w:rsidRPr="001B39BA" w:rsidRDefault="001B39BA" w:rsidP="001B39BA">
      <w:pPr>
        <w:widowControl/>
        <w:autoSpaceDE/>
        <w:autoSpaceDN/>
        <w:spacing w:line="360" w:lineRule="auto"/>
        <w:jc w:val="both"/>
        <w:rPr>
          <w:rFonts w:ascii="Arial" w:eastAsiaTheme="minorHAnsi" w:hAnsi="Arial" w:cs="Arial"/>
          <w:lang w:val="en-SG" w:eastAsia="en-SG"/>
          <w14:ligatures w14:val="standardContextual"/>
        </w:rPr>
      </w:pPr>
    </w:p>
    <w:p w14:paraId="0B00452E" w14:textId="77777777" w:rsidR="001B39BA" w:rsidRPr="001B39BA" w:rsidRDefault="001B39BA" w:rsidP="001B39BA">
      <w:pPr>
        <w:spacing w:line="360" w:lineRule="auto"/>
        <w:ind w:firstLine="720"/>
        <w:jc w:val="both"/>
        <w:rPr>
          <w:rFonts w:ascii="Arial" w:eastAsia="Times New Roman" w:hAnsi="Arial" w:cs="Arial"/>
          <w:lang w:val="en-SG"/>
        </w:rPr>
      </w:pPr>
      <w:r w:rsidRPr="001B39BA">
        <w:rPr>
          <w:rFonts w:ascii="Arial" w:hAnsi="Arial" w:cs="Arial"/>
        </w:rPr>
        <w:t>Table 13 presents a summary of the final structural equation model</w:t>
      </w:r>
      <w:r w:rsidRPr="001B39BA">
        <w:rPr>
          <w:rFonts w:ascii="Arial" w:hAnsi="Arial" w:cs="Arial"/>
          <w:b/>
          <w:bCs/>
        </w:rPr>
        <w:t>,</w:t>
      </w:r>
      <w:r w:rsidRPr="001B39BA">
        <w:rPr>
          <w:rFonts w:ascii="Arial" w:hAnsi="Arial" w:cs="Arial"/>
        </w:rPr>
        <w:t xml:space="preserve"> highlighting the key structural relationships, variance estimates, and overall model interpretation.</w:t>
      </w:r>
    </w:p>
    <w:p w14:paraId="246AB314" w14:textId="77777777" w:rsidR="001B39BA" w:rsidRPr="001B39BA" w:rsidRDefault="001B39BA" w:rsidP="001B39BA">
      <w:pPr>
        <w:spacing w:line="360" w:lineRule="auto"/>
        <w:jc w:val="both"/>
        <w:rPr>
          <w:rFonts w:ascii="Arial" w:hAnsi="Arial" w:cs="Arial"/>
        </w:rPr>
      </w:pPr>
      <w:r w:rsidRPr="001B39BA">
        <w:rPr>
          <w:rFonts w:ascii="Arial" w:hAnsi="Arial" w:cs="Arial"/>
        </w:rPr>
        <w:t>Regarding structural relationships, the findings indicate that work-specific characteristics have a strong, statistically significant positive effect on compassion satisfaction</w:t>
      </w:r>
      <w:r w:rsidRPr="001B39BA">
        <w:rPr>
          <w:rFonts w:ascii="Arial" w:hAnsi="Arial" w:cs="Arial"/>
          <w:b/>
          <w:bCs/>
        </w:rPr>
        <w:t xml:space="preserve"> </w:t>
      </w:r>
      <w:r w:rsidRPr="001B39BA">
        <w:rPr>
          <w:rFonts w:ascii="Arial" w:hAnsi="Arial" w:cs="Arial"/>
        </w:rPr>
        <w:t xml:space="preserve">(β = 1.219, </w:t>
      </w:r>
      <w:r w:rsidRPr="001B39BA">
        <w:rPr>
          <w:rFonts w:ascii="Arial" w:hAnsi="Arial" w:cs="Arial"/>
          <w:i/>
          <w:iCs/>
        </w:rPr>
        <w:t>p</w:t>
      </w:r>
      <w:r w:rsidRPr="001B39BA">
        <w:rPr>
          <w:rFonts w:ascii="Arial" w:hAnsi="Arial" w:cs="Arial"/>
        </w:rPr>
        <w:t xml:space="preserve"> &lt; .001). This underscores the critical role of professional competencies, such as empathic understanding, genuineness, interpersonal skills, a non-judgmental attitude, and self-compassion, in fostering guidance counselors’ sense of fulfillment. The magnitude of this effect further establishes work-specific characteristics as the primary determinant of compassion satisfaction</w:t>
      </w:r>
      <w:r w:rsidRPr="001B39BA">
        <w:rPr>
          <w:rFonts w:ascii="Arial" w:hAnsi="Arial" w:cs="Arial"/>
          <w:b/>
          <w:bCs/>
        </w:rPr>
        <w:t xml:space="preserve"> </w:t>
      </w:r>
      <w:r w:rsidRPr="001B39BA">
        <w:rPr>
          <w:rFonts w:ascii="Arial" w:hAnsi="Arial" w:cs="Arial"/>
        </w:rPr>
        <w:t>within the model.</w:t>
      </w:r>
    </w:p>
    <w:p w14:paraId="2C64D70A"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 xml:space="preserve">In contrast, compassion fatigue did not significantly predict compassion satisfaction (β = –1.324, </w:t>
      </w:r>
      <w:r w:rsidRPr="001B39BA">
        <w:rPr>
          <w:rFonts w:ascii="Arial" w:hAnsi="Arial" w:cs="Arial"/>
          <w:i/>
          <w:iCs/>
        </w:rPr>
        <w:t>p</w:t>
      </w:r>
      <w:r w:rsidRPr="001B39BA">
        <w:rPr>
          <w:rFonts w:ascii="Arial" w:hAnsi="Arial" w:cs="Arial"/>
        </w:rPr>
        <w:t xml:space="preserve"> = .702). Although the relationship is negative, it is not statistically significant, indicating that emotional exhaustion does not necessarily diminish counselors’ professional fulfillment. Similarly, compassion fatigue did not significantly influence work-specific characteristics (β = –0.002, </w:t>
      </w:r>
      <w:r w:rsidRPr="001B39BA">
        <w:rPr>
          <w:rFonts w:ascii="Arial" w:hAnsi="Arial" w:cs="Arial"/>
          <w:i/>
          <w:iCs/>
        </w:rPr>
        <w:t>p</w:t>
      </w:r>
      <w:r w:rsidRPr="001B39BA">
        <w:rPr>
          <w:rFonts w:ascii="Arial" w:hAnsi="Arial" w:cs="Arial"/>
        </w:rPr>
        <w:t xml:space="preserve"> = .704), suggesting that guidance counselors’ competencies remain relatively stable regardless of their level of fatigue.</w:t>
      </w:r>
    </w:p>
    <w:p w14:paraId="339A6D21"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 xml:space="preserve">Analysis of variance estimates further reveals differences in the distribution of the constructs. Compassion fatigue exhibited the greatest variability (variance = 1.634, p &lt; .001), indicating substantial individual differences in emotional strain. In contrast, work-specific characteristics showed moderate variability (variance = 0.161, </w:t>
      </w:r>
      <w:r w:rsidRPr="001B39BA">
        <w:rPr>
          <w:rFonts w:ascii="Arial" w:hAnsi="Arial" w:cs="Arial"/>
          <w:i/>
          <w:iCs/>
        </w:rPr>
        <w:t>p</w:t>
      </w:r>
      <w:r w:rsidRPr="001B39BA">
        <w:rPr>
          <w:rFonts w:ascii="Arial" w:hAnsi="Arial" w:cs="Arial"/>
        </w:rPr>
        <w:t xml:space="preserve"> &lt; .001), while </w:t>
      </w:r>
      <w:r w:rsidRPr="001B39BA">
        <w:rPr>
          <w:rFonts w:ascii="Arial" w:hAnsi="Arial" w:cs="Arial"/>
        </w:rPr>
        <w:lastRenderedPageBreak/>
        <w:t xml:space="preserve">compassion satisfaction demonstrated relatively low variability (variance = 0.051, </w:t>
      </w:r>
      <w:r w:rsidRPr="001B39BA">
        <w:rPr>
          <w:rFonts w:ascii="Arial" w:hAnsi="Arial" w:cs="Arial"/>
          <w:i/>
          <w:iCs/>
        </w:rPr>
        <w:t>p</w:t>
      </w:r>
      <w:r w:rsidRPr="001B39BA">
        <w:rPr>
          <w:rFonts w:ascii="Arial" w:hAnsi="Arial" w:cs="Arial"/>
        </w:rPr>
        <w:t xml:space="preserve"> = .004), suggesting more consistent levels of professional fulfillment among respondents. Taken together, the results highlight a clear pattern: work-specific characteristics play a central and consistent role in shaping compassion satisfaction, whereas compassion fatigue operates as an independent construct with no significant structural influence. This indicates that positive professional competencies are more critical in enhancing guidance counselors’ well-being than the presence of emotional strain.</w:t>
      </w:r>
    </w:p>
    <w:p w14:paraId="4659644E" w14:textId="77777777" w:rsidR="001B39BA" w:rsidRPr="001B39BA" w:rsidRDefault="001B39BA" w:rsidP="001B39BA">
      <w:pPr>
        <w:spacing w:line="360" w:lineRule="auto"/>
        <w:ind w:firstLine="720"/>
        <w:jc w:val="both"/>
        <w:rPr>
          <w:rFonts w:ascii="Arial" w:hAnsi="Arial" w:cs="Arial"/>
        </w:rPr>
      </w:pPr>
      <w:r w:rsidRPr="001B39BA">
        <w:rPr>
          <w:rFonts w:ascii="Arial" w:hAnsi="Arial" w:cs="Arial"/>
        </w:rPr>
        <w:t>Overall, the final model supports a strengths-based perspective, emphasizing that improving guidance counselors’ competencies is a more effective approach to enhancing professional fulfillment than focusing solely on reducing compassion fatigue. While compassion fatigue remains an important aspect of counselors’ experiences, its lack of significant structural influence suggests that it functions as a parallel rather than a determining factor within the model.</w:t>
      </w:r>
    </w:p>
    <w:p w14:paraId="6E69CB97" w14:textId="77777777" w:rsidR="001B39BA" w:rsidRPr="001B39BA" w:rsidRDefault="001B39BA" w:rsidP="001B39BA">
      <w:pPr>
        <w:spacing w:line="360" w:lineRule="auto"/>
        <w:ind w:firstLine="720"/>
        <w:jc w:val="both"/>
        <w:rPr>
          <w:rFonts w:ascii="Arial" w:hAnsi="Arial" w:cs="Arial"/>
        </w:rPr>
      </w:pPr>
    </w:p>
    <w:p w14:paraId="6BB45617" w14:textId="77777777" w:rsidR="001B39BA" w:rsidRPr="001B39BA" w:rsidRDefault="001B39BA" w:rsidP="001B39BA">
      <w:pPr>
        <w:widowControl/>
        <w:autoSpaceDE/>
        <w:autoSpaceDN/>
        <w:spacing w:line="360" w:lineRule="auto"/>
        <w:jc w:val="both"/>
        <w:rPr>
          <w:rFonts w:ascii="Arial" w:eastAsiaTheme="minorHAnsi" w:hAnsi="Arial" w:cs="Arial"/>
          <w:noProof/>
          <w:kern w:val="2"/>
          <w:lang w:val="en-SG"/>
          <w14:ligatures w14:val="standardContextual"/>
        </w:rPr>
      </w:pPr>
      <w:r w:rsidRPr="001B39BA">
        <w:rPr>
          <w:rFonts w:ascii="Arial" w:eastAsiaTheme="minorHAnsi" w:hAnsi="Arial" w:cs="Arial"/>
          <w:noProof/>
          <w:kern w:val="2"/>
          <w:lang w:val="en-SG"/>
          <w14:ligatures w14:val="standardContextual"/>
        </w:rPr>
        <w:drawing>
          <wp:inline distT="0" distB="0" distL="0" distR="0" wp14:anchorId="010265DB" wp14:editId="540A3702">
            <wp:extent cx="5273079" cy="2829827"/>
            <wp:effectExtent l="0" t="0" r="3810" b="8890"/>
            <wp:docPr id="1122328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28637"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t="12642" b="7892"/>
                    <a:stretch>
                      <a:fillRect/>
                    </a:stretch>
                  </pic:blipFill>
                  <pic:spPr bwMode="auto">
                    <a:xfrm>
                      <a:off x="0" y="0"/>
                      <a:ext cx="5293558" cy="2840817"/>
                    </a:xfrm>
                    <a:prstGeom prst="rect">
                      <a:avLst/>
                    </a:prstGeom>
                    <a:noFill/>
                    <a:ln>
                      <a:noFill/>
                    </a:ln>
                    <a:extLst>
                      <a:ext uri="{53640926-AAD7-44D8-BBD7-CCE9431645EC}">
                        <a14:shadowObscured xmlns:a14="http://schemas.microsoft.com/office/drawing/2010/main"/>
                      </a:ext>
                    </a:extLst>
                  </pic:spPr>
                </pic:pic>
              </a:graphicData>
            </a:graphic>
          </wp:inline>
        </w:drawing>
      </w:r>
    </w:p>
    <w:p w14:paraId="0057A27A"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p>
    <w:p w14:paraId="3D00C802" w14:textId="77777777" w:rsidR="001B39BA" w:rsidRPr="001B39BA" w:rsidRDefault="001B39BA" w:rsidP="001B39BA">
      <w:pPr>
        <w:widowControl/>
        <w:autoSpaceDE/>
        <w:autoSpaceDN/>
        <w:spacing w:line="360" w:lineRule="auto"/>
        <w:jc w:val="center"/>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Figure 6. Summary of the Final Structural Equation Model</w:t>
      </w:r>
    </w:p>
    <w:p w14:paraId="6205DC94"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15EBF88E"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Figure 6 presents the Summary of the Final Structural Equation Model illustrating the relationships among work-specific characteristics, compassion fatigue, and compassion satisfaction among guidance counselors. At the measurement level, work-specific characteristics are modeled as a latent construct reflected by five observed indicators: empathic understanding, genuineness, non-judgmental attitude, interpersonal </w:t>
      </w:r>
      <w:r w:rsidRPr="001B39BA">
        <w:rPr>
          <w:rFonts w:ascii="Arial" w:eastAsiaTheme="minorHAnsi" w:hAnsi="Arial" w:cs="Arial"/>
          <w:kern w:val="2"/>
          <w:lang w:val="en-SG"/>
          <w14:ligatures w14:val="standardContextual"/>
        </w:rPr>
        <w:lastRenderedPageBreak/>
        <w:t>skills, and self-compassion. The standardized loadings shown in the diagram indicate that all indicators contribute meaningfully to the construct, confirming that these competencies collectively represent the professional characteristics of guidance counselors.</w:t>
      </w:r>
    </w:p>
    <w:p w14:paraId="18AB0A73"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At the structural level, the model reveals a strong and statistically significant direct effect of work-specific characteristics on compassion satisfaction (β = 1.219, p &lt; .001). This indicates that higher levels of professional competencies are associated with greater fulfillment among guidance counselors. In practical terms, guidance counselors who are empathic, genuine, non-judgmental, skilled in interpersonal interaction, and self-compassionate are more likely to find their work rewarding and meaningful.</w:t>
      </w:r>
    </w:p>
    <w:p w14:paraId="74BC8D5B"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In contrast, the paths involving compassion fatigue are not statistically significant. Specifically, compassion fatigue does not significantly predict compassion satisfaction (β = –1.324, p = .702), nor does it significantly influence work-specific characteristics (β = –0.002, p = .704). These non-significant relationships are represented by dashed arrows in the diagram, indicating that emotional exhaustion does not have a direct or reliable effect on either guidance counselors’ competencies or their level of satisfaction.</w:t>
      </w:r>
    </w:p>
    <w:p w14:paraId="0087C304"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Furthermore, the absence of a significant indirect pathway indicates that compassion fatigue does not mediate the relationship between work-specific characteristics and compassion satisfaction. In simple terms, the positive influence of guidance counselors’ skills on their satisfaction occurs directly and is not affected by compassion fatigue.</w:t>
      </w:r>
    </w:p>
    <w:p w14:paraId="735113BE"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Taken together, the model highlights a clear pattern: work-specific characteristics are the primary determinants of compassion satisfaction, while compassion fatigue is an independent construct with no significant structural role. This supports a strengths-based perspective, suggesting that enhancing guidance counselors’ competencies is more impactful in promoting professional well-being than focusing solely on reducing emotional strain. Additionally, acknowledge that the model fit indices (CFI = 0.751, TLI = 0.734, RMSEA = 0.107, SRMR = 0.097) suggest moderate fit, prompting further discussion of potential model improvements or additional variables to capture the complexities of guidance counselor well-being better.</w:t>
      </w:r>
    </w:p>
    <w:p w14:paraId="086F4F12" w14:textId="77777777" w:rsidR="001B39BA" w:rsidRPr="001B39BA" w:rsidRDefault="001B39BA" w:rsidP="001B39BA">
      <w:pPr>
        <w:spacing w:line="360" w:lineRule="auto"/>
        <w:ind w:firstLine="720"/>
        <w:rPr>
          <w:rFonts w:ascii="Arial" w:hAnsi="Arial" w:cs="Arial"/>
        </w:rPr>
      </w:pPr>
      <w:r w:rsidRPr="001B39BA">
        <w:rPr>
          <w:rFonts w:ascii="Arial" w:hAnsi="Arial" w:cs="Arial"/>
        </w:rPr>
        <w:t xml:space="preserve">In conclusion, the study found that guidance counselors’ work-specific characteristics, compassion satisfaction, and compassion fatigue are related. The study used a combination of descriptive statistics, regression analyses, mediation analyses, and Structural Equation Modeling (SEM). The findings consistently showed that guidance counselors possess very high levels of work-specific characteristics, along with </w:t>
      </w:r>
      <w:r w:rsidRPr="001B39BA">
        <w:rPr>
          <w:rFonts w:ascii="Arial" w:hAnsi="Arial" w:cs="Arial"/>
        </w:rPr>
        <w:lastRenderedPageBreak/>
        <w:t>high compassion satisfaction and moderate compassion fatigue, indicating strong professional competencies and manageable emotional demands. Using the enter method in multiple regression</w:t>
      </w:r>
      <w:r w:rsidRPr="001B39BA">
        <w:rPr>
          <w:rFonts w:ascii="Arial" w:hAnsi="Arial" w:cs="Arial"/>
          <w:b/>
          <w:bCs/>
        </w:rPr>
        <w:t>,</w:t>
      </w:r>
      <w:r w:rsidRPr="001B39BA">
        <w:rPr>
          <w:rFonts w:ascii="Arial" w:hAnsi="Arial" w:cs="Arial"/>
        </w:rPr>
        <w:t xml:space="preserve"> work-specific characteristics were found to significantly and positively predict compassion satisfaction, with interpersonal skills and genuineness emerging as the most influential dimensions. </w:t>
      </w:r>
    </w:p>
    <w:p w14:paraId="31392BE6" w14:textId="77777777" w:rsidR="001B39BA" w:rsidRPr="001B39BA" w:rsidRDefault="001B39BA" w:rsidP="001B39BA">
      <w:pPr>
        <w:spacing w:line="360" w:lineRule="auto"/>
        <w:ind w:firstLine="720"/>
        <w:rPr>
          <w:rFonts w:ascii="Arial" w:eastAsia="Times New Roman" w:hAnsi="Arial" w:cs="Arial"/>
          <w:lang w:val="en-SG"/>
        </w:rPr>
      </w:pPr>
      <w:r w:rsidRPr="001B39BA">
        <w:rPr>
          <w:rFonts w:ascii="Arial" w:hAnsi="Arial" w:cs="Arial"/>
        </w:rPr>
        <w:t>In contrast, these characteristics did not significantly predict compassion fatigue, suggesting that emotional exhaustion may be influenced more by contextual factors than by individual competencies. Further analyses revealed that burnout negatively predicts compassion satisfaction, whereas secondary traumatic stress does not. Mediation and moderation tests likewise yielded non-significant results, indicating that compassion fatigue neither mediates nor alters the relationship between work-specific characteristics and compassion satisfaction. Hence, z-values were used in the mediation analysis, while t-values were used in the regression analyses due to methodological differences.</w:t>
      </w:r>
    </w:p>
    <w:p w14:paraId="7955DF88" w14:textId="77777777" w:rsidR="001B39BA" w:rsidRPr="001B39BA" w:rsidRDefault="001B39BA" w:rsidP="001B39BA">
      <w:pPr>
        <w:spacing w:line="360" w:lineRule="auto"/>
        <w:ind w:firstLine="720"/>
        <w:rPr>
          <w:rFonts w:ascii="Arial" w:eastAsiaTheme="minorHAnsi" w:hAnsi="Arial" w:cs="Arial"/>
          <w:kern w:val="2"/>
          <w:lang w:val="en-SG"/>
          <w14:ligatures w14:val="standardContextual"/>
        </w:rPr>
      </w:pPr>
      <w:r w:rsidRPr="001B39BA">
        <w:rPr>
          <w:rFonts w:ascii="Arial" w:hAnsi="Arial" w:cs="Arial"/>
        </w:rPr>
        <w:t>The SEM results further substantiated these patterns by demonstrating a strong, significant direct effect of work-specific characteristics on compassion satisfaction. In contrast, compassion fatigue did not significantly influence either satisfaction or professional competencies. Despite the significance of these structural relationships, the overall model exhibited marginal to poor fit</w:t>
      </w:r>
      <w:r w:rsidRPr="001B39BA">
        <w:rPr>
          <w:rFonts w:ascii="Arial" w:hAnsi="Arial" w:cs="Arial"/>
          <w:b/>
          <w:bCs/>
        </w:rPr>
        <w:t>,</w:t>
      </w:r>
      <w:r w:rsidRPr="001B39BA">
        <w:rPr>
          <w:rFonts w:ascii="Arial" w:hAnsi="Arial" w:cs="Arial"/>
        </w:rPr>
        <w:t xml:space="preserve"> indicating that the hypothesized model does not adequately represent the complexity of the observed data. Although dimensions were analyzed individually, the constructs are theoretically overlapping and were treated as a composite in SEM Across all analyses, key statistical assumptions, including linearity, normality, independence, and absence of multicollinearity, were examined and satisfied, supporting the validity of the procedures employed. However, additional SEM diagnostics are recommended to refine the model further. Overall, the synthesis underscores that work-specific characteristics are the primary drivers of professional fulfillment, independent of compassion fatigue, while also highlighting the need to incorporate broader contextual variables to improve model adequacy and explanatory power. </w:t>
      </w:r>
    </w:p>
    <w:p w14:paraId="6E6D6176" w14:textId="77777777" w:rsidR="001B39BA" w:rsidRPr="001B39BA" w:rsidRDefault="001B39BA" w:rsidP="001B39BA">
      <w:pPr>
        <w:widowControl/>
        <w:autoSpaceDE/>
        <w:autoSpaceDN/>
        <w:spacing w:after="160" w:line="360" w:lineRule="auto"/>
        <w:jc w:val="both"/>
        <w:rPr>
          <w:rFonts w:ascii="Arial" w:eastAsiaTheme="minorHAnsi" w:hAnsi="Arial" w:cs="Arial"/>
          <w:kern w:val="2"/>
          <w:lang w:val="en-SG"/>
          <w14:ligatures w14:val="standardContextual"/>
        </w:rPr>
      </w:pPr>
    </w:p>
    <w:p w14:paraId="7540CBD9" w14:textId="77777777" w:rsidR="001B39BA" w:rsidRPr="001B39BA" w:rsidRDefault="001B39BA" w:rsidP="001B39BA">
      <w:pPr>
        <w:widowControl/>
        <w:autoSpaceDE/>
        <w:autoSpaceDN/>
        <w:spacing w:after="160" w:line="360" w:lineRule="auto"/>
        <w:jc w:val="both"/>
        <w:rPr>
          <w:rFonts w:ascii="Arial" w:eastAsiaTheme="minorHAnsi" w:hAnsi="Arial" w:cs="Arial"/>
          <w:kern w:val="2"/>
          <w:lang w:val="en-SG"/>
          <w14:ligatures w14:val="standardContextual"/>
        </w:rPr>
      </w:pPr>
    </w:p>
    <w:p w14:paraId="51D937E5" w14:textId="77777777" w:rsidR="001B39BA" w:rsidRPr="001B39BA" w:rsidRDefault="001B39BA" w:rsidP="001B39BA">
      <w:pPr>
        <w:widowControl/>
        <w:autoSpaceDE/>
        <w:autoSpaceDN/>
        <w:spacing w:after="160" w:line="360" w:lineRule="auto"/>
        <w:jc w:val="both"/>
        <w:rPr>
          <w:rFonts w:ascii="Arial" w:eastAsiaTheme="minorHAnsi" w:hAnsi="Arial" w:cs="Arial"/>
          <w:kern w:val="2"/>
          <w:lang w:val="en-SG"/>
          <w14:ligatures w14:val="standardContextual"/>
        </w:rPr>
      </w:pPr>
    </w:p>
    <w:p w14:paraId="154233F8" w14:textId="77777777" w:rsidR="001B39BA" w:rsidRPr="001B39BA" w:rsidRDefault="001B39BA" w:rsidP="001B39BA">
      <w:pPr>
        <w:widowControl/>
        <w:autoSpaceDE/>
        <w:autoSpaceDN/>
        <w:spacing w:after="160" w:line="360" w:lineRule="auto"/>
        <w:jc w:val="both"/>
        <w:rPr>
          <w:rFonts w:ascii="Arial" w:eastAsiaTheme="minorHAnsi" w:hAnsi="Arial" w:cs="Arial"/>
          <w:kern w:val="2"/>
          <w:lang w:val="en-SG"/>
          <w14:ligatures w14:val="standardContextual"/>
        </w:rPr>
      </w:pPr>
    </w:p>
    <w:p w14:paraId="597CA251" w14:textId="77777777" w:rsidR="001B39BA" w:rsidRPr="001B39BA" w:rsidRDefault="001B39BA" w:rsidP="001B39BA">
      <w:pPr>
        <w:widowControl/>
        <w:autoSpaceDE/>
        <w:autoSpaceDN/>
        <w:spacing w:after="160" w:line="360" w:lineRule="auto"/>
        <w:jc w:val="both"/>
        <w:rPr>
          <w:rFonts w:ascii="Arial" w:eastAsiaTheme="minorHAnsi" w:hAnsi="Arial" w:cs="Arial"/>
          <w:b/>
          <w:bCs/>
          <w:kern w:val="2"/>
          <w:lang w:val="en-SG"/>
          <w14:ligatures w14:val="standardContextual"/>
        </w:rPr>
      </w:pPr>
      <w:r w:rsidRPr="001B39BA">
        <w:rPr>
          <w:rFonts w:ascii="Arial" w:eastAsiaTheme="minorHAnsi" w:hAnsi="Arial" w:cs="Arial"/>
          <w:b/>
          <w:bCs/>
          <w:kern w:val="2"/>
          <w:lang w:val="en-SG"/>
          <w14:ligatures w14:val="standardContextual"/>
        </w:rPr>
        <w:lastRenderedPageBreak/>
        <w:t>Discussion</w:t>
      </w:r>
    </w:p>
    <w:p w14:paraId="4C7345C8"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hAnsi="Arial" w:cs="Arial"/>
        </w:rPr>
        <w:t>This section presents the interpretation of the results in relation to the study’s statement of the problem, particularly in examining how work-specific characteristics influence the professional quality of life of guidance counselors. Interpreted through the lens of Conservation of Resources Theory, Compassion Fatigue Theory, and the Professional Quality of Life Model, the findings emphasize the need to strengthen both interpersonal effectiveness and self-regulatory practices to sustain resilience, well-being, and long-term professional functioning among guidance counselors.</w:t>
      </w:r>
    </w:p>
    <w:p w14:paraId="7D48E25E" w14:textId="77777777" w:rsidR="001B39BA" w:rsidRPr="001B39BA" w:rsidRDefault="001B39BA" w:rsidP="001B39BA">
      <w:pPr>
        <w:spacing w:before="126" w:line="360" w:lineRule="auto"/>
        <w:jc w:val="both"/>
        <w:rPr>
          <w:rFonts w:ascii="Arial" w:hAnsi="Arial" w:cs="Arial"/>
          <w:iCs/>
        </w:rPr>
      </w:pPr>
      <w:r w:rsidRPr="001B39BA">
        <w:rPr>
          <w:rFonts w:ascii="Arial" w:hAnsi="Arial" w:cs="Arial"/>
          <w:iCs/>
        </w:rPr>
        <w:t>Level</w:t>
      </w:r>
      <w:r w:rsidRPr="001B39BA">
        <w:rPr>
          <w:rFonts w:ascii="Arial" w:hAnsi="Arial" w:cs="Arial"/>
          <w:iCs/>
          <w:spacing w:val="-6"/>
        </w:rPr>
        <w:t xml:space="preserve"> </w:t>
      </w:r>
      <w:r w:rsidRPr="001B39BA">
        <w:rPr>
          <w:rFonts w:ascii="Arial" w:hAnsi="Arial" w:cs="Arial"/>
          <w:iCs/>
        </w:rPr>
        <w:t>of</w:t>
      </w:r>
      <w:r w:rsidRPr="001B39BA">
        <w:rPr>
          <w:rFonts w:ascii="Arial" w:hAnsi="Arial" w:cs="Arial"/>
          <w:iCs/>
          <w:spacing w:val="-8"/>
        </w:rPr>
        <w:t xml:space="preserve"> </w:t>
      </w:r>
      <w:r w:rsidRPr="001B39BA">
        <w:rPr>
          <w:rFonts w:ascii="Arial" w:hAnsi="Arial" w:cs="Arial"/>
          <w:iCs/>
        </w:rPr>
        <w:t>Guidance</w:t>
      </w:r>
      <w:r w:rsidRPr="001B39BA">
        <w:rPr>
          <w:rFonts w:ascii="Arial" w:hAnsi="Arial" w:cs="Arial"/>
          <w:iCs/>
          <w:spacing w:val="-4"/>
        </w:rPr>
        <w:t xml:space="preserve"> </w:t>
      </w:r>
      <w:r w:rsidRPr="001B39BA">
        <w:rPr>
          <w:rFonts w:ascii="Arial" w:hAnsi="Arial" w:cs="Arial"/>
          <w:iCs/>
        </w:rPr>
        <w:t>Counselors'</w:t>
      </w:r>
      <w:r w:rsidRPr="001B39BA">
        <w:rPr>
          <w:rFonts w:ascii="Arial" w:hAnsi="Arial" w:cs="Arial"/>
          <w:iCs/>
          <w:spacing w:val="-8"/>
        </w:rPr>
        <w:t xml:space="preserve"> </w:t>
      </w:r>
      <w:r w:rsidRPr="001B39BA">
        <w:rPr>
          <w:rFonts w:ascii="Arial" w:hAnsi="Arial" w:cs="Arial"/>
          <w:iCs/>
        </w:rPr>
        <w:t>Work-Specific Characteristics</w:t>
      </w:r>
    </w:p>
    <w:p w14:paraId="44A4BA4E"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Work-specific characteristics refer to the personal and professional qualities that shape how guidance counselors interact with clients and manage the emotional demands of their work. These include relational skills such as empathy (the ability to understand others), interpersonal skills (effective communication), and a non-judgmental attitude (being open and accepting), as well as intrapersonal qualities such as genuineness (being authentic) and self-compassion (being kind to oneself during stress). Together, these qualities support both effective counseling and the guidance counselor's well-being (Elliott et al., 2023a; Neff, 2022; Norcross &amp; Lambert, 2019).</w:t>
      </w:r>
    </w:p>
    <w:p w14:paraId="7E8C11FB"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Using a multidimensional approach, this study examined five domains of these characteristics to provide a comprehensive view of guidance counselors’ competencies. The findings show that guidance counselors demonstrate a very high level of work-specific characteristics. In simple terms, this means that guidance counselors are not only meeting professional expectations but are performing at a level that reflects strong readiness for effective counseling practice. This result is consistent with the Job Demands–Resources framework, which explains that personal strengths and skills (referred to as “personal resources”) improve performance and help individuals cope with work-related stress (Bakker &amp; Demerouti, 2021). It also aligns with national expectations for guidance services set by the Commission on Higher Education and the Department of Education.</w:t>
      </w:r>
    </w:p>
    <w:p w14:paraId="5E9ACD9B"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However, having very high competencies does not guarantee perfect </w:t>
      </w:r>
      <w:r w:rsidRPr="001B39BA">
        <w:rPr>
          <w:rFonts w:ascii="Arial" w:hAnsi="Arial" w:cs="Arial"/>
        </w:rPr>
        <w:t>effectiveness as a guidance counselor</w:t>
      </w:r>
      <w:r w:rsidRPr="001B39BA">
        <w:rPr>
          <w:rFonts w:ascii="Arial" w:eastAsiaTheme="minorHAnsi" w:hAnsi="Arial" w:cs="Arial"/>
          <w:kern w:val="2"/>
          <w:lang w:val="en-SG"/>
          <w14:ligatures w14:val="standardContextual"/>
        </w:rPr>
        <w:t xml:space="preserve">. The results should indicate near-optimal performance rather than complete or flawless functioning. In the Philippine context, particularly in Mindanao, external challenges such as high counselor-to-student ratios, limited staffing, and unequal access to professional resources can affect </w:t>
      </w:r>
      <w:r w:rsidRPr="001B39BA">
        <w:rPr>
          <w:rFonts w:ascii="Arial" w:hAnsi="Arial" w:cs="Arial"/>
        </w:rPr>
        <w:t xml:space="preserve">guidance </w:t>
      </w:r>
      <w:r w:rsidRPr="001B39BA">
        <w:rPr>
          <w:rFonts w:ascii="Arial" w:eastAsiaTheme="minorHAnsi" w:hAnsi="Arial" w:cs="Arial"/>
          <w:kern w:val="2"/>
          <w:lang w:val="en-SG"/>
          <w14:ligatures w14:val="standardContextual"/>
        </w:rPr>
        <w:t xml:space="preserve">counselors' effectiveness (Jimenez et al., 2018; Cordova Jr. et al., 2023). Reports from the Department of Education also </w:t>
      </w:r>
      <w:r w:rsidRPr="001B39BA">
        <w:rPr>
          <w:rFonts w:ascii="Arial" w:eastAsiaTheme="minorHAnsi" w:hAnsi="Arial" w:cs="Arial"/>
          <w:kern w:val="2"/>
          <w:lang w:val="en-SG"/>
          <w14:ligatures w14:val="standardContextual"/>
        </w:rPr>
        <w:lastRenderedPageBreak/>
        <w:t>highlight shortages in guidance personnel, which increase workload demands. This suggests that guidance counselor effectiveness is shaped not only by personal abilities but also by the conditions in which guidance counselors work. Hence, even highly skilled guidance counselors may struggle if systemic support is lacking (Bakker &amp; Demerouti, 2020; Hirschi, 2020).</w:t>
      </w:r>
    </w:p>
    <w:p w14:paraId="73CEA439"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A closer look at the results shows that relational competencies are the strongest area of guidance counselors’ professional functioning. Non-judgmental attitude, interpersonal skills, and empathic understanding received the highest ratings. This indicates that guidance counselors are highly capable of creating safe, trusting, and supportive environments for students. This finding is strongly supported by research showing that empathy and interpersonal skills are key factors in building strong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counselor-client relationships and improving outcomes (Elliott et al., 2023b; Norcross &amp; Lambert, 2019). Similarly, being non-judgmental helps clients feel safe and open to sharing their concerns (Tursi et al., 2021; Weinstein et al., 2022). In Mindanao, these strengths may also be influenced by cultural values that emphasize respect, harmony, and strong community ties.</w:t>
      </w:r>
    </w:p>
    <w:p w14:paraId="597F14A5"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At the same time, these strengths have a more complex side. While strong relational skills improve counseling effectiveness, they also require guidance counselors to be emotionally involved in their work. According to emotional labor theory, managing emotions as part of one’s job, such as consistently showing empathy, can lead to emotional exhaustion over time (Grandey, 2000). Recent studies confirm that high levels of empathic engagement can increase the risk of burnout, especially in demanding work environments (Mohd et al., 2023). In simple terms, the same qualities that make guidance counselors effective can also make them more vulnerable to stress if they are not properly supported.</w:t>
      </w:r>
    </w:p>
    <w:p w14:paraId="7B47D42E"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In contrast, self-directed competencies, particularly genuineness and self-compassion, were also rated very high but slightly lower than relational skills. This suggests that while guidance counselors are generally authentic and self-aware, they may find it more challenging to practice self-kindness, especially during stressful situations consistently. Research highlights that self-compassion plays an important role in reducing burnout and supporting psychological well-being (Neff, 2022; Crego et al., 2022b). However, its protective effect may be limited in environments with high demands and limited support (Ferrari et al., 2019). In the Philippine and Mindanao context, this pattern may reflect cultural values that prioritize service, resilience, and endurance, sometimes at </w:t>
      </w:r>
      <w:r w:rsidRPr="001B39BA">
        <w:rPr>
          <w:rFonts w:ascii="Arial" w:eastAsiaTheme="minorHAnsi" w:hAnsi="Arial" w:cs="Arial"/>
          <w:kern w:val="2"/>
          <w:lang w:val="en-SG"/>
          <w14:ligatures w14:val="standardContextual"/>
        </w:rPr>
        <w:lastRenderedPageBreak/>
        <w:t>the expense of self-care. This means that although guidance counselors meet acceptable standards in this area, strengthening self-compassion is essential for sustaining long-term well-being.</w:t>
      </w:r>
    </w:p>
    <w:p w14:paraId="0DA3EB8A"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item-level analysis provides further insight into how these competencies are applied in practice. While guidance counselors reported a strong ability to understand clients’ perspectives, they showed relatively lower confidence in engaging with experiences outside their own background. Similarly, although self-acceptance was high, responding with kindness toward oneself during personal difficulties was less consistent. These findings suggest that guidance counselors’ skills are not consistently applied across situations, particularly when dealing with cultural differences or personal challenges. In a diverse region like Mindanao, where clients come from varied cultural, linguistic, and socio-economic backgrounds, this highlights the importance of developing culturally responsive and reflective counseling practices.</w:t>
      </w:r>
    </w:p>
    <w:p w14:paraId="648FC64D"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Overall, the findings both support and extend existing research. On one hand, they confirm that interpersonal and intrapersonal skills contribute to effective counseling and professional satisfaction (Crego et al., 2022c; Elliott et al., 2023a). On the other hand, they show that these same strengths can also become sources of strain if not balanced with proper self-care and institutional support (Grandey, 2000; Mohd et al., 2023). This reflects the complex nature of counseling work, where strengths can function as both protective and risk factors.</w:t>
      </w:r>
    </w:p>
    <w:p w14:paraId="6931630C"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In conclusion, guidance counselors demonstrate a high level of professional competence, particularly in relational skills essential to effective counseling. However, the findings also highlight important areas for improvement, especially in strengthening self-compassion and ensuring that competencies are consistently applied across diverse situations. Within the Mindanao context, these results emphasize that guidance counselor effectiveness depends not only on individual ability but also on institutional support and cultural considerations. Supporting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counselors’ well-being, therefore, requires a balanced approach that includes strong interpersonal skills, self-care practices, and supportive working conditions, enabling them to remain resilient, culturally responsive, and effective in meeting students’ evolving needs.</w:t>
      </w:r>
    </w:p>
    <w:p w14:paraId="7A8E1C34" w14:textId="261F045A" w:rsidR="001B39BA" w:rsidRPr="001B39BA" w:rsidRDefault="001B39BA" w:rsidP="001B39BA">
      <w:pPr>
        <w:spacing w:before="126" w:line="360" w:lineRule="auto"/>
        <w:jc w:val="both"/>
        <w:rPr>
          <w:rFonts w:ascii="Arial" w:hAnsi="Arial" w:cs="Arial"/>
          <w:iCs/>
        </w:rPr>
      </w:pPr>
      <w:r w:rsidRPr="001B39BA">
        <w:rPr>
          <w:rFonts w:ascii="Arial" w:hAnsi="Arial" w:cs="Arial"/>
          <w:iCs/>
        </w:rPr>
        <w:t>Level</w:t>
      </w:r>
      <w:r w:rsidRPr="001B39BA">
        <w:rPr>
          <w:rFonts w:ascii="Arial" w:hAnsi="Arial" w:cs="Arial"/>
          <w:iCs/>
          <w:spacing w:val="-6"/>
        </w:rPr>
        <w:t xml:space="preserve"> </w:t>
      </w:r>
      <w:r w:rsidRPr="001B39BA">
        <w:rPr>
          <w:rFonts w:ascii="Arial" w:hAnsi="Arial" w:cs="Arial"/>
          <w:iCs/>
        </w:rPr>
        <w:t>of</w:t>
      </w:r>
      <w:r w:rsidRPr="001B39BA">
        <w:rPr>
          <w:rFonts w:ascii="Arial" w:hAnsi="Arial" w:cs="Arial"/>
          <w:iCs/>
          <w:spacing w:val="-8"/>
        </w:rPr>
        <w:t xml:space="preserve"> </w:t>
      </w:r>
      <w:r w:rsidRPr="001B39BA">
        <w:rPr>
          <w:rFonts w:ascii="Arial" w:hAnsi="Arial" w:cs="Arial"/>
          <w:iCs/>
        </w:rPr>
        <w:t>Guidance</w:t>
      </w:r>
      <w:r w:rsidRPr="001B39BA">
        <w:rPr>
          <w:rFonts w:ascii="Arial" w:hAnsi="Arial" w:cs="Arial"/>
          <w:iCs/>
          <w:spacing w:val="-4"/>
        </w:rPr>
        <w:t xml:space="preserve"> </w:t>
      </w:r>
      <w:r w:rsidRPr="001B39BA">
        <w:rPr>
          <w:rFonts w:ascii="Arial" w:hAnsi="Arial" w:cs="Arial"/>
          <w:iCs/>
        </w:rPr>
        <w:t>Counselors'</w:t>
      </w:r>
      <w:r w:rsidRPr="001B39BA">
        <w:rPr>
          <w:rFonts w:ascii="Arial" w:hAnsi="Arial" w:cs="Arial"/>
          <w:iCs/>
          <w:spacing w:val="-8"/>
        </w:rPr>
        <w:t xml:space="preserve"> </w:t>
      </w:r>
      <w:r w:rsidRPr="001B39BA">
        <w:rPr>
          <w:rFonts w:ascii="Arial" w:hAnsi="Arial" w:cs="Arial"/>
          <w:iCs/>
        </w:rPr>
        <w:t>Compassion Satisfaction</w:t>
      </w:r>
    </w:p>
    <w:p w14:paraId="0F734BE1" w14:textId="77777777" w:rsidR="001B39BA" w:rsidRPr="001B39BA" w:rsidRDefault="001B39BA" w:rsidP="001B39BA">
      <w:pPr>
        <w:spacing w:before="126" w:line="360" w:lineRule="auto"/>
        <w:ind w:firstLine="720"/>
        <w:jc w:val="both"/>
        <w:rPr>
          <w:rFonts w:ascii="Arial" w:hAnsi="Arial" w:cs="Arial"/>
          <w:iCs/>
        </w:rPr>
      </w:pPr>
      <w:r w:rsidRPr="001B39BA">
        <w:rPr>
          <w:rFonts w:ascii="Arial" w:eastAsiaTheme="minorHAnsi" w:hAnsi="Arial" w:cs="Arial"/>
          <w:kern w:val="2"/>
          <w:lang w:val="en-SG"/>
          <w14:ligatures w14:val="standardContextual"/>
        </w:rPr>
        <w:t xml:space="preserve">Compassion satisfaction refers to the positive feelings that helping professionals derive from their work, including a sense of fulfillment, purpose, and accomplishment in </w:t>
      </w:r>
      <w:r w:rsidRPr="001B39BA">
        <w:rPr>
          <w:rFonts w:ascii="Arial" w:eastAsiaTheme="minorHAnsi" w:hAnsi="Arial" w:cs="Arial"/>
          <w:kern w:val="2"/>
          <w:lang w:val="en-SG"/>
          <w14:ligatures w14:val="standardContextual"/>
        </w:rPr>
        <w:lastRenderedPageBreak/>
        <w:t xml:space="preserve">supporting others (Crego et al., 2022a). In the context of guidance counseling, this reflects how </w:t>
      </w:r>
      <w:r w:rsidRPr="001B39BA">
        <w:rPr>
          <w:rFonts w:ascii="Arial" w:hAnsi="Arial" w:cs="Arial"/>
        </w:rPr>
        <w:t xml:space="preserve">guidance </w:t>
      </w:r>
      <w:r w:rsidRPr="001B39BA">
        <w:rPr>
          <w:rFonts w:ascii="Arial" w:eastAsiaTheme="minorHAnsi" w:hAnsi="Arial" w:cs="Arial"/>
          <w:kern w:val="2"/>
          <w:lang w:val="en-SG"/>
          <w14:ligatures w14:val="standardContextual"/>
        </w:rPr>
        <w:t xml:space="preserve">counselors experience meaning and reward in assisting students’ academic, personal, and emotional development. This is consistent with the literature, which emphasizes that helping relationships and professional engagement are central to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counselors' well-being (Elliott et al., 2023a; Norcross &amp; Lambert, 2019).</w:t>
      </w:r>
    </w:p>
    <w:p w14:paraId="5532C1D1"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findings indicate that guidance counselors demonstrate a high level of compassion satisfaction. This suggests that guidance counselors generally experience their work as meaningful and rewarding. In simple terms, most guidance counselors feel a strong sense of fulfillment in helping students, indicating that the positive aspects of counseling work are clearly present in their professional experience.</w:t>
      </w:r>
    </w:p>
    <w:p w14:paraId="174248EB"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Beyond the overall level, the pattern of responses provides deeper insight into how compassion satisfaction is experienced. The relatively low standard deviation, meaning that responses are closely grouped, indicates that most guidance counselors reported similarly high levels of satisfaction. The negative skewness, in which responses are concentrated toward higher values, further indicates that high satisfaction is common rather than exceptional. This further means that feeling fulfilled in counseling work is a shared experience among most respondents. However, some variation suggests that this experience is not entirely uniform and that certain factors may influence how strongly guidance counselors feel this sense of fulfillment.</w:t>
      </w:r>
    </w:p>
    <w:p w14:paraId="64F4189D"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Although the results indicate a high level of compassion satisfaction, this should not be interpreted as absolute or uniform across all situations. A high mean score reflects that guidance counselors generally meet expected levels of professional fulfillment, but it does not imply that all contributing conditions are fully optimized. In the Mindanao context, structural factors such as high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counselor-to-student ratios, limited personnel, and unequal access to resources may influence the consistency with which guidance counselors experience satisfaction (Jimenez et al., 2018; Cordova Jr. et al., 2023). Reports from the Department of Education highlight these challenges, suggesting that even when guidance counselors find their work meaningful, systemic constraints may still affect their overall experience.</w:t>
      </w:r>
    </w:p>
    <w:p w14:paraId="0361368D"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The high level of compassion satisfaction observed in this study is supported by the existing literature, which emphasizes the role of internal psychological resources. Studies have shown that self-compassion and emotional regulation, skills that help individuals manage stress and emotional demands, enhance compassion satisfaction by allowing guidance counselors to cope effectively with the challenges of their work (Crego </w:t>
      </w:r>
      <w:r w:rsidRPr="001B39BA">
        <w:rPr>
          <w:rFonts w:ascii="Arial" w:eastAsiaTheme="minorHAnsi" w:hAnsi="Arial" w:cs="Arial"/>
          <w:kern w:val="2"/>
          <w:lang w:val="en-SG"/>
          <w14:ligatures w14:val="standardContextual"/>
        </w:rPr>
        <w:lastRenderedPageBreak/>
        <w:t>et al., 2022a; Özden &amp; Kaya, 2025). Similarly, counseling self-efficacy, or the confidence in one’s ability to perform counseling tasks effectively, has been identified as a strong predictor of professional fulfillment (Saleem &amp; Hawamdeh, 2022). Psychological well-being has also been found to contribute significantly to compassion satisfaction, reinforcing the importance of internal resilience (Klimenko et al., 2024). Together, these findings suggest that guidance counselors’ personal strengths and coping abilities play a crucial role in sustaining positive professional experiences.</w:t>
      </w:r>
    </w:p>
    <w:p w14:paraId="437667D5"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However, not all studies report consistently high levels of compassion satisfaction. Some research highlights variability among helping professionals, indicating that fulfillment is not an automatic outcome of counseling work (Xie et al., 2021). High workload and emotional demands may reduce satisfaction by placing strain on guidance counselors’ coping capacities (Jalan, 2023). In addition, while empathy is generally beneficial, excessive emotional involvement without sufficient coping strategies may lead to emotional fatigue rather than satisfaction (Bonganciso et al., 2022). These findings suggest that the benefits of helping work depend on maintaining a balance between emotional demands and available coping resources. In simple terms,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counselors are more likely to feel fulfilled when they are supported and able to manage the emotional challenges of their role.</w:t>
      </w:r>
    </w:p>
    <w:p w14:paraId="307A4174"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Further explanation is provided by studies examining how different factors work together. Research has shown that self-compassion can influence how empathy translates into positive outcomes, meaning that guidance counselors who are kind to themselves are better able to sustain satisfaction from helping others (Quaglia et al., 2021). Similarly, emotional regulation helps reduce the negative effects of work-related stress, allowing guidance counselors to maintain a sense of fulfillment even in demanding situations (Klimenko et al., 2024). These findings highlight that compassion satisfaction is shaped by multiple interacting factors rather than a single influence.</w:t>
      </w:r>
    </w:p>
    <w:p w14:paraId="5D2DC845"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Overall, the findings indicate that guidance counselors experience a high level of compassion satisfaction, reflecting the meaningful and rewarding nature of their work. At the same time, the results show that this positive experience is not unconditional. It is shaped by both personal capacities and external conditions, particularly in contexts where resources and support may be limited. </w:t>
      </w:r>
      <w:r w:rsidRPr="001B39BA">
        <w:rPr>
          <w:rFonts w:ascii="Arial" w:eastAsiaTheme="minorHAnsi" w:hAnsi="Arial" w:cs="Arial"/>
          <w:kern w:val="2"/>
          <w:lang w:val="en-SG"/>
          <w14:ligatures w14:val="standardContextual"/>
        </w:rPr>
        <w:tab/>
      </w:r>
      <w:r w:rsidRPr="001B39BA">
        <w:rPr>
          <w:rFonts w:ascii="Arial" w:eastAsiaTheme="minorHAnsi" w:hAnsi="Arial" w:cs="Arial"/>
          <w:kern w:val="2"/>
          <w:lang w:val="en-SG"/>
          <w14:ligatures w14:val="standardContextual"/>
        </w:rPr>
        <w:tab/>
      </w:r>
      <w:r w:rsidRPr="001B39BA">
        <w:rPr>
          <w:rFonts w:ascii="Arial" w:eastAsiaTheme="minorHAnsi" w:hAnsi="Arial" w:cs="Arial"/>
          <w:kern w:val="2"/>
          <w:lang w:val="en-SG"/>
          <w14:ligatures w14:val="standardContextual"/>
        </w:rPr>
        <w:tab/>
      </w:r>
      <w:r w:rsidRPr="001B39BA">
        <w:rPr>
          <w:rFonts w:ascii="Arial" w:eastAsiaTheme="minorHAnsi" w:hAnsi="Arial" w:cs="Arial"/>
          <w:kern w:val="2"/>
          <w:lang w:val="en-SG"/>
          <w14:ligatures w14:val="standardContextual"/>
        </w:rPr>
        <w:tab/>
      </w:r>
      <w:r w:rsidRPr="001B39BA">
        <w:rPr>
          <w:rFonts w:ascii="Arial" w:eastAsiaTheme="minorHAnsi" w:hAnsi="Arial" w:cs="Arial"/>
          <w:kern w:val="2"/>
          <w:lang w:val="en-SG"/>
          <w14:ligatures w14:val="standardContextual"/>
        </w:rPr>
        <w:tab/>
      </w:r>
      <w:r w:rsidRPr="001B39BA">
        <w:rPr>
          <w:rFonts w:ascii="Arial" w:eastAsiaTheme="minorHAnsi" w:hAnsi="Arial" w:cs="Arial"/>
          <w:kern w:val="2"/>
          <w:lang w:val="en-SG"/>
          <w14:ligatures w14:val="standardContextual"/>
        </w:rPr>
        <w:tab/>
      </w:r>
      <w:r w:rsidRPr="001B39BA">
        <w:rPr>
          <w:rFonts w:ascii="Arial" w:eastAsiaTheme="minorHAnsi" w:hAnsi="Arial" w:cs="Arial"/>
          <w:kern w:val="2"/>
          <w:lang w:val="en-SG"/>
          <w14:ligatures w14:val="standardContextual"/>
        </w:rPr>
        <w:tab/>
        <w:t xml:space="preserve">In conclusion, while guidance counselors demonstrate strong professional fulfillment, sustaining compassion satisfaction requires a balance between personal strengths, effective coping strategies, and supportive work environments. Strengthening </w:t>
      </w:r>
      <w:r w:rsidRPr="001B39BA">
        <w:rPr>
          <w:rFonts w:ascii="Arial" w:eastAsiaTheme="minorHAnsi" w:hAnsi="Arial" w:cs="Arial"/>
          <w:kern w:val="2"/>
          <w:lang w:val="en-SG"/>
          <w14:ligatures w14:val="standardContextual"/>
        </w:rPr>
        <w:lastRenderedPageBreak/>
        <w:t xml:space="preserve">these areas can help ensure that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counselors remain fulfilled, resilient, and effective in supporting students’ academic, personal, and emotional development.</w:t>
      </w:r>
    </w:p>
    <w:p w14:paraId="108FF07D" w14:textId="77777777" w:rsidR="00AF4E8C" w:rsidRDefault="00AF4E8C" w:rsidP="00AF4E8C">
      <w:pPr>
        <w:pStyle w:val="NoSpacing"/>
      </w:pPr>
    </w:p>
    <w:p w14:paraId="12F3FB55" w14:textId="2BA26881" w:rsidR="001B39BA" w:rsidRPr="001B39BA" w:rsidRDefault="001B39BA" w:rsidP="001B39BA">
      <w:pPr>
        <w:spacing w:before="126" w:line="360" w:lineRule="auto"/>
        <w:jc w:val="both"/>
        <w:rPr>
          <w:rFonts w:ascii="Arial" w:hAnsi="Arial" w:cs="Arial"/>
          <w:iCs/>
        </w:rPr>
      </w:pPr>
      <w:r w:rsidRPr="001B39BA">
        <w:rPr>
          <w:rFonts w:ascii="Arial" w:hAnsi="Arial" w:cs="Arial"/>
          <w:iCs/>
        </w:rPr>
        <w:t>Level</w:t>
      </w:r>
      <w:r w:rsidRPr="001B39BA">
        <w:rPr>
          <w:rFonts w:ascii="Arial" w:hAnsi="Arial" w:cs="Arial"/>
          <w:iCs/>
          <w:spacing w:val="-6"/>
        </w:rPr>
        <w:t xml:space="preserve"> </w:t>
      </w:r>
      <w:r w:rsidRPr="001B39BA">
        <w:rPr>
          <w:rFonts w:ascii="Arial" w:hAnsi="Arial" w:cs="Arial"/>
          <w:iCs/>
        </w:rPr>
        <w:t>of</w:t>
      </w:r>
      <w:r w:rsidRPr="001B39BA">
        <w:rPr>
          <w:rFonts w:ascii="Arial" w:hAnsi="Arial" w:cs="Arial"/>
          <w:iCs/>
          <w:spacing w:val="-8"/>
        </w:rPr>
        <w:t xml:space="preserve"> </w:t>
      </w:r>
      <w:r w:rsidRPr="001B39BA">
        <w:rPr>
          <w:rFonts w:ascii="Arial" w:hAnsi="Arial" w:cs="Arial"/>
          <w:iCs/>
        </w:rPr>
        <w:t>Guidance</w:t>
      </w:r>
      <w:r w:rsidRPr="001B39BA">
        <w:rPr>
          <w:rFonts w:ascii="Arial" w:hAnsi="Arial" w:cs="Arial"/>
          <w:iCs/>
          <w:spacing w:val="-4"/>
        </w:rPr>
        <w:t xml:space="preserve"> </w:t>
      </w:r>
      <w:r w:rsidRPr="001B39BA">
        <w:rPr>
          <w:rFonts w:ascii="Arial" w:hAnsi="Arial" w:cs="Arial"/>
          <w:iCs/>
        </w:rPr>
        <w:t>Counselors'</w:t>
      </w:r>
      <w:r w:rsidRPr="001B39BA">
        <w:rPr>
          <w:rFonts w:ascii="Arial" w:hAnsi="Arial" w:cs="Arial"/>
          <w:iCs/>
          <w:spacing w:val="-8"/>
        </w:rPr>
        <w:t xml:space="preserve"> </w:t>
      </w:r>
      <w:r w:rsidRPr="001B39BA">
        <w:rPr>
          <w:rFonts w:ascii="Arial" w:hAnsi="Arial" w:cs="Arial"/>
          <w:iCs/>
        </w:rPr>
        <w:t>Compassion Fatigue</w:t>
      </w:r>
    </w:p>
    <w:p w14:paraId="03D3D555"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Compassion fatigue refers to the emotional and psychological strain that helping professionals experience from prolonged exposure to clients’ difficulties and work-related demands (Figley, 1995; Stamm, 2010). It further reflects the exhaustion that can arise from continuously supporting others, particularly in emotionally demanding roles such as guidance counseling, where sustained empathic engagement and exposure to distress can contribute to professional strain (Kapoor, 2022; Singh et al., 2020a). Using a multidimensional measurement approach, this study examined compassion fatigue through two key components: burnout and secondary traumatic stress. </w:t>
      </w:r>
    </w:p>
    <w:p w14:paraId="70ABE13D"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findings indicate that guidance counselors experience moderate levels of compassion fatigue, as reflected in moderate scores for burnout and secondary traumatic stress. This suggests that while guidance counselors do experience emotional and mental strain, these levels remain manageable and do not yet reach critical or severe thresholds. This interpretation is consistent with the conceptualization of compassion fatigue as a continuum rather than an absolute condition, as described in the Professional Quality of Life Model.</w:t>
      </w:r>
    </w:p>
    <w:p w14:paraId="0CECC651"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A closer examination of the results provides deeper insight into the nature of this fatigue. Burnout was found to be slightly higher than secondary traumatic stress, indicating that guidance counselors may be more affected by ongoing work demands than by indirect exposure to students’ traumatic experiences. This pattern suggests that routine occupational pressures, such as workload, administrative responsibilities, and role expectations, may contribute more significantly to fatigue than exposure to clients’ distress. This finding is supported by studies showing that organizational stressors, including heavy caseloads and role demands, are strong predictors of burnout (Kim &amp; Lambie, 2018; Liang &amp; Yin, 2025b), while trauma exposure specifically contributes to secondary traumatic stress (Park et al., 2025). In Mindanao, where schools often face limited personnel and high student-to-counselor ratios, these workload-related pressures may be particularly pronounced, reinforcing the observed pattern. </w:t>
      </w:r>
      <w:r w:rsidRPr="001B39BA">
        <w:rPr>
          <w:rFonts w:ascii="Arial" w:eastAsiaTheme="minorHAnsi" w:hAnsi="Arial" w:cs="Arial"/>
          <w:kern w:val="2"/>
          <w:lang w:val="en-SG"/>
          <w14:ligatures w14:val="standardContextual"/>
        </w:rPr>
        <w:tab/>
      </w:r>
      <w:r w:rsidRPr="001B39BA">
        <w:rPr>
          <w:rFonts w:ascii="Arial" w:eastAsiaTheme="minorHAnsi" w:hAnsi="Arial" w:cs="Arial"/>
          <w:kern w:val="2"/>
          <w:lang w:val="en-SG"/>
          <w14:ligatures w14:val="standardContextual"/>
        </w:rPr>
        <w:tab/>
      </w:r>
      <w:r w:rsidRPr="001B39BA">
        <w:rPr>
          <w:rFonts w:ascii="Arial" w:eastAsiaTheme="minorHAnsi" w:hAnsi="Arial" w:cs="Arial"/>
          <w:kern w:val="2"/>
          <w:lang w:val="en-SG"/>
          <w14:ligatures w14:val="standardContextual"/>
        </w:rPr>
        <w:tab/>
      </w:r>
      <w:r w:rsidRPr="001B39BA">
        <w:rPr>
          <w:rFonts w:ascii="Arial" w:eastAsiaTheme="minorHAnsi" w:hAnsi="Arial" w:cs="Arial"/>
          <w:kern w:val="2"/>
          <w:lang w:val="en-SG"/>
          <w14:ligatures w14:val="standardContextual"/>
        </w:rPr>
        <w:tab/>
        <w:t xml:space="preserve">The variability of responses further clarifies how compassion fatigue is experienced among guidance counselors. The standard deviation values indicate that while most guidance counselors fall within the moderate range, some experience higher </w:t>
      </w:r>
      <w:r w:rsidRPr="001B39BA">
        <w:rPr>
          <w:rFonts w:ascii="Arial" w:eastAsiaTheme="minorHAnsi" w:hAnsi="Arial" w:cs="Arial"/>
          <w:kern w:val="2"/>
          <w:lang w:val="en-SG"/>
          <w14:ligatures w14:val="standardContextual"/>
        </w:rPr>
        <w:lastRenderedPageBreak/>
        <w:t>or lower levels of fatigue. This means that compassion fatigue is not uniform but varies across individuals and contexts. However, the relatively moderate spread suggests that these differences are not extreme, indicating a generally shared experience among respondents. Additionally, the skewness values for burnout and secondary traumatic stress show that responses are slightly concentrated toward the lower end of the moderate range. In practical terms, this means that many guidance counselors experience fatigue at manageable levels, while fewer report higher levels of distress. Since these values fall within acceptable limits, the data are considered reliable and suitable for further analysis.</w:t>
      </w:r>
    </w:p>
    <w:p w14:paraId="7280CD4A"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While the findings indicate that compassion fatigue remains at a manageable level, this does not imply that professional standards are fully met. Moderate levels suggest that guidance counselors are functioning within acceptable limits, but not at an optimal state of well-being. In this sense, the standard is only partially achieved: fatigue is present but not overwhelming. This reflects a balance between risk and resilience, where guidance counselors can cope with demands but remain under ongoing strain. In the Mindanao context, this partial attainment may be influenced by structural constraints such as limited institutional support, high workloads, and resource disparities, as reported by the Department of Education. Thus, while guidance counselors are not experiencing severe burnout, moderate fatigue signals a need for preventive and supportive interventions.</w:t>
      </w:r>
    </w:p>
    <w:p w14:paraId="5250951B"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findings of this study are consistent with the literature, which emphasizes the role of both individual and contextual factors in shaping compassion fatigue. Regression-based studies show that empathy and continuous exposure to clients’ distress significantly predict emotional exhaustion (Kapoor, 2022; Singh et al., 2020b; Fitriana &amp; Nurochim, 2024). Similarly, burnout has been linked to workload, role ambiguity, and institutional demands (Kim &amp; Lambie, 2018; Liang &amp; Yin, 2025a). These findings support the present results, particularly the higher level of burnout compared to secondary traumatic stress, suggesting that everyday work pressures are a primary source of fatigue.</w:t>
      </w:r>
    </w:p>
    <w:p w14:paraId="78750525"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However, contrasting evidence indicates that compassion fatigue is not solely determined by exposure or workload. Some studies show that internal resources such as self-compassion and mindfulness can buffer the negative effects of emotional demands (Quaglia et al., 2021; Li, 2025). Similarly, emotional intelligence and supportive supervision have been found to reduce vulnerability to secondary traumatic stress (Hong &amp; Wang, 2024; Whittenbury et al., 2025). These findings suggest that compassion fatigue is not inevitable but depends on how guidance counselors regulate and manage emotional experiences. This helps explain why the levels observed in this study remain moderate </w:t>
      </w:r>
      <w:r w:rsidRPr="001B39BA">
        <w:rPr>
          <w:rFonts w:ascii="Arial" w:eastAsiaTheme="minorHAnsi" w:hAnsi="Arial" w:cs="Arial"/>
          <w:kern w:val="2"/>
          <w:lang w:val="en-SG"/>
          <w14:ligatures w14:val="standardContextual"/>
        </w:rPr>
        <w:lastRenderedPageBreak/>
        <w:t>rather than severe, indicating the presence of protective factors among guidance counselors.</w:t>
      </w:r>
    </w:p>
    <w:p w14:paraId="3C536290"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Further insight is provided by mediation studies, which explain how these variables interact. Research has shown that self-compassion mediates the relationship between empathy and burnout, reducing the negative effects of emotional demands (Neff &amp; Germer, 2018). Similarly, emotional regulation and coping strategies have been found to mediate the relationship between trauma exposure and secondary traumatic stress (Whittenbury et al., 2025). These findings clarify that compassion fatigue is not the direct result of exposure alone but is shaped by internal processing mechanisms. In this context, moderate levels of fatigue may reflect the partial effectiveness of these coping processes.</w:t>
      </w:r>
    </w:p>
    <w:p w14:paraId="3AC569FC" w14:textId="77777777" w:rsidR="00AF4E8C" w:rsidRDefault="00AF4E8C"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65F90D8B" w14:textId="6AB4F26F"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Despite these advances, much of the existing literature relies on regression-based approaches that examine variables in isolation. This limits the ability to capture the complex interactions among multiple factors influencing compassion fatigue. The present study addresses this limitation by employing a multidimensional framework and Structural Equation Modeling, which allows for the simultaneous examination of burnout, secondary traumatic stress, and their predictors. By doing so, the study provides a more comprehensive understanding of how different factors interact to produce compassion fatigue, highlighting that it is a multidimensional and dynamic phenomenon rather than a single outcome.</w:t>
      </w:r>
    </w:p>
    <w:p w14:paraId="4A7E4F4C" w14:textId="77777777" w:rsidR="00AF4E8C" w:rsidRDefault="00AF4E8C"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1E898888" w14:textId="0BDD792C"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Overall, the findings indicate that guidance counselors experience noticeable but manageable levels of compassion fatigue, with burnout emerging as a slightly stronger contributor than secondary traumatic stress. While these levels do not indicate severe distress, they reflect ongoing occupational strain that warrants attention. Within the Mindanao context, this suggests that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counselors can cope with the demands of their work but may be operating near the threshold of increased risk. Therefore, sustaining guidance counselors' well-being requires not only strengthening individual coping mechanisms but also improving institutional conditions, such as workload management, supervision, and access to professional support. A balanced integration of personal resilience and systemic support is essential to prevent moderate fatigue from escalating into more severe forms of professional distress.</w:t>
      </w:r>
    </w:p>
    <w:p w14:paraId="1D4786A0" w14:textId="77777777" w:rsid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5C046AF6"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lastRenderedPageBreak/>
        <w:t>Work-Specific Characteristics of Guidance Counselors’ Predicting Compassion Satisfaction</w:t>
      </w:r>
    </w:p>
    <w:p w14:paraId="30883A1B"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7529F65F"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Compassion satisfaction refers to the sense of fulfillment, purpose, and reward that guidance counselors experience from helping students, which reflects how meaningful and satisfying their work feels. The results showed that the overall model was statistically significant and explained 62% of the variance in compassion satisfaction. </w:t>
      </w:r>
      <w:r w:rsidRPr="001B39BA">
        <w:rPr>
          <w:rFonts w:ascii="Arial" w:hAnsi="Arial" w:cs="Arial"/>
        </w:rPr>
        <w:t xml:space="preserve">Multicollinearity was assessed using VIF values, which were within acceptable thresholds (Hair &amp; Black, 2023). </w:t>
      </w:r>
      <w:r w:rsidRPr="001B39BA">
        <w:rPr>
          <w:rFonts w:ascii="Arial" w:eastAsiaTheme="minorHAnsi" w:hAnsi="Arial" w:cs="Arial"/>
          <w:kern w:val="2"/>
          <w:lang w:val="en-SG"/>
          <w14:ligatures w14:val="standardContextual"/>
        </w:rPr>
        <w:t>This indicates that these characteristics, when considered together, play a substantial role in shaping guidance counselors’ professional fulfillment. Furthermore, this means that more than half of what makes guidance counselors feel satisfied in their work can be explained by these internal competencies. At the same time, the remaining portion is influenced by other factors such as work environment, institutional support, and workload. In the Mindanao context, where schools often face limited resources and high counselor-to-student ratios, these external factors may significantly affect how satisfaction is experienced, as noted by the Department of Education.</w:t>
      </w:r>
    </w:p>
    <w:p w14:paraId="65DD8F2C"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A closer examination of the predictors reveals that interpersonal skills emerged as the strongest and most significant contributor to compassion satisfaction. This suggests that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counselors who are effective communicators, relationship builders, and social interactors are more likely to experience greater fulfillment in their roles. This finding is consistent with the existing literature, which demonstrates that interpersonal competence is a key determinant of therapeutic alliance and positive counseling outcomes (Elliott et al., 2023b; Norcross &amp; Lambert, 2019). Similarly, genuineness showed a significant positive effect, indicating that authenticity in counselor-client interactions enhances professional satisfaction. These results support the view that relational depth and authenticity are central to meaningful counseling experiences, reinforcing previous findings that relational factors are among the strongest predictors of professional quality of life (Crego et al., 2022b; Özden &amp; Kaya, 2025).</w:t>
      </w:r>
    </w:p>
    <w:p w14:paraId="7FCA8424"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However, a non-judgmental attitude showed a significant negative effect, suggesting that maintaining a consistently non-judgmental stance may reduce compassion satisfaction over time. This finding, while unexpected, can be interpreted in light of emotional labor theory, which posits that continuously regulating one’s thoughts and reactions in professional settings can lead to emotional strain (Grandey, 2000). In demanding counseling environments, particularly in contexts such as Mindanao, where </w:t>
      </w:r>
      <w:r w:rsidRPr="001B39BA">
        <w:rPr>
          <w:rFonts w:ascii="Arial" w:hAnsi="Arial" w:cs="Arial"/>
        </w:rPr>
        <w:lastRenderedPageBreak/>
        <w:t xml:space="preserve">guidance </w:t>
      </w:r>
      <w:r w:rsidRPr="001B39BA">
        <w:rPr>
          <w:rFonts w:ascii="Arial" w:eastAsiaTheme="minorHAnsi" w:hAnsi="Arial" w:cs="Arial"/>
          <w:kern w:val="2"/>
          <w:lang w:val="en-SG"/>
          <w14:ligatures w14:val="standardContextual"/>
        </w:rPr>
        <w:t>counselors may encounter diverse and complex student concerns, sustaining a non-judgmental stance may require considerable cognitive and emotional effort. Thus, while non-judgment is a core professional standard, its continuous application may entail a psychological cost, underscoring an unmet aspect of optimal guidance counselor well-being.</w:t>
      </w:r>
    </w:p>
    <w:p w14:paraId="173C4E45"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In contrast, empathic understanding and self-compassion were not statistically significant predictors when other variables were included in the model. This suggests that these factors do not independently influence compassion satisfaction but may operate indirectly or in combination with stronger predictors such as interpersonal skills. This finding highlights the importance of interpreting "partially accepted" results. While these variables are theoretically important and supported in the literature, their effects are not strong enough to stand alone within the model. Instead, their influence may be mediated through other variables or overshadowed by more dominant factors. This interpretation is consistent with studies showing that self-compassion and empathy often exert indirect effects through mechanisms such as emotional regulation and coping (Neff &amp; Germer, 2018; Quaglia et al., 2021).</w:t>
      </w:r>
    </w:p>
    <w:p w14:paraId="7F9363D6"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The findings of this study both confirm and challenge existing literature. On the one hand, they support research indicating that internal resources, such as interpersonal skills, authenticity, and emotional competence, enhance compassion satisfaction (Crego et al., 2022b; Saleem &amp; Hawamdeh, 2022). On the other hand, they align with studies showing that these same characteristics may increase vulnerability to emotional strain under certain conditions (Kapoor, 2022). This duality reflects a well-documented paradox in counseling research: the very qualities that make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counselors effective may also expose them to emotional fatigue. In this sense, compassion satisfaction is not an automatic outcome of helping work but is shaped by the balance between personal resources and occupational demands.</w:t>
      </w:r>
    </w:p>
    <w:p w14:paraId="546A007A"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These findings further highlight the importance of adopting a multidimensional, structural perspective to understand </w:t>
      </w:r>
      <w:r w:rsidRPr="001B39BA">
        <w:rPr>
          <w:rFonts w:ascii="Arial" w:hAnsi="Arial" w:cs="Arial"/>
        </w:rPr>
        <w:t xml:space="preserve">guidance </w:t>
      </w:r>
      <w:r w:rsidRPr="001B39BA">
        <w:rPr>
          <w:rFonts w:ascii="Arial" w:eastAsiaTheme="minorHAnsi" w:hAnsi="Arial" w:cs="Arial"/>
          <w:kern w:val="2"/>
          <w:lang w:val="en-SG"/>
          <w14:ligatures w14:val="standardContextual"/>
        </w:rPr>
        <w:t xml:space="preserve">counselor well-being. While regression analysis identifies significant predictors, it does not fully capture the complex interactions among variables. Prior research has shown that work-specific characteristics operate through both direct and indirect pathways, influencing professional outcomes in interconnected ways (Ranjouri et al., 2025). The use of a multidimensional framework in this study strengthens this perspective by demonstrating that compassion satisfaction emerges from the combined influence of multiple characteristics rather than a single factor. </w:t>
      </w:r>
      <w:r w:rsidRPr="001B39BA">
        <w:rPr>
          <w:rFonts w:ascii="Arial" w:eastAsiaTheme="minorHAnsi" w:hAnsi="Arial" w:cs="Arial"/>
          <w:kern w:val="2"/>
          <w:lang w:val="en-SG"/>
          <w14:ligatures w14:val="standardContextual"/>
        </w:rPr>
        <w:lastRenderedPageBreak/>
        <w:t>This addresses a critical gap in the literature, where many studies rely on isolated predictors rather than integrated models.</w:t>
      </w:r>
    </w:p>
    <w:p w14:paraId="01A12C5B"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Overall, the results indicate that work-specific characteristics significantly influence compassion satisfaction among guidance counselors, thereby supporting the hypothesis. However, this acceptance must be interpreted with nuance. While the overall model is significant and explains a substantial portion of variance, not all individual predictors are equally influential. This means that the standard for explaining compassion satisfaction is met at the model level, but only partially achieved at the level of individual variables. Within the Mindanao context, this suggests that while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counselors possess strong relational competencies that support fulfillment, structural challenges and varying individual capacities may limit the full realization of satisfaction.</w:t>
      </w:r>
    </w:p>
    <w:p w14:paraId="1F2F3EFB"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In conclusion, compassion satisfaction among guidance counselors is shaped by a complex interplay of relational skills, personal authenticity, and contextual conditions. Interpersonal skills and genuineness emerge as central drivers of fulfillment, while other characteristics contribute in more indirect ways. At the same time, the findings underscore that maintaining professional satisfaction requires not only strong individual competencies but also supportive institutional environments. In regions such as Mindanao, where guidance counselors often operate under resource constraints, enhancing both personal and systemic factors is essential to sustain high levels of professional well-being.</w:t>
      </w:r>
    </w:p>
    <w:p w14:paraId="728FE532"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1558957B" w14:textId="77777777" w:rsidR="001B39BA" w:rsidRPr="001B39BA" w:rsidRDefault="001B39BA" w:rsidP="001B39BA">
      <w:pPr>
        <w:pStyle w:val="NoSpacing"/>
        <w:spacing w:line="360" w:lineRule="auto"/>
        <w:rPr>
          <w:rFonts w:ascii="Arial" w:hAnsi="Arial" w:cs="Arial"/>
          <w:lang w:val="en-SG"/>
        </w:rPr>
      </w:pPr>
      <w:r w:rsidRPr="001B39BA">
        <w:rPr>
          <w:rFonts w:ascii="Arial" w:hAnsi="Arial" w:cs="Arial"/>
          <w:lang w:val="en-SG"/>
        </w:rPr>
        <w:t xml:space="preserve">Work-Specific Characteristics of Guidance Counselors’ Predicting Compassion Fatigue </w:t>
      </w:r>
    </w:p>
    <w:p w14:paraId="026B578B" w14:textId="77777777" w:rsidR="001B39BA" w:rsidRPr="001B39BA" w:rsidRDefault="001B39BA" w:rsidP="001B39BA">
      <w:pPr>
        <w:pStyle w:val="NoSpacing"/>
        <w:spacing w:line="360" w:lineRule="auto"/>
        <w:ind w:firstLine="720"/>
        <w:rPr>
          <w:rFonts w:ascii="Arial" w:hAnsi="Arial" w:cs="Arial"/>
          <w:lang w:val="en-SG"/>
        </w:rPr>
      </w:pPr>
    </w:p>
    <w:p w14:paraId="6B0A2A63" w14:textId="77777777" w:rsidR="001B39BA" w:rsidRPr="001B39BA" w:rsidRDefault="001B39BA" w:rsidP="001B39BA">
      <w:pPr>
        <w:pStyle w:val="NoSpacing"/>
        <w:spacing w:line="360" w:lineRule="auto"/>
        <w:ind w:firstLine="720"/>
        <w:rPr>
          <w:rFonts w:ascii="Arial" w:hAnsi="Arial" w:cs="Arial"/>
          <w:lang w:val="en-SG"/>
        </w:rPr>
      </w:pPr>
      <w:r w:rsidRPr="001B39BA">
        <w:rPr>
          <w:rFonts w:ascii="Arial" w:hAnsi="Arial" w:cs="Arial"/>
          <w:lang w:val="en-SG"/>
        </w:rPr>
        <w:t>Compassion fatigue refers to the emotional and psychological strain that helping professionals experience from prolonged exposure to clients’ difficulties and ongoing work demands. In simpler terms, it reflects the exhaustion that may arise from continuously supporting others, particularly in emotionally demanding roles such as guidance counseling. In this study, a multidimensional approach was used to examine whether key work-specific characteristics, empathic understanding, genuineness, non-judgmental attitude, interpersonal skills, and self-compassion predict compassion fatigue. Prior to analysis, all statistical assumptions were satisfied, confirming that the data were appropriate for regression. However, the results revealed that neither the overall model nor any individual predictor was statistically significant (all p-values &gt; .05), indicating that these characteristics do not meaningfully explain differences in guidance counselors’ levels of compassion fatigue.</w:t>
      </w:r>
    </w:p>
    <w:p w14:paraId="00090F55"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lastRenderedPageBreak/>
        <w:t>This finding suggests that, contrary to expectations, individual work-specific characteristics alone are insufficient to account for emotional exhaustion among guidance counselors. In practical terms, this means that even when guidance counselors possess strong interpersonal skills, empathy, or self-compassion, these qualities do not necessarily reduce or increase their fatigue experience in a statistically meaningful way. This result is particularly important for interpreting the "unmet standard" of the hypothesis. While the theoretical expectation that personal characteristics influence fatigue is well established, the present findings indicate that this relationship is not supported in this specific context. Thus, the hypothesis is rejected, not because these characteristics are irrelevant, but because their effects are not strong enough to predict fatigue independently within the model.</w:t>
      </w:r>
    </w:p>
    <w:p w14:paraId="769DE18E"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Despite the lack of statistical significance, the direction of the relationships provides meaningful insight. Interpersonal skills and self-compassion showed negative associations with compassion fatigue, suggesting that higher levels of these characteristics may still contribute to lower emotional exhaustion, although this was not significant. This pattern aligns with literature indicating that self-compassion and interpersonal competence function as protective factors that help individuals manage stress and emotional demands (Crego et al., 2022b; Neff &amp; Germer, 2018). However, their non-significance in this study suggests that these protective effects may depend on other mediating or contextual variables rather than operate directly.</w:t>
      </w:r>
    </w:p>
    <w:p w14:paraId="21E2EED6"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In contrast, empathic understanding, genuineness, and a non-judgmental attitude showed small, positive, but non-significant relationships with compassion fatigue. This finding reflects a well-documented paradox in counseling research: the same relational qualities that enhance counseling effectiveness may also increase vulnerability to emotional strain. Studies have shown that high empathic engagement can contribute to emotional exhaustion, particularly in demanding contexts (Kapoor, 2022; Singh et al., 2020a), while sustained interpersonal involvement may increase emotional labor. At the same time, other studies argue that these characteristics can reduce distress when supported by internal coping mechanisms such as self-compassion and mindfulness (Quaglia et al., 2021; Li, 2025). This duality suggests that these characteristics do not function as simple predictors but rather operate within a more complex system of interactions.</w:t>
      </w:r>
    </w:p>
    <w:p w14:paraId="19F15EBD"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The absence of significant predictors in this study, therefore, highlights a critical insight: compassion fatigue is more strongly influenced by contextual and systemic factors </w:t>
      </w:r>
      <w:r w:rsidRPr="001B39BA">
        <w:rPr>
          <w:rFonts w:ascii="Arial" w:eastAsiaTheme="minorHAnsi" w:hAnsi="Arial" w:cs="Arial"/>
          <w:kern w:val="2"/>
          <w:lang w:val="en-SG"/>
          <w14:ligatures w14:val="standardContextual"/>
        </w:rPr>
        <w:lastRenderedPageBreak/>
        <w:t xml:space="preserve">than by individual characteristics alone. In the Mindanao context, this interpretation is particularly relevant. Guidance counselors often work in environments characterized by high student-to-counselor ratios, limited institutional support, and increased workload demands, as noted by the Department of Education. These structural conditions may exert a stronger influence on fatigue than personal competencies, which may explain why individual characteristics did not emerge as significant predictors. </w:t>
      </w:r>
    </w:p>
    <w:p w14:paraId="5BCC27B7"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In this sense, the findings indicate that the standard for explaining compassion fatigue through internal variables is not fully met, underscoring the importance of external conditions. These results are consistent with the literature, which emphasizes that compassion fatigue is shaped by the interaction of individual and contextual factors rather than by single predictors. While regression studies often identify variables such as empathy and workload as significant predictors (Kapoor, 2022; Fitriana &amp; Nurochim, 2024), more recent research suggests that their effects are mediated by internal processes such as emotional regulation and self-compassion (Neff &amp; Germer, 2018). </w:t>
      </w:r>
    </w:p>
    <w:p w14:paraId="421C7404"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Furthermore, SEM-based studies demonstrate that compassion fatigue emerges from multiple interconnected pathways involving empathy, interpersonal skills, and coping mechanisms (Ranjouri et al., 2025). The lack of significant findings in the present regression model, therefore, reinforces the limitation of examining variables in isolation and highlights the need for more integrative approaches. Although regression results were not significant, they provide important groundwork for understanding the complexity of guidance counselors' well-being. The findings suggest that compassion fatigue cannot be adequately explained by direct effects alone but requires a structural perspective that considers indirect relationships and interactions among variables. Overall, the findings indicate that work-specific characteristics do not significantly predict compassion fatigue among guidance counselors, thereby rejecting the hypothesis. However, this result should not be interpreted as evidence that these characteristics are unimportant. </w:t>
      </w:r>
    </w:p>
    <w:p w14:paraId="589BA3CE"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Rather, it highlights that their influence is indirect, context-dependent, and embedded within a broader system of factors. In the Mindanao setting, this suggests that while guidance counselors may possess strong personal competencies, their fatigue is more strongly shaped by environmental conditions and work demands. Therefore, efforts to reduce compassion fatigue should focus not only on developing individual skills but also on improving institutional support systems, workload management, and access to professional resources. A balanced approach that integrates personal resilience with </w:t>
      </w:r>
      <w:r w:rsidRPr="001B39BA">
        <w:rPr>
          <w:rFonts w:ascii="Arial" w:eastAsiaTheme="minorHAnsi" w:hAnsi="Arial" w:cs="Arial"/>
          <w:kern w:val="2"/>
          <w:lang w:val="en-SG"/>
          <w14:ligatures w14:val="standardContextual"/>
        </w:rPr>
        <w:lastRenderedPageBreak/>
        <w:t>systemic support is essential to address compassion fatigue and sustain guidance counselor well-being effectively.</w:t>
      </w:r>
    </w:p>
    <w:p w14:paraId="65E7F452" w14:textId="77777777" w:rsidR="001B39BA" w:rsidRPr="001B39BA" w:rsidRDefault="001B39BA" w:rsidP="00AF4E8C">
      <w:pPr>
        <w:pStyle w:val="NoSpacing"/>
        <w:rPr>
          <w:lang w:val="en-SG"/>
        </w:rPr>
      </w:pPr>
    </w:p>
    <w:p w14:paraId="0E94C981" w14:textId="77777777" w:rsidR="001B39BA" w:rsidRPr="001B39BA" w:rsidRDefault="001B39BA" w:rsidP="001B39BA">
      <w:pPr>
        <w:widowControl/>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Compassion Fatigue Components among Guidance Counselors’ Predicting Compassion Satisfaction</w:t>
      </w:r>
    </w:p>
    <w:p w14:paraId="7D0319EC"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Compassion fatigue was examined in this study as a possible mechanism explaining how work-specific characteristics influence compassion satisfaction among guidance counselors, using mediation analysis to test whether one variable serves as a "bridge" through which another variable affects an outcome. Using a multidimensional framework, this study treated work-specific characteristics as the predictor, compassion fatigue as the mediator, and compassion satisfaction as the outcome. However, the results revealed that the indirect effects were not statistically significant, as the confidence intervals included zero. This indicates that compassion fatigue does not function as a pathway through which work-specific characteristics influence compassion satisfaction.</w:t>
      </w:r>
    </w:p>
    <w:p w14:paraId="7B067E8C"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This finding suggests that while work-specific characteristics and compassion fatigue are both important aspects of guidance counselor well-being, they do not operate in a causal chain within this model. In practical terms, this means that improving guidance counselors’ interpersonal skills, empathy, or self-compassion does not necessarily lead to higher compassion satisfaction by first reducing compassion fatigue. Instead, work-specific characteristics appear to influence compassion satisfaction through more direct or alternative mechanisms. This represents an unmet expectation of the model, as the hypothesized mediating role of compassion fatigue was not supported. Therefore, the hypothesis is rejected, not because the variables are unrelated, but because the assumed pathway linking them is not statistically valid.</w:t>
      </w:r>
    </w:p>
    <w:p w14:paraId="4331BEF7"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absence of mediation provides an important insight into the nature of guidance counselors' well-being. It indicates that compassion fatigue and compassion satisfaction may function as related but relatively independent dimensions rather than as sequential processes. This interpretation aligns with the Professional Quality of Life Model, which conceptualizes compassion satisfaction and compassion fatigue as coexisting but distinct components of professional quality of life. Thus, guidance counselors may experience fulfillment in their work even when they are exposed to moderate levels of fatigue, suggesting that positive and negative experiences can occur simultaneously rather than sequentially.</w:t>
      </w:r>
    </w:p>
    <w:p w14:paraId="6677D82E"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lastRenderedPageBreak/>
        <w:t>The findings both confirm and challenge existing literature. On the one hand, prior studies support the idea that internal characteristics, such as self-compassion and emotional regulation, influence professional outcomes, often through mediating mechanisms (Neff &amp; Germer, 2018; Quaglia et al., 2021). These studies suggest that variables like self-compassion buffer the effects of emotional demands, thereby indirectly enhancing well-being. On the other hand, contrary evidence indicates that compassion fatigue is strongly shaped by contextual factors, such as workload, trauma exposure, and organizational conditions, rather than by individual characteristics alone (Kapoor, 2022; Singh et al., 2020a; Fitriana &amp; Nurochim, 2024). The present findings align more closely with this latter perspective, suggesting that compassion fatigue does not serve as a central explanatory mechanism linking personal characteristics to satisfaction.</w:t>
      </w:r>
    </w:p>
    <w:p w14:paraId="1EAD3D5F"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This interpretation is particularly relevant in the Mindanao context, where guidance counselors often operate in environments characterized by high student-to-counselor ratios, limited institutional support, and diverse student needs. Reports from the Department of Education highlight these structural challenges, which may exert a stronger influence on fatigue than individual traits. As a result, compassion fatigue may be shaped primarily by external conditions, while compassion satisfaction may be influenced more directly by relational competencies such as interpersonal skills and genuineness. This explains why the mediating pathway was not supported: the variables may be influenced by different underlying mechanisms rather than forming a single causal chain.</w:t>
      </w:r>
    </w:p>
    <w:p w14:paraId="7718251F"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non-significant mediation effect also highlights the limitations of examining guidance counselors' well-being using simple linear models. While regression and mediation analyses identify direct and indirect relationships, they may not fully capture the complexity of interactions among multiple variables. Research increasingly shows that guidance counselor outcomes are shaped by multidimensional systems that involve both personal and contextual factors. Structural Equation Modeling (SEM) provides a more appropriate approach for capturing these complex relationships, as it allows for the simultaneous examination of multiple pathways. The present study contributes to this gap by testing a structural framework, even though the specific mediation pathway was not supported.</w:t>
      </w:r>
    </w:p>
    <w:p w14:paraId="74551EA1"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Overall, the findings indicate that compassion fatigue does not mediate the relationship between work-specific characteristics and compassion satisfaction among guidance counselors. While work-specific characteristics remain important predictors of professional fulfillment, their effects do not operate through reducing or increasing </w:t>
      </w:r>
      <w:r w:rsidRPr="001B39BA">
        <w:rPr>
          <w:rFonts w:ascii="Arial" w:eastAsiaTheme="minorHAnsi" w:hAnsi="Arial" w:cs="Arial"/>
          <w:kern w:val="2"/>
          <w:lang w:val="en-SG"/>
          <w14:ligatures w14:val="standardContextual"/>
        </w:rPr>
        <w:lastRenderedPageBreak/>
        <w:t xml:space="preserve">compassion fatigue. This suggests that the standard for mediation is not met, but this does not diminish the importance of the variables themselves. Instead, it highlights that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 well-being is shaped by multiple independent and interacting factors rather than a single explanatory pathway.</w:t>
      </w:r>
    </w:p>
    <w:p w14:paraId="0084F6CF"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On the other hand, rejecting the mediation hypothesis provides a more nuanced understanding of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 well-being. It demonstrates that compassion satisfaction can be enhanced directly through work-specific characteristics without necessarily reducing compassion fatigue. At the same time, compassion fatigue is more strongly influenced by contextual and environmental factors. Within the Mindanao setting, this underscores the need to address both individual competencies and systemic factors. Strengthening relational skills may enhance satisfaction, while improving institutional support and workload conditions may be more effective in managing fatigue. A comprehensive approach that considers both dimensions is therefore essential for sustaining the well-being and effectiveness of guidance counselors.</w:t>
      </w:r>
    </w:p>
    <w:p w14:paraId="07FD2178" w14:textId="77777777" w:rsidR="001B39BA" w:rsidRPr="001B39BA" w:rsidRDefault="001B39BA" w:rsidP="001B39BA">
      <w:pPr>
        <w:widowControl/>
        <w:autoSpaceDE/>
        <w:autoSpaceDN/>
        <w:spacing w:after="160" w:line="360" w:lineRule="auto"/>
        <w:jc w:val="both"/>
        <w:rPr>
          <w:rFonts w:ascii="Arial" w:eastAsiaTheme="minorHAnsi" w:hAnsi="Arial" w:cs="Arial"/>
          <w:kern w:val="2"/>
          <w:lang w:val="en-SG"/>
          <w14:ligatures w14:val="standardContextual"/>
        </w:rPr>
      </w:pPr>
    </w:p>
    <w:p w14:paraId="14F9A9E7"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r w:rsidRPr="001B39BA">
        <w:rPr>
          <w:rFonts w:ascii="Arial" w:eastAsia="Times New Roman" w:hAnsi="Arial" w:cs="Arial"/>
          <w:lang w:val="en-SG" w:eastAsia="en-SG"/>
        </w:rPr>
        <w:t xml:space="preserve">Work-Specific Characteristics among Guidance Counselors’ Predicting Compassion Satisfaction </w:t>
      </w:r>
    </w:p>
    <w:p w14:paraId="61132E53"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Compassion fatigue, which includes burnout and secondary traumatic stress, refers to the emotional strain that helping professionals experience due to prolonged exposure to work demands and clients’ distress. In simpler terms, it reflects how work-related exhaustion can affect guidance counselors' sense of fulfillment in their roles. This study examined whether these two components of compassion fatigue predict compassion satisfaction among guidance counselors using a multidimensional framework. The results showed that the overall regression model was statistically significant, indicating that burnout and secondary traumatic stress, when considered together, have a meaningful influence on compassion satisfaction. However, the model explained only 11% of the variance, which means that while compassion fatigue contributes to guidance counselors’ professional fulfillment, its influence is relatively modest. In practical terms, this suggests that other factors, such as work-specific characteristics, institutional support, and personal resources, explain 89% of the variation in compassion satisfaction. In the Mindanao context, where guidance counselors often face high workloads and limited resources, these external conditions may play a particularly significant role.</w:t>
      </w:r>
    </w:p>
    <w:p w14:paraId="37E51040"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lastRenderedPageBreak/>
        <w:t xml:space="preserve">A closer examination of the predictors reveals that burnout is a significant negative predictor of compassion satisfaction. This indicates that as guidance counselors experience greater emotional exhaustion and work-related strain, their sense of fulfillment decreases. This finding confirms the existing literature, which identifies burnout as a key factor in reducing professional well-being (Kim &amp; Lambie, 2018; Liang &amp; Yin, 2025a). It also aligns with theoretical perspectives that view burnout as a depletion of emotional resources necessary for effective helping relationships. In practical terms, this means that even highly competent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counselors may struggle to feel satisfied in their roles when they are emotionally exhausted. Thus, the standard for understanding the negative impact of burnout on satisfaction is clearly met, as both the statistical and theoretical evidence strongly support this relationship.</w:t>
      </w:r>
    </w:p>
    <w:p w14:paraId="69AD48E1"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In contrast, secondary traumatic stress did not significantly predict compassion satisfaction, indicating that indirect exposure to clients’ traumatic experiences does not meaningfully influence guidance counselors’ sense of fulfillment in this model. This finding suggests that everyday work-related exhaustion has a more direct and substantial impact on satisfaction than trauma-related stress. While prior studies have shown that trauma exposure can contribute to emotional distress (Kapoor, 2022; Singh et al., 2020a), other research indicates that its effects may be mitigated by protective factors such as emotional regulation, supervision, and coping strategies (Hong &amp; Wang, 2024; Whittenbury et al., 2025). This helps explain why secondary traumatic stress did not emerge as a significant predictor in this study. Therefore, while the theoretical expectation that both components of compassion fatigue influence satisfaction is only partially supported, the findings indicate that burnout is the more critical factor. In contrast, secondary traumatic stress represents an unmet or weaker pathway.</w:t>
      </w:r>
    </w:p>
    <w:p w14:paraId="37D1D394"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These results highlight the importance of interpreting the hypothesis with nuance. The hypothesis is accepted at the overall model level because compassion fatigue, as a multidimensional construct, significantly predicts compassion satisfaction. However, this acceptance is partial at the component level, as only burnout contributes significantly, while secondary traumatic stress does not. This distinction is important because it shows that not all dimensions of compassion fatigue function equally. Instead, their effects vary depending on the nature of the stressor, with chronic work-related demands exerting a stronger influence than indirect trauma exposure.</w:t>
      </w:r>
    </w:p>
    <w:p w14:paraId="07AEA791"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The findings both confirm and challenge existing literature. On one hand, they support studies showing that burnout is a primary predictor of reduced professional </w:t>
      </w:r>
      <w:r w:rsidRPr="001B39BA">
        <w:rPr>
          <w:rFonts w:ascii="Arial" w:eastAsiaTheme="minorHAnsi" w:hAnsi="Arial" w:cs="Arial"/>
          <w:kern w:val="2"/>
          <w:lang w:val="en-SG"/>
          <w14:ligatures w14:val="standardContextual"/>
        </w:rPr>
        <w:lastRenderedPageBreak/>
        <w:t xml:space="preserve">satisfaction and well-being (Crego et al., 2022c; Kim &amp; Lambie, 2018). On the other hand, they contrast with research suggesting that secondary traumatic stress plays a significant role in shaping </w:t>
      </w:r>
      <w:r w:rsidRPr="001B39BA">
        <w:rPr>
          <w:rFonts w:ascii="Arial" w:hAnsi="Arial" w:cs="Arial"/>
        </w:rPr>
        <w:t xml:space="preserve">guidance </w:t>
      </w:r>
      <w:r w:rsidRPr="001B39BA">
        <w:rPr>
          <w:rFonts w:ascii="Arial" w:eastAsiaTheme="minorHAnsi" w:hAnsi="Arial" w:cs="Arial"/>
          <w:kern w:val="2"/>
          <w:lang w:val="en-SG"/>
          <w14:ligatures w14:val="standardContextual"/>
        </w:rPr>
        <w:t xml:space="preserve">counselor outcomes (Park et al., 2025; Durak et al., 2025). This discrepancy suggests that the impact of trauma exposure may be context-dependent. In the Mindanao setting, </w:t>
      </w:r>
      <w:r w:rsidRPr="001B39BA">
        <w:rPr>
          <w:rFonts w:ascii="Arial" w:hAnsi="Arial" w:cs="Arial"/>
        </w:rPr>
        <w:t xml:space="preserve">guidance </w:t>
      </w:r>
      <w:r w:rsidRPr="001B39BA">
        <w:rPr>
          <w:rFonts w:ascii="Arial" w:eastAsiaTheme="minorHAnsi" w:hAnsi="Arial" w:cs="Arial"/>
          <w:kern w:val="2"/>
          <w:lang w:val="en-SG"/>
          <w14:ligatures w14:val="standardContextual"/>
        </w:rPr>
        <w:t xml:space="preserve">counselors may be more affected by systemic and workload-related pressures than by trauma exposure alone, particularly given the structural challenges in educational institutions. This reinforces the idea that both individual experiences and environmental conditions shape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counselors' well-being.</w:t>
      </w:r>
    </w:p>
    <w:p w14:paraId="2611DDA2" w14:textId="77777777" w:rsidR="00AF4E8C" w:rsidRDefault="00AF4E8C"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525F0E23" w14:textId="5128D21F"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Moreover, the model's relatively low explanatory power underscores the limitations of relying solely on compassion fatigue to explain professional fulfillment. While burnout significantly affects satisfaction, the majority of influencing factors remain unaccounted for. This supports existing research emphasizing that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 well-being is multidimensional and influenced by a combination of personal, relational, and organizational factors. It also highlights the need for more comprehensive analytical approaches. While regression identifies direct effects, it does not capture the complex interactions among multiple variables. Structural Equation Modeling (SEM), as used in this study, provides a more robust framework for understanding these relationships by examining both direct and indirect pathways within a unified model.</w:t>
      </w:r>
    </w:p>
    <w:p w14:paraId="19223A71" w14:textId="77777777" w:rsidR="00AF4E8C" w:rsidRDefault="00AF4E8C"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23AE31DA" w14:textId="5AE4DDEA"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Overall, the findings indicate that compassion fatigue has a significant but limited influence on compassion satisfaction among guidance counselors. Burnout emerges as the primary factor reducing professional fulfillment, while secondary traumatic stress does not play a significant role in this relationship. Within the Mindanao context, this suggests that guidance counselors' satisfaction is more strongly affected by ongoing work demands than by exposure to students' traumatic experiences. Therefore, interventions aimed at improving guidance counselors' well-being should prioritize reducing burnout by managing workload, providing institutional support, and allocating resources. At the same time, recognizing the multidimensional nature of guidance counselor well-being is essential, as enhancing compassion satisfaction requires not only addressing fatigue but also strengthening positive professional and environmental factors.</w:t>
      </w:r>
    </w:p>
    <w:p w14:paraId="6CBB4991"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p>
    <w:p w14:paraId="6802238E" w14:textId="77777777" w:rsidR="001B39BA" w:rsidRPr="001B39BA" w:rsidRDefault="001B39BA" w:rsidP="001B39BA">
      <w:pPr>
        <w:widowControl/>
        <w:autoSpaceDE/>
        <w:autoSpaceDN/>
        <w:spacing w:line="360" w:lineRule="auto"/>
        <w:jc w:val="both"/>
        <w:rPr>
          <w:rFonts w:ascii="Arial" w:eastAsia="Times New Roman" w:hAnsi="Arial" w:cs="Arial"/>
          <w:lang w:val="en-SG" w:eastAsia="en-SG"/>
        </w:rPr>
      </w:pPr>
      <w:r w:rsidRPr="001B39BA">
        <w:rPr>
          <w:rFonts w:ascii="Arial" w:eastAsia="Times New Roman" w:hAnsi="Arial" w:cs="Arial"/>
          <w:lang w:val="en-SG" w:eastAsia="en-SG"/>
        </w:rPr>
        <w:lastRenderedPageBreak/>
        <w:t xml:space="preserve">Work-Specific Characteristics among Guidance Counselors’ Predicting Compassion Satisfaction </w:t>
      </w:r>
    </w:p>
    <w:p w14:paraId="6F06FA54" w14:textId="77777777" w:rsidR="00AF4E8C" w:rsidRDefault="00AF4E8C"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62AB56BB" w14:textId="167058AF"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Compassion satisfaction, which refers to the sense of fulfillment, purpose, and reward that guidance counselors derive from helping students, reflects how meaningful and satisfying their work feels. This further examined how a set of work-specific characteristics, empathic understanding, genuineness, non-judgmental attitude, interpersonal skills, and self-compassion, collectively influence compassion satisfaction using a multidimensional framework. The results of the regression analysis showed that the overall model was statistically significant, indicating that these characteristics, when considered together, reliably explain variations in guidance counselors’ professional fulfillment. The model accounted for 46.3% of the variance, which means that nearly half of the differences in compassion satisfaction can be explained by these internal competencies. In practical terms, this suggests that guidance counselors who demonstrate strong relational and self-directed qualities are more likely to experience greater fulfillment in their roles.</w:t>
      </w:r>
    </w:p>
    <w:p w14:paraId="622B403D"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This finding indicates that the standard for explaining compassion satisfaction through work-specific characteristics is substantially met. A variance of 46.3% represents a strong explanatory power in behavioral research, suggesting that these characteristics play a meaningful and central role in shaping guidance counselors' well-being. However, this also implies that 53.7% of the variance remains unexplained, pointing to the influence of additional factors beyond the model. In the Mindanao context, these may include structural factors such as workload, institutional support, and resource availability, which are known to affect guidance counselors’ professional experiences. This highlights that while personal competencies are important, compassion satisfaction is also shaped by broader environmental and organizational conditions.</w:t>
      </w:r>
    </w:p>
    <w:p w14:paraId="304C4B1D"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The results are consistent with the existing literature, which emphasizes the importance of relational and intrapersonal competencies in promoting guidance counselor well-being. Studies have shown that interpersonal skills and empathy significantly predict therapeutic alliance and positive outcomes, which in turn enhance professional fulfillment (Elliott et al., 2023a; Norcross &amp; Lambert, 2019). Similarly, self-compassion has been found to increase compassion satisfaction by enabling </w:t>
      </w:r>
      <w:r w:rsidRPr="001B39BA">
        <w:rPr>
          <w:rFonts w:ascii="Arial" w:hAnsi="Arial" w:cs="Arial"/>
        </w:rPr>
        <w:t xml:space="preserve">guidance </w:t>
      </w:r>
      <w:r w:rsidRPr="001B39BA">
        <w:rPr>
          <w:rFonts w:ascii="Arial" w:eastAsiaTheme="minorHAnsi" w:hAnsi="Arial" w:cs="Arial"/>
          <w:kern w:val="2"/>
          <w:lang w:val="en-SG"/>
          <w14:ligatures w14:val="standardContextual"/>
        </w:rPr>
        <w:t xml:space="preserve">counselors to manage emotional demands effectively (Crego et al., 2022c; Özden &amp; Kaya, 2025). These findings </w:t>
      </w:r>
      <w:r w:rsidRPr="001B39BA">
        <w:rPr>
          <w:rFonts w:ascii="Arial" w:eastAsiaTheme="minorHAnsi" w:hAnsi="Arial" w:cs="Arial"/>
          <w:kern w:val="2"/>
          <w:lang w:val="en-SG"/>
          <w14:ligatures w14:val="standardContextual"/>
        </w:rPr>
        <w:lastRenderedPageBreak/>
        <w:t>support the present results, suggesting that work-specific characteristics function as protective and enhancing factors that contribute to positive professional experiences.</w:t>
      </w:r>
    </w:p>
    <w:p w14:paraId="79EA6109"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However, the literature also presents contrasting perspectives that complicate this interpretation. While these characteristics enhance counseling effectiveness, they may also increase emotional strain under certain conditions. For instance, high empathic engagement has been linked to emotional exhaustion (Mullen, 2018; Kapoor, 2022), and strong interpersonal involvement may increase emotional labor in demanding contexts. This duality reflects a well-established paradox: the same qualities that contribute to professional fulfillment may also increase vulnerability to stress. In the context of this study, the strong predictive power of work-specific characteristics for compassion satisfaction, combined with their previously observed non-significant relationship with compassion fatigue, suggests that these characteristics may primarily enhance positive outcomes rather than reduce negative ones.</w:t>
      </w:r>
    </w:p>
    <w:p w14:paraId="2F999DBE"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findings further indicate that work-specific characteristics significantly predict compassion satisfaction but do not significantly predict compassion fatigue. Therefore, the hypothesis is partially supported, indicating that the expected relationship holds for positive outcomes (compassion satisfaction) but not for negative outcomes (compassion fatigue). In terms of standards, the model meets expectations in explaining professional fulfillment but does not fully meet expectations in explaining emotional exhaustion. This highlights that different mechanisms may influence different aspects of guidance counselors' well-being.</w:t>
      </w:r>
    </w:p>
    <w:p w14:paraId="33454516"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results also underscore the importance of adopting a multidimensional and structural perspective. While regression analysis demonstrates that work-specific characteristics collectively influence compassion satisfaction, it does not fully capture the complexity of their interactions with other variables. Prior research suggests that these characteristics operate through both direct and indirect pathways, interacting with contextual factors such as workload and organizational support. Structural Equation Modeling (SEM), as employed in this study, provides a more comprehensive framework by allowing the simultaneous examination of these multiple pathways. This addresses a critical gap in the literature, where many studies rely on isolated predictors rather than integrated models.</w:t>
      </w:r>
    </w:p>
    <w:p w14:paraId="03782647"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Overall, the findings demonstrate that work-specific characteristics have a strong and meaningful influence on compassion satisfaction among guidance counselors. These characteristics enable guidance counselors to build meaningful relationships, maintain </w:t>
      </w:r>
      <w:r w:rsidRPr="001B39BA">
        <w:rPr>
          <w:rFonts w:ascii="Arial" w:eastAsiaTheme="minorHAnsi" w:hAnsi="Arial" w:cs="Arial"/>
          <w:kern w:val="2"/>
          <w:lang w:val="en-SG"/>
          <w14:ligatures w14:val="standardContextual"/>
        </w:rPr>
        <w:lastRenderedPageBreak/>
        <w:t xml:space="preserve">authenticity, and manage emotional demands, thereby contributing to greater professional fulfillment. However, the results also highlight that these characteristics alone are not sufficient to explain the full range of guidance counselor well-being. Within the Mindanao context, this suggests that while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counselors possess strong individual competencies, their satisfaction is also shaped by systemic and environmental factors. Therefore, sustaining high levels of compassion satisfaction requires a balanced approach that integrates personal skill development with institutional support and resource provision.</w:t>
      </w:r>
    </w:p>
    <w:p w14:paraId="336117A2"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2ED47147"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Interaction among constructs in Work-Specific Characteristics</w:t>
      </w:r>
    </w:p>
    <w:p w14:paraId="270A78F3"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p>
    <w:p w14:paraId="57CED90B"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This study examined the interaction between compassion satisfaction and compassion fatigue to determine whether these two aspects of guidance counselor well-being jointly influence work-specific characteristics such as empathic understanding, genuineness, non-judgmental attitude, interpersonal skills, and self-compassion. In simple terms, interaction analysis tests whether the effect of one variable depends on the level of another. Using a General Linear Model (GLM) within a multidimensional framework, the results showed that none of the interaction effects were statistically significant, as all p-values exceeded the .05 threshold and effect sizes were negligible. This indicates that compassion fatigue does not alter or modify the relationship between compassion satisfaction and the identified professional characteristics.</w:t>
      </w:r>
    </w:p>
    <w:p w14:paraId="356961E0"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This finding suggests that the influence of compassion satisfaction on work-specific characteristics remains stable regardless of the level of fatigue experienced by guidance counselors. In practical terms, this means that guidance counselors who experience high or low levels of compassion fatigue still demonstrate similar levels of empathy, genuineness, interpersonal skills, and self-compassion when their level of satisfaction is taken into account. The extremely small effect sizes further reinforce this interpretation, indicating that the interaction effects are not only statistically non-significant but also practically negligible. Thus, the expected interaction effect fails to meet the standard, as the data do not support the assumption that satisfaction and fatigue jointly shape professional characteristics.</w:t>
      </w:r>
    </w:p>
    <w:p w14:paraId="26DC90EA"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Instead, the findings indicate that compassion satisfaction and compassion fatigue operate independently rather than interactively. This aligns with the Professional Quality of Life Model, which conceptualizes these constructs as distinct but coexisting dimensions </w:t>
      </w:r>
      <w:r w:rsidRPr="001B39BA">
        <w:rPr>
          <w:rFonts w:ascii="Arial" w:eastAsiaTheme="minorHAnsi" w:hAnsi="Arial" w:cs="Arial"/>
          <w:kern w:val="2"/>
          <w:lang w:val="en-SG"/>
          <w14:ligatures w14:val="standardContextual"/>
        </w:rPr>
        <w:lastRenderedPageBreak/>
        <w:t>of professional quality of life. In this view, guidance counselors can simultaneously experience fulfillment and fatigue without one necessarily affecting the other. This helps explain why no interaction effect was observed: the two constructs may influence guidance counselor functioning through separate pathways rather than a combined mechanism.</w:t>
      </w:r>
    </w:p>
    <w:p w14:paraId="76B01FDF"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The findings both confirm and challenge existing literature. On the one hand, prior studies suggest that complex interactions among emotional and relational variables shape work-specific characteristics. Mediation and SEM-based studies, for instance, show that empathy, self-compassion, and interpersonal skills interact with coping mechanisms and contextual factors to influence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 outcomes (Neff &amp; Germer, 2018; Ranjouri et al., 2025). On the other hand, some research supports the independence of positive and negative dimensions of well-being, indicating that compassion satisfaction and fatigue may function separately rather than interactively (Stamm, 2010). The present findings align more closely with the latter perspective, suggesting that the relationship between satisfaction and professional characteristics is not contingent on fatigue levels.</w:t>
      </w:r>
      <w:r w:rsidRPr="001B39BA">
        <w:rPr>
          <w:rFonts w:ascii="Arial" w:eastAsiaTheme="minorHAnsi" w:hAnsi="Arial" w:cs="Arial"/>
          <w:kern w:val="2"/>
          <w:lang w:val="en-SG"/>
          <w14:ligatures w14:val="standardContextual"/>
        </w:rPr>
        <w:tab/>
      </w:r>
      <w:r w:rsidRPr="001B39BA">
        <w:rPr>
          <w:rFonts w:ascii="Arial" w:eastAsiaTheme="minorHAnsi" w:hAnsi="Arial" w:cs="Arial"/>
          <w:kern w:val="2"/>
          <w:lang w:val="en-SG"/>
          <w14:ligatures w14:val="standardContextual"/>
        </w:rPr>
        <w:tab/>
        <w:t>This interpretation is particularly relevant in the Mindanao context, where guidance counselors often operate under challenging conditions, including high workloads, limited institutional support, and diverse student needs. In such settings, structural and environmental factors may exert a stronger influence on guidance counselor functioning than the interaction between internal states. As noted in local discussions on guidance counselor roles and constraints, the effectiveness of guidance services is shaped not only by individual competencies but also by systemic conditions. This may explain why the interaction between satisfaction and fatigue did not produce significant effects: these variables may be influenced more by external factors than by their combined internal dynamics.</w:t>
      </w:r>
    </w:p>
    <w:p w14:paraId="5DC3970F"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The absence of significant interaction effects underscores the importance of adopting a multidimensional, structural perspective in analyzing guidance counselor well-being. While GLM interaction analysis is useful for identifying conditional effects, it may not fully capture the complexity of relationships among multiple variables. Research increasingly emphasizes that guidance counselor outcomes are shaped by networks of direct and indirect influences rather than simple interaction patterns. Structural Equation Modeling (SEM), as employed in this study, provides a more comprehensive framework by allowing the simultaneous examination of these multiple pathways. </w:t>
      </w:r>
    </w:p>
    <w:p w14:paraId="33870DC4"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Overall, the findings indicate that the interaction between compassion satisfaction and compassion fatigue does not significantly influence work-specific characteristics </w:t>
      </w:r>
      <w:r w:rsidRPr="001B39BA">
        <w:rPr>
          <w:rFonts w:ascii="Arial" w:eastAsiaTheme="minorHAnsi" w:hAnsi="Arial" w:cs="Arial"/>
          <w:kern w:val="2"/>
          <w:lang w:val="en-SG"/>
          <w14:ligatures w14:val="standardContextual"/>
        </w:rPr>
        <w:lastRenderedPageBreak/>
        <w:t>among guidance counselors. This means that the hypothesis proposing a significant interaction effect is not supported. However, this does not diminish the importance of these variables. Instead, it suggests that they function as independent contributors to guidance counselors' well-being. Within the Mindanao setting, this underscores the importance of addressing both dimensions separately: enhancing compassion satisfaction through skill development and professional engagement, while managing compassion fatigue through workload reduction and institutional support. A comprehensive approach that recognizes the independent yet complementary roles of these factors is essential for sustaining the effectiveness and well-being of guidance counselors.</w:t>
      </w:r>
    </w:p>
    <w:p w14:paraId="5F27E095"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17DF9FCE"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Initial Structural Model Fit </w:t>
      </w:r>
    </w:p>
    <w:p w14:paraId="790255FC"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69A98E91"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Structural Equation Modeling (SEM) was employed in this study to examine how work-specific characteristics, compassion fatigue, and compassion satisfaction are related within a single, integrated framework. In simple terms, SEM allows researchers to test whether a proposed model accurately represents how different variables are connected based on real data. To evaluate this, several model fit indices were used, including the Comparative Fit Index (CFI), the Tucker–Lewis Index (TLI), the Root Mean Square Error of Approximation (RMSEA), and the Standardized Root Mean Square Residual (SRMR). These indices indicate how well the hypothesized model reflects the observed relationships among variables.</w:t>
      </w:r>
    </w:p>
    <w:p w14:paraId="28CF51C7"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results of the initial model showed that none of the fit indices met the acceptable criteria. Specifically, the CFI and TLI were substantially below the recommended threshold of 0.90, indicating poor incremental fit. Similarly, the RMSEA and SRMR exceeded the acceptable limit of 0.08, suggesting substantial error and discrepancies between the observed data and the proposed model. In practical terms, the hypothesized relationships among work-specific characteristics, compassion fatigue, and compassion satisfaction do not adequately represent the actual patterns in the data. Thus, the model fails to meet the required standards for good fit, indicating an unmet model specification.</w:t>
      </w:r>
    </w:p>
    <w:p w14:paraId="348117DC"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This finding highlights an important insight: although the theoretical relationships are conceptually sound, they may not fully capture the complexity of real-world counselor experiences. In behavioral research, poor model fit does not necessarily invalidate the theory; rather, it suggests the model is incomplete or misspecified. This interpretation is </w:t>
      </w:r>
      <w:r w:rsidRPr="001B39BA">
        <w:rPr>
          <w:rFonts w:ascii="Arial" w:eastAsiaTheme="minorHAnsi" w:hAnsi="Arial" w:cs="Arial"/>
          <w:kern w:val="2"/>
          <w:lang w:val="en-SG"/>
          <w14:ligatures w14:val="standardContextual"/>
        </w:rPr>
        <w:lastRenderedPageBreak/>
        <w:t>supported by the existing literature, which emphasizes that professional quality of life is shaped by complex, multidimensional interactions among variables rather than simple linear relationships. Regression-based and mediation studies often identify significant individual predictors, but they fail to account for the simultaneous interplay among relational and intrapersonal factors. The poor fit of the initial model, therefore, confirms the need for a more refined structural representation.</w:t>
      </w:r>
    </w:p>
    <w:p w14:paraId="577D2139"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A closer examination of Figure 4 provides further insight into these findings. At the measurement level, work-specific characteristics were modeled as a latent construct reflected by empathic understanding, genuineness, non-judgmental attitude, interpersonal skills, and self-compassion. This reflects a multidimensional approach, recognizing that these competencies function collectively rather than independently. At the structural level, the model shows a strong and statistically significant direct effect of work-specific characteristics on compassion satisfaction. This indicates that guidance counselors with higher levels of professional competencies tend to experience greater fulfillment in their roles, supporting strengths-based perspectives that emphasize the importance of relational and personal skills in enhancing well-being.</w:t>
      </w:r>
    </w:p>
    <w:p w14:paraId="76705A6D"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However, the paths involving compassion fatigue were not statistically significant, indicating that emotional exhaustion does not have a direct or reliable influence on either compassion satisfaction or work-specific characteristics in this model. Additionally, the absence of significant indirect effects suggests that compassion fatigue does not mediate the relationship between competencies and satisfaction. In practical terms, this means that guidance counselors’ professional fulfillment is driven more directly by their skills and competencies than by reduced fatigue. While this finding aligns with some literature suggesting that the positive and negative dimensions of well-being operate independently, it also contradicts studies that emphasize the mediating role of emotional processes, such as burnout and stress, in shaping professional outcomes.</w:t>
      </w:r>
    </w:p>
    <w:p w14:paraId="4F49F5D1"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The inconsistency between significant structural paths and poor overall model fit is particularly important. While individual relationships, such as the strong effect of work-specific characteristics on compassion satisfaction, are meaningful, the overall model fails to capture the full system of interactions among variables. This suggests that additional pathways, variables, or error covariances may be missing. In the Mindanao context, this limitation may reflect the influence of unmeasured contextual factors such as workload, institutional support, cultural dynamics, and resource availability, which are known to affect guidance counselors’ professional experiences but were not explicitly included in the </w:t>
      </w:r>
      <w:r w:rsidRPr="001B39BA">
        <w:rPr>
          <w:rFonts w:ascii="Arial" w:eastAsiaTheme="minorHAnsi" w:hAnsi="Arial" w:cs="Arial"/>
          <w:kern w:val="2"/>
          <w:lang w:val="en-SG"/>
          <w14:ligatures w14:val="standardContextual"/>
        </w:rPr>
        <w:lastRenderedPageBreak/>
        <w:t>model. These contextual realities may contribute to the misfit by introducing variability that the current model does not account for.</w:t>
      </w:r>
    </w:p>
    <w:p w14:paraId="63683441"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These findings both confirm and challenge existing research. On one hand, they support studies showing that work-specific characteristics are strong predictors of compassion satisfaction. On the other hand, they challenge assumptions that compassion fatigue plays a central structural role in explaining guidance counselor outcomes. This aligns with emerging literature suggesting that guidance counselor well-being is not fully explained by direct or mediated pathways alone but requires a more comprehensive, context-sensitive framework.</w:t>
      </w:r>
    </w:p>
    <w:p w14:paraId="2FA99FF2"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The poor fit of the initial model, therefore, underscores the importance of using SEM not only as a confirmatory tool but also as a diagnostic one. Rather than indicating failure, the results highlight areas for model refinement and theoretical improvement. SEM is particularly valuable in this regard because it allows researchers to identify which parts of the model are supported and which require modification. In this study, the results suggest that while the multidimensional structure of work-specific characteristics is appropriate, the structural relationships among variables require revision to better reflect the complexity of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 well-being.</w:t>
      </w:r>
    </w:p>
    <w:p w14:paraId="1969C3D5"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Overall, the findings demonstrate that the initial structural equation model does not adequately fit the empirical data, indicating that the hypothesized relationships are only partially supported. While the model successfully captures the strong role of work-specific characteristics in predicting compassion satisfaction, it fails to account for broader systemic influences on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 outcomes. This represents an unmet standard in terms of overall model fit but also provides valuable direction for model modification. Within the Mindanao setting, understanding guidance counselors’ well-being requires not only examining individual competencies but also incorporating contextual and systemic factors into the model. A refined, more comprehensive structural model is therefore necessary to accurately represent the complex, multidimensional nature of guidance counselor experiences.</w:t>
      </w:r>
    </w:p>
    <w:p w14:paraId="098A8FB5"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23B7D79D" w14:textId="77777777" w:rsidR="001B39BA" w:rsidRPr="001B39BA" w:rsidRDefault="001B39BA" w:rsidP="001B39BA">
      <w:pPr>
        <w:widowControl/>
        <w:autoSpaceDE/>
        <w:autoSpaceDN/>
        <w:spacing w:line="360" w:lineRule="auto"/>
        <w:jc w:val="both"/>
        <w:rPr>
          <w:rFonts w:ascii="Arial" w:eastAsia="Times New Roman" w:hAnsi="Arial" w:cs="Arial"/>
          <w:kern w:val="36"/>
          <w:lang w:val="en-SG" w:eastAsia="en-SG"/>
        </w:rPr>
      </w:pPr>
      <w:r w:rsidRPr="001B39BA">
        <w:rPr>
          <w:rFonts w:ascii="Arial" w:eastAsia="Times New Roman" w:hAnsi="Arial" w:cs="Arial"/>
          <w:kern w:val="36"/>
          <w:lang w:val="en-SG" w:eastAsia="en-SG"/>
        </w:rPr>
        <w:t xml:space="preserve">Revised Structural Model Fit </w:t>
      </w:r>
    </w:p>
    <w:p w14:paraId="5ED7791A"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0B4DB6D6"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The revised structural equation model was developed to improve the alignment between the hypothesized relationships and the observed data by refining the connections among work-specific characteristics, compassion fatigue, and compassion satisfaction. In </w:t>
      </w:r>
      <w:r w:rsidRPr="001B39BA">
        <w:rPr>
          <w:rFonts w:ascii="Arial" w:eastAsiaTheme="minorHAnsi" w:hAnsi="Arial" w:cs="Arial"/>
          <w:kern w:val="2"/>
          <w:lang w:val="en-SG"/>
          <w14:ligatures w14:val="standardContextual"/>
        </w:rPr>
        <w:lastRenderedPageBreak/>
        <w:t xml:space="preserve">simple terms, model revision involves adjusting the structure to better reflect how variables are actually related, based on empirical evidence. To evaluate whether these modifications improved the model, several fit indices were examined, including the Comparative Fit Index (CFI), Tucker–Lewis Index (TLI), Root Mean Square Error of Approximation (RMSEA), and Standardized Root Mean Square Residual (SRMR), using established criteria for acceptable fit. The results indicate that although the revised model shows some improvement over the initial model, none of the fit indices met acceptable thresholds. </w:t>
      </w:r>
    </w:p>
    <w:p w14:paraId="3F6BE1CB"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Specifically, the CFI and TLI remained below the recommended value of 0.90, indicating inadequate incremental fit. Similarly, the RMSEA and SRMR exceeded the acceptable cutoff of 0.08, suggesting that the model still contains substantial approximation error and discrepancies between observed and predicted relationships. In practical terms, this means that while the revised model is better than the initial version, it still does not accurately represent the underlying relationships among the variables. Thus, the standard for acceptable model fit remains unmet, indicating that further refinement is necessary.</w:t>
      </w:r>
    </w:p>
    <w:p w14:paraId="28C20F79"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Despite the overall lack of acceptable fit, the model's structural paths provide meaningful insights. As illustrated in Figure 3, work-specific characteristics are modeled as a latent construct, reflected in empathic understanding, genuineness, a non-judgmental attitude, interpersonal skills, and self-compassion. This confirms the appropriateness of a multidimensional measurement approach, recognizing that these competencies function collectively as a unified construct rather than as isolated traits. At the structural level, the model shows a strong and statistically significant direct effect of work-specific characteristics on compassion satisfaction. This indicates that guidance counselors who demonstrate higher levels of relational and intrapersonal competencies are more likely to experience greater professional fulfillment. This finding supports a strengths-based perspective and aligns with the literature, which shows that interpersonal skills, empathy, and self-compassion are key drivers of guidance counselors' well-being.</w:t>
      </w:r>
    </w:p>
    <w:p w14:paraId="37D86FEC"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In contrast, the paths involving compassion fatigue remain non-significant, indicating that emotional exhaustion does not have a direct or reliable effect on either compassion satisfaction or work-specific characteristics. Additionally, the absence of significant indirect effects suggests that compassion fatigue does not mediate the relationship between competencies and satisfaction. This finding challenges assumptions in some prior studies that emphasize the central role of fatigue-related processes in shaping professional outcomes. Instead, it aligns with research suggesting that </w:t>
      </w:r>
      <w:r w:rsidRPr="001B39BA">
        <w:rPr>
          <w:rFonts w:ascii="Arial" w:eastAsiaTheme="minorHAnsi" w:hAnsi="Arial" w:cs="Arial"/>
          <w:kern w:val="2"/>
          <w:lang w:val="en-SG"/>
          <w14:ligatures w14:val="standardContextual"/>
        </w:rPr>
        <w:lastRenderedPageBreak/>
        <w:t>compassion satisfaction and compassion fatigue may function as distinct dimensions influenced by distinct mechanisms. Thus, while the structural relationships partially support theoretical expectations, they also reveal important limitations in the model.</w:t>
      </w:r>
    </w:p>
    <w:p w14:paraId="054A77D8"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coexistence of meaningful structural paths and poor overall model fit highlights a critical issue in model evaluation. While individual relationships, such as the strong effect of work-specific characteristics on compassion satisfaction, are statistically significant and theoretically meaningful, the model as a whole fails to capture the full complexity of interactions among variables. This suggests that important pathways or contextual factors may be missing. In the Mindanao context, this limitation may reflect the influence of external conditions such as high workload, limited institutional support, and diverse student needs, which are not fully represented in the model but are known to shape guidance counselors’ experiences. These contextual factors may introduce variability that reduces model fit, even when key relationships are correctly specified.</w:t>
      </w:r>
    </w:p>
    <w:p w14:paraId="14E45B69"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findings both confirm and complicate existing literature. On one hand, they reinforce evidence that work-specific characteristics are strong predictors of compassion satisfaction. On the other hand, they challenge models that assume a central mediating or predictive role for compassion fatigue. This discrepancy reflects the broader inconsistency in the literature, where some studies emphasize direct effects of competencies, while others highlight indirect or context-dependent relationships. As noted in previous research, professional quality of life is best understood as a multidimensional and interconnected system rather than a set of simple linear relationships.</w:t>
      </w:r>
    </w:p>
    <w:p w14:paraId="179378A1"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These results further underscore the importance of Structural Equation Modeling as both a confirmatory and exploratory tool. While SEM is designed to test theoretical models, it also provides diagnostic information about where models fail and how they can be improved. The revised model's inability to achieve an acceptable fit suggests that further modifications are needed, including the addition of contextual variables, alternative pathways, or revised measurement structures. This aligns with methodological literature emphasizing that SEM is most effective when used iteratively to refine theoretical models rather than as a one-time confirmatory test.</w:t>
      </w:r>
    </w:p>
    <w:p w14:paraId="0F8775C8"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Overall, the findings indicate that the revised structural model, although improved, still does not achieve an adequate level of fit, falling short of the standard for overall model adequacy. However, the model successfully identifies work-specific characteristics as a strong and consistent predictor of compassion satisfaction, while demonstrating that compassion fatigue does not play a significant structural role in this relationship. Within </w:t>
      </w:r>
      <w:r w:rsidRPr="001B39BA">
        <w:rPr>
          <w:rFonts w:ascii="Arial" w:eastAsiaTheme="minorHAnsi" w:hAnsi="Arial" w:cs="Arial"/>
          <w:kern w:val="2"/>
          <w:lang w:val="en-SG"/>
          <w14:ligatures w14:val="standardContextual"/>
        </w:rPr>
        <w:lastRenderedPageBreak/>
        <w:t>the Mindanao setting, enhancing guidance counselors’ professional competencies may be a more effective strategy for improving well-being than focusing solely on reducing fatigue. At the same time, the results highlight the need to incorporate contextual and systemic factors into future models to more accurately capture the complexity of guidance counselors’ professional experiences.</w:t>
      </w:r>
    </w:p>
    <w:p w14:paraId="5ABE4376"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502EDC7C" w14:textId="77777777" w:rsidR="001B39BA" w:rsidRPr="001B39BA" w:rsidRDefault="001B39BA" w:rsidP="001B39BA">
      <w:pPr>
        <w:widowControl/>
        <w:autoSpaceDE/>
        <w:autoSpaceDN/>
        <w:spacing w:line="360" w:lineRule="auto"/>
        <w:jc w:val="both"/>
        <w:rPr>
          <w:rFonts w:ascii="Arial" w:eastAsia="Times New Roman" w:hAnsi="Arial" w:cs="Arial"/>
          <w:kern w:val="36"/>
          <w:lang w:val="en-SG" w:eastAsia="en-SG"/>
        </w:rPr>
      </w:pPr>
      <w:r w:rsidRPr="001B39BA">
        <w:rPr>
          <w:rFonts w:ascii="Arial" w:eastAsia="Times New Roman" w:hAnsi="Arial" w:cs="Arial"/>
          <w:kern w:val="36"/>
          <w:lang w:val="en-SG" w:eastAsia="en-SG"/>
        </w:rPr>
        <w:t xml:space="preserve">Final Structural Model Fit </w:t>
      </w:r>
    </w:p>
    <w:p w14:paraId="30CD59FD"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510209B0"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final structural equation model was developed to refine the relationships among work-specific characteristics, compassion fatigue, and compassion satisfaction based on empirical evidence. In simple terms, this model shows how guidance counselors’ skills and emotional experiences are connected within a single system. To determine whether the revised model accurately represents these relationships, several goodness-of-fit indices were examined, including the Comparative Fit Index (CFI), Tucker–Lewis Index (TLI), Root Mean Square Error of Approximation (RMSEA), and Standardized Root Mean Square Residual (SRMR), using established standards for acceptable model fit.</w:t>
      </w:r>
    </w:p>
    <w:p w14:paraId="563A896A"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results indicate that the model did not meet the required criteria for acceptable fit. Specifically, the CFI and TLI  were below the recommended threshold of 0.90, indicating inadequate incremental fit. Similarly, the RMSEA and SRMR exceeded the acceptable limit of 0.08, suggesting substantial model error and noticeable discrepancies between observed and predicted relationships. In practical terms, this means that although the model captures some meaningful relationships, it does not accurately reflect the data's overall structure. Thus, the standard for model adequacy is not met, leading to the rejection of the hypothesized structural model as a fully valid representation of the relationships among the variables.</w:t>
      </w:r>
    </w:p>
    <w:p w14:paraId="1EB6979A"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Despite the lack of an acceptable fit, the structural pathways in Figure 4 provide important insights. At the measurement level, work-specific characteristics are represented as a latent construct defined by empathic understanding, genuineness, non-judgmental attitude, interpersonal skills, and self-compassion. This supports the use of a multidimensional tool, indicating that these competencies function collectively as a unified construct of professional capability. At the structural level, the model shows a strong direct effect of work-specific characteristics on compassion satisfaction, suggesting that guidance counselors’ relational and intrapersonal competencies play a central role in enhancing professional fulfillment. This finding is consistent with prior literature indicating </w:t>
      </w:r>
      <w:r w:rsidRPr="001B39BA">
        <w:rPr>
          <w:rFonts w:ascii="Arial" w:eastAsiaTheme="minorHAnsi" w:hAnsi="Arial" w:cs="Arial"/>
          <w:kern w:val="2"/>
          <w:lang w:val="en-SG"/>
          <w14:ligatures w14:val="standardContextual"/>
        </w:rPr>
        <w:lastRenderedPageBreak/>
        <w:t>that empathy, interpersonal skills, and self-compassion are key predictors of positive professional outcomes.</w:t>
      </w:r>
    </w:p>
    <w:p w14:paraId="5DE2BE98"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In contrast, the paths involving compassion fatigue remain non-significant, indicating that emotional exhaustion does not have a direct or reliable influence on either compassion satisfaction or work-specific characteristics. Additionally, the absence of significant indirect effects suggests that compassion fatigue does not mediate the relationship between competencies and satisfaction. This finding challenges models that position fatigue as a central mechanism linking guidance counselor characteristics to outcomes. Instead, it supports research suggesting that compassion satisfaction and compassion fatigue may function as distinct but coexisting dimensions, influenced by different processes. Thus, while the model confirms the importance of competencies in predicting satisfaction, it does not support the hypothesized role of fatigue within the structural system.</w:t>
      </w:r>
    </w:p>
    <w:p w14:paraId="5EB6AA47"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coexistence of meaningful structural relationships and poor overall model fit highlights a critical issue in model evaluation. While individual pathways, particularly the strong effect of work-specific characteristics on compassion satisfaction, are theoretically and statistically supported, the model as a whole fails to capture the full complexity of guidance counselor well-being. This indicates that important variables or pathways may be missing. In the Mindanao context, this limitation is especially relevant. Guidance counselors often work under conditions characterized by high workload, limited institutional support, and diverse student needs, which may influence both satisfaction and fatigue but are not explicitly included in the model. These contextual factors likely contribute to unexplained variance and model misfit, suggesting that guidance counselor well-being cannot be fully understood without incorporating environmental and systemic influences.</w:t>
      </w:r>
    </w:p>
    <w:p w14:paraId="20AF5690"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findings both confirm and complicate existing literature. On one hand, they reinforce the well-established role of work-specific characteristics as strong predictors of compassion satisfaction. On the other hand, they contradict studies that emphasize compassion fatigue's mediating or predictive role in shaping professional outcomes. This inconsistency reflects the broader complexity identified in the literature, in which work-specific characteristics may simultaneously function as protective and risk factors depending on context and regulation. As highlighted in prior research, professional quality of life is best understood as a multidimensional and interconnected system rather than a set of simple linear relationships.</w:t>
      </w:r>
    </w:p>
    <w:p w14:paraId="019893F4"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lastRenderedPageBreak/>
        <w:t>These results underscore the importance of Structural Equation Modeling as both a confirmatory and diagnostic tool. While SEM is designed to test theoretical models, it also helps identify where models fail and what needs improvement. The revised model's inability to achieve an acceptable fit suggests that further refinement is necessary, potentially involving the inclusion of contextual variables, alternative pathways, or revised theoretical assumptions. This aligns with methodological recommendations that SEM should be used iteratively to develop more accurate and comprehensive models of complex phenomena.</w:t>
      </w:r>
    </w:p>
    <w:p w14:paraId="5570AF9C"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Overall, the findings indicate that the revised structural model shows partial improvement but still does not achieve acceptable fit, falling short of the unmet standard for overall model adequacy. While the model successfully identifies work-specific characteristics as a strong determinant of compassion satisfaction, it fails to fully capture the broader system of influences affecting guidance counselors' well-being. In the Mindanao setting, enhancing guidance counselors’ competencies remains essential for promoting professional fulfillment. However, it must be complemented by efforts to address contextual challenges, such as workload, institutional support, and resource availability. A more comprehensive and context-sensitive model is therefore necessary to accurately represent the multidimensional nature of guidance counselors’ professional experiences.</w:t>
      </w:r>
    </w:p>
    <w:p w14:paraId="5F0DE7CF"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3382EA55"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Summary of the Final Structural Model Fit</w:t>
      </w:r>
    </w:p>
    <w:p w14:paraId="40649B91"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p>
    <w:p w14:paraId="6EB0D799"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final structural equation model provides an integrated understanding of how work-specific characteristics, compassion fatigue, and compassion satisfaction interact to shape guidance counselors' professional well-being. Rather than viewing these variables in isolation, the model highlights how relational competencies, internal resources, and emotional experiences contribute differently to guidance counselors’ sense of fulfillment and strain. This perspective aligns with the Professional Quality of Life Model, which conceptualizes well-being as consisting of both positive and negative dimensions that may coexist.</w:t>
      </w:r>
    </w:p>
    <w:p w14:paraId="114C0531"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A central finding of the model is that work-specific characteristics consistently emerge as the strongest determinant of compassion satisfaction. This indicates that guidance counselors’ ability to build meaningful relationships, demonstrate authenticity, and maintain self-awareness is critical to sustaining professional fulfillment. In essence, </w:t>
      </w:r>
      <w:r w:rsidRPr="001B39BA">
        <w:rPr>
          <w:rFonts w:ascii="Arial" w:eastAsiaTheme="minorHAnsi" w:hAnsi="Arial" w:cs="Arial"/>
          <w:kern w:val="2"/>
          <w:lang w:val="en-SG"/>
          <w14:ligatures w14:val="standardContextual"/>
        </w:rPr>
        <w:lastRenderedPageBreak/>
        <w:t>the guidance counselors' guidance, particularly their interpersonal and intrapersonal competencies, has a more direct and reliable impact on their sense of purpose than other factors examined in the study. This finding is supported by research showing that empathy, interpersonal effectiveness, and relational depth significantly predict therapeutic outcomes and professional satisfaction (Elliott et al., 2023a; Norcross &amp; Lambert, 2019). Similarly, self-compassion and emotional regulation have been identified as key resources that enhance guidance counselors’ well-being and resilience (Crego et al., 2022a; Özden &amp; Kaya, 2025).</w:t>
      </w:r>
    </w:p>
    <w:p w14:paraId="2C6FDEFA"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In contrast, compassion fatigue does not exert a significant structural influence within the model. Although emotional strain is present, it does not directly diminish guidance counselors’ satisfaction nor alter their professional competencies in a statistically meaningful way. This suggests that positive and negative dimensions of professional experience can coexist without necessarily weakening each other, consistent with theoretical perspectives emphasizing the independence of these constructs (Stamm, 2010). However, this finding contrasts with studies indicating that burnout and emotional exhaustion can significantly reduce professional satisfaction and effectiveness (Kapoor, 2022; Kim &amp; Lambie, 2018). This discrepancy suggests that fatigue's impact may be context-dependent and moderated by internal coping resources.</w:t>
      </w:r>
    </w:p>
    <w:p w14:paraId="5AC9DCCF"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At the same time, the variability observed in compassion fatigue indicates that experiences of strain differ across individuals, suggesting that factors beyond personal competencies alone shape fatigue. Research has shown that workload, organizational support, and exposure to client distress are significant predictors of compassion fatigue (Singh et al., 2020a; Liang &amp; Yin, 2025a). In the Mindanao context, where guidance counselors often work under resource constraints and high service demands, these external factors may play a more substantial role in shaping fatigue. In contrast, the relative consistency in compassion satisfaction suggests that fulfillment is a more stable and shared experience among guidance counselors, likely grounded in the intrinsic value of helping others.</w:t>
      </w:r>
    </w:p>
    <w:p w14:paraId="0D28CFB0"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Taken together, these findings suggest that guidance counselor well-being is best understood as a multidimensional system in which different factors operate through distinct pathways. Work-specific characteristics primarily enhance positive professional outcomes, while compassion fatigue reflects a parallel experience influenced by both individual and contextual conditions. This interpretation is consistent with emerging </w:t>
      </w:r>
      <w:r w:rsidRPr="001B39BA">
        <w:rPr>
          <w:rFonts w:ascii="Arial" w:eastAsiaTheme="minorHAnsi" w:hAnsi="Arial" w:cs="Arial"/>
          <w:kern w:val="2"/>
          <w:lang w:val="en-SG"/>
          <w14:ligatures w14:val="standardContextual"/>
        </w:rPr>
        <w:lastRenderedPageBreak/>
        <w:t>literature emphasizing that guidance counselor outcomes are shaped by complex interactions rather than single predictors (Ranjouri et al., 2025).</w:t>
      </w:r>
    </w:p>
    <w:p w14:paraId="71B44849"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However, the model's overall fit indicates that it does not fully capture the complexity of these relationships. This suggests that additional variables, particularly contextual and organizational factors, are needed to better represent guidance counselors' experiences. Prior research supports this limitation, noting that models excluding environmental influences often fail to achieve optimal fit (Bakker &amp; Demerouti, 2020). Thus, while the model provides meaningful insights, it should be interpreted as a partial representation rather than a complete explanation of </w:t>
      </w:r>
      <w:r w:rsidRPr="001B39BA">
        <w:rPr>
          <w:rFonts w:ascii="Arial" w:hAnsi="Arial" w:cs="Arial"/>
        </w:rPr>
        <w:t xml:space="preserve">guidance </w:t>
      </w:r>
      <w:r w:rsidRPr="001B39BA">
        <w:rPr>
          <w:rFonts w:ascii="Arial" w:eastAsiaTheme="minorHAnsi" w:hAnsi="Arial" w:cs="Arial"/>
          <w:kern w:val="2"/>
          <w:lang w:val="en-SG"/>
          <w14:ligatures w14:val="standardContextual"/>
        </w:rPr>
        <w:t>counselor well-being.</w:t>
      </w:r>
    </w:p>
    <w:p w14:paraId="2C45FEF3"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In the context of Mindanao, these findings underscore the importance of adopting a balanced approach to supporting guidance counselors. Strengthening interpersonal skills, authenticity, and self-compassion can enhance professional fulfillment, but these must be complemented by systemic efforts to address workload, resource limitations, and institutional support. Without such balance, even highly competent </w:t>
      </w:r>
      <w:r w:rsidRPr="001B39BA">
        <w:rPr>
          <w:rFonts w:ascii="Arial" w:hAnsi="Arial" w:cs="Arial"/>
        </w:rPr>
        <w:t xml:space="preserve">guidance </w:t>
      </w:r>
      <w:r w:rsidRPr="001B39BA">
        <w:rPr>
          <w:rFonts w:ascii="Arial" w:eastAsiaTheme="minorHAnsi" w:hAnsi="Arial" w:cs="Arial"/>
          <w:kern w:val="2"/>
          <w:lang w:val="en-SG"/>
          <w14:ligatures w14:val="standardContextual"/>
        </w:rPr>
        <w:t xml:space="preserve">counselors may struggle to sustain long-term well-being. Overall, the final model highlights a key insight: guidance counselors’ professional fulfillment is driven more by what strengthens them than by what drains them. This reinforces the importance of investing in both personal competencies and supportive work environments to ensure that guidance counselors remain effective, resilient, and responsive to students' diverse needs. </w:t>
      </w:r>
    </w:p>
    <w:p w14:paraId="14526F72" w14:textId="77777777" w:rsidR="001B39BA" w:rsidRPr="001B39BA" w:rsidRDefault="001B39BA" w:rsidP="001B39BA">
      <w:pPr>
        <w:pStyle w:val="NoSpacing"/>
        <w:spacing w:line="360" w:lineRule="auto"/>
        <w:ind w:firstLine="720"/>
        <w:jc w:val="both"/>
        <w:rPr>
          <w:rFonts w:ascii="Arial" w:eastAsia="Times New Roman" w:hAnsi="Arial" w:cs="Arial"/>
          <w:lang w:val="en-SG"/>
        </w:rPr>
      </w:pPr>
      <w:r w:rsidRPr="001B39BA">
        <w:rPr>
          <w:rFonts w:ascii="Arial" w:hAnsi="Arial" w:cs="Arial"/>
        </w:rPr>
        <w:t xml:space="preserve">On the other hand, this study provides a comprehensive, multidimensional understanding of guidance counselors’ professional well-being by examining the roles of work-specific characteristics, compassion satisfaction, and compassion fatigue within an integrated structural framework. The findings reveal that guidance counselors demonstrate </w:t>
      </w:r>
      <w:r w:rsidRPr="001B39BA">
        <w:rPr>
          <w:rStyle w:val="Strong"/>
          <w:rFonts w:ascii="Arial" w:hAnsi="Arial" w:cs="Arial"/>
          <w:b w:val="0"/>
          <w:bCs w:val="0"/>
        </w:rPr>
        <w:t>high levels of relational and intrapersonal competencies</w:t>
      </w:r>
      <w:r w:rsidRPr="001B39BA">
        <w:rPr>
          <w:rFonts w:ascii="Arial" w:hAnsi="Arial" w:cs="Arial"/>
        </w:rPr>
        <w:t xml:space="preserve">, alongside </w:t>
      </w:r>
      <w:r w:rsidRPr="001B39BA">
        <w:rPr>
          <w:rStyle w:val="Strong"/>
          <w:rFonts w:ascii="Arial" w:hAnsi="Arial" w:cs="Arial"/>
          <w:b w:val="0"/>
          <w:bCs w:val="0"/>
        </w:rPr>
        <w:t>high compassion satisfaction</w:t>
      </w:r>
      <w:r w:rsidRPr="001B39BA">
        <w:rPr>
          <w:rFonts w:ascii="Arial" w:hAnsi="Arial" w:cs="Arial"/>
          <w:b/>
          <w:bCs/>
        </w:rPr>
        <w:t xml:space="preserve"> </w:t>
      </w:r>
      <w:r w:rsidRPr="001B39BA">
        <w:rPr>
          <w:rFonts w:ascii="Arial" w:hAnsi="Arial" w:cs="Arial"/>
        </w:rPr>
        <w:t xml:space="preserve">and </w:t>
      </w:r>
      <w:r w:rsidRPr="001B39BA">
        <w:rPr>
          <w:rStyle w:val="Strong"/>
          <w:rFonts w:ascii="Arial" w:hAnsi="Arial" w:cs="Arial"/>
          <w:b w:val="0"/>
          <w:bCs w:val="0"/>
        </w:rPr>
        <w:t>moderate, manageable levels of compassion fatigue</w:t>
      </w:r>
      <w:r w:rsidRPr="001B39BA">
        <w:rPr>
          <w:rFonts w:ascii="Arial" w:hAnsi="Arial" w:cs="Arial"/>
          <w:b/>
          <w:bCs/>
        </w:rPr>
        <w:t>.</w:t>
      </w:r>
      <w:r w:rsidRPr="001B39BA">
        <w:rPr>
          <w:rFonts w:ascii="Arial" w:hAnsi="Arial" w:cs="Arial"/>
        </w:rPr>
        <w:t xml:space="preserve"> Importantly, work-specific characteristics significantly predict compassion satisfaction but do not directly predict compassion fatigue, while compassion fatigue does not mediate the relationship between competencies and satisfaction. Furthermore, although the structural model was theoretically meaningful, it did not achieve acceptable fit, indicating that guidance counselors’ well-being is influenced by broader contextual and systemic factors beyond the variables included in the model.</w:t>
      </w:r>
    </w:p>
    <w:p w14:paraId="398A209C" w14:textId="77777777" w:rsidR="001B39BA" w:rsidRPr="001B39BA" w:rsidRDefault="001B39BA" w:rsidP="001B39BA">
      <w:pPr>
        <w:pStyle w:val="NoSpacing"/>
        <w:spacing w:line="360" w:lineRule="auto"/>
        <w:ind w:firstLine="720"/>
        <w:jc w:val="both"/>
        <w:rPr>
          <w:rFonts w:ascii="Arial" w:hAnsi="Arial" w:cs="Arial"/>
        </w:rPr>
      </w:pPr>
      <w:r w:rsidRPr="001B39BA">
        <w:rPr>
          <w:rFonts w:ascii="Arial" w:hAnsi="Arial" w:cs="Arial"/>
        </w:rPr>
        <w:t xml:space="preserve">These results underscore a critical insight: </w:t>
      </w:r>
      <w:r w:rsidRPr="001B39BA">
        <w:rPr>
          <w:rStyle w:val="Strong"/>
          <w:rFonts w:ascii="Arial" w:hAnsi="Arial" w:cs="Arial"/>
          <w:b w:val="0"/>
          <w:bCs w:val="0"/>
        </w:rPr>
        <w:t xml:space="preserve">guidance counselors’ professional fulfillment is driven more by their strengths and competencies than by fatigue reduction </w:t>
      </w:r>
      <w:r w:rsidRPr="001B39BA">
        <w:rPr>
          <w:rStyle w:val="Strong"/>
          <w:rFonts w:ascii="Arial" w:hAnsi="Arial" w:cs="Arial"/>
          <w:b w:val="0"/>
          <w:bCs w:val="0"/>
        </w:rPr>
        <w:lastRenderedPageBreak/>
        <w:t>alone</w:t>
      </w:r>
      <w:r w:rsidRPr="001B39BA">
        <w:rPr>
          <w:rFonts w:ascii="Arial" w:hAnsi="Arial" w:cs="Arial"/>
        </w:rPr>
        <w:t xml:space="preserve">. At the same time, environmental and organizational conditions more strongly shape emotional strain. Thus, guidance counselors' well-being is best understood as a </w:t>
      </w:r>
      <w:r w:rsidRPr="001B39BA">
        <w:rPr>
          <w:rStyle w:val="Strong"/>
          <w:rFonts w:ascii="Arial" w:hAnsi="Arial" w:cs="Arial"/>
          <w:b w:val="0"/>
          <w:bCs w:val="0"/>
        </w:rPr>
        <w:t>multidimensional, context-dependent phenomenon that requires</w:t>
      </w:r>
      <w:r w:rsidRPr="001B39BA">
        <w:rPr>
          <w:rFonts w:ascii="Arial" w:hAnsi="Arial" w:cs="Arial"/>
        </w:rPr>
        <w:t xml:space="preserve"> both individual and systemic interventions.</w:t>
      </w:r>
    </w:p>
    <w:p w14:paraId="0311E35B" w14:textId="77777777" w:rsidR="001B39BA" w:rsidRPr="001B39BA" w:rsidRDefault="001B39BA" w:rsidP="001B39BA">
      <w:pPr>
        <w:pStyle w:val="NoSpacing"/>
        <w:spacing w:line="360" w:lineRule="auto"/>
        <w:ind w:firstLine="720"/>
        <w:jc w:val="both"/>
        <w:rPr>
          <w:rFonts w:ascii="Arial" w:eastAsia="Times New Roman" w:hAnsi="Arial" w:cs="Arial"/>
          <w:lang w:val="en-SG" w:eastAsia="en-SG"/>
        </w:rPr>
      </w:pPr>
      <w:r w:rsidRPr="001B39BA">
        <w:rPr>
          <w:rFonts w:ascii="Arial" w:eastAsia="Times New Roman" w:hAnsi="Arial" w:cs="Arial"/>
          <w:lang w:val="en-SG" w:eastAsia="en-SG"/>
        </w:rPr>
        <w:t xml:space="preserve">The findings highlight the importance of strengthening interpersonal skills, genuineness, and self-compassion as key drivers of professional fulfillment. While these competencies enhance satisfaction, they must be balanced with intentional self-care practices to prevent emotional exhaustion. Guidance counselors are encouraged to engage in reflective practice, peer supervision, and emotional regulation strategies to sustain long-term well-being. Furthermore, the results emphasize that guidance counselors’ fatigue is influenced more by workload, institutional demands, and resource limitations than by personal competencies alone. </w:t>
      </w:r>
    </w:p>
    <w:p w14:paraId="604BD600" w14:textId="77777777" w:rsidR="001B39BA" w:rsidRPr="001B39BA" w:rsidRDefault="001B39BA" w:rsidP="001B39BA">
      <w:pPr>
        <w:pStyle w:val="NoSpacing"/>
        <w:spacing w:line="360" w:lineRule="auto"/>
        <w:ind w:firstLine="720"/>
        <w:jc w:val="both"/>
        <w:rPr>
          <w:rFonts w:ascii="Arial" w:eastAsia="Times New Roman" w:hAnsi="Arial" w:cs="Arial"/>
          <w:lang w:val="en-SG" w:eastAsia="en-SG"/>
        </w:rPr>
      </w:pPr>
      <w:r w:rsidRPr="001B39BA">
        <w:rPr>
          <w:rFonts w:ascii="Arial" w:eastAsia="Times New Roman" w:hAnsi="Arial" w:cs="Arial"/>
          <w:lang w:val="en-SG" w:eastAsia="en-SG"/>
        </w:rPr>
        <w:t>On the other hand, the Administrators should prioritize a reasonable counselor-to-student ratio, structured supervision and support systems, and professional development opportunities. Creating supportive environments is essential to ensure that guidance counselors’ high competencies translate into sustained effectiveness.</w:t>
      </w:r>
    </w:p>
    <w:p w14:paraId="585DA3D4" w14:textId="77777777" w:rsidR="001B39BA" w:rsidRPr="001B39BA" w:rsidRDefault="001B39BA" w:rsidP="001B39BA">
      <w:pPr>
        <w:pStyle w:val="NoSpacing"/>
        <w:spacing w:line="360" w:lineRule="auto"/>
        <w:ind w:firstLine="720"/>
        <w:jc w:val="both"/>
        <w:rPr>
          <w:rFonts w:ascii="Arial" w:eastAsia="Times New Roman" w:hAnsi="Arial" w:cs="Arial"/>
          <w:lang w:val="en-SG" w:eastAsia="en-SG"/>
        </w:rPr>
      </w:pPr>
      <w:r w:rsidRPr="001B39BA">
        <w:rPr>
          <w:rFonts w:ascii="Arial" w:eastAsia="Times New Roman" w:hAnsi="Arial" w:cs="Arial"/>
          <w:lang w:val="en-SG" w:eastAsia="en-SG"/>
        </w:rPr>
        <w:t>The study also contributes to the growing body of literature by demonstrating the limitations of single-variable and regression-based approaches. The non-significant mediation and poor model fit highlight the need for more context-sensitive, multidimensional models; the inclusion of organizational and environmental variables; and the expanded use of Structural Equation Modeling (SEM). Future research should explore indirect pathways and contextual moderators to capture the complexity of guidance counselor well-being better.</w:t>
      </w:r>
    </w:p>
    <w:p w14:paraId="1B62E717" w14:textId="77777777" w:rsidR="001B39BA" w:rsidRPr="001B39BA" w:rsidRDefault="001B39BA" w:rsidP="001B39BA">
      <w:pPr>
        <w:pStyle w:val="NoSpacing"/>
        <w:spacing w:line="360" w:lineRule="auto"/>
        <w:ind w:firstLine="720"/>
        <w:jc w:val="both"/>
        <w:rPr>
          <w:rFonts w:ascii="Arial" w:eastAsia="Times New Roman" w:hAnsi="Arial" w:cs="Arial"/>
          <w:lang w:val="en-SG" w:eastAsia="en-SG"/>
        </w:rPr>
      </w:pPr>
      <w:r w:rsidRPr="001B39BA">
        <w:rPr>
          <w:rFonts w:ascii="Arial" w:eastAsia="Times New Roman" w:hAnsi="Arial" w:cs="Arial"/>
          <w:lang w:val="en-SG" w:eastAsia="en-SG"/>
        </w:rPr>
        <w:t>Furthermore, the findings support the need for national initiatives that promote competency-based training in relational and self-regulatory skills, programs to address guidance counselor burnout and resilience, and advocacy for improved working conditions. Hence, the results provide empirical support for strengthening licensure and competency frameworks by emphasizing: the integration of self-care and emotional resilience into professional standards; and continuous professional development focused on multidimensional competencies. This ensures that professional standards reflect both technical competence and psychological sustainability.</w:t>
      </w:r>
    </w:p>
    <w:p w14:paraId="3C48267C" w14:textId="77777777" w:rsidR="001B39BA" w:rsidRPr="001B39BA" w:rsidRDefault="001B39BA" w:rsidP="001B39BA">
      <w:pPr>
        <w:pStyle w:val="NoSpacing"/>
        <w:spacing w:line="360" w:lineRule="auto"/>
        <w:ind w:firstLine="720"/>
        <w:jc w:val="both"/>
        <w:rPr>
          <w:rFonts w:ascii="Arial" w:eastAsia="Times New Roman" w:hAnsi="Arial" w:cs="Arial"/>
          <w:lang w:val="en-SG" w:eastAsia="en-SG"/>
        </w:rPr>
      </w:pPr>
      <w:r w:rsidRPr="001B39BA">
        <w:rPr>
          <w:rFonts w:ascii="Arial" w:eastAsia="Times New Roman" w:hAnsi="Arial" w:cs="Arial"/>
          <w:lang w:val="en-SG" w:eastAsia="en-SG"/>
        </w:rPr>
        <w:t xml:space="preserve">Likewise, it highlights systemic issues, such as high workloads and limited personnel, particularly relevant in the Philippine and Mindanao contexts. DepEd is encouraged to increase the hiring of qualified guidance counselors, institutionalize mental </w:t>
      </w:r>
      <w:r w:rsidRPr="001B39BA">
        <w:rPr>
          <w:rFonts w:ascii="Arial" w:eastAsia="Times New Roman" w:hAnsi="Arial" w:cs="Arial"/>
          <w:lang w:val="en-SG" w:eastAsia="en-SG"/>
        </w:rPr>
        <w:lastRenderedPageBreak/>
        <w:t>health and wellness programs for school personnel, and implement structured supervision and monitoring systems. Addressing these structural concerns is essential to reducing compassion fatigue and sustaining service quality.</w:t>
      </w:r>
    </w:p>
    <w:p w14:paraId="36F947AD" w14:textId="77777777" w:rsidR="001B39BA" w:rsidRPr="001B39BA" w:rsidRDefault="001B39BA" w:rsidP="001B39BA">
      <w:pPr>
        <w:pStyle w:val="NoSpacing"/>
        <w:spacing w:line="360" w:lineRule="auto"/>
        <w:ind w:firstLine="720"/>
        <w:jc w:val="both"/>
        <w:rPr>
          <w:rFonts w:ascii="Arial" w:eastAsia="Times New Roman" w:hAnsi="Arial" w:cs="Arial"/>
          <w:lang w:val="en-SG" w:eastAsia="en-SG"/>
        </w:rPr>
      </w:pPr>
      <w:r w:rsidRPr="001B39BA">
        <w:rPr>
          <w:rFonts w:ascii="Arial" w:eastAsia="Times New Roman" w:hAnsi="Arial" w:cs="Arial"/>
          <w:lang w:val="en-SG" w:eastAsia="en-SG"/>
        </w:rPr>
        <w:t>Moreover, the Commission on Higher Education (CHED) may use these findings to enhance guidance counselor preparation programs by integrating multidimensional competency training (relational and intrapersonal), embedding self-care, resilience, and mental health modules into curricula, and promoting research-driven program development. This ensures that future counselors are not only competent but also equipped to manage professional demands effectively.</w:t>
      </w:r>
    </w:p>
    <w:p w14:paraId="143F8F84" w14:textId="77777777" w:rsidR="001B39BA" w:rsidRPr="001B39BA" w:rsidRDefault="001B39BA" w:rsidP="001B39BA">
      <w:pPr>
        <w:pStyle w:val="NoSpacing"/>
        <w:spacing w:line="360" w:lineRule="auto"/>
        <w:ind w:firstLine="720"/>
        <w:jc w:val="both"/>
        <w:rPr>
          <w:rFonts w:ascii="Arial" w:eastAsia="Times New Roman" w:hAnsi="Arial" w:cs="Arial"/>
          <w:lang w:val="en-SG" w:eastAsia="en-SG"/>
        </w:rPr>
      </w:pPr>
      <w:r w:rsidRPr="001B39BA">
        <w:rPr>
          <w:rFonts w:ascii="Arial" w:eastAsia="Times New Roman" w:hAnsi="Arial" w:cs="Arial"/>
          <w:lang w:val="en-SG" w:eastAsia="en-SG"/>
        </w:rPr>
        <w:t xml:space="preserve">It also underscores the need for localized mental health policies that fund guidance services, support school-based mental health programs, and address disparities in resource allocation. LGUs can strengthen community-based support systems that complement school guidance services, particularly in underserved areas. </w:t>
      </w:r>
    </w:p>
    <w:p w14:paraId="6571825C" w14:textId="77777777" w:rsidR="001B39BA" w:rsidRPr="001B39BA" w:rsidRDefault="001B39BA" w:rsidP="001B39BA">
      <w:pPr>
        <w:pStyle w:val="NoSpacing"/>
        <w:spacing w:line="360" w:lineRule="auto"/>
        <w:ind w:firstLine="720"/>
        <w:jc w:val="both"/>
        <w:rPr>
          <w:rFonts w:ascii="Arial" w:eastAsia="Times New Roman" w:hAnsi="Arial" w:cs="Arial"/>
          <w:lang w:val="en-SG" w:eastAsia="en-SG"/>
        </w:rPr>
      </w:pPr>
      <w:r w:rsidRPr="001B39BA">
        <w:rPr>
          <w:rFonts w:ascii="Arial" w:eastAsia="Times New Roman" w:hAnsi="Arial" w:cs="Arial"/>
          <w:lang w:val="en-SG" w:eastAsia="en-SG"/>
        </w:rPr>
        <w:t>Future inquiries include: Exploration of contextual variables (e.g., workload, organizational climate); Longitudinal studies examining changes in counselor well-being over time; Development of improved SEM models with better fit indices; Investigation of indirect and interaction effects among variables. Future studies should aim to build more comprehensive and contextually grounded models that better reflect real-world counseling environments.</w:t>
      </w:r>
    </w:p>
    <w:p w14:paraId="4EA2E13B" w14:textId="77777777" w:rsidR="001B39BA" w:rsidRPr="001B39BA" w:rsidRDefault="001B39BA" w:rsidP="001B39BA">
      <w:pPr>
        <w:pStyle w:val="NoSpacing"/>
        <w:spacing w:line="360" w:lineRule="auto"/>
        <w:ind w:firstLine="720"/>
        <w:jc w:val="both"/>
        <w:rPr>
          <w:rFonts w:ascii="Arial" w:hAnsi="Arial" w:cs="Arial"/>
        </w:rPr>
      </w:pPr>
      <w:r w:rsidRPr="001B39BA">
        <w:rPr>
          <w:rFonts w:ascii="Arial" w:eastAsia="Times New Roman" w:hAnsi="Arial" w:cs="Arial"/>
          <w:lang w:val="en-SG" w:eastAsia="en-SG"/>
        </w:rPr>
        <w:t xml:space="preserve">Overall, this study affirms that guidance counselors thrive not merely by reducing stress, but by strengthening what sustains them, their relational competencies, authenticity, and sense of purpose. </w:t>
      </w:r>
      <w:r w:rsidRPr="001B39BA">
        <w:rPr>
          <w:rFonts w:ascii="Arial" w:hAnsi="Arial" w:cs="Arial"/>
        </w:rPr>
        <w:t>However, these strengths must be reinforced by responsive institutional systems and policies, as only a balanced integration of individual capacity-building and systemic reform can ensure that guidance counselors remain effective, resilient, and responsive to students' evolving, increasingly complex needs.</w:t>
      </w:r>
    </w:p>
    <w:p w14:paraId="59A77E28" w14:textId="77777777" w:rsidR="001B39BA" w:rsidRPr="001B39BA" w:rsidRDefault="001B39BA" w:rsidP="001B39BA">
      <w:pPr>
        <w:pStyle w:val="NoSpacing"/>
        <w:spacing w:line="360" w:lineRule="auto"/>
        <w:jc w:val="both"/>
        <w:rPr>
          <w:rFonts w:ascii="Arial" w:hAnsi="Arial" w:cs="Arial"/>
        </w:rPr>
      </w:pPr>
    </w:p>
    <w:p w14:paraId="192BC68C" w14:textId="77777777" w:rsidR="001B39BA" w:rsidRDefault="001B39BA" w:rsidP="001B39BA">
      <w:pPr>
        <w:pStyle w:val="NoSpacing"/>
        <w:spacing w:line="360" w:lineRule="auto"/>
        <w:jc w:val="both"/>
        <w:rPr>
          <w:rFonts w:ascii="Arial" w:eastAsiaTheme="minorHAnsi" w:hAnsi="Arial" w:cs="Arial"/>
          <w:b/>
          <w:bCs/>
          <w:kern w:val="2"/>
          <w:lang w:val="en-SG"/>
          <w14:ligatures w14:val="standardContextual"/>
        </w:rPr>
      </w:pPr>
      <w:r w:rsidRPr="001B39BA">
        <w:rPr>
          <w:rFonts w:ascii="Arial" w:eastAsiaTheme="minorHAnsi" w:hAnsi="Arial" w:cs="Arial"/>
          <w:b/>
          <w:bCs/>
          <w:kern w:val="2"/>
          <w:lang w:val="en-SG"/>
          <w14:ligatures w14:val="standardContextual"/>
        </w:rPr>
        <w:t>Conclusion</w:t>
      </w:r>
    </w:p>
    <w:p w14:paraId="1529762F" w14:textId="77777777" w:rsidR="00AF4E8C" w:rsidRPr="001B39BA" w:rsidRDefault="00AF4E8C" w:rsidP="001B39BA">
      <w:pPr>
        <w:pStyle w:val="NoSpacing"/>
        <w:spacing w:line="360" w:lineRule="auto"/>
        <w:jc w:val="both"/>
        <w:rPr>
          <w:rFonts w:ascii="Arial" w:eastAsiaTheme="minorHAnsi" w:hAnsi="Arial" w:cs="Arial"/>
          <w:b/>
          <w:bCs/>
          <w:kern w:val="2"/>
          <w:lang w:val="en-SG"/>
          <w14:ligatures w14:val="standardContextual"/>
        </w:rPr>
      </w:pPr>
    </w:p>
    <w:p w14:paraId="3F6CA2EE" w14:textId="77777777" w:rsidR="001B39BA" w:rsidRPr="001B39BA" w:rsidRDefault="001B39BA" w:rsidP="001B39BA">
      <w:pPr>
        <w:pStyle w:val="NoSpacing"/>
        <w:spacing w:line="360" w:lineRule="auto"/>
        <w:ind w:firstLine="720"/>
        <w:jc w:val="both"/>
        <w:rPr>
          <w:rFonts w:ascii="Arial" w:eastAsia="Times New Roman" w:hAnsi="Arial" w:cs="Arial"/>
          <w:lang w:val="en-SG"/>
        </w:rPr>
      </w:pPr>
      <w:r w:rsidRPr="001B39BA">
        <w:rPr>
          <w:rFonts w:ascii="Arial" w:hAnsi="Arial" w:cs="Arial"/>
        </w:rPr>
        <w:t xml:space="preserve">This study examined the interrelationships among guidance counselors’ work-specific characteristics, compassion satisfaction, and compassion fatigue using a multidimensional framework and Structural Equation Modeling (SEM), grounded in the </w:t>
      </w:r>
      <w:r w:rsidRPr="001B39BA">
        <w:rPr>
          <w:rStyle w:val="Strong"/>
          <w:rFonts w:ascii="Arial" w:hAnsi="Arial" w:cs="Arial"/>
          <w:b w:val="0"/>
          <w:bCs w:val="0"/>
        </w:rPr>
        <w:t>Conservation of Resources (COR) Theory, Compassion Fatigue Theory, and the Professional Quality of Life (ProQOL) Model</w:t>
      </w:r>
      <w:r w:rsidRPr="001B39BA">
        <w:rPr>
          <w:rFonts w:ascii="Arial" w:hAnsi="Arial" w:cs="Arial"/>
          <w:b/>
          <w:bCs/>
        </w:rPr>
        <w:t>.</w:t>
      </w:r>
      <w:r w:rsidRPr="001B39BA">
        <w:rPr>
          <w:rFonts w:ascii="Arial" w:hAnsi="Arial" w:cs="Arial"/>
        </w:rPr>
        <w:t xml:space="preserve"> These frameworks collectively explain how guidance counselors’ personal and professional resources shape both the positive and </w:t>
      </w:r>
      <w:r w:rsidRPr="001B39BA">
        <w:rPr>
          <w:rFonts w:ascii="Arial" w:hAnsi="Arial" w:cs="Arial"/>
        </w:rPr>
        <w:lastRenderedPageBreak/>
        <w:t>negative outcomes of helping work.</w:t>
      </w:r>
    </w:p>
    <w:p w14:paraId="45B35589" w14:textId="77777777" w:rsidR="001B39BA" w:rsidRPr="001B39BA" w:rsidRDefault="001B39BA" w:rsidP="001B39BA">
      <w:pPr>
        <w:pStyle w:val="NoSpacing"/>
        <w:spacing w:line="360" w:lineRule="auto"/>
        <w:ind w:firstLine="720"/>
        <w:jc w:val="both"/>
        <w:rPr>
          <w:rFonts w:ascii="Arial" w:hAnsi="Arial" w:cs="Arial"/>
        </w:rPr>
      </w:pPr>
      <w:r w:rsidRPr="001B39BA">
        <w:rPr>
          <w:rFonts w:ascii="Arial" w:hAnsi="Arial" w:cs="Arial"/>
        </w:rPr>
        <w:t>The very high level of work-specific characteristics demonstrated by Guidance Counselors, particularly in non-judgmental attitude, interpersonal skills, and empathetic understanding. From the perspective of COR theory, these competencies function as valuable personal resources that support effective counseling practice and promote professional well-being. However, slightly lower self-compassion scores suggest that inward-directed resources are present but not fully optimized, indicating a need for strengthening resource replenishment to prevent depletion.</w:t>
      </w:r>
    </w:p>
    <w:p w14:paraId="0BE530C7" w14:textId="77777777" w:rsidR="001B39BA" w:rsidRPr="001B39BA" w:rsidRDefault="001B39BA" w:rsidP="001B39BA">
      <w:pPr>
        <w:pStyle w:val="NoSpacing"/>
        <w:spacing w:line="360" w:lineRule="auto"/>
        <w:ind w:firstLine="720"/>
        <w:jc w:val="both"/>
        <w:rPr>
          <w:rFonts w:ascii="Arial" w:hAnsi="Arial" w:cs="Arial"/>
        </w:rPr>
      </w:pPr>
      <w:r w:rsidRPr="001B39BA">
        <w:rPr>
          <w:rFonts w:ascii="Arial" w:hAnsi="Arial" w:cs="Arial"/>
        </w:rPr>
        <w:t>Moreover, Guidance counselors who exhibit high levels of compassion satisfaction report a strong sense of fulfillment, meaning, and reward in their professional roles. This finding aligns with the ProQOL model, which conceptualizes compassion satisfaction as the positive dimension of helping work, suggesting that guidance counselors can translate their personal and relational resources into meaningful professional experiences.</w:t>
      </w:r>
    </w:p>
    <w:p w14:paraId="728D0B1F" w14:textId="77777777" w:rsidR="001B39BA" w:rsidRPr="001B39BA" w:rsidRDefault="001B39BA" w:rsidP="001B39BA">
      <w:pPr>
        <w:pStyle w:val="NoSpacing"/>
        <w:spacing w:line="360" w:lineRule="auto"/>
        <w:ind w:firstLine="720"/>
        <w:jc w:val="both"/>
        <w:rPr>
          <w:rFonts w:ascii="Arial" w:hAnsi="Arial" w:cs="Arial"/>
        </w:rPr>
      </w:pPr>
      <w:r w:rsidRPr="001B39BA">
        <w:rPr>
          <w:rFonts w:ascii="Arial" w:hAnsi="Arial" w:cs="Arial"/>
        </w:rPr>
        <w:t>Likewise, Guidance counselors experienced moderate levels of compassion fatigue, with burnout slightly higher than secondary traumatic stress. Consistent with Compassion Fatigue Theory, this reflects the emotional cost of sustained empathic engagement with students’ concerns. While the levels remain manageable, COR theory suggests that this moderate fatigue indicates ongoing resource expenditure without full replenishment, reflecting a partially met standard of well-being.</w:t>
      </w:r>
    </w:p>
    <w:p w14:paraId="27F09362" w14:textId="77777777" w:rsidR="001B39BA" w:rsidRPr="001B39BA" w:rsidRDefault="001B39BA" w:rsidP="001B39BA">
      <w:pPr>
        <w:pStyle w:val="NoSpacing"/>
        <w:spacing w:line="360" w:lineRule="auto"/>
        <w:ind w:firstLine="720"/>
        <w:jc w:val="both"/>
        <w:rPr>
          <w:rFonts w:ascii="Arial" w:hAnsi="Arial" w:cs="Arial"/>
        </w:rPr>
      </w:pPr>
      <w:r w:rsidRPr="001B39BA">
        <w:rPr>
          <w:rFonts w:ascii="Arial" w:hAnsi="Arial" w:cs="Arial"/>
        </w:rPr>
        <w:t>The work-specific characteristics significantly influence compassion satisfaction, with interpersonal skills and genuineness as the strongest predictors, supporting the theoretical proposition that personal resources enhance positive professional outcomes. However, not all variables were significant, indicating that while the resource-based model is supported at the overall level, individual resource contributions vary in strength.</w:t>
      </w:r>
    </w:p>
    <w:p w14:paraId="5352D876" w14:textId="77777777" w:rsidR="001B39BA" w:rsidRPr="001B39BA" w:rsidRDefault="001B39BA" w:rsidP="001B39BA">
      <w:pPr>
        <w:pStyle w:val="NoSpacing"/>
        <w:spacing w:line="360" w:lineRule="auto"/>
        <w:ind w:firstLine="720"/>
        <w:jc w:val="both"/>
        <w:rPr>
          <w:rFonts w:ascii="Arial" w:hAnsi="Arial" w:cs="Arial"/>
        </w:rPr>
      </w:pPr>
      <w:r w:rsidRPr="001B39BA">
        <w:rPr>
          <w:rFonts w:ascii="Arial" w:hAnsi="Arial" w:cs="Arial"/>
        </w:rPr>
        <w:t>In addition, work-specific characteristics did not significantly influence compassion fatigue, suggesting that, consistent with both COR theory and the ProQOL framework, emotional exhaustion is not determined solely by internal resources but is more strongly shaped by external and contextual demands. Thus, the expected resource–fatigue relationship was not supported, highlighting the role of environmental conditions in resource depletion.</w:t>
      </w:r>
    </w:p>
    <w:p w14:paraId="2C471A1C" w14:textId="77777777" w:rsidR="001B39BA" w:rsidRPr="001B39BA" w:rsidRDefault="001B39BA" w:rsidP="001B39BA">
      <w:pPr>
        <w:pStyle w:val="NoSpacing"/>
        <w:spacing w:line="360" w:lineRule="auto"/>
        <w:ind w:firstLine="720"/>
        <w:jc w:val="both"/>
        <w:rPr>
          <w:rFonts w:ascii="Arial" w:hAnsi="Arial" w:cs="Arial"/>
        </w:rPr>
      </w:pPr>
      <w:r w:rsidRPr="001B39BA">
        <w:rPr>
          <w:rFonts w:ascii="Arial" w:hAnsi="Arial" w:cs="Arial"/>
        </w:rPr>
        <w:t xml:space="preserve">Hence, work-specific characteristics did not significantly mediate the relationship between compassion satisfaction and compassion fatigue. This indicates that, in line with the ProQOL model, these constructs function as related but independent dimensions rather than forming a direct causal chain. Therefore, the hypothesized mediating </w:t>
      </w:r>
      <w:r w:rsidRPr="001B39BA">
        <w:rPr>
          <w:rFonts w:ascii="Arial" w:hAnsi="Arial" w:cs="Arial"/>
        </w:rPr>
        <w:lastRenderedPageBreak/>
        <w:t>mechanism was not supported.</w:t>
      </w:r>
    </w:p>
    <w:p w14:paraId="3EC16596" w14:textId="77777777" w:rsidR="001B39BA" w:rsidRPr="001B39BA" w:rsidRDefault="001B39BA" w:rsidP="001B39BA">
      <w:pPr>
        <w:pStyle w:val="NoSpacing"/>
        <w:spacing w:line="360" w:lineRule="auto"/>
        <w:ind w:firstLine="720"/>
        <w:jc w:val="both"/>
        <w:rPr>
          <w:rFonts w:ascii="Arial" w:hAnsi="Arial" w:cs="Arial"/>
        </w:rPr>
      </w:pPr>
      <w:r w:rsidRPr="001B39BA">
        <w:rPr>
          <w:rFonts w:ascii="Arial" w:hAnsi="Arial" w:cs="Arial"/>
        </w:rPr>
        <w:t>On the other hand, compassion fatigue, particularly burnout, significantly predicted compassion satisfaction, though its explanatory power was relatively small. This finding reflects the dynamic interplay described in COR theory, where resource depletion can influence positive outcomes but does not fully determine them, indicating a partially met standard.</w:t>
      </w:r>
    </w:p>
    <w:p w14:paraId="1C62F4ED" w14:textId="77777777" w:rsidR="001B39BA" w:rsidRPr="001B39BA" w:rsidRDefault="001B39BA" w:rsidP="001B39BA">
      <w:pPr>
        <w:pStyle w:val="NoSpacing"/>
        <w:spacing w:line="360" w:lineRule="auto"/>
        <w:ind w:firstLine="720"/>
        <w:jc w:val="both"/>
        <w:rPr>
          <w:rFonts w:ascii="Arial" w:hAnsi="Arial" w:cs="Arial"/>
        </w:rPr>
      </w:pPr>
      <w:r w:rsidRPr="001B39BA">
        <w:rPr>
          <w:rFonts w:ascii="Arial" w:hAnsi="Arial" w:cs="Arial"/>
        </w:rPr>
        <w:t>Work-specific characteristics that significantly predicted compassion satisfaction but not compassion fatigue reinforce the strengths-based perspective of the theoretical framework, in which personal resources primarily enhance positive outcomes rather than directly reduce negative ones. Hence, the hypothesis is partially supported.</w:t>
      </w:r>
    </w:p>
    <w:p w14:paraId="1B5ADBE0" w14:textId="77777777" w:rsidR="001B39BA" w:rsidRPr="001B39BA" w:rsidRDefault="001B39BA" w:rsidP="001B39BA">
      <w:pPr>
        <w:pStyle w:val="NoSpacing"/>
        <w:spacing w:line="360" w:lineRule="auto"/>
        <w:jc w:val="both"/>
        <w:rPr>
          <w:rFonts w:ascii="Arial" w:hAnsi="Arial" w:cs="Arial"/>
        </w:rPr>
      </w:pPr>
      <w:r w:rsidRPr="001B39BA">
        <w:rPr>
          <w:rFonts w:ascii="Arial" w:hAnsi="Arial" w:cs="Arial"/>
        </w:rPr>
        <w:t>No significant interaction effects were found among the indicators of work-specific characteristics. This suggests that these resources function independently rather than synergistically, indicating that each resource contributes uniquely rather than through combined effects.</w:t>
      </w:r>
    </w:p>
    <w:p w14:paraId="07B1E790" w14:textId="77777777" w:rsidR="001B39BA" w:rsidRPr="001B39BA" w:rsidRDefault="001B39BA" w:rsidP="001B39BA">
      <w:pPr>
        <w:pStyle w:val="NoSpacing"/>
        <w:spacing w:line="360" w:lineRule="auto"/>
        <w:ind w:firstLine="720"/>
        <w:jc w:val="both"/>
        <w:rPr>
          <w:rFonts w:ascii="Arial" w:hAnsi="Arial" w:cs="Arial"/>
        </w:rPr>
      </w:pPr>
      <w:r w:rsidRPr="001B39BA">
        <w:rPr>
          <w:rFonts w:ascii="Arial" w:hAnsi="Arial" w:cs="Arial"/>
        </w:rPr>
        <w:t>The SEM results further revealed that the hypothesized and revised models did not achieve acceptable fit indices, indicating that they do not fully represent the relationships among the variables. From a theoretical standpoint, this suggests that the integrated frameworks, while conceptually robust, may require the inclusion of additional contextual variables, such as organizational support and workload, to capture the complexity of guidance counselors' experiences fully.</w:t>
      </w:r>
    </w:p>
    <w:p w14:paraId="4F0D21DB" w14:textId="77777777" w:rsidR="001B39BA" w:rsidRPr="001B39BA" w:rsidRDefault="001B39BA" w:rsidP="001B39BA">
      <w:pPr>
        <w:pStyle w:val="NoSpacing"/>
        <w:spacing w:line="360" w:lineRule="auto"/>
        <w:ind w:firstLine="720"/>
        <w:jc w:val="both"/>
        <w:rPr>
          <w:rFonts w:ascii="Arial" w:hAnsi="Arial" w:cs="Arial"/>
        </w:rPr>
      </w:pPr>
      <w:r w:rsidRPr="001B39BA">
        <w:rPr>
          <w:rFonts w:ascii="Arial" w:hAnsi="Arial" w:cs="Arial"/>
        </w:rPr>
        <w:t>Overall, the study concludes that work-specific characteristics function as key personal resources that enhance compassion satisfaction, supporting COR theory and the strengths-based dimension of the ProQOL model. In contrast, compassion fatigue operates as a parallel construct influenced more by contextual demands, as emphasized in Compassion Fatigue Theory. The lack of acceptable model fit further underscores that guidance counselor well-being is a complex, multidimensional phenomenon shaped by both internal resources and external conditions, underscoring the need for more comprehensive, context-sensitive models.</w:t>
      </w:r>
    </w:p>
    <w:p w14:paraId="45D89E48"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223D1430"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Limitations</w:t>
      </w:r>
    </w:p>
    <w:p w14:paraId="1C3C3BB9"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p>
    <w:p w14:paraId="4DCBEA38"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This study is subject to several limitations that should be considered when interpreting the findings. </w:t>
      </w:r>
    </w:p>
    <w:p w14:paraId="22E54129"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lastRenderedPageBreak/>
        <w:t>First, the relatively small sample size of guidance counselors limits the generalizability of the results. It may have reduced the analyses' statistical power, particularly for detecting subtle, indirect, or interaction effects. This limitation is especially critical given the use of Structural Equation Modeling (SEM), which requires larger sample sizes to produce stable parameter estimates and achieve acceptable model fit. The insufficient sample size may have contributed to the non-significant mediation and interaction results, as well as the instability of some path estimates.</w:t>
      </w:r>
    </w:p>
    <w:p w14:paraId="50017B10"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Another important limitation lies in the model fit results. The hypothesized and revised structural models did not meet acceptable fit criteria, suggesting that the models do not fully capture the complexity of the relationships among work-specific characteristics, compassion satisfaction, and compassion fatigue. This suggests that key variables or pathways have been omitted. </w:t>
      </w:r>
    </w:p>
    <w:p w14:paraId="63DB055A"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In particular, while work-specific characteristics significantly predicted compassion satisfaction, compassion fatigue did not demonstrate significant structural or mediating effects, suggesting that guidance counselors' well-being may be influenced by additional contextual factors, such as workload, organizational support, and institutional climate, that were not included in the model.</w:t>
      </w:r>
    </w:p>
    <w:p w14:paraId="64694727" w14:textId="77777777" w:rsidR="001B39BA" w:rsidRPr="001B39BA" w:rsidRDefault="001B39BA" w:rsidP="001B39BA">
      <w:pPr>
        <w:pStyle w:val="NoSpacing"/>
        <w:spacing w:line="360" w:lineRule="auto"/>
        <w:ind w:firstLine="720"/>
        <w:jc w:val="both"/>
        <w:rPr>
          <w:rFonts w:ascii="Arial" w:eastAsia="Times New Roman" w:hAnsi="Arial" w:cs="Arial"/>
          <w:lang w:val="en-SG"/>
        </w:rPr>
      </w:pPr>
      <w:r w:rsidRPr="001B39BA">
        <w:rPr>
          <w:rFonts w:ascii="Arial" w:eastAsiaTheme="minorHAnsi" w:hAnsi="Arial" w:cs="Arial"/>
          <w:kern w:val="2"/>
          <w:lang w:val="en-SG"/>
          <w14:ligatures w14:val="standardContextual"/>
        </w:rPr>
        <w:t xml:space="preserve">Furthermore, </w:t>
      </w:r>
      <w:r w:rsidRPr="001B39BA">
        <w:rPr>
          <w:rFonts w:ascii="Arial" w:hAnsi="Arial" w:cs="Arial"/>
        </w:rPr>
        <w:t>the study revealed overlapping patterns among variables, particularly between work-specific characteristics and compassion satisfaction, thereby reducing data variability and limiting the detection of stronger relationships, mediation, and interaction effects. Additionally, conceptual overlap among constructs (e.g., empathy contributing to both positive and negative outcomes) may have weakened the distinction between variables, affecting the precision and interpretability of the model.</w:t>
      </w:r>
    </w:p>
    <w:p w14:paraId="35DB8DDE"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reliance on self-report measures also presents a limitation. The very high ratings observed for work-specific characteristics and compassion satisfaction suggest the possibility of social desirability bias, in which respondents may have rated themselves more favorably. This may have inflated the observed levels and further reduced the variance, thereby limiting the predictive power of the analyses.</w:t>
      </w:r>
    </w:p>
    <w:p w14:paraId="42DE4A4D" w14:textId="77777777" w:rsidR="001B39BA" w:rsidRPr="001B39BA" w:rsidRDefault="001B39BA" w:rsidP="001B39BA">
      <w:pPr>
        <w:widowControl/>
        <w:autoSpaceDE/>
        <w:autoSpaceDN/>
        <w:spacing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In addition, the study's cross-sectional design limits the ability to establish causal relationships among variables. While regression and SEM analyses provide evidence of associations and predictive relationships, they do not confirm temporal or causal direction. </w:t>
      </w:r>
    </w:p>
    <w:p w14:paraId="64D53ED7"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Another key limitation is the study’s focus on internal variables while excluding important contextual and environmental factors. The findings showed that work-specific characteristics did not significantly predict compassion fatigue, suggesting that emotional </w:t>
      </w:r>
      <w:r w:rsidRPr="001B39BA">
        <w:rPr>
          <w:rFonts w:ascii="Arial" w:eastAsiaTheme="minorHAnsi" w:hAnsi="Arial" w:cs="Arial"/>
          <w:kern w:val="2"/>
          <w:lang w:val="en-SG"/>
          <w14:ligatures w14:val="standardContextual"/>
        </w:rPr>
        <w:lastRenderedPageBreak/>
        <w:t>exhaustion may be more strongly influenced by external conditions such as workload, counselor-to-student ratios, administrative demands, and institutional support. The exclusion of these variables may have limited the model's explanatory power, particularly in understanding compassion fatigue. This limitation is especially relevant in the Mindanao context, where structural challenges in educational settings may significantly shape guidance counselors’ experiences.</w:t>
      </w:r>
    </w:p>
    <w:p w14:paraId="63D8BA43"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Finally, although the study focused on guidance counselors in Mindanao, the findings may not fully represent the experiences of guidance counselors in other regions with different institutional, cultural, and resource conditions. Variations in educational systems, workload demands, and access to support services influence both compassion satisfaction and fatigue differently. Therefore, caution should be exercised in generalizing the findings beyond the specific context of this study.</w:t>
      </w:r>
    </w:p>
    <w:p w14:paraId="0C6E755C"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 xml:space="preserve">Despite these limitations, the study provides meaningful contributions by offering a multidimensional understanding of guidance counselors’ professional well-being. The findings highlight the strong role of work-specific characteristics in enhancing compassion satisfaction while revealing the limited structural role of compassion fatigue within the model. </w:t>
      </w:r>
    </w:p>
    <w:p w14:paraId="0498F5CF"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At the same time, the limitations underscore the need for future research to employ larger, more representative samples, incorporate contextual and organizational variables, and utilize longitudinal or mixed-methods approaches to develop more comprehensive, better-fitting models of guidance counselor well-being.</w:t>
      </w:r>
    </w:p>
    <w:p w14:paraId="7B1AC031" w14:textId="77777777" w:rsidR="001B39BA" w:rsidRPr="001B39BA" w:rsidRDefault="001B39BA" w:rsidP="001B39BA">
      <w:pPr>
        <w:widowControl/>
        <w:autoSpaceDE/>
        <w:autoSpaceDN/>
        <w:spacing w:line="360" w:lineRule="auto"/>
        <w:jc w:val="both"/>
        <w:rPr>
          <w:rFonts w:ascii="Arial" w:eastAsiaTheme="minorHAnsi" w:hAnsi="Arial" w:cs="Arial"/>
          <w:kern w:val="2"/>
          <w:lang w:val="en-SG" w:eastAsia="en-SG"/>
          <w14:ligatures w14:val="standardContextual"/>
        </w:rPr>
      </w:pPr>
    </w:p>
    <w:p w14:paraId="4C4C0845" w14:textId="77777777" w:rsidR="001B39BA" w:rsidRPr="001B39BA" w:rsidRDefault="001B39BA" w:rsidP="001B39BA">
      <w:pPr>
        <w:widowControl/>
        <w:autoSpaceDE/>
        <w:autoSpaceDN/>
        <w:spacing w:line="360" w:lineRule="auto"/>
        <w:jc w:val="both"/>
        <w:rPr>
          <w:rFonts w:ascii="Arial" w:eastAsiaTheme="minorHAnsi" w:hAnsi="Arial" w:cs="Arial"/>
          <w:b/>
          <w:bCs/>
          <w:kern w:val="2"/>
          <w:lang w:val="en-SG" w:eastAsia="en-SG"/>
          <w14:ligatures w14:val="standardContextual"/>
        </w:rPr>
      </w:pPr>
      <w:r w:rsidRPr="001B39BA">
        <w:rPr>
          <w:rFonts w:ascii="Arial" w:eastAsiaTheme="minorHAnsi" w:hAnsi="Arial" w:cs="Arial"/>
          <w:b/>
          <w:bCs/>
          <w:kern w:val="2"/>
          <w:lang w:val="en-SG" w:eastAsia="en-SG"/>
          <w14:ligatures w14:val="standardContextual"/>
        </w:rPr>
        <w:t>Recommendations</w:t>
      </w:r>
    </w:p>
    <w:p w14:paraId="1BE60B45"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eastAsia="en-SG"/>
          <w14:ligatures w14:val="standardContextual"/>
        </w:rPr>
      </w:pPr>
    </w:p>
    <w:p w14:paraId="634B257D"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eastAsia="en-SG"/>
          <w14:ligatures w14:val="standardContextual"/>
        </w:rPr>
      </w:pPr>
      <w:r w:rsidRPr="001B39BA">
        <w:rPr>
          <w:rFonts w:ascii="Arial" w:eastAsiaTheme="minorHAnsi" w:hAnsi="Arial" w:cs="Arial"/>
          <w:kern w:val="2"/>
          <w:lang w:val="en-SG" w:eastAsia="en-SG"/>
          <w14:ligatures w14:val="standardContextual"/>
        </w:rPr>
        <w:t>The following recommendations are derived from the study's key findings and identified limitations, focusing on the professional well-being of guidance counselors in Mindanao. These aim to inform improvements in practice, policy, and future research by addressing gaps related to sampling, measurement, model fit, and contextual influences.</w:t>
      </w:r>
    </w:p>
    <w:p w14:paraId="54EA1AEE" w14:textId="77777777" w:rsidR="001B39BA" w:rsidRPr="001B39BA" w:rsidRDefault="001B39BA" w:rsidP="001B39BA">
      <w:pPr>
        <w:widowControl/>
        <w:autoSpaceDE/>
        <w:autoSpaceDN/>
        <w:spacing w:line="360" w:lineRule="auto"/>
        <w:ind w:firstLine="720"/>
        <w:jc w:val="both"/>
        <w:rPr>
          <w:rFonts w:ascii="Arial" w:eastAsiaTheme="minorHAnsi" w:hAnsi="Arial" w:cs="Arial"/>
          <w:kern w:val="2"/>
          <w:lang w:val="en-SG" w:eastAsia="en-SG"/>
          <w14:ligatures w14:val="standardContextual"/>
        </w:rPr>
      </w:pPr>
    </w:p>
    <w:p w14:paraId="3417F33B" w14:textId="77777777" w:rsidR="001B39BA" w:rsidRPr="001B39BA" w:rsidRDefault="001B39BA" w:rsidP="001B39BA">
      <w:pPr>
        <w:widowControl/>
        <w:numPr>
          <w:ilvl w:val="0"/>
          <w:numId w:val="15"/>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Guidance offices in the participating Regions in Mindanao may strengthen programs that develop interpersonal skills, genuineness, and empathy, as these are strongly associated with compassion satisfaction. Structured institutional debriefing program and wellness sessions may also be integrated to help guidance counselors process emotional demands and sustain professional well-being.</w:t>
      </w:r>
    </w:p>
    <w:p w14:paraId="15DADEF3" w14:textId="77777777" w:rsidR="001B39BA" w:rsidRPr="001B39BA" w:rsidRDefault="001B39BA" w:rsidP="001B39BA">
      <w:pPr>
        <w:widowControl/>
        <w:numPr>
          <w:ilvl w:val="0"/>
          <w:numId w:val="15"/>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lastRenderedPageBreak/>
        <w:t>Schools in the participating Regions in Mindanao may enhance workload management and institutional support systems, as compassion fatigue is influenced more by contextual factors than individual competencies. Improvements in supervision, administrative support, and counselor-to-student ratios may contribute to more balanced professional functioning.</w:t>
      </w:r>
    </w:p>
    <w:p w14:paraId="08A7D2D1" w14:textId="77777777" w:rsidR="001B39BA" w:rsidRPr="001B39BA" w:rsidRDefault="001B39BA" w:rsidP="001B39BA">
      <w:pPr>
        <w:widowControl/>
        <w:numPr>
          <w:ilvl w:val="0"/>
          <w:numId w:val="15"/>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The Commission on Higher Education and the Department of Education may consider developing Mindanao-specific policies for participating Regions in Mindanao that integrate competency development with guidance counselor well-being initiatives. These may include structured training in self-compassion and emotional regulation, as well as institutional support mechanisms responsive to regional conditions.</w:t>
      </w:r>
    </w:p>
    <w:p w14:paraId="294F5ACB" w14:textId="77777777" w:rsidR="001B39BA" w:rsidRPr="001B39BA" w:rsidRDefault="001B39BA" w:rsidP="001B39BA">
      <w:pPr>
        <w:widowControl/>
        <w:numPr>
          <w:ilvl w:val="0"/>
          <w:numId w:val="15"/>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Future researchers may employ larger, more representative samples to address the limitations of small sample sizes, particularly in Structural Equation Modeling. Increasing sample size may improve statistical power, stabilize parameter estimates, and allow detection of indirect and interaction effects.</w:t>
      </w:r>
    </w:p>
    <w:p w14:paraId="645AE06E" w14:textId="77777777" w:rsidR="001B39BA" w:rsidRPr="001B39BA" w:rsidRDefault="001B39BA" w:rsidP="001B39BA">
      <w:pPr>
        <w:widowControl/>
        <w:numPr>
          <w:ilvl w:val="0"/>
          <w:numId w:val="15"/>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Researchers may consider using probability sampling techniques to reduce bias associated with quota sampling and enhance generalizability. More representative sampling may also improve model fit and more reliably capture structural relationships.</w:t>
      </w:r>
    </w:p>
    <w:p w14:paraId="0D60CF21" w14:textId="77777777" w:rsidR="001B39BA" w:rsidRPr="001B39BA" w:rsidRDefault="001B39BA" w:rsidP="001B39BA">
      <w:pPr>
        <w:widowControl/>
        <w:numPr>
          <w:ilvl w:val="0"/>
          <w:numId w:val="15"/>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Future studies may refine structural models by incorporating additional variables to address the poor model fit observed in this study. Including contextual and organizational factors may better capture the complexity of relationships among work-specific characteristics, compassion satisfaction, and compassion fatigue.</w:t>
      </w:r>
    </w:p>
    <w:p w14:paraId="55F6DF6E" w14:textId="77777777" w:rsidR="001B39BA" w:rsidRPr="001B39BA" w:rsidRDefault="001B39BA" w:rsidP="001B39BA">
      <w:pPr>
        <w:widowControl/>
        <w:numPr>
          <w:ilvl w:val="0"/>
          <w:numId w:val="15"/>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Research designs may incorporate contextual variables such as workload, institutional support, administrative demands, and organizational climate, which were not included in the current model. These factors may provide a clearer explanation of compassion fatigue, particularly in the Mindanao setting.</w:t>
      </w:r>
    </w:p>
    <w:p w14:paraId="7AE672DF" w14:textId="77777777" w:rsidR="001B39BA" w:rsidRPr="001B39BA" w:rsidRDefault="001B39BA" w:rsidP="001B39BA">
      <w:pPr>
        <w:widowControl/>
        <w:numPr>
          <w:ilvl w:val="0"/>
          <w:numId w:val="15"/>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Future researchers may address overlapping constructs by refining measurement tools and distinguishing between related variables such as empathy, satisfaction, and fatigue. The use of multi-method approaches, including qualitative data and external ratings, may reduce conceptual redundancy and improve variability.</w:t>
      </w:r>
    </w:p>
    <w:p w14:paraId="75D1D523" w14:textId="77777777" w:rsidR="001B39BA" w:rsidRPr="001B39BA" w:rsidRDefault="001B39BA" w:rsidP="001B39BA">
      <w:pPr>
        <w:widowControl/>
        <w:numPr>
          <w:ilvl w:val="0"/>
          <w:numId w:val="15"/>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lastRenderedPageBreak/>
        <w:t>Studies may reduce reliance on self-report measures by incorporating multiple data sources to minimize social desirability bias. Combining self-report, observational, and supervisor-based data may provide a more accurate representation of guidance counselors’ competencies and experiences.</w:t>
      </w:r>
    </w:p>
    <w:p w14:paraId="0DEA90EF" w14:textId="5C7A36D8" w:rsidR="001B39BA" w:rsidRPr="001B39BA" w:rsidRDefault="001B39BA" w:rsidP="001B39BA">
      <w:pPr>
        <w:widowControl/>
        <w:numPr>
          <w:ilvl w:val="0"/>
          <w:numId w:val="15"/>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Future research may adopt longitudinal or mixed-method designs to better establish causal relationships among variables. These approaches may provide deeper insight into how guidance counselors’ well-being develops over time.</w:t>
      </w:r>
    </w:p>
    <w:p w14:paraId="7AC6E5FB" w14:textId="77777777" w:rsidR="001B39BA" w:rsidRPr="001B39BA" w:rsidRDefault="001B39BA" w:rsidP="001B39BA">
      <w:pPr>
        <w:widowControl/>
        <w:numPr>
          <w:ilvl w:val="0"/>
          <w:numId w:val="15"/>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Additional psychological variables such as emotional intelligence, resilience, coping strategies, mindfulness, and work-life balance may be explored to expand the explanatory scope of future models. Including these variables may contribute to a more comprehensive understanding of guidance counselor well-being.</w:t>
      </w:r>
    </w:p>
    <w:p w14:paraId="3B71C120" w14:textId="77777777" w:rsidR="001B39BA" w:rsidRDefault="001B39BA" w:rsidP="001B39BA">
      <w:pPr>
        <w:widowControl/>
        <w:numPr>
          <w:ilvl w:val="0"/>
          <w:numId w:val="15"/>
        </w:numPr>
        <w:autoSpaceDE/>
        <w:autoSpaceDN/>
        <w:spacing w:after="160" w:line="360" w:lineRule="auto"/>
        <w:jc w:val="both"/>
        <w:rPr>
          <w:rFonts w:ascii="Arial" w:eastAsiaTheme="minorHAnsi" w:hAnsi="Arial" w:cs="Arial"/>
          <w:kern w:val="2"/>
          <w:lang w:val="en-SG"/>
          <w14:ligatures w14:val="standardContextual"/>
        </w:rPr>
      </w:pPr>
      <w:r w:rsidRPr="001B39BA">
        <w:rPr>
          <w:rFonts w:ascii="Arial" w:eastAsiaTheme="minorHAnsi" w:hAnsi="Arial" w:cs="Arial"/>
          <w:kern w:val="2"/>
          <w:lang w:val="en-SG"/>
          <w14:ligatures w14:val="standardContextual"/>
        </w:rPr>
        <w:t>Educational institutions in the participating Regions in Mindanao may develop structured psychological support programs for guidance counselors that combine professional development with well-being interventions. These programs may include peer support groups, reflective supervision, debriefing sessions, and stress management activities tailored to the regional context.</w:t>
      </w:r>
    </w:p>
    <w:p w14:paraId="188DFB31" w14:textId="77777777" w:rsidR="00C81E9B" w:rsidRDefault="00C81E9B" w:rsidP="00C81E9B">
      <w:pPr>
        <w:widowControl/>
        <w:autoSpaceDE/>
        <w:autoSpaceDN/>
        <w:spacing w:after="160" w:line="360" w:lineRule="auto"/>
        <w:jc w:val="both"/>
        <w:rPr>
          <w:rFonts w:ascii="Arial" w:eastAsiaTheme="minorHAnsi" w:hAnsi="Arial" w:cs="Arial"/>
          <w:kern w:val="2"/>
          <w:lang w:val="en-SG"/>
          <w14:ligatures w14:val="standardContextual"/>
        </w:rPr>
      </w:pPr>
    </w:p>
    <w:p w14:paraId="4D73A8CE" w14:textId="77777777" w:rsidR="00C81E9B" w:rsidRDefault="00C81E9B" w:rsidP="00C81E9B">
      <w:pPr>
        <w:widowControl/>
        <w:autoSpaceDE/>
        <w:autoSpaceDN/>
        <w:spacing w:after="160" w:line="360" w:lineRule="auto"/>
        <w:jc w:val="both"/>
        <w:rPr>
          <w:rFonts w:ascii="Arial" w:eastAsiaTheme="minorHAnsi" w:hAnsi="Arial" w:cs="Arial"/>
          <w:kern w:val="2"/>
          <w:lang w:val="en-SG"/>
          <w14:ligatures w14:val="standardContextual"/>
        </w:rPr>
      </w:pPr>
    </w:p>
    <w:p w14:paraId="04337759" w14:textId="77777777" w:rsidR="00C81E9B" w:rsidRDefault="00C81E9B" w:rsidP="00C81E9B">
      <w:pPr>
        <w:widowControl/>
        <w:autoSpaceDE/>
        <w:autoSpaceDN/>
        <w:spacing w:after="160" w:line="360" w:lineRule="auto"/>
        <w:jc w:val="both"/>
        <w:rPr>
          <w:rFonts w:ascii="Arial" w:eastAsiaTheme="minorHAnsi" w:hAnsi="Arial" w:cs="Arial"/>
          <w:kern w:val="2"/>
          <w:lang w:val="en-SG"/>
          <w14:ligatures w14:val="standardContextual"/>
        </w:rPr>
      </w:pPr>
    </w:p>
    <w:p w14:paraId="640F9852" w14:textId="77777777" w:rsidR="00C81E9B" w:rsidRDefault="00C81E9B" w:rsidP="00C81E9B">
      <w:pPr>
        <w:widowControl/>
        <w:autoSpaceDE/>
        <w:autoSpaceDN/>
        <w:spacing w:after="160" w:line="360" w:lineRule="auto"/>
        <w:jc w:val="both"/>
        <w:rPr>
          <w:rFonts w:ascii="Arial" w:eastAsiaTheme="minorHAnsi" w:hAnsi="Arial" w:cs="Arial"/>
          <w:kern w:val="2"/>
          <w:lang w:val="en-SG"/>
          <w14:ligatures w14:val="standardContextual"/>
        </w:rPr>
      </w:pPr>
    </w:p>
    <w:p w14:paraId="2ADAB68F" w14:textId="77777777" w:rsidR="00C81E9B" w:rsidRDefault="00C81E9B" w:rsidP="00C81E9B">
      <w:pPr>
        <w:widowControl/>
        <w:autoSpaceDE/>
        <w:autoSpaceDN/>
        <w:spacing w:after="160" w:line="360" w:lineRule="auto"/>
        <w:jc w:val="both"/>
        <w:rPr>
          <w:rFonts w:ascii="Arial" w:eastAsiaTheme="minorHAnsi" w:hAnsi="Arial" w:cs="Arial"/>
          <w:kern w:val="2"/>
          <w:lang w:val="en-SG"/>
          <w14:ligatures w14:val="standardContextual"/>
        </w:rPr>
      </w:pPr>
    </w:p>
    <w:p w14:paraId="70887E5E" w14:textId="77777777" w:rsidR="00C81E9B" w:rsidRDefault="00C81E9B" w:rsidP="00C81E9B">
      <w:pPr>
        <w:widowControl/>
        <w:autoSpaceDE/>
        <w:autoSpaceDN/>
        <w:spacing w:after="160" w:line="360" w:lineRule="auto"/>
        <w:jc w:val="both"/>
        <w:rPr>
          <w:rFonts w:ascii="Arial" w:eastAsiaTheme="minorHAnsi" w:hAnsi="Arial" w:cs="Arial"/>
          <w:kern w:val="2"/>
          <w:lang w:val="en-SG"/>
          <w14:ligatures w14:val="standardContextual"/>
        </w:rPr>
      </w:pPr>
    </w:p>
    <w:p w14:paraId="1C017376" w14:textId="77777777" w:rsidR="00C81E9B" w:rsidRDefault="00C81E9B" w:rsidP="00C81E9B">
      <w:pPr>
        <w:widowControl/>
        <w:autoSpaceDE/>
        <w:autoSpaceDN/>
        <w:spacing w:after="160" w:line="360" w:lineRule="auto"/>
        <w:jc w:val="both"/>
        <w:rPr>
          <w:rFonts w:ascii="Arial" w:eastAsiaTheme="minorHAnsi" w:hAnsi="Arial" w:cs="Arial"/>
          <w:kern w:val="2"/>
          <w:lang w:val="en-SG"/>
          <w14:ligatures w14:val="standardContextual"/>
        </w:rPr>
      </w:pPr>
    </w:p>
    <w:p w14:paraId="55D92E32" w14:textId="77777777" w:rsidR="00C81E9B" w:rsidRDefault="00C81E9B" w:rsidP="00C81E9B">
      <w:pPr>
        <w:widowControl/>
        <w:autoSpaceDE/>
        <w:autoSpaceDN/>
        <w:spacing w:after="160" w:line="360" w:lineRule="auto"/>
        <w:jc w:val="both"/>
        <w:rPr>
          <w:rFonts w:ascii="Arial" w:eastAsiaTheme="minorHAnsi" w:hAnsi="Arial" w:cs="Arial"/>
          <w:kern w:val="2"/>
          <w:lang w:val="en-SG"/>
          <w14:ligatures w14:val="standardContextual"/>
        </w:rPr>
      </w:pPr>
    </w:p>
    <w:p w14:paraId="0AEFE084" w14:textId="77777777" w:rsidR="00C81E9B" w:rsidRDefault="00C81E9B" w:rsidP="00C81E9B">
      <w:pPr>
        <w:widowControl/>
        <w:autoSpaceDE/>
        <w:autoSpaceDN/>
        <w:spacing w:after="160" w:line="360" w:lineRule="auto"/>
        <w:jc w:val="both"/>
        <w:rPr>
          <w:rFonts w:ascii="Arial" w:eastAsiaTheme="minorHAnsi" w:hAnsi="Arial" w:cs="Arial"/>
          <w:kern w:val="2"/>
          <w:lang w:val="en-SG"/>
          <w14:ligatures w14:val="standardContextual"/>
        </w:rPr>
      </w:pPr>
    </w:p>
    <w:p w14:paraId="17E590FF" w14:textId="77777777" w:rsidR="00C81E9B" w:rsidRDefault="00C81E9B" w:rsidP="00C81E9B">
      <w:pPr>
        <w:widowControl/>
        <w:autoSpaceDE/>
        <w:autoSpaceDN/>
        <w:spacing w:after="160" w:line="360" w:lineRule="auto"/>
        <w:jc w:val="both"/>
        <w:rPr>
          <w:rFonts w:ascii="Arial" w:eastAsiaTheme="minorHAnsi" w:hAnsi="Arial" w:cs="Arial"/>
          <w:kern w:val="2"/>
          <w:lang w:val="en-SG"/>
          <w14:ligatures w14:val="standardContextual"/>
        </w:rPr>
      </w:pPr>
    </w:p>
    <w:p w14:paraId="3BB1A700" w14:textId="77777777" w:rsidR="00C81E9B" w:rsidRDefault="00C81E9B" w:rsidP="00C81E9B">
      <w:pPr>
        <w:widowControl/>
        <w:autoSpaceDE/>
        <w:autoSpaceDN/>
        <w:spacing w:after="160" w:line="360" w:lineRule="auto"/>
        <w:jc w:val="both"/>
        <w:rPr>
          <w:rFonts w:ascii="Arial" w:eastAsiaTheme="minorHAnsi" w:hAnsi="Arial" w:cs="Arial"/>
          <w:kern w:val="2"/>
          <w:lang w:val="en-SG"/>
          <w14:ligatures w14:val="standardContextual"/>
        </w:rPr>
      </w:pPr>
    </w:p>
    <w:p w14:paraId="7337676B" w14:textId="77777777" w:rsidR="00C81E9B" w:rsidRDefault="00C81E9B" w:rsidP="00C81E9B">
      <w:pPr>
        <w:widowControl/>
        <w:autoSpaceDE/>
        <w:autoSpaceDN/>
        <w:spacing w:after="160" w:line="360" w:lineRule="auto"/>
        <w:jc w:val="both"/>
        <w:rPr>
          <w:rFonts w:ascii="Arial" w:eastAsiaTheme="minorHAnsi" w:hAnsi="Arial" w:cs="Arial"/>
          <w:kern w:val="2"/>
          <w:lang w:val="en-SG"/>
          <w14:ligatures w14:val="standardContextual"/>
        </w:rPr>
      </w:pPr>
    </w:p>
    <w:p w14:paraId="2D1A0F74" w14:textId="77777777" w:rsidR="00C81E9B" w:rsidRPr="004B4B14" w:rsidRDefault="00C81E9B" w:rsidP="00C81E9B">
      <w:pPr>
        <w:widowControl/>
        <w:autoSpaceDE/>
        <w:autoSpaceDN/>
        <w:jc w:val="center"/>
        <w:rPr>
          <w:rFonts w:ascii="Arial" w:eastAsia="MS Mincho" w:hAnsi="Arial" w:cs="Arial"/>
          <w:b/>
          <w:bCs/>
        </w:rPr>
      </w:pPr>
      <w:r w:rsidRPr="004B4B14">
        <w:rPr>
          <w:rFonts w:ascii="Arial" w:eastAsia="MS Mincho" w:hAnsi="Arial" w:cs="Arial"/>
          <w:b/>
          <w:bCs/>
        </w:rPr>
        <w:lastRenderedPageBreak/>
        <w:t>References</w:t>
      </w:r>
    </w:p>
    <w:p w14:paraId="5BCF95F4" w14:textId="77777777" w:rsidR="00C81E9B" w:rsidRPr="00461DF1" w:rsidRDefault="00C81E9B" w:rsidP="00C81E9B">
      <w:pPr>
        <w:widowControl/>
        <w:autoSpaceDE/>
        <w:autoSpaceDN/>
        <w:jc w:val="center"/>
        <w:rPr>
          <w:rFonts w:ascii="Arial" w:eastAsia="MS Mincho" w:hAnsi="Arial" w:cs="Arial"/>
        </w:rPr>
      </w:pPr>
    </w:p>
    <w:p w14:paraId="45B8900D" w14:textId="77777777" w:rsidR="00C81E9B" w:rsidRPr="00461DF1" w:rsidRDefault="00C81E9B" w:rsidP="00C81E9B">
      <w:pPr>
        <w:widowControl/>
        <w:autoSpaceDE/>
        <w:autoSpaceDN/>
        <w:rPr>
          <w:rFonts w:ascii="Arial" w:eastAsia="MS Mincho" w:hAnsi="Arial" w:cs="Arial"/>
        </w:rPr>
      </w:pPr>
    </w:p>
    <w:p w14:paraId="547B1777" w14:textId="77777777" w:rsidR="00C81E9B" w:rsidRDefault="00C81E9B" w:rsidP="00C81E9B">
      <w:pPr>
        <w:widowControl/>
        <w:autoSpaceDE/>
        <w:autoSpaceDN/>
        <w:rPr>
          <w:rFonts w:ascii="Arial" w:eastAsia="MS Mincho" w:hAnsi="Arial" w:cs="Arial"/>
        </w:rPr>
      </w:pPr>
      <w:r w:rsidRPr="00447673">
        <w:rPr>
          <w:rFonts w:ascii="Arial" w:eastAsia="MS Mincho" w:hAnsi="Arial" w:cs="Arial"/>
        </w:rPr>
        <w:t>Amari,</w:t>
      </w:r>
      <w:r w:rsidRPr="004734DD">
        <w:rPr>
          <w:rFonts w:ascii="Arial" w:eastAsia="MS Mincho" w:hAnsi="Arial" w:cs="Arial"/>
        </w:rPr>
        <w:t xml:space="preserve"> N. (2021). On becoming a counselling psychologist: Making sense of presence. </w:t>
      </w:r>
    </w:p>
    <w:p w14:paraId="11401AC8" w14:textId="77777777" w:rsidR="00C81E9B" w:rsidRDefault="00C81E9B" w:rsidP="00C81E9B">
      <w:pPr>
        <w:widowControl/>
        <w:autoSpaceDE/>
        <w:autoSpaceDN/>
        <w:ind w:firstLine="720"/>
        <w:rPr>
          <w:rFonts w:ascii="Arial" w:eastAsia="MS Mincho" w:hAnsi="Arial" w:cs="Arial"/>
        </w:rPr>
      </w:pPr>
      <w:r w:rsidRPr="004734DD">
        <w:rPr>
          <w:rFonts w:ascii="Arial" w:eastAsia="MS Mincho" w:hAnsi="Arial" w:cs="Arial"/>
        </w:rPr>
        <w:t xml:space="preserve">Journal of Humanistic Psychology, 61(6), 831–843. </w:t>
      </w:r>
    </w:p>
    <w:p w14:paraId="6350295F" w14:textId="77777777" w:rsidR="00C81E9B" w:rsidRPr="004734DD" w:rsidRDefault="00C81E9B" w:rsidP="00C81E9B">
      <w:pPr>
        <w:widowControl/>
        <w:autoSpaceDE/>
        <w:autoSpaceDN/>
        <w:ind w:firstLine="720"/>
        <w:rPr>
          <w:rFonts w:ascii="Arial" w:eastAsia="MS Mincho" w:hAnsi="Arial" w:cs="Arial"/>
        </w:rPr>
      </w:pPr>
      <w:hyperlink r:id="rId16" w:history="1">
        <w:r w:rsidRPr="004734DD">
          <w:rPr>
            <w:rStyle w:val="Hyperlink"/>
            <w:rFonts w:ascii="Arial" w:eastAsia="MS Mincho" w:hAnsi="Arial" w:cs="Arial"/>
            <w:color w:val="auto"/>
            <w:u w:val="none"/>
          </w:rPr>
          <w:t>https://doi.org/10.1177/0022167821995371</w:t>
        </w:r>
      </w:hyperlink>
    </w:p>
    <w:p w14:paraId="154FFCA1" w14:textId="77777777" w:rsidR="00C81E9B" w:rsidRDefault="00C81E9B" w:rsidP="00C81E9B">
      <w:pPr>
        <w:widowControl/>
        <w:autoSpaceDE/>
        <w:autoSpaceDN/>
        <w:ind w:firstLine="720"/>
        <w:rPr>
          <w:rFonts w:ascii="Arial" w:eastAsia="MS Mincho" w:hAnsi="Arial" w:cs="Arial"/>
        </w:rPr>
      </w:pPr>
    </w:p>
    <w:p w14:paraId="389B5B2B"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American Psychological Association. (2020). Publication manual of the American </w:t>
      </w:r>
    </w:p>
    <w:p w14:paraId="3B0560AE" w14:textId="77777777" w:rsidR="00C81E9B" w:rsidRPr="00461DF1" w:rsidRDefault="00C81E9B" w:rsidP="00C81E9B">
      <w:pPr>
        <w:widowControl/>
        <w:autoSpaceDE/>
        <w:autoSpaceDN/>
        <w:rPr>
          <w:rFonts w:ascii="Arial" w:eastAsia="MS Mincho" w:hAnsi="Arial" w:cs="Arial"/>
        </w:rPr>
      </w:pPr>
      <w:r>
        <w:rPr>
          <w:rFonts w:ascii="Arial" w:eastAsia="MS Mincho" w:hAnsi="Arial" w:cs="Arial"/>
        </w:rPr>
        <w:tab/>
      </w:r>
      <w:r w:rsidRPr="00461DF1">
        <w:rPr>
          <w:rFonts w:ascii="Arial" w:eastAsia="MS Mincho" w:hAnsi="Arial" w:cs="Arial"/>
        </w:rPr>
        <w:t xml:space="preserve">Psychological Association (7th ed.). </w:t>
      </w:r>
      <w:hyperlink r:id="rId17" w:history="1">
        <w:r w:rsidRPr="00461DF1">
          <w:rPr>
            <w:rFonts w:ascii="Arial" w:eastAsia="MS Mincho" w:hAnsi="Arial" w:cs="Arial"/>
          </w:rPr>
          <w:t>https://apastyle.apa.org</w:t>
        </w:r>
      </w:hyperlink>
    </w:p>
    <w:p w14:paraId="585AC7CE" w14:textId="77777777" w:rsidR="00C81E9B" w:rsidRDefault="00C81E9B" w:rsidP="00C81E9B">
      <w:pPr>
        <w:widowControl/>
        <w:autoSpaceDE/>
        <w:autoSpaceDN/>
        <w:rPr>
          <w:rFonts w:ascii="Arial" w:eastAsia="MS Mincho" w:hAnsi="Arial" w:cs="Arial"/>
        </w:rPr>
      </w:pPr>
    </w:p>
    <w:p w14:paraId="2DB00673" w14:textId="77777777" w:rsidR="00C81E9B" w:rsidRDefault="00C81E9B" w:rsidP="00C81E9B">
      <w:pPr>
        <w:widowControl/>
        <w:autoSpaceDE/>
        <w:autoSpaceDN/>
        <w:rPr>
          <w:rFonts w:ascii="Arial" w:eastAsiaTheme="minorHAnsi" w:hAnsi="Arial" w:cs="Arial"/>
          <w:i/>
          <w:iCs/>
          <w:kern w:val="2"/>
          <w:lang w:val="en-SG"/>
          <w14:ligatures w14:val="standardContextual"/>
        </w:rPr>
      </w:pPr>
      <w:r w:rsidRPr="004F3944">
        <w:rPr>
          <w:rFonts w:ascii="Arial" w:eastAsiaTheme="minorHAnsi" w:hAnsi="Arial" w:cs="Arial"/>
          <w:kern w:val="2"/>
          <w:lang w:val="en-SG"/>
          <w14:ligatures w14:val="standardContextual"/>
        </w:rPr>
        <w:t xml:space="preserve">American School Counselor Association. (2019). </w:t>
      </w:r>
      <w:r w:rsidRPr="004F3944">
        <w:rPr>
          <w:rFonts w:ascii="Arial" w:eastAsiaTheme="minorHAnsi" w:hAnsi="Arial" w:cs="Arial"/>
          <w:i/>
          <w:iCs/>
          <w:kern w:val="2"/>
          <w:lang w:val="en-SG"/>
          <w14:ligatures w14:val="standardContextual"/>
        </w:rPr>
        <w:t xml:space="preserve">The ASCA national model: A </w:t>
      </w:r>
    </w:p>
    <w:p w14:paraId="54F430BC" w14:textId="77777777" w:rsidR="00C81E9B" w:rsidRDefault="00C81E9B" w:rsidP="00C81E9B">
      <w:pPr>
        <w:widowControl/>
        <w:autoSpaceDE/>
        <w:autoSpaceDN/>
        <w:ind w:firstLine="720"/>
        <w:rPr>
          <w:rFonts w:ascii="Arial" w:eastAsiaTheme="minorHAnsi" w:hAnsi="Arial" w:cs="Arial"/>
          <w:kern w:val="2"/>
          <w:lang w:val="en-SG"/>
          <w14:ligatures w14:val="standardContextual"/>
        </w:rPr>
      </w:pPr>
      <w:r>
        <w:rPr>
          <w:rFonts w:ascii="Arial" w:eastAsiaTheme="minorHAnsi" w:hAnsi="Arial" w:cs="Arial"/>
          <w:i/>
          <w:iCs/>
          <w:kern w:val="2"/>
          <w:lang w:val="en-SG"/>
          <w14:ligatures w14:val="standardContextual"/>
        </w:rPr>
        <w:t>Framework for School Counseling Programs</w:t>
      </w:r>
      <w:r w:rsidRPr="004F3944">
        <w:rPr>
          <w:rFonts w:ascii="Arial" w:eastAsiaTheme="minorHAnsi" w:hAnsi="Arial" w:cs="Arial"/>
          <w:kern w:val="2"/>
          <w:lang w:val="en-SG"/>
          <w14:ligatures w14:val="standardContextual"/>
        </w:rPr>
        <w:t xml:space="preserve"> (4th ed.). Alexandria, VA: Author.</w:t>
      </w:r>
    </w:p>
    <w:p w14:paraId="36FE76A9" w14:textId="77777777" w:rsidR="00C81E9B" w:rsidRPr="004F3944" w:rsidRDefault="00C81E9B" w:rsidP="00C81E9B">
      <w:pPr>
        <w:widowControl/>
        <w:autoSpaceDE/>
        <w:autoSpaceDN/>
        <w:ind w:firstLine="720"/>
        <w:rPr>
          <w:rFonts w:ascii="Arial" w:eastAsiaTheme="minorHAnsi" w:hAnsi="Arial" w:cs="Arial"/>
          <w:kern w:val="2"/>
          <w:lang w:val="en-SG"/>
          <w14:ligatures w14:val="standardContextual"/>
        </w:rPr>
      </w:pPr>
      <w:hyperlink r:id="rId18" w:tgtFrame="_new" w:history="1">
        <w:r w:rsidRPr="004F3944">
          <w:rPr>
            <w:rFonts w:ascii="Arial" w:eastAsiaTheme="minorHAnsi" w:hAnsi="Arial" w:cs="Arial"/>
            <w:kern w:val="2"/>
            <w:lang w:val="en-SG"/>
            <w14:ligatures w14:val="standardContextual"/>
          </w:rPr>
          <w:t>https://www.schoolcounselor.org</w:t>
        </w:r>
      </w:hyperlink>
    </w:p>
    <w:p w14:paraId="5B1B0D7B" w14:textId="77777777" w:rsidR="00C81E9B" w:rsidRPr="00461DF1" w:rsidRDefault="00C81E9B" w:rsidP="00C81E9B">
      <w:pPr>
        <w:widowControl/>
        <w:autoSpaceDE/>
        <w:autoSpaceDN/>
        <w:rPr>
          <w:rFonts w:ascii="Arial" w:eastAsia="MS Mincho" w:hAnsi="Arial" w:cs="Arial"/>
        </w:rPr>
      </w:pPr>
    </w:p>
    <w:p w14:paraId="37E10A97"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Artiola, M. A. (2025). Secondary traumatic stress and burnout among Filipino school </w:t>
      </w:r>
    </w:p>
    <w:p w14:paraId="4F6013B4" w14:textId="77777777" w:rsidR="00C81E9B" w:rsidRDefault="00C81E9B" w:rsidP="00C81E9B">
      <w:pPr>
        <w:widowControl/>
        <w:autoSpaceDE/>
        <w:autoSpaceDN/>
        <w:rPr>
          <w:rFonts w:ascii="Arial" w:eastAsia="MS Mincho" w:hAnsi="Arial" w:cs="Arial"/>
        </w:rPr>
      </w:pPr>
      <w:r>
        <w:rPr>
          <w:rFonts w:ascii="Arial" w:eastAsia="MS Mincho" w:hAnsi="Arial" w:cs="Arial"/>
        </w:rPr>
        <w:tab/>
      </w:r>
      <w:r w:rsidRPr="00461DF1">
        <w:rPr>
          <w:rFonts w:ascii="Arial" w:eastAsia="MS Mincho" w:hAnsi="Arial" w:cs="Arial"/>
        </w:rPr>
        <w:t xml:space="preserve">counselors. </w:t>
      </w:r>
      <w:r w:rsidRPr="00461DF1">
        <w:rPr>
          <w:rFonts w:ascii="Arial" w:eastAsia="MS Mincho" w:hAnsi="Arial" w:cs="Arial"/>
          <w:i/>
          <w:iCs/>
        </w:rPr>
        <w:t>Asian Journal of Counseling Psychology</w:t>
      </w:r>
      <w:r w:rsidRPr="00461DF1">
        <w:rPr>
          <w:rFonts w:ascii="Arial" w:eastAsia="MS Mincho" w:hAnsi="Arial" w:cs="Arial"/>
        </w:rPr>
        <w:t xml:space="preserve">. Advance online </w:t>
      </w:r>
    </w:p>
    <w:p w14:paraId="33E0B9DB"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publication.</w:t>
      </w:r>
    </w:p>
    <w:p w14:paraId="4F46DBC0" w14:textId="77777777" w:rsidR="00C81E9B" w:rsidRPr="00461DF1" w:rsidRDefault="00C81E9B" w:rsidP="00C81E9B">
      <w:pPr>
        <w:widowControl/>
        <w:autoSpaceDE/>
        <w:autoSpaceDN/>
        <w:rPr>
          <w:rFonts w:ascii="Arial" w:eastAsia="MS Mincho" w:hAnsi="Arial" w:cs="Arial"/>
        </w:rPr>
      </w:pPr>
    </w:p>
    <w:p w14:paraId="6C6942BE" w14:textId="77777777" w:rsidR="00C81E9B" w:rsidRDefault="00C81E9B" w:rsidP="00C81E9B">
      <w:pPr>
        <w:widowControl/>
        <w:autoSpaceDE/>
        <w:autoSpaceDN/>
        <w:rPr>
          <w:rFonts w:ascii="Arial" w:eastAsiaTheme="minorHAnsi" w:hAnsi="Arial" w:cs="Arial"/>
          <w:i/>
          <w:iCs/>
          <w:kern w:val="2"/>
          <w:lang w:val="en-SG"/>
          <w14:ligatures w14:val="standardContextual"/>
        </w:rPr>
      </w:pPr>
      <w:r w:rsidRPr="004F3944">
        <w:rPr>
          <w:rFonts w:ascii="Arial" w:eastAsiaTheme="minorHAnsi" w:hAnsi="Arial" w:cs="Arial"/>
          <w:kern w:val="2"/>
          <w:lang w:val="en-SG"/>
          <w14:ligatures w14:val="standardContextual"/>
        </w:rPr>
        <w:t xml:space="preserve">Aydın Sünbül, Z., &amp; Özcan, N. (2024). </w:t>
      </w:r>
      <w:r w:rsidRPr="004F3944">
        <w:rPr>
          <w:rFonts w:ascii="Arial" w:eastAsiaTheme="minorHAnsi" w:hAnsi="Arial" w:cs="Arial"/>
          <w:i/>
          <w:iCs/>
          <w:kern w:val="2"/>
          <w:lang w:val="en-SG"/>
          <w14:ligatures w14:val="standardContextual"/>
        </w:rPr>
        <w:t xml:space="preserve">Authenticity, self-compassion and well-being in </w:t>
      </w:r>
    </w:p>
    <w:p w14:paraId="1D3265BE" w14:textId="77777777" w:rsidR="00C81E9B" w:rsidRDefault="00C81E9B" w:rsidP="00C81E9B">
      <w:pPr>
        <w:widowControl/>
        <w:autoSpaceDE/>
        <w:autoSpaceDN/>
        <w:ind w:firstLine="720"/>
        <w:rPr>
          <w:rFonts w:ascii="Arial" w:eastAsiaTheme="minorHAnsi" w:hAnsi="Arial" w:cs="Arial"/>
          <w:i/>
          <w:iCs/>
          <w:kern w:val="2"/>
          <w:lang w:val="en-SG"/>
          <w14:ligatures w14:val="standardContextual"/>
        </w:rPr>
      </w:pPr>
      <w:r w:rsidRPr="004F3944">
        <w:rPr>
          <w:rFonts w:ascii="Arial" w:eastAsiaTheme="minorHAnsi" w:hAnsi="Arial" w:cs="Arial"/>
          <w:i/>
          <w:iCs/>
          <w:kern w:val="2"/>
          <w:lang w:val="en-SG"/>
          <w14:ligatures w14:val="standardContextual"/>
        </w:rPr>
        <w:t xml:space="preserve">psychological counselors: The mediating role of body responsiveness and </w:t>
      </w:r>
    </w:p>
    <w:p w14:paraId="3175E119" w14:textId="77777777" w:rsidR="00C81E9B" w:rsidRDefault="00C81E9B" w:rsidP="00C81E9B">
      <w:pPr>
        <w:widowControl/>
        <w:autoSpaceDE/>
        <w:autoSpaceDN/>
        <w:ind w:firstLine="720"/>
        <w:rPr>
          <w:rFonts w:ascii="Arial" w:eastAsiaTheme="minorHAnsi" w:hAnsi="Arial" w:cs="Arial"/>
          <w:kern w:val="2"/>
          <w:lang w:val="en-SG"/>
          <w14:ligatures w14:val="standardContextual"/>
        </w:rPr>
      </w:pPr>
      <w:r w:rsidRPr="004F3944">
        <w:rPr>
          <w:rFonts w:ascii="Arial" w:eastAsiaTheme="minorHAnsi" w:hAnsi="Arial" w:cs="Arial"/>
          <w:i/>
          <w:iCs/>
          <w:kern w:val="2"/>
          <w:lang w:val="en-SG"/>
          <w14:ligatures w14:val="standardContextual"/>
        </w:rPr>
        <w:t>emotion dysregulation</w:t>
      </w:r>
      <w:r w:rsidRPr="004F3944">
        <w:rPr>
          <w:rFonts w:ascii="Arial" w:eastAsiaTheme="minorHAnsi" w:hAnsi="Arial" w:cs="Arial"/>
          <w:kern w:val="2"/>
          <w:lang w:val="en-SG"/>
          <w14:ligatures w14:val="standardContextual"/>
        </w:rPr>
        <w:t xml:space="preserve">. Çukurova Üniversitesi Eğitim Fakültesi Dergisi, 53(3), </w:t>
      </w:r>
    </w:p>
    <w:p w14:paraId="124942F8" w14:textId="77777777" w:rsidR="00C81E9B" w:rsidRDefault="00C81E9B" w:rsidP="00C81E9B">
      <w:pPr>
        <w:widowControl/>
        <w:autoSpaceDE/>
        <w:autoSpaceDN/>
        <w:ind w:firstLine="720"/>
        <w:rPr>
          <w:rFonts w:ascii="Arial" w:eastAsiaTheme="minorHAnsi" w:hAnsi="Arial" w:cs="Arial"/>
          <w:kern w:val="2"/>
          <w:lang w:val="en-SG"/>
          <w14:ligatures w14:val="standardContextual"/>
        </w:rPr>
      </w:pPr>
      <w:r w:rsidRPr="004F3944">
        <w:rPr>
          <w:rFonts w:ascii="Arial" w:eastAsiaTheme="minorHAnsi" w:hAnsi="Arial" w:cs="Arial"/>
          <w:kern w:val="2"/>
          <w:lang w:val="en-SG"/>
          <w14:ligatures w14:val="standardContextual"/>
        </w:rPr>
        <w:t>1267–1296.</w:t>
      </w:r>
    </w:p>
    <w:p w14:paraId="1F9AD121" w14:textId="77777777" w:rsidR="00C81E9B" w:rsidRPr="004F3944" w:rsidRDefault="00C81E9B" w:rsidP="00C81E9B">
      <w:pPr>
        <w:widowControl/>
        <w:autoSpaceDE/>
        <w:autoSpaceDN/>
        <w:ind w:left="720"/>
        <w:rPr>
          <w:rFonts w:ascii="Arial" w:eastAsiaTheme="minorHAnsi" w:hAnsi="Arial" w:cs="Arial"/>
          <w:kern w:val="2"/>
          <w:lang w:val="en-SG"/>
          <w14:ligatures w14:val="standardContextual"/>
        </w:rPr>
      </w:pPr>
      <w:hyperlink r:id="rId19" w:history="1">
        <w:r w:rsidRPr="004F3944">
          <w:rPr>
            <w:rFonts w:ascii="Arial" w:eastAsiaTheme="minorHAnsi" w:hAnsi="Arial" w:cs="Arial"/>
            <w:kern w:val="2"/>
            <w:lang w:val="en-SG"/>
            <w14:ligatures w14:val="standardContextual"/>
          </w:rPr>
          <w:t>https://doi.org/10.14812/cuefd.1463114</w:t>
        </w:r>
      </w:hyperlink>
    </w:p>
    <w:p w14:paraId="115598D6" w14:textId="77777777" w:rsidR="00C81E9B" w:rsidRPr="00461DF1" w:rsidRDefault="00C81E9B" w:rsidP="00C81E9B">
      <w:pPr>
        <w:widowControl/>
        <w:autoSpaceDE/>
        <w:autoSpaceDN/>
        <w:rPr>
          <w:rFonts w:ascii="Arial" w:eastAsia="MS Mincho" w:hAnsi="Arial" w:cs="Arial"/>
        </w:rPr>
      </w:pPr>
    </w:p>
    <w:p w14:paraId="1BD505EA" w14:textId="77777777" w:rsidR="00C81E9B" w:rsidRDefault="00C81E9B" w:rsidP="00C81E9B">
      <w:pPr>
        <w:widowControl/>
        <w:autoSpaceDE/>
        <w:autoSpaceDN/>
        <w:rPr>
          <w:rFonts w:ascii="Arial" w:eastAsia="MS Mincho" w:hAnsi="Arial" w:cs="Arial"/>
          <w:lang w:val="en-SG"/>
        </w:rPr>
      </w:pPr>
      <w:r w:rsidRPr="00461DF1">
        <w:rPr>
          <w:rFonts w:ascii="Arial" w:eastAsia="MS Mincho" w:hAnsi="Arial" w:cs="Arial"/>
          <w:lang w:val="en-SG"/>
        </w:rPr>
        <w:t>Bakker, A. B., &amp; Demerouti, E. (202</w:t>
      </w:r>
      <w:r>
        <w:rPr>
          <w:rFonts w:ascii="Arial" w:eastAsia="MS Mincho" w:hAnsi="Arial" w:cs="Arial"/>
          <w:lang w:val="en-SG"/>
        </w:rPr>
        <w:t>1</w:t>
      </w:r>
      <w:r w:rsidRPr="00461DF1">
        <w:rPr>
          <w:rFonts w:ascii="Arial" w:eastAsia="MS Mincho" w:hAnsi="Arial" w:cs="Arial"/>
          <w:lang w:val="en-SG"/>
        </w:rPr>
        <w:t xml:space="preserve">). The job demands–resources model: State of </w:t>
      </w:r>
    </w:p>
    <w:p w14:paraId="56509003" w14:textId="77777777" w:rsidR="00C81E9B" w:rsidRDefault="00C81E9B" w:rsidP="00C81E9B">
      <w:pPr>
        <w:widowControl/>
        <w:autoSpaceDE/>
        <w:autoSpaceDN/>
        <w:ind w:firstLine="720"/>
        <w:rPr>
          <w:rFonts w:ascii="Arial" w:eastAsia="MS Mincho" w:hAnsi="Arial" w:cs="Arial"/>
          <w:lang w:val="en-SG"/>
        </w:rPr>
      </w:pPr>
      <w:r w:rsidRPr="00461DF1">
        <w:rPr>
          <w:rFonts w:ascii="Arial" w:eastAsia="MS Mincho" w:hAnsi="Arial" w:cs="Arial"/>
          <w:lang w:val="en-SG"/>
        </w:rPr>
        <w:t xml:space="preserve">the art. </w:t>
      </w:r>
      <w:r w:rsidRPr="00461DF1">
        <w:rPr>
          <w:rFonts w:ascii="Arial" w:eastAsia="MS Mincho" w:hAnsi="Arial" w:cs="Arial"/>
          <w:i/>
          <w:iCs/>
          <w:lang w:val="en-SG"/>
        </w:rPr>
        <w:t>Journal of Organizational Behavior, 41</w:t>
      </w:r>
      <w:r w:rsidRPr="00461DF1">
        <w:rPr>
          <w:rFonts w:ascii="Arial" w:eastAsia="MS Mincho" w:hAnsi="Arial" w:cs="Arial"/>
          <w:lang w:val="en-SG"/>
        </w:rPr>
        <w:t xml:space="preserve">(6), 535–551. </w:t>
      </w:r>
    </w:p>
    <w:p w14:paraId="6BB1B128" w14:textId="77777777" w:rsidR="00C81E9B" w:rsidRPr="00461DF1" w:rsidRDefault="00C81E9B" w:rsidP="00C81E9B">
      <w:pPr>
        <w:widowControl/>
        <w:autoSpaceDE/>
        <w:autoSpaceDN/>
        <w:ind w:firstLine="720"/>
        <w:rPr>
          <w:rFonts w:ascii="Arial" w:eastAsia="MS Mincho" w:hAnsi="Arial" w:cs="Arial"/>
          <w:lang w:val="en-SG"/>
        </w:rPr>
      </w:pPr>
      <w:hyperlink r:id="rId20" w:history="1">
        <w:r w:rsidRPr="00461DF1">
          <w:rPr>
            <w:rFonts w:ascii="Arial" w:eastAsia="MS Mincho" w:hAnsi="Arial" w:cs="Arial"/>
            <w:lang w:val="en-SG"/>
          </w:rPr>
          <w:t>https://doi.org/10.1002/job.2455</w:t>
        </w:r>
      </w:hyperlink>
    </w:p>
    <w:p w14:paraId="1AE64538" w14:textId="77777777" w:rsidR="00C81E9B" w:rsidRDefault="00C81E9B" w:rsidP="00C81E9B">
      <w:pPr>
        <w:widowControl/>
        <w:autoSpaceDE/>
        <w:autoSpaceDN/>
        <w:rPr>
          <w:rFonts w:ascii="Arial" w:eastAsia="MS Mincho" w:hAnsi="Arial" w:cs="Arial"/>
        </w:rPr>
      </w:pPr>
    </w:p>
    <w:p w14:paraId="0EFA2839" w14:textId="77777777" w:rsidR="00C81E9B" w:rsidRDefault="00C81E9B" w:rsidP="00C81E9B">
      <w:pPr>
        <w:widowControl/>
        <w:autoSpaceDE/>
        <w:autoSpaceDN/>
        <w:rPr>
          <w:rFonts w:ascii="Arial" w:eastAsia="MS Mincho" w:hAnsi="Arial" w:cs="Arial"/>
        </w:rPr>
      </w:pPr>
      <w:r w:rsidRPr="00123253">
        <w:rPr>
          <w:rFonts w:ascii="Arial" w:eastAsia="MS Mincho" w:hAnsi="Arial" w:cs="Arial"/>
        </w:rPr>
        <w:t>Baguley SI, Pavlova A</w:t>
      </w:r>
      <w:r>
        <w:rPr>
          <w:rFonts w:ascii="Arial" w:eastAsia="MS Mincho" w:hAnsi="Arial" w:cs="Arial"/>
        </w:rPr>
        <w:t>. (2022).</w:t>
      </w:r>
      <w:r w:rsidRPr="00123253">
        <w:rPr>
          <w:rFonts w:ascii="Arial" w:eastAsia="MS Mincho" w:hAnsi="Arial" w:cs="Arial"/>
        </w:rPr>
        <w:t xml:space="preserve"> Consedine NS. More than a feeling? What does </w:t>
      </w:r>
    </w:p>
    <w:p w14:paraId="2DE5D2FF" w14:textId="77777777" w:rsidR="00C81E9B" w:rsidRDefault="00C81E9B" w:rsidP="00C81E9B">
      <w:pPr>
        <w:widowControl/>
        <w:autoSpaceDE/>
        <w:autoSpaceDN/>
        <w:ind w:firstLine="720"/>
        <w:rPr>
          <w:rFonts w:ascii="Arial" w:eastAsia="MS Mincho" w:hAnsi="Arial" w:cs="Arial"/>
        </w:rPr>
      </w:pPr>
      <w:r w:rsidRPr="00123253">
        <w:rPr>
          <w:rFonts w:ascii="Arial" w:eastAsia="MS Mincho" w:hAnsi="Arial" w:cs="Arial"/>
        </w:rPr>
        <w:t>compassion in healthcare ‘looks like’ to patients?Health Expect. 2022;25:1691-</w:t>
      </w:r>
    </w:p>
    <w:p w14:paraId="64DC54A1" w14:textId="77777777" w:rsidR="00C81E9B" w:rsidRPr="00123253" w:rsidRDefault="00C81E9B" w:rsidP="00C81E9B">
      <w:pPr>
        <w:widowControl/>
        <w:autoSpaceDE/>
        <w:autoSpaceDN/>
        <w:ind w:firstLine="720"/>
        <w:rPr>
          <w:rFonts w:ascii="Arial" w:eastAsia="MS Mincho" w:hAnsi="Arial" w:cs="Arial"/>
        </w:rPr>
      </w:pPr>
      <w:r w:rsidRPr="00123253">
        <w:rPr>
          <w:rFonts w:ascii="Arial" w:eastAsia="MS Mincho" w:hAnsi="Arial" w:cs="Arial"/>
        </w:rPr>
        <w:t>1702. doi:10.1111/hex.13512</w:t>
      </w:r>
    </w:p>
    <w:p w14:paraId="73A79614" w14:textId="77777777" w:rsidR="00C81E9B" w:rsidRDefault="00C81E9B" w:rsidP="00C81E9B">
      <w:pPr>
        <w:widowControl/>
        <w:autoSpaceDE/>
        <w:autoSpaceDN/>
        <w:ind w:firstLine="720"/>
        <w:rPr>
          <w:rFonts w:ascii="Arial" w:eastAsia="MS Mincho" w:hAnsi="Arial" w:cs="Arial"/>
        </w:rPr>
      </w:pPr>
    </w:p>
    <w:p w14:paraId="7F356530"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Beaumont, E., Durkin, M., Hollins Martin, C. J., &amp; Carson, J. (2016). Compassion for </w:t>
      </w:r>
    </w:p>
    <w:p w14:paraId="3E77E03E"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others, self-compassion, quality of life, and mental well-being measures and </w:t>
      </w:r>
    </w:p>
    <w:p w14:paraId="17E28377"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their association with compassion fatigue and burnout in student midwives: A </w:t>
      </w:r>
    </w:p>
    <w:p w14:paraId="67DA3702" w14:textId="77777777" w:rsidR="00C81E9B" w:rsidRPr="00461DF1" w:rsidRDefault="00C81E9B" w:rsidP="00C81E9B">
      <w:pPr>
        <w:widowControl/>
        <w:autoSpaceDE/>
        <w:autoSpaceDN/>
        <w:ind w:left="720"/>
        <w:rPr>
          <w:rFonts w:ascii="Arial" w:eastAsia="MS Mincho" w:hAnsi="Arial" w:cs="Arial"/>
        </w:rPr>
      </w:pPr>
      <w:r w:rsidRPr="00461DF1">
        <w:rPr>
          <w:rFonts w:ascii="Arial" w:eastAsia="MS Mincho" w:hAnsi="Arial" w:cs="Arial"/>
        </w:rPr>
        <w:t xml:space="preserve">quantitative survey. </w:t>
      </w:r>
      <w:r w:rsidRPr="00461DF1">
        <w:rPr>
          <w:rFonts w:ascii="Arial" w:eastAsia="MS Mincho" w:hAnsi="Arial" w:cs="Arial"/>
          <w:i/>
          <w:iCs/>
        </w:rPr>
        <w:t>Midwifery, 34</w:t>
      </w:r>
      <w:r w:rsidRPr="00461DF1">
        <w:rPr>
          <w:rFonts w:ascii="Arial" w:eastAsia="MS Mincho" w:hAnsi="Arial" w:cs="Arial"/>
        </w:rPr>
        <w:t xml:space="preserve">, 239–244. </w:t>
      </w:r>
      <w:hyperlink r:id="rId21" w:history="1">
        <w:r w:rsidRPr="00461DF1">
          <w:rPr>
            <w:rFonts w:ascii="Arial" w:eastAsia="MS Mincho" w:hAnsi="Arial" w:cs="Arial"/>
          </w:rPr>
          <w:t>https://doi.org/10.1016/j.midw.2015.11.002</w:t>
        </w:r>
      </w:hyperlink>
    </w:p>
    <w:p w14:paraId="397D2C35" w14:textId="77777777" w:rsidR="00C81E9B" w:rsidRPr="00461DF1" w:rsidRDefault="00C81E9B" w:rsidP="00C81E9B">
      <w:pPr>
        <w:widowControl/>
        <w:autoSpaceDE/>
        <w:autoSpaceDN/>
        <w:rPr>
          <w:rFonts w:ascii="Arial" w:eastAsia="MS Mincho" w:hAnsi="Arial" w:cs="Arial"/>
        </w:rPr>
      </w:pPr>
    </w:p>
    <w:p w14:paraId="1215B6FD"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Beenen, G., Mrous, J., &amp; Pichler, S. (2023). Interpersonal skills development in </w:t>
      </w:r>
    </w:p>
    <w:p w14:paraId="6619B132"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higher education: A systematic review. </w:t>
      </w:r>
      <w:r w:rsidRPr="00461DF1">
        <w:rPr>
          <w:rFonts w:ascii="Arial" w:eastAsia="MS Mincho" w:hAnsi="Arial" w:cs="Arial"/>
          <w:i/>
          <w:iCs/>
        </w:rPr>
        <w:t>Studies in Higher Education, 48</w:t>
      </w:r>
      <w:r w:rsidRPr="00461DF1">
        <w:rPr>
          <w:rFonts w:ascii="Arial" w:eastAsia="MS Mincho" w:hAnsi="Arial" w:cs="Arial"/>
        </w:rPr>
        <w:t xml:space="preserve">(6), </w:t>
      </w:r>
    </w:p>
    <w:p w14:paraId="02AFA83B"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987–1003. </w:t>
      </w:r>
    </w:p>
    <w:p w14:paraId="27D5837A" w14:textId="77777777" w:rsidR="00C81E9B" w:rsidRPr="00461DF1" w:rsidRDefault="00C81E9B" w:rsidP="00C81E9B">
      <w:pPr>
        <w:widowControl/>
        <w:autoSpaceDE/>
        <w:autoSpaceDN/>
        <w:ind w:firstLine="720"/>
        <w:rPr>
          <w:rFonts w:ascii="Arial" w:eastAsia="MS Mincho" w:hAnsi="Arial" w:cs="Arial"/>
        </w:rPr>
      </w:pPr>
      <w:hyperlink r:id="rId22" w:history="1">
        <w:r w:rsidRPr="00461DF1">
          <w:rPr>
            <w:rStyle w:val="Hyperlink"/>
            <w:rFonts w:ascii="Arial" w:eastAsia="MS Mincho" w:hAnsi="Arial" w:cs="Arial"/>
            <w:color w:val="auto"/>
            <w:u w:val="none"/>
          </w:rPr>
          <w:t>https://doi.org/10.1080/03075079.2022.2039091</w:t>
        </w:r>
      </w:hyperlink>
    </w:p>
    <w:p w14:paraId="4521A0F6" w14:textId="77777777" w:rsidR="00C81E9B" w:rsidRPr="00461DF1" w:rsidRDefault="00C81E9B" w:rsidP="00C81E9B">
      <w:pPr>
        <w:widowControl/>
        <w:autoSpaceDE/>
        <w:autoSpaceDN/>
        <w:rPr>
          <w:rFonts w:ascii="Arial" w:eastAsia="MS Mincho" w:hAnsi="Arial" w:cs="Arial"/>
        </w:rPr>
      </w:pPr>
    </w:p>
    <w:p w14:paraId="3628CC58" w14:textId="77777777" w:rsidR="00C81E9B" w:rsidRDefault="00C81E9B" w:rsidP="00C81E9B">
      <w:pPr>
        <w:widowControl/>
        <w:autoSpaceDE/>
        <w:autoSpaceDN/>
        <w:rPr>
          <w:rFonts w:ascii="Arial" w:eastAsia="MS Mincho" w:hAnsi="Arial" w:cs="Arial"/>
          <w:lang w:val="en-SG"/>
        </w:rPr>
      </w:pPr>
      <w:r w:rsidRPr="00461DF1">
        <w:rPr>
          <w:rFonts w:ascii="Arial" w:eastAsia="MS Mincho" w:hAnsi="Arial" w:cs="Arial"/>
          <w:lang w:val="en-SG"/>
        </w:rPr>
        <w:t xml:space="preserve">Beenen, G., Pichler, S., &amp; Levy, P. (2023). Interpersonal skills in the workplace: A </w:t>
      </w:r>
    </w:p>
    <w:p w14:paraId="563410AD" w14:textId="77777777" w:rsidR="00C81E9B" w:rsidRDefault="00C81E9B" w:rsidP="00C81E9B">
      <w:pPr>
        <w:widowControl/>
        <w:autoSpaceDE/>
        <w:autoSpaceDN/>
        <w:ind w:firstLine="720"/>
        <w:rPr>
          <w:rFonts w:ascii="Arial" w:eastAsia="MS Mincho" w:hAnsi="Arial" w:cs="Arial"/>
          <w:lang w:val="en-SG"/>
        </w:rPr>
      </w:pPr>
      <w:r w:rsidRPr="00461DF1">
        <w:rPr>
          <w:rFonts w:ascii="Arial" w:eastAsia="MS Mincho" w:hAnsi="Arial" w:cs="Arial"/>
          <w:lang w:val="en-SG"/>
        </w:rPr>
        <w:t xml:space="preserve">review and research agenda. </w:t>
      </w:r>
      <w:r w:rsidRPr="00461DF1">
        <w:rPr>
          <w:rFonts w:ascii="Arial" w:eastAsia="MS Mincho" w:hAnsi="Arial" w:cs="Arial"/>
          <w:i/>
          <w:iCs/>
          <w:lang w:val="en-SG"/>
        </w:rPr>
        <w:t>Journal of Vocational Behavior, 141</w:t>
      </w:r>
      <w:r w:rsidRPr="00461DF1">
        <w:rPr>
          <w:rFonts w:ascii="Arial" w:eastAsia="MS Mincho" w:hAnsi="Arial" w:cs="Arial"/>
          <w:lang w:val="en-SG"/>
        </w:rPr>
        <w:t xml:space="preserve">, 103824. </w:t>
      </w:r>
    </w:p>
    <w:p w14:paraId="2670AC58" w14:textId="77777777" w:rsidR="00C81E9B" w:rsidRPr="00461DF1" w:rsidRDefault="00C81E9B" w:rsidP="00C81E9B">
      <w:pPr>
        <w:widowControl/>
        <w:autoSpaceDE/>
        <w:autoSpaceDN/>
        <w:ind w:firstLine="720"/>
        <w:rPr>
          <w:rFonts w:ascii="Arial" w:eastAsia="MS Mincho" w:hAnsi="Arial" w:cs="Arial"/>
          <w:lang w:val="en-SG"/>
        </w:rPr>
      </w:pPr>
      <w:hyperlink r:id="rId23" w:history="1">
        <w:r w:rsidRPr="00461DF1">
          <w:rPr>
            <w:rFonts w:ascii="Arial" w:eastAsia="MS Mincho" w:hAnsi="Arial" w:cs="Arial"/>
            <w:lang w:val="en-SG"/>
          </w:rPr>
          <w:t>https://doi.org/10.1016/j.jvb.2023.103824</w:t>
        </w:r>
      </w:hyperlink>
    </w:p>
    <w:p w14:paraId="4B906A3C" w14:textId="77777777" w:rsidR="00C81E9B" w:rsidRPr="00461DF1" w:rsidRDefault="00C81E9B" w:rsidP="00C81E9B">
      <w:pPr>
        <w:widowControl/>
        <w:autoSpaceDE/>
        <w:autoSpaceDN/>
        <w:rPr>
          <w:rFonts w:ascii="Arial" w:eastAsia="MS Mincho" w:hAnsi="Arial" w:cs="Arial"/>
          <w:lang w:val="en-SG"/>
        </w:rPr>
      </w:pPr>
    </w:p>
    <w:p w14:paraId="7E485776" w14:textId="77777777" w:rsidR="00C81E9B" w:rsidRDefault="00C81E9B" w:rsidP="00C81E9B">
      <w:pPr>
        <w:widowControl/>
        <w:autoSpaceDE/>
        <w:autoSpaceDN/>
        <w:rPr>
          <w:rFonts w:ascii="Arial" w:eastAsia="MS Mincho" w:hAnsi="Arial" w:cs="Arial"/>
          <w:i/>
          <w:iCs/>
        </w:rPr>
      </w:pPr>
      <w:r w:rsidRPr="00461DF1">
        <w:rPr>
          <w:rFonts w:ascii="Arial" w:eastAsia="MS Mincho" w:hAnsi="Arial" w:cs="Arial"/>
        </w:rPr>
        <w:t xml:space="preserve">Behan, C. (2022). Authenticity in psychotherapy: A review. </w:t>
      </w:r>
      <w:r w:rsidRPr="00461DF1">
        <w:rPr>
          <w:rFonts w:ascii="Arial" w:eastAsia="MS Mincho" w:hAnsi="Arial" w:cs="Arial"/>
          <w:i/>
          <w:iCs/>
        </w:rPr>
        <w:t xml:space="preserve">Psychotherapy Research, </w:t>
      </w:r>
    </w:p>
    <w:p w14:paraId="385037A3" w14:textId="77777777" w:rsidR="00C81E9B" w:rsidRPr="00461DF1" w:rsidRDefault="00C81E9B" w:rsidP="00C81E9B">
      <w:pPr>
        <w:widowControl/>
        <w:autoSpaceDE/>
        <w:autoSpaceDN/>
        <w:rPr>
          <w:rFonts w:ascii="Arial" w:eastAsia="MS Mincho" w:hAnsi="Arial" w:cs="Arial"/>
        </w:rPr>
      </w:pPr>
      <w:r>
        <w:rPr>
          <w:rFonts w:ascii="Arial" w:eastAsia="MS Mincho" w:hAnsi="Arial" w:cs="Arial"/>
          <w:i/>
          <w:iCs/>
        </w:rPr>
        <w:tab/>
      </w:r>
      <w:r w:rsidRPr="00461DF1">
        <w:rPr>
          <w:rFonts w:ascii="Arial" w:eastAsia="MS Mincho" w:hAnsi="Arial" w:cs="Arial"/>
          <w:i/>
          <w:iCs/>
        </w:rPr>
        <w:t>32</w:t>
      </w:r>
      <w:r w:rsidRPr="00461DF1">
        <w:rPr>
          <w:rFonts w:ascii="Arial" w:eastAsia="MS Mincho" w:hAnsi="Arial" w:cs="Arial"/>
        </w:rPr>
        <w:t>(5), 567–580.</w:t>
      </w:r>
    </w:p>
    <w:p w14:paraId="78734619" w14:textId="77777777" w:rsidR="00C81E9B" w:rsidRDefault="00C81E9B" w:rsidP="00C81E9B">
      <w:pPr>
        <w:widowControl/>
        <w:autoSpaceDE/>
        <w:autoSpaceDN/>
        <w:rPr>
          <w:rFonts w:ascii="Arial" w:eastAsia="MS Mincho" w:hAnsi="Arial" w:cs="Arial"/>
        </w:rPr>
      </w:pPr>
    </w:p>
    <w:p w14:paraId="79551DC5" w14:textId="77777777" w:rsidR="00C81E9B" w:rsidRPr="00461DF1" w:rsidRDefault="00C81E9B" w:rsidP="00C81E9B">
      <w:pPr>
        <w:widowControl/>
        <w:autoSpaceDE/>
        <w:autoSpaceDN/>
        <w:rPr>
          <w:rFonts w:ascii="Arial" w:eastAsia="MS Mincho" w:hAnsi="Arial" w:cs="Arial"/>
        </w:rPr>
      </w:pPr>
    </w:p>
    <w:p w14:paraId="516415F6" w14:textId="77777777" w:rsidR="00C81E9B" w:rsidRDefault="00C81E9B" w:rsidP="00C81E9B">
      <w:pPr>
        <w:pStyle w:val="NoSpacing"/>
        <w:rPr>
          <w:rFonts w:ascii="Arial" w:eastAsiaTheme="minorHAnsi" w:hAnsi="Arial" w:cs="Arial"/>
          <w:kern w:val="2"/>
          <w:lang w:val="en-SG"/>
          <w14:ligatures w14:val="standardContextual"/>
        </w:rPr>
      </w:pPr>
      <w:r w:rsidRPr="004F3944">
        <w:rPr>
          <w:rFonts w:ascii="Arial" w:eastAsiaTheme="minorHAnsi" w:hAnsi="Arial" w:cs="Arial"/>
          <w:kern w:val="2"/>
          <w:lang w:val="en-SG"/>
          <w14:ligatures w14:val="standardContextual"/>
        </w:rPr>
        <w:lastRenderedPageBreak/>
        <w:t>Black, N. A., Kaur, E., Mariam, M., &amp; Barnes, C. M. (202</w:t>
      </w:r>
      <w:r>
        <w:rPr>
          <w:rFonts w:ascii="Arial" w:eastAsiaTheme="minorHAnsi" w:hAnsi="Arial" w:cs="Arial"/>
          <w:kern w:val="2"/>
          <w:lang w:val="en-SG"/>
          <w14:ligatures w14:val="standardContextual"/>
        </w:rPr>
        <w:t>3</w:t>
      </w:r>
      <w:r w:rsidRPr="004F3944">
        <w:rPr>
          <w:rFonts w:ascii="Arial" w:eastAsiaTheme="minorHAnsi" w:hAnsi="Arial" w:cs="Arial"/>
          <w:kern w:val="2"/>
          <w:lang w:val="en-SG"/>
          <w14:ligatures w14:val="standardContextual"/>
        </w:rPr>
        <w:t xml:space="preserve">).Social support and </w:t>
      </w:r>
    </w:p>
    <w:p w14:paraId="07AB60E7" w14:textId="77777777" w:rsidR="00C81E9B" w:rsidRDefault="00C81E9B" w:rsidP="00C81E9B">
      <w:pPr>
        <w:pStyle w:val="NoSpacing"/>
        <w:ind w:firstLine="720"/>
        <w:rPr>
          <w:rFonts w:ascii="Arial" w:eastAsiaTheme="minorHAnsi" w:hAnsi="Arial" w:cs="Arial"/>
          <w:kern w:val="2"/>
          <w:lang w:val="en-SG"/>
          <w14:ligatures w14:val="standardContextual"/>
        </w:rPr>
      </w:pPr>
      <w:r w:rsidRPr="004F3944">
        <w:rPr>
          <w:rFonts w:ascii="Arial" w:eastAsiaTheme="minorHAnsi" w:hAnsi="Arial" w:cs="Arial"/>
          <w:kern w:val="2"/>
          <w:lang w:val="en-SG"/>
          <w14:ligatures w14:val="standardContextual"/>
        </w:rPr>
        <w:t>employee mental health: A meta-synthesis and theoretical framework.</w:t>
      </w:r>
    </w:p>
    <w:p w14:paraId="54B12BEC" w14:textId="77777777" w:rsidR="00C81E9B" w:rsidRPr="004F3944" w:rsidRDefault="00C81E9B" w:rsidP="00C81E9B">
      <w:pPr>
        <w:pStyle w:val="NoSpacing"/>
        <w:ind w:firstLine="720"/>
        <w:rPr>
          <w:rFonts w:ascii="Arial" w:eastAsiaTheme="minorHAnsi" w:hAnsi="Arial" w:cs="Arial"/>
          <w:kern w:val="2"/>
          <w:lang w:val="en-SG"/>
          <w14:ligatures w14:val="standardContextual"/>
        </w:rPr>
      </w:pPr>
      <w:r w:rsidRPr="004F3944">
        <w:rPr>
          <w:rFonts w:ascii="Arial" w:eastAsiaTheme="minorHAnsi" w:hAnsi="Arial" w:cs="Arial"/>
          <w:kern w:val="2"/>
          <w:lang w:val="en-SG"/>
          <w14:ligatures w14:val="standardContextual"/>
        </w:rPr>
        <w:t>Journal of Management.</w:t>
      </w:r>
      <w:r>
        <w:rPr>
          <w:rFonts w:ascii="Arial" w:eastAsiaTheme="minorHAnsi" w:hAnsi="Arial" w:cs="Arial"/>
          <w:kern w:val="2"/>
          <w:lang w:val="en-SG"/>
          <w14:ligatures w14:val="standardContextual"/>
        </w:rPr>
        <w:t xml:space="preserve"> </w:t>
      </w:r>
      <w:hyperlink r:id="rId24" w:history="1">
        <w:r w:rsidRPr="004F3944">
          <w:rPr>
            <w:rFonts w:ascii="Arial" w:eastAsiaTheme="minorHAnsi" w:hAnsi="Arial" w:cs="Arial"/>
            <w:kern w:val="2"/>
            <w:lang w:val="en-SG"/>
            <w14:ligatures w14:val="standardContextual"/>
          </w:rPr>
          <w:t>https://doi.org/10.1177/01492063261433560</w:t>
        </w:r>
      </w:hyperlink>
    </w:p>
    <w:p w14:paraId="2BEEEACE" w14:textId="77777777" w:rsidR="00C81E9B" w:rsidRPr="00461DF1" w:rsidRDefault="00C81E9B" w:rsidP="00C81E9B">
      <w:pPr>
        <w:widowControl/>
        <w:autoSpaceDE/>
        <w:autoSpaceDN/>
        <w:rPr>
          <w:rFonts w:ascii="Arial" w:eastAsia="MS Mincho" w:hAnsi="Arial" w:cs="Arial"/>
        </w:rPr>
      </w:pPr>
    </w:p>
    <w:p w14:paraId="07B2B429"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Bonganciso, J. G., &amp; Bonganciso, R. T. (2022). Compassion Fatigue and </w:t>
      </w:r>
    </w:p>
    <w:p w14:paraId="6DB63BC5"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Satisfaction: A Professional Quality of Life (ProQoL) of Filipino Guidance </w:t>
      </w:r>
    </w:p>
    <w:p w14:paraId="031FDB39"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Designates. Journal of Education, Society and Behavioural Science, 35(8), </w:t>
      </w:r>
    </w:p>
    <w:p w14:paraId="7829C77C"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20–39. https://doi.org/10.9734/jesbs/2022/v35i830446</w:t>
      </w:r>
    </w:p>
    <w:p w14:paraId="75D6DF93" w14:textId="77777777" w:rsidR="00C81E9B" w:rsidRDefault="00C81E9B" w:rsidP="00C81E9B">
      <w:pPr>
        <w:widowControl/>
        <w:autoSpaceDE/>
        <w:autoSpaceDN/>
        <w:rPr>
          <w:rFonts w:ascii="Arial" w:eastAsia="MS Mincho" w:hAnsi="Arial" w:cs="Arial"/>
        </w:rPr>
      </w:pPr>
    </w:p>
    <w:p w14:paraId="4F4C012A"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Bonganciso, R. T., et al. (2022). Empathy and professional quality of life among </w:t>
      </w:r>
    </w:p>
    <w:p w14:paraId="31D57E5A"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helping professionals. </w:t>
      </w:r>
      <w:r w:rsidRPr="00461DF1">
        <w:rPr>
          <w:rFonts w:ascii="Arial" w:eastAsia="MS Mincho" w:hAnsi="Arial" w:cs="Arial"/>
          <w:i/>
          <w:iCs/>
        </w:rPr>
        <w:t>Journal of Mental Health and Counseling, 44</w:t>
      </w:r>
      <w:r w:rsidRPr="00461DF1">
        <w:rPr>
          <w:rFonts w:ascii="Arial" w:eastAsia="MS Mincho" w:hAnsi="Arial" w:cs="Arial"/>
        </w:rPr>
        <w:t>(3), 210–</w:t>
      </w:r>
    </w:p>
    <w:p w14:paraId="665D1138"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225.</w:t>
      </w:r>
    </w:p>
    <w:p w14:paraId="1B6A78F9" w14:textId="77777777" w:rsidR="00C81E9B" w:rsidRPr="00461DF1" w:rsidRDefault="00C81E9B" w:rsidP="00C81E9B">
      <w:pPr>
        <w:widowControl/>
        <w:autoSpaceDE/>
        <w:autoSpaceDN/>
        <w:rPr>
          <w:rFonts w:ascii="Arial" w:eastAsia="MS Mincho" w:hAnsi="Arial" w:cs="Arial"/>
        </w:rPr>
      </w:pPr>
    </w:p>
    <w:p w14:paraId="5EAFA3F3"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Branson, D. C., Baer, R. A., &amp; Marini, M. M. (2022). The impact of non-judgmental </w:t>
      </w:r>
    </w:p>
    <w:p w14:paraId="133183A9" w14:textId="77777777" w:rsidR="00C81E9B" w:rsidRDefault="00C81E9B" w:rsidP="00C81E9B">
      <w:pPr>
        <w:widowControl/>
        <w:autoSpaceDE/>
        <w:autoSpaceDN/>
        <w:rPr>
          <w:rFonts w:ascii="Arial" w:eastAsia="MS Mincho" w:hAnsi="Arial" w:cs="Arial"/>
        </w:rPr>
      </w:pPr>
      <w:r>
        <w:rPr>
          <w:rFonts w:ascii="Arial" w:eastAsia="MS Mincho" w:hAnsi="Arial" w:cs="Arial"/>
        </w:rPr>
        <w:tab/>
      </w:r>
      <w:r w:rsidRPr="00461DF1">
        <w:rPr>
          <w:rFonts w:ascii="Arial" w:eastAsia="MS Mincho" w:hAnsi="Arial" w:cs="Arial"/>
        </w:rPr>
        <w:t xml:space="preserve">awareness on professional stress. </w:t>
      </w:r>
      <w:r w:rsidRPr="00461DF1">
        <w:rPr>
          <w:rFonts w:ascii="Arial" w:eastAsia="MS Mincho" w:hAnsi="Arial" w:cs="Arial"/>
          <w:i/>
          <w:iCs/>
        </w:rPr>
        <w:t>Mindfulness, 13</w:t>
      </w:r>
      <w:r w:rsidRPr="00461DF1">
        <w:rPr>
          <w:rFonts w:ascii="Arial" w:eastAsia="MS Mincho" w:hAnsi="Arial" w:cs="Arial"/>
        </w:rPr>
        <w:t xml:space="preserve">(4), 987–998. </w:t>
      </w:r>
    </w:p>
    <w:p w14:paraId="6D94B0D3" w14:textId="77777777" w:rsidR="00C81E9B" w:rsidRPr="00461DF1" w:rsidRDefault="00C81E9B" w:rsidP="00C81E9B">
      <w:pPr>
        <w:widowControl/>
        <w:autoSpaceDE/>
        <w:autoSpaceDN/>
        <w:ind w:firstLine="720"/>
        <w:rPr>
          <w:rFonts w:ascii="Arial" w:eastAsia="MS Mincho" w:hAnsi="Arial" w:cs="Arial"/>
        </w:rPr>
      </w:pPr>
      <w:hyperlink r:id="rId25" w:history="1">
        <w:r w:rsidRPr="00461DF1">
          <w:rPr>
            <w:rFonts w:ascii="Arial" w:eastAsia="MS Mincho" w:hAnsi="Arial" w:cs="Arial"/>
          </w:rPr>
          <w:t>https://doi.org/10.1007/s12671-021-01789-2</w:t>
        </w:r>
      </w:hyperlink>
    </w:p>
    <w:p w14:paraId="7C5084F6" w14:textId="77777777" w:rsidR="00C81E9B" w:rsidRPr="00461DF1" w:rsidRDefault="00C81E9B" w:rsidP="00C81E9B">
      <w:pPr>
        <w:widowControl/>
        <w:autoSpaceDE/>
        <w:autoSpaceDN/>
        <w:rPr>
          <w:rFonts w:ascii="Arial" w:eastAsia="MS Mincho" w:hAnsi="Arial" w:cs="Arial"/>
        </w:rPr>
      </w:pPr>
    </w:p>
    <w:p w14:paraId="3809CA61"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Branson, D. C., Martin, J. S., Westbrook, O. E., Ketcherside, R. J., &amp; Bradley, C. S. </w:t>
      </w:r>
    </w:p>
    <w:p w14:paraId="6AA5AC33"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(2022). “Why People Gotta be so Judgy?”: The Importance of Agency-Wide,</w:t>
      </w:r>
    </w:p>
    <w:p w14:paraId="70CC0CDF"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 Non-judgmental Approach to Client Care. Alcoholism Treatment Quarterly, </w:t>
      </w:r>
    </w:p>
    <w:p w14:paraId="5F16B9E0"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40(1), 65–82. https://doi.org/10.1080/07347324.2021.1955641</w:t>
      </w:r>
    </w:p>
    <w:p w14:paraId="05E5B1C0" w14:textId="77777777" w:rsidR="00C81E9B" w:rsidRDefault="00C81E9B" w:rsidP="00C81E9B">
      <w:pPr>
        <w:widowControl/>
        <w:autoSpaceDE/>
        <w:autoSpaceDN/>
        <w:rPr>
          <w:rFonts w:ascii="Arial" w:eastAsia="MS Mincho" w:hAnsi="Arial" w:cs="Arial"/>
        </w:rPr>
      </w:pPr>
    </w:p>
    <w:p w14:paraId="57E0D164" w14:textId="77777777" w:rsidR="00C81E9B" w:rsidRDefault="00C81E9B" w:rsidP="00C81E9B">
      <w:pPr>
        <w:widowControl/>
        <w:autoSpaceDE/>
        <w:autoSpaceDN/>
        <w:rPr>
          <w:rFonts w:ascii="Arial" w:eastAsia="MS Mincho" w:hAnsi="Arial" w:cs="Arial"/>
          <w:lang w:val="en-SG"/>
        </w:rPr>
      </w:pPr>
      <w:r w:rsidRPr="00461DF1">
        <w:rPr>
          <w:rFonts w:ascii="Arial" w:eastAsia="MS Mincho" w:hAnsi="Arial" w:cs="Arial"/>
          <w:lang w:val="en-SG"/>
        </w:rPr>
        <w:t xml:space="preserve">Branson, D. C., Dry, M. J., Palmer, E., &amp; Turnbull, D. A. (2022). The relationship </w:t>
      </w:r>
    </w:p>
    <w:p w14:paraId="66CDBD78" w14:textId="77777777" w:rsidR="00C81E9B" w:rsidRDefault="00C81E9B" w:rsidP="00C81E9B">
      <w:pPr>
        <w:widowControl/>
        <w:autoSpaceDE/>
        <w:autoSpaceDN/>
        <w:rPr>
          <w:rFonts w:ascii="Arial" w:eastAsia="MS Mincho" w:hAnsi="Arial" w:cs="Arial"/>
          <w:lang w:val="en-SG"/>
        </w:rPr>
      </w:pPr>
      <w:r>
        <w:rPr>
          <w:rFonts w:ascii="Arial" w:eastAsia="MS Mincho" w:hAnsi="Arial" w:cs="Arial"/>
          <w:lang w:val="en-SG"/>
        </w:rPr>
        <w:tab/>
      </w:r>
      <w:r w:rsidRPr="00461DF1">
        <w:rPr>
          <w:rFonts w:ascii="Arial" w:eastAsia="MS Mincho" w:hAnsi="Arial" w:cs="Arial"/>
          <w:lang w:val="en-SG"/>
        </w:rPr>
        <w:t xml:space="preserve">between mindfulness and psychological well-being in counselors. </w:t>
      </w:r>
    </w:p>
    <w:p w14:paraId="7DEAA41E"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i/>
          <w:iCs/>
          <w:lang w:val="en-SG"/>
        </w:rPr>
        <w:t>Mindfulness, 13</w:t>
      </w:r>
      <w:r w:rsidRPr="00461DF1">
        <w:rPr>
          <w:rFonts w:ascii="Arial" w:eastAsia="MS Mincho" w:hAnsi="Arial" w:cs="Arial"/>
          <w:lang w:val="en-SG"/>
        </w:rPr>
        <w:t xml:space="preserve">(4), 987–999. </w:t>
      </w:r>
      <w:hyperlink r:id="rId26" w:history="1">
        <w:r w:rsidRPr="00461DF1">
          <w:rPr>
            <w:rFonts w:ascii="Arial" w:eastAsia="MS Mincho" w:hAnsi="Arial" w:cs="Arial"/>
            <w:lang w:val="en-SG"/>
          </w:rPr>
          <w:t>https://doi.org/10.1007/s12671-021-01805-0</w:t>
        </w:r>
      </w:hyperlink>
    </w:p>
    <w:p w14:paraId="2DA718F2" w14:textId="77777777" w:rsidR="00C81E9B" w:rsidRPr="00461DF1" w:rsidRDefault="00C81E9B" w:rsidP="00C81E9B">
      <w:pPr>
        <w:widowControl/>
        <w:autoSpaceDE/>
        <w:autoSpaceDN/>
        <w:rPr>
          <w:rFonts w:ascii="Arial" w:eastAsia="MS Mincho" w:hAnsi="Arial" w:cs="Arial"/>
        </w:rPr>
      </w:pPr>
    </w:p>
    <w:p w14:paraId="7E74D41A" w14:textId="77777777" w:rsidR="00C81E9B" w:rsidRDefault="00C81E9B" w:rsidP="00C81E9B">
      <w:pPr>
        <w:widowControl/>
        <w:autoSpaceDE/>
        <w:autoSpaceDN/>
        <w:rPr>
          <w:rFonts w:ascii="Arial" w:eastAsiaTheme="minorHAnsi" w:hAnsi="Arial" w:cs="Arial"/>
          <w:kern w:val="2"/>
          <w:lang w:val="en-SG"/>
          <w14:ligatures w14:val="standardContextual"/>
        </w:rPr>
      </w:pPr>
      <w:r w:rsidRPr="004F3944">
        <w:rPr>
          <w:rFonts w:ascii="Arial" w:eastAsiaTheme="minorHAnsi" w:hAnsi="Arial" w:cs="Arial"/>
          <w:kern w:val="2"/>
          <w:lang w:val="en-SG"/>
          <w14:ligatures w14:val="standardContextual"/>
        </w:rPr>
        <w:t xml:space="preserve">Cho, E., &amp; Lee, S. (2023). Exploring the impact of therapeutic presence on working </w:t>
      </w:r>
    </w:p>
    <w:p w14:paraId="62F9E1A1" w14:textId="77777777" w:rsidR="00C81E9B" w:rsidRDefault="00C81E9B" w:rsidP="00C81E9B">
      <w:pPr>
        <w:widowControl/>
        <w:autoSpaceDE/>
        <w:autoSpaceDN/>
        <w:ind w:firstLine="720"/>
        <w:rPr>
          <w:rFonts w:ascii="Arial" w:eastAsiaTheme="minorHAnsi" w:hAnsi="Arial" w:cs="Arial"/>
          <w:kern w:val="2"/>
          <w:lang w:val="en-SG"/>
          <w14:ligatures w14:val="standardContextual"/>
        </w:rPr>
      </w:pPr>
      <w:r w:rsidRPr="004F3944">
        <w:rPr>
          <w:rFonts w:ascii="Arial" w:eastAsiaTheme="minorHAnsi" w:hAnsi="Arial" w:cs="Arial"/>
          <w:kern w:val="2"/>
          <w:lang w:val="en-SG"/>
          <w14:ligatures w14:val="standardContextual"/>
        </w:rPr>
        <w:t>alliance in counseling settings. The Counseling Psychologist.</w:t>
      </w:r>
    </w:p>
    <w:p w14:paraId="2751C4D1" w14:textId="77777777" w:rsidR="00C81E9B" w:rsidRPr="004F3944" w:rsidRDefault="00C81E9B" w:rsidP="00C81E9B">
      <w:pPr>
        <w:widowControl/>
        <w:autoSpaceDE/>
        <w:autoSpaceDN/>
        <w:ind w:left="720"/>
        <w:rPr>
          <w:rFonts w:ascii="Arial" w:eastAsiaTheme="minorHAnsi" w:hAnsi="Arial" w:cs="Arial"/>
          <w:kern w:val="2"/>
          <w:lang w:val="en-SG"/>
          <w14:ligatures w14:val="standardContextual"/>
        </w:rPr>
      </w:pPr>
      <w:hyperlink r:id="rId27" w:history="1">
        <w:r w:rsidRPr="004F3944">
          <w:rPr>
            <w:rFonts w:ascii="Arial" w:eastAsiaTheme="minorHAnsi" w:hAnsi="Arial" w:cs="Arial"/>
            <w:kern w:val="2"/>
            <w:lang w:val="en-SG"/>
            <w14:ligatures w14:val="standardContextual"/>
          </w:rPr>
          <w:t>https://doi.org/10.1177/00110000241234630</w:t>
        </w:r>
      </w:hyperlink>
    </w:p>
    <w:p w14:paraId="06F84BEA" w14:textId="77777777" w:rsidR="00C81E9B" w:rsidRDefault="00C81E9B" w:rsidP="00C81E9B">
      <w:pPr>
        <w:widowControl/>
        <w:autoSpaceDE/>
        <w:autoSpaceDN/>
        <w:rPr>
          <w:rFonts w:ascii="Arial" w:eastAsia="MS Mincho" w:hAnsi="Arial" w:cs="Arial"/>
        </w:rPr>
      </w:pPr>
    </w:p>
    <w:p w14:paraId="7E84F625" w14:textId="77777777" w:rsidR="00C81E9B" w:rsidRDefault="00C81E9B" w:rsidP="00C81E9B">
      <w:pPr>
        <w:widowControl/>
        <w:autoSpaceDE/>
        <w:autoSpaceDN/>
        <w:rPr>
          <w:rFonts w:ascii="Arial" w:eastAsia="MS Mincho" w:hAnsi="Arial" w:cs="Arial"/>
        </w:rPr>
      </w:pPr>
      <w:r w:rsidRPr="004734DD">
        <w:rPr>
          <w:rFonts w:ascii="Arial" w:eastAsia="MS Mincho" w:hAnsi="Arial" w:cs="Arial"/>
        </w:rPr>
        <w:t xml:space="preserve">Commission on Higher Education. (2019). CHED Memorandum Order No. 9, Series of </w:t>
      </w:r>
    </w:p>
    <w:p w14:paraId="4DE3D4BD" w14:textId="77777777" w:rsidR="00C81E9B" w:rsidRDefault="00C81E9B" w:rsidP="00C81E9B">
      <w:pPr>
        <w:widowControl/>
        <w:autoSpaceDE/>
        <w:autoSpaceDN/>
        <w:ind w:firstLine="720"/>
        <w:rPr>
          <w:rFonts w:ascii="Arial" w:eastAsia="MS Mincho" w:hAnsi="Arial" w:cs="Arial"/>
        </w:rPr>
      </w:pPr>
      <w:r w:rsidRPr="004734DD">
        <w:rPr>
          <w:rFonts w:ascii="Arial" w:eastAsia="MS Mincho" w:hAnsi="Arial" w:cs="Arial"/>
        </w:rPr>
        <w:t xml:space="preserve">2019: Enhanced policies and guidelines on student affairs and services. </w:t>
      </w:r>
    </w:p>
    <w:p w14:paraId="386534B2" w14:textId="77777777" w:rsidR="00C81E9B" w:rsidRDefault="00C81E9B" w:rsidP="00C81E9B">
      <w:pPr>
        <w:widowControl/>
        <w:autoSpaceDE/>
        <w:autoSpaceDN/>
        <w:ind w:firstLine="720"/>
        <w:rPr>
          <w:rFonts w:ascii="Arial" w:eastAsia="MS Mincho" w:hAnsi="Arial" w:cs="Arial"/>
        </w:rPr>
      </w:pPr>
      <w:r w:rsidRPr="004734DD">
        <w:rPr>
          <w:rFonts w:ascii="Arial" w:eastAsia="MS Mincho" w:hAnsi="Arial" w:cs="Arial"/>
        </w:rPr>
        <w:t>Commission on Higher Education.</w:t>
      </w:r>
    </w:p>
    <w:p w14:paraId="1DA368EF" w14:textId="77777777" w:rsidR="00C81E9B" w:rsidRPr="00461DF1" w:rsidRDefault="00C81E9B" w:rsidP="00C81E9B">
      <w:pPr>
        <w:widowControl/>
        <w:autoSpaceDE/>
        <w:autoSpaceDN/>
        <w:rPr>
          <w:rFonts w:ascii="Arial" w:eastAsia="MS Mincho" w:hAnsi="Arial" w:cs="Arial"/>
        </w:rPr>
      </w:pPr>
    </w:p>
    <w:p w14:paraId="20FD4B41"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Cooper, M., Barkham, M., &amp; McLeod, J. (2025). The role of therapist interpersonal </w:t>
      </w:r>
    </w:p>
    <w:p w14:paraId="303CB975" w14:textId="77777777" w:rsidR="00C81E9B" w:rsidRDefault="00C81E9B" w:rsidP="00C81E9B">
      <w:pPr>
        <w:widowControl/>
        <w:autoSpaceDE/>
        <w:autoSpaceDN/>
        <w:ind w:firstLine="720"/>
        <w:rPr>
          <w:rFonts w:ascii="Arial" w:eastAsia="MS Mincho" w:hAnsi="Arial" w:cs="Arial"/>
          <w:i/>
          <w:iCs/>
        </w:rPr>
      </w:pPr>
      <w:r w:rsidRPr="00461DF1">
        <w:rPr>
          <w:rFonts w:ascii="Arial" w:eastAsia="MS Mincho" w:hAnsi="Arial" w:cs="Arial"/>
        </w:rPr>
        <w:t xml:space="preserve">skills in school-based counseling outcomes. </w:t>
      </w:r>
      <w:r w:rsidRPr="00461DF1">
        <w:rPr>
          <w:rFonts w:ascii="Arial" w:eastAsia="MS Mincho" w:hAnsi="Arial" w:cs="Arial"/>
          <w:i/>
          <w:iCs/>
        </w:rPr>
        <w:t xml:space="preserve">Journal of Counseling </w:t>
      </w:r>
    </w:p>
    <w:p w14:paraId="24A383DD"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i/>
          <w:iCs/>
        </w:rPr>
        <w:t>Psychology, 72</w:t>
      </w:r>
      <w:r w:rsidRPr="00461DF1">
        <w:rPr>
          <w:rFonts w:ascii="Arial" w:eastAsia="MS Mincho" w:hAnsi="Arial" w:cs="Arial"/>
        </w:rPr>
        <w:t>(1), 45–60.</w:t>
      </w:r>
    </w:p>
    <w:p w14:paraId="30067E44" w14:textId="77777777" w:rsidR="00C81E9B" w:rsidRPr="00461DF1" w:rsidRDefault="00C81E9B" w:rsidP="00C81E9B">
      <w:pPr>
        <w:widowControl/>
        <w:autoSpaceDE/>
        <w:autoSpaceDN/>
        <w:rPr>
          <w:rFonts w:ascii="Arial" w:eastAsia="MS Mincho" w:hAnsi="Arial" w:cs="Arial"/>
        </w:rPr>
      </w:pPr>
    </w:p>
    <w:p w14:paraId="0426CD66"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Cooper, M., Law, D., &amp; McLeod, J. (2026). Therapist effects and outcomes in youth </w:t>
      </w:r>
    </w:p>
    <w:p w14:paraId="5FA27B99" w14:textId="77777777" w:rsidR="00C81E9B" w:rsidRDefault="00C81E9B" w:rsidP="00C81E9B">
      <w:pPr>
        <w:widowControl/>
        <w:autoSpaceDE/>
        <w:autoSpaceDN/>
        <w:rPr>
          <w:rFonts w:ascii="Arial" w:eastAsia="MS Mincho" w:hAnsi="Arial" w:cs="Arial"/>
        </w:rPr>
      </w:pPr>
      <w:r>
        <w:rPr>
          <w:rFonts w:ascii="Arial" w:eastAsia="MS Mincho" w:hAnsi="Arial" w:cs="Arial"/>
        </w:rPr>
        <w:tab/>
      </w:r>
      <w:r w:rsidRPr="00461DF1">
        <w:rPr>
          <w:rFonts w:ascii="Arial" w:eastAsia="MS Mincho" w:hAnsi="Arial" w:cs="Arial"/>
        </w:rPr>
        <w:t xml:space="preserve">counseling: A longitudinal study. </w:t>
      </w:r>
      <w:r w:rsidRPr="00461DF1">
        <w:rPr>
          <w:rFonts w:ascii="Arial" w:eastAsia="MS Mincho" w:hAnsi="Arial" w:cs="Arial"/>
          <w:i/>
          <w:iCs/>
        </w:rPr>
        <w:t>Psychotherapy Research</w:t>
      </w:r>
      <w:r w:rsidRPr="00461DF1">
        <w:rPr>
          <w:rFonts w:ascii="Arial" w:eastAsia="MS Mincho" w:hAnsi="Arial" w:cs="Arial"/>
        </w:rPr>
        <w:t xml:space="preserve">. Advance online </w:t>
      </w:r>
    </w:p>
    <w:p w14:paraId="776C899A"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publication.</w:t>
      </w:r>
    </w:p>
    <w:p w14:paraId="19E7BDCD" w14:textId="77777777" w:rsidR="00C81E9B" w:rsidRPr="00461DF1" w:rsidRDefault="00C81E9B" w:rsidP="00C81E9B">
      <w:pPr>
        <w:widowControl/>
        <w:autoSpaceDE/>
        <w:autoSpaceDN/>
        <w:rPr>
          <w:rFonts w:ascii="Arial" w:eastAsia="MS Mincho" w:hAnsi="Arial" w:cs="Arial"/>
        </w:rPr>
      </w:pPr>
    </w:p>
    <w:p w14:paraId="6A6927D4"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Cordova Jr., R. D., et al. (2023). Challenges in the implementation of school </w:t>
      </w:r>
    </w:p>
    <w:p w14:paraId="5F29DF5C"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counseling services in the Philippines. </w:t>
      </w:r>
      <w:r w:rsidRPr="00461DF1">
        <w:rPr>
          <w:rFonts w:ascii="Arial" w:eastAsia="MS Mincho" w:hAnsi="Arial" w:cs="Arial"/>
          <w:i/>
          <w:iCs/>
        </w:rPr>
        <w:t>Asia Pacific Education Review, 24</w:t>
      </w:r>
      <w:r w:rsidRPr="00461DF1">
        <w:rPr>
          <w:rFonts w:ascii="Arial" w:eastAsia="MS Mincho" w:hAnsi="Arial" w:cs="Arial"/>
        </w:rPr>
        <w:t xml:space="preserve">(2), </w:t>
      </w:r>
    </w:p>
    <w:p w14:paraId="646AA31D"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245–258.Council for International Organizations of Medical Sciences. (2021). </w:t>
      </w:r>
    </w:p>
    <w:p w14:paraId="6A006F71"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International ethical guidelines for health-related research involving humans. </w:t>
      </w:r>
    </w:p>
    <w:p w14:paraId="2DC02F13" w14:textId="77777777" w:rsidR="00C81E9B" w:rsidRPr="00461DF1" w:rsidRDefault="00C81E9B" w:rsidP="00C81E9B">
      <w:pPr>
        <w:widowControl/>
        <w:autoSpaceDE/>
        <w:autoSpaceDN/>
        <w:ind w:firstLine="720"/>
        <w:rPr>
          <w:rFonts w:ascii="Arial" w:eastAsia="MS Mincho" w:hAnsi="Arial" w:cs="Arial"/>
        </w:rPr>
      </w:pPr>
      <w:hyperlink r:id="rId28" w:history="1">
        <w:r w:rsidRPr="00461DF1">
          <w:rPr>
            <w:rFonts w:ascii="Arial" w:eastAsia="MS Mincho" w:hAnsi="Arial" w:cs="Arial"/>
          </w:rPr>
          <w:t>https://cioms.ch/publications</w:t>
        </w:r>
      </w:hyperlink>
    </w:p>
    <w:p w14:paraId="40DAAA65" w14:textId="77777777" w:rsidR="00C81E9B" w:rsidRPr="00461DF1" w:rsidRDefault="00C81E9B" w:rsidP="00C81E9B">
      <w:pPr>
        <w:widowControl/>
        <w:autoSpaceDE/>
        <w:autoSpaceDN/>
        <w:rPr>
          <w:rFonts w:ascii="Arial" w:eastAsia="MS Mincho" w:hAnsi="Arial" w:cs="Arial"/>
        </w:rPr>
      </w:pPr>
    </w:p>
    <w:p w14:paraId="1FC7AAE7"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Cordova Jr, N., Kilag, O. K., &amp; Ibañez, D. (2023). Beyond Reactivity: Proactively </w:t>
      </w:r>
    </w:p>
    <w:p w14:paraId="49F41AF6"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Managing Projects in Turbulent Environments. Excellencia: International</w:t>
      </w:r>
    </w:p>
    <w:p w14:paraId="34BB2E4D"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 Multi-- Disciplinary Journal of Education (2994-9521), 1(5), 433-445.</w:t>
      </w:r>
    </w:p>
    <w:p w14:paraId="0BEC1F23" w14:textId="77777777" w:rsidR="00C81E9B" w:rsidRDefault="00C81E9B" w:rsidP="00C81E9B">
      <w:pPr>
        <w:widowControl/>
        <w:autoSpaceDE/>
        <w:autoSpaceDN/>
        <w:rPr>
          <w:rFonts w:ascii="Arial" w:eastAsia="MS Mincho" w:hAnsi="Arial" w:cs="Arial"/>
          <w:lang w:val="en-SG"/>
        </w:rPr>
      </w:pPr>
      <w:r w:rsidRPr="00461DF1">
        <w:rPr>
          <w:rFonts w:ascii="Arial" w:eastAsia="MS Mincho" w:hAnsi="Arial" w:cs="Arial"/>
          <w:lang w:val="en-SG"/>
        </w:rPr>
        <w:lastRenderedPageBreak/>
        <w:t>Crego, A., Carrillo-Diaz, M., Armfield, J. M., &amp; Romero, M. (2022</w:t>
      </w:r>
      <w:r>
        <w:rPr>
          <w:rFonts w:ascii="Arial" w:eastAsia="MS Mincho" w:hAnsi="Arial" w:cs="Arial"/>
          <w:lang w:val="en-SG"/>
        </w:rPr>
        <w:t>a</w:t>
      </w:r>
      <w:r w:rsidRPr="00461DF1">
        <w:rPr>
          <w:rFonts w:ascii="Arial" w:eastAsia="MS Mincho" w:hAnsi="Arial" w:cs="Arial"/>
          <w:lang w:val="en-SG"/>
        </w:rPr>
        <w:t xml:space="preserve">). From burnout to </w:t>
      </w:r>
    </w:p>
    <w:p w14:paraId="7C73290D" w14:textId="77777777" w:rsidR="00C81E9B" w:rsidRDefault="00C81E9B" w:rsidP="00C81E9B">
      <w:pPr>
        <w:widowControl/>
        <w:autoSpaceDE/>
        <w:autoSpaceDN/>
        <w:rPr>
          <w:rFonts w:ascii="Arial" w:eastAsia="MS Mincho" w:hAnsi="Arial" w:cs="Arial"/>
          <w:lang w:val="en-SG"/>
        </w:rPr>
      </w:pPr>
      <w:r>
        <w:rPr>
          <w:rFonts w:ascii="Arial" w:eastAsia="MS Mincho" w:hAnsi="Arial" w:cs="Arial"/>
          <w:lang w:val="en-SG"/>
        </w:rPr>
        <w:tab/>
      </w:r>
      <w:r w:rsidRPr="00461DF1">
        <w:rPr>
          <w:rFonts w:ascii="Arial" w:eastAsia="MS Mincho" w:hAnsi="Arial" w:cs="Arial"/>
          <w:lang w:val="en-SG"/>
        </w:rPr>
        <w:t xml:space="preserve">Engagement: The role of self-compassion and psychological flexibility. </w:t>
      </w:r>
    </w:p>
    <w:p w14:paraId="68FABF6C" w14:textId="77777777" w:rsidR="00C81E9B" w:rsidRDefault="00C81E9B" w:rsidP="00C81E9B">
      <w:pPr>
        <w:widowControl/>
        <w:autoSpaceDE/>
        <w:autoSpaceDN/>
        <w:ind w:firstLine="720"/>
        <w:rPr>
          <w:rFonts w:ascii="Arial" w:eastAsia="MS Mincho" w:hAnsi="Arial" w:cs="Arial"/>
          <w:lang w:val="en-SG"/>
        </w:rPr>
      </w:pPr>
      <w:r w:rsidRPr="00461DF1">
        <w:rPr>
          <w:rFonts w:ascii="Arial" w:eastAsia="MS Mincho" w:hAnsi="Arial" w:cs="Arial"/>
          <w:i/>
          <w:iCs/>
          <w:lang w:val="en-SG"/>
        </w:rPr>
        <w:t>Frontiers in Psychology, 13</w:t>
      </w:r>
      <w:r w:rsidRPr="00461DF1">
        <w:rPr>
          <w:rFonts w:ascii="Arial" w:eastAsia="MS Mincho" w:hAnsi="Arial" w:cs="Arial"/>
          <w:lang w:val="en-SG"/>
        </w:rPr>
        <w:t xml:space="preserve">, 856003. </w:t>
      </w:r>
    </w:p>
    <w:p w14:paraId="768E7B0E" w14:textId="77777777" w:rsidR="00C81E9B" w:rsidRDefault="00C81E9B" w:rsidP="00C81E9B">
      <w:pPr>
        <w:widowControl/>
        <w:autoSpaceDE/>
        <w:autoSpaceDN/>
        <w:ind w:firstLine="720"/>
      </w:pPr>
      <w:hyperlink r:id="rId29" w:history="1">
        <w:r w:rsidRPr="00461DF1">
          <w:rPr>
            <w:rStyle w:val="Hyperlink"/>
            <w:rFonts w:ascii="Arial" w:eastAsia="MS Mincho" w:hAnsi="Arial" w:cs="Arial"/>
            <w:color w:val="auto"/>
            <w:u w:val="none"/>
            <w:lang w:val="en-SG"/>
          </w:rPr>
          <w:t>https://doi.org/10.3389/fpsyg.2022.856003</w:t>
        </w:r>
      </w:hyperlink>
    </w:p>
    <w:p w14:paraId="13AA260D" w14:textId="77777777" w:rsidR="009C013D" w:rsidRPr="00461DF1" w:rsidRDefault="009C013D" w:rsidP="00C81E9B">
      <w:pPr>
        <w:widowControl/>
        <w:autoSpaceDE/>
        <w:autoSpaceDN/>
        <w:ind w:firstLine="720"/>
        <w:rPr>
          <w:rFonts w:ascii="Arial" w:eastAsia="MS Mincho" w:hAnsi="Arial" w:cs="Arial"/>
        </w:rPr>
      </w:pPr>
    </w:p>
    <w:p w14:paraId="5313CCB5" w14:textId="77777777" w:rsidR="00C81E9B" w:rsidRPr="00461DF1" w:rsidRDefault="00C81E9B" w:rsidP="00C81E9B">
      <w:pPr>
        <w:widowControl/>
        <w:autoSpaceDE/>
        <w:autoSpaceDN/>
        <w:rPr>
          <w:rFonts w:ascii="Arial" w:eastAsia="MS Mincho" w:hAnsi="Arial" w:cs="Arial"/>
          <w:lang w:val="en-SG"/>
        </w:rPr>
      </w:pPr>
    </w:p>
    <w:p w14:paraId="39A12913"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Crego, A., Yela, J. R., Gómez-Martínez, M. Á., &amp; Riesco-Matías, P. (2022</w:t>
      </w:r>
      <w:r>
        <w:rPr>
          <w:rFonts w:ascii="Arial" w:eastAsia="MS Mincho" w:hAnsi="Arial" w:cs="Arial"/>
        </w:rPr>
        <w:t>b</w:t>
      </w:r>
      <w:r w:rsidRPr="00461DF1">
        <w:rPr>
          <w:rFonts w:ascii="Arial" w:eastAsia="MS Mincho" w:hAnsi="Arial" w:cs="Arial"/>
        </w:rPr>
        <w:t xml:space="preserve">). The </w:t>
      </w:r>
    </w:p>
    <w:p w14:paraId="76B19843"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benefits of self-compassion in mental health professionals: A systematic </w:t>
      </w:r>
    </w:p>
    <w:p w14:paraId="162B44CB"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review. </w:t>
      </w:r>
      <w:r w:rsidRPr="00461DF1">
        <w:rPr>
          <w:rFonts w:ascii="Arial" w:eastAsia="MS Mincho" w:hAnsi="Arial" w:cs="Arial"/>
          <w:i/>
          <w:iCs/>
        </w:rPr>
        <w:t>Clinical Psychology Review, 92</w:t>
      </w:r>
      <w:r w:rsidRPr="00461DF1">
        <w:rPr>
          <w:rFonts w:ascii="Arial" w:eastAsia="MS Mincho" w:hAnsi="Arial" w:cs="Arial"/>
        </w:rPr>
        <w:t xml:space="preserve">, 102120. </w:t>
      </w:r>
    </w:p>
    <w:p w14:paraId="14FADC5E" w14:textId="77777777" w:rsidR="00C81E9B" w:rsidRPr="00461DF1" w:rsidRDefault="00C81E9B" w:rsidP="00C81E9B">
      <w:pPr>
        <w:widowControl/>
        <w:autoSpaceDE/>
        <w:autoSpaceDN/>
        <w:ind w:firstLine="720"/>
        <w:rPr>
          <w:rFonts w:ascii="Arial" w:eastAsia="MS Mincho" w:hAnsi="Arial" w:cs="Arial"/>
        </w:rPr>
      </w:pPr>
      <w:hyperlink r:id="rId30" w:history="1">
        <w:r w:rsidRPr="00461DF1">
          <w:rPr>
            <w:rStyle w:val="Hyperlink"/>
            <w:rFonts w:ascii="Arial" w:eastAsia="MS Mincho" w:hAnsi="Arial" w:cs="Arial"/>
            <w:color w:val="auto"/>
            <w:u w:val="none"/>
          </w:rPr>
          <w:t>https://doi.org/10.1016/j.cpr.2022.102120</w:t>
        </w:r>
      </w:hyperlink>
    </w:p>
    <w:p w14:paraId="76E4B399" w14:textId="77777777" w:rsidR="00C81E9B" w:rsidRPr="00461DF1" w:rsidRDefault="00C81E9B" w:rsidP="00C81E9B">
      <w:pPr>
        <w:widowControl/>
        <w:autoSpaceDE/>
        <w:autoSpaceDN/>
        <w:rPr>
          <w:rFonts w:ascii="Arial" w:eastAsia="MS Mincho" w:hAnsi="Arial" w:cs="Arial"/>
        </w:rPr>
      </w:pPr>
    </w:p>
    <w:p w14:paraId="3ECAF04A"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Crego, A., Yela, J. R., Riesco-Matías, P., Gómez-Martínez, M. Á., &amp; Vicente- </w:t>
      </w:r>
    </w:p>
    <w:p w14:paraId="0A711C88"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Arruebarrena, A. (2022</w:t>
      </w:r>
      <w:r>
        <w:rPr>
          <w:rFonts w:ascii="Arial" w:eastAsia="MS Mincho" w:hAnsi="Arial" w:cs="Arial"/>
        </w:rPr>
        <w:t>c</w:t>
      </w:r>
      <w:r w:rsidRPr="00461DF1">
        <w:rPr>
          <w:rFonts w:ascii="Arial" w:eastAsia="MS Mincho" w:hAnsi="Arial" w:cs="Arial"/>
        </w:rPr>
        <w:t xml:space="preserve">). The Benefits of Self-Compassion in Mental Health </w:t>
      </w:r>
    </w:p>
    <w:p w14:paraId="3060321F"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Professionals: A Systematic Review of Empirical Research. Psychology </w:t>
      </w:r>
    </w:p>
    <w:p w14:paraId="756FA93F"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Research and Behavior Management, 15, 2599–2620.</w:t>
      </w:r>
    </w:p>
    <w:p w14:paraId="57BCDBDB" w14:textId="77777777" w:rsidR="00C81E9B" w:rsidRPr="00461DF1" w:rsidRDefault="00C81E9B" w:rsidP="00C81E9B">
      <w:pPr>
        <w:widowControl/>
        <w:autoSpaceDE/>
        <w:autoSpaceDN/>
        <w:rPr>
          <w:rFonts w:ascii="Arial" w:eastAsia="Times New Roman" w:hAnsi="Arial" w:cs="Arial"/>
          <w:lang w:val="en-SG" w:eastAsia="en-SG"/>
        </w:rPr>
      </w:pPr>
    </w:p>
    <w:p w14:paraId="034B5813" w14:textId="77777777" w:rsidR="00C81E9B" w:rsidRDefault="00C81E9B" w:rsidP="00C81E9B">
      <w:pPr>
        <w:widowControl/>
        <w:autoSpaceDE/>
        <w:autoSpaceDN/>
        <w:rPr>
          <w:rFonts w:ascii="Arial" w:eastAsia="Times New Roman" w:hAnsi="Arial" w:cs="Arial"/>
          <w:i/>
          <w:iCs/>
          <w:lang w:val="en-SG" w:eastAsia="en-SG"/>
        </w:rPr>
      </w:pPr>
      <w:r w:rsidRPr="00461DF1">
        <w:rPr>
          <w:rFonts w:ascii="Arial" w:eastAsia="Times New Roman" w:hAnsi="Arial" w:cs="Arial"/>
          <w:lang w:val="en-SG" w:eastAsia="en-SG"/>
        </w:rPr>
        <w:t xml:space="preserve">Creswell, J. W., &amp; Creswell, J. D. (2018). </w:t>
      </w:r>
      <w:r w:rsidRPr="00461DF1">
        <w:rPr>
          <w:rFonts w:ascii="Arial" w:eastAsia="Times New Roman" w:hAnsi="Arial" w:cs="Arial"/>
          <w:i/>
          <w:iCs/>
          <w:lang w:val="en-SG" w:eastAsia="en-SG"/>
        </w:rPr>
        <w:t xml:space="preserve">Research design: Qualitative, quantitative, </w:t>
      </w:r>
    </w:p>
    <w:p w14:paraId="7C7E7983" w14:textId="77777777" w:rsidR="00C81E9B" w:rsidRPr="00461DF1" w:rsidRDefault="00C81E9B" w:rsidP="00C81E9B">
      <w:pPr>
        <w:widowControl/>
        <w:autoSpaceDE/>
        <w:autoSpaceDN/>
        <w:ind w:firstLine="720"/>
        <w:rPr>
          <w:rFonts w:ascii="Arial" w:eastAsia="Times New Roman" w:hAnsi="Arial" w:cs="Arial"/>
          <w:lang w:val="en-SG" w:eastAsia="en-SG"/>
        </w:rPr>
      </w:pPr>
      <w:r w:rsidRPr="00461DF1">
        <w:rPr>
          <w:rFonts w:ascii="Arial" w:eastAsia="Times New Roman" w:hAnsi="Arial" w:cs="Arial"/>
          <w:i/>
          <w:iCs/>
          <w:lang w:val="en-SG" w:eastAsia="en-SG"/>
        </w:rPr>
        <w:t>and mixed methods approaches</w:t>
      </w:r>
      <w:r w:rsidRPr="00461DF1">
        <w:rPr>
          <w:rFonts w:ascii="Arial" w:eastAsia="Times New Roman" w:hAnsi="Arial" w:cs="Arial"/>
          <w:lang w:val="en-SG" w:eastAsia="en-SG"/>
        </w:rPr>
        <w:t xml:space="preserve"> (5th ed.). SAGE Publications. </w:t>
      </w:r>
    </w:p>
    <w:p w14:paraId="1B0881AB" w14:textId="77777777" w:rsidR="00C81E9B" w:rsidRPr="00461DF1" w:rsidRDefault="00C81E9B" w:rsidP="00C81E9B">
      <w:pPr>
        <w:widowControl/>
        <w:autoSpaceDE/>
        <w:autoSpaceDN/>
        <w:rPr>
          <w:rFonts w:ascii="Arial" w:eastAsia="MS Mincho" w:hAnsi="Arial" w:cs="Arial"/>
        </w:rPr>
      </w:pPr>
    </w:p>
    <w:p w14:paraId="306336E4"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Department of Education. (2025). DO 024, s. 2025. https://www.deped.gov.ph/wp- </w:t>
      </w:r>
    </w:p>
    <w:p w14:paraId="693DA463"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content/uploads/DO_s2025_024r.pdf</w:t>
      </w:r>
    </w:p>
    <w:p w14:paraId="7CD868D1" w14:textId="77777777" w:rsidR="00C81E9B" w:rsidRPr="00461DF1" w:rsidRDefault="00C81E9B" w:rsidP="00C81E9B">
      <w:pPr>
        <w:widowControl/>
        <w:autoSpaceDE/>
        <w:autoSpaceDN/>
        <w:rPr>
          <w:rFonts w:ascii="Arial" w:eastAsia="MS Mincho" w:hAnsi="Arial" w:cs="Arial"/>
        </w:rPr>
      </w:pPr>
    </w:p>
    <w:p w14:paraId="153A07A0"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De Jong, K., van Sluis, P., Nugter, M. A., Heiser, W. J., &amp; Spinhoven, P. (2024). </w:t>
      </w:r>
    </w:p>
    <w:p w14:paraId="6E43359A"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Understanding therapist interpersonal skills and psychotherapy outcomes. </w:t>
      </w:r>
    </w:p>
    <w:p w14:paraId="236C42CB"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Psychotherapy Research, 34(1), 56–70. </w:t>
      </w:r>
    </w:p>
    <w:p w14:paraId="0B4B2451" w14:textId="77777777" w:rsidR="00C81E9B" w:rsidRPr="00461DF1" w:rsidRDefault="00C81E9B" w:rsidP="00C81E9B">
      <w:pPr>
        <w:widowControl/>
        <w:autoSpaceDE/>
        <w:autoSpaceDN/>
        <w:ind w:firstLine="720"/>
        <w:rPr>
          <w:rFonts w:ascii="Arial" w:eastAsia="MS Mincho" w:hAnsi="Arial" w:cs="Arial"/>
        </w:rPr>
      </w:pPr>
      <w:hyperlink r:id="rId31" w:history="1">
        <w:r w:rsidRPr="00461DF1">
          <w:rPr>
            <w:rFonts w:ascii="Arial" w:eastAsia="MS Mincho" w:hAnsi="Arial" w:cs="Arial"/>
          </w:rPr>
          <w:t>https://doi.org/10.1080/10503307.2022.2078380</w:t>
        </w:r>
      </w:hyperlink>
    </w:p>
    <w:p w14:paraId="5CBCDE3D" w14:textId="77777777" w:rsidR="00C81E9B" w:rsidRDefault="00C81E9B" w:rsidP="00C81E9B">
      <w:pPr>
        <w:widowControl/>
        <w:autoSpaceDE/>
        <w:autoSpaceDN/>
        <w:rPr>
          <w:rFonts w:ascii="Arial" w:eastAsia="MS Mincho" w:hAnsi="Arial" w:cs="Arial"/>
        </w:rPr>
      </w:pPr>
    </w:p>
    <w:p w14:paraId="54A6A772" w14:textId="77777777" w:rsidR="00C81E9B" w:rsidRDefault="00C81E9B" w:rsidP="00C81E9B">
      <w:pPr>
        <w:widowControl/>
        <w:autoSpaceDE/>
        <w:autoSpaceDN/>
        <w:rPr>
          <w:rFonts w:ascii="Arial" w:eastAsia="MS Mincho" w:hAnsi="Arial" w:cs="Arial"/>
        </w:rPr>
      </w:pPr>
      <w:r w:rsidRPr="004734DD">
        <w:rPr>
          <w:rFonts w:ascii="Arial" w:eastAsia="MS Mincho" w:hAnsi="Arial" w:cs="Arial"/>
        </w:rPr>
        <w:t xml:space="preserve">Dionaldo, M. J., &amp; Espinosa, F. M. (2024). Assessment of guidance services </w:t>
      </w:r>
    </w:p>
    <w:p w14:paraId="18729FBA" w14:textId="77777777" w:rsidR="00C81E9B" w:rsidRDefault="00C81E9B" w:rsidP="00C81E9B">
      <w:pPr>
        <w:widowControl/>
        <w:autoSpaceDE/>
        <w:autoSpaceDN/>
        <w:ind w:firstLine="720"/>
        <w:rPr>
          <w:rFonts w:ascii="Arial" w:eastAsia="MS Mincho" w:hAnsi="Arial" w:cs="Arial"/>
        </w:rPr>
      </w:pPr>
      <w:r w:rsidRPr="004734DD">
        <w:rPr>
          <w:rFonts w:ascii="Arial" w:eastAsia="MS Mincho" w:hAnsi="Arial" w:cs="Arial"/>
        </w:rPr>
        <w:t xml:space="preserve">implementation in secondary schools in General Santos City. European Journal </w:t>
      </w:r>
    </w:p>
    <w:p w14:paraId="006657D9" w14:textId="77777777" w:rsidR="00C81E9B" w:rsidRPr="004734DD" w:rsidRDefault="00C81E9B" w:rsidP="00C81E9B">
      <w:pPr>
        <w:widowControl/>
        <w:autoSpaceDE/>
        <w:autoSpaceDN/>
        <w:ind w:firstLine="720"/>
        <w:rPr>
          <w:rFonts w:ascii="Arial" w:eastAsia="MS Mincho" w:hAnsi="Arial" w:cs="Arial"/>
        </w:rPr>
      </w:pPr>
      <w:r w:rsidRPr="004734DD">
        <w:rPr>
          <w:rFonts w:ascii="Arial" w:eastAsia="MS Mincho" w:hAnsi="Arial" w:cs="Arial"/>
        </w:rPr>
        <w:t xml:space="preserve">of Education Studies, 11(4). </w:t>
      </w:r>
      <w:hyperlink r:id="rId32" w:history="1">
        <w:r w:rsidRPr="004734DD">
          <w:rPr>
            <w:rStyle w:val="Hyperlink"/>
            <w:rFonts w:ascii="Arial" w:eastAsia="MS Mincho" w:hAnsi="Arial" w:cs="Arial"/>
            <w:color w:val="auto"/>
            <w:u w:val="none"/>
          </w:rPr>
          <w:t>https://doi.org/10.46827/ejes.v11i4.5215</w:t>
        </w:r>
      </w:hyperlink>
    </w:p>
    <w:p w14:paraId="7144D8ED" w14:textId="77777777" w:rsidR="00C81E9B" w:rsidRPr="00461DF1" w:rsidRDefault="00C81E9B" w:rsidP="00C81E9B">
      <w:pPr>
        <w:widowControl/>
        <w:autoSpaceDE/>
        <w:autoSpaceDN/>
        <w:ind w:firstLine="720"/>
        <w:rPr>
          <w:rFonts w:ascii="Arial" w:eastAsia="MS Mincho" w:hAnsi="Arial" w:cs="Arial"/>
        </w:rPr>
      </w:pPr>
    </w:p>
    <w:p w14:paraId="7942E5AB"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Durak, M., et al. (2025). Risk factors of secondary traumatic stress among </w:t>
      </w:r>
    </w:p>
    <w:p w14:paraId="1671DD2A"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counselors. </w:t>
      </w:r>
      <w:r w:rsidRPr="00461DF1">
        <w:rPr>
          <w:rFonts w:ascii="Arial" w:eastAsia="MS Mincho" w:hAnsi="Arial" w:cs="Arial"/>
          <w:i/>
          <w:iCs/>
        </w:rPr>
        <w:t>Journal of Counseling Practice</w:t>
      </w:r>
      <w:r w:rsidRPr="00461DF1">
        <w:rPr>
          <w:rFonts w:ascii="Arial" w:eastAsia="MS Mincho" w:hAnsi="Arial" w:cs="Arial"/>
        </w:rPr>
        <w:t>. Advance online publication.</w:t>
      </w:r>
    </w:p>
    <w:p w14:paraId="293E5A78" w14:textId="77777777" w:rsidR="00C81E9B" w:rsidRPr="00461DF1" w:rsidRDefault="00C81E9B" w:rsidP="00C81E9B">
      <w:pPr>
        <w:widowControl/>
        <w:autoSpaceDE/>
        <w:autoSpaceDN/>
        <w:rPr>
          <w:rFonts w:ascii="Arial" w:eastAsia="MS Mincho" w:hAnsi="Arial" w:cs="Arial"/>
        </w:rPr>
      </w:pPr>
    </w:p>
    <w:p w14:paraId="582168A3"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Elliott, R., Bohart, A. C., Watson, J. C., &amp; Greenberg, L. S. (2023</w:t>
      </w:r>
      <w:r>
        <w:rPr>
          <w:rFonts w:ascii="Arial" w:eastAsia="MS Mincho" w:hAnsi="Arial" w:cs="Arial"/>
        </w:rPr>
        <w:t>a</w:t>
      </w:r>
      <w:r w:rsidRPr="00461DF1">
        <w:rPr>
          <w:rFonts w:ascii="Arial" w:eastAsia="MS Mincho" w:hAnsi="Arial" w:cs="Arial"/>
        </w:rPr>
        <w:t xml:space="preserve">). Empathy in </w:t>
      </w:r>
    </w:p>
    <w:p w14:paraId="14B81427" w14:textId="77777777" w:rsidR="00C81E9B" w:rsidRDefault="00C81E9B" w:rsidP="00C81E9B">
      <w:pPr>
        <w:widowControl/>
        <w:autoSpaceDE/>
        <w:autoSpaceDN/>
        <w:rPr>
          <w:rFonts w:ascii="Arial" w:eastAsia="MS Mincho" w:hAnsi="Arial" w:cs="Arial"/>
        </w:rPr>
      </w:pPr>
      <w:r>
        <w:rPr>
          <w:rFonts w:ascii="Arial" w:eastAsia="MS Mincho" w:hAnsi="Arial" w:cs="Arial"/>
        </w:rPr>
        <w:tab/>
      </w:r>
      <w:r w:rsidRPr="00461DF1">
        <w:rPr>
          <w:rFonts w:ascii="Arial" w:eastAsia="MS Mincho" w:hAnsi="Arial" w:cs="Arial"/>
        </w:rPr>
        <w:t xml:space="preserve">psychotherapy: A meta-analysis. Psychotherapy, 60(2), 123–138. </w:t>
      </w:r>
    </w:p>
    <w:p w14:paraId="74E9D4F6" w14:textId="77777777" w:rsidR="00C81E9B" w:rsidRDefault="00C81E9B" w:rsidP="00C81E9B">
      <w:pPr>
        <w:widowControl/>
        <w:autoSpaceDE/>
        <w:autoSpaceDN/>
        <w:ind w:firstLine="720"/>
      </w:pPr>
      <w:hyperlink r:id="rId33" w:history="1">
        <w:r w:rsidRPr="00461DF1">
          <w:rPr>
            <w:rFonts w:ascii="Arial" w:eastAsia="MS Mincho" w:hAnsi="Arial" w:cs="Arial"/>
          </w:rPr>
          <w:t>https://doi.org/10.1037/pst0000442</w:t>
        </w:r>
      </w:hyperlink>
    </w:p>
    <w:p w14:paraId="05D2ED24" w14:textId="77777777" w:rsidR="009C013D" w:rsidRPr="00461DF1" w:rsidRDefault="009C013D" w:rsidP="00C81E9B">
      <w:pPr>
        <w:widowControl/>
        <w:autoSpaceDE/>
        <w:autoSpaceDN/>
        <w:ind w:firstLine="720"/>
        <w:rPr>
          <w:rFonts w:ascii="Arial" w:eastAsia="MS Mincho" w:hAnsi="Arial" w:cs="Arial"/>
        </w:rPr>
      </w:pPr>
    </w:p>
    <w:p w14:paraId="499BD56E" w14:textId="77777777" w:rsidR="00C81E9B" w:rsidRPr="00461DF1" w:rsidRDefault="00C81E9B" w:rsidP="00C81E9B">
      <w:pPr>
        <w:widowControl/>
        <w:autoSpaceDE/>
        <w:autoSpaceDN/>
        <w:rPr>
          <w:rFonts w:ascii="Arial" w:eastAsia="MS Mincho" w:hAnsi="Arial" w:cs="Arial"/>
        </w:rPr>
      </w:pPr>
    </w:p>
    <w:p w14:paraId="7A57C4BC" w14:textId="77777777" w:rsidR="00C81E9B" w:rsidRDefault="00C81E9B" w:rsidP="00C81E9B">
      <w:pPr>
        <w:widowControl/>
        <w:autoSpaceDE/>
        <w:autoSpaceDN/>
        <w:rPr>
          <w:rFonts w:ascii="Arial" w:eastAsia="MS Mincho" w:hAnsi="Arial" w:cs="Arial"/>
          <w:lang w:val="en-SG"/>
        </w:rPr>
      </w:pPr>
      <w:r w:rsidRPr="00461DF1">
        <w:rPr>
          <w:rFonts w:ascii="Arial" w:eastAsia="MS Mincho" w:hAnsi="Arial" w:cs="Arial"/>
          <w:lang w:val="en-SG"/>
        </w:rPr>
        <w:t>Elliott, R., Bohart, A. C., Watson, J. C., &amp; Murphy, D. (2023</w:t>
      </w:r>
      <w:r>
        <w:rPr>
          <w:rFonts w:ascii="Arial" w:eastAsia="MS Mincho" w:hAnsi="Arial" w:cs="Arial"/>
          <w:lang w:val="en-SG"/>
        </w:rPr>
        <w:t>b</w:t>
      </w:r>
      <w:r w:rsidRPr="00461DF1">
        <w:rPr>
          <w:rFonts w:ascii="Arial" w:eastAsia="MS Mincho" w:hAnsi="Arial" w:cs="Arial"/>
          <w:lang w:val="en-SG"/>
        </w:rPr>
        <w:t xml:space="preserve">). Therapist empathy and </w:t>
      </w:r>
    </w:p>
    <w:p w14:paraId="14235018" w14:textId="77777777" w:rsidR="00C81E9B" w:rsidRDefault="00C81E9B" w:rsidP="00C81E9B">
      <w:pPr>
        <w:widowControl/>
        <w:autoSpaceDE/>
        <w:autoSpaceDN/>
        <w:rPr>
          <w:rFonts w:ascii="Arial" w:eastAsia="MS Mincho" w:hAnsi="Arial" w:cs="Arial"/>
          <w:lang w:val="en-SG"/>
        </w:rPr>
      </w:pPr>
      <w:r>
        <w:rPr>
          <w:rFonts w:ascii="Arial" w:eastAsia="MS Mincho" w:hAnsi="Arial" w:cs="Arial"/>
          <w:lang w:val="en-SG"/>
        </w:rPr>
        <w:tab/>
      </w:r>
      <w:r w:rsidRPr="00461DF1">
        <w:rPr>
          <w:rFonts w:ascii="Arial" w:eastAsia="MS Mincho" w:hAnsi="Arial" w:cs="Arial"/>
          <w:lang w:val="en-SG"/>
        </w:rPr>
        <w:t xml:space="preserve">client outcome: An updated meta-analysis. </w:t>
      </w:r>
      <w:r w:rsidRPr="00461DF1">
        <w:rPr>
          <w:rFonts w:ascii="Arial" w:eastAsia="MS Mincho" w:hAnsi="Arial" w:cs="Arial"/>
          <w:i/>
          <w:iCs/>
          <w:lang w:val="en-SG"/>
        </w:rPr>
        <w:t>Psychotherapy, 60</w:t>
      </w:r>
      <w:r w:rsidRPr="00461DF1">
        <w:rPr>
          <w:rFonts w:ascii="Arial" w:eastAsia="MS Mincho" w:hAnsi="Arial" w:cs="Arial"/>
          <w:lang w:val="en-SG"/>
        </w:rPr>
        <w:t xml:space="preserve">(1), 1–17. </w:t>
      </w:r>
    </w:p>
    <w:p w14:paraId="29C45C7F" w14:textId="77777777" w:rsidR="00C81E9B" w:rsidRPr="00461DF1" w:rsidRDefault="00C81E9B" w:rsidP="00C81E9B">
      <w:pPr>
        <w:widowControl/>
        <w:autoSpaceDE/>
        <w:autoSpaceDN/>
        <w:ind w:firstLine="720"/>
        <w:rPr>
          <w:rFonts w:ascii="Arial" w:eastAsia="MS Mincho" w:hAnsi="Arial" w:cs="Arial"/>
          <w:lang w:val="en-SG"/>
        </w:rPr>
      </w:pPr>
      <w:hyperlink r:id="rId34" w:history="1">
        <w:r w:rsidRPr="00461DF1">
          <w:rPr>
            <w:rFonts w:ascii="Arial" w:eastAsia="MS Mincho" w:hAnsi="Arial" w:cs="Arial"/>
            <w:lang w:val="en-SG"/>
          </w:rPr>
          <w:t>https://doi.org/10.1037/pst0000444</w:t>
        </w:r>
      </w:hyperlink>
    </w:p>
    <w:p w14:paraId="6D1D3B51" w14:textId="77777777" w:rsidR="00C81E9B" w:rsidRDefault="00C81E9B" w:rsidP="00C81E9B">
      <w:pPr>
        <w:widowControl/>
        <w:autoSpaceDE/>
        <w:autoSpaceDN/>
        <w:rPr>
          <w:rFonts w:ascii="Arial" w:eastAsia="MS Mincho" w:hAnsi="Arial" w:cs="Arial"/>
          <w:lang w:val="en-SG"/>
        </w:rPr>
      </w:pPr>
    </w:p>
    <w:p w14:paraId="157981B2" w14:textId="77777777" w:rsidR="00C81E9B" w:rsidRDefault="00C81E9B" w:rsidP="00C81E9B">
      <w:pPr>
        <w:widowControl/>
        <w:autoSpaceDE/>
        <w:autoSpaceDN/>
        <w:rPr>
          <w:rFonts w:ascii="Arial" w:eastAsia="MS Mincho" w:hAnsi="Arial" w:cs="Arial"/>
          <w:lang w:val="en-SG"/>
        </w:rPr>
      </w:pPr>
      <w:r w:rsidRPr="004734DD">
        <w:rPr>
          <w:rFonts w:ascii="Arial" w:eastAsia="MS Mincho" w:hAnsi="Arial" w:cs="Arial"/>
          <w:lang w:val="en-SG"/>
        </w:rPr>
        <w:t xml:space="preserve">Eminoğlu, N., Shdaifat, E. A., Alonazi, W. B., Alshowkan, A., &amp; colleagues. (2025). </w:t>
      </w:r>
    </w:p>
    <w:p w14:paraId="71715976" w14:textId="77777777" w:rsidR="00C81E9B" w:rsidRDefault="00C81E9B" w:rsidP="00C81E9B">
      <w:pPr>
        <w:widowControl/>
        <w:autoSpaceDE/>
        <w:autoSpaceDN/>
        <w:ind w:firstLine="720"/>
        <w:rPr>
          <w:rFonts w:ascii="Arial" w:eastAsia="MS Mincho" w:hAnsi="Arial" w:cs="Arial"/>
          <w:lang w:val="en-SG"/>
        </w:rPr>
      </w:pPr>
      <w:r w:rsidRPr="004734DD">
        <w:rPr>
          <w:rFonts w:ascii="Arial" w:eastAsia="MS Mincho" w:hAnsi="Arial" w:cs="Arial"/>
          <w:lang w:val="en-SG"/>
        </w:rPr>
        <w:t xml:space="preserve">Exploring the relationships between compassion satisfaction, burnout, secondary </w:t>
      </w:r>
    </w:p>
    <w:p w14:paraId="2481EEDE" w14:textId="77777777" w:rsidR="00C81E9B" w:rsidRDefault="00C81E9B" w:rsidP="00C81E9B">
      <w:pPr>
        <w:widowControl/>
        <w:autoSpaceDE/>
        <w:autoSpaceDN/>
        <w:ind w:firstLine="720"/>
        <w:rPr>
          <w:rFonts w:ascii="Arial" w:eastAsia="MS Mincho" w:hAnsi="Arial" w:cs="Arial"/>
          <w:lang w:val="en-SG"/>
        </w:rPr>
      </w:pPr>
      <w:r w:rsidRPr="004734DD">
        <w:rPr>
          <w:rFonts w:ascii="Arial" w:eastAsia="MS Mincho" w:hAnsi="Arial" w:cs="Arial"/>
          <w:lang w:val="en-SG"/>
        </w:rPr>
        <w:t xml:space="preserve">traumatic stress, and resilience among mental health nurses: A structural </w:t>
      </w:r>
    </w:p>
    <w:p w14:paraId="27B57CD0" w14:textId="77777777" w:rsidR="00C81E9B" w:rsidRDefault="00C81E9B" w:rsidP="00C81E9B">
      <w:pPr>
        <w:widowControl/>
        <w:autoSpaceDE/>
        <w:autoSpaceDN/>
        <w:ind w:firstLine="720"/>
        <w:rPr>
          <w:rFonts w:ascii="Arial" w:eastAsia="MS Mincho" w:hAnsi="Arial" w:cs="Arial"/>
          <w:lang w:val="en-SG"/>
        </w:rPr>
      </w:pPr>
      <w:r w:rsidRPr="004734DD">
        <w:rPr>
          <w:rFonts w:ascii="Arial" w:eastAsia="MS Mincho" w:hAnsi="Arial" w:cs="Arial"/>
          <w:lang w:val="en-SG"/>
        </w:rPr>
        <w:t>equation modeling approach. Nursing Forum (advance online publication)</w:t>
      </w:r>
    </w:p>
    <w:p w14:paraId="7881F9F2" w14:textId="77777777" w:rsidR="00C81E9B" w:rsidRPr="00461DF1" w:rsidRDefault="00C81E9B" w:rsidP="00C81E9B">
      <w:pPr>
        <w:widowControl/>
        <w:autoSpaceDE/>
        <w:autoSpaceDN/>
        <w:ind w:firstLine="720"/>
        <w:rPr>
          <w:rFonts w:ascii="Arial" w:eastAsia="MS Mincho" w:hAnsi="Arial" w:cs="Arial"/>
          <w:lang w:val="en-SG"/>
        </w:rPr>
      </w:pPr>
    </w:p>
    <w:p w14:paraId="2D5EB692" w14:textId="77777777" w:rsidR="00C81E9B" w:rsidRDefault="00C81E9B" w:rsidP="00C81E9B">
      <w:pPr>
        <w:widowControl/>
        <w:autoSpaceDE/>
        <w:autoSpaceDN/>
        <w:rPr>
          <w:rFonts w:ascii="Arial" w:eastAsia="MS Mincho" w:hAnsi="Arial" w:cs="Arial"/>
          <w:i/>
          <w:iCs/>
        </w:rPr>
      </w:pPr>
      <w:r w:rsidRPr="00461DF1">
        <w:rPr>
          <w:rFonts w:ascii="Arial" w:eastAsia="MS Mincho" w:hAnsi="Arial" w:cs="Arial"/>
        </w:rPr>
        <w:t xml:space="preserve">Ferrari, M., et al. (2019). Self-compassion interventions meta-analysis. </w:t>
      </w:r>
      <w:r w:rsidRPr="00461DF1">
        <w:rPr>
          <w:rFonts w:ascii="Arial" w:eastAsia="MS Mincho" w:hAnsi="Arial" w:cs="Arial"/>
          <w:i/>
          <w:iCs/>
        </w:rPr>
        <w:t>Mindfulness,</w:t>
      </w:r>
    </w:p>
    <w:p w14:paraId="258ECA0B" w14:textId="77777777" w:rsidR="00C81E9B" w:rsidRPr="00461DF1" w:rsidRDefault="00C81E9B" w:rsidP="00C81E9B">
      <w:pPr>
        <w:widowControl/>
        <w:autoSpaceDE/>
        <w:autoSpaceDN/>
        <w:rPr>
          <w:rFonts w:ascii="Arial" w:eastAsia="MS Mincho" w:hAnsi="Arial" w:cs="Arial"/>
        </w:rPr>
      </w:pPr>
      <w:r>
        <w:rPr>
          <w:rFonts w:ascii="Arial" w:eastAsia="MS Mincho" w:hAnsi="Arial" w:cs="Arial"/>
          <w:i/>
          <w:iCs/>
        </w:rPr>
        <w:tab/>
      </w:r>
      <w:r w:rsidRPr="00461DF1">
        <w:rPr>
          <w:rFonts w:ascii="Arial" w:eastAsia="MS Mincho" w:hAnsi="Arial" w:cs="Arial"/>
          <w:i/>
          <w:iCs/>
        </w:rPr>
        <w:t>10</w:t>
      </w:r>
      <w:r w:rsidRPr="00461DF1">
        <w:rPr>
          <w:rFonts w:ascii="Arial" w:eastAsia="MS Mincho" w:hAnsi="Arial" w:cs="Arial"/>
        </w:rPr>
        <w:t>(8), 1455–1473.</w:t>
      </w:r>
    </w:p>
    <w:p w14:paraId="71E9DB04" w14:textId="77777777" w:rsidR="00C81E9B" w:rsidRPr="00461DF1" w:rsidRDefault="00C81E9B" w:rsidP="00C81E9B">
      <w:pPr>
        <w:widowControl/>
        <w:autoSpaceDE/>
        <w:autoSpaceDN/>
        <w:rPr>
          <w:rFonts w:ascii="Arial" w:eastAsia="MS Mincho" w:hAnsi="Arial" w:cs="Arial"/>
          <w:lang w:val="en-SG"/>
        </w:rPr>
      </w:pPr>
    </w:p>
    <w:p w14:paraId="33840C2F" w14:textId="77777777" w:rsidR="00C81E9B" w:rsidRDefault="00C81E9B" w:rsidP="00C81E9B">
      <w:pPr>
        <w:widowControl/>
        <w:autoSpaceDE/>
        <w:autoSpaceDN/>
        <w:rPr>
          <w:rFonts w:ascii="Arial" w:eastAsia="MS Mincho" w:hAnsi="Arial" w:cs="Arial"/>
          <w:lang w:val="en-SG"/>
        </w:rPr>
      </w:pPr>
      <w:r w:rsidRPr="00461DF1">
        <w:rPr>
          <w:rFonts w:ascii="Arial" w:eastAsia="MS Mincho" w:hAnsi="Arial" w:cs="Arial"/>
          <w:lang w:val="en-SG"/>
        </w:rPr>
        <w:lastRenderedPageBreak/>
        <w:t xml:space="preserve">Ferrari, M., Hunt, C., Harrysunker, A., Abbott, M. J., Beath, A. P., &amp; Einstein, D. A. </w:t>
      </w:r>
    </w:p>
    <w:p w14:paraId="6BD437EB" w14:textId="77777777" w:rsidR="00C81E9B" w:rsidRDefault="00C81E9B" w:rsidP="00C81E9B">
      <w:pPr>
        <w:widowControl/>
        <w:autoSpaceDE/>
        <w:autoSpaceDN/>
        <w:ind w:firstLine="720"/>
        <w:rPr>
          <w:rFonts w:ascii="Arial" w:eastAsia="MS Mincho" w:hAnsi="Arial" w:cs="Arial"/>
          <w:lang w:val="en-SG"/>
        </w:rPr>
      </w:pPr>
      <w:r w:rsidRPr="00461DF1">
        <w:rPr>
          <w:rFonts w:ascii="Arial" w:eastAsia="MS Mincho" w:hAnsi="Arial" w:cs="Arial"/>
          <w:lang w:val="en-SG"/>
        </w:rPr>
        <w:t>(2019). Self-compassion interventions and psychosocial outcomes: A meta-</w:t>
      </w:r>
    </w:p>
    <w:p w14:paraId="47723233"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lang w:val="en-SG"/>
        </w:rPr>
        <w:t xml:space="preserve">analysis. </w:t>
      </w:r>
      <w:r w:rsidRPr="00461DF1">
        <w:rPr>
          <w:rFonts w:ascii="Arial" w:eastAsia="MS Mincho" w:hAnsi="Arial" w:cs="Arial"/>
          <w:i/>
          <w:iCs/>
          <w:lang w:val="en-SG"/>
        </w:rPr>
        <w:t>Mindfulness, 10</w:t>
      </w:r>
      <w:r w:rsidRPr="00461DF1">
        <w:rPr>
          <w:rFonts w:ascii="Arial" w:eastAsia="MS Mincho" w:hAnsi="Arial" w:cs="Arial"/>
          <w:lang w:val="en-SG"/>
        </w:rPr>
        <w:t xml:space="preserve">(8), 1455–1473. </w:t>
      </w:r>
      <w:hyperlink r:id="rId35" w:history="1">
        <w:r w:rsidRPr="00461DF1">
          <w:rPr>
            <w:rStyle w:val="Hyperlink"/>
            <w:rFonts w:ascii="Arial" w:eastAsia="MS Mincho" w:hAnsi="Arial" w:cs="Arial"/>
            <w:color w:val="auto"/>
            <w:u w:val="none"/>
            <w:lang w:val="en-SG"/>
          </w:rPr>
          <w:t>https://doi.org/10.1007/s12671-019-</w:t>
        </w:r>
        <w:r w:rsidRPr="00EA664F">
          <w:rPr>
            <w:rStyle w:val="Hyperlink"/>
            <w:rFonts w:ascii="Arial" w:eastAsia="MS Mincho" w:hAnsi="Arial" w:cs="Arial"/>
            <w:color w:val="auto"/>
            <w:u w:val="none"/>
            <w:lang w:val="en-SG"/>
          </w:rPr>
          <w:tab/>
        </w:r>
        <w:r w:rsidRPr="00461DF1">
          <w:rPr>
            <w:rStyle w:val="Hyperlink"/>
            <w:rFonts w:ascii="Arial" w:eastAsia="MS Mincho" w:hAnsi="Arial" w:cs="Arial"/>
            <w:color w:val="auto"/>
            <w:u w:val="none"/>
            <w:lang w:val="en-SG"/>
          </w:rPr>
          <w:t>01134-6</w:t>
        </w:r>
      </w:hyperlink>
    </w:p>
    <w:p w14:paraId="02FCA3E0" w14:textId="77777777" w:rsidR="00C81E9B" w:rsidRPr="00461DF1" w:rsidRDefault="00C81E9B" w:rsidP="00C81E9B">
      <w:pPr>
        <w:widowControl/>
        <w:autoSpaceDE/>
        <w:autoSpaceDN/>
        <w:rPr>
          <w:rFonts w:ascii="Arial" w:eastAsia="MS Mincho" w:hAnsi="Arial" w:cs="Arial"/>
        </w:rPr>
      </w:pPr>
    </w:p>
    <w:p w14:paraId="31277795"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Figley, C. R. (2018). Compassion fatigue: Coping with secondary traumatic stress </w:t>
      </w:r>
    </w:p>
    <w:p w14:paraId="5223533E"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disorder in those who treat the traumatized. Routledge.</w:t>
      </w:r>
    </w:p>
    <w:p w14:paraId="303D4046" w14:textId="77777777" w:rsidR="00C81E9B" w:rsidRPr="00461DF1" w:rsidRDefault="00C81E9B" w:rsidP="00C81E9B">
      <w:pPr>
        <w:widowControl/>
        <w:autoSpaceDE/>
        <w:autoSpaceDN/>
        <w:rPr>
          <w:rFonts w:ascii="Arial" w:eastAsia="MS Mincho" w:hAnsi="Arial" w:cs="Arial"/>
        </w:rPr>
      </w:pPr>
    </w:p>
    <w:p w14:paraId="38D79399"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Finlay-Jones, A., Kane, R., &amp; Rees, C. (2022). Self-compassion training to improve </w:t>
      </w:r>
    </w:p>
    <w:p w14:paraId="41462A13"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well-being in healthcare professionals: A randomized controlled trial. </w:t>
      </w:r>
    </w:p>
    <w:p w14:paraId="3BC8FE68"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i/>
          <w:iCs/>
        </w:rPr>
        <w:t>Mindfulness, 13</w:t>
      </w:r>
      <w:r w:rsidRPr="00461DF1">
        <w:rPr>
          <w:rFonts w:ascii="Arial" w:eastAsia="MS Mincho" w:hAnsi="Arial" w:cs="Arial"/>
        </w:rPr>
        <w:t xml:space="preserve">(3), 567–580. </w:t>
      </w:r>
      <w:hyperlink r:id="rId36" w:history="1">
        <w:r w:rsidRPr="00461DF1">
          <w:rPr>
            <w:rFonts w:ascii="Arial" w:eastAsia="MS Mincho" w:hAnsi="Arial" w:cs="Arial"/>
          </w:rPr>
          <w:t>https://doi.org/10.1007/s12671-021-01785-6</w:t>
        </w:r>
      </w:hyperlink>
    </w:p>
    <w:p w14:paraId="28D4BE04" w14:textId="77777777" w:rsidR="00C81E9B" w:rsidRDefault="00C81E9B" w:rsidP="00C81E9B">
      <w:pPr>
        <w:widowControl/>
        <w:autoSpaceDE/>
        <w:autoSpaceDN/>
        <w:rPr>
          <w:rFonts w:ascii="Arial" w:eastAsia="MS Mincho" w:hAnsi="Arial" w:cs="Arial"/>
        </w:rPr>
      </w:pPr>
    </w:p>
    <w:p w14:paraId="048A57F4" w14:textId="77777777" w:rsidR="00C81E9B" w:rsidRDefault="00C81E9B" w:rsidP="00C81E9B">
      <w:pPr>
        <w:widowControl/>
        <w:autoSpaceDE/>
        <w:autoSpaceDN/>
        <w:rPr>
          <w:rFonts w:ascii="Arial" w:eastAsiaTheme="minorHAnsi" w:hAnsi="Arial" w:cs="Arial"/>
          <w:i/>
          <w:iCs/>
          <w:kern w:val="2"/>
          <w:lang w:val="en-SG"/>
          <w14:ligatures w14:val="standardContextual"/>
        </w:rPr>
      </w:pPr>
      <w:r w:rsidRPr="004F3944">
        <w:rPr>
          <w:rFonts w:ascii="Arial" w:eastAsiaTheme="minorHAnsi" w:hAnsi="Arial" w:cs="Arial"/>
          <w:kern w:val="2"/>
          <w:lang w:val="en-SG"/>
          <w14:ligatures w14:val="standardContextual"/>
        </w:rPr>
        <w:t xml:space="preserve">Fischer Perlman, C., &amp; Cáceres-Videla, C. E. (2024). </w:t>
      </w:r>
      <w:r w:rsidRPr="004F3944">
        <w:rPr>
          <w:rFonts w:ascii="Arial" w:eastAsiaTheme="minorHAnsi" w:hAnsi="Arial" w:cs="Arial"/>
          <w:i/>
          <w:iCs/>
          <w:kern w:val="2"/>
          <w:lang w:val="en-SG"/>
          <w14:ligatures w14:val="standardContextual"/>
        </w:rPr>
        <w:t xml:space="preserve">Exploring the impact of </w:t>
      </w:r>
    </w:p>
    <w:p w14:paraId="4A5CDD78" w14:textId="77777777" w:rsidR="00C81E9B" w:rsidRDefault="00C81E9B" w:rsidP="00C81E9B">
      <w:pPr>
        <w:widowControl/>
        <w:autoSpaceDE/>
        <w:autoSpaceDN/>
        <w:ind w:firstLine="720"/>
        <w:rPr>
          <w:rFonts w:ascii="Arial" w:eastAsiaTheme="minorHAnsi" w:hAnsi="Arial" w:cs="Arial"/>
          <w:kern w:val="2"/>
          <w:lang w:val="en-SG"/>
          <w14:ligatures w14:val="standardContextual"/>
        </w:rPr>
      </w:pPr>
      <w:r w:rsidRPr="004F3944">
        <w:rPr>
          <w:rFonts w:ascii="Arial" w:eastAsiaTheme="minorHAnsi" w:hAnsi="Arial" w:cs="Arial"/>
          <w:i/>
          <w:iCs/>
          <w:kern w:val="2"/>
          <w:lang w:val="en-SG"/>
          <w14:ligatures w14:val="standardContextual"/>
        </w:rPr>
        <w:t>genuineness in psychotherapy: A self-practice/self-reflection (SP/SR) report</w:t>
      </w:r>
      <w:r w:rsidRPr="004F3944">
        <w:rPr>
          <w:rFonts w:ascii="Arial" w:eastAsiaTheme="minorHAnsi" w:hAnsi="Arial" w:cs="Arial"/>
          <w:kern w:val="2"/>
          <w:lang w:val="en-SG"/>
          <w14:ligatures w14:val="standardContextual"/>
        </w:rPr>
        <w:t xml:space="preserve">. </w:t>
      </w:r>
    </w:p>
    <w:p w14:paraId="67A9166A" w14:textId="77777777" w:rsidR="00C81E9B" w:rsidRDefault="00C81E9B" w:rsidP="00C81E9B">
      <w:pPr>
        <w:widowControl/>
        <w:autoSpaceDE/>
        <w:autoSpaceDN/>
        <w:ind w:firstLine="720"/>
        <w:rPr>
          <w:rFonts w:ascii="Arial" w:eastAsiaTheme="minorHAnsi" w:hAnsi="Arial" w:cs="Arial"/>
          <w:kern w:val="2"/>
          <w:lang w:val="en-SG"/>
          <w14:ligatures w14:val="standardContextual"/>
        </w:rPr>
      </w:pPr>
      <w:r w:rsidRPr="004F3944">
        <w:rPr>
          <w:rFonts w:ascii="Arial" w:eastAsiaTheme="minorHAnsi" w:hAnsi="Arial" w:cs="Arial"/>
          <w:kern w:val="2"/>
          <w:lang w:val="en-SG"/>
          <w14:ligatures w14:val="standardContextual"/>
        </w:rPr>
        <w:t>OBM Integrative and Complementary Medicine, 9(3).</w:t>
      </w:r>
    </w:p>
    <w:p w14:paraId="5CCDC7D5" w14:textId="77777777" w:rsidR="00C81E9B" w:rsidRPr="004F3944" w:rsidRDefault="00C81E9B" w:rsidP="00C81E9B">
      <w:pPr>
        <w:widowControl/>
        <w:autoSpaceDE/>
        <w:autoSpaceDN/>
        <w:ind w:left="720"/>
        <w:rPr>
          <w:rFonts w:ascii="Arial" w:eastAsiaTheme="minorHAnsi" w:hAnsi="Arial" w:cs="Arial"/>
          <w:kern w:val="2"/>
          <w:lang w:val="en-SG"/>
          <w14:ligatures w14:val="standardContextual"/>
        </w:rPr>
      </w:pPr>
      <w:hyperlink r:id="rId37" w:history="1">
        <w:r w:rsidRPr="004F3944">
          <w:rPr>
            <w:rFonts w:ascii="Arial" w:eastAsiaTheme="minorHAnsi" w:hAnsi="Arial" w:cs="Arial"/>
            <w:kern w:val="2"/>
            <w:lang w:val="en-SG"/>
            <w14:ligatures w14:val="standardContextual"/>
          </w:rPr>
          <w:t>https://doi.org/10.21926/obm.icm.2403046</w:t>
        </w:r>
      </w:hyperlink>
    </w:p>
    <w:p w14:paraId="5D7822B9" w14:textId="77777777" w:rsidR="00C81E9B" w:rsidRDefault="00C81E9B" w:rsidP="00C81E9B">
      <w:pPr>
        <w:widowControl/>
        <w:autoSpaceDE/>
        <w:autoSpaceDN/>
        <w:rPr>
          <w:rFonts w:ascii="Arial" w:eastAsia="MS Mincho" w:hAnsi="Arial" w:cs="Arial"/>
        </w:rPr>
      </w:pPr>
    </w:p>
    <w:p w14:paraId="64D90612" w14:textId="77777777" w:rsidR="00C81E9B" w:rsidRDefault="00C81E9B" w:rsidP="00C81E9B">
      <w:pPr>
        <w:widowControl/>
        <w:autoSpaceDE/>
        <w:autoSpaceDN/>
        <w:rPr>
          <w:rFonts w:ascii="Arial" w:eastAsia="MS Mincho" w:hAnsi="Arial" w:cs="Arial"/>
          <w:i/>
          <w:iCs/>
        </w:rPr>
      </w:pPr>
      <w:r w:rsidRPr="00461DF1">
        <w:rPr>
          <w:rFonts w:ascii="Arial" w:eastAsia="MS Mincho" w:hAnsi="Arial" w:cs="Arial"/>
        </w:rPr>
        <w:t xml:space="preserve">Fitriana, R. (2019). Counselor competencies and counseling effectiveness. </w:t>
      </w:r>
      <w:r w:rsidRPr="00461DF1">
        <w:rPr>
          <w:rFonts w:ascii="Arial" w:eastAsia="MS Mincho" w:hAnsi="Arial" w:cs="Arial"/>
          <w:i/>
          <w:iCs/>
        </w:rPr>
        <w:t xml:space="preserve">Journal of </w:t>
      </w:r>
    </w:p>
    <w:p w14:paraId="74CACBD5"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i/>
          <w:iCs/>
        </w:rPr>
        <w:t>Counseling Practice, 10</w:t>
      </w:r>
      <w:r w:rsidRPr="00461DF1">
        <w:rPr>
          <w:rFonts w:ascii="Arial" w:eastAsia="MS Mincho" w:hAnsi="Arial" w:cs="Arial"/>
        </w:rPr>
        <w:t>(2), 45–58.</w:t>
      </w:r>
    </w:p>
    <w:p w14:paraId="22FAAEC8" w14:textId="77777777" w:rsidR="00C81E9B" w:rsidRPr="00461DF1" w:rsidRDefault="00C81E9B" w:rsidP="00C81E9B">
      <w:pPr>
        <w:widowControl/>
        <w:autoSpaceDE/>
        <w:autoSpaceDN/>
        <w:rPr>
          <w:rFonts w:ascii="Arial" w:eastAsia="MS Mincho" w:hAnsi="Arial" w:cs="Arial"/>
        </w:rPr>
      </w:pPr>
    </w:p>
    <w:p w14:paraId="060FE0A3"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Fitriana, Q.A., &amp; Nurochim, H.F. (2024). Beyond Empathy: Analyzing Compassion </w:t>
      </w:r>
    </w:p>
    <w:p w14:paraId="2A29869D"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Fatigue Among Counselors. Proceedings of the International Conference on </w:t>
      </w:r>
    </w:p>
    <w:p w14:paraId="161DEDC2"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Psychology, Mental Health, Religion, and Spirituality.</w:t>
      </w:r>
    </w:p>
    <w:p w14:paraId="1536F236" w14:textId="77777777" w:rsidR="00C81E9B" w:rsidRPr="00461DF1" w:rsidRDefault="00C81E9B" w:rsidP="00C81E9B">
      <w:pPr>
        <w:widowControl/>
        <w:autoSpaceDE/>
        <w:autoSpaceDN/>
        <w:rPr>
          <w:rFonts w:ascii="Arial" w:eastAsia="MS Mincho" w:hAnsi="Arial" w:cs="Arial"/>
        </w:rPr>
      </w:pPr>
    </w:p>
    <w:p w14:paraId="77F6C713"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Fitriana, R., &amp; Nurochim, N. (2024). Emotional demands and compassion fatigue </w:t>
      </w:r>
    </w:p>
    <w:p w14:paraId="51400C5A"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among counselors. </w:t>
      </w:r>
      <w:r w:rsidRPr="00461DF1">
        <w:rPr>
          <w:rFonts w:ascii="Arial" w:eastAsia="MS Mincho" w:hAnsi="Arial" w:cs="Arial"/>
          <w:i/>
          <w:iCs/>
        </w:rPr>
        <w:t>International Journal of Counseling Research, 18</w:t>
      </w:r>
      <w:r w:rsidRPr="00461DF1">
        <w:rPr>
          <w:rFonts w:ascii="Arial" w:eastAsia="MS Mincho" w:hAnsi="Arial" w:cs="Arial"/>
        </w:rPr>
        <w:t>(2), 145–</w:t>
      </w:r>
    </w:p>
    <w:p w14:paraId="2126BAA1"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160.</w:t>
      </w:r>
    </w:p>
    <w:p w14:paraId="65D27579" w14:textId="77777777" w:rsidR="00C81E9B" w:rsidRPr="00461DF1" w:rsidRDefault="00C81E9B" w:rsidP="00C81E9B">
      <w:pPr>
        <w:widowControl/>
        <w:autoSpaceDE/>
        <w:autoSpaceDN/>
        <w:rPr>
          <w:rFonts w:ascii="Arial" w:eastAsia="MS Mincho" w:hAnsi="Arial" w:cs="Arial"/>
        </w:rPr>
      </w:pPr>
    </w:p>
    <w:p w14:paraId="55F18BA1"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Galiana, L., Oliver, A., Sansó, N., &amp; Benito, E. (2021). Compassion satisfaction, </w:t>
      </w:r>
    </w:p>
    <w:p w14:paraId="2E86962D" w14:textId="77777777" w:rsidR="00C81E9B" w:rsidRDefault="00C81E9B" w:rsidP="00C81E9B">
      <w:pPr>
        <w:widowControl/>
        <w:autoSpaceDE/>
        <w:autoSpaceDN/>
        <w:ind w:firstLine="720"/>
        <w:rPr>
          <w:rFonts w:ascii="Arial" w:eastAsia="MS Mincho" w:hAnsi="Arial" w:cs="Arial"/>
        </w:rPr>
      </w:pPr>
      <w:r>
        <w:rPr>
          <w:rFonts w:ascii="Arial" w:eastAsia="MS Mincho" w:hAnsi="Arial" w:cs="Arial"/>
        </w:rPr>
        <w:t>Compassion Fatigue</w:t>
      </w:r>
      <w:r w:rsidRPr="00461DF1">
        <w:rPr>
          <w:rFonts w:ascii="Arial" w:eastAsia="MS Mincho" w:hAnsi="Arial" w:cs="Arial"/>
        </w:rPr>
        <w:t xml:space="preserve">, </w:t>
      </w:r>
      <w:r>
        <w:rPr>
          <w:rFonts w:ascii="Arial" w:eastAsia="MS Mincho" w:hAnsi="Arial" w:cs="Arial"/>
        </w:rPr>
        <w:t>Burnout</w:t>
      </w:r>
      <w:r w:rsidRPr="00461DF1">
        <w:rPr>
          <w:rFonts w:ascii="Arial" w:eastAsia="MS Mincho" w:hAnsi="Arial" w:cs="Arial"/>
        </w:rPr>
        <w:t xml:space="preserve"> in </w:t>
      </w:r>
      <w:r>
        <w:rPr>
          <w:rFonts w:ascii="Arial" w:eastAsia="MS Mincho" w:hAnsi="Arial" w:cs="Arial"/>
        </w:rPr>
        <w:t>Palliative Care Professionals</w:t>
      </w:r>
      <w:r w:rsidRPr="00461DF1">
        <w:rPr>
          <w:rFonts w:ascii="Arial" w:eastAsia="MS Mincho" w:hAnsi="Arial" w:cs="Arial"/>
        </w:rPr>
        <w:t xml:space="preserve">: The </w:t>
      </w:r>
    </w:p>
    <w:p w14:paraId="7C3C0B65"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mediating role of self-compassion. </w:t>
      </w:r>
      <w:r w:rsidRPr="00461DF1">
        <w:rPr>
          <w:rFonts w:ascii="Arial" w:eastAsia="MS Mincho" w:hAnsi="Arial" w:cs="Arial"/>
          <w:i/>
          <w:iCs/>
        </w:rPr>
        <w:t>Palliative &amp; Supportive Care, 19</w:t>
      </w:r>
      <w:r w:rsidRPr="00461DF1">
        <w:rPr>
          <w:rFonts w:ascii="Arial" w:eastAsia="MS Mincho" w:hAnsi="Arial" w:cs="Arial"/>
        </w:rPr>
        <w:t>(3), 282–</w:t>
      </w:r>
    </w:p>
    <w:p w14:paraId="268E13BC"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289. </w:t>
      </w:r>
      <w:hyperlink r:id="rId38" w:history="1">
        <w:r w:rsidRPr="00461DF1">
          <w:rPr>
            <w:rFonts w:ascii="Arial" w:eastAsia="MS Mincho" w:hAnsi="Arial" w:cs="Arial"/>
          </w:rPr>
          <w:t>https://doi.org/10.1017/S1478951520000939</w:t>
        </w:r>
      </w:hyperlink>
    </w:p>
    <w:p w14:paraId="3397D875" w14:textId="77777777" w:rsidR="00C81E9B" w:rsidRPr="00461DF1" w:rsidRDefault="00C81E9B" w:rsidP="00C81E9B">
      <w:pPr>
        <w:widowControl/>
        <w:autoSpaceDE/>
        <w:autoSpaceDN/>
        <w:rPr>
          <w:rFonts w:ascii="Arial" w:eastAsia="MS Mincho" w:hAnsi="Arial" w:cs="Arial"/>
          <w:lang w:val="en-SG"/>
        </w:rPr>
      </w:pPr>
    </w:p>
    <w:p w14:paraId="6357CD14"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Gallardo, M. &amp; Chavez, M. (2022). Exploring the Well-Being of Guidance Counselors </w:t>
      </w:r>
    </w:p>
    <w:p w14:paraId="3A636A88"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in the Philippines: A Phenomenological Study. Philippine Social Science </w:t>
      </w:r>
    </w:p>
    <w:p w14:paraId="12FABD53"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Journal. 5. 36-48. 10.52006/main.v5i1.475.</w:t>
      </w:r>
    </w:p>
    <w:p w14:paraId="383DCB6E" w14:textId="77777777" w:rsidR="00C81E9B" w:rsidRPr="00461DF1" w:rsidRDefault="00C81E9B" w:rsidP="00C81E9B">
      <w:pPr>
        <w:widowControl/>
        <w:autoSpaceDE/>
        <w:autoSpaceDN/>
        <w:rPr>
          <w:rFonts w:ascii="Arial" w:eastAsia="MS Mincho" w:hAnsi="Arial" w:cs="Arial"/>
        </w:rPr>
      </w:pPr>
    </w:p>
    <w:p w14:paraId="35B2103B"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Gopalakrishnan, S. (2019). Empathy and cultural competence in counseling practice: </w:t>
      </w:r>
    </w:p>
    <w:p w14:paraId="0B257609"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Integrating sensitivity and understanding. Journal of Counseling Psychology, </w:t>
      </w:r>
    </w:p>
    <w:p w14:paraId="372DFF80"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66(3), 321–334. https://doi.org/10.1037/cou0000332</w:t>
      </w:r>
    </w:p>
    <w:p w14:paraId="7AAFAF3B" w14:textId="77777777" w:rsidR="00C81E9B" w:rsidRPr="00461DF1" w:rsidRDefault="00C81E9B" w:rsidP="00C81E9B">
      <w:pPr>
        <w:widowControl/>
        <w:autoSpaceDE/>
        <w:autoSpaceDN/>
        <w:rPr>
          <w:rFonts w:ascii="Arial" w:eastAsia="MS Mincho" w:hAnsi="Arial" w:cs="Arial"/>
        </w:rPr>
      </w:pPr>
    </w:p>
    <w:p w14:paraId="40E2738D" w14:textId="77777777" w:rsidR="00C81E9B" w:rsidRDefault="00C81E9B" w:rsidP="00C81E9B">
      <w:pPr>
        <w:widowControl/>
        <w:autoSpaceDE/>
        <w:autoSpaceDN/>
        <w:rPr>
          <w:rFonts w:ascii="Arial" w:eastAsia="MS Mincho" w:hAnsi="Arial" w:cs="Arial"/>
          <w:lang w:val="en-SG"/>
        </w:rPr>
      </w:pPr>
      <w:r w:rsidRPr="00461DF1">
        <w:rPr>
          <w:rFonts w:ascii="Arial" w:eastAsia="MS Mincho" w:hAnsi="Arial" w:cs="Arial"/>
          <w:lang w:val="en-SG"/>
        </w:rPr>
        <w:t xml:space="preserve">Grandey, A. A. (2000). Emotion regulation in the workplace: A new way to </w:t>
      </w:r>
    </w:p>
    <w:p w14:paraId="4A77D1A5" w14:textId="77777777" w:rsidR="00C81E9B" w:rsidRDefault="00C81E9B" w:rsidP="00C81E9B">
      <w:pPr>
        <w:widowControl/>
        <w:autoSpaceDE/>
        <w:autoSpaceDN/>
        <w:ind w:firstLine="720"/>
        <w:rPr>
          <w:rFonts w:ascii="Arial" w:eastAsia="MS Mincho" w:hAnsi="Arial" w:cs="Arial"/>
          <w:i/>
          <w:iCs/>
          <w:lang w:val="en-SG"/>
        </w:rPr>
      </w:pPr>
      <w:r w:rsidRPr="00461DF1">
        <w:rPr>
          <w:rFonts w:ascii="Arial" w:eastAsia="MS Mincho" w:hAnsi="Arial" w:cs="Arial"/>
          <w:lang w:val="en-SG"/>
        </w:rPr>
        <w:t xml:space="preserve">conceptualize emotional labor. </w:t>
      </w:r>
      <w:r w:rsidRPr="00461DF1">
        <w:rPr>
          <w:rFonts w:ascii="Arial" w:eastAsia="MS Mincho" w:hAnsi="Arial" w:cs="Arial"/>
          <w:i/>
          <w:iCs/>
          <w:lang w:val="en-SG"/>
        </w:rPr>
        <w:t xml:space="preserve">Journal of Occupational Health Psychology, </w:t>
      </w:r>
    </w:p>
    <w:p w14:paraId="71B29695"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i/>
          <w:iCs/>
          <w:lang w:val="en-SG"/>
        </w:rPr>
        <w:t>5</w:t>
      </w:r>
      <w:r w:rsidRPr="00461DF1">
        <w:rPr>
          <w:rFonts w:ascii="Arial" w:eastAsia="MS Mincho" w:hAnsi="Arial" w:cs="Arial"/>
          <w:lang w:val="en-SG"/>
        </w:rPr>
        <w:t xml:space="preserve">(1), 95–110. </w:t>
      </w:r>
      <w:hyperlink r:id="rId39" w:tgtFrame="_new" w:history="1">
        <w:r w:rsidRPr="00461DF1">
          <w:rPr>
            <w:rFonts w:ascii="Arial" w:eastAsia="MS Mincho" w:hAnsi="Arial" w:cs="Arial"/>
            <w:lang w:val="en-SG"/>
          </w:rPr>
          <w:t>https://doi.org/10.1037/1076-8998.5.1.95</w:t>
        </w:r>
      </w:hyperlink>
    </w:p>
    <w:p w14:paraId="6B47C4B1" w14:textId="77777777" w:rsidR="00C81E9B" w:rsidRPr="00461DF1" w:rsidRDefault="00C81E9B" w:rsidP="00C81E9B">
      <w:pPr>
        <w:widowControl/>
        <w:autoSpaceDE/>
        <w:autoSpaceDN/>
        <w:rPr>
          <w:rFonts w:ascii="Arial" w:eastAsia="MS Mincho" w:hAnsi="Arial" w:cs="Arial"/>
        </w:rPr>
      </w:pPr>
    </w:p>
    <w:p w14:paraId="3B51B02A"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Hair, J. F., Black, W. C., Babin, B. J., &amp; Anderson, R. E. (2019). Multivariate Data </w:t>
      </w:r>
    </w:p>
    <w:p w14:paraId="47E00A75"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Analysis. (8th ed.). Cengage Learning.</w:t>
      </w:r>
    </w:p>
    <w:p w14:paraId="78FE041D" w14:textId="77777777" w:rsidR="00C81E9B" w:rsidRPr="00461DF1" w:rsidRDefault="00C81E9B" w:rsidP="00C81E9B">
      <w:pPr>
        <w:widowControl/>
        <w:autoSpaceDE/>
        <w:autoSpaceDN/>
        <w:rPr>
          <w:rFonts w:ascii="Arial" w:eastAsia="MS Mincho" w:hAnsi="Arial" w:cs="Arial"/>
        </w:rPr>
      </w:pPr>
    </w:p>
    <w:p w14:paraId="43F0D607"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Hair, J.F., Hult, G.T.M., Ringle, C.M., Sarstedt, M., Danks, N.P., Ray, S. (2021). An </w:t>
      </w:r>
    </w:p>
    <w:p w14:paraId="094FB060"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Introduction to Structural Equation Modeling. In: Partial Least Squares </w:t>
      </w:r>
    </w:p>
    <w:p w14:paraId="512E0095"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Structural Equation Modeling (PLS-SEM) Using R. Classroom Companion: </w:t>
      </w:r>
    </w:p>
    <w:p w14:paraId="6CD92653"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lastRenderedPageBreak/>
        <w:t>Business.</w:t>
      </w:r>
      <w:r>
        <w:rPr>
          <w:rFonts w:ascii="Arial" w:eastAsia="MS Mincho" w:hAnsi="Arial" w:cs="Arial"/>
        </w:rPr>
        <w:t xml:space="preserve"> </w:t>
      </w:r>
      <w:r w:rsidRPr="00461DF1">
        <w:rPr>
          <w:rFonts w:ascii="Arial" w:eastAsia="MS Mincho" w:hAnsi="Arial" w:cs="Arial"/>
        </w:rPr>
        <w:t>Springer, Cham. https://doi.org/10.1007/978-3-030-80519-7_1</w:t>
      </w:r>
    </w:p>
    <w:p w14:paraId="61A021F5" w14:textId="77777777" w:rsidR="00C81E9B" w:rsidRDefault="00C81E9B" w:rsidP="00C81E9B">
      <w:pPr>
        <w:widowControl/>
        <w:autoSpaceDE/>
        <w:autoSpaceDN/>
        <w:rPr>
          <w:rFonts w:ascii="Arial" w:eastAsia="MS Mincho" w:hAnsi="Arial" w:cs="Arial"/>
        </w:rPr>
      </w:pPr>
    </w:p>
    <w:p w14:paraId="57438BBE" w14:textId="77777777" w:rsidR="00C81E9B" w:rsidRDefault="00C81E9B" w:rsidP="00C81E9B">
      <w:pPr>
        <w:widowControl/>
        <w:autoSpaceDE/>
        <w:autoSpaceDN/>
        <w:rPr>
          <w:rFonts w:ascii="Arial" w:eastAsiaTheme="minorHAnsi" w:hAnsi="Arial" w:cs="Arial"/>
          <w:kern w:val="2"/>
          <w:lang w:val="en-SG"/>
          <w14:ligatures w14:val="standardContextual"/>
        </w:rPr>
      </w:pPr>
      <w:r w:rsidRPr="004F3944">
        <w:rPr>
          <w:rFonts w:ascii="Arial" w:eastAsiaTheme="minorHAnsi" w:hAnsi="Arial" w:cs="Arial"/>
          <w:kern w:val="2"/>
          <w:lang w:val="en-SG"/>
          <w14:ligatures w14:val="standardContextual"/>
        </w:rPr>
        <w:t xml:space="preserve">Hair, J. F., Jr., Hult, G. T. M., Ringle, C. M., Sarstedt, M., Danks, N. P., &amp; Ray, S. </w:t>
      </w:r>
    </w:p>
    <w:p w14:paraId="5554ECC3" w14:textId="77777777" w:rsidR="00C81E9B" w:rsidRDefault="00C81E9B" w:rsidP="00C81E9B">
      <w:pPr>
        <w:widowControl/>
        <w:autoSpaceDE/>
        <w:autoSpaceDN/>
        <w:ind w:firstLine="720"/>
        <w:rPr>
          <w:rFonts w:ascii="Arial" w:eastAsiaTheme="minorHAnsi" w:hAnsi="Arial" w:cs="Arial"/>
          <w:i/>
          <w:iCs/>
          <w:kern w:val="2"/>
          <w:lang w:val="en-SG"/>
          <w14:ligatures w14:val="standardContextual"/>
        </w:rPr>
      </w:pPr>
      <w:r w:rsidRPr="004F3944">
        <w:rPr>
          <w:rFonts w:ascii="Arial" w:eastAsiaTheme="minorHAnsi" w:hAnsi="Arial" w:cs="Arial"/>
          <w:kern w:val="2"/>
          <w:lang w:val="en-SG"/>
          <w14:ligatures w14:val="standardContextual"/>
        </w:rPr>
        <w:t>(2021).</w:t>
      </w:r>
      <w:r>
        <w:rPr>
          <w:rFonts w:ascii="Arial" w:eastAsiaTheme="minorHAnsi" w:hAnsi="Arial" w:cs="Arial"/>
          <w:kern w:val="2"/>
          <w:lang w:val="en-SG"/>
          <w14:ligatures w14:val="standardContextual"/>
        </w:rPr>
        <w:t xml:space="preserve"> </w:t>
      </w:r>
      <w:r w:rsidRPr="004F3944">
        <w:rPr>
          <w:rFonts w:ascii="Arial" w:eastAsiaTheme="minorHAnsi" w:hAnsi="Arial" w:cs="Arial"/>
          <w:i/>
          <w:iCs/>
          <w:kern w:val="2"/>
          <w:lang w:val="en-SG"/>
          <w14:ligatures w14:val="standardContextual"/>
        </w:rPr>
        <w:t xml:space="preserve">Partial least squares structural equation modeling (PLS-SEM) using </w:t>
      </w:r>
    </w:p>
    <w:p w14:paraId="360BCE88" w14:textId="77777777" w:rsidR="00C81E9B" w:rsidRPr="004F3944" w:rsidRDefault="00C81E9B" w:rsidP="00C81E9B">
      <w:pPr>
        <w:widowControl/>
        <w:autoSpaceDE/>
        <w:autoSpaceDN/>
        <w:ind w:firstLine="720"/>
        <w:rPr>
          <w:rFonts w:ascii="Arial" w:eastAsiaTheme="minorHAnsi" w:hAnsi="Arial" w:cs="Arial"/>
          <w:kern w:val="2"/>
          <w:lang w:val="en-SG"/>
          <w14:ligatures w14:val="standardContextual"/>
        </w:rPr>
      </w:pPr>
      <w:r w:rsidRPr="004F3944">
        <w:rPr>
          <w:rFonts w:ascii="Arial" w:eastAsiaTheme="minorHAnsi" w:hAnsi="Arial" w:cs="Arial"/>
          <w:i/>
          <w:iCs/>
          <w:kern w:val="2"/>
          <w:lang w:val="en-SG"/>
          <w14:ligatures w14:val="standardContextual"/>
        </w:rPr>
        <w:t>R: A workbook</w:t>
      </w:r>
      <w:r w:rsidRPr="004F3944">
        <w:rPr>
          <w:rFonts w:ascii="Arial" w:eastAsiaTheme="minorHAnsi" w:hAnsi="Arial" w:cs="Arial"/>
          <w:kern w:val="2"/>
          <w:lang w:val="en-SG"/>
          <w14:ligatures w14:val="standardContextual"/>
        </w:rPr>
        <w:t>. Springer.</w:t>
      </w:r>
      <w:r>
        <w:rPr>
          <w:rFonts w:ascii="Arial" w:eastAsiaTheme="minorHAnsi" w:hAnsi="Arial" w:cs="Arial"/>
          <w:kern w:val="2"/>
          <w:lang w:val="en-SG"/>
          <w14:ligatures w14:val="standardContextual"/>
        </w:rPr>
        <w:t xml:space="preserve"> </w:t>
      </w:r>
      <w:hyperlink r:id="rId40" w:history="1">
        <w:r w:rsidRPr="004F3944">
          <w:rPr>
            <w:rFonts w:ascii="Arial" w:eastAsiaTheme="minorHAnsi" w:hAnsi="Arial" w:cs="Arial"/>
            <w:kern w:val="2"/>
            <w:lang w:val="en-SG"/>
            <w14:ligatures w14:val="standardContextual"/>
          </w:rPr>
          <w:t>https://doi.org/10.1007/978-3-030-80519-7</w:t>
        </w:r>
      </w:hyperlink>
    </w:p>
    <w:p w14:paraId="7DFEFB23" w14:textId="77777777" w:rsidR="00C81E9B" w:rsidRPr="00461DF1" w:rsidRDefault="00C81E9B" w:rsidP="00C81E9B">
      <w:pPr>
        <w:widowControl/>
        <w:autoSpaceDE/>
        <w:autoSpaceDN/>
        <w:rPr>
          <w:rFonts w:ascii="Arial" w:eastAsia="MS Mincho" w:hAnsi="Arial" w:cs="Arial"/>
        </w:rPr>
      </w:pPr>
    </w:p>
    <w:p w14:paraId="39F575B6"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Hancock, G.R., Stapleton, L.M., Mueller, R.O. (2018). The Reviewer’s Guide to </w:t>
      </w:r>
    </w:p>
    <w:p w14:paraId="18B194AC"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Quantitative Methods in the Social Sciences, 2nd ed., ISBN-9781315755649. </w:t>
      </w:r>
    </w:p>
    <w:p w14:paraId="6FA13DE2"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Routledge, New York. DOIhttps://doi.org/10.4324/9781315755649</w:t>
      </w:r>
    </w:p>
    <w:p w14:paraId="17CFF82C" w14:textId="77777777" w:rsidR="00C81E9B" w:rsidRDefault="00C81E9B" w:rsidP="00C81E9B">
      <w:pPr>
        <w:widowControl/>
        <w:autoSpaceDE/>
        <w:autoSpaceDN/>
        <w:rPr>
          <w:rFonts w:ascii="Arial" w:eastAsia="MS Mincho" w:hAnsi="Arial" w:cs="Arial"/>
        </w:rPr>
      </w:pPr>
    </w:p>
    <w:p w14:paraId="20706735"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Haolah, M. F. (2018). Factors Affecting Counselor Quality. Jurnal Psikologi </w:t>
      </w:r>
    </w:p>
    <w:p w14:paraId="13343113"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Professional Indonesia,</w:t>
      </w:r>
    </w:p>
    <w:p w14:paraId="544B710E" w14:textId="77777777" w:rsidR="00C81E9B" w:rsidRDefault="00C81E9B" w:rsidP="00C81E9B">
      <w:pPr>
        <w:widowControl/>
        <w:autoSpaceDE/>
        <w:autoSpaceDN/>
        <w:rPr>
          <w:rFonts w:ascii="Arial" w:eastAsia="MS Mincho" w:hAnsi="Arial" w:cs="Arial"/>
        </w:rPr>
      </w:pPr>
    </w:p>
    <w:p w14:paraId="6D3D070A" w14:textId="77777777" w:rsidR="00C81E9B" w:rsidRDefault="00C81E9B" w:rsidP="00C81E9B">
      <w:pPr>
        <w:widowControl/>
        <w:autoSpaceDE/>
        <w:autoSpaceDN/>
        <w:rPr>
          <w:rFonts w:ascii="Arial" w:eastAsiaTheme="minorHAnsi" w:hAnsi="Arial" w:cs="Arial"/>
          <w:i/>
          <w:iCs/>
          <w:kern w:val="2"/>
          <w:lang w:val="en-SG"/>
          <w14:ligatures w14:val="standardContextual"/>
        </w:rPr>
      </w:pPr>
      <w:r w:rsidRPr="004F3944">
        <w:rPr>
          <w:rFonts w:ascii="Arial" w:eastAsiaTheme="minorHAnsi" w:hAnsi="Arial" w:cs="Arial"/>
          <w:kern w:val="2"/>
          <w:lang w:val="en-SG"/>
          <w14:ligatures w14:val="standardContextual"/>
        </w:rPr>
        <w:t xml:space="preserve">Hapsyah, D. R., &amp; Herdi, H. (2019). </w:t>
      </w:r>
      <w:r w:rsidRPr="004F3944">
        <w:rPr>
          <w:rFonts w:ascii="Arial" w:eastAsiaTheme="minorHAnsi" w:hAnsi="Arial" w:cs="Arial"/>
          <w:i/>
          <w:iCs/>
          <w:kern w:val="2"/>
          <w:lang w:val="en-SG"/>
          <w14:ligatures w14:val="standardContextual"/>
        </w:rPr>
        <w:t xml:space="preserve">The effectiveness of counseling services in </w:t>
      </w:r>
    </w:p>
    <w:p w14:paraId="59440C7B" w14:textId="77777777" w:rsidR="00C81E9B" w:rsidRPr="004F3944" w:rsidRDefault="00C81E9B" w:rsidP="00C81E9B">
      <w:pPr>
        <w:widowControl/>
        <w:autoSpaceDE/>
        <w:autoSpaceDN/>
        <w:ind w:firstLine="720"/>
        <w:rPr>
          <w:rFonts w:ascii="Arial" w:eastAsiaTheme="minorHAnsi" w:hAnsi="Arial" w:cs="Arial"/>
          <w:kern w:val="2"/>
          <w:lang w:val="en-SG"/>
          <w14:ligatures w14:val="standardContextual"/>
        </w:rPr>
      </w:pPr>
      <w:r w:rsidRPr="004F3944">
        <w:rPr>
          <w:rFonts w:ascii="Arial" w:eastAsiaTheme="minorHAnsi" w:hAnsi="Arial" w:cs="Arial"/>
          <w:i/>
          <w:iCs/>
          <w:kern w:val="2"/>
          <w:lang w:val="en-SG"/>
          <w14:ligatures w14:val="standardContextual"/>
        </w:rPr>
        <w:t>improving student well-being</w:t>
      </w:r>
      <w:r w:rsidRPr="004F3944">
        <w:rPr>
          <w:rFonts w:ascii="Arial" w:eastAsiaTheme="minorHAnsi" w:hAnsi="Arial" w:cs="Arial"/>
          <w:kern w:val="2"/>
          <w:lang w:val="en-SG"/>
          <w14:ligatures w14:val="standardContextual"/>
        </w:rPr>
        <w:t>. Jurnal Bimbingan Konseling, 8(2), 77–84.</w:t>
      </w:r>
    </w:p>
    <w:p w14:paraId="229FC2A5" w14:textId="77777777" w:rsidR="00C81E9B" w:rsidRPr="00461DF1" w:rsidRDefault="00C81E9B" w:rsidP="00C81E9B">
      <w:pPr>
        <w:widowControl/>
        <w:autoSpaceDE/>
        <w:autoSpaceDN/>
        <w:rPr>
          <w:rFonts w:ascii="Arial" w:eastAsia="MS Mincho" w:hAnsi="Arial" w:cs="Arial"/>
        </w:rPr>
      </w:pPr>
    </w:p>
    <w:p w14:paraId="65FB065C"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Heath, P. J., Brenner, R. E., Lannin, D. G., &amp; Vogel, D. L. (2018). Self-compassion </w:t>
      </w:r>
    </w:p>
    <w:p w14:paraId="6A2FF021"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Moderates the relationship between perceived public and anticipated self-</w:t>
      </w:r>
    </w:p>
    <w:p w14:paraId="4C1C13BB"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stigma of seeking help. Stigma and Health, 3(1), 65–</w:t>
      </w:r>
    </w:p>
    <w:p w14:paraId="6C2DBC6E"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68. https://doi.org/10.1037/sah0000072</w:t>
      </w:r>
    </w:p>
    <w:p w14:paraId="31A2BD73" w14:textId="77777777" w:rsidR="00C81E9B" w:rsidRPr="00461DF1" w:rsidRDefault="00C81E9B" w:rsidP="00C81E9B">
      <w:pPr>
        <w:widowControl/>
        <w:autoSpaceDE/>
        <w:autoSpaceDN/>
        <w:rPr>
          <w:rFonts w:ascii="Arial" w:eastAsia="MS Mincho" w:hAnsi="Arial" w:cs="Arial"/>
        </w:rPr>
      </w:pPr>
    </w:p>
    <w:p w14:paraId="4B4AB76C" w14:textId="77777777" w:rsidR="00C81E9B" w:rsidRDefault="00C81E9B" w:rsidP="00C81E9B">
      <w:pPr>
        <w:widowControl/>
        <w:autoSpaceDE/>
        <w:autoSpaceDN/>
        <w:rPr>
          <w:rFonts w:ascii="Arial" w:eastAsia="MS Mincho" w:hAnsi="Arial" w:cs="Arial"/>
          <w:i/>
          <w:iCs/>
          <w:lang w:val="en-SG"/>
        </w:rPr>
      </w:pPr>
      <w:r w:rsidRPr="00461DF1">
        <w:rPr>
          <w:rFonts w:ascii="Arial" w:eastAsia="MS Mincho" w:hAnsi="Arial" w:cs="Arial"/>
          <w:lang w:val="en-SG"/>
        </w:rPr>
        <w:t xml:space="preserve">Hirschi, A. (2020). Career adaptability and career success: A meta-analysis. </w:t>
      </w:r>
      <w:r w:rsidRPr="00461DF1">
        <w:rPr>
          <w:rFonts w:ascii="Arial" w:eastAsia="MS Mincho" w:hAnsi="Arial" w:cs="Arial"/>
          <w:i/>
          <w:iCs/>
          <w:lang w:val="en-SG"/>
        </w:rPr>
        <w:t xml:space="preserve">Journal </w:t>
      </w:r>
    </w:p>
    <w:p w14:paraId="0C6B917D" w14:textId="77777777" w:rsidR="00C81E9B" w:rsidRDefault="00C81E9B" w:rsidP="00C81E9B">
      <w:pPr>
        <w:widowControl/>
        <w:autoSpaceDE/>
        <w:autoSpaceDN/>
        <w:ind w:firstLine="720"/>
        <w:rPr>
          <w:rFonts w:ascii="Arial" w:eastAsia="MS Mincho" w:hAnsi="Arial" w:cs="Arial"/>
          <w:lang w:val="en-SG"/>
        </w:rPr>
      </w:pPr>
      <w:r w:rsidRPr="00461DF1">
        <w:rPr>
          <w:rFonts w:ascii="Arial" w:eastAsia="MS Mincho" w:hAnsi="Arial" w:cs="Arial"/>
          <w:i/>
          <w:iCs/>
          <w:lang w:val="en-SG"/>
        </w:rPr>
        <w:t>of Vocational Behavior, 120</w:t>
      </w:r>
      <w:r w:rsidRPr="00461DF1">
        <w:rPr>
          <w:rFonts w:ascii="Arial" w:eastAsia="MS Mincho" w:hAnsi="Arial" w:cs="Arial"/>
          <w:lang w:val="en-SG"/>
        </w:rPr>
        <w:t xml:space="preserve">, 103427. </w:t>
      </w:r>
    </w:p>
    <w:p w14:paraId="15B9276E" w14:textId="77777777" w:rsidR="00C81E9B" w:rsidRPr="00461DF1" w:rsidRDefault="00C81E9B" w:rsidP="00C81E9B">
      <w:pPr>
        <w:widowControl/>
        <w:autoSpaceDE/>
        <w:autoSpaceDN/>
        <w:ind w:left="720"/>
        <w:rPr>
          <w:rFonts w:ascii="Arial" w:eastAsia="MS Mincho" w:hAnsi="Arial" w:cs="Arial"/>
          <w:lang w:val="en-SG"/>
        </w:rPr>
      </w:pPr>
      <w:hyperlink r:id="rId41" w:history="1">
        <w:r w:rsidRPr="00461DF1">
          <w:rPr>
            <w:rStyle w:val="Hyperlink"/>
            <w:rFonts w:ascii="Arial" w:eastAsia="MS Mincho" w:hAnsi="Arial" w:cs="Arial"/>
            <w:color w:val="auto"/>
            <w:u w:val="none"/>
            <w:lang w:val="en-SG"/>
          </w:rPr>
          <w:t>https://doi.org/10.1016/j.jvb.2020.103427</w:t>
        </w:r>
      </w:hyperlink>
    </w:p>
    <w:p w14:paraId="7B2A5138" w14:textId="77777777" w:rsidR="00C81E9B" w:rsidRPr="00461DF1" w:rsidRDefault="00C81E9B" w:rsidP="00C81E9B">
      <w:pPr>
        <w:widowControl/>
        <w:autoSpaceDE/>
        <w:autoSpaceDN/>
        <w:rPr>
          <w:rFonts w:ascii="Arial" w:eastAsia="MS Mincho" w:hAnsi="Arial" w:cs="Arial"/>
        </w:rPr>
      </w:pPr>
    </w:p>
    <w:p w14:paraId="217ABC45"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Hobfoll, S. E. (1989). Conservation of resources: A new attempt at conceptualizing </w:t>
      </w:r>
    </w:p>
    <w:p w14:paraId="7C955E55"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stress. American Psychologist, 44(3), 513–524. </w:t>
      </w:r>
      <w:hyperlink r:id="rId42" w:history="1">
        <w:r w:rsidRPr="00461DF1">
          <w:rPr>
            <w:rStyle w:val="Hyperlink"/>
            <w:rFonts w:ascii="Arial" w:eastAsia="MS Mincho" w:hAnsi="Arial" w:cs="Arial"/>
            <w:color w:val="auto"/>
            <w:u w:val="none"/>
          </w:rPr>
          <w:t>https://doi.org/10.1037/0003-</w:t>
        </w:r>
      </w:hyperlink>
      <w:r w:rsidRPr="00461DF1">
        <w:rPr>
          <w:rFonts w:ascii="Arial" w:eastAsia="MS Mincho" w:hAnsi="Arial" w:cs="Arial"/>
        </w:rPr>
        <w:t xml:space="preserve"> </w:t>
      </w:r>
    </w:p>
    <w:p w14:paraId="0950D6B9"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066X.44.3.513</w:t>
      </w:r>
    </w:p>
    <w:p w14:paraId="7D4A23C9" w14:textId="77777777" w:rsidR="00C81E9B" w:rsidRPr="00461DF1" w:rsidRDefault="00C81E9B" w:rsidP="00C81E9B">
      <w:pPr>
        <w:widowControl/>
        <w:autoSpaceDE/>
        <w:autoSpaceDN/>
        <w:rPr>
          <w:rFonts w:ascii="Arial" w:eastAsia="MS Mincho" w:hAnsi="Arial" w:cs="Arial"/>
        </w:rPr>
      </w:pPr>
    </w:p>
    <w:p w14:paraId="204BD925"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Holyoak, L., Lee, A., &amp; Persson, J. (2020). Therapist authenticity and therapeutic </w:t>
      </w:r>
    </w:p>
    <w:p w14:paraId="18D6357D"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alliance: A meta-analytic review. </w:t>
      </w:r>
      <w:r w:rsidRPr="00461DF1">
        <w:rPr>
          <w:rFonts w:ascii="Arial" w:eastAsia="MS Mincho" w:hAnsi="Arial" w:cs="Arial"/>
          <w:i/>
          <w:iCs/>
        </w:rPr>
        <w:t>Journal of Clinical Psychology, 76</w:t>
      </w:r>
      <w:r w:rsidRPr="00461DF1">
        <w:rPr>
          <w:rFonts w:ascii="Arial" w:eastAsia="MS Mincho" w:hAnsi="Arial" w:cs="Arial"/>
        </w:rPr>
        <w:t xml:space="preserve">(10), </w:t>
      </w:r>
    </w:p>
    <w:p w14:paraId="6CCEB61A"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1960–1975.</w:t>
      </w:r>
    </w:p>
    <w:p w14:paraId="512CFE67" w14:textId="77777777" w:rsidR="00C81E9B" w:rsidRPr="00461DF1" w:rsidRDefault="00C81E9B" w:rsidP="00C81E9B">
      <w:pPr>
        <w:widowControl/>
        <w:autoSpaceDE/>
        <w:autoSpaceDN/>
        <w:rPr>
          <w:rFonts w:ascii="Arial" w:eastAsia="MS Mincho" w:hAnsi="Arial" w:cs="Arial"/>
        </w:rPr>
      </w:pPr>
    </w:p>
    <w:p w14:paraId="4628921B"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Hong, Y., &amp; Wang, L. (2024). Emotional intelligence as a protective factor against </w:t>
      </w:r>
    </w:p>
    <w:p w14:paraId="1D79E3BD"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secondary traumatic stress. </w:t>
      </w:r>
      <w:r w:rsidRPr="00461DF1">
        <w:rPr>
          <w:rFonts w:ascii="Arial" w:eastAsia="MS Mincho" w:hAnsi="Arial" w:cs="Arial"/>
          <w:i/>
          <w:iCs/>
        </w:rPr>
        <w:t>Journal of Mental Health, 33</w:t>
      </w:r>
      <w:r w:rsidRPr="00461DF1">
        <w:rPr>
          <w:rFonts w:ascii="Arial" w:eastAsia="MS Mincho" w:hAnsi="Arial" w:cs="Arial"/>
        </w:rPr>
        <w:t>(4), 512–520.</w:t>
      </w:r>
    </w:p>
    <w:p w14:paraId="6822798A" w14:textId="77777777" w:rsidR="00C81E9B" w:rsidRDefault="00C81E9B" w:rsidP="00C81E9B">
      <w:pPr>
        <w:widowControl/>
        <w:autoSpaceDE/>
        <w:autoSpaceDN/>
        <w:rPr>
          <w:rFonts w:ascii="Arial" w:eastAsia="MS Mincho" w:hAnsi="Arial" w:cs="Arial"/>
        </w:rPr>
      </w:pPr>
    </w:p>
    <w:p w14:paraId="0D9D7F99" w14:textId="77777777" w:rsidR="00C81E9B" w:rsidRDefault="00C81E9B" w:rsidP="00C81E9B">
      <w:pPr>
        <w:widowControl/>
        <w:autoSpaceDE/>
        <w:autoSpaceDN/>
        <w:rPr>
          <w:rFonts w:ascii="Arial" w:eastAsiaTheme="minorHAnsi" w:hAnsi="Arial" w:cs="Arial"/>
          <w:i/>
          <w:iCs/>
          <w:kern w:val="2"/>
          <w:lang w:val="en-SG"/>
          <w14:ligatures w14:val="standardContextual"/>
        </w:rPr>
      </w:pPr>
      <w:r w:rsidRPr="004F3944">
        <w:rPr>
          <w:rFonts w:ascii="Arial" w:eastAsiaTheme="minorHAnsi" w:hAnsi="Arial" w:cs="Arial"/>
          <w:kern w:val="2"/>
          <w:lang w:val="en-SG"/>
          <w14:ligatures w14:val="standardContextual"/>
        </w:rPr>
        <w:t xml:space="preserve">Hopwood, C. J., et al. (2021). </w:t>
      </w:r>
      <w:r w:rsidRPr="004F3944">
        <w:rPr>
          <w:rFonts w:ascii="Arial" w:eastAsiaTheme="minorHAnsi" w:hAnsi="Arial" w:cs="Arial"/>
          <w:i/>
          <w:iCs/>
          <w:kern w:val="2"/>
          <w:lang w:val="en-SG"/>
          <w14:ligatures w14:val="standardContextual"/>
        </w:rPr>
        <w:t xml:space="preserve">The DSM-5 Alternative Model of Personality Disorders: </w:t>
      </w:r>
    </w:p>
    <w:p w14:paraId="6E34C99A" w14:textId="77777777" w:rsidR="00C81E9B" w:rsidRDefault="00C81E9B" w:rsidP="00C81E9B">
      <w:pPr>
        <w:widowControl/>
        <w:autoSpaceDE/>
        <w:autoSpaceDN/>
        <w:ind w:firstLine="720"/>
        <w:rPr>
          <w:rFonts w:ascii="Arial" w:eastAsiaTheme="minorHAnsi" w:hAnsi="Arial" w:cs="Arial"/>
          <w:kern w:val="2"/>
          <w:lang w:val="en-SG"/>
          <w14:ligatures w14:val="standardContextual"/>
        </w:rPr>
      </w:pPr>
      <w:r w:rsidRPr="004F3944">
        <w:rPr>
          <w:rFonts w:ascii="Arial" w:eastAsiaTheme="minorHAnsi" w:hAnsi="Arial" w:cs="Arial"/>
          <w:i/>
          <w:iCs/>
          <w:kern w:val="2"/>
          <w:lang w:val="en-SG"/>
          <w14:ligatures w14:val="standardContextual"/>
        </w:rPr>
        <w:t>Integrating structure and process</w:t>
      </w:r>
      <w:r w:rsidRPr="004F3944">
        <w:rPr>
          <w:rFonts w:ascii="Arial" w:eastAsiaTheme="minorHAnsi" w:hAnsi="Arial" w:cs="Arial"/>
          <w:kern w:val="2"/>
          <w:lang w:val="en-SG"/>
          <w14:ligatures w14:val="standardContextual"/>
        </w:rPr>
        <w:t xml:space="preserve">. Annual Review of Clinical Psychology, 17, </w:t>
      </w:r>
    </w:p>
    <w:p w14:paraId="7A26FB8C" w14:textId="77777777" w:rsidR="00C81E9B" w:rsidRPr="004F3944" w:rsidRDefault="00C81E9B" w:rsidP="00C81E9B">
      <w:pPr>
        <w:widowControl/>
        <w:autoSpaceDE/>
        <w:autoSpaceDN/>
        <w:ind w:firstLine="720"/>
        <w:rPr>
          <w:rFonts w:ascii="Arial" w:eastAsiaTheme="minorHAnsi" w:hAnsi="Arial" w:cs="Arial"/>
          <w:kern w:val="2"/>
          <w:lang w:val="en-SG"/>
          <w14:ligatures w14:val="standardContextual"/>
        </w:rPr>
      </w:pPr>
      <w:r w:rsidRPr="004F3944">
        <w:rPr>
          <w:rFonts w:ascii="Arial" w:eastAsiaTheme="minorHAnsi" w:hAnsi="Arial" w:cs="Arial"/>
          <w:kern w:val="2"/>
          <w:lang w:val="en-SG"/>
          <w14:ligatures w14:val="standardContextual"/>
        </w:rPr>
        <w:t>355–381.</w:t>
      </w:r>
      <w:r>
        <w:rPr>
          <w:rFonts w:ascii="Arial" w:eastAsiaTheme="minorHAnsi" w:hAnsi="Arial" w:cs="Arial"/>
          <w:kern w:val="2"/>
          <w:lang w:val="en-SG"/>
          <w14:ligatures w14:val="standardContextual"/>
        </w:rPr>
        <w:t xml:space="preserve"> </w:t>
      </w:r>
      <w:hyperlink r:id="rId43" w:history="1">
        <w:r w:rsidRPr="004F3944">
          <w:rPr>
            <w:rFonts w:ascii="Arial" w:eastAsiaTheme="minorHAnsi" w:hAnsi="Arial" w:cs="Arial"/>
            <w:kern w:val="2"/>
            <w:lang w:val="en-SG"/>
            <w14:ligatures w14:val="standardContextual"/>
          </w:rPr>
          <w:t>https://doi.org/10.1146/annurev-clinpsy-081219-093304</w:t>
        </w:r>
      </w:hyperlink>
    </w:p>
    <w:p w14:paraId="448D2B8F" w14:textId="77777777" w:rsidR="00C81E9B" w:rsidRPr="00461DF1" w:rsidRDefault="00C81E9B" w:rsidP="00C81E9B">
      <w:pPr>
        <w:widowControl/>
        <w:autoSpaceDE/>
        <w:autoSpaceDN/>
        <w:rPr>
          <w:rFonts w:ascii="Arial" w:eastAsia="MS Mincho" w:hAnsi="Arial" w:cs="Arial"/>
        </w:rPr>
      </w:pPr>
    </w:p>
    <w:p w14:paraId="76CCF6F8" w14:textId="77777777" w:rsidR="00C81E9B" w:rsidRDefault="00C81E9B" w:rsidP="00C81E9B">
      <w:pPr>
        <w:widowControl/>
        <w:autoSpaceDE/>
        <w:autoSpaceDN/>
        <w:rPr>
          <w:rFonts w:ascii="Arial" w:eastAsia="MS Mincho" w:hAnsi="Arial" w:cs="Arial"/>
          <w:i/>
          <w:iCs/>
        </w:rPr>
      </w:pPr>
      <w:r w:rsidRPr="00461DF1">
        <w:rPr>
          <w:rFonts w:ascii="Arial" w:eastAsia="MS Mincho" w:hAnsi="Arial" w:cs="Arial"/>
        </w:rPr>
        <w:t xml:space="preserve">Iwanski, A. (2023). Ethical responsibilities and well-being of counselors. </w:t>
      </w:r>
      <w:r w:rsidRPr="00461DF1">
        <w:rPr>
          <w:rFonts w:ascii="Arial" w:eastAsia="MS Mincho" w:hAnsi="Arial" w:cs="Arial"/>
          <w:i/>
          <w:iCs/>
        </w:rPr>
        <w:t xml:space="preserve">Ethics &amp; </w:t>
      </w:r>
    </w:p>
    <w:p w14:paraId="302B891F"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i/>
          <w:iCs/>
        </w:rPr>
        <w:t>Behavior, 33</w:t>
      </w:r>
      <w:r w:rsidRPr="00461DF1">
        <w:rPr>
          <w:rFonts w:ascii="Arial" w:eastAsia="MS Mincho" w:hAnsi="Arial" w:cs="Arial"/>
        </w:rPr>
        <w:t>(2), 145–158.</w:t>
      </w:r>
    </w:p>
    <w:p w14:paraId="11383C03" w14:textId="77777777" w:rsidR="00C81E9B" w:rsidRPr="00461DF1" w:rsidRDefault="00C81E9B" w:rsidP="00C81E9B">
      <w:pPr>
        <w:widowControl/>
        <w:autoSpaceDE/>
        <w:autoSpaceDN/>
        <w:rPr>
          <w:rFonts w:ascii="Arial" w:eastAsia="MS Mincho" w:hAnsi="Arial" w:cs="Arial"/>
        </w:rPr>
      </w:pPr>
    </w:p>
    <w:p w14:paraId="3562F916" w14:textId="77777777" w:rsidR="00C81E9B" w:rsidRDefault="00C81E9B" w:rsidP="00C81E9B">
      <w:pPr>
        <w:widowControl/>
        <w:autoSpaceDE/>
        <w:autoSpaceDN/>
        <w:rPr>
          <w:rFonts w:ascii="Arial" w:eastAsia="MS Mincho" w:hAnsi="Arial" w:cs="Arial"/>
        </w:rPr>
      </w:pPr>
      <w:r>
        <w:rPr>
          <w:rFonts w:ascii="Arial" w:eastAsia="MS Mincho" w:hAnsi="Arial" w:cs="Arial"/>
        </w:rPr>
        <w:t>J</w:t>
      </w:r>
      <w:r w:rsidRPr="00461DF1">
        <w:rPr>
          <w:rFonts w:ascii="Arial" w:eastAsia="MS Mincho" w:hAnsi="Arial" w:cs="Arial"/>
        </w:rPr>
        <w:t>alan, K. (2023). Current Issues of Compassion Fatigue in Counsellor Supervision.</w:t>
      </w:r>
    </w:p>
    <w:p w14:paraId="30FA8B19" w14:textId="77777777" w:rsidR="00C81E9B" w:rsidRDefault="00C81E9B" w:rsidP="00C81E9B">
      <w:pPr>
        <w:widowControl/>
        <w:autoSpaceDE/>
        <w:autoSpaceDN/>
        <w:rPr>
          <w:rFonts w:ascii="Arial" w:eastAsia="MS Mincho" w:hAnsi="Arial" w:cs="Arial"/>
        </w:rPr>
      </w:pPr>
      <w:r>
        <w:rPr>
          <w:rFonts w:ascii="Arial" w:eastAsia="MS Mincho" w:hAnsi="Arial" w:cs="Arial"/>
        </w:rPr>
        <w:tab/>
      </w:r>
      <w:r w:rsidRPr="00461DF1">
        <w:rPr>
          <w:rFonts w:ascii="Arial" w:eastAsia="MS Mincho" w:hAnsi="Arial" w:cs="Arial"/>
        </w:rPr>
        <w:t xml:space="preserve">International Journal of Indian Psychology, 11(1), 706-715. DIP: </w:t>
      </w:r>
    </w:p>
    <w:p w14:paraId="16B70A36"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18.01.072.20231101, DOI:10.25215/1101.072</w:t>
      </w:r>
    </w:p>
    <w:p w14:paraId="070F8214" w14:textId="77777777" w:rsidR="00C81E9B" w:rsidRDefault="00C81E9B" w:rsidP="00C81E9B">
      <w:pPr>
        <w:widowControl/>
        <w:autoSpaceDE/>
        <w:autoSpaceDN/>
        <w:rPr>
          <w:rFonts w:ascii="Arial" w:eastAsia="MS Mincho" w:hAnsi="Arial" w:cs="Arial"/>
        </w:rPr>
      </w:pPr>
    </w:p>
    <w:p w14:paraId="78FDDF2D"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Jalan, R. (2023). Workload and compassion satisfaction among helping </w:t>
      </w:r>
    </w:p>
    <w:p w14:paraId="3E67BE1B"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professionals. </w:t>
      </w:r>
      <w:r w:rsidRPr="00461DF1">
        <w:rPr>
          <w:rFonts w:ascii="Arial" w:eastAsia="MS Mincho" w:hAnsi="Arial" w:cs="Arial"/>
          <w:i/>
          <w:iCs/>
        </w:rPr>
        <w:t>Journal of Counseling and Development, 101</w:t>
      </w:r>
      <w:r w:rsidRPr="00461DF1">
        <w:rPr>
          <w:rFonts w:ascii="Arial" w:eastAsia="MS Mincho" w:hAnsi="Arial" w:cs="Arial"/>
        </w:rPr>
        <w:t>(2), 145–158.</w:t>
      </w:r>
    </w:p>
    <w:p w14:paraId="3FA60893" w14:textId="77777777" w:rsidR="009C013D" w:rsidRPr="00461DF1" w:rsidRDefault="009C013D" w:rsidP="00C81E9B">
      <w:pPr>
        <w:widowControl/>
        <w:autoSpaceDE/>
        <w:autoSpaceDN/>
        <w:ind w:firstLine="720"/>
        <w:rPr>
          <w:rFonts w:ascii="Arial" w:eastAsia="MS Mincho" w:hAnsi="Arial" w:cs="Arial"/>
        </w:rPr>
      </w:pPr>
    </w:p>
    <w:p w14:paraId="2CF4D5EB" w14:textId="77777777" w:rsidR="00C81E9B" w:rsidRPr="00461DF1" w:rsidRDefault="00C81E9B" w:rsidP="00C81E9B">
      <w:pPr>
        <w:widowControl/>
        <w:autoSpaceDE/>
        <w:autoSpaceDN/>
        <w:rPr>
          <w:rFonts w:ascii="Arial" w:eastAsia="MS Mincho" w:hAnsi="Arial" w:cs="Arial"/>
        </w:rPr>
      </w:pPr>
    </w:p>
    <w:p w14:paraId="47BF767B"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lastRenderedPageBreak/>
        <w:t>Jimenez, D. E., &amp; Conwell, Y. (2018). Improving Mental Health Care Access,</w:t>
      </w:r>
    </w:p>
    <w:p w14:paraId="17312BEC"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 Engagement And Delivery Among Diverse, Underserved Populations. </w:t>
      </w:r>
    </w:p>
    <w:p w14:paraId="546EAB0A"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Innovation In Aging. Https://Doi.Org/10.1093/Geroni/Igy023.3207</w:t>
      </w:r>
    </w:p>
    <w:p w14:paraId="34A48237"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Jimenez, L., et al. (2018). Status of guidance counseling programs in Philippine </w:t>
      </w:r>
    </w:p>
    <w:p w14:paraId="26243AD2"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schools. </w:t>
      </w:r>
      <w:r w:rsidRPr="00461DF1">
        <w:rPr>
          <w:rFonts w:ascii="Arial" w:eastAsia="MS Mincho" w:hAnsi="Arial" w:cs="Arial"/>
          <w:i/>
          <w:iCs/>
        </w:rPr>
        <w:t>Philippine Journal of Psychology, 51</w:t>
      </w:r>
      <w:r w:rsidRPr="00461DF1">
        <w:rPr>
          <w:rFonts w:ascii="Arial" w:eastAsia="MS Mincho" w:hAnsi="Arial" w:cs="Arial"/>
        </w:rPr>
        <w:t>(1), 23–45.</w:t>
      </w:r>
    </w:p>
    <w:p w14:paraId="56F13EAA" w14:textId="77777777" w:rsidR="00C81E9B" w:rsidRDefault="00C81E9B" w:rsidP="00C81E9B">
      <w:pPr>
        <w:widowControl/>
        <w:autoSpaceDE/>
        <w:autoSpaceDN/>
        <w:rPr>
          <w:rFonts w:ascii="Arial" w:eastAsia="MS Mincho" w:hAnsi="Arial" w:cs="Arial"/>
        </w:rPr>
      </w:pPr>
    </w:p>
    <w:p w14:paraId="7FFDD852" w14:textId="77777777" w:rsidR="00C81E9B" w:rsidRDefault="00C81E9B" w:rsidP="00C81E9B">
      <w:pPr>
        <w:widowControl/>
        <w:autoSpaceDE/>
        <w:autoSpaceDN/>
        <w:rPr>
          <w:rFonts w:ascii="Arial" w:eastAsiaTheme="minorHAnsi" w:hAnsi="Arial" w:cs="Arial"/>
          <w:i/>
          <w:iCs/>
          <w:kern w:val="2"/>
          <w:lang w:val="en-SG"/>
          <w14:ligatures w14:val="standardContextual"/>
        </w:rPr>
      </w:pPr>
      <w:r w:rsidRPr="004F3944">
        <w:rPr>
          <w:rFonts w:ascii="Arial" w:eastAsiaTheme="minorHAnsi" w:hAnsi="Arial" w:cs="Arial"/>
          <w:kern w:val="2"/>
          <w:lang w:val="en-SG"/>
          <w14:ligatures w14:val="standardContextual"/>
        </w:rPr>
        <w:t xml:space="preserve">Joseph, S., &amp; Murphy, D. (2019). </w:t>
      </w:r>
      <w:r w:rsidRPr="004F3944">
        <w:rPr>
          <w:rFonts w:ascii="Arial" w:eastAsiaTheme="minorHAnsi" w:hAnsi="Arial" w:cs="Arial"/>
          <w:i/>
          <w:iCs/>
          <w:kern w:val="2"/>
          <w:lang w:val="en-SG"/>
          <w14:ligatures w14:val="standardContextual"/>
        </w:rPr>
        <w:t xml:space="preserve">Person-centered approach, positive psychology, </w:t>
      </w:r>
    </w:p>
    <w:p w14:paraId="4860B674" w14:textId="77777777" w:rsidR="00C81E9B" w:rsidRDefault="00C81E9B" w:rsidP="00C81E9B">
      <w:pPr>
        <w:widowControl/>
        <w:autoSpaceDE/>
        <w:autoSpaceDN/>
        <w:ind w:firstLine="720"/>
        <w:rPr>
          <w:rFonts w:ascii="Arial" w:eastAsiaTheme="minorHAnsi" w:hAnsi="Arial" w:cs="Arial"/>
          <w:kern w:val="2"/>
          <w:lang w:val="en-SG"/>
          <w14:ligatures w14:val="standardContextual"/>
        </w:rPr>
      </w:pPr>
      <w:r w:rsidRPr="004F3944">
        <w:rPr>
          <w:rFonts w:ascii="Arial" w:eastAsiaTheme="minorHAnsi" w:hAnsi="Arial" w:cs="Arial"/>
          <w:i/>
          <w:iCs/>
          <w:kern w:val="2"/>
          <w:lang w:val="en-SG"/>
          <w14:ligatures w14:val="standardContextual"/>
        </w:rPr>
        <w:t>and relational helping: Building bridges</w:t>
      </w:r>
      <w:r w:rsidRPr="004F3944">
        <w:rPr>
          <w:rFonts w:ascii="Arial" w:eastAsiaTheme="minorHAnsi" w:hAnsi="Arial" w:cs="Arial"/>
          <w:kern w:val="2"/>
          <w:lang w:val="en-SG"/>
          <w14:ligatures w14:val="standardContextual"/>
        </w:rPr>
        <w:t xml:space="preserve">. Journal of Humanistic Psychology, </w:t>
      </w:r>
    </w:p>
    <w:p w14:paraId="414452F0" w14:textId="77777777" w:rsidR="00C81E9B" w:rsidRPr="004F3944" w:rsidRDefault="00C81E9B" w:rsidP="00C81E9B">
      <w:pPr>
        <w:widowControl/>
        <w:autoSpaceDE/>
        <w:autoSpaceDN/>
        <w:ind w:firstLine="720"/>
        <w:rPr>
          <w:rFonts w:ascii="Arial" w:eastAsiaTheme="minorHAnsi" w:hAnsi="Arial" w:cs="Arial"/>
          <w:kern w:val="2"/>
          <w:lang w:val="en-SG"/>
          <w14:ligatures w14:val="standardContextual"/>
        </w:rPr>
      </w:pPr>
      <w:r w:rsidRPr="004F3944">
        <w:rPr>
          <w:rFonts w:ascii="Arial" w:eastAsiaTheme="minorHAnsi" w:hAnsi="Arial" w:cs="Arial"/>
          <w:kern w:val="2"/>
          <w:lang w:val="en-SG"/>
          <w14:ligatures w14:val="standardContextual"/>
        </w:rPr>
        <w:t>59(5), 646–665.</w:t>
      </w:r>
      <w:r>
        <w:rPr>
          <w:rFonts w:ascii="Arial" w:eastAsiaTheme="minorHAnsi" w:hAnsi="Arial" w:cs="Arial"/>
          <w:kern w:val="2"/>
          <w:lang w:val="en-SG"/>
          <w14:ligatures w14:val="standardContextual"/>
        </w:rPr>
        <w:t xml:space="preserve"> </w:t>
      </w:r>
      <w:hyperlink r:id="rId44" w:history="1">
        <w:r w:rsidRPr="004F3944">
          <w:rPr>
            <w:rFonts w:ascii="Arial" w:eastAsiaTheme="minorHAnsi" w:hAnsi="Arial" w:cs="Arial"/>
            <w:kern w:val="2"/>
            <w:lang w:val="en-SG"/>
            <w14:ligatures w14:val="standardContextual"/>
          </w:rPr>
          <w:t>https://doi.org/10.1177/0022167818774696</w:t>
        </w:r>
      </w:hyperlink>
    </w:p>
    <w:p w14:paraId="752E9002" w14:textId="77777777" w:rsidR="00C81E9B" w:rsidRPr="00461DF1" w:rsidRDefault="00C81E9B" w:rsidP="00C81E9B">
      <w:pPr>
        <w:widowControl/>
        <w:autoSpaceDE/>
        <w:autoSpaceDN/>
        <w:rPr>
          <w:rFonts w:ascii="Arial" w:eastAsia="MS Mincho" w:hAnsi="Arial" w:cs="Arial"/>
        </w:rPr>
      </w:pPr>
    </w:p>
    <w:p w14:paraId="1657A03B"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Jum C. Nunnally, J. C., &amp; Ira H. Bernstein, I. H. (1994). Psychometric theory (3rd </w:t>
      </w:r>
    </w:p>
    <w:p w14:paraId="3AAAA285"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ed.). McGraw-Hill.</w:t>
      </w:r>
    </w:p>
    <w:p w14:paraId="3F298CCD" w14:textId="77777777" w:rsidR="00C81E9B" w:rsidRPr="00461DF1" w:rsidRDefault="00C81E9B" w:rsidP="00C81E9B">
      <w:pPr>
        <w:widowControl/>
        <w:autoSpaceDE/>
        <w:autoSpaceDN/>
        <w:rPr>
          <w:rFonts w:ascii="Arial" w:eastAsia="MS Mincho" w:hAnsi="Arial" w:cs="Arial"/>
        </w:rPr>
      </w:pPr>
    </w:p>
    <w:p w14:paraId="380B6F10" w14:textId="77777777" w:rsidR="00C81E9B" w:rsidRDefault="00C81E9B" w:rsidP="00C81E9B">
      <w:pPr>
        <w:widowControl/>
        <w:autoSpaceDE/>
        <w:autoSpaceDN/>
        <w:rPr>
          <w:rFonts w:ascii="Arial" w:eastAsia="MS Mincho" w:hAnsi="Arial" w:cs="Arial"/>
          <w:i/>
          <w:iCs/>
        </w:rPr>
      </w:pPr>
      <w:r w:rsidRPr="00461DF1">
        <w:rPr>
          <w:rFonts w:ascii="Arial" w:eastAsia="MS Mincho" w:hAnsi="Arial" w:cs="Arial"/>
        </w:rPr>
        <w:t xml:space="preserve">Kabat-Zinn, J. (2003). Mindfulness-based interventions. </w:t>
      </w:r>
      <w:r w:rsidRPr="00461DF1">
        <w:rPr>
          <w:rFonts w:ascii="Arial" w:eastAsia="MS Mincho" w:hAnsi="Arial" w:cs="Arial"/>
          <w:i/>
          <w:iCs/>
        </w:rPr>
        <w:t xml:space="preserve">Clinical Psychology: Science </w:t>
      </w:r>
    </w:p>
    <w:p w14:paraId="29B08371"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i/>
          <w:iCs/>
        </w:rPr>
        <w:t>and Practice, 10</w:t>
      </w:r>
      <w:r w:rsidRPr="00461DF1">
        <w:rPr>
          <w:rFonts w:ascii="Arial" w:eastAsia="MS Mincho" w:hAnsi="Arial" w:cs="Arial"/>
        </w:rPr>
        <w:t>(2), 144–156.</w:t>
      </w:r>
    </w:p>
    <w:p w14:paraId="73AF5C97"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br/>
        <w:t xml:space="preserve">Kara, E. (2023). The role of non-judgmental attitudes in counseling engagement. </w:t>
      </w:r>
    </w:p>
    <w:p w14:paraId="29800531" w14:textId="77777777" w:rsidR="00C81E9B" w:rsidRPr="00461DF1" w:rsidRDefault="00C81E9B" w:rsidP="00C81E9B">
      <w:pPr>
        <w:widowControl/>
        <w:autoSpaceDE/>
        <w:autoSpaceDN/>
        <w:ind w:left="720"/>
        <w:rPr>
          <w:rFonts w:ascii="Arial" w:eastAsia="MS Mincho" w:hAnsi="Arial" w:cs="Arial"/>
        </w:rPr>
      </w:pPr>
      <w:r w:rsidRPr="00461DF1">
        <w:rPr>
          <w:rFonts w:ascii="Arial" w:eastAsia="MS Mincho" w:hAnsi="Arial" w:cs="Arial"/>
          <w:i/>
          <w:iCs/>
        </w:rPr>
        <w:t>Counseling Psychology Quarterly, 36</w:t>
      </w:r>
      <w:r w:rsidRPr="00461DF1">
        <w:rPr>
          <w:rFonts w:ascii="Arial" w:eastAsia="MS Mincho" w:hAnsi="Arial" w:cs="Arial"/>
        </w:rPr>
        <w:t>(3), 401–418.</w:t>
      </w:r>
    </w:p>
    <w:p w14:paraId="2F53F7DA" w14:textId="77777777" w:rsidR="00C81E9B" w:rsidRPr="00461DF1" w:rsidRDefault="00C81E9B" w:rsidP="00C81E9B">
      <w:pPr>
        <w:widowControl/>
        <w:autoSpaceDE/>
        <w:autoSpaceDN/>
        <w:rPr>
          <w:rFonts w:ascii="Arial" w:eastAsia="MS Mincho" w:hAnsi="Arial" w:cs="Arial"/>
        </w:rPr>
      </w:pPr>
    </w:p>
    <w:p w14:paraId="435831DF"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Kapoor, S. (2022). Compassion fatigue and burnout among helping professionals. </w:t>
      </w:r>
    </w:p>
    <w:p w14:paraId="297E2363"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Journal of Mental Health Counseling, 44(2), 123–138.</w:t>
      </w:r>
    </w:p>
    <w:p w14:paraId="67204B9A" w14:textId="77777777" w:rsidR="00C81E9B" w:rsidRPr="00461DF1" w:rsidRDefault="00C81E9B" w:rsidP="00C81E9B">
      <w:pPr>
        <w:widowControl/>
        <w:autoSpaceDE/>
        <w:autoSpaceDN/>
        <w:rPr>
          <w:rFonts w:ascii="Arial" w:eastAsia="MS Mincho" w:hAnsi="Arial" w:cs="Arial"/>
        </w:rPr>
      </w:pPr>
    </w:p>
    <w:p w14:paraId="5D014D74"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Kapoor, S. (2022). Empathy, burnout, and compassion fatigue among mental health </w:t>
      </w:r>
    </w:p>
    <w:p w14:paraId="1605344F"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professionals. </w:t>
      </w:r>
      <w:r w:rsidRPr="00461DF1">
        <w:rPr>
          <w:rFonts w:ascii="Arial" w:eastAsia="MS Mincho" w:hAnsi="Arial" w:cs="Arial"/>
          <w:i/>
          <w:iCs/>
        </w:rPr>
        <w:t>Journal of Mental Health, 31</w:t>
      </w:r>
      <w:r w:rsidRPr="00461DF1">
        <w:rPr>
          <w:rFonts w:ascii="Arial" w:eastAsia="MS Mincho" w:hAnsi="Arial" w:cs="Arial"/>
        </w:rPr>
        <w:t>(5), 623–631.</w:t>
      </w:r>
    </w:p>
    <w:p w14:paraId="60B47405" w14:textId="77777777" w:rsidR="00C81E9B" w:rsidRPr="00461DF1" w:rsidRDefault="00C81E9B" w:rsidP="00C81E9B">
      <w:pPr>
        <w:widowControl/>
        <w:autoSpaceDE/>
        <w:autoSpaceDN/>
        <w:rPr>
          <w:rFonts w:ascii="Arial" w:eastAsia="MS Mincho" w:hAnsi="Arial" w:cs="Arial"/>
        </w:rPr>
      </w:pPr>
    </w:p>
    <w:p w14:paraId="05D3BBF0"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Kapoor, S (2022). The Significance of Empathy in Counseling. International Journal </w:t>
      </w:r>
    </w:p>
    <w:p w14:paraId="26DD8AAE"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of Creative Research Thoughts. Volume 10, Issue 8, ISSN: 2320-2882. </w:t>
      </w:r>
    </w:p>
    <w:p w14:paraId="1C1DFA4C"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https://ijcrt.org/papers/IJCRT2208390.pdf</w:t>
      </w:r>
    </w:p>
    <w:p w14:paraId="4517FB38" w14:textId="77777777" w:rsidR="00C81E9B" w:rsidRPr="00461DF1" w:rsidRDefault="00C81E9B" w:rsidP="00C81E9B">
      <w:pPr>
        <w:widowControl/>
        <w:autoSpaceDE/>
        <w:autoSpaceDN/>
        <w:rPr>
          <w:rFonts w:ascii="Arial" w:eastAsia="MS Mincho" w:hAnsi="Arial" w:cs="Arial"/>
        </w:rPr>
      </w:pPr>
      <w:r w:rsidRPr="00461DF1">
        <w:rPr>
          <w:rFonts w:ascii="Arial" w:eastAsia="MS Mincho" w:hAnsi="Arial" w:cs="Arial"/>
        </w:rPr>
        <w:t xml:space="preserve"> </w:t>
      </w:r>
    </w:p>
    <w:p w14:paraId="440D635E"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Kim, N., &amp; Lambie, G. W. (2018). Burnout among school counselors: A systematic </w:t>
      </w:r>
    </w:p>
    <w:p w14:paraId="50A9E6B0"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review. </w:t>
      </w:r>
      <w:r w:rsidRPr="00461DF1">
        <w:rPr>
          <w:rFonts w:ascii="Arial" w:eastAsia="MS Mincho" w:hAnsi="Arial" w:cs="Arial"/>
          <w:i/>
          <w:iCs/>
        </w:rPr>
        <w:t>Professional School Counseling, 21</w:t>
      </w:r>
      <w:r w:rsidRPr="00461DF1">
        <w:rPr>
          <w:rFonts w:ascii="Arial" w:eastAsia="MS Mincho" w:hAnsi="Arial" w:cs="Arial"/>
        </w:rPr>
        <w:t>(1), 1–10.</w:t>
      </w:r>
    </w:p>
    <w:p w14:paraId="2103CA1A" w14:textId="77777777" w:rsidR="00C81E9B" w:rsidRPr="00461DF1" w:rsidRDefault="00C81E9B" w:rsidP="00C81E9B">
      <w:pPr>
        <w:widowControl/>
        <w:autoSpaceDE/>
        <w:autoSpaceDN/>
        <w:rPr>
          <w:rFonts w:ascii="Arial" w:eastAsia="MS Mincho" w:hAnsi="Arial" w:cs="Arial"/>
        </w:rPr>
      </w:pPr>
    </w:p>
    <w:p w14:paraId="296D0AF5"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Kim, N., &amp; Lambie, G. W. (2018). Burnout and implications for professional school </w:t>
      </w:r>
    </w:p>
    <w:p w14:paraId="574A25BB"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counselors. Journal of Counseling &amp; Development, 96(3), 267–277.</w:t>
      </w:r>
    </w:p>
    <w:p w14:paraId="529650C6" w14:textId="77777777" w:rsidR="00C81E9B" w:rsidRPr="00461DF1" w:rsidRDefault="00C81E9B" w:rsidP="00C81E9B">
      <w:pPr>
        <w:widowControl/>
        <w:autoSpaceDE/>
        <w:autoSpaceDN/>
        <w:rPr>
          <w:rFonts w:ascii="Arial" w:eastAsia="MS Mincho" w:hAnsi="Arial" w:cs="Arial"/>
        </w:rPr>
      </w:pPr>
    </w:p>
    <w:p w14:paraId="6BA58D99"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Klimenko, O., et al. (2024). Psychological well-being and compassion satisfaction </w:t>
      </w:r>
    </w:p>
    <w:p w14:paraId="49362656"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among helping professionals. </w:t>
      </w:r>
      <w:r w:rsidRPr="00461DF1">
        <w:rPr>
          <w:rFonts w:ascii="Arial" w:eastAsia="MS Mincho" w:hAnsi="Arial" w:cs="Arial"/>
          <w:i/>
          <w:iCs/>
        </w:rPr>
        <w:t>Frontiers in Psychology, 15</w:t>
      </w:r>
      <w:r w:rsidRPr="00461DF1">
        <w:rPr>
          <w:rFonts w:ascii="Arial" w:eastAsia="MS Mincho" w:hAnsi="Arial" w:cs="Arial"/>
        </w:rPr>
        <w:t>, 1198456.</w:t>
      </w:r>
    </w:p>
    <w:p w14:paraId="3D697F8B" w14:textId="77777777" w:rsidR="00C81E9B" w:rsidRPr="00461DF1" w:rsidRDefault="00C81E9B" w:rsidP="00C81E9B">
      <w:pPr>
        <w:widowControl/>
        <w:autoSpaceDE/>
        <w:autoSpaceDN/>
        <w:rPr>
          <w:rFonts w:ascii="Arial" w:eastAsia="MS Mincho" w:hAnsi="Arial" w:cs="Arial"/>
        </w:rPr>
      </w:pPr>
    </w:p>
    <w:p w14:paraId="134ECA38"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Kline, R. B. (2023). Principles and practice of structural equation modeling (5th ed.). </w:t>
      </w:r>
    </w:p>
    <w:p w14:paraId="50B08E33"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The Guilford Press.</w:t>
      </w:r>
    </w:p>
    <w:p w14:paraId="204C1BC9" w14:textId="77777777" w:rsidR="00C81E9B" w:rsidRPr="00461DF1" w:rsidRDefault="00C81E9B" w:rsidP="00C81E9B">
      <w:pPr>
        <w:widowControl/>
        <w:autoSpaceDE/>
        <w:autoSpaceDN/>
        <w:rPr>
          <w:rFonts w:ascii="Arial" w:eastAsia="MS Mincho" w:hAnsi="Arial" w:cs="Arial"/>
          <w:lang w:val="en-SG"/>
        </w:rPr>
      </w:pPr>
    </w:p>
    <w:p w14:paraId="22D2BF05" w14:textId="77777777" w:rsidR="00C81E9B" w:rsidRDefault="00C81E9B" w:rsidP="00C81E9B">
      <w:pPr>
        <w:widowControl/>
        <w:autoSpaceDE/>
        <w:autoSpaceDN/>
        <w:rPr>
          <w:rFonts w:ascii="Arial" w:eastAsia="MS Mincho" w:hAnsi="Arial" w:cs="Arial"/>
          <w:lang w:val="en-SG"/>
        </w:rPr>
      </w:pPr>
      <w:r w:rsidRPr="00461DF1">
        <w:rPr>
          <w:rFonts w:ascii="Arial" w:eastAsia="MS Mincho" w:hAnsi="Arial" w:cs="Arial"/>
          <w:lang w:val="en-SG"/>
        </w:rPr>
        <w:t xml:space="preserve">Klinkosz, W., Iskra-Golec, I., &amp; Śliwak, J. (2021). Interpersonal competence and </w:t>
      </w:r>
    </w:p>
    <w:p w14:paraId="09F6E3DC" w14:textId="77777777" w:rsidR="00C81E9B" w:rsidRDefault="00C81E9B" w:rsidP="00C81E9B">
      <w:pPr>
        <w:widowControl/>
        <w:autoSpaceDE/>
        <w:autoSpaceDN/>
        <w:ind w:firstLine="720"/>
        <w:rPr>
          <w:rFonts w:ascii="Arial" w:eastAsia="MS Mincho" w:hAnsi="Arial" w:cs="Arial"/>
          <w:i/>
          <w:iCs/>
          <w:lang w:val="en-SG"/>
        </w:rPr>
      </w:pPr>
      <w:r w:rsidRPr="00461DF1">
        <w:rPr>
          <w:rFonts w:ascii="Arial" w:eastAsia="MS Mincho" w:hAnsi="Arial" w:cs="Arial"/>
          <w:lang w:val="en-SG"/>
        </w:rPr>
        <w:t xml:space="preserve">occupational functioning. </w:t>
      </w:r>
      <w:r w:rsidRPr="00461DF1">
        <w:rPr>
          <w:rFonts w:ascii="Arial" w:eastAsia="MS Mincho" w:hAnsi="Arial" w:cs="Arial"/>
          <w:i/>
          <w:iCs/>
          <w:lang w:val="en-SG"/>
        </w:rPr>
        <w:t xml:space="preserve">International Journal of Environmental Research </w:t>
      </w:r>
    </w:p>
    <w:p w14:paraId="5F901582" w14:textId="77777777" w:rsidR="00C81E9B" w:rsidRPr="00461DF1" w:rsidRDefault="00C81E9B" w:rsidP="00C81E9B">
      <w:pPr>
        <w:widowControl/>
        <w:autoSpaceDE/>
        <w:autoSpaceDN/>
        <w:ind w:firstLine="720"/>
        <w:rPr>
          <w:rFonts w:ascii="Arial" w:eastAsia="MS Mincho" w:hAnsi="Arial" w:cs="Arial"/>
          <w:lang w:val="en-SG"/>
        </w:rPr>
      </w:pPr>
      <w:r w:rsidRPr="00461DF1">
        <w:rPr>
          <w:rFonts w:ascii="Arial" w:eastAsia="MS Mincho" w:hAnsi="Arial" w:cs="Arial"/>
          <w:i/>
          <w:iCs/>
          <w:lang w:val="en-SG"/>
        </w:rPr>
        <w:t>and Public Health, 18</w:t>
      </w:r>
      <w:r w:rsidRPr="00461DF1">
        <w:rPr>
          <w:rFonts w:ascii="Arial" w:eastAsia="MS Mincho" w:hAnsi="Arial" w:cs="Arial"/>
          <w:lang w:val="en-SG"/>
        </w:rPr>
        <w:t xml:space="preserve">(9), 4715. </w:t>
      </w:r>
      <w:hyperlink r:id="rId45" w:history="1">
        <w:r w:rsidRPr="00461DF1">
          <w:rPr>
            <w:rFonts w:ascii="Arial" w:eastAsia="MS Mincho" w:hAnsi="Arial" w:cs="Arial"/>
            <w:lang w:val="en-SG"/>
          </w:rPr>
          <w:t>https://doi.org/10.3390/ijerph18094715</w:t>
        </w:r>
      </w:hyperlink>
    </w:p>
    <w:p w14:paraId="35960AF9" w14:textId="77777777" w:rsidR="00C81E9B" w:rsidRDefault="00C81E9B" w:rsidP="00C81E9B">
      <w:pPr>
        <w:widowControl/>
        <w:autoSpaceDE/>
        <w:autoSpaceDN/>
        <w:rPr>
          <w:rFonts w:ascii="Arial" w:eastAsia="MS Mincho" w:hAnsi="Arial" w:cs="Arial"/>
        </w:rPr>
      </w:pPr>
    </w:p>
    <w:p w14:paraId="582FB7C4"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Klinkosz, W., Sękowski, A., &amp; Brambring, M. (2021). Development of interpersonal </w:t>
      </w:r>
    </w:p>
    <w:p w14:paraId="39A9B4B8"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competence: A review. </w:t>
      </w:r>
      <w:r w:rsidRPr="00461DF1">
        <w:rPr>
          <w:rFonts w:ascii="Arial" w:eastAsia="MS Mincho" w:hAnsi="Arial" w:cs="Arial"/>
          <w:i/>
          <w:iCs/>
        </w:rPr>
        <w:t>Social Psychology of Education, 24</w:t>
      </w:r>
      <w:r w:rsidRPr="00461DF1">
        <w:rPr>
          <w:rFonts w:ascii="Arial" w:eastAsia="MS Mincho" w:hAnsi="Arial" w:cs="Arial"/>
        </w:rPr>
        <w:t>(2), 327–345.</w:t>
      </w:r>
    </w:p>
    <w:p w14:paraId="3E86BA81" w14:textId="77777777" w:rsidR="00C81E9B" w:rsidRPr="00461DF1" w:rsidRDefault="00C81E9B" w:rsidP="00C81E9B">
      <w:pPr>
        <w:widowControl/>
        <w:autoSpaceDE/>
        <w:autoSpaceDN/>
        <w:rPr>
          <w:rFonts w:ascii="Arial" w:eastAsia="MS Mincho" w:hAnsi="Arial" w:cs="Arial"/>
        </w:rPr>
      </w:pPr>
    </w:p>
    <w:p w14:paraId="51ADC187"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Kolden, G. G., Wang, C. C., Austin, S. B., Chang, Y., &amp; Klein, M. H. (2018). </w:t>
      </w:r>
    </w:p>
    <w:p w14:paraId="11E629A5"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Congruence/genuineness in psychotherapy. </w:t>
      </w:r>
      <w:r w:rsidRPr="00461DF1">
        <w:rPr>
          <w:rFonts w:ascii="Arial" w:eastAsia="MS Mincho" w:hAnsi="Arial" w:cs="Arial"/>
          <w:i/>
          <w:iCs/>
        </w:rPr>
        <w:t>Psychotherapy, 55</w:t>
      </w:r>
      <w:r w:rsidRPr="00461DF1">
        <w:rPr>
          <w:rFonts w:ascii="Arial" w:eastAsia="MS Mincho" w:hAnsi="Arial" w:cs="Arial"/>
        </w:rPr>
        <w:t>(4), 424–433.</w:t>
      </w:r>
    </w:p>
    <w:p w14:paraId="45D84B00" w14:textId="77777777" w:rsidR="00C81E9B" w:rsidRPr="00461DF1" w:rsidRDefault="00C81E9B" w:rsidP="00C81E9B">
      <w:pPr>
        <w:widowControl/>
        <w:autoSpaceDE/>
        <w:autoSpaceDN/>
        <w:rPr>
          <w:rFonts w:ascii="Arial" w:eastAsia="MS Mincho" w:hAnsi="Arial" w:cs="Arial"/>
        </w:rPr>
      </w:pPr>
    </w:p>
    <w:p w14:paraId="15C21159"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lastRenderedPageBreak/>
        <w:t xml:space="preserve">Kotera, Y., Green, P., &amp; Sheffield, D. (2021). Mental health of helping professionals: </w:t>
      </w:r>
    </w:p>
    <w:p w14:paraId="51204EB6"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Relationships between self-compassion, work engagement, and burnout. </w:t>
      </w:r>
    </w:p>
    <w:p w14:paraId="5F786B9D"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i/>
          <w:iCs/>
        </w:rPr>
        <w:t>International Journal of Environmental Research and Public Health, 18</w:t>
      </w:r>
      <w:r w:rsidRPr="00461DF1">
        <w:rPr>
          <w:rFonts w:ascii="Arial" w:eastAsia="MS Mincho" w:hAnsi="Arial" w:cs="Arial"/>
        </w:rPr>
        <w:t xml:space="preserve">(2), </w:t>
      </w:r>
    </w:p>
    <w:p w14:paraId="29C55B86"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572. </w:t>
      </w:r>
      <w:hyperlink r:id="rId46" w:history="1">
        <w:r w:rsidRPr="00461DF1">
          <w:rPr>
            <w:rFonts w:ascii="Arial" w:eastAsia="MS Mincho" w:hAnsi="Arial" w:cs="Arial"/>
          </w:rPr>
          <w:t>https://doi.org/10.3390/ijerph18020572</w:t>
        </w:r>
      </w:hyperlink>
    </w:p>
    <w:p w14:paraId="1354F654" w14:textId="77777777" w:rsidR="00C81E9B" w:rsidRPr="00461DF1" w:rsidRDefault="00C81E9B" w:rsidP="00C81E9B">
      <w:pPr>
        <w:widowControl/>
        <w:autoSpaceDE/>
        <w:autoSpaceDN/>
        <w:rPr>
          <w:rFonts w:ascii="Arial" w:eastAsia="MS Mincho" w:hAnsi="Arial" w:cs="Arial"/>
        </w:rPr>
      </w:pPr>
    </w:p>
    <w:p w14:paraId="3D7AB567"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Kotera, Y., Ting, S. H., &amp; Neary, S. (2022). Self-compassion as a mediator of the </w:t>
      </w:r>
    </w:p>
    <w:p w14:paraId="278E15CC"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relationship between work stress and mental health among helping </w:t>
      </w:r>
    </w:p>
    <w:p w14:paraId="10E703BC"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professionals. </w:t>
      </w:r>
      <w:r w:rsidRPr="00461DF1">
        <w:rPr>
          <w:rFonts w:ascii="Arial" w:eastAsia="MS Mincho" w:hAnsi="Arial" w:cs="Arial"/>
          <w:i/>
          <w:iCs/>
        </w:rPr>
        <w:t>Counselling Psychology Quarterly, 35</w:t>
      </w:r>
      <w:r w:rsidRPr="00461DF1">
        <w:rPr>
          <w:rFonts w:ascii="Arial" w:eastAsia="MS Mincho" w:hAnsi="Arial" w:cs="Arial"/>
        </w:rPr>
        <w:t xml:space="preserve">(3–4), 593–609. </w:t>
      </w:r>
    </w:p>
    <w:p w14:paraId="098707DC" w14:textId="77777777" w:rsidR="00C81E9B" w:rsidRPr="00461DF1" w:rsidRDefault="00C81E9B" w:rsidP="00C81E9B">
      <w:pPr>
        <w:widowControl/>
        <w:autoSpaceDE/>
        <w:autoSpaceDN/>
        <w:ind w:firstLine="720"/>
        <w:rPr>
          <w:rFonts w:ascii="Arial" w:eastAsia="MS Mincho" w:hAnsi="Arial" w:cs="Arial"/>
        </w:rPr>
      </w:pPr>
      <w:hyperlink r:id="rId47" w:history="1">
        <w:r w:rsidRPr="00461DF1">
          <w:rPr>
            <w:rStyle w:val="Hyperlink"/>
            <w:rFonts w:ascii="Arial" w:eastAsia="MS Mincho" w:hAnsi="Arial" w:cs="Arial"/>
            <w:color w:val="auto"/>
            <w:u w:val="none"/>
          </w:rPr>
          <w:t>https://doi.org/10.1080/09515070.2020.1760974</w:t>
        </w:r>
      </w:hyperlink>
    </w:p>
    <w:p w14:paraId="1C453E1E" w14:textId="77777777" w:rsidR="00C81E9B" w:rsidRPr="00461DF1" w:rsidRDefault="00C81E9B" w:rsidP="00C81E9B">
      <w:pPr>
        <w:widowControl/>
        <w:autoSpaceDE/>
        <w:autoSpaceDN/>
        <w:rPr>
          <w:rFonts w:ascii="Arial" w:eastAsia="MS Mincho" w:hAnsi="Arial" w:cs="Arial"/>
        </w:rPr>
      </w:pPr>
    </w:p>
    <w:p w14:paraId="276CCB68"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Lee, S. H., Kim, J., &amp; Park, E. J. (2020). Relational competencies and compassion </w:t>
      </w:r>
    </w:p>
    <w:p w14:paraId="13C42BB3"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satisfaction: Mediating effects of emotional regulation among mental health </w:t>
      </w:r>
    </w:p>
    <w:p w14:paraId="67CD407A"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professionals. International Journal of Stress Management, 27(4), 350–362. </w:t>
      </w:r>
      <w:r>
        <w:rPr>
          <w:rFonts w:ascii="Arial" w:eastAsia="MS Mincho" w:hAnsi="Arial" w:cs="Arial"/>
        </w:rPr>
        <w:tab/>
      </w:r>
      <w:r w:rsidRPr="00461DF1">
        <w:rPr>
          <w:rFonts w:ascii="Arial" w:eastAsia="MS Mincho" w:hAnsi="Arial" w:cs="Arial"/>
        </w:rPr>
        <w:t>https://doi.org/10.1037/str0000162</w:t>
      </w:r>
    </w:p>
    <w:p w14:paraId="482F68FA" w14:textId="77777777" w:rsidR="00C81E9B" w:rsidRPr="00461DF1" w:rsidRDefault="00C81E9B" w:rsidP="00C81E9B">
      <w:pPr>
        <w:widowControl/>
        <w:autoSpaceDE/>
        <w:autoSpaceDN/>
        <w:rPr>
          <w:rFonts w:ascii="Arial" w:eastAsia="MS Mincho" w:hAnsi="Arial" w:cs="Arial"/>
        </w:rPr>
      </w:pPr>
    </w:p>
    <w:p w14:paraId="5DDB24CC"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Levkovich, I., &amp; Ricon, T. (2020). The Relationship Between Optimism, Self-Efficacy, </w:t>
      </w:r>
    </w:p>
    <w:p w14:paraId="3B1F881E"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and Compassion Fatigue Among Nurses During the COVID-19 Pandemic.</w:t>
      </w:r>
    </w:p>
    <w:p w14:paraId="43B5B0DA"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Frontiers in Psychology, 11, 579–586. </w:t>
      </w:r>
    </w:p>
    <w:p w14:paraId="2C4E7FC0"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https://doi.org/10.3389/fpsyg.2020.579386</w:t>
      </w:r>
    </w:p>
    <w:p w14:paraId="5A87B972" w14:textId="77777777" w:rsidR="00C81E9B" w:rsidRPr="00461DF1" w:rsidRDefault="00C81E9B" w:rsidP="00C81E9B">
      <w:pPr>
        <w:widowControl/>
        <w:autoSpaceDE/>
        <w:autoSpaceDN/>
        <w:rPr>
          <w:rFonts w:ascii="Arial" w:eastAsia="MS Mincho" w:hAnsi="Arial" w:cs="Arial"/>
        </w:rPr>
      </w:pPr>
    </w:p>
    <w:p w14:paraId="23E23C4F"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Levkovich, I., &amp; Ricon, T. (2020). Understanding compassion fatigue, optimism, and </w:t>
      </w:r>
    </w:p>
    <w:p w14:paraId="393059C6"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Emotional distress among Israeli school counselors. Asia Pacific Journal of </w:t>
      </w:r>
    </w:p>
    <w:p w14:paraId="0EF0C7D1"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Counseling and Psychotherapy, 11, 159 - 180.</w:t>
      </w:r>
    </w:p>
    <w:p w14:paraId="462E49F5" w14:textId="77777777" w:rsidR="00C81E9B" w:rsidRPr="00461DF1" w:rsidRDefault="00C81E9B" w:rsidP="00C81E9B">
      <w:pPr>
        <w:widowControl/>
        <w:autoSpaceDE/>
        <w:autoSpaceDN/>
        <w:rPr>
          <w:rFonts w:ascii="Arial" w:eastAsia="MS Mincho" w:hAnsi="Arial" w:cs="Arial"/>
        </w:rPr>
      </w:pPr>
    </w:p>
    <w:p w14:paraId="78D81C35"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Liang, Y., &amp; Yin, H. (2025</w:t>
      </w:r>
      <w:r>
        <w:rPr>
          <w:rFonts w:ascii="Arial" w:eastAsia="MS Mincho" w:hAnsi="Arial" w:cs="Arial"/>
        </w:rPr>
        <w:t>a</w:t>
      </w:r>
      <w:r w:rsidRPr="00461DF1">
        <w:rPr>
          <w:rFonts w:ascii="Arial" w:eastAsia="MS Mincho" w:hAnsi="Arial" w:cs="Arial"/>
        </w:rPr>
        <w:t xml:space="preserve">). Burnout among university counselors: A longitudinal </w:t>
      </w:r>
    </w:p>
    <w:p w14:paraId="15BF2627"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study. </w:t>
      </w:r>
      <w:r w:rsidRPr="00461DF1">
        <w:rPr>
          <w:rFonts w:ascii="Arial" w:eastAsia="MS Mincho" w:hAnsi="Arial" w:cs="Arial"/>
          <w:i/>
          <w:iCs/>
        </w:rPr>
        <w:t>Higher Education Research &amp; Development</w:t>
      </w:r>
      <w:r w:rsidRPr="00461DF1">
        <w:rPr>
          <w:rFonts w:ascii="Arial" w:eastAsia="MS Mincho" w:hAnsi="Arial" w:cs="Arial"/>
        </w:rPr>
        <w:t xml:space="preserve">. Advance online </w:t>
      </w:r>
    </w:p>
    <w:p w14:paraId="6127543F"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publication.</w:t>
      </w:r>
    </w:p>
    <w:p w14:paraId="3CD7E9ED" w14:textId="77777777" w:rsidR="00C81E9B" w:rsidRPr="00461DF1" w:rsidRDefault="00C81E9B" w:rsidP="00C81E9B">
      <w:pPr>
        <w:widowControl/>
        <w:autoSpaceDE/>
        <w:autoSpaceDN/>
        <w:rPr>
          <w:rFonts w:ascii="Arial" w:eastAsia="MS Mincho" w:hAnsi="Arial" w:cs="Arial"/>
        </w:rPr>
      </w:pPr>
    </w:p>
    <w:p w14:paraId="4235F84C"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Liang, Y., &amp; Yin, H. (2025</w:t>
      </w:r>
      <w:r>
        <w:rPr>
          <w:rFonts w:ascii="Arial" w:eastAsia="MS Mincho" w:hAnsi="Arial" w:cs="Arial"/>
        </w:rPr>
        <w:t>b</w:t>
      </w:r>
      <w:r w:rsidRPr="00461DF1">
        <w:rPr>
          <w:rFonts w:ascii="Arial" w:eastAsia="MS Mincho" w:hAnsi="Arial" w:cs="Arial"/>
        </w:rPr>
        <w:t xml:space="preserve">). Teacher burnout and well-being: A meta-analytic review. </w:t>
      </w:r>
    </w:p>
    <w:p w14:paraId="2B83553A"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Teaching and Teacher Education, 130, 104213.</w:t>
      </w:r>
    </w:p>
    <w:p w14:paraId="68694ED6" w14:textId="77777777" w:rsidR="00C81E9B" w:rsidRPr="00461DF1" w:rsidRDefault="00C81E9B" w:rsidP="00C81E9B">
      <w:pPr>
        <w:widowControl/>
        <w:autoSpaceDE/>
        <w:autoSpaceDN/>
        <w:rPr>
          <w:rFonts w:ascii="Arial" w:eastAsia="MS Mincho" w:hAnsi="Arial" w:cs="Arial"/>
        </w:rPr>
      </w:pPr>
    </w:p>
    <w:p w14:paraId="2B024D7F"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Li, X. (2025). Mindfulness and emotional regulation as predictors of compassion </w:t>
      </w:r>
    </w:p>
    <w:p w14:paraId="1263CE3E"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fatigue. </w:t>
      </w:r>
      <w:r w:rsidRPr="00461DF1">
        <w:rPr>
          <w:rFonts w:ascii="Arial" w:eastAsia="MS Mincho" w:hAnsi="Arial" w:cs="Arial"/>
          <w:i/>
          <w:iCs/>
        </w:rPr>
        <w:t>Journal of Counseling Psychology</w:t>
      </w:r>
      <w:r w:rsidRPr="00461DF1">
        <w:rPr>
          <w:rFonts w:ascii="Arial" w:eastAsia="MS Mincho" w:hAnsi="Arial" w:cs="Arial"/>
        </w:rPr>
        <w:t>. Advance online publication.</w:t>
      </w:r>
    </w:p>
    <w:p w14:paraId="19EBD07B" w14:textId="77777777" w:rsidR="00C81E9B" w:rsidRPr="00461DF1" w:rsidRDefault="00C81E9B" w:rsidP="00C81E9B">
      <w:pPr>
        <w:widowControl/>
        <w:autoSpaceDE/>
        <w:autoSpaceDN/>
        <w:rPr>
          <w:rFonts w:ascii="Arial" w:eastAsia="MS Mincho" w:hAnsi="Arial" w:cs="Arial"/>
        </w:rPr>
      </w:pPr>
    </w:p>
    <w:p w14:paraId="06A9BBC1" w14:textId="77777777" w:rsidR="00C81E9B" w:rsidRDefault="00C81E9B" w:rsidP="00C81E9B">
      <w:pPr>
        <w:widowControl/>
        <w:autoSpaceDE/>
        <w:autoSpaceDN/>
        <w:rPr>
          <w:rFonts w:ascii="Arial" w:eastAsiaTheme="minorHAnsi" w:hAnsi="Arial" w:cs="Arial"/>
          <w:kern w:val="2"/>
          <w:lang w:val="en-SG"/>
          <w14:ligatures w14:val="standardContextual"/>
        </w:rPr>
      </w:pPr>
      <w:r w:rsidRPr="004F3944">
        <w:rPr>
          <w:rFonts w:ascii="Arial" w:eastAsiaTheme="minorHAnsi" w:hAnsi="Arial" w:cs="Arial"/>
          <w:kern w:val="2"/>
          <w:lang w:val="en-SG"/>
          <w14:ligatures w14:val="standardContextual"/>
        </w:rPr>
        <w:t>Loades, M. E., Chatburn, E., Higson-Sweeney, N., Reynolds, S., Shafran, R.,</w:t>
      </w:r>
    </w:p>
    <w:p w14:paraId="38949003" w14:textId="77777777" w:rsidR="00C81E9B" w:rsidRDefault="00C81E9B" w:rsidP="00C81E9B">
      <w:pPr>
        <w:widowControl/>
        <w:autoSpaceDE/>
        <w:autoSpaceDN/>
        <w:ind w:firstLine="720"/>
        <w:rPr>
          <w:rFonts w:ascii="Arial" w:eastAsiaTheme="minorHAnsi" w:hAnsi="Arial" w:cs="Arial"/>
          <w:kern w:val="2"/>
          <w:lang w:val="en-SG"/>
          <w14:ligatures w14:val="standardContextual"/>
        </w:rPr>
      </w:pPr>
      <w:r w:rsidRPr="004F3944">
        <w:rPr>
          <w:rFonts w:ascii="Arial" w:eastAsiaTheme="minorHAnsi" w:hAnsi="Arial" w:cs="Arial"/>
          <w:kern w:val="2"/>
          <w:lang w:val="en-SG"/>
          <w14:ligatures w14:val="standardContextual"/>
        </w:rPr>
        <w:t xml:space="preserve"> Brigden, A., Linney, C., McManus, M. N., Borwick, C., &amp; Crawley, E. (2020). </w:t>
      </w:r>
    </w:p>
    <w:p w14:paraId="3665A612" w14:textId="77777777" w:rsidR="00C81E9B" w:rsidRDefault="00C81E9B" w:rsidP="00C81E9B">
      <w:pPr>
        <w:widowControl/>
        <w:autoSpaceDE/>
        <w:autoSpaceDN/>
        <w:ind w:firstLine="720"/>
        <w:rPr>
          <w:rFonts w:ascii="Arial" w:eastAsiaTheme="minorHAnsi" w:hAnsi="Arial" w:cs="Arial"/>
          <w:i/>
          <w:iCs/>
          <w:kern w:val="2"/>
          <w:lang w:val="en-SG"/>
          <w14:ligatures w14:val="standardContextual"/>
        </w:rPr>
      </w:pPr>
      <w:r w:rsidRPr="004F3944">
        <w:rPr>
          <w:rFonts w:ascii="Arial" w:eastAsiaTheme="minorHAnsi" w:hAnsi="Arial" w:cs="Arial"/>
          <w:i/>
          <w:iCs/>
          <w:kern w:val="2"/>
          <w:lang w:val="en-SG"/>
          <w14:ligatures w14:val="standardContextual"/>
        </w:rPr>
        <w:t xml:space="preserve">Rapid systematic review: The impact of social isolation and loneliness on the </w:t>
      </w:r>
    </w:p>
    <w:p w14:paraId="74A0D85A" w14:textId="77777777" w:rsidR="00C81E9B" w:rsidRDefault="00C81E9B" w:rsidP="00C81E9B">
      <w:pPr>
        <w:widowControl/>
        <w:autoSpaceDE/>
        <w:autoSpaceDN/>
        <w:ind w:firstLine="720"/>
        <w:rPr>
          <w:rFonts w:ascii="Arial" w:eastAsiaTheme="minorHAnsi" w:hAnsi="Arial" w:cs="Arial"/>
          <w:kern w:val="2"/>
          <w:lang w:val="en-SG"/>
          <w14:ligatures w14:val="standardContextual"/>
        </w:rPr>
      </w:pPr>
      <w:r w:rsidRPr="004F3944">
        <w:rPr>
          <w:rFonts w:ascii="Arial" w:eastAsiaTheme="minorHAnsi" w:hAnsi="Arial" w:cs="Arial"/>
          <w:i/>
          <w:iCs/>
          <w:kern w:val="2"/>
          <w:lang w:val="en-SG"/>
          <w14:ligatures w14:val="standardContextual"/>
        </w:rPr>
        <w:t>mental health of children and adolescents in the context of COVID-19</w:t>
      </w:r>
      <w:r w:rsidRPr="004F3944">
        <w:rPr>
          <w:rFonts w:ascii="Arial" w:eastAsiaTheme="minorHAnsi" w:hAnsi="Arial" w:cs="Arial"/>
          <w:kern w:val="2"/>
          <w:lang w:val="en-SG"/>
          <w14:ligatures w14:val="standardContextual"/>
        </w:rPr>
        <w:t xml:space="preserve">. </w:t>
      </w:r>
    </w:p>
    <w:p w14:paraId="5998F067" w14:textId="77777777" w:rsidR="00C81E9B" w:rsidRDefault="00C81E9B" w:rsidP="00C81E9B">
      <w:pPr>
        <w:widowControl/>
        <w:autoSpaceDE/>
        <w:autoSpaceDN/>
        <w:ind w:firstLine="720"/>
        <w:rPr>
          <w:rFonts w:ascii="Arial" w:eastAsiaTheme="minorHAnsi" w:hAnsi="Arial" w:cs="Arial"/>
          <w:kern w:val="2"/>
          <w:lang w:val="en-SG"/>
          <w14:ligatures w14:val="standardContextual"/>
        </w:rPr>
      </w:pPr>
      <w:r w:rsidRPr="004F3944">
        <w:rPr>
          <w:rFonts w:ascii="Arial" w:eastAsiaTheme="minorHAnsi" w:hAnsi="Arial" w:cs="Arial"/>
          <w:kern w:val="2"/>
          <w:lang w:val="en-SG"/>
          <w14:ligatures w14:val="standardContextual"/>
        </w:rPr>
        <w:t xml:space="preserve">Journal of the American Academy of Child &amp; Adolescent Psychiatry, 59(11), </w:t>
      </w:r>
    </w:p>
    <w:p w14:paraId="5B4B750F" w14:textId="77777777" w:rsidR="00C81E9B" w:rsidRPr="004F3944" w:rsidRDefault="00C81E9B" w:rsidP="00C81E9B">
      <w:pPr>
        <w:widowControl/>
        <w:autoSpaceDE/>
        <w:autoSpaceDN/>
        <w:ind w:firstLine="720"/>
        <w:rPr>
          <w:rFonts w:ascii="Arial" w:eastAsiaTheme="minorHAnsi" w:hAnsi="Arial" w:cs="Arial"/>
          <w:kern w:val="2"/>
          <w:lang w:val="en-SG"/>
          <w14:ligatures w14:val="standardContextual"/>
        </w:rPr>
      </w:pPr>
      <w:r w:rsidRPr="004F3944">
        <w:rPr>
          <w:rFonts w:ascii="Arial" w:eastAsiaTheme="minorHAnsi" w:hAnsi="Arial" w:cs="Arial"/>
          <w:kern w:val="2"/>
          <w:lang w:val="en-SG"/>
          <w14:ligatures w14:val="standardContextual"/>
        </w:rPr>
        <w:t>1218–1239.e3.</w:t>
      </w:r>
      <w:r>
        <w:rPr>
          <w:rFonts w:ascii="Arial" w:eastAsiaTheme="minorHAnsi" w:hAnsi="Arial" w:cs="Arial"/>
          <w:kern w:val="2"/>
          <w:lang w:val="en-SG"/>
          <w14:ligatures w14:val="standardContextual"/>
        </w:rPr>
        <w:t xml:space="preserve"> </w:t>
      </w:r>
      <w:hyperlink r:id="rId48" w:tgtFrame="_new" w:history="1">
        <w:r w:rsidRPr="004F3944">
          <w:rPr>
            <w:rFonts w:ascii="Arial" w:eastAsiaTheme="minorHAnsi" w:hAnsi="Arial" w:cs="Arial"/>
            <w:kern w:val="2"/>
            <w:lang w:val="en-SG"/>
            <w14:ligatures w14:val="standardContextual"/>
          </w:rPr>
          <w:t>https://doi.org/10.1016/j.jaac.2020.05.009</w:t>
        </w:r>
      </w:hyperlink>
      <w:r w:rsidRPr="004F3944">
        <w:rPr>
          <w:rFonts w:ascii="Arial" w:eastAsiaTheme="minorHAnsi" w:hAnsi="Arial" w:cs="Arial"/>
          <w:kern w:val="2"/>
          <w:lang w:val="en-SG"/>
          <w14:ligatures w14:val="standardContextual"/>
        </w:rPr>
        <w:t xml:space="preserve"> </w:t>
      </w:r>
    </w:p>
    <w:p w14:paraId="78D6B1E3" w14:textId="77777777" w:rsidR="00C81E9B" w:rsidRPr="00461DF1" w:rsidRDefault="00C81E9B" w:rsidP="00C81E9B">
      <w:pPr>
        <w:widowControl/>
        <w:autoSpaceDE/>
        <w:autoSpaceDN/>
        <w:rPr>
          <w:rFonts w:ascii="Arial" w:eastAsia="MS Mincho" w:hAnsi="Arial" w:cs="Arial"/>
        </w:rPr>
      </w:pPr>
    </w:p>
    <w:p w14:paraId="5F7351D1" w14:textId="77777777" w:rsidR="00C81E9B" w:rsidRDefault="00C81E9B" w:rsidP="00C81E9B">
      <w:pPr>
        <w:widowControl/>
        <w:autoSpaceDE/>
        <w:autoSpaceDN/>
        <w:rPr>
          <w:rFonts w:ascii="Arial" w:eastAsia="MS Mincho" w:hAnsi="Arial" w:cs="Arial"/>
          <w:i/>
          <w:iCs/>
        </w:rPr>
      </w:pPr>
      <w:r w:rsidRPr="00461DF1">
        <w:rPr>
          <w:rFonts w:ascii="Arial" w:eastAsia="MS Mincho" w:hAnsi="Arial" w:cs="Arial"/>
        </w:rPr>
        <w:t xml:space="preserve">Lu, S., Li, H., &amp; Li, J. (2020). Therapist authenticity and client trust. </w:t>
      </w:r>
      <w:r w:rsidRPr="00461DF1">
        <w:rPr>
          <w:rFonts w:ascii="Arial" w:eastAsia="MS Mincho" w:hAnsi="Arial" w:cs="Arial"/>
          <w:i/>
          <w:iCs/>
        </w:rPr>
        <w:t xml:space="preserve">Journal of </w:t>
      </w:r>
    </w:p>
    <w:p w14:paraId="66169E9B"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i/>
          <w:iCs/>
        </w:rPr>
        <w:t>Counseling &amp; Development, 98</w:t>
      </w:r>
      <w:r w:rsidRPr="00461DF1">
        <w:rPr>
          <w:rFonts w:ascii="Arial" w:eastAsia="MS Mincho" w:hAnsi="Arial" w:cs="Arial"/>
        </w:rPr>
        <w:t>(3), 276–285.</w:t>
      </w:r>
    </w:p>
    <w:p w14:paraId="0CCF9ECA" w14:textId="77777777" w:rsidR="00C81E9B" w:rsidRPr="00461DF1" w:rsidRDefault="00C81E9B" w:rsidP="00C81E9B">
      <w:pPr>
        <w:widowControl/>
        <w:autoSpaceDE/>
        <w:autoSpaceDN/>
        <w:rPr>
          <w:rFonts w:ascii="Arial" w:eastAsia="MS Mincho" w:hAnsi="Arial" w:cs="Arial"/>
        </w:rPr>
      </w:pPr>
    </w:p>
    <w:p w14:paraId="140B763D"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Mackintosh, K., &amp; Power, K. (2018). Self-compassion and psychological distress: A </w:t>
      </w:r>
    </w:p>
    <w:p w14:paraId="16C3C73F"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meta-analysis. </w:t>
      </w:r>
      <w:r w:rsidRPr="00461DF1">
        <w:rPr>
          <w:rFonts w:ascii="Arial" w:eastAsia="MS Mincho" w:hAnsi="Arial" w:cs="Arial"/>
          <w:i/>
          <w:iCs/>
        </w:rPr>
        <w:t>Clinical Psychology Review, 60</w:t>
      </w:r>
      <w:r w:rsidRPr="00461DF1">
        <w:rPr>
          <w:rFonts w:ascii="Arial" w:eastAsia="MS Mincho" w:hAnsi="Arial" w:cs="Arial"/>
        </w:rPr>
        <w:t>, 1–12.</w:t>
      </w:r>
    </w:p>
    <w:p w14:paraId="6FBF817E" w14:textId="77777777" w:rsidR="00C81E9B" w:rsidRPr="00461DF1" w:rsidRDefault="00C81E9B" w:rsidP="00C81E9B">
      <w:pPr>
        <w:widowControl/>
        <w:autoSpaceDE/>
        <w:autoSpaceDN/>
        <w:ind w:firstLine="720"/>
        <w:rPr>
          <w:rFonts w:ascii="Arial" w:eastAsia="MS Mincho" w:hAnsi="Arial" w:cs="Arial"/>
        </w:rPr>
      </w:pPr>
    </w:p>
    <w:p w14:paraId="20D7B52A" w14:textId="77777777" w:rsidR="00C81E9B" w:rsidRDefault="00C81E9B" w:rsidP="00C81E9B">
      <w:pPr>
        <w:widowControl/>
        <w:autoSpaceDE/>
        <w:autoSpaceDN/>
        <w:rPr>
          <w:rFonts w:ascii="Arial" w:eastAsiaTheme="minorHAnsi" w:hAnsi="Arial" w:cs="Arial"/>
          <w:i/>
          <w:iCs/>
          <w:kern w:val="2"/>
          <w:lang w:val="en-SG"/>
          <w14:ligatures w14:val="standardContextual"/>
        </w:rPr>
      </w:pPr>
      <w:r w:rsidRPr="004F3944">
        <w:rPr>
          <w:rFonts w:ascii="Arial" w:eastAsiaTheme="minorHAnsi" w:hAnsi="Arial" w:cs="Arial"/>
          <w:kern w:val="2"/>
          <w:lang w:val="en-SG"/>
          <w14:ligatures w14:val="standardContextual"/>
        </w:rPr>
        <w:t xml:space="preserve">Malekiha, M., Hosseinzadeh, L., &amp; Zaremohzzabieh, Z. (2025). </w:t>
      </w:r>
      <w:r w:rsidRPr="004F3944">
        <w:rPr>
          <w:rFonts w:ascii="Arial" w:eastAsiaTheme="minorHAnsi" w:hAnsi="Arial" w:cs="Arial"/>
          <w:i/>
          <w:iCs/>
          <w:kern w:val="2"/>
          <w:lang w:val="en-SG"/>
          <w14:ligatures w14:val="standardContextual"/>
        </w:rPr>
        <w:t xml:space="preserve">Examining predictors </w:t>
      </w:r>
    </w:p>
    <w:p w14:paraId="0E4DBF70" w14:textId="77777777" w:rsidR="00C81E9B" w:rsidRDefault="00C81E9B" w:rsidP="00C81E9B">
      <w:pPr>
        <w:widowControl/>
        <w:autoSpaceDE/>
        <w:autoSpaceDN/>
        <w:ind w:firstLine="720"/>
        <w:rPr>
          <w:rFonts w:ascii="Arial" w:eastAsiaTheme="minorHAnsi" w:hAnsi="Arial" w:cs="Arial"/>
          <w:i/>
          <w:iCs/>
          <w:kern w:val="2"/>
          <w:lang w:val="en-SG"/>
          <w14:ligatures w14:val="standardContextual"/>
        </w:rPr>
      </w:pPr>
      <w:r w:rsidRPr="004F3944">
        <w:rPr>
          <w:rFonts w:ascii="Arial" w:eastAsiaTheme="minorHAnsi" w:hAnsi="Arial" w:cs="Arial"/>
          <w:i/>
          <w:iCs/>
          <w:kern w:val="2"/>
          <w:lang w:val="en-SG"/>
          <w14:ligatures w14:val="standardContextual"/>
        </w:rPr>
        <w:t xml:space="preserve">of compassion fatigue among Iranian nurses: The role of personality traits </w:t>
      </w:r>
    </w:p>
    <w:p w14:paraId="57B5E17C" w14:textId="77777777" w:rsidR="00C81E9B" w:rsidRDefault="00C81E9B" w:rsidP="00C81E9B">
      <w:pPr>
        <w:widowControl/>
        <w:autoSpaceDE/>
        <w:autoSpaceDN/>
        <w:ind w:firstLine="720"/>
        <w:rPr>
          <w:rFonts w:ascii="Arial" w:eastAsiaTheme="minorHAnsi" w:hAnsi="Arial" w:cs="Arial"/>
          <w:kern w:val="2"/>
          <w:lang w:val="en-SG"/>
          <w14:ligatures w14:val="standardContextual"/>
        </w:rPr>
      </w:pPr>
      <w:r w:rsidRPr="004F3944">
        <w:rPr>
          <w:rFonts w:ascii="Arial" w:eastAsiaTheme="minorHAnsi" w:hAnsi="Arial" w:cs="Arial"/>
          <w:i/>
          <w:iCs/>
          <w:kern w:val="2"/>
          <w:lang w:val="en-SG"/>
          <w14:ligatures w14:val="standardContextual"/>
        </w:rPr>
        <w:t>and socio-emotional support</w:t>
      </w:r>
      <w:r w:rsidRPr="004F3944">
        <w:rPr>
          <w:rFonts w:ascii="Arial" w:eastAsiaTheme="minorHAnsi" w:hAnsi="Arial" w:cs="Arial"/>
          <w:kern w:val="2"/>
          <w:lang w:val="en-SG"/>
          <w14:ligatures w14:val="standardContextual"/>
        </w:rPr>
        <w:t>. BMC Nursing, 24, 946.</w:t>
      </w:r>
    </w:p>
    <w:p w14:paraId="77983BEB" w14:textId="77777777" w:rsidR="00C81E9B" w:rsidRPr="004F3944" w:rsidRDefault="00C81E9B" w:rsidP="00C81E9B">
      <w:pPr>
        <w:widowControl/>
        <w:autoSpaceDE/>
        <w:autoSpaceDN/>
        <w:ind w:firstLine="720"/>
        <w:rPr>
          <w:rFonts w:ascii="Arial" w:eastAsiaTheme="minorHAnsi" w:hAnsi="Arial" w:cs="Arial"/>
          <w:kern w:val="2"/>
          <w:lang w:val="en-SG"/>
          <w14:ligatures w14:val="standardContextual"/>
        </w:rPr>
      </w:pPr>
      <w:hyperlink r:id="rId49" w:history="1">
        <w:r w:rsidRPr="004F3944">
          <w:rPr>
            <w:rFonts w:ascii="Arial" w:eastAsiaTheme="minorHAnsi" w:hAnsi="Arial" w:cs="Arial"/>
            <w:kern w:val="2"/>
            <w:lang w:val="en-SG"/>
            <w14:ligatures w14:val="standardContextual"/>
          </w:rPr>
          <w:t>https://doi.org/10.1186/s12912-025-03604-w</w:t>
        </w:r>
      </w:hyperlink>
    </w:p>
    <w:p w14:paraId="263F9976" w14:textId="77777777" w:rsidR="00C81E9B" w:rsidRPr="00461DF1" w:rsidRDefault="00C81E9B" w:rsidP="00C81E9B">
      <w:pPr>
        <w:widowControl/>
        <w:autoSpaceDE/>
        <w:autoSpaceDN/>
        <w:rPr>
          <w:rFonts w:ascii="Arial" w:eastAsia="MS Mincho" w:hAnsi="Arial" w:cs="Arial"/>
        </w:rPr>
      </w:pPr>
    </w:p>
    <w:p w14:paraId="70EF1DB4" w14:textId="77777777" w:rsidR="00C81E9B" w:rsidRDefault="00C81E9B" w:rsidP="00C81E9B">
      <w:pPr>
        <w:widowControl/>
        <w:autoSpaceDE/>
        <w:autoSpaceDN/>
        <w:rPr>
          <w:rFonts w:ascii="Arial" w:eastAsia="MS Mincho" w:hAnsi="Arial" w:cs="Arial"/>
          <w:i/>
          <w:iCs/>
        </w:rPr>
      </w:pPr>
      <w:r w:rsidRPr="00461DF1">
        <w:rPr>
          <w:rFonts w:ascii="Arial" w:eastAsia="MS Mincho" w:hAnsi="Arial" w:cs="Arial"/>
        </w:rPr>
        <w:t xml:space="preserve">Maslach, C., Schaufeli, W. B., &amp; Leiter, M. P. (2001). Job burnout. </w:t>
      </w:r>
      <w:r w:rsidRPr="00461DF1">
        <w:rPr>
          <w:rFonts w:ascii="Arial" w:eastAsia="MS Mincho" w:hAnsi="Arial" w:cs="Arial"/>
          <w:i/>
          <w:iCs/>
        </w:rPr>
        <w:t xml:space="preserve">Annual Review of </w:t>
      </w:r>
    </w:p>
    <w:p w14:paraId="20537A6E"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i/>
          <w:iCs/>
        </w:rPr>
        <w:t>Psychology, 52</w:t>
      </w:r>
      <w:r w:rsidRPr="00461DF1">
        <w:rPr>
          <w:rFonts w:ascii="Arial" w:eastAsia="MS Mincho" w:hAnsi="Arial" w:cs="Arial"/>
        </w:rPr>
        <w:t>, 397–422.</w:t>
      </w:r>
    </w:p>
    <w:p w14:paraId="3D8C8123" w14:textId="77777777" w:rsidR="00C81E9B" w:rsidRPr="00461DF1" w:rsidRDefault="00C81E9B" w:rsidP="00C81E9B">
      <w:pPr>
        <w:widowControl/>
        <w:autoSpaceDE/>
        <w:autoSpaceDN/>
        <w:rPr>
          <w:rFonts w:ascii="Arial" w:eastAsia="MS Mincho" w:hAnsi="Arial" w:cs="Arial"/>
        </w:rPr>
      </w:pPr>
    </w:p>
    <w:p w14:paraId="5242F7E0"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Medvedev, O. N., Norden, P. A., Krägeloh, C. U., &amp; Siegert, R. J. (2020). The </w:t>
      </w:r>
    </w:p>
    <w:p w14:paraId="6E2C363F"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association between non-judgment and psychological well-being.</w:t>
      </w:r>
    </w:p>
    <w:p w14:paraId="312A01FA"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 </w:t>
      </w:r>
      <w:r w:rsidRPr="00461DF1">
        <w:rPr>
          <w:rFonts w:ascii="Arial" w:eastAsia="MS Mincho" w:hAnsi="Arial" w:cs="Arial"/>
          <w:i/>
          <w:iCs/>
        </w:rPr>
        <w:t>Mindfulness, 11</w:t>
      </w:r>
      <w:r w:rsidRPr="00461DF1">
        <w:rPr>
          <w:rFonts w:ascii="Arial" w:eastAsia="MS Mincho" w:hAnsi="Arial" w:cs="Arial"/>
        </w:rPr>
        <w:t xml:space="preserve">(2), 448–458. </w:t>
      </w:r>
      <w:hyperlink r:id="rId50" w:history="1">
        <w:r w:rsidRPr="00461DF1">
          <w:rPr>
            <w:rFonts w:ascii="Arial" w:eastAsia="MS Mincho" w:hAnsi="Arial" w:cs="Arial"/>
          </w:rPr>
          <w:t>https://doi.org/10.1007/s12671-019-01271-9</w:t>
        </w:r>
      </w:hyperlink>
    </w:p>
    <w:p w14:paraId="339AADA9" w14:textId="77777777" w:rsidR="00C81E9B" w:rsidRPr="00461DF1" w:rsidRDefault="00C81E9B" w:rsidP="00C81E9B">
      <w:pPr>
        <w:widowControl/>
        <w:autoSpaceDE/>
        <w:autoSpaceDN/>
        <w:rPr>
          <w:rFonts w:ascii="Arial" w:eastAsia="MS Mincho" w:hAnsi="Arial" w:cs="Arial"/>
          <w:lang w:val="en-SG"/>
        </w:rPr>
      </w:pPr>
    </w:p>
    <w:p w14:paraId="5004FE11" w14:textId="77777777" w:rsidR="00C81E9B" w:rsidRDefault="00C81E9B" w:rsidP="00C81E9B">
      <w:pPr>
        <w:widowControl/>
        <w:autoSpaceDE/>
        <w:autoSpaceDN/>
        <w:rPr>
          <w:rFonts w:ascii="Arial" w:eastAsia="MS Mincho" w:hAnsi="Arial" w:cs="Arial"/>
          <w:lang w:val="en-SG"/>
        </w:rPr>
      </w:pPr>
      <w:r w:rsidRPr="00461DF1">
        <w:rPr>
          <w:rFonts w:ascii="Arial" w:eastAsia="MS Mincho" w:hAnsi="Arial" w:cs="Arial"/>
          <w:lang w:val="en-SG"/>
        </w:rPr>
        <w:t xml:space="preserve">Mohd, R. H., Ismail, R., &amp; Ali, S. (2023). Emotional regulation and burnout among </w:t>
      </w:r>
    </w:p>
    <w:p w14:paraId="6A93AB90" w14:textId="77777777" w:rsidR="00C81E9B" w:rsidRDefault="00C81E9B" w:rsidP="00C81E9B">
      <w:pPr>
        <w:widowControl/>
        <w:autoSpaceDE/>
        <w:autoSpaceDN/>
        <w:ind w:firstLine="720"/>
        <w:rPr>
          <w:rFonts w:ascii="Arial" w:eastAsia="MS Mincho" w:hAnsi="Arial" w:cs="Arial"/>
          <w:i/>
          <w:iCs/>
          <w:lang w:val="en-SG"/>
        </w:rPr>
      </w:pPr>
      <w:r w:rsidRPr="00461DF1">
        <w:rPr>
          <w:rFonts w:ascii="Arial" w:eastAsia="MS Mincho" w:hAnsi="Arial" w:cs="Arial"/>
          <w:lang w:val="en-SG"/>
        </w:rPr>
        <w:t xml:space="preserve">helping professionals. </w:t>
      </w:r>
      <w:r w:rsidRPr="00461DF1">
        <w:rPr>
          <w:rFonts w:ascii="Arial" w:eastAsia="MS Mincho" w:hAnsi="Arial" w:cs="Arial"/>
          <w:i/>
          <w:iCs/>
          <w:lang w:val="en-SG"/>
        </w:rPr>
        <w:t xml:space="preserve">International Journal of Environmental Research and </w:t>
      </w:r>
    </w:p>
    <w:p w14:paraId="3E29A7E7" w14:textId="77777777" w:rsidR="00C81E9B" w:rsidRPr="00461DF1" w:rsidRDefault="00C81E9B" w:rsidP="00C81E9B">
      <w:pPr>
        <w:widowControl/>
        <w:autoSpaceDE/>
        <w:autoSpaceDN/>
        <w:ind w:firstLine="720"/>
        <w:rPr>
          <w:rFonts w:ascii="Arial" w:eastAsia="MS Mincho" w:hAnsi="Arial" w:cs="Arial"/>
          <w:lang w:val="en-SG"/>
        </w:rPr>
      </w:pPr>
      <w:r w:rsidRPr="00461DF1">
        <w:rPr>
          <w:rFonts w:ascii="Arial" w:eastAsia="MS Mincho" w:hAnsi="Arial" w:cs="Arial"/>
          <w:i/>
          <w:iCs/>
          <w:lang w:val="en-SG"/>
        </w:rPr>
        <w:t>Public Health, 20</w:t>
      </w:r>
      <w:r w:rsidRPr="00461DF1">
        <w:rPr>
          <w:rFonts w:ascii="Arial" w:eastAsia="MS Mincho" w:hAnsi="Arial" w:cs="Arial"/>
          <w:lang w:val="en-SG"/>
        </w:rPr>
        <w:t xml:space="preserve">(5), 4123. </w:t>
      </w:r>
      <w:hyperlink r:id="rId51" w:history="1">
        <w:r w:rsidRPr="00461DF1">
          <w:rPr>
            <w:rFonts w:ascii="Arial" w:eastAsia="MS Mincho" w:hAnsi="Arial" w:cs="Arial"/>
            <w:lang w:val="en-SG"/>
          </w:rPr>
          <w:t>https://doi.org/10.3390/ijerph20054123</w:t>
        </w:r>
      </w:hyperlink>
    </w:p>
    <w:p w14:paraId="5F1B14AB" w14:textId="77777777" w:rsidR="00C81E9B" w:rsidRPr="00461DF1" w:rsidRDefault="00C81E9B" w:rsidP="00C81E9B">
      <w:pPr>
        <w:widowControl/>
        <w:autoSpaceDE/>
        <w:autoSpaceDN/>
        <w:rPr>
          <w:rFonts w:ascii="Arial" w:eastAsia="MS Mincho" w:hAnsi="Arial" w:cs="Arial"/>
        </w:rPr>
      </w:pPr>
    </w:p>
    <w:p w14:paraId="2CF4D677"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Mohd, R., et al. (2023). Ethical dilemmas and emotional challenges in counseling. </w:t>
      </w:r>
    </w:p>
    <w:p w14:paraId="47D44DC0"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i/>
          <w:iCs/>
        </w:rPr>
        <w:t>Counseling Ethics Journal, 12</w:t>
      </w:r>
      <w:r w:rsidRPr="00461DF1">
        <w:rPr>
          <w:rFonts w:ascii="Arial" w:eastAsia="MS Mincho" w:hAnsi="Arial" w:cs="Arial"/>
        </w:rPr>
        <w:t>(1), 55–70.</w:t>
      </w:r>
    </w:p>
    <w:p w14:paraId="36B79345" w14:textId="77777777" w:rsidR="00C81E9B" w:rsidRPr="00461DF1" w:rsidRDefault="00C81E9B" w:rsidP="00C81E9B">
      <w:pPr>
        <w:widowControl/>
        <w:autoSpaceDE/>
        <w:autoSpaceDN/>
        <w:ind w:firstLine="720"/>
        <w:rPr>
          <w:rFonts w:ascii="Arial" w:eastAsia="MS Mincho" w:hAnsi="Arial" w:cs="Arial"/>
        </w:rPr>
      </w:pPr>
    </w:p>
    <w:p w14:paraId="3B9993B6" w14:textId="77777777" w:rsidR="00C81E9B" w:rsidRDefault="00C81E9B" w:rsidP="00C81E9B">
      <w:pPr>
        <w:widowControl/>
        <w:autoSpaceDE/>
        <w:autoSpaceDN/>
        <w:rPr>
          <w:rFonts w:ascii="Arial" w:eastAsia="MS Mincho" w:hAnsi="Arial" w:cs="Arial"/>
          <w:i/>
          <w:iCs/>
        </w:rPr>
      </w:pPr>
      <w:r w:rsidRPr="00461DF1">
        <w:rPr>
          <w:rFonts w:ascii="Arial" w:eastAsia="MS Mincho" w:hAnsi="Arial" w:cs="Arial"/>
        </w:rPr>
        <w:t xml:space="preserve">Mullen, P. R. (2018). Emotional labor and burnout among counselors. </w:t>
      </w:r>
      <w:r w:rsidRPr="00461DF1">
        <w:rPr>
          <w:rFonts w:ascii="Arial" w:eastAsia="MS Mincho" w:hAnsi="Arial" w:cs="Arial"/>
          <w:i/>
          <w:iCs/>
        </w:rPr>
        <w:t xml:space="preserve">Journal of </w:t>
      </w:r>
    </w:p>
    <w:p w14:paraId="0DC47833"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i/>
          <w:iCs/>
        </w:rPr>
        <w:t>Counseling &amp; Development, 96</w:t>
      </w:r>
      <w:r w:rsidRPr="00461DF1">
        <w:rPr>
          <w:rFonts w:ascii="Arial" w:eastAsia="MS Mincho" w:hAnsi="Arial" w:cs="Arial"/>
        </w:rPr>
        <w:t>(3), 258–267.</w:t>
      </w:r>
    </w:p>
    <w:p w14:paraId="4543F027" w14:textId="77777777" w:rsidR="00C81E9B" w:rsidRPr="00461DF1" w:rsidRDefault="00C81E9B" w:rsidP="00C81E9B">
      <w:pPr>
        <w:widowControl/>
        <w:autoSpaceDE/>
        <w:autoSpaceDN/>
        <w:rPr>
          <w:rFonts w:ascii="Arial" w:eastAsia="MS Mincho" w:hAnsi="Arial" w:cs="Arial"/>
        </w:rPr>
      </w:pPr>
    </w:p>
    <w:p w14:paraId="5A60E7C6"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Mohd Hafiz, N. H., Zakaria, M. Z., Wan Razali, W. M. F. A., Mohd Sukor, N., Abdul </w:t>
      </w:r>
    </w:p>
    <w:p w14:paraId="52A88E71"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Mutalib, M. M., &amp; Othman, M. F. (2023). Unconditional Acceptance in Crisis </w:t>
      </w:r>
    </w:p>
    <w:p w14:paraId="276D5407"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Work Based on the Lived Experience of Malaysian Counselors. International </w:t>
      </w:r>
    </w:p>
    <w:p w14:paraId="283D5541"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Journal of Education, Psychology and Counseling, 8 (51), 265-277.</w:t>
      </w:r>
    </w:p>
    <w:p w14:paraId="53FC67BE" w14:textId="77777777" w:rsidR="00C81E9B" w:rsidRPr="00461DF1" w:rsidRDefault="00C81E9B" w:rsidP="00C81E9B">
      <w:pPr>
        <w:widowControl/>
        <w:autoSpaceDE/>
        <w:autoSpaceDN/>
        <w:rPr>
          <w:rFonts w:ascii="Arial" w:eastAsia="MS Mincho" w:hAnsi="Arial" w:cs="Arial"/>
        </w:rPr>
      </w:pPr>
    </w:p>
    <w:p w14:paraId="1524C8A8"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Mullen, P., Blount, A., &amp; Lambie, G. &amp; Chae, N. (2018). School Counselors’ </w:t>
      </w:r>
    </w:p>
    <w:p w14:paraId="3F328656"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Perceived Stress, Burnout, and Job Satisfaction. Professional School </w:t>
      </w:r>
    </w:p>
    <w:p w14:paraId="105858A7" w14:textId="77777777" w:rsidR="00C81E9B" w:rsidRPr="00461DF1" w:rsidRDefault="00C81E9B" w:rsidP="00C81E9B">
      <w:pPr>
        <w:widowControl/>
        <w:autoSpaceDE/>
        <w:autoSpaceDN/>
        <w:ind w:left="720"/>
        <w:rPr>
          <w:rFonts w:ascii="Arial" w:eastAsia="MS Mincho" w:hAnsi="Arial" w:cs="Arial"/>
        </w:rPr>
      </w:pPr>
      <w:r w:rsidRPr="00461DF1">
        <w:rPr>
          <w:rFonts w:ascii="Arial" w:eastAsia="MS Mincho" w:hAnsi="Arial" w:cs="Arial"/>
        </w:rPr>
        <w:t>Counseling. 21.</w:t>
      </w:r>
      <w:r>
        <w:rPr>
          <w:rFonts w:ascii="Arial" w:eastAsia="MS Mincho" w:hAnsi="Arial" w:cs="Arial"/>
        </w:rPr>
        <w:t xml:space="preserve"> </w:t>
      </w:r>
      <w:r w:rsidRPr="00461DF1">
        <w:rPr>
          <w:rFonts w:ascii="Arial" w:eastAsia="MS Mincho" w:hAnsi="Arial" w:cs="Arial"/>
        </w:rPr>
        <w:t>2156759X1878246. 10.1177/2156759X18782468.</w:t>
      </w:r>
    </w:p>
    <w:p w14:paraId="284DB61E" w14:textId="77777777" w:rsidR="00C81E9B" w:rsidRPr="00461DF1" w:rsidRDefault="00C81E9B" w:rsidP="00C81E9B">
      <w:pPr>
        <w:widowControl/>
        <w:autoSpaceDE/>
        <w:autoSpaceDN/>
        <w:rPr>
          <w:rFonts w:ascii="Arial" w:eastAsia="MS Mincho" w:hAnsi="Arial" w:cs="Arial"/>
        </w:rPr>
      </w:pPr>
    </w:p>
    <w:p w14:paraId="48506042"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Nas, C., Çelik, B., &amp; Esen, R. (2025</w:t>
      </w:r>
      <w:r>
        <w:rPr>
          <w:rFonts w:ascii="Arial" w:eastAsia="MS Mincho" w:hAnsi="Arial" w:cs="Arial"/>
        </w:rPr>
        <w:t>a</w:t>
      </w:r>
      <w:r w:rsidRPr="00461DF1">
        <w:rPr>
          <w:rFonts w:ascii="Arial" w:eastAsia="MS Mincho" w:hAnsi="Arial" w:cs="Arial"/>
        </w:rPr>
        <w:t xml:space="preserve">). The mediating role of self-compassion in the </w:t>
      </w:r>
    </w:p>
    <w:p w14:paraId="4E89A921"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relationship between empathy, stress, and burnout among counselors. </w:t>
      </w:r>
    </w:p>
    <w:p w14:paraId="122A3913"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Scientific Reports, 15, 15732. https://doi.org/10.1038/s41598-025-15732-z</w:t>
      </w:r>
    </w:p>
    <w:p w14:paraId="78DC3875" w14:textId="77777777" w:rsidR="00C81E9B" w:rsidRPr="00461DF1" w:rsidRDefault="00C81E9B" w:rsidP="00C81E9B">
      <w:pPr>
        <w:widowControl/>
        <w:autoSpaceDE/>
        <w:autoSpaceDN/>
        <w:rPr>
          <w:rFonts w:ascii="Arial" w:eastAsia="MS Mincho" w:hAnsi="Arial" w:cs="Arial"/>
        </w:rPr>
      </w:pPr>
    </w:p>
    <w:p w14:paraId="336EE74D" w14:textId="77777777" w:rsidR="00C81E9B" w:rsidRDefault="00C81E9B" w:rsidP="00C81E9B">
      <w:pPr>
        <w:widowControl/>
        <w:autoSpaceDE/>
        <w:autoSpaceDN/>
        <w:rPr>
          <w:rFonts w:ascii="Arial" w:eastAsia="MS Mincho" w:hAnsi="Arial" w:cs="Arial"/>
          <w:i/>
          <w:iCs/>
        </w:rPr>
      </w:pPr>
      <w:r w:rsidRPr="00461DF1">
        <w:rPr>
          <w:rFonts w:ascii="Arial" w:eastAsia="MS Mincho" w:hAnsi="Arial" w:cs="Arial"/>
        </w:rPr>
        <w:t>Nas, K. (2025</w:t>
      </w:r>
      <w:r>
        <w:rPr>
          <w:rFonts w:ascii="Arial" w:eastAsia="MS Mincho" w:hAnsi="Arial" w:cs="Arial"/>
        </w:rPr>
        <w:t>b</w:t>
      </w:r>
      <w:r w:rsidRPr="00461DF1">
        <w:rPr>
          <w:rFonts w:ascii="Arial" w:eastAsia="MS Mincho" w:hAnsi="Arial" w:cs="Arial"/>
        </w:rPr>
        <w:t xml:space="preserve">). The moderating role of self-compassion in counselor burnout. </w:t>
      </w:r>
      <w:r w:rsidRPr="00461DF1">
        <w:rPr>
          <w:rFonts w:ascii="Arial" w:eastAsia="MS Mincho" w:hAnsi="Arial" w:cs="Arial"/>
          <w:i/>
          <w:iCs/>
        </w:rPr>
        <w:t xml:space="preserve">Journal </w:t>
      </w:r>
    </w:p>
    <w:p w14:paraId="40AC461F"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i/>
          <w:iCs/>
        </w:rPr>
        <w:t>of Counseling Research</w:t>
      </w:r>
      <w:r w:rsidRPr="00461DF1">
        <w:rPr>
          <w:rFonts w:ascii="Arial" w:eastAsia="MS Mincho" w:hAnsi="Arial" w:cs="Arial"/>
        </w:rPr>
        <w:t>. Advance online publication.</w:t>
      </w:r>
    </w:p>
    <w:p w14:paraId="2C0AE23D" w14:textId="77777777" w:rsidR="00C81E9B" w:rsidRDefault="00C81E9B" w:rsidP="00C81E9B">
      <w:pPr>
        <w:widowControl/>
        <w:autoSpaceDE/>
        <w:autoSpaceDN/>
        <w:rPr>
          <w:rFonts w:ascii="Arial" w:eastAsia="MS Mincho" w:hAnsi="Arial" w:cs="Arial"/>
        </w:rPr>
      </w:pPr>
    </w:p>
    <w:p w14:paraId="389602DF"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National Commission for the Protection of Human Subjects of Biomedical and </w:t>
      </w:r>
    </w:p>
    <w:p w14:paraId="6DF8EE24"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Behavioral Research. (1979). The Belmont report: Ethical principles and </w:t>
      </w:r>
    </w:p>
    <w:p w14:paraId="01D4BFB6"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guidelines for the protection of human subjects of research. U.S. Department </w:t>
      </w:r>
    </w:p>
    <w:p w14:paraId="59CB5A7E"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of Health, Education, and Welfare.</w:t>
      </w:r>
    </w:p>
    <w:p w14:paraId="695B8883" w14:textId="77777777" w:rsidR="00C81E9B" w:rsidRPr="00461DF1" w:rsidRDefault="00C81E9B" w:rsidP="00C81E9B">
      <w:pPr>
        <w:widowControl/>
        <w:autoSpaceDE/>
        <w:autoSpaceDN/>
        <w:rPr>
          <w:rFonts w:ascii="Arial" w:eastAsia="MS Mincho" w:hAnsi="Arial" w:cs="Arial"/>
        </w:rPr>
      </w:pPr>
    </w:p>
    <w:p w14:paraId="7790FA47"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Neff, K.D. (2022). https://www.theatlantic.com/health/archive/2016/05/why- self-</w:t>
      </w:r>
    </w:p>
    <w:p w14:paraId="0FDE7D31"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compassion-works-better-than-self-esteem/481473/</w:t>
      </w:r>
    </w:p>
    <w:p w14:paraId="65757CF7" w14:textId="77777777" w:rsidR="00C81E9B" w:rsidRDefault="00C81E9B" w:rsidP="00C81E9B">
      <w:pPr>
        <w:widowControl/>
        <w:autoSpaceDE/>
        <w:autoSpaceDN/>
        <w:rPr>
          <w:rFonts w:ascii="Arial" w:eastAsia="MS Mincho" w:hAnsi="Arial" w:cs="Arial"/>
        </w:rPr>
      </w:pPr>
    </w:p>
    <w:p w14:paraId="67480A76"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Neff, K. D. (2022). </w:t>
      </w:r>
      <w:r w:rsidRPr="00461DF1">
        <w:rPr>
          <w:rFonts w:ascii="Arial" w:eastAsia="MS Mincho" w:hAnsi="Arial" w:cs="Arial"/>
          <w:i/>
          <w:iCs/>
        </w:rPr>
        <w:t>Self-compassion: The proven power of being kind to yourself</w:t>
      </w:r>
      <w:r w:rsidRPr="00461DF1">
        <w:rPr>
          <w:rFonts w:ascii="Arial" w:eastAsia="MS Mincho" w:hAnsi="Arial" w:cs="Arial"/>
        </w:rPr>
        <w:t xml:space="preserve"> </w:t>
      </w:r>
    </w:p>
    <w:p w14:paraId="51C63EF0"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(Updated ed.). William Morrow.</w:t>
      </w:r>
    </w:p>
    <w:p w14:paraId="3D695082" w14:textId="77777777" w:rsidR="00C81E9B" w:rsidRPr="00461DF1" w:rsidRDefault="00C81E9B" w:rsidP="00C81E9B">
      <w:pPr>
        <w:widowControl/>
        <w:autoSpaceDE/>
        <w:autoSpaceDN/>
        <w:rPr>
          <w:rFonts w:ascii="Arial" w:eastAsia="MS Mincho" w:hAnsi="Arial" w:cs="Arial"/>
        </w:rPr>
      </w:pPr>
    </w:p>
    <w:p w14:paraId="0C426478"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Neff, K. D. (2023). Self-Compassion: Theory, Method, Research, and Intervention.</w:t>
      </w:r>
    </w:p>
    <w:p w14:paraId="6A150FE1" w14:textId="77777777" w:rsidR="00C81E9B" w:rsidRPr="00EA664F" w:rsidRDefault="00C81E9B" w:rsidP="00C81E9B">
      <w:pPr>
        <w:widowControl/>
        <w:autoSpaceDE/>
        <w:autoSpaceDN/>
        <w:rPr>
          <w:rFonts w:ascii="Arial" w:eastAsia="MS Mincho" w:hAnsi="Arial" w:cs="Arial"/>
        </w:rPr>
      </w:pPr>
      <w:r>
        <w:rPr>
          <w:rFonts w:ascii="Arial" w:eastAsia="MS Mincho" w:hAnsi="Arial" w:cs="Arial"/>
        </w:rPr>
        <w:tab/>
      </w:r>
      <w:r w:rsidRPr="00461DF1">
        <w:rPr>
          <w:rFonts w:ascii="Arial" w:eastAsia="MS Mincho" w:hAnsi="Arial" w:cs="Arial"/>
        </w:rPr>
        <w:t xml:space="preserve">Annual Review of Psychology, 74, 193–218. </w:t>
      </w:r>
      <w:hyperlink r:id="rId52" w:history="1">
        <w:r w:rsidRPr="00461DF1">
          <w:rPr>
            <w:rStyle w:val="Hyperlink"/>
            <w:rFonts w:ascii="Arial" w:eastAsia="MS Mincho" w:hAnsi="Arial" w:cs="Arial"/>
            <w:color w:val="auto"/>
            <w:u w:val="none"/>
          </w:rPr>
          <w:t>https://doi.org/10.1146/annurev-</w:t>
        </w:r>
      </w:hyperlink>
    </w:p>
    <w:p w14:paraId="450F2519"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psych-032420-031047</w:t>
      </w:r>
    </w:p>
    <w:p w14:paraId="710EFB4F" w14:textId="77777777" w:rsidR="00C81E9B" w:rsidRPr="00461DF1" w:rsidRDefault="00C81E9B" w:rsidP="00C81E9B">
      <w:pPr>
        <w:widowControl/>
        <w:autoSpaceDE/>
        <w:autoSpaceDN/>
        <w:rPr>
          <w:rFonts w:ascii="Arial" w:eastAsia="MS Mincho" w:hAnsi="Arial" w:cs="Arial"/>
        </w:rPr>
      </w:pPr>
    </w:p>
    <w:p w14:paraId="66CBED9F" w14:textId="77777777" w:rsidR="00C81E9B" w:rsidRDefault="00C81E9B" w:rsidP="00C81E9B">
      <w:pPr>
        <w:widowControl/>
        <w:autoSpaceDE/>
        <w:autoSpaceDN/>
        <w:rPr>
          <w:rFonts w:ascii="Arial" w:eastAsia="MS Mincho" w:hAnsi="Arial" w:cs="Arial"/>
          <w:i/>
          <w:iCs/>
        </w:rPr>
      </w:pPr>
      <w:r w:rsidRPr="00461DF1">
        <w:rPr>
          <w:rFonts w:ascii="Arial" w:eastAsia="MS Mincho" w:hAnsi="Arial" w:cs="Arial"/>
        </w:rPr>
        <w:t xml:space="preserve">Neff, K. D., &amp; Germer, C. K. (2018). The mindful self-compassion program. </w:t>
      </w:r>
      <w:r w:rsidRPr="00461DF1">
        <w:rPr>
          <w:rFonts w:ascii="Arial" w:eastAsia="MS Mincho" w:hAnsi="Arial" w:cs="Arial"/>
          <w:i/>
          <w:iCs/>
        </w:rPr>
        <w:t xml:space="preserve">Journal of </w:t>
      </w:r>
    </w:p>
    <w:p w14:paraId="3867EA91"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i/>
          <w:iCs/>
        </w:rPr>
        <w:t>Clinical Psychology, 74</w:t>
      </w:r>
      <w:r w:rsidRPr="00461DF1">
        <w:rPr>
          <w:rFonts w:ascii="Arial" w:eastAsia="MS Mincho" w:hAnsi="Arial" w:cs="Arial"/>
        </w:rPr>
        <w:t>(11), 1877–1889.</w:t>
      </w:r>
    </w:p>
    <w:p w14:paraId="059E958B" w14:textId="77777777" w:rsidR="00C81E9B" w:rsidRPr="00461DF1" w:rsidRDefault="00C81E9B" w:rsidP="00C81E9B">
      <w:pPr>
        <w:widowControl/>
        <w:autoSpaceDE/>
        <w:autoSpaceDN/>
        <w:ind w:firstLine="720"/>
        <w:rPr>
          <w:rFonts w:ascii="Arial" w:eastAsia="MS Mincho" w:hAnsi="Arial" w:cs="Arial"/>
        </w:rPr>
      </w:pPr>
    </w:p>
    <w:p w14:paraId="2FDBB94F" w14:textId="77777777" w:rsidR="00C81E9B" w:rsidRPr="00461DF1" w:rsidRDefault="00C81E9B" w:rsidP="00C81E9B">
      <w:pPr>
        <w:widowControl/>
        <w:autoSpaceDE/>
        <w:autoSpaceDN/>
        <w:rPr>
          <w:rFonts w:ascii="Arial" w:eastAsia="MS Mincho" w:hAnsi="Arial" w:cs="Arial"/>
        </w:rPr>
      </w:pPr>
    </w:p>
    <w:p w14:paraId="1B60CDF0" w14:textId="77777777" w:rsidR="00C81E9B" w:rsidRDefault="00C81E9B" w:rsidP="00C81E9B">
      <w:pPr>
        <w:widowControl/>
        <w:autoSpaceDE/>
        <w:autoSpaceDN/>
        <w:rPr>
          <w:rFonts w:ascii="Arial" w:eastAsia="MS Mincho" w:hAnsi="Arial" w:cs="Arial"/>
          <w:i/>
          <w:iCs/>
        </w:rPr>
      </w:pPr>
      <w:r w:rsidRPr="00461DF1">
        <w:rPr>
          <w:rFonts w:ascii="Arial" w:eastAsia="MS Mincho" w:hAnsi="Arial" w:cs="Arial"/>
        </w:rPr>
        <w:t xml:space="preserve">Nienhuis, J. B. (2018). Therapist authenticity and alliance outcomes. </w:t>
      </w:r>
      <w:r w:rsidRPr="00461DF1">
        <w:rPr>
          <w:rFonts w:ascii="Arial" w:eastAsia="MS Mincho" w:hAnsi="Arial" w:cs="Arial"/>
          <w:i/>
          <w:iCs/>
        </w:rPr>
        <w:t xml:space="preserve">Psychotherapy </w:t>
      </w:r>
    </w:p>
    <w:p w14:paraId="6BC9398A"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i/>
          <w:iCs/>
        </w:rPr>
        <w:t>Research, 28</w:t>
      </w:r>
      <w:r w:rsidRPr="00461DF1">
        <w:rPr>
          <w:rFonts w:ascii="Arial" w:eastAsia="MS Mincho" w:hAnsi="Arial" w:cs="Arial"/>
        </w:rPr>
        <w:t>(3), 438–450.</w:t>
      </w:r>
    </w:p>
    <w:p w14:paraId="21B15CAB" w14:textId="77777777" w:rsidR="00C81E9B" w:rsidRPr="00461DF1" w:rsidRDefault="00C81E9B" w:rsidP="00C81E9B">
      <w:pPr>
        <w:widowControl/>
        <w:autoSpaceDE/>
        <w:autoSpaceDN/>
        <w:rPr>
          <w:rFonts w:ascii="Arial" w:eastAsia="MS Mincho" w:hAnsi="Arial" w:cs="Arial"/>
        </w:rPr>
      </w:pPr>
    </w:p>
    <w:p w14:paraId="2C3CD793"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Norcross, J. C., &amp; Lambert, M. J. (2019). Psychotherapy relationships that work: </w:t>
      </w:r>
    </w:p>
    <w:p w14:paraId="3526F8DF"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Evidence-based therapist contributions. </w:t>
      </w:r>
      <w:r w:rsidRPr="00461DF1">
        <w:rPr>
          <w:rFonts w:ascii="Arial" w:eastAsia="MS Mincho" w:hAnsi="Arial" w:cs="Arial"/>
          <w:i/>
          <w:iCs/>
        </w:rPr>
        <w:t>Oxford University Press</w:t>
      </w:r>
      <w:r w:rsidRPr="00461DF1">
        <w:rPr>
          <w:rFonts w:ascii="Arial" w:eastAsia="MS Mincho" w:hAnsi="Arial" w:cs="Arial"/>
        </w:rPr>
        <w:t>.</w:t>
      </w:r>
    </w:p>
    <w:p w14:paraId="33264E04" w14:textId="77777777" w:rsidR="00C81E9B" w:rsidRPr="00461DF1" w:rsidRDefault="00C81E9B" w:rsidP="00C81E9B">
      <w:pPr>
        <w:widowControl/>
        <w:autoSpaceDE/>
        <w:autoSpaceDN/>
        <w:rPr>
          <w:rFonts w:ascii="Arial" w:eastAsia="MS Mincho" w:hAnsi="Arial" w:cs="Arial"/>
          <w:lang w:val="en-SG"/>
        </w:rPr>
      </w:pPr>
    </w:p>
    <w:p w14:paraId="5F8BC279"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Norcross, J. C., &amp; Wampold, B. E. (2011). Evidence-based therapy relationships. </w:t>
      </w:r>
    </w:p>
    <w:p w14:paraId="0FB07FB1"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i/>
          <w:iCs/>
        </w:rPr>
        <w:t>Psychotherapy, 48</w:t>
      </w:r>
      <w:r w:rsidRPr="00461DF1">
        <w:rPr>
          <w:rFonts w:ascii="Arial" w:eastAsia="MS Mincho" w:hAnsi="Arial" w:cs="Arial"/>
        </w:rPr>
        <w:t>(1), 98–102.</w:t>
      </w:r>
    </w:p>
    <w:p w14:paraId="011F53B7" w14:textId="77777777" w:rsidR="00C81E9B" w:rsidRDefault="00C81E9B" w:rsidP="00C81E9B">
      <w:pPr>
        <w:widowControl/>
        <w:autoSpaceDE/>
        <w:autoSpaceDN/>
        <w:rPr>
          <w:rFonts w:ascii="Arial" w:eastAsiaTheme="minorHAnsi" w:hAnsi="Arial" w:cs="Arial"/>
          <w:kern w:val="2"/>
          <w:lang w:val="en-SG"/>
          <w14:ligatures w14:val="standardContextual"/>
        </w:rPr>
      </w:pPr>
    </w:p>
    <w:p w14:paraId="29DB3F9D" w14:textId="77777777" w:rsidR="00C81E9B" w:rsidRDefault="00C81E9B" w:rsidP="00C81E9B">
      <w:pPr>
        <w:widowControl/>
        <w:autoSpaceDE/>
        <w:autoSpaceDN/>
        <w:rPr>
          <w:rFonts w:ascii="Arial" w:eastAsiaTheme="minorHAnsi" w:hAnsi="Arial" w:cs="Arial"/>
          <w:i/>
          <w:iCs/>
          <w:kern w:val="2"/>
          <w:lang w:val="en-SG"/>
          <w14:ligatures w14:val="standardContextual"/>
        </w:rPr>
      </w:pPr>
      <w:r w:rsidRPr="005055A4">
        <w:rPr>
          <w:rFonts w:ascii="Arial" w:eastAsiaTheme="minorHAnsi" w:hAnsi="Arial" w:cs="Arial"/>
          <w:kern w:val="2"/>
          <w:lang w:val="en-SG"/>
          <w14:ligatures w14:val="standardContextual"/>
        </w:rPr>
        <w:t>Harling,</w:t>
      </w:r>
      <w:r w:rsidRPr="00C40661">
        <w:rPr>
          <w:rFonts w:ascii="Arial" w:eastAsiaTheme="minorHAnsi" w:hAnsi="Arial" w:cs="Arial"/>
          <w:kern w:val="2"/>
          <w:lang w:val="en-SG"/>
          <w14:ligatures w14:val="standardContextual"/>
        </w:rPr>
        <w:t xml:space="preserve"> M., (2020). </w:t>
      </w:r>
      <w:r w:rsidRPr="00C40661">
        <w:rPr>
          <w:rFonts w:ascii="Arial" w:eastAsiaTheme="minorHAnsi" w:hAnsi="Arial" w:cs="Arial"/>
          <w:i/>
          <w:iCs/>
          <w:kern w:val="2"/>
          <w:lang w:val="en-SG"/>
          <w14:ligatures w14:val="standardContextual"/>
        </w:rPr>
        <w:t xml:space="preserve">Clinical psychologists’ experiences of compassion </w:t>
      </w:r>
    </w:p>
    <w:p w14:paraId="5B244359" w14:textId="77777777" w:rsidR="00C81E9B" w:rsidRPr="00C40661" w:rsidRDefault="00C81E9B" w:rsidP="00C81E9B">
      <w:pPr>
        <w:widowControl/>
        <w:autoSpaceDE/>
        <w:autoSpaceDN/>
        <w:ind w:firstLine="720"/>
        <w:rPr>
          <w:rFonts w:ascii="Arial" w:eastAsiaTheme="minorHAnsi" w:hAnsi="Arial" w:cs="Arial"/>
          <w:kern w:val="2"/>
          <w:lang w:val="en-SG"/>
          <w14:ligatures w14:val="standardContextual"/>
        </w:rPr>
      </w:pPr>
      <w:r w:rsidRPr="00C40661">
        <w:rPr>
          <w:rFonts w:ascii="Arial" w:eastAsiaTheme="minorHAnsi" w:hAnsi="Arial" w:cs="Arial"/>
          <w:i/>
          <w:iCs/>
          <w:kern w:val="2"/>
          <w:lang w:val="en-SG"/>
          <w14:ligatures w14:val="standardContextual"/>
        </w:rPr>
        <w:t>fatigue: A qualitative study</w:t>
      </w:r>
      <w:r w:rsidRPr="00C40661">
        <w:rPr>
          <w:rFonts w:ascii="Arial" w:eastAsiaTheme="minorHAnsi" w:hAnsi="Arial" w:cs="Arial"/>
          <w:kern w:val="2"/>
          <w:lang w:val="en-SG"/>
          <w14:ligatures w14:val="standardContextual"/>
        </w:rPr>
        <w:t>.</w:t>
      </w:r>
    </w:p>
    <w:p w14:paraId="1938A675" w14:textId="77777777" w:rsidR="00C81E9B" w:rsidRPr="00461DF1" w:rsidRDefault="00C81E9B" w:rsidP="00C81E9B">
      <w:pPr>
        <w:widowControl/>
        <w:autoSpaceDE/>
        <w:autoSpaceDN/>
        <w:rPr>
          <w:rFonts w:ascii="Arial" w:eastAsia="MS Mincho" w:hAnsi="Arial" w:cs="Arial"/>
        </w:rPr>
      </w:pPr>
    </w:p>
    <w:p w14:paraId="2D568EB4" w14:textId="77777777" w:rsidR="00C81E9B" w:rsidRDefault="00C81E9B" w:rsidP="00C81E9B">
      <w:pPr>
        <w:widowControl/>
        <w:autoSpaceDE/>
        <w:autoSpaceDN/>
        <w:rPr>
          <w:rFonts w:ascii="Arial" w:eastAsiaTheme="minorHAnsi" w:hAnsi="Arial" w:cs="Arial"/>
          <w:i/>
          <w:iCs/>
          <w:kern w:val="2"/>
          <w:lang w:val="en-SG"/>
          <w14:ligatures w14:val="standardContextual"/>
        </w:rPr>
      </w:pPr>
      <w:r w:rsidRPr="00C40661">
        <w:rPr>
          <w:rFonts w:ascii="Arial" w:eastAsiaTheme="minorHAnsi" w:hAnsi="Arial" w:cs="Arial"/>
          <w:kern w:val="2"/>
          <w:lang w:val="en-SG"/>
          <w14:ligatures w14:val="standardContextual"/>
        </w:rPr>
        <w:t xml:space="preserve">Nunes, A., et al. (2021). </w:t>
      </w:r>
      <w:r w:rsidRPr="00C40661">
        <w:rPr>
          <w:rFonts w:ascii="Arial" w:eastAsiaTheme="minorHAnsi" w:hAnsi="Arial" w:cs="Arial"/>
          <w:i/>
          <w:iCs/>
          <w:kern w:val="2"/>
          <w:lang w:val="en-SG"/>
          <w14:ligatures w14:val="standardContextual"/>
        </w:rPr>
        <w:t xml:space="preserve">Mental health and psychosocial interventions in educational </w:t>
      </w:r>
    </w:p>
    <w:p w14:paraId="6CAD4BB5" w14:textId="77777777" w:rsidR="00C81E9B" w:rsidRDefault="00C81E9B" w:rsidP="00C81E9B">
      <w:pPr>
        <w:widowControl/>
        <w:autoSpaceDE/>
        <w:autoSpaceDN/>
        <w:ind w:firstLine="720"/>
        <w:rPr>
          <w:rFonts w:ascii="Arial" w:eastAsiaTheme="minorHAnsi" w:hAnsi="Arial" w:cs="Arial"/>
          <w:kern w:val="2"/>
          <w:lang w:val="en-SG"/>
          <w14:ligatures w14:val="standardContextual"/>
        </w:rPr>
      </w:pPr>
      <w:r w:rsidRPr="00C40661">
        <w:rPr>
          <w:rFonts w:ascii="Arial" w:eastAsiaTheme="minorHAnsi" w:hAnsi="Arial" w:cs="Arial"/>
          <w:i/>
          <w:iCs/>
          <w:kern w:val="2"/>
          <w:lang w:val="en-SG"/>
          <w14:ligatures w14:val="standardContextual"/>
        </w:rPr>
        <w:t>settings: A systematic review</w:t>
      </w:r>
      <w:r w:rsidRPr="00C40661">
        <w:rPr>
          <w:rFonts w:ascii="Arial" w:eastAsiaTheme="minorHAnsi" w:hAnsi="Arial" w:cs="Arial"/>
          <w:kern w:val="2"/>
          <w:lang w:val="en-SG"/>
          <w14:ligatures w14:val="standardContextual"/>
        </w:rPr>
        <w:t>. Frontiers in Psychology, 12, 694.</w:t>
      </w:r>
    </w:p>
    <w:p w14:paraId="4F3E410F" w14:textId="77777777" w:rsidR="00C81E9B" w:rsidRPr="00C40661" w:rsidRDefault="00C81E9B" w:rsidP="00C81E9B">
      <w:pPr>
        <w:widowControl/>
        <w:autoSpaceDE/>
        <w:autoSpaceDN/>
        <w:ind w:left="720"/>
        <w:rPr>
          <w:rFonts w:ascii="Arial" w:eastAsiaTheme="minorHAnsi" w:hAnsi="Arial" w:cs="Arial"/>
          <w:kern w:val="2"/>
          <w:lang w:val="en-SG"/>
          <w14:ligatures w14:val="standardContextual"/>
        </w:rPr>
      </w:pPr>
      <w:hyperlink r:id="rId53" w:history="1">
        <w:r w:rsidRPr="00C40661">
          <w:rPr>
            <w:rFonts w:ascii="Arial" w:eastAsiaTheme="minorHAnsi" w:hAnsi="Arial" w:cs="Arial"/>
            <w:kern w:val="2"/>
            <w:lang w:val="en-SG"/>
            <w14:ligatures w14:val="standardContextual"/>
          </w:rPr>
          <w:t>https://doi.org/10.3389/fpsyg.2021.694000</w:t>
        </w:r>
      </w:hyperlink>
    </w:p>
    <w:p w14:paraId="2252C247" w14:textId="77777777" w:rsidR="00C81E9B" w:rsidRDefault="00C81E9B" w:rsidP="00C81E9B">
      <w:pPr>
        <w:widowControl/>
        <w:autoSpaceDE/>
        <w:autoSpaceDN/>
        <w:rPr>
          <w:rFonts w:ascii="Arial" w:eastAsia="MS Mincho" w:hAnsi="Arial" w:cs="Arial"/>
        </w:rPr>
      </w:pPr>
    </w:p>
    <w:p w14:paraId="5BF3F1DC" w14:textId="77777777" w:rsidR="00C81E9B" w:rsidRDefault="00C81E9B" w:rsidP="00C81E9B">
      <w:pPr>
        <w:widowControl/>
        <w:autoSpaceDE/>
        <w:autoSpaceDN/>
        <w:rPr>
          <w:rFonts w:ascii="Arial" w:eastAsia="MS Mincho" w:hAnsi="Arial" w:cs="Arial"/>
        </w:rPr>
      </w:pPr>
      <w:r w:rsidRPr="004734DD">
        <w:rPr>
          <w:rFonts w:ascii="Arial" w:eastAsia="MS Mincho" w:hAnsi="Arial" w:cs="Arial"/>
        </w:rPr>
        <w:t xml:space="preserve">Ondrejková, N., &amp; Halamová, J. (2022). Prevalence of compassion fatigue among </w:t>
      </w:r>
    </w:p>
    <w:p w14:paraId="38927D7B" w14:textId="77777777" w:rsidR="00C81E9B" w:rsidRDefault="00C81E9B" w:rsidP="00C81E9B">
      <w:pPr>
        <w:widowControl/>
        <w:autoSpaceDE/>
        <w:autoSpaceDN/>
        <w:ind w:firstLine="720"/>
        <w:rPr>
          <w:rFonts w:ascii="Arial" w:eastAsia="MS Mincho" w:hAnsi="Arial" w:cs="Arial"/>
        </w:rPr>
      </w:pPr>
      <w:r w:rsidRPr="004734DD">
        <w:rPr>
          <w:rFonts w:ascii="Arial" w:eastAsia="MS Mincho" w:hAnsi="Arial" w:cs="Arial"/>
        </w:rPr>
        <w:t xml:space="preserve">helping professions and relationship to compassion for others, self-compassion, </w:t>
      </w:r>
    </w:p>
    <w:p w14:paraId="66E4BB7C" w14:textId="77777777" w:rsidR="00C81E9B" w:rsidRDefault="00C81E9B" w:rsidP="00C81E9B">
      <w:pPr>
        <w:widowControl/>
        <w:autoSpaceDE/>
        <w:autoSpaceDN/>
        <w:ind w:firstLine="720"/>
        <w:rPr>
          <w:rFonts w:ascii="Arial" w:eastAsia="MS Mincho" w:hAnsi="Arial" w:cs="Arial"/>
        </w:rPr>
      </w:pPr>
      <w:r w:rsidRPr="004734DD">
        <w:rPr>
          <w:rFonts w:ascii="Arial" w:eastAsia="MS Mincho" w:hAnsi="Arial" w:cs="Arial"/>
        </w:rPr>
        <w:t xml:space="preserve">and self-criticism. Health &amp; Social Care in the Community, 30(5), e2903–e2912. </w:t>
      </w:r>
    </w:p>
    <w:p w14:paraId="6FF98226" w14:textId="77777777" w:rsidR="00C81E9B" w:rsidRPr="004734DD" w:rsidRDefault="00C81E9B" w:rsidP="00C81E9B">
      <w:pPr>
        <w:widowControl/>
        <w:autoSpaceDE/>
        <w:autoSpaceDN/>
        <w:ind w:firstLine="720"/>
        <w:rPr>
          <w:rFonts w:ascii="Arial" w:eastAsia="MS Mincho" w:hAnsi="Arial" w:cs="Arial"/>
        </w:rPr>
      </w:pPr>
      <w:hyperlink r:id="rId54" w:history="1">
        <w:r w:rsidRPr="004734DD">
          <w:rPr>
            <w:rStyle w:val="Hyperlink"/>
            <w:rFonts w:ascii="Arial" w:eastAsia="MS Mincho" w:hAnsi="Arial" w:cs="Arial"/>
            <w:color w:val="auto"/>
            <w:u w:val="none"/>
          </w:rPr>
          <w:t>https://doi.org/10.1111/hsc.13741</w:t>
        </w:r>
      </w:hyperlink>
    </w:p>
    <w:p w14:paraId="5202E08B" w14:textId="77777777" w:rsidR="00C81E9B" w:rsidRPr="00461DF1" w:rsidRDefault="00C81E9B" w:rsidP="00C81E9B">
      <w:pPr>
        <w:widowControl/>
        <w:autoSpaceDE/>
        <w:autoSpaceDN/>
        <w:ind w:firstLine="720"/>
        <w:rPr>
          <w:rFonts w:ascii="Arial" w:eastAsia="MS Mincho" w:hAnsi="Arial" w:cs="Arial"/>
        </w:rPr>
      </w:pPr>
    </w:p>
    <w:p w14:paraId="536D0E56" w14:textId="77777777" w:rsidR="00C81E9B" w:rsidRDefault="00C81E9B" w:rsidP="00C81E9B">
      <w:pPr>
        <w:widowControl/>
        <w:autoSpaceDE/>
        <w:autoSpaceDN/>
        <w:rPr>
          <w:rFonts w:ascii="Arial" w:eastAsia="MS Mincho" w:hAnsi="Arial" w:cs="Arial"/>
          <w:lang w:val="en-SG"/>
        </w:rPr>
      </w:pPr>
      <w:r w:rsidRPr="00461DF1">
        <w:rPr>
          <w:rFonts w:ascii="Arial" w:eastAsia="MS Mincho" w:hAnsi="Arial" w:cs="Arial"/>
          <w:lang w:val="en-SG"/>
        </w:rPr>
        <w:t xml:space="preserve">Özden, M. S., &amp; Kaya, A. (2025). The relationship between self-compassion and </w:t>
      </w:r>
    </w:p>
    <w:p w14:paraId="19CBCAEB" w14:textId="77777777" w:rsidR="00C81E9B" w:rsidRDefault="00C81E9B" w:rsidP="00C81E9B">
      <w:pPr>
        <w:widowControl/>
        <w:autoSpaceDE/>
        <w:autoSpaceDN/>
        <w:ind w:firstLine="720"/>
        <w:rPr>
          <w:rFonts w:ascii="Arial" w:eastAsia="MS Mincho" w:hAnsi="Arial" w:cs="Arial"/>
          <w:lang w:val="en-SG"/>
        </w:rPr>
      </w:pPr>
      <w:r w:rsidRPr="00461DF1">
        <w:rPr>
          <w:rFonts w:ascii="Arial" w:eastAsia="MS Mincho" w:hAnsi="Arial" w:cs="Arial"/>
          <w:lang w:val="en-SG"/>
        </w:rPr>
        <w:t xml:space="preserve">compassion fatigue among counselors. </w:t>
      </w:r>
      <w:r w:rsidRPr="00461DF1">
        <w:rPr>
          <w:rFonts w:ascii="Arial" w:eastAsia="MS Mincho" w:hAnsi="Arial" w:cs="Arial"/>
          <w:i/>
          <w:iCs/>
          <w:lang w:val="en-SG"/>
        </w:rPr>
        <w:t>Current Psychology</w:t>
      </w:r>
      <w:r w:rsidRPr="00461DF1">
        <w:rPr>
          <w:rFonts w:ascii="Arial" w:eastAsia="MS Mincho" w:hAnsi="Arial" w:cs="Arial"/>
          <w:lang w:val="en-SG"/>
        </w:rPr>
        <w:t xml:space="preserve">. Advance online </w:t>
      </w:r>
    </w:p>
    <w:p w14:paraId="3A344C66" w14:textId="77777777" w:rsidR="00C81E9B" w:rsidRPr="00461DF1" w:rsidRDefault="00C81E9B" w:rsidP="00C81E9B">
      <w:pPr>
        <w:widowControl/>
        <w:autoSpaceDE/>
        <w:autoSpaceDN/>
        <w:ind w:firstLine="720"/>
        <w:rPr>
          <w:rFonts w:ascii="Arial" w:eastAsia="MS Mincho" w:hAnsi="Arial" w:cs="Arial"/>
          <w:lang w:val="en-SG"/>
        </w:rPr>
      </w:pPr>
      <w:r w:rsidRPr="00461DF1">
        <w:rPr>
          <w:rFonts w:ascii="Arial" w:eastAsia="MS Mincho" w:hAnsi="Arial" w:cs="Arial"/>
          <w:lang w:val="en-SG"/>
        </w:rPr>
        <w:t xml:space="preserve">publication. </w:t>
      </w:r>
      <w:hyperlink r:id="rId55" w:history="1">
        <w:r w:rsidRPr="00461DF1">
          <w:rPr>
            <w:rFonts w:ascii="Arial" w:eastAsia="MS Mincho" w:hAnsi="Arial" w:cs="Arial"/>
            <w:lang w:val="en-SG"/>
          </w:rPr>
          <w:t>https://doi.org/10.1007/s12144-024-05678-9</w:t>
        </w:r>
      </w:hyperlink>
    </w:p>
    <w:p w14:paraId="0363B349" w14:textId="77777777" w:rsidR="00C81E9B" w:rsidRPr="00461DF1" w:rsidRDefault="00C81E9B" w:rsidP="00C81E9B">
      <w:pPr>
        <w:widowControl/>
        <w:autoSpaceDE/>
        <w:autoSpaceDN/>
        <w:rPr>
          <w:rFonts w:ascii="Arial" w:eastAsia="MS Mincho" w:hAnsi="Arial" w:cs="Arial"/>
        </w:rPr>
      </w:pPr>
    </w:p>
    <w:p w14:paraId="22E19CE9"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Özden, M., &amp; Kaya, A. (2025). Self-compassion as a predictor of compassion fatigue </w:t>
      </w:r>
    </w:p>
    <w:p w14:paraId="444D629F"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and satisfaction. </w:t>
      </w:r>
      <w:r w:rsidRPr="00461DF1">
        <w:rPr>
          <w:rFonts w:ascii="Arial" w:eastAsia="MS Mincho" w:hAnsi="Arial" w:cs="Arial"/>
          <w:i/>
          <w:iCs/>
        </w:rPr>
        <w:t>Current Psychology</w:t>
      </w:r>
      <w:r w:rsidRPr="00461DF1">
        <w:rPr>
          <w:rFonts w:ascii="Arial" w:eastAsia="MS Mincho" w:hAnsi="Arial" w:cs="Arial"/>
        </w:rPr>
        <w:t>. Advance online publication.</w:t>
      </w:r>
    </w:p>
    <w:p w14:paraId="67CD4EA4" w14:textId="77777777" w:rsidR="00C81E9B" w:rsidRPr="00461DF1" w:rsidRDefault="00C81E9B" w:rsidP="00C81E9B">
      <w:pPr>
        <w:widowControl/>
        <w:autoSpaceDE/>
        <w:autoSpaceDN/>
        <w:rPr>
          <w:rFonts w:ascii="Arial" w:eastAsia="MS Mincho" w:hAnsi="Arial" w:cs="Arial"/>
        </w:rPr>
      </w:pPr>
    </w:p>
    <w:p w14:paraId="4A4EE476"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Papadimitriou, A., Karakasidou, E., &amp; Stalikas, A. (2023). The Role of Self-</w:t>
      </w:r>
    </w:p>
    <w:p w14:paraId="4F9F5882"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Compassion In the Relationship Between Empathy and Compassion Fatigue </w:t>
      </w:r>
    </w:p>
    <w:p w14:paraId="2F1364AB"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in Counseling Psychologists. The European Journal of Counselling </w:t>
      </w:r>
    </w:p>
    <w:p w14:paraId="1609CE1D"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Psychology.</w:t>
      </w:r>
    </w:p>
    <w:p w14:paraId="1134E7C9" w14:textId="77777777" w:rsidR="00C81E9B" w:rsidRPr="00461DF1" w:rsidRDefault="00C81E9B" w:rsidP="00C81E9B">
      <w:pPr>
        <w:widowControl/>
        <w:autoSpaceDE/>
        <w:autoSpaceDN/>
        <w:rPr>
          <w:rFonts w:ascii="Arial" w:eastAsia="MS Mincho" w:hAnsi="Arial" w:cs="Arial"/>
        </w:rPr>
      </w:pPr>
    </w:p>
    <w:p w14:paraId="35ACB4CE"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Park, S., et al. (2025). Trauma exposure and secondary traumatic stress in helping </w:t>
      </w:r>
    </w:p>
    <w:p w14:paraId="3DA111D0"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professionals. </w:t>
      </w:r>
      <w:r w:rsidRPr="00461DF1">
        <w:rPr>
          <w:rFonts w:ascii="Arial" w:eastAsia="MS Mincho" w:hAnsi="Arial" w:cs="Arial"/>
          <w:i/>
          <w:iCs/>
        </w:rPr>
        <w:t>Journal of Traumatic Stress</w:t>
      </w:r>
      <w:r w:rsidRPr="00461DF1">
        <w:rPr>
          <w:rFonts w:ascii="Arial" w:eastAsia="MS Mincho" w:hAnsi="Arial" w:cs="Arial"/>
        </w:rPr>
        <w:t>. Advance online publication.</w:t>
      </w:r>
    </w:p>
    <w:p w14:paraId="67351D45" w14:textId="77777777" w:rsidR="00C81E9B" w:rsidRPr="00461DF1" w:rsidRDefault="00C81E9B" w:rsidP="00C81E9B">
      <w:pPr>
        <w:widowControl/>
        <w:autoSpaceDE/>
        <w:autoSpaceDN/>
        <w:rPr>
          <w:rFonts w:ascii="Arial" w:eastAsia="MS Mincho" w:hAnsi="Arial" w:cs="Arial"/>
        </w:rPr>
      </w:pPr>
    </w:p>
    <w:p w14:paraId="7BB0CF8E" w14:textId="77777777" w:rsidR="00C81E9B" w:rsidRDefault="00C81E9B" w:rsidP="00C81E9B">
      <w:pPr>
        <w:widowControl/>
        <w:autoSpaceDE/>
        <w:autoSpaceDN/>
        <w:rPr>
          <w:rFonts w:ascii="Arial" w:eastAsiaTheme="minorHAnsi" w:hAnsi="Arial" w:cs="Arial"/>
          <w:i/>
          <w:iCs/>
          <w:kern w:val="2"/>
          <w:lang w:val="en-SG"/>
          <w14:ligatures w14:val="standardContextual"/>
        </w:rPr>
      </w:pPr>
      <w:r w:rsidRPr="00C40661">
        <w:rPr>
          <w:rFonts w:ascii="Arial" w:eastAsiaTheme="minorHAnsi" w:hAnsi="Arial" w:cs="Arial"/>
          <w:kern w:val="2"/>
          <w:lang w:val="en-SG"/>
          <w14:ligatures w14:val="standardContextual"/>
        </w:rPr>
        <w:t xml:space="preserve">Perlman, C. F., &amp; Cáceres-Videla, C. E. (2024). </w:t>
      </w:r>
      <w:r w:rsidRPr="00C40661">
        <w:rPr>
          <w:rFonts w:ascii="Arial" w:eastAsiaTheme="minorHAnsi" w:hAnsi="Arial" w:cs="Arial"/>
          <w:i/>
          <w:iCs/>
          <w:kern w:val="2"/>
          <w:lang w:val="en-SG"/>
          <w14:ligatures w14:val="standardContextual"/>
        </w:rPr>
        <w:t xml:space="preserve">Exploring the impact of genuineness </w:t>
      </w:r>
    </w:p>
    <w:p w14:paraId="49178594" w14:textId="77777777" w:rsidR="00C81E9B" w:rsidRDefault="00C81E9B" w:rsidP="00C81E9B">
      <w:pPr>
        <w:widowControl/>
        <w:autoSpaceDE/>
        <w:autoSpaceDN/>
        <w:ind w:firstLine="720"/>
        <w:rPr>
          <w:rFonts w:ascii="Arial" w:eastAsiaTheme="minorHAnsi" w:hAnsi="Arial" w:cs="Arial"/>
          <w:kern w:val="2"/>
          <w:lang w:val="en-SG"/>
          <w14:ligatures w14:val="standardContextual"/>
        </w:rPr>
      </w:pPr>
      <w:r w:rsidRPr="00C40661">
        <w:rPr>
          <w:rFonts w:ascii="Arial" w:eastAsiaTheme="minorHAnsi" w:hAnsi="Arial" w:cs="Arial"/>
          <w:i/>
          <w:iCs/>
          <w:kern w:val="2"/>
          <w:lang w:val="en-SG"/>
          <w14:ligatures w14:val="standardContextual"/>
        </w:rPr>
        <w:t>in psychotherapy: A self-practice/self-reflection (SP/SR) report</w:t>
      </w:r>
      <w:r w:rsidRPr="00C40661">
        <w:rPr>
          <w:rFonts w:ascii="Arial" w:eastAsiaTheme="minorHAnsi" w:hAnsi="Arial" w:cs="Arial"/>
          <w:kern w:val="2"/>
          <w:lang w:val="en-SG"/>
          <w14:ligatures w14:val="standardContextual"/>
        </w:rPr>
        <w:t xml:space="preserve">. OBM </w:t>
      </w:r>
    </w:p>
    <w:p w14:paraId="266C5682" w14:textId="77777777" w:rsidR="00C81E9B" w:rsidRDefault="00C81E9B" w:rsidP="00C81E9B">
      <w:pPr>
        <w:widowControl/>
        <w:autoSpaceDE/>
        <w:autoSpaceDN/>
        <w:ind w:firstLine="720"/>
        <w:rPr>
          <w:rFonts w:ascii="Arial" w:eastAsiaTheme="minorHAnsi" w:hAnsi="Arial" w:cs="Arial"/>
          <w:kern w:val="2"/>
          <w:lang w:val="en-SG"/>
          <w14:ligatures w14:val="standardContextual"/>
        </w:rPr>
      </w:pPr>
      <w:r w:rsidRPr="00C40661">
        <w:rPr>
          <w:rFonts w:ascii="Arial" w:eastAsiaTheme="minorHAnsi" w:hAnsi="Arial" w:cs="Arial"/>
          <w:kern w:val="2"/>
          <w:lang w:val="en-SG"/>
          <w14:ligatures w14:val="standardContextual"/>
        </w:rPr>
        <w:t>Integrative and Complementary Medicine, 9(3).</w:t>
      </w:r>
    </w:p>
    <w:p w14:paraId="253F879B" w14:textId="77777777" w:rsidR="00C81E9B" w:rsidRPr="00C40661" w:rsidRDefault="00C81E9B" w:rsidP="00C81E9B">
      <w:pPr>
        <w:widowControl/>
        <w:autoSpaceDE/>
        <w:autoSpaceDN/>
        <w:ind w:left="720"/>
        <w:rPr>
          <w:rFonts w:ascii="Arial" w:eastAsiaTheme="minorHAnsi" w:hAnsi="Arial" w:cs="Arial"/>
          <w:kern w:val="2"/>
          <w:lang w:val="en-SG"/>
          <w14:ligatures w14:val="standardContextual"/>
        </w:rPr>
      </w:pPr>
      <w:hyperlink r:id="rId56" w:history="1">
        <w:r w:rsidRPr="00C40661">
          <w:rPr>
            <w:rFonts w:ascii="Arial" w:eastAsiaTheme="minorHAnsi" w:hAnsi="Arial" w:cs="Arial"/>
            <w:kern w:val="2"/>
            <w:lang w:val="en-SG"/>
            <w14:ligatures w14:val="standardContextual"/>
          </w:rPr>
          <w:t>https://doi.org/10.21926/obm.icm.2403046</w:t>
        </w:r>
      </w:hyperlink>
    </w:p>
    <w:p w14:paraId="1141F8A3" w14:textId="77777777" w:rsidR="00C81E9B" w:rsidRPr="00461DF1" w:rsidRDefault="00C81E9B" w:rsidP="00C81E9B">
      <w:pPr>
        <w:widowControl/>
        <w:autoSpaceDE/>
        <w:autoSpaceDN/>
        <w:rPr>
          <w:rFonts w:ascii="Arial" w:eastAsia="MS Mincho" w:hAnsi="Arial" w:cs="Arial"/>
        </w:rPr>
      </w:pPr>
    </w:p>
    <w:p w14:paraId="2AEC48F4"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Psychology Tools. (n.d.). Interpersonal Relationships. Retrieved from </w:t>
      </w:r>
    </w:p>
    <w:p w14:paraId="45B773E9" w14:textId="77777777" w:rsidR="00C81E9B" w:rsidRPr="00EA664F" w:rsidRDefault="00C81E9B" w:rsidP="00C81E9B">
      <w:pPr>
        <w:widowControl/>
        <w:autoSpaceDE/>
        <w:autoSpaceDN/>
        <w:ind w:firstLine="720"/>
        <w:rPr>
          <w:rFonts w:ascii="Arial" w:eastAsia="MS Mincho" w:hAnsi="Arial" w:cs="Arial"/>
        </w:rPr>
      </w:pPr>
      <w:hyperlink r:id="rId57" w:history="1">
        <w:r w:rsidRPr="00461DF1">
          <w:rPr>
            <w:rStyle w:val="Hyperlink"/>
            <w:rFonts w:ascii="Arial" w:eastAsia="MS Mincho" w:hAnsi="Arial" w:cs="Arial"/>
            <w:color w:val="auto"/>
            <w:u w:val="none"/>
          </w:rPr>
          <w:t>https://www.psychologytools.com/professional/problems/interpersonal-</w:t>
        </w:r>
      </w:hyperlink>
      <w:r w:rsidRPr="00461DF1">
        <w:rPr>
          <w:rFonts w:ascii="Arial" w:eastAsia="MS Mincho" w:hAnsi="Arial" w:cs="Arial"/>
        </w:rPr>
        <w:t xml:space="preserve"> </w:t>
      </w:r>
    </w:p>
    <w:p w14:paraId="29E67F1F"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relationships</w:t>
      </w:r>
    </w:p>
    <w:p w14:paraId="0AA79B10" w14:textId="77777777" w:rsidR="00C81E9B" w:rsidRPr="00461DF1" w:rsidRDefault="00C81E9B" w:rsidP="00C81E9B">
      <w:pPr>
        <w:widowControl/>
        <w:autoSpaceDE/>
        <w:autoSpaceDN/>
        <w:rPr>
          <w:rFonts w:ascii="Arial" w:eastAsia="MS Mincho" w:hAnsi="Arial" w:cs="Arial"/>
        </w:rPr>
      </w:pPr>
    </w:p>
    <w:p w14:paraId="5AF45D46"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Quaglia, J. T., et al. (2021). Self-compassion and empathy in counselor well-being. </w:t>
      </w:r>
    </w:p>
    <w:p w14:paraId="6BAB2390"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i/>
          <w:iCs/>
        </w:rPr>
        <w:t>Mindfulness, 12</w:t>
      </w:r>
      <w:r w:rsidRPr="00461DF1">
        <w:rPr>
          <w:rFonts w:ascii="Arial" w:eastAsia="MS Mincho" w:hAnsi="Arial" w:cs="Arial"/>
        </w:rPr>
        <w:t>(7), 1803–1815.</w:t>
      </w:r>
    </w:p>
    <w:p w14:paraId="26CDA762" w14:textId="77777777" w:rsidR="009C013D" w:rsidRPr="00461DF1" w:rsidRDefault="009C013D" w:rsidP="00C81E9B">
      <w:pPr>
        <w:widowControl/>
        <w:autoSpaceDE/>
        <w:autoSpaceDN/>
        <w:ind w:firstLine="720"/>
        <w:rPr>
          <w:rFonts w:ascii="Arial" w:eastAsia="MS Mincho" w:hAnsi="Arial" w:cs="Arial"/>
        </w:rPr>
      </w:pPr>
    </w:p>
    <w:p w14:paraId="1F80430D" w14:textId="77777777" w:rsidR="00C81E9B" w:rsidRDefault="00C81E9B" w:rsidP="00C81E9B">
      <w:pPr>
        <w:widowControl/>
        <w:autoSpaceDE/>
        <w:autoSpaceDN/>
        <w:rPr>
          <w:rFonts w:ascii="Arial" w:eastAsia="MS Mincho" w:hAnsi="Arial" w:cs="Arial"/>
        </w:rPr>
      </w:pPr>
    </w:p>
    <w:p w14:paraId="16990764"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lastRenderedPageBreak/>
        <w:t xml:space="preserve">Quaglia, J. T., Goodman, R. J., Brown, K. W., &amp; Atkins, P. W. B. (2021). </w:t>
      </w:r>
    </w:p>
    <w:p w14:paraId="07BD4D9D"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Compassion, mindfulness, and well-being. </w:t>
      </w:r>
      <w:r w:rsidRPr="00461DF1">
        <w:rPr>
          <w:rFonts w:ascii="Arial" w:eastAsia="MS Mincho" w:hAnsi="Arial" w:cs="Arial"/>
          <w:i/>
          <w:iCs/>
        </w:rPr>
        <w:t>Mindfulness, 12</w:t>
      </w:r>
      <w:r w:rsidRPr="00461DF1">
        <w:rPr>
          <w:rFonts w:ascii="Arial" w:eastAsia="MS Mincho" w:hAnsi="Arial" w:cs="Arial"/>
        </w:rPr>
        <w:t xml:space="preserve">(7), 1803–1815. </w:t>
      </w:r>
    </w:p>
    <w:p w14:paraId="0457420D" w14:textId="77777777" w:rsidR="00C81E9B" w:rsidRDefault="00C81E9B" w:rsidP="00C81E9B">
      <w:pPr>
        <w:widowControl/>
        <w:autoSpaceDE/>
        <w:autoSpaceDN/>
        <w:ind w:firstLine="720"/>
      </w:pPr>
      <w:hyperlink r:id="rId58" w:history="1">
        <w:r w:rsidRPr="00461DF1">
          <w:rPr>
            <w:rStyle w:val="Hyperlink"/>
            <w:rFonts w:ascii="Arial" w:eastAsia="MS Mincho" w:hAnsi="Arial" w:cs="Arial"/>
            <w:color w:val="auto"/>
            <w:u w:val="none"/>
          </w:rPr>
          <w:t>https://doi.org/10.1007/s12671-021-01647-1</w:t>
        </w:r>
      </w:hyperlink>
    </w:p>
    <w:p w14:paraId="69FC20FC" w14:textId="77777777" w:rsidR="009C013D" w:rsidRPr="00461DF1" w:rsidRDefault="009C013D" w:rsidP="00C81E9B">
      <w:pPr>
        <w:widowControl/>
        <w:autoSpaceDE/>
        <w:autoSpaceDN/>
        <w:ind w:firstLine="720"/>
        <w:rPr>
          <w:rFonts w:ascii="Arial" w:eastAsia="MS Mincho" w:hAnsi="Arial" w:cs="Arial"/>
        </w:rPr>
      </w:pPr>
    </w:p>
    <w:p w14:paraId="228DA12D" w14:textId="77777777" w:rsidR="00C81E9B" w:rsidRDefault="00C81E9B" w:rsidP="00C81E9B">
      <w:pPr>
        <w:widowControl/>
        <w:autoSpaceDE/>
        <w:autoSpaceDN/>
        <w:rPr>
          <w:rFonts w:ascii="Arial" w:eastAsiaTheme="minorHAnsi" w:hAnsi="Arial" w:cs="Arial"/>
          <w:kern w:val="2"/>
          <w:lang w:val="en-SG"/>
          <w14:ligatures w14:val="standardContextual"/>
        </w:rPr>
      </w:pPr>
      <w:r w:rsidRPr="00C40661">
        <w:rPr>
          <w:rFonts w:ascii="Arial" w:eastAsiaTheme="minorHAnsi" w:hAnsi="Arial" w:cs="Arial"/>
          <w:kern w:val="2"/>
          <w:lang w:val="en-SG"/>
          <w14:ligatures w14:val="standardContextual"/>
        </w:rPr>
        <w:t xml:space="preserve">Racine, N., McArthur, B. A., Cooke, J. E., Eirich, R., Zhu, J., &amp; Madigan, S. (2021). </w:t>
      </w:r>
    </w:p>
    <w:p w14:paraId="2E6CF485" w14:textId="77777777" w:rsidR="00C81E9B" w:rsidRDefault="00C81E9B" w:rsidP="00C81E9B">
      <w:pPr>
        <w:widowControl/>
        <w:autoSpaceDE/>
        <w:autoSpaceDN/>
        <w:ind w:firstLine="720"/>
        <w:rPr>
          <w:rFonts w:ascii="Arial" w:eastAsiaTheme="minorHAnsi" w:hAnsi="Arial" w:cs="Arial"/>
          <w:i/>
          <w:iCs/>
          <w:kern w:val="2"/>
          <w:lang w:val="en-SG"/>
          <w14:ligatures w14:val="standardContextual"/>
        </w:rPr>
      </w:pPr>
      <w:r w:rsidRPr="00C40661">
        <w:rPr>
          <w:rFonts w:ascii="Arial" w:eastAsiaTheme="minorHAnsi" w:hAnsi="Arial" w:cs="Arial"/>
          <w:i/>
          <w:iCs/>
          <w:kern w:val="2"/>
          <w:lang w:val="en-SG"/>
          <w14:ligatures w14:val="standardContextual"/>
        </w:rPr>
        <w:t xml:space="preserve">Global prevalence of depressive and anxiety symptoms in children and </w:t>
      </w:r>
    </w:p>
    <w:p w14:paraId="24ED5C7F" w14:textId="77777777" w:rsidR="00C81E9B" w:rsidRDefault="00C81E9B" w:rsidP="00C81E9B">
      <w:pPr>
        <w:widowControl/>
        <w:autoSpaceDE/>
        <w:autoSpaceDN/>
        <w:ind w:firstLine="720"/>
        <w:rPr>
          <w:rFonts w:ascii="Arial" w:eastAsiaTheme="minorHAnsi" w:hAnsi="Arial" w:cs="Arial"/>
          <w:kern w:val="2"/>
          <w:lang w:val="en-SG"/>
          <w14:ligatures w14:val="standardContextual"/>
        </w:rPr>
      </w:pPr>
      <w:r w:rsidRPr="00C40661">
        <w:rPr>
          <w:rFonts w:ascii="Arial" w:eastAsiaTheme="minorHAnsi" w:hAnsi="Arial" w:cs="Arial"/>
          <w:i/>
          <w:iCs/>
          <w:kern w:val="2"/>
          <w:lang w:val="en-SG"/>
          <w14:ligatures w14:val="standardContextual"/>
        </w:rPr>
        <w:t>adolescents during COVID-19: A meta-analysis</w:t>
      </w:r>
      <w:r w:rsidRPr="00C40661">
        <w:rPr>
          <w:rFonts w:ascii="Arial" w:eastAsiaTheme="minorHAnsi" w:hAnsi="Arial" w:cs="Arial"/>
          <w:kern w:val="2"/>
          <w:lang w:val="en-SG"/>
          <w14:ligatures w14:val="standardContextual"/>
        </w:rPr>
        <w:t xml:space="preserve">. JAMA Pediatrics, 175(11), </w:t>
      </w:r>
    </w:p>
    <w:p w14:paraId="4102473C" w14:textId="77777777" w:rsidR="00C81E9B" w:rsidRPr="00C40661" w:rsidRDefault="00C81E9B" w:rsidP="00C81E9B">
      <w:pPr>
        <w:widowControl/>
        <w:autoSpaceDE/>
        <w:autoSpaceDN/>
        <w:ind w:firstLine="720"/>
        <w:rPr>
          <w:rFonts w:ascii="Arial" w:eastAsiaTheme="minorHAnsi" w:hAnsi="Arial" w:cs="Arial"/>
          <w:kern w:val="2"/>
          <w:lang w:val="en-SG"/>
          <w14:ligatures w14:val="standardContextual"/>
        </w:rPr>
      </w:pPr>
      <w:r w:rsidRPr="00C40661">
        <w:rPr>
          <w:rFonts w:ascii="Arial" w:eastAsiaTheme="minorHAnsi" w:hAnsi="Arial" w:cs="Arial"/>
          <w:kern w:val="2"/>
          <w:lang w:val="en-SG"/>
          <w14:ligatures w14:val="standardContextual"/>
        </w:rPr>
        <w:t>1142–1150.</w:t>
      </w:r>
      <w:r>
        <w:rPr>
          <w:rFonts w:ascii="Arial" w:eastAsiaTheme="minorHAnsi" w:hAnsi="Arial" w:cs="Arial"/>
          <w:kern w:val="2"/>
          <w:lang w:val="en-SG"/>
          <w14:ligatures w14:val="standardContextual"/>
        </w:rPr>
        <w:t xml:space="preserve"> </w:t>
      </w:r>
      <w:hyperlink r:id="rId59" w:tgtFrame="_new" w:history="1">
        <w:r w:rsidRPr="00C40661">
          <w:rPr>
            <w:rFonts w:ascii="Arial" w:eastAsiaTheme="minorHAnsi" w:hAnsi="Arial" w:cs="Arial"/>
            <w:kern w:val="2"/>
            <w:lang w:val="en-SG"/>
            <w14:ligatures w14:val="standardContextual"/>
          </w:rPr>
          <w:t>https://doi.org/10.1001/jamapediatrics.2021.2482</w:t>
        </w:r>
      </w:hyperlink>
    </w:p>
    <w:p w14:paraId="0F738D23" w14:textId="77777777" w:rsidR="00C81E9B" w:rsidRPr="00461DF1" w:rsidRDefault="00C81E9B" w:rsidP="00C81E9B">
      <w:pPr>
        <w:widowControl/>
        <w:autoSpaceDE/>
        <w:autoSpaceDN/>
        <w:rPr>
          <w:rFonts w:ascii="Arial" w:eastAsia="MS Mincho" w:hAnsi="Arial" w:cs="Arial"/>
        </w:rPr>
      </w:pPr>
    </w:p>
    <w:p w14:paraId="5EFA1E00" w14:textId="77777777" w:rsidR="00C81E9B" w:rsidRDefault="00C81E9B" w:rsidP="00C81E9B">
      <w:pPr>
        <w:widowControl/>
        <w:autoSpaceDE/>
        <w:autoSpaceDN/>
        <w:rPr>
          <w:rFonts w:ascii="Arial" w:eastAsia="MS Mincho" w:hAnsi="Arial" w:cs="Arial"/>
        </w:rPr>
      </w:pPr>
      <w:r w:rsidRPr="005055A4">
        <w:rPr>
          <w:rFonts w:ascii="Arial" w:eastAsia="MS Mincho" w:hAnsi="Arial" w:cs="Arial"/>
        </w:rPr>
        <w:t>Rahayu,</w:t>
      </w:r>
      <w:r w:rsidRPr="00461DF1">
        <w:rPr>
          <w:rFonts w:ascii="Arial" w:eastAsia="MS Mincho" w:hAnsi="Arial" w:cs="Arial"/>
        </w:rPr>
        <w:t xml:space="preserve"> A. N., Puspasari, W. D., &amp; Lestari, R. (2024). Burnout and compassion </w:t>
      </w:r>
    </w:p>
    <w:p w14:paraId="3C5DDF3C"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fatigue among school counselors: The moderating role of self-efficacy. </w:t>
      </w:r>
    </w:p>
    <w:p w14:paraId="7849D696"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Indonesian Journal of Educational Psychology, 13(2), 75–88.</w:t>
      </w:r>
    </w:p>
    <w:p w14:paraId="43BA37DF" w14:textId="77777777" w:rsidR="00C81E9B" w:rsidRPr="00461DF1" w:rsidRDefault="00C81E9B" w:rsidP="00C81E9B">
      <w:pPr>
        <w:widowControl/>
        <w:autoSpaceDE/>
        <w:autoSpaceDN/>
        <w:rPr>
          <w:rFonts w:ascii="Arial" w:eastAsia="MS Mincho" w:hAnsi="Arial" w:cs="Arial"/>
        </w:rPr>
      </w:pPr>
    </w:p>
    <w:p w14:paraId="59FE37C2"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Ranjouri, M., et al. (2025). Structural relationships among empathy, coping, and </w:t>
      </w:r>
    </w:p>
    <w:p w14:paraId="08ADEDD7"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professional quality of life. Journal of Counseling Psychology.</w:t>
      </w:r>
    </w:p>
    <w:p w14:paraId="1389F4D9" w14:textId="77777777" w:rsidR="00C81E9B" w:rsidRPr="00461DF1" w:rsidRDefault="00C81E9B" w:rsidP="00C81E9B">
      <w:pPr>
        <w:widowControl/>
        <w:autoSpaceDE/>
        <w:autoSpaceDN/>
        <w:rPr>
          <w:rFonts w:ascii="Arial" w:eastAsia="MS Mincho" w:hAnsi="Arial" w:cs="Arial"/>
        </w:rPr>
      </w:pPr>
    </w:p>
    <w:p w14:paraId="2E82F4F6"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Ranjouri, M., Meyer, B., &amp; Bates, G. (2025). Structural equation modeling of self-</w:t>
      </w:r>
    </w:p>
    <w:p w14:paraId="70FC49D2"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compassion and well-being. </w:t>
      </w:r>
      <w:r w:rsidRPr="00461DF1">
        <w:rPr>
          <w:rFonts w:ascii="Arial" w:eastAsia="MS Mincho" w:hAnsi="Arial" w:cs="Arial"/>
          <w:i/>
          <w:iCs/>
        </w:rPr>
        <w:t>Personality and Individual Differences, 210</w:t>
      </w:r>
      <w:r w:rsidRPr="00461DF1">
        <w:rPr>
          <w:rFonts w:ascii="Arial" w:eastAsia="MS Mincho" w:hAnsi="Arial" w:cs="Arial"/>
        </w:rPr>
        <w:t xml:space="preserve">, </w:t>
      </w:r>
    </w:p>
    <w:p w14:paraId="19A8EFEF"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112245.</w:t>
      </w:r>
    </w:p>
    <w:p w14:paraId="01095402" w14:textId="77777777" w:rsidR="00C81E9B" w:rsidRPr="00461DF1" w:rsidRDefault="00C81E9B" w:rsidP="00C81E9B">
      <w:pPr>
        <w:widowControl/>
        <w:autoSpaceDE/>
        <w:autoSpaceDN/>
        <w:rPr>
          <w:rFonts w:ascii="Arial" w:eastAsia="MS Mincho" w:hAnsi="Arial" w:cs="Arial"/>
        </w:rPr>
      </w:pPr>
    </w:p>
    <w:p w14:paraId="5DE87C55" w14:textId="77777777" w:rsidR="00C81E9B" w:rsidRPr="00461DF1" w:rsidRDefault="00C81E9B" w:rsidP="00C81E9B">
      <w:pPr>
        <w:widowControl/>
        <w:autoSpaceDE/>
        <w:autoSpaceDN/>
        <w:rPr>
          <w:rFonts w:ascii="Arial" w:eastAsia="MS Mincho" w:hAnsi="Arial" w:cs="Arial"/>
        </w:rPr>
      </w:pPr>
      <w:r w:rsidRPr="00461DF1">
        <w:rPr>
          <w:rFonts w:ascii="Arial" w:eastAsia="MS Mincho" w:hAnsi="Arial" w:cs="Arial"/>
        </w:rPr>
        <w:t>Republic Act No. 10173. (2012). Data Privacy Act of 2012. Philippines.</w:t>
      </w:r>
    </w:p>
    <w:p w14:paraId="3AF6BE25" w14:textId="77777777" w:rsidR="00C81E9B" w:rsidRPr="00461DF1" w:rsidRDefault="00C81E9B" w:rsidP="00C81E9B">
      <w:pPr>
        <w:widowControl/>
        <w:autoSpaceDE/>
        <w:autoSpaceDN/>
        <w:rPr>
          <w:rFonts w:ascii="Arial" w:eastAsia="MS Mincho" w:hAnsi="Arial" w:cs="Arial"/>
        </w:rPr>
      </w:pPr>
    </w:p>
    <w:p w14:paraId="26E95AA6" w14:textId="77777777" w:rsidR="00C81E9B" w:rsidRDefault="00C81E9B" w:rsidP="00C81E9B">
      <w:pPr>
        <w:widowControl/>
        <w:autoSpaceDE/>
        <w:autoSpaceDN/>
        <w:rPr>
          <w:rFonts w:ascii="Arial" w:eastAsia="MS Mincho" w:hAnsi="Arial" w:cs="Arial"/>
          <w:i/>
          <w:iCs/>
        </w:rPr>
      </w:pPr>
      <w:r w:rsidRPr="00461DF1">
        <w:rPr>
          <w:rFonts w:ascii="Arial" w:eastAsia="MS Mincho" w:hAnsi="Arial" w:cs="Arial"/>
        </w:rPr>
        <w:t xml:space="preserve">Robino, A. (2019). Counselor stress and its impact on service delivery. </w:t>
      </w:r>
      <w:r w:rsidRPr="00461DF1">
        <w:rPr>
          <w:rFonts w:ascii="Arial" w:eastAsia="MS Mincho" w:hAnsi="Arial" w:cs="Arial"/>
          <w:i/>
          <w:iCs/>
        </w:rPr>
        <w:t xml:space="preserve">Journal of </w:t>
      </w:r>
    </w:p>
    <w:p w14:paraId="61475789"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i/>
          <w:iCs/>
        </w:rPr>
        <w:t>Counseling Practice, 11</w:t>
      </w:r>
      <w:r w:rsidRPr="00461DF1">
        <w:rPr>
          <w:rFonts w:ascii="Arial" w:eastAsia="MS Mincho" w:hAnsi="Arial" w:cs="Arial"/>
        </w:rPr>
        <w:t>(1), 33–47.</w:t>
      </w:r>
    </w:p>
    <w:p w14:paraId="08F61CAE" w14:textId="77777777" w:rsidR="00C81E9B" w:rsidRPr="00461DF1" w:rsidRDefault="00C81E9B" w:rsidP="00C81E9B">
      <w:pPr>
        <w:widowControl/>
        <w:autoSpaceDE/>
        <w:autoSpaceDN/>
        <w:rPr>
          <w:rFonts w:ascii="Arial" w:eastAsia="MS Mincho" w:hAnsi="Arial" w:cs="Arial"/>
        </w:rPr>
      </w:pPr>
    </w:p>
    <w:p w14:paraId="64B706FE"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Robino, A. E. (2019). Global compassion fatigue: A new perspective in counselor </w:t>
      </w:r>
    </w:p>
    <w:p w14:paraId="5C941890"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wellness. The Professional Counselor, 9(4), 272–</w:t>
      </w:r>
    </w:p>
    <w:p w14:paraId="387F216F"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284. https://doi.org/10.15241/aer.9.4.272</w:t>
      </w:r>
    </w:p>
    <w:p w14:paraId="00325FFE" w14:textId="77777777" w:rsidR="00C81E9B" w:rsidRPr="00461DF1" w:rsidRDefault="00C81E9B" w:rsidP="00C81E9B">
      <w:pPr>
        <w:widowControl/>
        <w:autoSpaceDE/>
        <w:autoSpaceDN/>
        <w:rPr>
          <w:rFonts w:ascii="Arial" w:eastAsia="MS Mincho" w:hAnsi="Arial" w:cs="Arial"/>
        </w:rPr>
      </w:pPr>
    </w:p>
    <w:p w14:paraId="27993D63"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Rogers, C. R. (1962). Toward a theory of therapy, personality, and interpersonal </w:t>
      </w:r>
    </w:p>
    <w:p w14:paraId="3CD4B597"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relationships: As developed in the client-centered framework. In S. Koch </w:t>
      </w:r>
    </w:p>
    <w:p w14:paraId="474733AD"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(Ed.), Psychology: A study of a science (Vol. 3, pp. 184–256). New York, NY: </w:t>
      </w:r>
    </w:p>
    <w:p w14:paraId="11965B2D"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McGraw- Hill.</w:t>
      </w:r>
    </w:p>
    <w:p w14:paraId="50349354" w14:textId="77777777" w:rsidR="00C81E9B" w:rsidRPr="00461DF1" w:rsidRDefault="00C81E9B" w:rsidP="00C81E9B">
      <w:pPr>
        <w:widowControl/>
        <w:autoSpaceDE/>
        <w:autoSpaceDN/>
        <w:rPr>
          <w:rFonts w:ascii="Arial" w:eastAsia="MS Mincho" w:hAnsi="Arial" w:cs="Arial"/>
        </w:rPr>
      </w:pPr>
    </w:p>
    <w:p w14:paraId="0C04F062"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Rogers, C. R. (1977). On becoming a person: A therapist’s view of psychotherapy.</w:t>
      </w:r>
    </w:p>
    <w:p w14:paraId="3486A489" w14:textId="77777777" w:rsidR="00C81E9B" w:rsidRPr="00461DF1" w:rsidRDefault="00C81E9B" w:rsidP="00C81E9B">
      <w:pPr>
        <w:widowControl/>
        <w:autoSpaceDE/>
        <w:autoSpaceDN/>
        <w:rPr>
          <w:rFonts w:ascii="Arial" w:eastAsia="MS Mincho" w:hAnsi="Arial" w:cs="Arial"/>
        </w:rPr>
      </w:pPr>
      <w:r>
        <w:rPr>
          <w:rFonts w:ascii="Arial" w:eastAsia="MS Mincho" w:hAnsi="Arial" w:cs="Arial"/>
        </w:rPr>
        <w:tab/>
      </w:r>
      <w:r w:rsidRPr="00461DF1">
        <w:rPr>
          <w:rFonts w:ascii="Arial" w:eastAsia="MS Mincho" w:hAnsi="Arial" w:cs="Arial"/>
        </w:rPr>
        <w:t>Boston, MA: Houghton Mifflin.</w:t>
      </w:r>
    </w:p>
    <w:p w14:paraId="2C62F9CE" w14:textId="77777777" w:rsidR="00C81E9B" w:rsidRPr="00461DF1" w:rsidRDefault="00C81E9B" w:rsidP="00C81E9B">
      <w:pPr>
        <w:widowControl/>
        <w:autoSpaceDE/>
        <w:autoSpaceDN/>
        <w:rPr>
          <w:rFonts w:ascii="Arial" w:eastAsia="MS Mincho" w:hAnsi="Arial" w:cs="Arial"/>
        </w:rPr>
      </w:pPr>
    </w:p>
    <w:p w14:paraId="6C162C19"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Rogers, C. R. (1977). Carl Rogers on personal power: Inner strength and its </w:t>
      </w:r>
    </w:p>
    <w:p w14:paraId="29A6BA3D"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revolutionary impact. Delacorte Press.</w:t>
      </w:r>
    </w:p>
    <w:p w14:paraId="7C437313" w14:textId="77777777" w:rsidR="00C81E9B" w:rsidRDefault="00C81E9B" w:rsidP="00C81E9B">
      <w:pPr>
        <w:widowControl/>
        <w:autoSpaceDE/>
        <w:autoSpaceDN/>
        <w:rPr>
          <w:rFonts w:ascii="Arial" w:eastAsia="MS Mincho" w:hAnsi="Arial" w:cs="Arial"/>
        </w:rPr>
      </w:pPr>
    </w:p>
    <w:p w14:paraId="42A29397"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Saidi, F., et al. (2025). Self-compassion as a mediator in counselor well-being. </w:t>
      </w:r>
    </w:p>
    <w:p w14:paraId="7204F313"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i/>
          <w:iCs/>
        </w:rPr>
        <w:t>Counseling Psychology Review</w:t>
      </w:r>
      <w:r w:rsidRPr="00461DF1">
        <w:rPr>
          <w:rFonts w:ascii="Arial" w:eastAsia="MS Mincho" w:hAnsi="Arial" w:cs="Arial"/>
        </w:rPr>
        <w:t>. Advance online publication.</w:t>
      </w:r>
    </w:p>
    <w:p w14:paraId="42EE1D55" w14:textId="77777777" w:rsidR="00C81E9B" w:rsidRPr="00461DF1" w:rsidRDefault="00C81E9B" w:rsidP="00C81E9B">
      <w:pPr>
        <w:widowControl/>
        <w:autoSpaceDE/>
        <w:autoSpaceDN/>
        <w:rPr>
          <w:rFonts w:ascii="Arial" w:eastAsia="MS Mincho" w:hAnsi="Arial" w:cs="Arial"/>
        </w:rPr>
      </w:pPr>
    </w:p>
    <w:p w14:paraId="43E8226A"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Saleem, S., &amp; Hawamdeh, N. (2022). Counseling self-efficacy and professional </w:t>
      </w:r>
    </w:p>
    <w:p w14:paraId="3B7D22DC"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quality of life. </w:t>
      </w:r>
      <w:r w:rsidRPr="00461DF1">
        <w:rPr>
          <w:rFonts w:ascii="Arial" w:eastAsia="MS Mincho" w:hAnsi="Arial" w:cs="Arial"/>
          <w:i/>
          <w:iCs/>
        </w:rPr>
        <w:t>Counseling Psychology Quarterly, 35</w:t>
      </w:r>
      <w:r w:rsidRPr="00461DF1">
        <w:rPr>
          <w:rFonts w:ascii="Arial" w:eastAsia="MS Mincho" w:hAnsi="Arial" w:cs="Arial"/>
        </w:rPr>
        <w:t>(3), 456–472.</w:t>
      </w:r>
    </w:p>
    <w:p w14:paraId="4AAF3068" w14:textId="77777777" w:rsidR="00C81E9B" w:rsidRDefault="00C81E9B" w:rsidP="00C81E9B">
      <w:pPr>
        <w:widowControl/>
        <w:autoSpaceDE/>
        <w:autoSpaceDN/>
        <w:ind w:firstLine="720"/>
        <w:rPr>
          <w:rFonts w:ascii="Arial" w:eastAsia="MS Mincho" w:hAnsi="Arial" w:cs="Arial"/>
        </w:rPr>
      </w:pPr>
    </w:p>
    <w:p w14:paraId="3DE0E17E" w14:textId="77777777" w:rsidR="00C81E9B" w:rsidRDefault="00C81E9B" w:rsidP="00C81E9B">
      <w:pPr>
        <w:widowControl/>
        <w:autoSpaceDE/>
        <w:autoSpaceDN/>
        <w:rPr>
          <w:rFonts w:ascii="Arial" w:eastAsia="Times New Roman" w:hAnsi="Arial" w:cs="Arial"/>
          <w:i/>
          <w:iCs/>
          <w:lang w:val="en-SG" w:eastAsia="en-SG"/>
        </w:rPr>
      </w:pPr>
      <w:r w:rsidRPr="00461DF1">
        <w:rPr>
          <w:rFonts w:ascii="Arial" w:eastAsia="Times New Roman" w:hAnsi="Arial" w:cs="Arial"/>
          <w:lang w:val="en-SG" w:eastAsia="en-SG"/>
        </w:rPr>
        <w:t xml:space="preserve">Schumacker, R. E., &amp; Lomax, R. G. (2020). </w:t>
      </w:r>
      <w:r w:rsidRPr="00461DF1">
        <w:rPr>
          <w:rFonts w:ascii="Arial" w:eastAsia="Times New Roman" w:hAnsi="Arial" w:cs="Arial"/>
          <w:i/>
          <w:iCs/>
          <w:lang w:val="en-SG" w:eastAsia="en-SG"/>
        </w:rPr>
        <w:t xml:space="preserve">A beginner’s guide to structural equation </w:t>
      </w:r>
    </w:p>
    <w:p w14:paraId="77378533"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Times New Roman" w:hAnsi="Arial" w:cs="Arial"/>
          <w:i/>
          <w:iCs/>
          <w:lang w:val="en-SG" w:eastAsia="en-SG"/>
        </w:rPr>
        <w:t>modeling</w:t>
      </w:r>
      <w:r w:rsidRPr="00461DF1">
        <w:rPr>
          <w:rFonts w:ascii="Arial" w:eastAsia="Times New Roman" w:hAnsi="Arial" w:cs="Arial"/>
          <w:lang w:val="en-SG" w:eastAsia="en-SG"/>
        </w:rPr>
        <w:t xml:space="preserve"> (4th ed.). Routledge.</w:t>
      </w:r>
    </w:p>
    <w:p w14:paraId="27FDDAFB" w14:textId="77777777" w:rsidR="00C81E9B" w:rsidRPr="00461DF1" w:rsidRDefault="00C81E9B" w:rsidP="00C81E9B">
      <w:pPr>
        <w:widowControl/>
        <w:autoSpaceDE/>
        <w:autoSpaceDN/>
        <w:rPr>
          <w:rFonts w:ascii="Arial" w:eastAsia="MS Mincho" w:hAnsi="Arial" w:cs="Arial"/>
        </w:rPr>
      </w:pPr>
    </w:p>
    <w:p w14:paraId="50C6A6ED"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Schwartz, B., et al. (2025). Therapist interpersonal skills and treatment outcomes. </w:t>
      </w:r>
    </w:p>
    <w:p w14:paraId="6FFEA078"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i/>
          <w:iCs/>
        </w:rPr>
        <w:t>Journal of Counseling Psychology, 72</w:t>
      </w:r>
      <w:r w:rsidRPr="00461DF1">
        <w:rPr>
          <w:rFonts w:ascii="Arial" w:eastAsia="MS Mincho" w:hAnsi="Arial" w:cs="Arial"/>
        </w:rPr>
        <w:t>(2), 150–165.</w:t>
      </w:r>
    </w:p>
    <w:p w14:paraId="165F1BA6" w14:textId="77777777" w:rsidR="00C81E9B" w:rsidRDefault="00C81E9B" w:rsidP="00C81E9B">
      <w:pPr>
        <w:widowControl/>
        <w:autoSpaceDE/>
        <w:autoSpaceDN/>
        <w:rPr>
          <w:rFonts w:ascii="Arial" w:eastAsia="MS Mincho" w:hAnsi="Arial" w:cs="Arial"/>
        </w:rPr>
      </w:pPr>
    </w:p>
    <w:p w14:paraId="59B4731D" w14:textId="77777777" w:rsidR="00C81E9B" w:rsidRDefault="00C81E9B" w:rsidP="00C81E9B">
      <w:pPr>
        <w:widowControl/>
        <w:autoSpaceDE/>
        <w:autoSpaceDN/>
        <w:rPr>
          <w:rFonts w:ascii="Arial" w:eastAsiaTheme="minorHAnsi" w:hAnsi="Arial" w:cs="Arial"/>
          <w:i/>
          <w:iCs/>
          <w:kern w:val="2"/>
          <w:lang w:val="en-SG"/>
          <w14:ligatures w14:val="standardContextual"/>
        </w:rPr>
      </w:pPr>
      <w:r>
        <w:rPr>
          <w:rFonts w:ascii="Arial" w:eastAsiaTheme="minorHAnsi" w:hAnsi="Arial" w:cs="Arial"/>
          <w:kern w:val="2"/>
          <w:lang w:val="en-SG"/>
          <w14:ligatures w14:val="standardContextual"/>
        </w:rPr>
        <w:t>S</w:t>
      </w:r>
      <w:r w:rsidRPr="00C40661">
        <w:rPr>
          <w:rFonts w:ascii="Arial" w:eastAsiaTheme="minorHAnsi" w:hAnsi="Arial" w:cs="Arial"/>
          <w:kern w:val="2"/>
          <w:lang w:val="en-SG"/>
          <w14:ligatures w14:val="standardContextual"/>
        </w:rPr>
        <w:t xml:space="preserve">hen, J., et al. (2024). </w:t>
      </w:r>
      <w:r w:rsidRPr="00C40661">
        <w:rPr>
          <w:rFonts w:ascii="Arial" w:eastAsiaTheme="minorHAnsi" w:hAnsi="Arial" w:cs="Arial"/>
          <w:i/>
          <w:iCs/>
          <w:kern w:val="2"/>
          <w:lang w:val="en-SG"/>
          <w14:ligatures w14:val="standardContextual"/>
        </w:rPr>
        <w:t xml:space="preserve">Empathy toward artificial intelligence versus human </w:t>
      </w:r>
    </w:p>
    <w:p w14:paraId="7AB10822" w14:textId="77777777" w:rsidR="00C81E9B" w:rsidRDefault="00C81E9B" w:rsidP="00C81E9B">
      <w:pPr>
        <w:widowControl/>
        <w:autoSpaceDE/>
        <w:autoSpaceDN/>
        <w:ind w:firstLine="720"/>
        <w:rPr>
          <w:rFonts w:ascii="Arial" w:eastAsiaTheme="minorHAnsi" w:hAnsi="Arial" w:cs="Arial"/>
          <w:kern w:val="2"/>
          <w:lang w:val="en-SG"/>
          <w14:ligatures w14:val="standardContextual"/>
        </w:rPr>
      </w:pPr>
      <w:r w:rsidRPr="00C40661">
        <w:rPr>
          <w:rFonts w:ascii="Arial" w:eastAsiaTheme="minorHAnsi" w:hAnsi="Arial" w:cs="Arial"/>
          <w:i/>
          <w:iCs/>
          <w:kern w:val="2"/>
          <w:lang w:val="en-SG"/>
          <w14:ligatures w14:val="standardContextual"/>
        </w:rPr>
        <w:t>narratives: Implications for mental health support</w:t>
      </w:r>
      <w:r w:rsidRPr="00C40661">
        <w:rPr>
          <w:rFonts w:ascii="Arial" w:eastAsiaTheme="minorHAnsi" w:hAnsi="Arial" w:cs="Arial"/>
          <w:kern w:val="2"/>
          <w:lang w:val="en-SG"/>
          <w14:ligatures w14:val="standardContextual"/>
        </w:rPr>
        <w:t xml:space="preserve">. JMIR Mental Health, 11, </w:t>
      </w:r>
    </w:p>
    <w:p w14:paraId="7491F011" w14:textId="77777777" w:rsidR="00C81E9B" w:rsidRPr="00C40661" w:rsidRDefault="00C81E9B" w:rsidP="00C81E9B">
      <w:pPr>
        <w:widowControl/>
        <w:autoSpaceDE/>
        <w:autoSpaceDN/>
        <w:ind w:firstLine="720"/>
        <w:rPr>
          <w:rFonts w:ascii="Arial" w:eastAsiaTheme="minorHAnsi" w:hAnsi="Arial" w:cs="Arial"/>
          <w:kern w:val="2"/>
          <w:lang w:val="en-SG"/>
          <w14:ligatures w14:val="standardContextual"/>
        </w:rPr>
      </w:pPr>
      <w:r w:rsidRPr="00C40661">
        <w:rPr>
          <w:rFonts w:ascii="Arial" w:eastAsiaTheme="minorHAnsi" w:hAnsi="Arial" w:cs="Arial"/>
          <w:kern w:val="2"/>
          <w:lang w:val="en-SG"/>
          <w14:ligatures w14:val="standardContextual"/>
        </w:rPr>
        <w:t>e62679.</w:t>
      </w:r>
      <w:r>
        <w:rPr>
          <w:rFonts w:ascii="Arial" w:eastAsiaTheme="minorHAnsi" w:hAnsi="Arial" w:cs="Arial"/>
          <w:kern w:val="2"/>
          <w:lang w:val="en-SG"/>
          <w14:ligatures w14:val="standardContextual"/>
        </w:rPr>
        <w:t xml:space="preserve"> </w:t>
      </w:r>
      <w:hyperlink r:id="rId60" w:history="1">
        <w:r w:rsidRPr="00C40661">
          <w:rPr>
            <w:rFonts w:ascii="Arial" w:eastAsiaTheme="minorHAnsi" w:hAnsi="Arial" w:cs="Arial"/>
            <w:kern w:val="2"/>
            <w:lang w:val="en-SG"/>
            <w14:ligatures w14:val="standardContextual"/>
          </w:rPr>
          <w:t>https://doi.org/10.2196/62679</w:t>
        </w:r>
      </w:hyperlink>
    </w:p>
    <w:p w14:paraId="1DB3B5C9" w14:textId="77777777" w:rsidR="00C81E9B" w:rsidRDefault="00C81E9B" w:rsidP="00C81E9B">
      <w:pPr>
        <w:widowControl/>
        <w:autoSpaceDE/>
        <w:autoSpaceDN/>
        <w:rPr>
          <w:rFonts w:ascii="Arial" w:eastAsia="MS Mincho" w:hAnsi="Arial" w:cs="Arial"/>
          <w:lang w:val="en-SG"/>
        </w:rPr>
      </w:pPr>
      <w:r w:rsidRPr="00461DF1">
        <w:rPr>
          <w:rFonts w:ascii="Arial" w:eastAsia="MS Mincho" w:hAnsi="Arial" w:cs="Arial"/>
          <w:lang w:val="en-SG"/>
        </w:rPr>
        <w:t xml:space="preserve">Serrano-Pintado, I., et al. (2022). Interpersonal skills and mental health outcomes in </w:t>
      </w:r>
    </w:p>
    <w:p w14:paraId="1251B25E" w14:textId="77777777" w:rsidR="00C81E9B" w:rsidRDefault="00C81E9B" w:rsidP="00C81E9B">
      <w:pPr>
        <w:widowControl/>
        <w:autoSpaceDE/>
        <w:autoSpaceDN/>
        <w:ind w:firstLine="720"/>
        <w:rPr>
          <w:rFonts w:ascii="Arial" w:eastAsia="MS Mincho" w:hAnsi="Arial" w:cs="Arial"/>
          <w:lang w:val="en-SG"/>
        </w:rPr>
      </w:pPr>
      <w:r w:rsidRPr="00461DF1">
        <w:rPr>
          <w:rFonts w:ascii="Arial" w:eastAsia="MS Mincho" w:hAnsi="Arial" w:cs="Arial"/>
          <w:lang w:val="en-SG"/>
        </w:rPr>
        <w:t xml:space="preserve">counseling settings. </w:t>
      </w:r>
      <w:r w:rsidRPr="00461DF1">
        <w:rPr>
          <w:rFonts w:ascii="Arial" w:eastAsia="MS Mincho" w:hAnsi="Arial" w:cs="Arial"/>
          <w:i/>
          <w:iCs/>
          <w:lang w:val="en-SG"/>
        </w:rPr>
        <w:t>Journal of Clinical Psychology, 78</w:t>
      </w:r>
      <w:r w:rsidRPr="00461DF1">
        <w:rPr>
          <w:rFonts w:ascii="Arial" w:eastAsia="MS Mincho" w:hAnsi="Arial" w:cs="Arial"/>
          <w:lang w:val="en-SG"/>
        </w:rPr>
        <w:t xml:space="preserve">(5), 987–1003. </w:t>
      </w:r>
    </w:p>
    <w:p w14:paraId="63348B86" w14:textId="77777777" w:rsidR="00C81E9B" w:rsidRPr="00461DF1" w:rsidRDefault="00C81E9B" w:rsidP="00C81E9B">
      <w:pPr>
        <w:widowControl/>
        <w:autoSpaceDE/>
        <w:autoSpaceDN/>
        <w:ind w:firstLine="720"/>
        <w:rPr>
          <w:rFonts w:ascii="Arial" w:eastAsia="MS Mincho" w:hAnsi="Arial" w:cs="Arial"/>
          <w:lang w:val="en-SG"/>
        </w:rPr>
      </w:pPr>
      <w:hyperlink r:id="rId61" w:history="1">
        <w:r w:rsidRPr="00461DF1">
          <w:rPr>
            <w:rStyle w:val="Hyperlink"/>
            <w:rFonts w:ascii="Arial" w:eastAsia="MS Mincho" w:hAnsi="Arial" w:cs="Arial"/>
            <w:color w:val="auto"/>
            <w:u w:val="none"/>
            <w:lang w:val="en-SG"/>
          </w:rPr>
          <w:t>https://doi.org/10.1002/jclp.23245</w:t>
        </w:r>
      </w:hyperlink>
    </w:p>
    <w:p w14:paraId="71D9898A" w14:textId="77777777" w:rsidR="00C81E9B" w:rsidRPr="00461DF1" w:rsidRDefault="00C81E9B" w:rsidP="00C81E9B">
      <w:pPr>
        <w:widowControl/>
        <w:autoSpaceDE/>
        <w:autoSpaceDN/>
        <w:rPr>
          <w:rFonts w:ascii="Arial" w:eastAsia="MS Mincho" w:hAnsi="Arial" w:cs="Arial"/>
        </w:rPr>
      </w:pPr>
    </w:p>
    <w:p w14:paraId="417E689F"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Sinclair, S., Raffin-Bouchal, S., Venturato, L., Mijovic-Kondejewski, J., &amp; Smith-</w:t>
      </w:r>
    </w:p>
    <w:p w14:paraId="29806E69"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MacDonald, L. (2021). Compassion fatigue and burnout in healthcare </w:t>
      </w:r>
    </w:p>
    <w:p w14:paraId="3F187308"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providers. </w:t>
      </w:r>
      <w:r w:rsidRPr="00461DF1">
        <w:rPr>
          <w:rFonts w:ascii="Arial" w:eastAsia="MS Mincho" w:hAnsi="Arial" w:cs="Arial"/>
          <w:i/>
          <w:iCs/>
        </w:rPr>
        <w:t>Journal of Pain and Symptom Management, 62</w:t>
      </w:r>
      <w:r w:rsidRPr="00461DF1">
        <w:rPr>
          <w:rFonts w:ascii="Arial" w:eastAsia="MS Mincho" w:hAnsi="Arial" w:cs="Arial"/>
        </w:rPr>
        <w:t xml:space="preserve">(3), e253–e262. </w:t>
      </w:r>
    </w:p>
    <w:p w14:paraId="2801DF49" w14:textId="77777777" w:rsidR="00C81E9B" w:rsidRDefault="00C81E9B" w:rsidP="00C81E9B">
      <w:pPr>
        <w:widowControl/>
        <w:autoSpaceDE/>
        <w:autoSpaceDN/>
        <w:ind w:firstLine="720"/>
        <w:rPr>
          <w:rFonts w:ascii="Arial" w:eastAsia="MS Mincho" w:hAnsi="Arial" w:cs="Arial"/>
        </w:rPr>
      </w:pPr>
      <w:hyperlink r:id="rId62" w:history="1">
        <w:r w:rsidRPr="00461DF1">
          <w:rPr>
            <w:rStyle w:val="Hyperlink"/>
            <w:rFonts w:ascii="Arial" w:eastAsia="MS Mincho" w:hAnsi="Arial" w:cs="Arial"/>
            <w:color w:val="auto"/>
            <w:u w:val="none"/>
          </w:rPr>
          <w:t>https://doi.org/10.1016/j.jpainsymman.2021.03.01</w:t>
        </w:r>
      </w:hyperlink>
    </w:p>
    <w:p w14:paraId="6ADFC424" w14:textId="77777777" w:rsidR="00C81E9B" w:rsidRPr="00461DF1" w:rsidRDefault="00C81E9B" w:rsidP="00C81E9B">
      <w:pPr>
        <w:widowControl/>
        <w:autoSpaceDE/>
        <w:autoSpaceDN/>
        <w:rPr>
          <w:rFonts w:ascii="Arial" w:eastAsia="MS Mincho" w:hAnsi="Arial" w:cs="Arial"/>
        </w:rPr>
      </w:pPr>
    </w:p>
    <w:p w14:paraId="25748401" w14:textId="77777777" w:rsidR="00C81E9B" w:rsidRDefault="00C81E9B" w:rsidP="00C81E9B">
      <w:pPr>
        <w:widowControl/>
        <w:autoSpaceDE/>
        <w:autoSpaceDN/>
        <w:rPr>
          <w:rFonts w:ascii="Arial" w:eastAsia="MS Mincho" w:hAnsi="Arial" w:cs="Arial"/>
          <w:lang w:val="en-SG"/>
        </w:rPr>
      </w:pPr>
      <w:r w:rsidRPr="00461DF1">
        <w:rPr>
          <w:rFonts w:ascii="Arial" w:eastAsia="MS Mincho" w:hAnsi="Arial" w:cs="Arial"/>
          <w:lang w:val="en-SG"/>
        </w:rPr>
        <w:t>Singh, J., Sharma, R., &amp; Kaur, D. (2020</w:t>
      </w:r>
      <w:r>
        <w:rPr>
          <w:rFonts w:ascii="Arial" w:eastAsia="MS Mincho" w:hAnsi="Arial" w:cs="Arial"/>
          <w:lang w:val="en-SG"/>
        </w:rPr>
        <w:t>a</w:t>
      </w:r>
      <w:r w:rsidRPr="00461DF1">
        <w:rPr>
          <w:rFonts w:ascii="Arial" w:eastAsia="MS Mincho" w:hAnsi="Arial" w:cs="Arial"/>
          <w:lang w:val="en-SG"/>
        </w:rPr>
        <w:t xml:space="preserve">). Compassion fatigue among mental health </w:t>
      </w:r>
    </w:p>
    <w:p w14:paraId="01F8D5A3" w14:textId="77777777" w:rsidR="00C81E9B" w:rsidRDefault="00C81E9B" w:rsidP="00C81E9B">
      <w:pPr>
        <w:widowControl/>
        <w:autoSpaceDE/>
        <w:autoSpaceDN/>
        <w:ind w:firstLine="720"/>
        <w:rPr>
          <w:rFonts w:ascii="Arial" w:eastAsia="MS Mincho" w:hAnsi="Arial" w:cs="Arial"/>
          <w:lang w:val="en-SG"/>
        </w:rPr>
      </w:pPr>
      <w:r w:rsidRPr="00461DF1">
        <w:rPr>
          <w:rFonts w:ascii="Arial" w:eastAsia="MS Mincho" w:hAnsi="Arial" w:cs="Arial"/>
          <w:lang w:val="en-SG"/>
        </w:rPr>
        <w:t xml:space="preserve">professionals: A review. </w:t>
      </w:r>
      <w:r w:rsidRPr="00461DF1">
        <w:rPr>
          <w:rFonts w:ascii="Arial" w:eastAsia="MS Mincho" w:hAnsi="Arial" w:cs="Arial"/>
          <w:i/>
          <w:iCs/>
          <w:lang w:val="en-SG"/>
        </w:rPr>
        <w:t>International Journal of Indian Psychology, 8</w:t>
      </w:r>
      <w:r w:rsidRPr="00461DF1">
        <w:rPr>
          <w:rFonts w:ascii="Arial" w:eastAsia="MS Mincho" w:hAnsi="Arial" w:cs="Arial"/>
          <w:lang w:val="en-SG"/>
        </w:rPr>
        <w:t xml:space="preserve">(2), </w:t>
      </w:r>
    </w:p>
    <w:p w14:paraId="42287554" w14:textId="77777777" w:rsidR="00C81E9B" w:rsidRPr="00461DF1" w:rsidRDefault="00C81E9B" w:rsidP="00C81E9B">
      <w:pPr>
        <w:widowControl/>
        <w:autoSpaceDE/>
        <w:autoSpaceDN/>
        <w:ind w:firstLine="720"/>
        <w:rPr>
          <w:rFonts w:ascii="Arial" w:eastAsia="MS Mincho" w:hAnsi="Arial" w:cs="Arial"/>
          <w:lang w:val="en-SG"/>
        </w:rPr>
      </w:pPr>
      <w:r w:rsidRPr="00461DF1">
        <w:rPr>
          <w:rFonts w:ascii="Arial" w:eastAsia="MS Mincho" w:hAnsi="Arial" w:cs="Arial"/>
          <w:lang w:val="en-SG"/>
        </w:rPr>
        <w:t>456–465.</w:t>
      </w:r>
    </w:p>
    <w:p w14:paraId="2529EA51" w14:textId="77777777" w:rsidR="00C81E9B" w:rsidRPr="00461DF1" w:rsidRDefault="00C81E9B" w:rsidP="00C81E9B">
      <w:pPr>
        <w:widowControl/>
        <w:autoSpaceDE/>
        <w:autoSpaceDN/>
        <w:rPr>
          <w:rFonts w:ascii="Arial" w:eastAsia="MS Mincho" w:hAnsi="Arial" w:cs="Arial"/>
        </w:rPr>
      </w:pPr>
    </w:p>
    <w:p w14:paraId="540EE4E4"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Singh, P., et al. (2020</w:t>
      </w:r>
      <w:r>
        <w:rPr>
          <w:rFonts w:ascii="Arial" w:eastAsia="MS Mincho" w:hAnsi="Arial" w:cs="Arial"/>
        </w:rPr>
        <w:t>b</w:t>
      </w:r>
      <w:r w:rsidRPr="00461DF1">
        <w:rPr>
          <w:rFonts w:ascii="Arial" w:eastAsia="MS Mincho" w:hAnsi="Arial" w:cs="Arial"/>
        </w:rPr>
        <w:t xml:space="preserve">). Workload and compassion fatigue among helping </w:t>
      </w:r>
    </w:p>
    <w:p w14:paraId="5A6FD2E5"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professionals. </w:t>
      </w:r>
      <w:r w:rsidRPr="00461DF1">
        <w:rPr>
          <w:rFonts w:ascii="Arial" w:eastAsia="MS Mincho" w:hAnsi="Arial" w:cs="Arial"/>
          <w:i/>
          <w:iCs/>
        </w:rPr>
        <w:t>Journal of Mental Health, 29</w:t>
      </w:r>
      <w:r w:rsidRPr="00461DF1">
        <w:rPr>
          <w:rFonts w:ascii="Arial" w:eastAsia="MS Mincho" w:hAnsi="Arial" w:cs="Arial"/>
        </w:rPr>
        <w:t>(4), 412–420.</w:t>
      </w:r>
    </w:p>
    <w:p w14:paraId="0EFA93C1" w14:textId="77777777" w:rsidR="00C81E9B" w:rsidRPr="00461DF1" w:rsidRDefault="00C81E9B" w:rsidP="00C81E9B">
      <w:pPr>
        <w:widowControl/>
        <w:autoSpaceDE/>
        <w:autoSpaceDN/>
        <w:rPr>
          <w:rFonts w:ascii="Arial" w:eastAsia="MS Mincho" w:hAnsi="Arial" w:cs="Arial"/>
        </w:rPr>
      </w:pPr>
    </w:p>
    <w:p w14:paraId="3E03108E"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Soper, D. (2024). Analytics Calculator Index. </w:t>
      </w:r>
    </w:p>
    <w:p w14:paraId="169EEF54"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https://www.analyticscalculators.com/calculator.aspx?id=89</w:t>
      </w:r>
    </w:p>
    <w:p w14:paraId="6A5037E3" w14:textId="77777777" w:rsidR="00C81E9B" w:rsidRPr="00461DF1" w:rsidRDefault="00C81E9B" w:rsidP="00C81E9B">
      <w:pPr>
        <w:widowControl/>
        <w:autoSpaceDE/>
        <w:autoSpaceDN/>
        <w:rPr>
          <w:rFonts w:ascii="Arial" w:eastAsia="MS Mincho" w:hAnsi="Arial" w:cs="Arial"/>
        </w:rPr>
      </w:pPr>
    </w:p>
    <w:p w14:paraId="227CFF85"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Stamm, B. H. (2010). The Concise ProQOL Manual (2nd ed.). Pocatello, ID:</w:t>
      </w:r>
    </w:p>
    <w:p w14:paraId="3063550E"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 ProQOL.org.</w:t>
      </w:r>
    </w:p>
    <w:p w14:paraId="6DC2B55A" w14:textId="77777777" w:rsidR="00C81E9B" w:rsidRPr="00461DF1" w:rsidRDefault="00C81E9B" w:rsidP="00C81E9B">
      <w:pPr>
        <w:widowControl/>
        <w:autoSpaceDE/>
        <w:autoSpaceDN/>
        <w:rPr>
          <w:rFonts w:ascii="Arial" w:eastAsia="MS Mincho" w:hAnsi="Arial" w:cs="Arial"/>
        </w:rPr>
      </w:pPr>
    </w:p>
    <w:p w14:paraId="61B43188" w14:textId="77777777" w:rsidR="00C81E9B" w:rsidRDefault="00C81E9B" w:rsidP="00C81E9B">
      <w:pPr>
        <w:widowControl/>
        <w:autoSpaceDE/>
        <w:autoSpaceDN/>
        <w:rPr>
          <w:rFonts w:ascii="Arial" w:eastAsia="MS Mincho" w:hAnsi="Arial" w:cs="Arial"/>
          <w:i/>
          <w:iCs/>
        </w:rPr>
      </w:pPr>
      <w:r w:rsidRPr="00461DF1">
        <w:rPr>
          <w:rFonts w:ascii="Arial" w:eastAsia="MS Mincho" w:hAnsi="Arial" w:cs="Arial"/>
        </w:rPr>
        <w:t xml:space="preserve">Surma-aho, O., &amp; Hölttä-Otto, K. (2022). Empathy as a dynamic process. </w:t>
      </w:r>
      <w:r w:rsidRPr="00461DF1">
        <w:rPr>
          <w:rFonts w:ascii="Arial" w:eastAsia="MS Mincho" w:hAnsi="Arial" w:cs="Arial"/>
          <w:i/>
          <w:iCs/>
        </w:rPr>
        <w:t>Psychology</w:t>
      </w:r>
    </w:p>
    <w:p w14:paraId="58DD27B7"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i/>
          <w:iCs/>
        </w:rPr>
        <w:t xml:space="preserve"> &amp; Society, 14</w:t>
      </w:r>
      <w:r w:rsidRPr="00461DF1">
        <w:rPr>
          <w:rFonts w:ascii="Arial" w:eastAsia="MS Mincho" w:hAnsi="Arial" w:cs="Arial"/>
        </w:rPr>
        <w:t>(1), 45–60.</w:t>
      </w:r>
    </w:p>
    <w:p w14:paraId="3749743E" w14:textId="77777777" w:rsidR="00C81E9B" w:rsidRDefault="00C81E9B" w:rsidP="00C81E9B">
      <w:pPr>
        <w:widowControl/>
        <w:autoSpaceDE/>
        <w:autoSpaceDN/>
        <w:rPr>
          <w:rFonts w:ascii="Arial" w:eastAsia="MS Mincho" w:hAnsi="Arial" w:cs="Arial"/>
          <w:lang w:val="en-SG"/>
        </w:rPr>
      </w:pPr>
    </w:p>
    <w:p w14:paraId="17FD436C" w14:textId="77777777" w:rsidR="00C81E9B" w:rsidRDefault="00C81E9B" w:rsidP="00C81E9B">
      <w:pPr>
        <w:widowControl/>
        <w:autoSpaceDE/>
        <w:autoSpaceDN/>
        <w:rPr>
          <w:rFonts w:ascii="Arial" w:eastAsiaTheme="minorHAnsi" w:hAnsi="Arial" w:cs="Arial"/>
          <w:i/>
          <w:iCs/>
          <w:kern w:val="2"/>
          <w:lang w:val="en-SG"/>
          <w14:ligatures w14:val="standardContextual"/>
        </w:rPr>
      </w:pPr>
      <w:r w:rsidRPr="00C40661">
        <w:rPr>
          <w:rFonts w:ascii="Arial" w:eastAsiaTheme="minorHAnsi" w:hAnsi="Arial" w:cs="Arial"/>
          <w:kern w:val="2"/>
          <w:lang w:val="en-SG"/>
          <w14:ligatures w14:val="standardContextual"/>
        </w:rPr>
        <w:t xml:space="preserve">Sushmitha. (2025). </w:t>
      </w:r>
      <w:r w:rsidRPr="00C40661">
        <w:rPr>
          <w:rFonts w:ascii="Arial" w:eastAsiaTheme="minorHAnsi" w:hAnsi="Arial" w:cs="Arial"/>
          <w:i/>
          <w:iCs/>
          <w:kern w:val="2"/>
          <w:lang w:val="en-SG"/>
          <w14:ligatures w14:val="standardContextual"/>
        </w:rPr>
        <w:t xml:space="preserve">Compassion fatigue: Understanding the hidden dangers of caring </w:t>
      </w:r>
    </w:p>
    <w:p w14:paraId="6A1031FE" w14:textId="77777777" w:rsidR="00C81E9B" w:rsidRDefault="00C81E9B" w:rsidP="00C81E9B">
      <w:pPr>
        <w:widowControl/>
        <w:autoSpaceDE/>
        <w:autoSpaceDN/>
        <w:ind w:firstLine="720"/>
        <w:rPr>
          <w:rFonts w:ascii="Arial" w:eastAsiaTheme="minorHAnsi" w:hAnsi="Arial" w:cs="Arial"/>
          <w:kern w:val="2"/>
          <w:lang w:val="en-SG"/>
          <w14:ligatures w14:val="standardContextual"/>
        </w:rPr>
      </w:pPr>
      <w:r w:rsidRPr="00C40661">
        <w:rPr>
          <w:rFonts w:ascii="Arial" w:eastAsiaTheme="minorHAnsi" w:hAnsi="Arial" w:cs="Arial"/>
          <w:i/>
          <w:iCs/>
          <w:kern w:val="2"/>
          <w:lang w:val="en-SG"/>
          <w14:ligatures w14:val="standardContextual"/>
        </w:rPr>
        <w:t>too much</w:t>
      </w:r>
      <w:r w:rsidRPr="00C40661">
        <w:rPr>
          <w:rFonts w:ascii="Arial" w:eastAsiaTheme="minorHAnsi" w:hAnsi="Arial" w:cs="Arial"/>
          <w:kern w:val="2"/>
          <w:lang w:val="en-SG"/>
          <w14:ligatures w14:val="standardContextual"/>
        </w:rPr>
        <w:t>. Asian Journal of Nursing Education and Research, 15(1), 35–38.</w:t>
      </w:r>
    </w:p>
    <w:p w14:paraId="0A5ABA1D" w14:textId="77777777" w:rsidR="00C81E9B" w:rsidRPr="00C40661" w:rsidRDefault="00C81E9B" w:rsidP="00C81E9B">
      <w:pPr>
        <w:widowControl/>
        <w:autoSpaceDE/>
        <w:autoSpaceDN/>
        <w:ind w:firstLine="720"/>
        <w:rPr>
          <w:rFonts w:ascii="Arial" w:eastAsiaTheme="minorHAnsi" w:hAnsi="Arial" w:cs="Arial"/>
          <w:kern w:val="2"/>
          <w:lang w:val="en-SG"/>
          <w14:ligatures w14:val="standardContextual"/>
        </w:rPr>
      </w:pPr>
      <w:hyperlink r:id="rId63" w:history="1">
        <w:r w:rsidRPr="00C40661">
          <w:rPr>
            <w:rFonts w:ascii="Arial" w:eastAsiaTheme="minorHAnsi" w:hAnsi="Arial" w:cs="Arial"/>
            <w:kern w:val="2"/>
            <w:lang w:val="en-SG"/>
            <w14:ligatures w14:val="standardContextual"/>
          </w:rPr>
          <w:t>https://doi.org/10.52711/2349-2996.2025.00008</w:t>
        </w:r>
      </w:hyperlink>
    </w:p>
    <w:p w14:paraId="55A2A008" w14:textId="77777777" w:rsidR="00C81E9B" w:rsidRPr="00461DF1" w:rsidRDefault="00C81E9B" w:rsidP="00C81E9B">
      <w:pPr>
        <w:widowControl/>
        <w:autoSpaceDE/>
        <w:autoSpaceDN/>
        <w:rPr>
          <w:rFonts w:ascii="Arial" w:eastAsia="MS Mincho" w:hAnsi="Arial" w:cs="Arial"/>
          <w:lang w:val="en-SG"/>
        </w:rPr>
      </w:pPr>
    </w:p>
    <w:p w14:paraId="5AE24745"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Taber, K. S. (2018). The use of Cronbach’s alpha when developing and reporting </w:t>
      </w:r>
    </w:p>
    <w:p w14:paraId="35D4FF47"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research instruments in science education. Research in Science Education, </w:t>
      </w:r>
    </w:p>
    <w:p w14:paraId="47521F22"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48(6), 1273–1296. </w:t>
      </w:r>
      <w:hyperlink r:id="rId64" w:history="1">
        <w:r w:rsidRPr="00461DF1">
          <w:rPr>
            <w:rFonts w:ascii="Arial" w:eastAsia="MS Mincho" w:hAnsi="Arial" w:cs="Arial"/>
          </w:rPr>
          <w:t>https://doi.org/10.1007/s11165-016-9602-2</w:t>
        </w:r>
      </w:hyperlink>
    </w:p>
    <w:p w14:paraId="34813B1C" w14:textId="77777777" w:rsidR="00C81E9B" w:rsidRPr="00461DF1" w:rsidRDefault="00C81E9B" w:rsidP="00C81E9B">
      <w:pPr>
        <w:widowControl/>
        <w:autoSpaceDE/>
        <w:autoSpaceDN/>
        <w:rPr>
          <w:rFonts w:ascii="Arial" w:eastAsia="MS Mincho" w:hAnsi="Arial" w:cs="Arial"/>
        </w:rPr>
      </w:pPr>
    </w:p>
    <w:p w14:paraId="5CC58041"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Tan, S. Y. (2021). Clinical skills of effective psychotherapists that improve client </w:t>
      </w:r>
    </w:p>
    <w:p w14:paraId="1FD62AB6"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outcomes: empirical evidence and clinical applications from a Christian </w:t>
      </w:r>
    </w:p>
    <w:p w14:paraId="76314D93"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perspective. Journal of Psychology and Christianity, 40(4), 365-369.</w:t>
      </w:r>
    </w:p>
    <w:p w14:paraId="5C79E8DA" w14:textId="77777777" w:rsidR="00C81E9B" w:rsidRPr="00461DF1" w:rsidRDefault="00C81E9B" w:rsidP="00C81E9B">
      <w:pPr>
        <w:widowControl/>
        <w:autoSpaceDE/>
        <w:autoSpaceDN/>
        <w:rPr>
          <w:rFonts w:ascii="Arial" w:eastAsia="MS Mincho" w:hAnsi="Arial" w:cs="Arial"/>
        </w:rPr>
      </w:pPr>
    </w:p>
    <w:p w14:paraId="4BE6D520"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Tarka, P. (2018). An overview of structural equation modeling: its beginnings, </w:t>
      </w:r>
    </w:p>
    <w:p w14:paraId="718B15F9"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historical development, usefulness, and controversies in the social sciences. </w:t>
      </w:r>
    </w:p>
    <w:p w14:paraId="7FD6DA21"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QualQuant 52, 313–354. https://doi.org/10.1007/s11135-017-0469-8</w:t>
      </w:r>
    </w:p>
    <w:p w14:paraId="707B1ABF" w14:textId="77777777" w:rsidR="00C81E9B" w:rsidRDefault="00C81E9B" w:rsidP="00C81E9B">
      <w:pPr>
        <w:widowControl/>
        <w:autoSpaceDE/>
        <w:autoSpaceDN/>
        <w:rPr>
          <w:rFonts w:ascii="Arial" w:eastAsia="MS Mincho" w:hAnsi="Arial" w:cs="Arial"/>
        </w:rPr>
      </w:pPr>
    </w:p>
    <w:p w14:paraId="3DBE0DD8" w14:textId="77777777" w:rsidR="00C81E9B" w:rsidRDefault="00C81E9B" w:rsidP="00C81E9B">
      <w:pPr>
        <w:pStyle w:val="NoSpacing"/>
        <w:rPr>
          <w:rFonts w:ascii="Arial" w:hAnsi="Arial" w:cs="Arial"/>
        </w:rPr>
      </w:pPr>
      <w:r w:rsidRPr="00123253">
        <w:rPr>
          <w:rFonts w:ascii="Arial" w:hAnsi="Arial" w:cs="Arial"/>
        </w:rPr>
        <w:t xml:space="preserve">Yetkin Tekin A (2024) Mediator role of psychological resilience between post-traumatic </w:t>
      </w:r>
    </w:p>
    <w:p w14:paraId="3F25E612" w14:textId="77777777" w:rsidR="00C81E9B" w:rsidRDefault="00C81E9B" w:rsidP="00C81E9B">
      <w:pPr>
        <w:pStyle w:val="NoSpacing"/>
        <w:ind w:firstLine="720"/>
        <w:rPr>
          <w:rFonts w:ascii="Arial" w:hAnsi="Arial" w:cs="Arial"/>
        </w:rPr>
      </w:pPr>
      <w:r w:rsidRPr="00123253">
        <w:rPr>
          <w:rFonts w:ascii="Arial" w:hAnsi="Arial" w:cs="Arial"/>
        </w:rPr>
        <w:t xml:space="preserve">stress symptoms and burnout in academicians affected by the earthquakes in </w:t>
      </w:r>
    </w:p>
    <w:p w14:paraId="2BF808C6" w14:textId="77777777" w:rsidR="00C81E9B" w:rsidRPr="00123253" w:rsidRDefault="00C81E9B" w:rsidP="00C81E9B">
      <w:pPr>
        <w:pStyle w:val="NoSpacing"/>
        <w:ind w:firstLine="720"/>
        <w:rPr>
          <w:rFonts w:ascii="Arial" w:hAnsi="Arial" w:cs="Arial"/>
        </w:rPr>
      </w:pPr>
      <w:r w:rsidRPr="00123253">
        <w:rPr>
          <w:rFonts w:ascii="Arial" w:hAnsi="Arial" w:cs="Arial"/>
        </w:rPr>
        <w:t>Türkiye. Front. Psychol. 15:1468655. doi: 10.3389/fpsyg.2024.1468655</w:t>
      </w:r>
    </w:p>
    <w:p w14:paraId="65754B4D" w14:textId="77777777" w:rsidR="00C81E9B" w:rsidRDefault="00C81E9B" w:rsidP="00C81E9B">
      <w:pPr>
        <w:widowControl/>
        <w:autoSpaceDE/>
        <w:autoSpaceDN/>
        <w:rPr>
          <w:rFonts w:ascii="Arial" w:eastAsia="MS Mincho" w:hAnsi="Arial" w:cs="Arial"/>
        </w:rPr>
      </w:pPr>
    </w:p>
    <w:p w14:paraId="40668B51" w14:textId="77777777" w:rsidR="009C013D" w:rsidRDefault="009C013D" w:rsidP="00C81E9B">
      <w:pPr>
        <w:widowControl/>
        <w:autoSpaceDE/>
        <w:autoSpaceDN/>
        <w:rPr>
          <w:rFonts w:ascii="Arial" w:eastAsia="MS Mincho" w:hAnsi="Arial" w:cs="Arial"/>
        </w:rPr>
      </w:pPr>
    </w:p>
    <w:p w14:paraId="5FD6ABBA" w14:textId="77777777" w:rsidR="00C81E9B" w:rsidRPr="00461DF1" w:rsidRDefault="00C81E9B" w:rsidP="00C81E9B">
      <w:pPr>
        <w:widowControl/>
        <w:autoSpaceDE/>
        <w:autoSpaceDN/>
        <w:rPr>
          <w:rFonts w:ascii="Arial" w:eastAsia="MS Mincho" w:hAnsi="Arial" w:cs="Arial"/>
        </w:rPr>
      </w:pPr>
    </w:p>
    <w:p w14:paraId="4986E7D8"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lastRenderedPageBreak/>
        <w:t xml:space="preserve">Tóth-Király, I., Bőthe, B., Rigó, A., &amp; Orosz, G. (2022). Self-compassion and </w:t>
      </w:r>
    </w:p>
    <w:p w14:paraId="57792B2D"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psychological well-being: The mediating role of emotion regulation. Current </w:t>
      </w:r>
    </w:p>
    <w:p w14:paraId="5E7A31CA"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Psychology, 41(8), 5058–5070. https://doi.org/10.1007/s12144-020-01067-9</w:t>
      </w:r>
    </w:p>
    <w:p w14:paraId="10D5076D" w14:textId="77777777" w:rsidR="00C81E9B" w:rsidRPr="00461DF1" w:rsidRDefault="00C81E9B" w:rsidP="00C81E9B">
      <w:pPr>
        <w:widowControl/>
        <w:autoSpaceDE/>
        <w:autoSpaceDN/>
        <w:rPr>
          <w:rFonts w:ascii="Arial" w:eastAsia="MS Mincho" w:hAnsi="Arial" w:cs="Arial"/>
        </w:rPr>
      </w:pPr>
    </w:p>
    <w:p w14:paraId="578A896F" w14:textId="77777777" w:rsidR="00C81E9B" w:rsidRDefault="00C81E9B" w:rsidP="00C81E9B">
      <w:pPr>
        <w:widowControl/>
        <w:autoSpaceDE/>
        <w:autoSpaceDN/>
        <w:rPr>
          <w:rFonts w:ascii="Arial" w:eastAsia="MS Mincho" w:hAnsi="Arial" w:cs="Arial"/>
          <w:lang w:val="en-SG"/>
        </w:rPr>
      </w:pPr>
      <w:r w:rsidRPr="00461DF1">
        <w:rPr>
          <w:rFonts w:ascii="Arial" w:eastAsia="MS Mincho" w:hAnsi="Arial" w:cs="Arial"/>
          <w:lang w:val="en-SG"/>
        </w:rPr>
        <w:t xml:space="preserve">Tursi, M. M., et al. (2021). Nonjudgment and therapeutic alliance: A study of </w:t>
      </w:r>
    </w:p>
    <w:p w14:paraId="78C740EF" w14:textId="77777777" w:rsidR="00C81E9B" w:rsidRDefault="00C81E9B" w:rsidP="00C81E9B">
      <w:pPr>
        <w:widowControl/>
        <w:autoSpaceDE/>
        <w:autoSpaceDN/>
        <w:ind w:firstLine="720"/>
        <w:rPr>
          <w:rFonts w:ascii="Arial" w:eastAsia="MS Mincho" w:hAnsi="Arial" w:cs="Arial"/>
          <w:lang w:val="en-SG"/>
        </w:rPr>
      </w:pPr>
      <w:r w:rsidRPr="00461DF1">
        <w:rPr>
          <w:rFonts w:ascii="Arial" w:eastAsia="MS Mincho" w:hAnsi="Arial" w:cs="Arial"/>
          <w:lang w:val="en-SG"/>
        </w:rPr>
        <w:t xml:space="preserve">counselor-client relationships. </w:t>
      </w:r>
      <w:r w:rsidRPr="00461DF1">
        <w:rPr>
          <w:rFonts w:ascii="Arial" w:eastAsia="MS Mincho" w:hAnsi="Arial" w:cs="Arial"/>
          <w:i/>
          <w:iCs/>
          <w:lang w:val="en-SG"/>
        </w:rPr>
        <w:t>Psychotherapy Research, 31</w:t>
      </w:r>
      <w:r w:rsidRPr="00461DF1">
        <w:rPr>
          <w:rFonts w:ascii="Arial" w:eastAsia="MS Mincho" w:hAnsi="Arial" w:cs="Arial"/>
          <w:lang w:val="en-SG"/>
        </w:rPr>
        <w:t xml:space="preserve">(6), 742–754. </w:t>
      </w:r>
    </w:p>
    <w:p w14:paraId="0F131A52" w14:textId="77777777" w:rsidR="00C81E9B" w:rsidRDefault="00C81E9B" w:rsidP="00C81E9B">
      <w:pPr>
        <w:widowControl/>
        <w:autoSpaceDE/>
        <w:autoSpaceDN/>
        <w:ind w:firstLine="720"/>
      </w:pPr>
      <w:hyperlink r:id="rId65" w:history="1">
        <w:r w:rsidRPr="00461DF1">
          <w:rPr>
            <w:rStyle w:val="Hyperlink"/>
            <w:rFonts w:ascii="Arial" w:eastAsia="MS Mincho" w:hAnsi="Arial" w:cs="Arial"/>
            <w:color w:val="auto"/>
            <w:u w:val="none"/>
            <w:lang w:val="en-SG"/>
          </w:rPr>
          <w:t>https://doi.org/10.1080/10503307.2020.1850961</w:t>
        </w:r>
      </w:hyperlink>
    </w:p>
    <w:p w14:paraId="6AE57B40" w14:textId="77777777" w:rsidR="00C81E9B" w:rsidRPr="00461DF1" w:rsidRDefault="00C81E9B" w:rsidP="00C81E9B">
      <w:pPr>
        <w:widowControl/>
        <w:autoSpaceDE/>
        <w:autoSpaceDN/>
        <w:ind w:firstLine="720"/>
        <w:rPr>
          <w:rFonts w:ascii="Arial" w:eastAsia="MS Mincho" w:hAnsi="Arial" w:cs="Arial"/>
          <w:lang w:val="en-SG"/>
        </w:rPr>
      </w:pPr>
    </w:p>
    <w:p w14:paraId="00B640B0" w14:textId="77777777" w:rsidR="00C81E9B" w:rsidRDefault="00C81E9B" w:rsidP="00C81E9B">
      <w:pPr>
        <w:widowControl/>
        <w:autoSpaceDE/>
        <w:autoSpaceDN/>
        <w:rPr>
          <w:rFonts w:ascii="Arial" w:eastAsia="MS Mincho" w:hAnsi="Arial" w:cs="Arial"/>
          <w:i/>
          <w:iCs/>
        </w:rPr>
      </w:pPr>
      <w:r w:rsidRPr="00461DF1">
        <w:rPr>
          <w:rFonts w:ascii="Arial" w:eastAsia="MS Mincho" w:hAnsi="Arial" w:cs="Arial"/>
        </w:rPr>
        <w:t xml:space="preserve">Twigger, K., et al. (2024). Non-judgmental care in therapeutic settings. </w:t>
      </w:r>
      <w:r w:rsidRPr="00461DF1">
        <w:rPr>
          <w:rFonts w:ascii="Arial" w:eastAsia="MS Mincho" w:hAnsi="Arial" w:cs="Arial"/>
          <w:i/>
          <w:iCs/>
        </w:rPr>
        <w:t xml:space="preserve">Journal of </w:t>
      </w:r>
    </w:p>
    <w:p w14:paraId="6ADC4BEB"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i/>
          <w:iCs/>
        </w:rPr>
        <w:t>Mental Health Nursing, 33</w:t>
      </w:r>
      <w:r w:rsidRPr="00461DF1">
        <w:rPr>
          <w:rFonts w:ascii="Arial" w:eastAsia="MS Mincho" w:hAnsi="Arial" w:cs="Arial"/>
        </w:rPr>
        <w:t>(1), 15–25.</w:t>
      </w:r>
    </w:p>
    <w:p w14:paraId="2059681E" w14:textId="77777777" w:rsidR="00C81E9B" w:rsidRPr="00461DF1" w:rsidRDefault="00C81E9B" w:rsidP="00C81E9B">
      <w:pPr>
        <w:widowControl/>
        <w:autoSpaceDE/>
        <w:autoSpaceDN/>
        <w:rPr>
          <w:rFonts w:ascii="Arial" w:eastAsia="MS Mincho" w:hAnsi="Arial" w:cs="Arial"/>
        </w:rPr>
      </w:pPr>
    </w:p>
    <w:p w14:paraId="20FBFB93"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University of California, Berkeley. (2024). Human research protection program: Data </w:t>
      </w:r>
    </w:p>
    <w:p w14:paraId="7DEF0479"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retention guidelines. </w:t>
      </w:r>
      <w:hyperlink r:id="rId66" w:history="1">
        <w:r w:rsidRPr="00461DF1">
          <w:rPr>
            <w:rFonts w:ascii="Arial" w:eastAsia="MS Mincho" w:hAnsi="Arial" w:cs="Arial"/>
          </w:rPr>
          <w:t>https://cphs.berkeley.edu</w:t>
        </w:r>
      </w:hyperlink>
    </w:p>
    <w:p w14:paraId="558BA080" w14:textId="77777777" w:rsidR="00C81E9B" w:rsidRPr="00461DF1" w:rsidRDefault="00C81E9B" w:rsidP="00C81E9B">
      <w:pPr>
        <w:widowControl/>
        <w:autoSpaceDE/>
        <w:autoSpaceDN/>
        <w:rPr>
          <w:rFonts w:ascii="Arial" w:eastAsia="MS Mincho" w:hAnsi="Arial" w:cs="Arial"/>
        </w:rPr>
      </w:pPr>
    </w:p>
    <w:p w14:paraId="689922CB"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Weinstein, N., Deci, E. L., &amp; Ryan, R. M. (2022). Motivational effects of non-</w:t>
      </w:r>
    </w:p>
    <w:p w14:paraId="55D8ACD9"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judgmental listening. Journal of Personality and Social Psychology, 123(2), </w:t>
      </w:r>
    </w:p>
    <w:p w14:paraId="746BD845"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245–260. </w:t>
      </w:r>
      <w:hyperlink r:id="rId67" w:history="1">
        <w:r w:rsidRPr="00461DF1">
          <w:rPr>
            <w:rFonts w:ascii="Arial" w:eastAsia="MS Mincho" w:hAnsi="Arial" w:cs="Arial"/>
          </w:rPr>
          <w:t>https://doi.org/10.1037/pspi0000407</w:t>
        </w:r>
      </w:hyperlink>
    </w:p>
    <w:p w14:paraId="6854CE4B" w14:textId="77777777" w:rsidR="00C81E9B" w:rsidRPr="00461DF1" w:rsidRDefault="00C81E9B" w:rsidP="00C81E9B">
      <w:pPr>
        <w:widowControl/>
        <w:autoSpaceDE/>
        <w:autoSpaceDN/>
        <w:ind w:firstLine="720"/>
        <w:rPr>
          <w:rFonts w:ascii="Arial" w:eastAsia="MS Mincho" w:hAnsi="Arial" w:cs="Arial"/>
        </w:rPr>
      </w:pPr>
    </w:p>
    <w:p w14:paraId="187AFD92" w14:textId="77777777" w:rsidR="00C81E9B" w:rsidRDefault="00C81E9B" w:rsidP="00C81E9B">
      <w:pPr>
        <w:widowControl/>
        <w:autoSpaceDE/>
        <w:autoSpaceDN/>
        <w:rPr>
          <w:rFonts w:ascii="Arial" w:eastAsia="MS Mincho" w:hAnsi="Arial" w:cs="Arial"/>
          <w:lang w:val="en-SG"/>
        </w:rPr>
      </w:pPr>
      <w:r w:rsidRPr="00461DF1">
        <w:rPr>
          <w:rFonts w:ascii="Arial" w:eastAsia="MS Mincho" w:hAnsi="Arial" w:cs="Arial"/>
          <w:lang w:val="en-SG"/>
        </w:rPr>
        <w:t xml:space="preserve">Weinstein, N., et al. (2022). Supporting autonomy through non-judgmental listening. </w:t>
      </w:r>
    </w:p>
    <w:p w14:paraId="415E9A36" w14:textId="77777777" w:rsidR="00C81E9B" w:rsidRPr="00461DF1" w:rsidRDefault="00C81E9B" w:rsidP="00C81E9B">
      <w:pPr>
        <w:widowControl/>
        <w:autoSpaceDE/>
        <w:autoSpaceDN/>
        <w:ind w:firstLine="720"/>
        <w:rPr>
          <w:rFonts w:ascii="Arial" w:eastAsia="MS Mincho" w:hAnsi="Arial" w:cs="Arial"/>
          <w:lang w:val="en-SG"/>
        </w:rPr>
      </w:pPr>
      <w:r w:rsidRPr="00461DF1">
        <w:rPr>
          <w:rFonts w:ascii="Arial" w:eastAsia="MS Mincho" w:hAnsi="Arial" w:cs="Arial"/>
          <w:i/>
          <w:iCs/>
          <w:lang w:val="en-SG"/>
        </w:rPr>
        <w:t>Motivation and Emotion, 46</w:t>
      </w:r>
      <w:r w:rsidRPr="00461DF1">
        <w:rPr>
          <w:rFonts w:ascii="Arial" w:eastAsia="MS Mincho" w:hAnsi="Arial" w:cs="Arial"/>
          <w:lang w:val="en-SG"/>
        </w:rPr>
        <w:t xml:space="preserve">(2), 123–139. </w:t>
      </w:r>
      <w:hyperlink r:id="rId68" w:history="1">
        <w:r w:rsidRPr="00461DF1">
          <w:rPr>
            <w:rStyle w:val="Hyperlink"/>
            <w:rFonts w:ascii="Arial" w:eastAsia="MS Mincho" w:hAnsi="Arial" w:cs="Arial"/>
            <w:color w:val="auto"/>
            <w:u w:val="none"/>
            <w:lang w:val="en-SG"/>
          </w:rPr>
          <w:t>https://doi.org/10.1007/s11031-021-</w:t>
        </w:r>
        <w:r w:rsidRPr="0090775A">
          <w:rPr>
            <w:rStyle w:val="Hyperlink"/>
            <w:rFonts w:ascii="Arial" w:eastAsia="MS Mincho" w:hAnsi="Arial" w:cs="Arial"/>
            <w:color w:val="auto"/>
            <w:u w:val="none"/>
            <w:lang w:val="en-SG"/>
          </w:rPr>
          <w:tab/>
        </w:r>
        <w:r w:rsidRPr="00461DF1">
          <w:rPr>
            <w:rStyle w:val="Hyperlink"/>
            <w:rFonts w:ascii="Arial" w:eastAsia="MS Mincho" w:hAnsi="Arial" w:cs="Arial"/>
            <w:color w:val="auto"/>
            <w:u w:val="none"/>
            <w:lang w:val="en-SG"/>
          </w:rPr>
          <w:t>09895-6</w:t>
        </w:r>
      </w:hyperlink>
    </w:p>
    <w:p w14:paraId="654EF117" w14:textId="77777777" w:rsidR="00C81E9B" w:rsidRPr="00461DF1" w:rsidRDefault="00C81E9B" w:rsidP="00C81E9B">
      <w:pPr>
        <w:widowControl/>
        <w:autoSpaceDE/>
        <w:autoSpaceDN/>
        <w:rPr>
          <w:rFonts w:ascii="Arial" w:eastAsia="MS Mincho" w:hAnsi="Arial" w:cs="Arial"/>
        </w:rPr>
      </w:pPr>
    </w:p>
    <w:p w14:paraId="2083F9A4"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West, W., Hill, A., &amp; D’Souza, S. (2021). Interpersonal Competence and Counselor </w:t>
      </w:r>
    </w:p>
    <w:p w14:paraId="020CCCD8"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Effectiveness: Implications for Training and Supervision. British Journal of </w:t>
      </w:r>
    </w:p>
    <w:p w14:paraId="401B19CA" w14:textId="77777777" w:rsidR="00C81E9B"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Guidance &amp; Counselling, 49(5), 736–752. </w:t>
      </w:r>
    </w:p>
    <w:p w14:paraId="6AB93160"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https://doi.org/10.1080/03069885.2020.1813046</w:t>
      </w:r>
    </w:p>
    <w:p w14:paraId="5DA81C4B" w14:textId="77777777" w:rsidR="00C81E9B" w:rsidRDefault="00C81E9B" w:rsidP="00C81E9B">
      <w:pPr>
        <w:widowControl/>
        <w:autoSpaceDE/>
        <w:autoSpaceDN/>
        <w:rPr>
          <w:rFonts w:ascii="Arial" w:eastAsia="MS Mincho" w:hAnsi="Arial" w:cs="Arial"/>
        </w:rPr>
      </w:pPr>
    </w:p>
    <w:p w14:paraId="15526315"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Whittenbury, K., et al. (2025). Coping strategies and secondary traumatic stress. </w:t>
      </w:r>
    </w:p>
    <w:p w14:paraId="14AFDD72"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i/>
          <w:iCs/>
        </w:rPr>
        <w:t>Journal of Counseling Research</w:t>
      </w:r>
      <w:r w:rsidRPr="00461DF1">
        <w:rPr>
          <w:rFonts w:ascii="Arial" w:eastAsia="MS Mincho" w:hAnsi="Arial" w:cs="Arial"/>
        </w:rPr>
        <w:t>. Advance online publication.</w:t>
      </w:r>
    </w:p>
    <w:p w14:paraId="39CF1676" w14:textId="77777777" w:rsidR="00C81E9B" w:rsidRPr="00461DF1" w:rsidRDefault="00C81E9B" w:rsidP="00C81E9B">
      <w:pPr>
        <w:widowControl/>
        <w:autoSpaceDE/>
        <w:autoSpaceDN/>
        <w:rPr>
          <w:rFonts w:ascii="Arial" w:eastAsia="MS Mincho" w:hAnsi="Arial" w:cs="Arial"/>
        </w:rPr>
      </w:pPr>
    </w:p>
    <w:p w14:paraId="589D819C" w14:textId="77777777" w:rsidR="00C81E9B" w:rsidRDefault="00C81E9B" w:rsidP="00C81E9B">
      <w:pPr>
        <w:widowControl/>
        <w:autoSpaceDE/>
        <w:autoSpaceDN/>
        <w:rPr>
          <w:rFonts w:ascii="Arial" w:eastAsia="MS Mincho" w:hAnsi="Arial" w:cs="Arial"/>
        </w:rPr>
      </w:pPr>
      <w:r w:rsidRPr="00461DF1">
        <w:rPr>
          <w:rFonts w:ascii="Arial" w:eastAsia="MS Mincho" w:hAnsi="Arial" w:cs="Arial"/>
        </w:rPr>
        <w:t xml:space="preserve">World Health Organization. (2021). Ethics and governance of artificial intelligence for </w:t>
      </w:r>
    </w:p>
    <w:p w14:paraId="2D822839"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rPr>
        <w:t xml:space="preserve">health. </w:t>
      </w:r>
      <w:hyperlink r:id="rId69" w:history="1">
        <w:r w:rsidRPr="00461DF1">
          <w:rPr>
            <w:rFonts w:ascii="Arial" w:eastAsia="MS Mincho" w:hAnsi="Arial" w:cs="Arial"/>
          </w:rPr>
          <w:t>https://www.who.int/publications/i/item/9789240029200</w:t>
        </w:r>
      </w:hyperlink>
    </w:p>
    <w:p w14:paraId="754DD16B" w14:textId="77777777" w:rsidR="00C81E9B" w:rsidRPr="00461DF1" w:rsidRDefault="00C81E9B" w:rsidP="00C81E9B">
      <w:pPr>
        <w:widowControl/>
        <w:autoSpaceDE/>
        <w:autoSpaceDN/>
        <w:rPr>
          <w:rFonts w:ascii="Arial" w:eastAsia="MS Mincho" w:hAnsi="Arial" w:cs="Arial"/>
        </w:rPr>
      </w:pPr>
    </w:p>
    <w:p w14:paraId="4567F759" w14:textId="77777777" w:rsidR="00C81E9B" w:rsidRDefault="00C81E9B" w:rsidP="00C81E9B">
      <w:pPr>
        <w:widowControl/>
        <w:autoSpaceDE/>
        <w:autoSpaceDN/>
        <w:rPr>
          <w:rFonts w:ascii="Arial" w:eastAsia="MS Mincho" w:hAnsi="Arial" w:cs="Arial"/>
          <w:i/>
          <w:iCs/>
        </w:rPr>
      </w:pPr>
      <w:r w:rsidRPr="00461DF1">
        <w:rPr>
          <w:rFonts w:ascii="Arial" w:eastAsia="MS Mincho" w:hAnsi="Arial" w:cs="Arial"/>
        </w:rPr>
        <w:t xml:space="preserve">Xie, W., et al. (2021). Compassion satisfaction and fatigue: A meta-analysis. </w:t>
      </w:r>
      <w:r w:rsidRPr="00461DF1">
        <w:rPr>
          <w:rFonts w:ascii="Arial" w:eastAsia="MS Mincho" w:hAnsi="Arial" w:cs="Arial"/>
          <w:i/>
          <w:iCs/>
        </w:rPr>
        <w:t xml:space="preserve">Journal </w:t>
      </w:r>
    </w:p>
    <w:p w14:paraId="4088E660"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i/>
          <w:iCs/>
        </w:rPr>
        <w:t>of Nursing Management, 29</w:t>
      </w:r>
      <w:r w:rsidRPr="00461DF1">
        <w:rPr>
          <w:rFonts w:ascii="Arial" w:eastAsia="MS Mincho" w:hAnsi="Arial" w:cs="Arial"/>
        </w:rPr>
        <w:t>(7), 1939–1950.</w:t>
      </w:r>
    </w:p>
    <w:p w14:paraId="5EFAD0EE" w14:textId="77777777" w:rsidR="00C81E9B" w:rsidRDefault="00C81E9B" w:rsidP="00C81E9B">
      <w:pPr>
        <w:widowControl/>
        <w:autoSpaceDE/>
        <w:autoSpaceDN/>
        <w:rPr>
          <w:rFonts w:ascii="Arial" w:eastAsia="MS Mincho" w:hAnsi="Arial" w:cs="Arial"/>
          <w:b/>
          <w:bCs/>
        </w:rPr>
      </w:pPr>
    </w:p>
    <w:p w14:paraId="572E356B" w14:textId="77777777" w:rsidR="00C81E9B" w:rsidRDefault="00C81E9B" w:rsidP="00C81E9B">
      <w:pPr>
        <w:widowControl/>
        <w:autoSpaceDE/>
        <w:autoSpaceDN/>
        <w:rPr>
          <w:rFonts w:ascii="Arial" w:eastAsia="MS Mincho" w:hAnsi="Arial" w:cs="Arial"/>
        </w:rPr>
      </w:pPr>
      <w:r w:rsidRPr="00447673">
        <w:rPr>
          <w:rFonts w:ascii="Arial" w:eastAsia="MS Mincho" w:hAnsi="Arial" w:cs="Arial"/>
        </w:rPr>
        <w:t xml:space="preserve">Yıldırım, N., Aykanat Girgin, B., &amp; Yıldırım, A. (2021). The relationship between </w:t>
      </w:r>
    </w:p>
    <w:p w14:paraId="22C4267C" w14:textId="77777777" w:rsidR="00C81E9B" w:rsidRDefault="00C81E9B" w:rsidP="00C81E9B">
      <w:pPr>
        <w:widowControl/>
        <w:autoSpaceDE/>
        <w:autoSpaceDN/>
        <w:ind w:firstLine="720"/>
        <w:rPr>
          <w:rFonts w:ascii="Arial" w:eastAsia="MS Mincho" w:hAnsi="Arial" w:cs="Arial"/>
        </w:rPr>
      </w:pPr>
      <w:r w:rsidRPr="00447673">
        <w:rPr>
          <w:rFonts w:ascii="Arial" w:eastAsia="MS Mincho" w:hAnsi="Arial" w:cs="Arial"/>
        </w:rPr>
        <w:t xml:space="preserve">psychological capital and compassion satisfaction, compassion fatigue, burnout, </w:t>
      </w:r>
    </w:p>
    <w:p w14:paraId="5A052A01" w14:textId="77777777" w:rsidR="00C81E9B" w:rsidRDefault="00C81E9B" w:rsidP="00C81E9B">
      <w:pPr>
        <w:widowControl/>
        <w:autoSpaceDE/>
        <w:autoSpaceDN/>
        <w:ind w:firstLine="720"/>
        <w:rPr>
          <w:rFonts w:ascii="Arial" w:eastAsia="MS Mincho" w:hAnsi="Arial" w:cs="Arial"/>
          <w:i/>
          <w:iCs/>
        </w:rPr>
      </w:pPr>
      <w:r w:rsidRPr="00447673">
        <w:rPr>
          <w:rFonts w:ascii="Arial" w:eastAsia="MS Mincho" w:hAnsi="Arial" w:cs="Arial"/>
        </w:rPr>
        <w:t xml:space="preserve">and posttraumatic stress disorder symptoms among nurses. </w:t>
      </w:r>
      <w:r w:rsidRPr="00447673">
        <w:rPr>
          <w:rFonts w:ascii="Arial" w:eastAsia="MS Mincho" w:hAnsi="Arial" w:cs="Arial"/>
          <w:i/>
          <w:iCs/>
        </w:rPr>
        <w:t xml:space="preserve">Journal of Nursing </w:t>
      </w:r>
    </w:p>
    <w:p w14:paraId="132942BB" w14:textId="77777777" w:rsidR="00C81E9B" w:rsidRPr="00447673" w:rsidRDefault="00C81E9B" w:rsidP="00C81E9B">
      <w:pPr>
        <w:widowControl/>
        <w:autoSpaceDE/>
        <w:autoSpaceDN/>
        <w:ind w:firstLine="720"/>
        <w:rPr>
          <w:rFonts w:ascii="Arial" w:eastAsia="MS Mincho" w:hAnsi="Arial" w:cs="Arial"/>
        </w:rPr>
      </w:pPr>
      <w:r w:rsidRPr="00447673">
        <w:rPr>
          <w:rFonts w:ascii="Arial" w:eastAsia="MS Mincho" w:hAnsi="Arial" w:cs="Arial"/>
          <w:i/>
          <w:iCs/>
        </w:rPr>
        <w:t>Scholarship, 53</w:t>
      </w:r>
      <w:r w:rsidRPr="00447673">
        <w:rPr>
          <w:rFonts w:ascii="Arial" w:eastAsia="MS Mincho" w:hAnsi="Arial" w:cs="Arial"/>
        </w:rPr>
        <w:t xml:space="preserve">(6), 704–715. </w:t>
      </w:r>
      <w:hyperlink r:id="rId70" w:history="1">
        <w:r w:rsidRPr="00447673">
          <w:rPr>
            <w:rStyle w:val="Hyperlink"/>
            <w:rFonts w:ascii="Arial" w:eastAsia="MS Mincho" w:hAnsi="Arial" w:cs="Arial"/>
            <w:color w:val="auto"/>
            <w:u w:val="none"/>
          </w:rPr>
          <w:t>https://doi.org/10.1111/jnu.12607</w:t>
        </w:r>
      </w:hyperlink>
    </w:p>
    <w:p w14:paraId="30F1B5A9" w14:textId="77777777" w:rsidR="00C81E9B" w:rsidRPr="00447673" w:rsidRDefault="00C81E9B" w:rsidP="00C81E9B">
      <w:pPr>
        <w:widowControl/>
        <w:autoSpaceDE/>
        <w:autoSpaceDN/>
        <w:rPr>
          <w:rFonts w:ascii="Arial" w:eastAsia="MS Mincho" w:hAnsi="Arial" w:cs="Arial"/>
          <w:b/>
          <w:bCs/>
        </w:rPr>
      </w:pPr>
    </w:p>
    <w:p w14:paraId="43D2D0F0" w14:textId="77777777" w:rsidR="00C81E9B" w:rsidRDefault="00C81E9B" w:rsidP="00C81E9B">
      <w:pPr>
        <w:widowControl/>
        <w:autoSpaceDE/>
        <w:autoSpaceDN/>
        <w:rPr>
          <w:rFonts w:ascii="Arial" w:eastAsia="MS Mincho" w:hAnsi="Arial" w:cs="Arial"/>
          <w:i/>
          <w:iCs/>
        </w:rPr>
      </w:pPr>
      <w:r w:rsidRPr="00461DF1">
        <w:rPr>
          <w:rFonts w:ascii="Arial" w:eastAsia="MS Mincho" w:hAnsi="Arial" w:cs="Arial"/>
        </w:rPr>
        <w:t xml:space="preserve">Zhang, Y., et al. (2023). Therapist empathy and counseling outcomes. </w:t>
      </w:r>
      <w:r w:rsidRPr="00461DF1">
        <w:rPr>
          <w:rFonts w:ascii="Arial" w:eastAsia="MS Mincho" w:hAnsi="Arial" w:cs="Arial"/>
          <w:i/>
          <w:iCs/>
        </w:rPr>
        <w:t xml:space="preserve">Journal of </w:t>
      </w:r>
    </w:p>
    <w:p w14:paraId="09A6580A" w14:textId="77777777" w:rsidR="00C81E9B" w:rsidRPr="00461DF1" w:rsidRDefault="00C81E9B" w:rsidP="00C81E9B">
      <w:pPr>
        <w:widowControl/>
        <w:autoSpaceDE/>
        <w:autoSpaceDN/>
        <w:ind w:firstLine="720"/>
        <w:rPr>
          <w:rFonts w:ascii="Arial" w:eastAsia="MS Mincho" w:hAnsi="Arial" w:cs="Arial"/>
        </w:rPr>
      </w:pPr>
      <w:r w:rsidRPr="00461DF1">
        <w:rPr>
          <w:rFonts w:ascii="Arial" w:eastAsia="MS Mincho" w:hAnsi="Arial" w:cs="Arial"/>
          <w:i/>
          <w:iCs/>
        </w:rPr>
        <w:t>Counseling Psychology, 70</w:t>
      </w:r>
      <w:r w:rsidRPr="00461DF1">
        <w:rPr>
          <w:rFonts w:ascii="Arial" w:eastAsia="MS Mincho" w:hAnsi="Arial" w:cs="Arial"/>
        </w:rPr>
        <w:t>(4), 567–579.</w:t>
      </w:r>
    </w:p>
    <w:p w14:paraId="4D8C2ABC" w14:textId="77777777" w:rsidR="00C81E9B" w:rsidRDefault="00C81E9B" w:rsidP="00C81E9B">
      <w:pPr>
        <w:widowControl/>
        <w:autoSpaceDE/>
        <w:autoSpaceDN/>
        <w:rPr>
          <w:rFonts w:ascii="Arial" w:eastAsia="MS Mincho" w:hAnsi="Arial" w:cs="Arial"/>
        </w:rPr>
      </w:pPr>
    </w:p>
    <w:p w14:paraId="1550437E" w14:textId="77777777" w:rsidR="00C81E9B" w:rsidRDefault="00C81E9B" w:rsidP="00C81E9B">
      <w:pPr>
        <w:widowControl/>
        <w:autoSpaceDE/>
        <w:autoSpaceDN/>
        <w:rPr>
          <w:rFonts w:ascii="Arial" w:eastAsiaTheme="minorHAnsi" w:hAnsi="Arial" w:cs="Arial"/>
          <w:i/>
          <w:iCs/>
          <w:kern w:val="2"/>
          <w:lang w:val="en-SG"/>
          <w14:ligatures w14:val="standardContextual"/>
        </w:rPr>
      </w:pPr>
      <w:r w:rsidRPr="00C40661">
        <w:rPr>
          <w:rFonts w:ascii="Arial" w:eastAsiaTheme="minorHAnsi" w:hAnsi="Arial" w:cs="Arial"/>
          <w:kern w:val="2"/>
          <w:lang w:val="en-SG"/>
          <w14:ligatures w14:val="standardContextual"/>
        </w:rPr>
        <w:t xml:space="preserve">Zhang, Y., Chen, Y., Ma, L., &amp; others. (2018). </w:t>
      </w:r>
      <w:r w:rsidRPr="00C40661">
        <w:rPr>
          <w:rFonts w:ascii="Arial" w:eastAsiaTheme="minorHAnsi" w:hAnsi="Arial" w:cs="Arial"/>
          <w:i/>
          <w:iCs/>
          <w:kern w:val="2"/>
          <w:lang w:val="en-SG"/>
          <w14:ligatures w14:val="standardContextual"/>
        </w:rPr>
        <w:t xml:space="preserve">Mental health problems during the </w:t>
      </w:r>
    </w:p>
    <w:p w14:paraId="433A0068" w14:textId="77777777" w:rsidR="00C81E9B" w:rsidRDefault="00C81E9B" w:rsidP="00C81E9B">
      <w:pPr>
        <w:widowControl/>
        <w:autoSpaceDE/>
        <w:autoSpaceDN/>
        <w:ind w:firstLine="720"/>
        <w:rPr>
          <w:rFonts w:ascii="Arial" w:eastAsiaTheme="minorHAnsi" w:hAnsi="Arial" w:cs="Arial"/>
          <w:kern w:val="2"/>
          <w:lang w:val="en-SG"/>
          <w14:ligatures w14:val="standardContextual"/>
        </w:rPr>
      </w:pPr>
      <w:r w:rsidRPr="00C40661">
        <w:rPr>
          <w:rFonts w:ascii="Arial" w:eastAsiaTheme="minorHAnsi" w:hAnsi="Arial" w:cs="Arial"/>
          <w:i/>
          <w:iCs/>
          <w:kern w:val="2"/>
          <w:lang w:val="en-SG"/>
          <w14:ligatures w14:val="standardContextual"/>
        </w:rPr>
        <w:t>COVID-19 pandemics: The role of social support</w:t>
      </w:r>
      <w:r w:rsidRPr="00C40661">
        <w:rPr>
          <w:rFonts w:ascii="Arial" w:eastAsiaTheme="minorHAnsi" w:hAnsi="Arial" w:cs="Arial"/>
          <w:kern w:val="2"/>
          <w:lang w:val="en-SG"/>
          <w14:ligatures w14:val="standardContextual"/>
        </w:rPr>
        <w:t>. Psychiatry Research.</w:t>
      </w:r>
    </w:p>
    <w:p w14:paraId="232E6223" w14:textId="77777777" w:rsidR="00C81E9B" w:rsidRPr="00C40661" w:rsidRDefault="00C81E9B" w:rsidP="00C81E9B">
      <w:pPr>
        <w:widowControl/>
        <w:autoSpaceDE/>
        <w:autoSpaceDN/>
        <w:ind w:firstLine="720"/>
        <w:rPr>
          <w:rFonts w:ascii="Arial" w:eastAsiaTheme="minorHAnsi" w:hAnsi="Arial" w:cs="Arial"/>
          <w:kern w:val="2"/>
          <w:lang w:val="en-SG"/>
          <w14:ligatures w14:val="standardContextual"/>
        </w:rPr>
      </w:pPr>
      <w:hyperlink r:id="rId71" w:history="1">
        <w:r w:rsidRPr="00C40661">
          <w:rPr>
            <w:rFonts w:ascii="Arial" w:eastAsiaTheme="minorHAnsi" w:hAnsi="Arial" w:cs="Arial"/>
            <w:kern w:val="2"/>
            <w:lang w:val="en-SG"/>
            <w14:ligatures w14:val="standardContextual"/>
          </w:rPr>
          <w:t>https://doi.org/10.1016/j.psychres.2018</w:t>
        </w:r>
      </w:hyperlink>
    </w:p>
    <w:p w14:paraId="45778FB6" w14:textId="77777777" w:rsidR="00C81E9B" w:rsidRDefault="00C81E9B" w:rsidP="00C81E9B">
      <w:pPr>
        <w:widowControl/>
        <w:autoSpaceDE/>
        <w:autoSpaceDN/>
        <w:rPr>
          <w:rFonts w:ascii="Arial" w:eastAsia="MS Mincho" w:hAnsi="Arial" w:cs="Arial"/>
        </w:rPr>
      </w:pPr>
    </w:p>
    <w:p w14:paraId="16D11F66" w14:textId="77777777" w:rsidR="00C81E9B" w:rsidRDefault="00C81E9B" w:rsidP="00C81E9B">
      <w:pPr>
        <w:jc w:val="center"/>
        <w:rPr>
          <w:rFonts w:ascii="Arial" w:hAnsi="Arial" w:cs="Arial"/>
        </w:rPr>
      </w:pPr>
    </w:p>
    <w:p w14:paraId="6FAE3D34" w14:textId="77777777" w:rsidR="00C81E9B" w:rsidRDefault="00C81E9B" w:rsidP="00C81E9B">
      <w:pPr>
        <w:jc w:val="center"/>
        <w:rPr>
          <w:rFonts w:ascii="Arial" w:hAnsi="Arial" w:cs="Arial"/>
        </w:rPr>
      </w:pPr>
    </w:p>
    <w:sectPr w:rsidR="00C81E9B" w:rsidSect="00875B5B">
      <w:type w:val="continuous"/>
      <w:pgSz w:w="12240" w:h="15840"/>
      <w:pgMar w:top="1440" w:right="1440" w:bottom="1440" w:left="2160" w:header="714" w:footer="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7D167" w14:textId="77777777" w:rsidR="00E506B8" w:rsidRDefault="00E506B8">
      <w:r>
        <w:separator/>
      </w:r>
    </w:p>
  </w:endnote>
  <w:endnote w:type="continuationSeparator" w:id="0">
    <w:p w14:paraId="4D850F40" w14:textId="77777777" w:rsidR="00E506B8" w:rsidRDefault="00E50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1E3AE" w14:textId="77777777" w:rsidR="00E506B8" w:rsidRDefault="00E506B8">
      <w:r>
        <w:separator/>
      </w:r>
    </w:p>
  </w:footnote>
  <w:footnote w:type="continuationSeparator" w:id="0">
    <w:p w14:paraId="311D481A" w14:textId="77777777" w:rsidR="00E506B8" w:rsidRDefault="00E50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3547255"/>
      <w:docPartObj>
        <w:docPartGallery w:val="Page Numbers (Top of Page)"/>
        <w:docPartUnique/>
      </w:docPartObj>
    </w:sdtPr>
    <w:sdtEndPr>
      <w:rPr>
        <w:noProof/>
      </w:rPr>
    </w:sdtEndPr>
    <w:sdtContent>
      <w:p w14:paraId="13B54E86" w14:textId="22EB6B53" w:rsidR="00753C25" w:rsidRDefault="00753C25">
        <w:pPr>
          <w:pStyle w:val="Header"/>
          <w:jc w:val="right"/>
        </w:pPr>
        <w:r w:rsidRPr="003F6A43">
          <w:rPr>
            <w:rFonts w:ascii="Arial" w:hAnsi="Arial" w:cs="Arial"/>
            <w:sz w:val="20"/>
            <w:szCs w:val="20"/>
          </w:rPr>
          <w:t>Work-Specific Characteristics…</w:t>
        </w:r>
        <w:r>
          <w:fldChar w:fldCharType="begin"/>
        </w:r>
        <w:r>
          <w:instrText xml:space="preserve"> PAGE   \* MERGEFORMAT </w:instrText>
        </w:r>
        <w:r>
          <w:fldChar w:fldCharType="separate"/>
        </w:r>
        <w:r>
          <w:rPr>
            <w:noProof/>
          </w:rPr>
          <w:t>2</w:t>
        </w:r>
        <w:r>
          <w:rPr>
            <w:noProof/>
          </w:rPr>
          <w:fldChar w:fldCharType="end"/>
        </w:r>
      </w:p>
    </w:sdtContent>
  </w:sdt>
  <w:p w14:paraId="4B461CD9" w14:textId="77777777" w:rsidR="00753C25" w:rsidRDefault="00753C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70C5E" w14:textId="77777777" w:rsidR="006573CA" w:rsidRPr="003F6A43" w:rsidRDefault="006573CA" w:rsidP="004D5000">
    <w:pPr>
      <w:pStyle w:val="Header"/>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77D05"/>
    <w:multiLevelType w:val="hybridMultilevel"/>
    <w:tmpl w:val="DBE43610"/>
    <w:lvl w:ilvl="0" w:tplc="46768114">
      <w:start w:val="13"/>
      <w:numFmt w:val="decimal"/>
      <w:lvlText w:val="%1."/>
      <w:lvlJc w:val="left"/>
      <w:pPr>
        <w:ind w:left="720" w:hanging="360"/>
      </w:pPr>
      <w:rPr>
        <w:rFonts w:hint="default"/>
      </w:rPr>
    </w:lvl>
    <w:lvl w:ilvl="1" w:tplc="50E4AAFE" w:tentative="1">
      <w:start w:val="1"/>
      <w:numFmt w:val="lowerLetter"/>
      <w:lvlText w:val="%2."/>
      <w:lvlJc w:val="left"/>
      <w:pPr>
        <w:ind w:left="1440" w:hanging="360"/>
      </w:pPr>
    </w:lvl>
    <w:lvl w:ilvl="2" w:tplc="8830309E" w:tentative="1">
      <w:start w:val="1"/>
      <w:numFmt w:val="lowerRoman"/>
      <w:lvlText w:val="%3."/>
      <w:lvlJc w:val="right"/>
      <w:pPr>
        <w:ind w:left="2160" w:hanging="180"/>
      </w:pPr>
    </w:lvl>
    <w:lvl w:ilvl="3" w:tplc="71DA1B5A" w:tentative="1">
      <w:start w:val="1"/>
      <w:numFmt w:val="decimal"/>
      <w:lvlText w:val="%4."/>
      <w:lvlJc w:val="left"/>
      <w:pPr>
        <w:ind w:left="2880" w:hanging="360"/>
      </w:pPr>
    </w:lvl>
    <w:lvl w:ilvl="4" w:tplc="8A0A36AA" w:tentative="1">
      <w:start w:val="1"/>
      <w:numFmt w:val="lowerLetter"/>
      <w:lvlText w:val="%5."/>
      <w:lvlJc w:val="left"/>
      <w:pPr>
        <w:ind w:left="3600" w:hanging="360"/>
      </w:pPr>
    </w:lvl>
    <w:lvl w:ilvl="5" w:tplc="650CF846" w:tentative="1">
      <w:start w:val="1"/>
      <w:numFmt w:val="lowerRoman"/>
      <w:lvlText w:val="%6."/>
      <w:lvlJc w:val="right"/>
      <w:pPr>
        <w:ind w:left="4320" w:hanging="180"/>
      </w:pPr>
    </w:lvl>
    <w:lvl w:ilvl="6" w:tplc="56708D0E" w:tentative="1">
      <w:start w:val="1"/>
      <w:numFmt w:val="decimal"/>
      <w:lvlText w:val="%7."/>
      <w:lvlJc w:val="left"/>
      <w:pPr>
        <w:ind w:left="5040" w:hanging="360"/>
      </w:pPr>
    </w:lvl>
    <w:lvl w:ilvl="7" w:tplc="CA384946" w:tentative="1">
      <w:start w:val="1"/>
      <w:numFmt w:val="lowerLetter"/>
      <w:lvlText w:val="%8."/>
      <w:lvlJc w:val="left"/>
      <w:pPr>
        <w:ind w:left="5760" w:hanging="360"/>
      </w:pPr>
    </w:lvl>
    <w:lvl w:ilvl="8" w:tplc="90881CD8" w:tentative="1">
      <w:start w:val="1"/>
      <w:numFmt w:val="lowerRoman"/>
      <w:lvlText w:val="%9."/>
      <w:lvlJc w:val="right"/>
      <w:pPr>
        <w:ind w:left="6480" w:hanging="180"/>
      </w:pPr>
    </w:lvl>
  </w:abstractNum>
  <w:abstractNum w:abstractNumId="1" w15:restartNumberingAfterBreak="0">
    <w:nsid w:val="069E13FE"/>
    <w:multiLevelType w:val="hybridMultilevel"/>
    <w:tmpl w:val="E1CE5B90"/>
    <w:lvl w:ilvl="0" w:tplc="CB9002D2">
      <w:start w:val="1"/>
      <w:numFmt w:val="decimal"/>
      <w:lvlText w:val="%1."/>
      <w:lvlJc w:val="left"/>
      <w:pPr>
        <w:ind w:left="1080" w:hanging="720"/>
      </w:pPr>
      <w:rPr>
        <w:rFonts w:hint="default"/>
      </w:rPr>
    </w:lvl>
    <w:lvl w:ilvl="1" w:tplc="AC0CFB02" w:tentative="1">
      <w:start w:val="1"/>
      <w:numFmt w:val="lowerLetter"/>
      <w:lvlText w:val="%2."/>
      <w:lvlJc w:val="left"/>
      <w:pPr>
        <w:ind w:left="1440" w:hanging="360"/>
      </w:pPr>
    </w:lvl>
    <w:lvl w:ilvl="2" w:tplc="3D30D9D2" w:tentative="1">
      <w:start w:val="1"/>
      <w:numFmt w:val="lowerRoman"/>
      <w:lvlText w:val="%3."/>
      <w:lvlJc w:val="right"/>
      <w:pPr>
        <w:ind w:left="2160" w:hanging="180"/>
      </w:pPr>
    </w:lvl>
    <w:lvl w:ilvl="3" w:tplc="EF9017A6" w:tentative="1">
      <w:start w:val="1"/>
      <w:numFmt w:val="decimal"/>
      <w:lvlText w:val="%4."/>
      <w:lvlJc w:val="left"/>
      <w:pPr>
        <w:ind w:left="2880" w:hanging="360"/>
      </w:pPr>
    </w:lvl>
    <w:lvl w:ilvl="4" w:tplc="9FF85484" w:tentative="1">
      <w:start w:val="1"/>
      <w:numFmt w:val="lowerLetter"/>
      <w:lvlText w:val="%5."/>
      <w:lvlJc w:val="left"/>
      <w:pPr>
        <w:ind w:left="3600" w:hanging="360"/>
      </w:pPr>
    </w:lvl>
    <w:lvl w:ilvl="5" w:tplc="D43A6C1E" w:tentative="1">
      <w:start w:val="1"/>
      <w:numFmt w:val="lowerRoman"/>
      <w:lvlText w:val="%6."/>
      <w:lvlJc w:val="right"/>
      <w:pPr>
        <w:ind w:left="4320" w:hanging="180"/>
      </w:pPr>
    </w:lvl>
    <w:lvl w:ilvl="6" w:tplc="39606588" w:tentative="1">
      <w:start w:val="1"/>
      <w:numFmt w:val="decimal"/>
      <w:lvlText w:val="%7."/>
      <w:lvlJc w:val="left"/>
      <w:pPr>
        <w:ind w:left="5040" w:hanging="360"/>
      </w:pPr>
    </w:lvl>
    <w:lvl w:ilvl="7" w:tplc="6BFAB730" w:tentative="1">
      <w:start w:val="1"/>
      <w:numFmt w:val="lowerLetter"/>
      <w:lvlText w:val="%8."/>
      <w:lvlJc w:val="left"/>
      <w:pPr>
        <w:ind w:left="5760" w:hanging="360"/>
      </w:pPr>
    </w:lvl>
    <w:lvl w:ilvl="8" w:tplc="4BB27318" w:tentative="1">
      <w:start w:val="1"/>
      <w:numFmt w:val="lowerRoman"/>
      <w:lvlText w:val="%9."/>
      <w:lvlJc w:val="right"/>
      <w:pPr>
        <w:ind w:left="6480" w:hanging="180"/>
      </w:pPr>
    </w:lvl>
  </w:abstractNum>
  <w:abstractNum w:abstractNumId="2" w15:restartNumberingAfterBreak="0">
    <w:nsid w:val="0F57308C"/>
    <w:multiLevelType w:val="multilevel"/>
    <w:tmpl w:val="37B44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058F6"/>
    <w:multiLevelType w:val="multilevel"/>
    <w:tmpl w:val="5838D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E22294"/>
    <w:multiLevelType w:val="hybridMultilevel"/>
    <w:tmpl w:val="E012D69A"/>
    <w:lvl w:ilvl="0" w:tplc="70C83C42">
      <w:numFmt w:val="bullet"/>
      <w:lvlText w:val="-"/>
      <w:lvlJc w:val="left"/>
      <w:pPr>
        <w:ind w:left="8275" w:hanging="360"/>
      </w:pPr>
      <w:rPr>
        <w:rFonts w:ascii="Arial" w:eastAsia="Microsoft Sans Serif" w:hAnsi="Arial" w:cs="Arial" w:hint="default"/>
      </w:rPr>
    </w:lvl>
    <w:lvl w:ilvl="1" w:tplc="3D66F996" w:tentative="1">
      <w:start w:val="1"/>
      <w:numFmt w:val="bullet"/>
      <w:lvlText w:val="o"/>
      <w:lvlJc w:val="left"/>
      <w:pPr>
        <w:ind w:left="8995" w:hanging="360"/>
      </w:pPr>
      <w:rPr>
        <w:rFonts w:ascii="Courier New" w:hAnsi="Courier New" w:cs="Courier New" w:hint="default"/>
      </w:rPr>
    </w:lvl>
    <w:lvl w:ilvl="2" w:tplc="9EE896D2" w:tentative="1">
      <w:start w:val="1"/>
      <w:numFmt w:val="bullet"/>
      <w:lvlText w:val=""/>
      <w:lvlJc w:val="left"/>
      <w:pPr>
        <w:ind w:left="9715" w:hanging="360"/>
      </w:pPr>
      <w:rPr>
        <w:rFonts w:ascii="Wingdings" w:hAnsi="Wingdings" w:hint="default"/>
      </w:rPr>
    </w:lvl>
    <w:lvl w:ilvl="3" w:tplc="835283F8" w:tentative="1">
      <w:start w:val="1"/>
      <w:numFmt w:val="bullet"/>
      <w:lvlText w:val=""/>
      <w:lvlJc w:val="left"/>
      <w:pPr>
        <w:ind w:left="10435" w:hanging="360"/>
      </w:pPr>
      <w:rPr>
        <w:rFonts w:ascii="Symbol" w:hAnsi="Symbol" w:hint="default"/>
      </w:rPr>
    </w:lvl>
    <w:lvl w:ilvl="4" w:tplc="4E3481DE" w:tentative="1">
      <w:start w:val="1"/>
      <w:numFmt w:val="bullet"/>
      <w:lvlText w:val="o"/>
      <w:lvlJc w:val="left"/>
      <w:pPr>
        <w:ind w:left="11155" w:hanging="360"/>
      </w:pPr>
      <w:rPr>
        <w:rFonts w:ascii="Courier New" w:hAnsi="Courier New" w:cs="Courier New" w:hint="default"/>
      </w:rPr>
    </w:lvl>
    <w:lvl w:ilvl="5" w:tplc="AD2AC7FC" w:tentative="1">
      <w:start w:val="1"/>
      <w:numFmt w:val="bullet"/>
      <w:lvlText w:val=""/>
      <w:lvlJc w:val="left"/>
      <w:pPr>
        <w:ind w:left="11875" w:hanging="360"/>
      </w:pPr>
      <w:rPr>
        <w:rFonts w:ascii="Wingdings" w:hAnsi="Wingdings" w:hint="default"/>
      </w:rPr>
    </w:lvl>
    <w:lvl w:ilvl="6" w:tplc="B5065D4A" w:tentative="1">
      <w:start w:val="1"/>
      <w:numFmt w:val="bullet"/>
      <w:lvlText w:val=""/>
      <w:lvlJc w:val="left"/>
      <w:pPr>
        <w:ind w:left="12595" w:hanging="360"/>
      </w:pPr>
      <w:rPr>
        <w:rFonts w:ascii="Symbol" w:hAnsi="Symbol" w:hint="default"/>
      </w:rPr>
    </w:lvl>
    <w:lvl w:ilvl="7" w:tplc="34064D4A" w:tentative="1">
      <w:start w:val="1"/>
      <w:numFmt w:val="bullet"/>
      <w:lvlText w:val="o"/>
      <w:lvlJc w:val="left"/>
      <w:pPr>
        <w:ind w:left="13315" w:hanging="360"/>
      </w:pPr>
      <w:rPr>
        <w:rFonts w:ascii="Courier New" w:hAnsi="Courier New" w:cs="Courier New" w:hint="default"/>
      </w:rPr>
    </w:lvl>
    <w:lvl w:ilvl="8" w:tplc="707236BA" w:tentative="1">
      <w:start w:val="1"/>
      <w:numFmt w:val="bullet"/>
      <w:lvlText w:val=""/>
      <w:lvlJc w:val="left"/>
      <w:pPr>
        <w:ind w:left="14035" w:hanging="360"/>
      </w:pPr>
      <w:rPr>
        <w:rFonts w:ascii="Wingdings" w:hAnsi="Wingdings" w:hint="default"/>
      </w:rPr>
    </w:lvl>
  </w:abstractNum>
  <w:abstractNum w:abstractNumId="5" w15:restartNumberingAfterBreak="0">
    <w:nsid w:val="29585217"/>
    <w:multiLevelType w:val="hybridMultilevel"/>
    <w:tmpl w:val="45228DC4"/>
    <w:lvl w:ilvl="0" w:tplc="A148E474">
      <w:start w:val="1"/>
      <w:numFmt w:val="decimal"/>
      <w:lvlText w:val="%1."/>
      <w:lvlJc w:val="left"/>
      <w:pPr>
        <w:ind w:left="720" w:hanging="360"/>
      </w:pPr>
      <w:rPr>
        <w:rFonts w:hint="default"/>
      </w:rPr>
    </w:lvl>
    <w:lvl w:ilvl="1" w:tplc="D85AB1B6" w:tentative="1">
      <w:start w:val="1"/>
      <w:numFmt w:val="lowerLetter"/>
      <w:lvlText w:val="%2."/>
      <w:lvlJc w:val="left"/>
      <w:pPr>
        <w:ind w:left="1440" w:hanging="360"/>
      </w:pPr>
    </w:lvl>
    <w:lvl w:ilvl="2" w:tplc="1FE279C2" w:tentative="1">
      <w:start w:val="1"/>
      <w:numFmt w:val="lowerRoman"/>
      <w:lvlText w:val="%3."/>
      <w:lvlJc w:val="right"/>
      <w:pPr>
        <w:ind w:left="2160" w:hanging="180"/>
      </w:pPr>
    </w:lvl>
    <w:lvl w:ilvl="3" w:tplc="80468C88" w:tentative="1">
      <w:start w:val="1"/>
      <w:numFmt w:val="decimal"/>
      <w:lvlText w:val="%4."/>
      <w:lvlJc w:val="left"/>
      <w:pPr>
        <w:ind w:left="2880" w:hanging="360"/>
      </w:pPr>
    </w:lvl>
    <w:lvl w:ilvl="4" w:tplc="C3309746" w:tentative="1">
      <w:start w:val="1"/>
      <w:numFmt w:val="lowerLetter"/>
      <w:lvlText w:val="%5."/>
      <w:lvlJc w:val="left"/>
      <w:pPr>
        <w:ind w:left="3600" w:hanging="360"/>
      </w:pPr>
    </w:lvl>
    <w:lvl w:ilvl="5" w:tplc="E9DAEC38" w:tentative="1">
      <w:start w:val="1"/>
      <w:numFmt w:val="lowerRoman"/>
      <w:lvlText w:val="%6."/>
      <w:lvlJc w:val="right"/>
      <w:pPr>
        <w:ind w:left="4320" w:hanging="180"/>
      </w:pPr>
    </w:lvl>
    <w:lvl w:ilvl="6" w:tplc="E9062946" w:tentative="1">
      <w:start w:val="1"/>
      <w:numFmt w:val="decimal"/>
      <w:lvlText w:val="%7."/>
      <w:lvlJc w:val="left"/>
      <w:pPr>
        <w:ind w:left="5040" w:hanging="360"/>
      </w:pPr>
    </w:lvl>
    <w:lvl w:ilvl="7" w:tplc="CA5CE930" w:tentative="1">
      <w:start w:val="1"/>
      <w:numFmt w:val="lowerLetter"/>
      <w:lvlText w:val="%8."/>
      <w:lvlJc w:val="left"/>
      <w:pPr>
        <w:ind w:left="5760" w:hanging="360"/>
      </w:pPr>
    </w:lvl>
    <w:lvl w:ilvl="8" w:tplc="8C1A4128" w:tentative="1">
      <w:start w:val="1"/>
      <w:numFmt w:val="lowerRoman"/>
      <w:lvlText w:val="%9."/>
      <w:lvlJc w:val="right"/>
      <w:pPr>
        <w:ind w:left="6480" w:hanging="180"/>
      </w:pPr>
    </w:lvl>
  </w:abstractNum>
  <w:abstractNum w:abstractNumId="6" w15:restartNumberingAfterBreak="0">
    <w:nsid w:val="2A180AF4"/>
    <w:multiLevelType w:val="multilevel"/>
    <w:tmpl w:val="E5FE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F110C0"/>
    <w:multiLevelType w:val="multilevel"/>
    <w:tmpl w:val="865E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27215F"/>
    <w:multiLevelType w:val="multilevel"/>
    <w:tmpl w:val="DD545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0E6BBD"/>
    <w:multiLevelType w:val="hybridMultilevel"/>
    <w:tmpl w:val="FA645B58"/>
    <w:lvl w:ilvl="0" w:tplc="47ACEFA0">
      <w:start w:val="1"/>
      <w:numFmt w:val="decimal"/>
      <w:lvlText w:val="%1"/>
      <w:lvlJc w:val="left"/>
      <w:pPr>
        <w:ind w:left="1801" w:hanging="994"/>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95E27F0E">
      <w:numFmt w:val="bullet"/>
      <w:lvlText w:val="•"/>
      <w:lvlJc w:val="left"/>
      <w:pPr>
        <w:ind w:left="2628" w:hanging="994"/>
      </w:pPr>
      <w:rPr>
        <w:rFonts w:hint="default"/>
        <w:lang w:val="en-US" w:eastAsia="en-US" w:bidi="ar-SA"/>
      </w:rPr>
    </w:lvl>
    <w:lvl w:ilvl="2" w:tplc="C4184AAA">
      <w:numFmt w:val="bullet"/>
      <w:lvlText w:val="•"/>
      <w:lvlJc w:val="left"/>
      <w:pPr>
        <w:ind w:left="3456" w:hanging="994"/>
      </w:pPr>
      <w:rPr>
        <w:rFonts w:hint="default"/>
        <w:lang w:val="en-US" w:eastAsia="en-US" w:bidi="ar-SA"/>
      </w:rPr>
    </w:lvl>
    <w:lvl w:ilvl="3" w:tplc="F490FF5C">
      <w:numFmt w:val="bullet"/>
      <w:lvlText w:val="•"/>
      <w:lvlJc w:val="left"/>
      <w:pPr>
        <w:ind w:left="4284" w:hanging="994"/>
      </w:pPr>
      <w:rPr>
        <w:rFonts w:hint="default"/>
        <w:lang w:val="en-US" w:eastAsia="en-US" w:bidi="ar-SA"/>
      </w:rPr>
    </w:lvl>
    <w:lvl w:ilvl="4" w:tplc="15C8D9AA">
      <w:numFmt w:val="bullet"/>
      <w:lvlText w:val="•"/>
      <w:lvlJc w:val="left"/>
      <w:pPr>
        <w:ind w:left="5112" w:hanging="994"/>
      </w:pPr>
      <w:rPr>
        <w:rFonts w:hint="default"/>
        <w:lang w:val="en-US" w:eastAsia="en-US" w:bidi="ar-SA"/>
      </w:rPr>
    </w:lvl>
    <w:lvl w:ilvl="5" w:tplc="0D84DB9C">
      <w:numFmt w:val="bullet"/>
      <w:lvlText w:val="•"/>
      <w:lvlJc w:val="left"/>
      <w:pPr>
        <w:ind w:left="5940" w:hanging="994"/>
      </w:pPr>
      <w:rPr>
        <w:rFonts w:hint="default"/>
        <w:lang w:val="en-US" w:eastAsia="en-US" w:bidi="ar-SA"/>
      </w:rPr>
    </w:lvl>
    <w:lvl w:ilvl="6" w:tplc="B0509B28">
      <w:numFmt w:val="bullet"/>
      <w:lvlText w:val="•"/>
      <w:lvlJc w:val="left"/>
      <w:pPr>
        <w:ind w:left="6768" w:hanging="994"/>
      </w:pPr>
      <w:rPr>
        <w:rFonts w:hint="default"/>
        <w:lang w:val="en-US" w:eastAsia="en-US" w:bidi="ar-SA"/>
      </w:rPr>
    </w:lvl>
    <w:lvl w:ilvl="7" w:tplc="F3F45C4C">
      <w:numFmt w:val="bullet"/>
      <w:lvlText w:val="•"/>
      <w:lvlJc w:val="left"/>
      <w:pPr>
        <w:ind w:left="7596" w:hanging="994"/>
      </w:pPr>
      <w:rPr>
        <w:rFonts w:hint="default"/>
        <w:lang w:val="en-US" w:eastAsia="en-US" w:bidi="ar-SA"/>
      </w:rPr>
    </w:lvl>
    <w:lvl w:ilvl="8" w:tplc="6C3470BE">
      <w:numFmt w:val="bullet"/>
      <w:lvlText w:val="•"/>
      <w:lvlJc w:val="left"/>
      <w:pPr>
        <w:ind w:left="8424" w:hanging="994"/>
      </w:pPr>
      <w:rPr>
        <w:rFonts w:hint="default"/>
        <w:lang w:val="en-US" w:eastAsia="en-US" w:bidi="ar-SA"/>
      </w:rPr>
    </w:lvl>
  </w:abstractNum>
  <w:abstractNum w:abstractNumId="10" w15:restartNumberingAfterBreak="0">
    <w:nsid w:val="2F2C5CD3"/>
    <w:multiLevelType w:val="multilevel"/>
    <w:tmpl w:val="BC7ED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BA09C6"/>
    <w:multiLevelType w:val="hybridMultilevel"/>
    <w:tmpl w:val="357C49B6"/>
    <w:lvl w:ilvl="0" w:tplc="51406EE8">
      <w:start w:val="1"/>
      <w:numFmt w:val="decimal"/>
      <w:lvlText w:val="%1."/>
      <w:lvlJc w:val="left"/>
      <w:pPr>
        <w:ind w:left="720" w:hanging="360"/>
      </w:pPr>
      <w:rPr>
        <w:rFonts w:hint="default"/>
      </w:rPr>
    </w:lvl>
    <w:lvl w:ilvl="1" w:tplc="1A0A506A" w:tentative="1">
      <w:start w:val="1"/>
      <w:numFmt w:val="lowerLetter"/>
      <w:lvlText w:val="%2."/>
      <w:lvlJc w:val="left"/>
      <w:pPr>
        <w:ind w:left="1440" w:hanging="360"/>
      </w:pPr>
    </w:lvl>
    <w:lvl w:ilvl="2" w:tplc="4A6A4500" w:tentative="1">
      <w:start w:val="1"/>
      <w:numFmt w:val="lowerRoman"/>
      <w:lvlText w:val="%3."/>
      <w:lvlJc w:val="right"/>
      <w:pPr>
        <w:ind w:left="2160" w:hanging="180"/>
      </w:pPr>
    </w:lvl>
    <w:lvl w:ilvl="3" w:tplc="983CB77A" w:tentative="1">
      <w:start w:val="1"/>
      <w:numFmt w:val="decimal"/>
      <w:lvlText w:val="%4."/>
      <w:lvlJc w:val="left"/>
      <w:pPr>
        <w:ind w:left="2880" w:hanging="360"/>
      </w:pPr>
    </w:lvl>
    <w:lvl w:ilvl="4" w:tplc="7BEEF13C" w:tentative="1">
      <w:start w:val="1"/>
      <w:numFmt w:val="lowerLetter"/>
      <w:lvlText w:val="%5."/>
      <w:lvlJc w:val="left"/>
      <w:pPr>
        <w:ind w:left="3600" w:hanging="360"/>
      </w:pPr>
    </w:lvl>
    <w:lvl w:ilvl="5" w:tplc="408A6EE0" w:tentative="1">
      <w:start w:val="1"/>
      <w:numFmt w:val="lowerRoman"/>
      <w:lvlText w:val="%6."/>
      <w:lvlJc w:val="right"/>
      <w:pPr>
        <w:ind w:left="4320" w:hanging="180"/>
      </w:pPr>
    </w:lvl>
    <w:lvl w:ilvl="6" w:tplc="26C6C9B8" w:tentative="1">
      <w:start w:val="1"/>
      <w:numFmt w:val="decimal"/>
      <w:lvlText w:val="%7."/>
      <w:lvlJc w:val="left"/>
      <w:pPr>
        <w:ind w:left="5040" w:hanging="360"/>
      </w:pPr>
    </w:lvl>
    <w:lvl w:ilvl="7" w:tplc="16728F44" w:tentative="1">
      <w:start w:val="1"/>
      <w:numFmt w:val="lowerLetter"/>
      <w:lvlText w:val="%8."/>
      <w:lvlJc w:val="left"/>
      <w:pPr>
        <w:ind w:left="5760" w:hanging="360"/>
      </w:pPr>
    </w:lvl>
    <w:lvl w:ilvl="8" w:tplc="C7ACA408" w:tentative="1">
      <w:start w:val="1"/>
      <w:numFmt w:val="lowerRoman"/>
      <w:lvlText w:val="%9."/>
      <w:lvlJc w:val="right"/>
      <w:pPr>
        <w:ind w:left="6480" w:hanging="180"/>
      </w:pPr>
    </w:lvl>
  </w:abstractNum>
  <w:abstractNum w:abstractNumId="12" w15:restartNumberingAfterBreak="0">
    <w:nsid w:val="37690803"/>
    <w:multiLevelType w:val="hybridMultilevel"/>
    <w:tmpl w:val="FA645B58"/>
    <w:lvl w:ilvl="0" w:tplc="AD36729A">
      <w:start w:val="1"/>
      <w:numFmt w:val="decimal"/>
      <w:lvlText w:val="%1"/>
      <w:lvlJc w:val="left"/>
      <w:pPr>
        <w:ind w:left="1801" w:hanging="994"/>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1E2A84C0">
      <w:numFmt w:val="bullet"/>
      <w:lvlText w:val="•"/>
      <w:lvlJc w:val="left"/>
      <w:pPr>
        <w:ind w:left="2628" w:hanging="994"/>
      </w:pPr>
      <w:rPr>
        <w:rFonts w:hint="default"/>
        <w:lang w:val="en-US" w:eastAsia="en-US" w:bidi="ar-SA"/>
      </w:rPr>
    </w:lvl>
    <w:lvl w:ilvl="2" w:tplc="46B63436">
      <w:numFmt w:val="bullet"/>
      <w:lvlText w:val="•"/>
      <w:lvlJc w:val="left"/>
      <w:pPr>
        <w:ind w:left="3456" w:hanging="994"/>
      </w:pPr>
      <w:rPr>
        <w:rFonts w:hint="default"/>
        <w:lang w:val="en-US" w:eastAsia="en-US" w:bidi="ar-SA"/>
      </w:rPr>
    </w:lvl>
    <w:lvl w:ilvl="3" w:tplc="54CEF2D6">
      <w:numFmt w:val="bullet"/>
      <w:lvlText w:val="•"/>
      <w:lvlJc w:val="left"/>
      <w:pPr>
        <w:ind w:left="4284" w:hanging="994"/>
      </w:pPr>
      <w:rPr>
        <w:rFonts w:hint="default"/>
        <w:lang w:val="en-US" w:eastAsia="en-US" w:bidi="ar-SA"/>
      </w:rPr>
    </w:lvl>
    <w:lvl w:ilvl="4" w:tplc="80220DA2">
      <w:numFmt w:val="bullet"/>
      <w:lvlText w:val="•"/>
      <w:lvlJc w:val="left"/>
      <w:pPr>
        <w:ind w:left="5112" w:hanging="994"/>
      </w:pPr>
      <w:rPr>
        <w:rFonts w:hint="default"/>
        <w:lang w:val="en-US" w:eastAsia="en-US" w:bidi="ar-SA"/>
      </w:rPr>
    </w:lvl>
    <w:lvl w:ilvl="5" w:tplc="655E43FC">
      <w:numFmt w:val="bullet"/>
      <w:lvlText w:val="•"/>
      <w:lvlJc w:val="left"/>
      <w:pPr>
        <w:ind w:left="5940" w:hanging="994"/>
      </w:pPr>
      <w:rPr>
        <w:rFonts w:hint="default"/>
        <w:lang w:val="en-US" w:eastAsia="en-US" w:bidi="ar-SA"/>
      </w:rPr>
    </w:lvl>
    <w:lvl w:ilvl="6" w:tplc="A394DAF8">
      <w:numFmt w:val="bullet"/>
      <w:lvlText w:val="•"/>
      <w:lvlJc w:val="left"/>
      <w:pPr>
        <w:ind w:left="6768" w:hanging="994"/>
      </w:pPr>
      <w:rPr>
        <w:rFonts w:hint="default"/>
        <w:lang w:val="en-US" w:eastAsia="en-US" w:bidi="ar-SA"/>
      </w:rPr>
    </w:lvl>
    <w:lvl w:ilvl="7" w:tplc="0D5C0920">
      <w:numFmt w:val="bullet"/>
      <w:lvlText w:val="•"/>
      <w:lvlJc w:val="left"/>
      <w:pPr>
        <w:ind w:left="7596" w:hanging="994"/>
      </w:pPr>
      <w:rPr>
        <w:rFonts w:hint="default"/>
        <w:lang w:val="en-US" w:eastAsia="en-US" w:bidi="ar-SA"/>
      </w:rPr>
    </w:lvl>
    <w:lvl w:ilvl="8" w:tplc="4F18C190">
      <w:numFmt w:val="bullet"/>
      <w:lvlText w:val="•"/>
      <w:lvlJc w:val="left"/>
      <w:pPr>
        <w:ind w:left="8424" w:hanging="994"/>
      </w:pPr>
      <w:rPr>
        <w:rFonts w:hint="default"/>
        <w:lang w:val="en-US" w:eastAsia="en-US" w:bidi="ar-SA"/>
      </w:rPr>
    </w:lvl>
  </w:abstractNum>
  <w:abstractNum w:abstractNumId="13" w15:restartNumberingAfterBreak="0">
    <w:nsid w:val="39FA6C8F"/>
    <w:multiLevelType w:val="multilevel"/>
    <w:tmpl w:val="F06E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2F3509"/>
    <w:multiLevelType w:val="multilevel"/>
    <w:tmpl w:val="B7085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5B11C4"/>
    <w:multiLevelType w:val="multilevel"/>
    <w:tmpl w:val="8DEE5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D54C52"/>
    <w:multiLevelType w:val="hybridMultilevel"/>
    <w:tmpl w:val="293EBCB6"/>
    <w:lvl w:ilvl="0" w:tplc="EDA09F30">
      <w:start w:val="1"/>
      <w:numFmt w:val="decimal"/>
      <w:lvlText w:val="%1."/>
      <w:lvlJc w:val="left"/>
      <w:pPr>
        <w:ind w:left="720" w:hanging="360"/>
      </w:pPr>
      <w:rPr>
        <w:rFonts w:hint="default"/>
      </w:rPr>
    </w:lvl>
    <w:lvl w:ilvl="1" w:tplc="961AE1C8" w:tentative="1">
      <w:start w:val="1"/>
      <w:numFmt w:val="lowerLetter"/>
      <w:lvlText w:val="%2."/>
      <w:lvlJc w:val="left"/>
      <w:pPr>
        <w:ind w:left="1440" w:hanging="360"/>
      </w:pPr>
    </w:lvl>
    <w:lvl w:ilvl="2" w:tplc="5DA04F6C" w:tentative="1">
      <w:start w:val="1"/>
      <w:numFmt w:val="lowerRoman"/>
      <w:lvlText w:val="%3."/>
      <w:lvlJc w:val="right"/>
      <w:pPr>
        <w:ind w:left="2160" w:hanging="180"/>
      </w:pPr>
    </w:lvl>
    <w:lvl w:ilvl="3" w:tplc="684CBA86" w:tentative="1">
      <w:start w:val="1"/>
      <w:numFmt w:val="decimal"/>
      <w:lvlText w:val="%4."/>
      <w:lvlJc w:val="left"/>
      <w:pPr>
        <w:ind w:left="2880" w:hanging="360"/>
      </w:pPr>
    </w:lvl>
    <w:lvl w:ilvl="4" w:tplc="23F60F46" w:tentative="1">
      <w:start w:val="1"/>
      <w:numFmt w:val="lowerLetter"/>
      <w:lvlText w:val="%5."/>
      <w:lvlJc w:val="left"/>
      <w:pPr>
        <w:ind w:left="3600" w:hanging="360"/>
      </w:pPr>
    </w:lvl>
    <w:lvl w:ilvl="5" w:tplc="31CA5D1C" w:tentative="1">
      <w:start w:val="1"/>
      <w:numFmt w:val="lowerRoman"/>
      <w:lvlText w:val="%6."/>
      <w:lvlJc w:val="right"/>
      <w:pPr>
        <w:ind w:left="4320" w:hanging="180"/>
      </w:pPr>
    </w:lvl>
    <w:lvl w:ilvl="6" w:tplc="4D3EBB4A" w:tentative="1">
      <w:start w:val="1"/>
      <w:numFmt w:val="decimal"/>
      <w:lvlText w:val="%7."/>
      <w:lvlJc w:val="left"/>
      <w:pPr>
        <w:ind w:left="5040" w:hanging="360"/>
      </w:pPr>
    </w:lvl>
    <w:lvl w:ilvl="7" w:tplc="97D8AD62" w:tentative="1">
      <w:start w:val="1"/>
      <w:numFmt w:val="lowerLetter"/>
      <w:lvlText w:val="%8."/>
      <w:lvlJc w:val="left"/>
      <w:pPr>
        <w:ind w:left="5760" w:hanging="360"/>
      </w:pPr>
    </w:lvl>
    <w:lvl w:ilvl="8" w:tplc="FF7A7454" w:tentative="1">
      <w:start w:val="1"/>
      <w:numFmt w:val="lowerRoman"/>
      <w:lvlText w:val="%9."/>
      <w:lvlJc w:val="right"/>
      <w:pPr>
        <w:ind w:left="6480" w:hanging="180"/>
      </w:pPr>
    </w:lvl>
  </w:abstractNum>
  <w:abstractNum w:abstractNumId="17" w15:restartNumberingAfterBreak="0">
    <w:nsid w:val="47392242"/>
    <w:multiLevelType w:val="multilevel"/>
    <w:tmpl w:val="D5AA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F81D51"/>
    <w:multiLevelType w:val="hybridMultilevel"/>
    <w:tmpl w:val="BECC48C8"/>
    <w:lvl w:ilvl="0" w:tplc="CBDC4996">
      <w:start w:val="1"/>
      <w:numFmt w:val="lowerRoman"/>
      <w:lvlText w:val="%1."/>
      <w:lvlJc w:val="right"/>
      <w:pPr>
        <w:ind w:left="720" w:hanging="360"/>
      </w:pPr>
    </w:lvl>
    <w:lvl w:ilvl="1" w:tplc="51A8EDF8" w:tentative="1">
      <w:start w:val="1"/>
      <w:numFmt w:val="lowerLetter"/>
      <w:lvlText w:val="%2."/>
      <w:lvlJc w:val="left"/>
      <w:pPr>
        <w:ind w:left="1440" w:hanging="360"/>
      </w:pPr>
    </w:lvl>
    <w:lvl w:ilvl="2" w:tplc="02A01F8E" w:tentative="1">
      <w:start w:val="1"/>
      <w:numFmt w:val="lowerRoman"/>
      <w:lvlText w:val="%3."/>
      <w:lvlJc w:val="right"/>
      <w:pPr>
        <w:ind w:left="2160" w:hanging="180"/>
      </w:pPr>
    </w:lvl>
    <w:lvl w:ilvl="3" w:tplc="FE6864C4" w:tentative="1">
      <w:start w:val="1"/>
      <w:numFmt w:val="decimal"/>
      <w:lvlText w:val="%4."/>
      <w:lvlJc w:val="left"/>
      <w:pPr>
        <w:ind w:left="2880" w:hanging="360"/>
      </w:pPr>
    </w:lvl>
    <w:lvl w:ilvl="4" w:tplc="13E8EB96" w:tentative="1">
      <w:start w:val="1"/>
      <w:numFmt w:val="lowerLetter"/>
      <w:lvlText w:val="%5."/>
      <w:lvlJc w:val="left"/>
      <w:pPr>
        <w:ind w:left="3600" w:hanging="360"/>
      </w:pPr>
    </w:lvl>
    <w:lvl w:ilvl="5" w:tplc="98349A06" w:tentative="1">
      <w:start w:val="1"/>
      <w:numFmt w:val="lowerRoman"/>
      <w:lvlText w:val="%6."/>
      <w:lvlJc w:val="right"/>
      <w:pPr>
        <w:ind w:left="4320" w:hanging="180"/>
      </w:pPr>
    </w:lvl>
    <w:lvl w:ilvl="6" w:tplc="422881CA" w:tentative="1">
      <w:start w:val="1"/>
      <w:numFmt w:val="decimal"/>
      <w:lvlText w:val="%7."/>
      <w:lvlJc w:val="left"/>
      <w:pPr>
        <w:ind w:left="5040" w:hanging="360"/>
      </w:pPr>
    </w:lvl>
    <w:lvl w:ilvl="7" w:tplc="B90213AE" w:tentative="1">
      <w:start w:val="1"/>
      <w:numFmt w:val="lowerLetter"/>
      <w:lvlText w:val="%8."/>
      <w:lvlJc w:val="left"/>
      <w:pPr>
        <w:ind w:left="5760" w:hanging="360"/>
      </w:pPr>
    </w:lvl>
    <w:lvl w:ilvl="8" w:tplc="69CE76BC" w:tentative="1">
      <w:start w:val="1"/>
      <w:numFmt w:val="lowerRoman"/>
      <w:lvlText w:val="%9."/>
      <w:lvlJc w:val="right"/>
      <w:pPr>
        <w:ind w:left="6480" w:hanging="180"/>
      </w:pPr>
    </w:lvl>
  </w:abstractNum>
  <w:abstractNum w:abstractNumId="19" w15:restartNumberingAfterBreak="0">
    <w:nsid w:val="4D086AA5"/>
    <w:multiLevelType w:val="hybridMultilevel"/>
    <w:tmpl w:val="DE18DF1A"/>
    <w:lvl w:ilvl="0" w:tplc="EA485082">
      <w:start w:val="1"/>
      <w:numFmt w:val="upperLetter"/>
      <w:lvlText w:val="%1."/>
      <w:lvlJc w:val="left"/>
      <w:pPr>
        <w:ind w:left="720" w:hanging="360"/>
      </w:pPr>
      <w:rPr>
        <w:rFonts w:hint="default"/>
      </w:rPr>
    </w:lvl>
    <w:lvl w:ilvl="1" w:tplc="15D27722" w:tentative="1">
      <w:start w:val="1"/>
      <w:numFmt w:val="lowerLetter"/>
      <w:lvlText w:val="%2."/>
      <w:lvlJc w:val="left"/>
      <w:pPr>
        <w:ind w:left="1440" w:hanging="360"/>
      </w:pPr>
    </w:lvl>
    <w:lvl w:ilvl="2" w:tplc="B5E6E962" w:tentative="1">
      <w:start w:val="1"/>
      <w:numFmt w:val="lowerRoman"/>
      <w:lvlText w:val="%3."/>
      <w:lvlJc w:val="right"/>
      <w:pPr>
        <w:ind w:left="2160" w:hanging="180"/>
      </w:pPr>
    </w:lvl>
    <w:lvl w:ilvl="3" w:tplc="D0DE6A90" w:tentative="1">
      <w:start w:val="1"/>
      <w:numFmt w:val="decimal"/>
      <w:lvlText w:val="%4."/>
      <w:lvlJc w:val="left"/>
      <w:pPr>
        <w:ind w:left="2880" w:hanging="360"/>
      </w:pPr>
    </w:lvl>
    <w:lvl w:ilvl="4" w:tplc="AFAAA48E" w:tentative="1">
      <w:start w:val="1"/>
      <w:numFmt w:val="lowerLetter"/>
      <w:lvlText w:val="%5."/>
      <w:lvlJc w:val="left"/>
      <w:pPr>
        <w:ind w:left="3600" w:hanging="360"/>
      </w:pPr>
    </w:lvl>
    <w:lvl w:ilvl="5" w:tplc="846C8FD4" w:tentative="1">
      <w:start w:val="1"/>
      <w:numFmt w:val="lowerRoman"/>
      <w:lvlText w:val="%6."/>
      <w:lvlJc w:val="right"/>
      <w:pPr>
        <w:ind w:left="4320" w:hanging="180"/>
      </w:pPr>
    </w:lvl>
    <w:lvl w:ilvl="6" w:tplc="5172E38E" w:tentative="1">
      <w:start w:val="1"/>
      <w:numFmt w:val="decimal"/>
      <w:lvlText w:val="%7."/>
      <w:lvlJc w:val="left"/>
      <w:pPr>
        <w:ind w:left="5040" w:hanging="360"/>
      </w:pPr>
    </w:lvl>
    <w:lvl w:ilvl="7" w:tplc="3EBAF6E2" w:tentative="1">
      <w:start w:val="1"/>
      <w:numFmt w:val="lowerLetter"/>
      <w:lvlText w:val="%8."/>
      <w:lvlJc w:val="left"/>
      <w:pPr>
        <w:ind w:left="5760" w:hanging="360"/>
      </w:pPr>
    </w:lvl>
    <w:lvl w:ilvl="8" w:tplc="F2F40E6E" w:tentative="1">
      <w:start w:val="1"/>
      <w:numFmt w:val="lowerRoman"/>
      <w:lvlText w:val="%9."/>
      <w:lvlJc w:val="right"/>
      <w:pPr>
        <w:ind w:left="6480" w:hanging="180"/>
      </w:pPr>
    </w:lvl>
  </w:abstractNum>
  <w:abstractNum w:abstractNumId="20" w15:restartNumberingAfterBreak="0">
    <w:nsid w:val="5222284A"/>
    <w:multiLevelType w:val="multilevel"/>
    <w:tmpl w:val="D7DE0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E4C4CD1"/>
    <w:multiLevelType w:val="hybridMultilevel"/>
    <w:tmpl w:val="4A0656B6"/>
    <w:lvl w:ilvl="0" w:tplc="C55E4008">
      <w:start w:val="1"/>
      <w:numFmt w:val="decimal"/>
      <w:lvlText w:val="%1."/>
      <w:lvlJc w:val="left"/>
      <w:pPr>
        <w:ind w:left="720" w:hanging="360"/>
      </w:pPr>
      <w:rPr>
        <w:rFonts w:hint="default"/>
      </w:rPr>
    </w:lvl>
    <w:lvl w:ilvl="1" w:tplc="FF3A0BB4" w:tentative="1">
      <w:start w:val="1"/>
      <w:numFmt w:val="lowerLetter"/>
      <w:lvlText w:val="%2."/>
      <w:lvlJc w:val="left"/>
      <w:pPr>
        <w:ind w:left="1440" w:hanging="360"/>
      </w:pPr>
    </w:lvl>
    <w:lvl w:ilvl="2" w:tplc="673CCBB8" w:tentative="1">
      <w:start w:val="1"/>
      <w:numFmt w:val="lowerRoman"/>
      <w:lvlText w:val="%3."/>
      <w:lvlJc w:val="right"/>
      <w:pPr>
        <w:ind w:left="2160" w:hanging="180"/>
      </w:pPr>
    </w:lvl>
    <w:lvl w:ilvl="3" w:tplc="F738C4A4" w:tentative="1">
      <w:start w:val="1"/>
      <w:numFmt w:val="decimal"/>
      <w:lvlText w:val="%4."/>
      <w:lvlJc w:val="left"/>
      <w:pPr>
        <w:ind w:left="2880" w:hanging="360"/>
      </w:pPr>
    </w:lvl>
    <w:lvl w:ilvl="4" w:tplc="5E5AFD08" w:tentative="1">
      <w:start w:val="1"/>
      <w:numFmt w:val="lowerLetter"/>
      <w:lvlText w:val="%5."/>
      <w:lvlJc w:val="left"/>
      <w:pPr>
        <w:ind w:left="3600" w:hanging="360"/>
      </w:pPr>
    </w:lvl>
    <w:lvl w:ilvl="5" w:tplc="B82A94B2" w:tentative="1">
      <w:start w:val="1"/>
      <w:numFmt w:val="lowerRoman"/>
      <w:lvlText w:val="%6."/>
      <w:lvlJc w:val="right"/>
      <w:pPr>
        <w:ind w:left="4320" w:hanging="180"/>
      </w:pPr>
    </w:lvl>
    <w:lvl w:ilvl="6" w:tplc="ECD8B848" w:tentative="1">
      <w:start w:val="1"/>
      <w:numFmt w:val="decimal"/>
      <w:lvlText w:val="%7."/>
      <w:lvlJc w:val="left"/>
      <w:pPr>
        <w:ind w:left="5040" w:hanging="360"/>
      </w:pPr>
    </w:lvl>
    <w:lvl w:ilvl="7" w:tplc="23328550" w:tentative="1">
      <w:start w:val="1"/>
      <w:numFmt w:val="lowerLetter"/>
      <w:lvlText w:val="%8."/>
      <w:lvlJc w:val="left"/>
      <w:pPr>
        <w:ind w:left="5760" w:hanging="360"/>
      </w:pPr>
    </w:lvl>
    <w:lvl w:ilvl="8" w:tplc="BFFCA382" w:tentative="1">
      <w:start w:val="1"/>
      <w:numFmt w:val="lowerRoman"/>
      <w:lvlText w:val="%9."/>
      <w:lvlJc w:val="right"/>
      <w:pPr>
        <w:ind w:left="6480" w:hanging="180"/>
      </w:pPr>
    </w:lvl>
  </w:abstractNum>
  <w:abstractNum w:abstractNumId="22" w15:restartNumberingAfterBreak="0">
    <w:nsid w:val="5F6B4BC7"/>
    <w:multiLevelType w:val="multilevel"/>
    <w:tmpl w:val="98C2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3F21E5"/>
    <w:multiLevelType w:val="hybridMultilevel"/>
    <w:tmpl w:val="B9186612"/>
    <w:lvl w:ilvl="0" w:tplc="DB109460">
      <w:numFmt w:val="bullet"/>
      <w:lvlText w:val="-"/>
      <w:lvlJc w:val="left"/>
      <w:pPr>
        <w:ind w:left="8280" w:hanging="360"/>
      </w:pPr>
      <w:rPr>
        <w:rFonts w:ascii="Arial" w:eastAsia="Microsoft Sans Serif" w:hAnsi="Arial" w:cs="Arial" w:hint="default"/>
      </w:rPr>
    </w:lvl>
    <w:lvl w:ilvl="1" w:tplc="C4C68E44" w:tentative="1">
      <w:start w:val="1"/>
      <w:numFmt w:val="bullet"/>
      <w:lvlText w:val="o"/>
      <w:lvlJc w:val="left"/>
      <w:pPr>
        <w:ind w:left="9000" w:hanging="360"/>
      </w:pPr>
      <w:rPr>
        <w:rFonts w:ascii="Courier New" w:hAnsi="Courier New" w:cs="Courier New" w:hint="default"/>
      </w:rPr>
    </w:lvl>
    <w:lvl w:ilvl="2" w:tplc="632ABAE4" w:tentative="1">
      <w:start w:val="1"/>
      <w:numFmt w:val="bullet"/>
      <w:lvlText w:val=""/>
      <w:lvlJc w:val="left"/>
      <w:pPr>
        <w:ind w:left="9720" w:hanging="360"/>
      </w:pPr>
      <w:rPr>
        <w:rFonts w:ascii="Wingdings" w:hAnsi="Wingdings" w:hint="default"/>
      </w:rPr>
    </w:lvl>
    <w:lvl w:ilvl="3" w:tplc="3618B1EC" w:tentative="1">
      <w:start w:val="1"/>
      <w:numFmt w:val="bullet"/>
      <w:lvlText w:val=""/>
      <w:lvlJc w:val="left"/>
      <w:pPr>
        <w:ind w:left="10440" w:hanging="360"/>
      </w:pPr>
      <w:rPr>
        <w:rFonts w:ascii="Symbol" w:hAnsi="Symbol" w:hint="default"/>
      </w:rPr>
    </w:lvl>
    <w:lvl w:ilvl="4" w:tplc="3B1A9FEC" w:tentative="1">
      <w:start w:val="1"/>
      <w:numFmt w:val="bullet"/>
      <w:lvlText w:val="o"/>
      <w:lvlJc w:val="left"/>
      <w:pPr>
        <w:ind w:left="11160" w:hanging="360"/>
      </w:pPr>
      <w:rPr>
        <w:rFonts w:ascii="Courier New" w:hAnsi="Courier New" w:cs="Courier New" w:hint="default"/>
      </w:rPr>
    </w:lvl>
    <w:lvl w:ilvl="5" w:tplc="B55AC374" w:tentative="1">
      <w:start w:val="1"/>
      <w:numFmt w:val="bullet"/>
      <w:lvlText w:val=""/>
      <w:lvlJc w:val="left"/>
      <w:pPr>
        <w:ind w:left="11880" w:hanging="360"/>
      </w:pPr>
      <w:rPr>
        <w:rFonts w:ascii="Wingdings" w:hAnsi="Wingdings" w:hint="default"/>
      </w:rPr>
    </w:lvl>
    <w:lvl w:ilvl="6" w:tplc="F3EC27EC" w:tentative="1">
      <w:start w:val="1"/>
      <w:numFmt w:val="bullet"/>
      <w:lvlText w:val=""/>
      <w:lvlJc w:val="left"/>
      <w:pPr>
        <w:ind w:left="12600" w:hanging="360"/>
      </w:pPr>
      <w:rPr>
        <w:rFonts w:ascii="Symbol" w:hAnsi="Symbol" w:hint="default"/>
      </w:rPr>
    </w:lvl>
    <w:lvl w:ilvl="7" w:tplc="0F687AB0" w:tentative="1">
      <w:start w:val="1"/>
      <w:numFmt w:val="bullet"/>
      <w:lvlText w:val="o"/>
      <w:lvlJc w:val="left"/>
      <w:pPr>
        <w:ind w:left="13320" w:hanging="360"/>
      </w:pPr>
      <w:rPr>
        <w:rFonts w:ascii="Courier New" w:hAnsi="Courier New" w:cs="Courier New" w:hint="default"/>
      </w:rPr>
    </w:lvl>
    <w:lvl w:ilvl="8" w:tplc="145EA328" w:tentative="1">
      <w:start w:val="1"/>
      <w:numFmt w:val="bullet"/>
      <w:lvlText w:val=""/>
      <w:lvlJc w:val="left"/>
      <w:pPr>
        <w:ind w:left="14040" w:hanging="360"/>
      </w:pPr>
      <w:rPr>
        <w:rFonts w:ascii="Wingdings" w:hAnsi="Wingdings" w:hint="default"/>
      </w:rPr>
    </w:lvl>
  </w:abstractNum>
  <w:abstractNum w:abstractNumId="24" w15:restartNumberingAfterBreak="0">
    <w:nsid w:val="62E94B83"/>
    <w:multiLevelType w:val="multilevel"/>
    <w:tmpl w:val="506C9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CF12F0"/>
    <w:multiLevelType w:val="multilevel"/>
    <w:tmpl w:val="7E7E1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EC40EA"/>
    <w:multiLevelType w:val="multilevel"/>
    <w:tmpl w:val="30628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CA6B15"/>
    <w:multiLevelType w:val="hybridMultilevel"/>
    <w:tmpl w:val="8C68FA7A"/>
    <w:lvl w:ilvl="0" w:tplc="1AFA5E4C">
      <w:start w:val="1"/>
      <w:numFmt w:val="decimal"/>
      <w:lvlText w:val="%1."/>
      <w:lvlJc w:val="left"/>
      <w:pPr>
        <w:ind w:left="720" w:hanging="360"/>
      </w:pPr>
      <w:rPr>
        <w:rFonts w:hint="default"/>
      </w:rPr>
    </w:lvl>
    <w:lvl w:ilvl="1" w:tplc="1E88C6D4" w:tentative="1">
      <w:start w:val="1"/>
      <w:numFmt w:val="lowerLetter"/>
      <w:lvlText w:val="%2."/>
      <w:lvlJc w:val="left"/>
      <w:pPr>
        <w:ind w:left="1440" w:hanging="360"/>
      </w:pPr>
    </w:lvl>
    <w:lvl w:ilvl="2" w:tplc="30B63BB6" w:tentative="1">
      <w:start w:val="1"/>
      <w:numFmt w:val="lowerRoman"/>
      <w:lvlText w:val="%3."/>
      <w:lvlJc w:val="right"/>
      <w:pPr>
        <w:ind w:left="2160" w:hanging="180"/>
      </w:pPr>
    </w:lvl>
    <w:lvl w:ilvl="3" w:tplc="3274D608" w:tentative="1">
      <w:start w:val="1"/>
      <w:numFmt w:val="decimal"/>
      <w:lvlText w:val="%4."/>
      <w:lvlJc w:val="left"/>
      <w:pPr>
        <w:ind w:left="2880" w:hanging="360"/>
      </w:pPr>
    </w:lvl>
    <w:lvl w:ilvl="4" w:tplc="93BC270E" w:tentative="1">
      <w:start w:val="1"/>
      <w:numFmt w:val="lowerLetter"/>
      <w:lvlText w:val="%5."/>
      <w:lvlJc w:val="left"/>
      <w:pPr>
        <w:ind w:left="3600" w:hanging="360"/>
      </w:pPr>
    </w:lvl>
    <w:lvl w:ilvl="5" w:tplc="9D1245BE" w:tentative="1">
      <w:start w:val="1"/>
      <w:numFmt w:val="lowerRoman"/>
      <w:lvlText w:val="%6."/>
      <w:lvlJc w:val="right"/>
      <w:pPr>
        <w:ind w:left="4320" w:hanging="180"/>
      </w:pPr>
    </w:lvl>
    <w:lvl w:ilvl="6" w:tplc="D55CB0BA" w:tentative="1">
      <w:start w:val="1"/>
      <w:numFmt w:val="decimal"/>
      <w:lvlText w:val="%7."/>
      <w:lvlJc w:val="left"/>
      <w:pPr>
        <w:ind w:left="5040" w:hanging="360"/>
      </w:pPr>
    </w:lvl>
    <w:lvl w:ilvl="7" w:tplc="733E9A7A" w:tentative="1">
      <w:start w:val="1"/>
      <w:numFmt w:val="lowerLetter"/>
      <w:lvlText w:val="%8."/>
      <w:lvlJc w:val="left"/>
      <w:pPr>
        <w:ind w:left="5760" w:hanging="360"/>
      </w:pPr>
    </w:lvl>
    <w:lvl w:ilvl="8" w:tplc="D35CEFEC" w:tentative="1">
      <w:start w:val="1"/>
      <w:numFmt w:val="lowerRoman"/>
      <w:lvlText w:val="%9."/>
      <w:lvlJc w:val="right"/>
      <w:pPr>
        <w:ind w:left="6480" w:hanging="180"/>
      </w:pPr>
    </w:lvl>
  </w:abstractNum>
  <w:abstractNum w:abstractNumId="28" w15:restartNumberingAfterBreak="0">
    <w:nsid w:val="6F02013E"/>
    <w:multiLevelType w:val="multilevel"/>
    <w:tmpl w:val="C0C49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224821"/>
    <w:multiLevelType w:val="hybridMultilevel"/>
    <w:tmpl w:val="B6F42276"/>
    <w:lvl w:ilvl="0" w:tplc="E98C328C">
      <w:start w:val="1"/>
      <w:numFmt w:val="decimal"/>
      <w:lvlText w:val="%1"/>
      <w:lvlJc w:val="left"/>
      <w:pPr>
        <w:ind w:left="1801" w:hanging="994"/>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86E0DD66">
      <w:numFmt w:val="bullet"/>
      <w:lvlText w:val="•"/>
      <w:lvlJc w:val="left"/>
      <w:pPr>
        <w:ind w:left="2628" w:hanging="994"/>
      </w:pPr>
      <w:rPr>
        <w:rFonts w:hint="default"/>
        <w:lang w:val="en-US" w:eastAsia="en-US" w:bidi="ar-SA"/>
      </w:rPr>
    </w:lvl>
    <w:lvl w:ilvl="2" w:tplc="37CE391A">
      <w:numFmt w:val="bullet"/>
      <w:lvlText w:val="•"/>
      <w:lvlJc w:val="left"/>
      <w:pPr>
        <w:ind w:left="3456" w:hanging="994"/>
      </w:pPr>
      <w:rPr>
        <w:rFonts w:hint="default"/>
        <w:lang w:val="en-US" w:eastAsia="en-US" w:bidi="ar-SA"/>
      </w:rPr>
    </w:lvl>
    <w:lvl w:ilvl="3" w:tplc="E2CE89AC">
      <w:numFmt w:val="bullet"/>
      <w:lvlText w:val="•"/>
      <w:lvlJc w:val="left"/>
      <w:pPr>
        <w:ind w:left="4284" w:hanging="994"/>
      </w:pPr>
      <w:rPr>
        <w:rFonts w:hint="default"/>
        <w:lang w:val="en-US" w:eastAsia="en-US" w:bidi="ar-SA"/>
      </w:rPr>
    </w:lvl>
    <w:lvl w:ilvl="4" w:tplc="FE9E9EEA">
      <w:numFmt w:val="bullet"/>
      <w:lvlText w:val="•"/>
      <w:lvlJc w:val="left"/>
      <w:pPr>
        <w:ind w:left="5112" w:hanging="994"/>
      </w:pPr>
      <w:rPr>
        <w:rFonts w:hint="default"/>
        <w:lang w:val="en-US" w:eastAsia="en-US" w:bidi="ar-SA"/>
      </w:rPr>
    </w:lvl>
    <w:lvl w:ilvl="5" w:tplc="F9860F3E">
      <w:numFmt w:val="bullet"/>
      <w:lvlText w:val="•"/>
      <w:lvlJc w:val="left"/>
      <w:pPr>
        <w:ind w:left="5940" w:hanging="994"/>
      </w:pPr>
      <w:rPr>
        <w:rFonts w:hint="default"/>
        <w:lang w:val="en-US" w:eastAsia="en-US" w:bidi="ar-SA"/>
      </w:rPr>
    </w:lvl>
    <w:lvl w:ilvl="6" w:tplc="35FEB902">
      <w:numFmt w:val="bullet"/>
      <w:lvlText w:val="•"/>
      <w:lvlJc w:val="left"/>
      <w:pPr>
        <w:ind w:left="6768" w:hanging="994"/>
      </w:pPr>
      <w:rPr>
        <w:rFonts w:hint="default"/>
        <w:lang w:val="en-US" w:eastAsia="en-US" w:bidi="ar-SA"/>
      </w:rPr>
    </w:lvl>
    <w:lvl w:ilvl="7" w:tplc="37A4F3CE">
      <w:numFmt w:val="bullet"/>
      <w:lvlText w:val="•"/>
      <w:lvlJc w:val="left"/>
      <w:pPr>
        <w:ind w:left="7596" w:hanging="994"/>
      </w:pPr>
      <w:rPr>
        <w:rFonts w:hint="default"/>
        <w:lang w:val="en-US" w:eastAsia="en-US" w:bidi="ar-SA"/>
      </w:rPr>
    </w:lvl>
    <w:lvl w:ilvl="8" w:tplc="D07CDAAA">
      <w:numFmt w:val="bullet"/>
      <w:lvlText w:val="•"/>
      <w:lvlJc w:val="left"/>
      <w:pPr>
        <w:ind w:left="8424" w:hanging="994"/>
      </w:pPr>
      <w:rPr>
        <w:rFonts w:hint="default"/>
        <w:lang w:val="en-US" w:eastAsia="en-US" w:bidi="ar-SA"/>
      </w:rPr>
    </w:lvl>
  </w:abstractNum>
  <w:abstractNum w:abstractNumId="30" w15:restartNumberingAfterBreak="0">
    <w:nsid w:val="73350E83"/>
    <w:multiLevelType w:val="hybridMultilevel"/>
    <w:tmpl w:val="B6F42276"/>
    <w:lvl w:ilvl="0" w:tplc="DE481E5E">
      <w:start w:val="1"/>
      <w:numFmt w:val="decimal"/>
      <w:lvlText w:val="%1"/>
      <w:lvlJc w:val="left"/>
      <w:pPr>
        <w:ind w:left="1801" w:hanging="994"/>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7854B7D2">
      <w:numFmt w:val="bullet"/>
      <w:lvlText w:val="•"/>
      <w:lvlJc w:val="left"/>
      <w:pPr>
        <w:ind w:left="2628" w:hanging="994"/>
      </w:pPr>
      <w:rPr>
        <w:rFonts w:hint="default"/>
        <w:lang w:val="en-US" w:eastAsia="en-US" w:bidi="ar-SA"/>
      </w:rPr>
    </w:lvl>
    <w:lvl w:ilvl="2" w:tplc="A14E9862">
      <w:numFmt w:val="bullet"/>
      <w:lvlText w:val="•"/>
      <w:lvlJc w:val="left"/>
      <w:pPr>
        <w:ind w:left="3456" w:hanging="994"/>
      </w:pPr>
      <w:rPr>
        <w:rFonts w:hint="default"/>
        <w:lang w:val="en-US" w:eastAsia="en-US" w:bidi="ar-SA"/>
      </w:rPr>
    </w:lvl>
    <w:lvl w:ilvl="3" w:tplc="606C654C">
      <w:numFmt w:val="bullet"/>
      <w:lvlText w:val="•"/>
      <w:lvlJc w:val="left"/>
      <w:pPr>
        <w:ind w:left="4284" w:hanging="994"/>
      </w:pPr>
      <w:rPr>
        <w:rFonts w:hint="default"/>
        <w:lang w:val="en-US" w:eastAsia="en-US" w:bidi="ar-SA"/>
      </w:rPr>
    </w:lvl>
    <w:lvl w:ilvl="4" w:tplc="B5A2A096">
      <w:numFmt w:val="bullet"/>
      <w:lvlText w:val="•"/>
      <w:lvlJc w:val="left"/>
      <w:pPr>
        <w:ind w:left="5112" w:hanging="994"/>
      </w:pPr>
      <w:rPr>
        <w:rFonts w:hint="default"/>
        <w:lang w:val="en-US" w:eastAsia="en-US" w:bidi="ar-SA"/>
      </w:rPr>
    </w:lvl>
    <w:lvl w:ilvl="5" w:tplc="0428D980">
      <w:numFmt w:val="bullet"/>
      <w:lvlText w:val="•"/>
      <w:lvlJc w:val="left"/>
      <w:pPr>
        <w:ind w:left="5940" w:hanging="994"/>
      </w:pPr>
      <w:rPr>
        <w:rFonts w:hint="default"/>
        <w:lang w:val="en-US" w:eastAsia="en-US" w:bidi="ar-SA"/>
      </w:rPr>
    </w:lvl>
    <w:lvl w:ilvl="6" w:tplc="820CB01A">
      <w:numFmt w:val="bullet"/>
      <w:lvlText w:val="•"/>
      <w:lvlJc w:val="left"/>
      <w:pPr>
        <w:ind w:left="6768" w:hanging="994"/>
      </w:pPr>
      <w:rPr>
        <w:rFonts w:hint="default"/>
        <w:lang w:val="en-US" w:eastAsia="en-US" w:bidi="ar-SA"/>
      </w:rPr>
    </w:lvl>
    <w:lvl w:ilvl="7" w:tplc="40FEE490">
      <w:numFmt w:val="bullet"/>
      <w:lvlText w:val="•"/>
      <w:lvlJc w:val="left"/>
      <w:pPr>
        <w:ind w:left="7596" w:hanging="994"/>
      </w:pPr>
      <w:rPr>
        <w:rFonts w:hint="default"/>
        <w:lang w:val="en-US" w:eastAsia="en-US" w:bidi="ar-SA"/>
      </w:rPr>
    </w:lvl>
    <w:lvl w:ilvl="8" w:tplc="180289B0">
      <w:numFmt w:val="bullet"/>
      <w:lvlText w:val="•"/>
      <w:lvlJc w:val="left"/>
      <w:pPr>
        <w:ind w:left="8424" w:hanging="994"/>
      </w:pPr>
      <w:rPr>
        <w:rFonts w:hint="default"/>
        <w:lang w:val="en-US" w:eastAsia="en-US" w:bidi="ar-SA"/>
      </w:rPr>
    </w:lvl>
  </w:abstractNum>
  <w:abstractNum w:abstractNumId="31" w15:restartNumberingAfterBreak="0">
    <w:nsid w:val="7775156B"/>
    <w:multiLevelType w:val="hybridMultilevel"/>
    <w:tmpl w:val="EF844786"/>
    <w:lvl w:ilvl="0" w:tplc="0ACEF31A">
      <w:numFmt w:val="bullet"/>
      <w:lvlText w:val="-"/>
      <w:lvlJc w:val="left"/>
      <w:pPr>
        <w:ind w:left="8275" w:hanging="360"/>
      </w:pPr>
      <w:rPr>
        <w:rFonts w:ascii="Arial" w:eastAsia="Microsoft Sans Serif" w:hAnsi="Arial" w:cs="Arial" w:hint="default"/>
      </w:rPr>
    </w:lvl>
    <w:lvl w:ilvl="1" w:tplc="DFD0B3AC" w:tentative="1">
      <w:start w:val="1"/>
      <w:numFmt w:val="bullet"/>
      <w:lvlText w:val="o"/>
      <w:lvlJc w:val="left"/>
      <w:pPr>
        <w:ind w:left="8995" w:hanging="360"/>
      </w:pPr>
      <w:rPr>
        <w:rFonts w:ascii="Courier New" w:hAnsi="Courier New" w:cs="Courier New" w:hint="default"/>
      </w:rPr>
    </w:lvl>
    <w:lvl w:ilvl="2" w:tplc="74E27766" w:tentative="1">
      <w:start w:val="1"/>
      <w:numFmt w:val="bullet"/>
      <w:lvlText w:val=""/>
      <w:lvlJc w:val="left"/>
      <w:pPr>
        <w:ind w:left="9715" w:hanging="360"/>
      </w:pPr>
      <w:rPr>
        <w:rFonts w:ascii="Wingdings" w:hAnsi="Wingdings" w:hint="default"/>
      </w:rPr>
    </w:lvl>
    <w:lvl w:ilvl="3" w:tplc="0B421FC6" w:tentative="1">
      <w:start w:val="1"/>
      <w:numFmt w:val="bullet"/>
      <w:lvlText w:val=""/>
      <w:lvlJc w:val="left"/>
      <w:pPr>
        <w:ind w:left="10435" w:hanging="360"/>
      </w:pPr>
      <w:rPr>
        <w:rFonts w:ascii="Symbol" w:hAnsi="Symbol" w:hint="default"/>
      </w:rPr>
    </w:lvl>
    <w:lvl w:ilvl="4" w:tplc="6A72F3BE" w:tentative="1">
      <w:start w:val="1"/>
      <w:numFmt w:val="bullet"/>
      <w:lvlText w:val="o"/>
      <w:lvlJc w:val="left"/>
      <w:pPr>
        <w:ind w:left="11155" w:hanging="360"/>
      </w:pPr>
      <w:rPr>
        <w:rFonts w:ascii="Courier New" w:hAnsi="Courier New" w:cs="Courier New" w:hint="default"/>
      </w:rPr>
    </w:lvl>
    <w:lvl w:ilvl="5" w:tplc="457C21C4" w:tentative="1">
      <w:start w:val="1"/>
      <w:numFmt w:val="bullet"/>
      <w:lvlText w:val=""/>
      <w:lvlJc w:val="left"/>
      <w:pPr>
        <w:ind w:left="11875" w:hanging="360"/>
      </w:pPr>
      <w:rPr>
        <w:rFonts w:ascii="Wingdings" w:hAnsi="Wingdings" w:hint="default"/>
      </w:rPr>
    </w:lvl>
    <w:lvl w:ilvl="6" w:tplc="D650768A" w:tentative="1">
      <w:start w:val="1"/>
      <w:numFmt w:val="bullet"/>
      <w:lvlText w:val=""/>
      <w:lvlJc w:val="left"/>
      <w:pPr>
        <w:ind w:left="12595" w:hanging="360"/>
      </w:pPr>
      <w:rPr>
        <w:rFonts w:ascii="Symbol" w:hAnsi="Symbol" w:hint="default"/>
      </w:rPr>
    </w:lvl>
    <w:lvl w:ilvl="7" w:tplc="315619E2" w:tentative="1">
      <w:start w:val="1"/>
      <w:numFmt w:val="bullet"/>
      <w:lvlText w:val="o"/>
      <w:lvlJc w:val="left"/>
      <w:pPr>
        <w:ind w:left="13315" w:hanging="360"/>
      </w:pPr>
      <w:rPr>
        <w:rFonts w:ascii="Courier New" w:hAnsi="Courier New" w:cs="Courier New" w:hint="default"/>
      </w:rPr>
    </w:lvl>
    <w:lvl w:ilvl="8" w:tplc="4210BF24" w:tentative="1">
      <w:start w:val="1"/>
      <w:numFmt w:val="bullet"/>
      <w:lvlText w:val=""/>
      <w:lvlJc w:val="left"/>
      <w:pPr>
        <w:ind w:left="14035" w:hanging="360"/>
      </w:pPr>
      <w:rPr>
        <w:rFonts w:ascii="Wingdings" w:hAnsi="Wingdings" w:hint="default"/>
      </w:rPr>
    </w:lvl>
  </w:abstractNum>
  <w:abstractNum w:abstractNumId="32" w15:restartNumberingAfterBreak="0">
    <w:nsid w:val="7D56155F"/>
    <w:multiLevelType w:val="hybridMultilevel"/>
    <w:tmpl w:val="36F00122"/>
    <w:lvl w:ilvl="0" w:tplc="087E3BBA">
      <w:start w:val="1"/>
      <w:numFmt w:val="decimal"/>
      <w:lvlText w:val="%1"/>
      <w:lvlJc w:val="left"/>
      <w:pPr>
        <w:ind w:left="1801" w:hanging="994"/>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C0F29C58" w:tentative="1">
      <w:start w:val="1"/>
      <w:numFmt w:val="lowerLetter"/>
      <w:lvlText w:val="%2."/>
      <w:lvlJc w:val="left"/>
      <w:pPr>
        <w:ind w:left="1440" w:hanging="360"/>
      </w:pPr>
    </w:lvl>
    <w:lvl w:ilvl="2" w:tplc="7968EA02" w:tentative="1">
      <w:start w:val="1"/>
      <w:numFmt w:val="lowerRoman"/>
      <w:lvlText w:val="%3."/>
      <w:lvlJc w:val="right"/>
      <w:pPr>
        <w:ind w:left="2160" w:hanging="180"/>
      </w:pPr>
    </w:lvl>
    <w:lvl w:ilvl="3" w:tplc="0710470A" w:tentative="1">
      <w:start w:val="1"/>
      <w:numFmt w:val="decimal"/>
      <w:lvlText w:val="%4."/>
      <w:lvlJc w:val="left"/>
      <w:pPr>
        <w:ind w:left="2880" w:hanging="360"/>
      </w:pPr>
    </w:lvl>
    <w:lvl w:ilvl="4" w:tplc="D12AE240" w:tentative="1">
      <w:start w:val="1"/>
      <w:numFmt w:val="lowerLetter"/>
      <w:lvlText w:val="%5."/>
      <w:lvlJc w:val="left"/>
      <w:pPr>
        <w:ind w:left="3600" w:hanging="360"/>
      </w:pPr>
    </w:lvl>
    <w:lvl w:ilvl="5" w:tplc="5B1CDE64" w:tentative="1">
      <w:start w:val="1"/>
      <w:numFmt w:val="lowerRoman"/>
      <w:lvlText w:val="%6."/>
      <w:lvlJc w:val="right"/>
      <w:pPr>
        <w:ind w:left="4320" w:hanging="180"/>
      </w:pPr>
    </w:lvl>
    <w:lvl w:ilvl="6" w:tplc="52D40DC8" w:tentative="1">
      <w:start w:val="1"/>
      <w:numFmt w:val="decimal"/>
      <w:lvlText w:val="%7."/>
      <w:lvlJc w:val="left"/>
      <w:pPr>
        <w:ind w:left="5040" w:hanging="360"/>
      </w:pPr>
    </w:lvl>
    <w:lvl w:ilvl="7" w:tplc="2F809F38" w:tentative="1">
      <w:start w:val="1"/>
      <w:numFmt w:val="lowerLetter"/>
      <w:lvlText w:val="%8."/>
      <w:lvlJc w:val="left"/>
      <w:pPr>
        <w:ind w:left="5760" w:hanging="360"/>
      </w:pPr>
    </w:lvl>
    <w:lvl w:ilvl="8" w:tplc="D2F0D326" w:tentative="1">
      <w:start w:val="1"/>
      <w:numFmt w:val="lowerRoman"/>
      <w:lvlText w:val="%9."/>
      <w:lvlJc w:val="right"/>
      <w:pPr>
        <w:ind w:left="6480" w:hanging="180"/>
      </w:pPr>
    </w:lvl>
  </w:abstractNum>
  <w:abstractNum w:abstractNumId="33" w15:restartNumberingAfterBreak="0">
    <w:nsid w:val="7D586FAD"/>
    <w:multiLevelType w:val="hybridMultilevel"/>
    <w:tmpl w:val="B6F42276"/>
    <w:lvl w:ilvl="0" w:tplc="0DFAAAE4">
      <w:start w:val="1"/>
      <w:numFmt w:val="decimal"/>
      <w:lvlText w:val="%1"/>
      <w:lvlJc w:val="left"/>
      <w:pPr>
        <w:ind w:left="1845" w:hanging="994"/>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57C23706">
      <w:numFmt w:val="bullet"/>
      <w:lvlText w:val="•"/>
      <w:lvlJc w:val="left"/>
      <w:pPr>
        <w:ind w:left="2672" w:hanging="994"/>
      </w:pPr>
      <w:rPr>
        <w:rFonts w:hint="default"/>
        <w:lang w:val="en-US" w:eastAsia="en-US" w:bidi="ar-SA"/>
      </w:rPr>
    </w:lvl>
    <w:lvl w:ilvl="2" w:tplc="5EA694BC">
      <w:numFmt w:val="bullet"/>
      <w:lvlText w:val="•"/>
      <w:lvlJc w:val="left"/>
      <w:pPr>
        <w:ind w:left="3500" w:hanging="994"/>
      </w:pPr>
      <w:rPr>
        <w:rFonts w:hint="default"/>
        <w:lang w:val="en-US" w:eastAsia="en-US" w:bidi="ar-SA"/>
      </w:rPr>
    </w:lvl>
    <w:lvl w:ilvl="3" w:tplc="6284B74E">
      <w:numFmt w:val="bullet"/>
      <w:lvlText w:val="•"/>
      <w:lvlJc w:val="left"/>
      <w:pPr>
        <w:ind w:left="4328" w:hanging="994"/>
      </w:pPr>
      <w:rPr>
        <w:rFonts w:hint="default"/>
        <w:lang w:val="en-US" w:eastAsia="en-US" w:bidi="ar-SA"/>
      </w:rPr>
    </w:lvl>
    <w:lvl w:ilvl="4" w:tplc="C164C06E">
      <w:numFmt w:val="bullet"/>
      <w:lvlText w:val="•"/>
      <w:lvlJc w:val="left"/>
      <w:pPr>
        <w:ind w:left="5156" w:hanging="994"/>
      </w:pPr>
      <w:rPr>
        <w:rFonts w:hint="default"/>
        <w:lang w:val="en-US" w:eastAsia="en-US" w:bidi="ar-SA"/>
      </w:rPr>
    </w:lvl>
    <w:lvl w:ilvl="5" w:tplc="C06A164A">
      <w:numFmt w:val="bullet"/>
      <w:lvlText w:val="•"/>
      <w:lvlJc w:val="left"/>
      <w:pPr>
        <w:ind w:left="5984" w:hanging="994"/>
      </w:pPr>
      <w:rPr>
        <w:rFonts w:hint="default"/>
        <w:lang w:val="en-US" w:eastAsia="en-US" w:bidi="ar-SA"/>
      </w:rPr>
    </w:lvl>
    <w:lvl w:ilvl="6" w:tplc="787E17E8">
      <w:numFmt w:val="bullet"/>
      <w:lvlText w:val="•"/>
      <w:lvlJc w:val="left"/>
      <w:pPr>
        <w:ind w:left="6812" w:hanging="994"/>
      </w:pPr>
      <w:rPr>
        <w:rFonts w:hint="default"/>
        <w:lang w:val="en-US" w:eastAsia="en-US" w:bidi="ar-SA"/>
      </w:rPr>
    </w:lvl>
    <w:lvl w:ilvl="7" w:tplc="79D08B92">
      <w:numFmt w:val="bullet"/>
      <w:lvlText w:val="•"/>
      <w:lvlJc w:val="left"/>
      <w:pPr>
        <w:ind w:left="7640" w:hanging="994"/>
      </w:pPr>
      <w:rPr>
        <w:rFonts w:hint="default"/>
        <w:lang w:val="en-US" w:eastAsia="en-US" w:bidi="ar-SA"/>
      </w:rPr>
    </w:lvl>
    <w:lvl w:ilvl="8" w:tplc="E16EE082">
      <w:numFmt w:val="bullet"/>
      <w:lvlText w:val="•"/>
      <w:lvlJc w:val="left"/>
      <w:pPr>
        <w:ind w:left="8468" w:hanging="994"/>
      </w:pPr>
      <w:rPr>
        <w:rFonts w:hint="default"/>
        <w:lang w:val="en-US" w:eastAsia="en-US" w:bidi="ar-SA"/>
      </w:rPr>
    </w:lvl>
  </w:abstractNum>
  <w:abstractNum w:abstractNumId="34" w15:restartNumberingAfterBreak="0">
    <w:nsid w:val="7F74687D"/>
    <w:multiLevelType w:val="multilevel"/>
    <w:tmpl w:val="81E47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6547419">
    <w:abstractNumId w:val="30"/>
  </w:num>
  <w:num w:numId="2" w16cid:durableId="1209032989">
    <w:abstractNumId w:val="12"/>
  </w:num>
  <w:num w:numId="3" w16cid:durableId="1543863662">
    <w:abstractNumId w:val="29"/>
  </w:num>
  <w:num w:numId="4" w16cid:durableId="628979005">
    <w:abstractNumId w:val="34"/>
  </w:num>
  <w:num w:numId="5" w16cid:durableId="623269290">
    <w:abstractNumId w:val="1"/>
  </w:num>
  <w:num w:numId="6" w16cid:durableId="1744570902">
    <w:abstractNumId w:val="16"/>
  </w:num>
  <w:num w:numId="7" w16cid:durableId="22095981">
    <w:abstractNumId w:val="24"/>
  </w:num>
  <w:num w:numId="8" w16cid:durableId="889390185">
    <w:abstractNumId w:val="6"/>
  </w:num>
  <w:num w:numId="9" w16cid:durableId="1723678476">
    <w:abstractNumId w:val="8"/>
  </w:num>
  <w:num w:numId="10" w16cid:durableId="841235136">
    <w:abstractNumId w:val="5"/>
  </w:num>
  <w:num w:numId="11" w16cid:durableId="1381318627">
    <w:abstractNumId w:val="21"/>
  </w:num>
  <w:num w:numId="12" w16cid:durableId="53046613">
    <w:abstractNumId w:val="11"/>
  </w:num>
  <w:num w:numId="13" w16cid:durableId="2110463664">
    <w:abstractNumId w:val="20"/>
  </w:num>
  <w:num w:numId="14" w16cid:durableId="267127830">
    <w:abstractNumId w:val="15"/>
  </w:num>
  <w:num w:numId="15" w16cid:durableId="1513179849">
    <w:abstractNumId w:val="27"/>
  </w:num>
  <w:num w:numId="16" w16cid:durableId="528951162">
    <w:abstractNumId w:val="33"/>
  </w:num>
  <w:num w:numId="17" w16cid:durableId="1858541629">
    <w:abstractNumId w:val="9"/>
  </w:num>
  <w:num w:numId="18" w16cid:durableId="127432378">
    <w:abstractNumId w:val="32"/>
  </w:num>
  <w:num w:numId="19" w16cid:durableId="1714884320">
    <w:abstractNumId w:val="18"/>
  </w:num>
  <w:num w:numId="20" w16cid:durableId="2031754003">
    <w:abstractNumId w:val="31"/>
  </w:num>
  <w:num w:numId="21" w16cid:durableId="372851295">
    <w:abstractNumId w:val="4"/>
  </w:num>
  <w:num w:numId="22" w16cid:durableId="1976911818">
    <w:abstractNumId w:val="23"/>
  </w:num>
  <w:num w:numId="23" w16cid:durableId="1183939044">
    <w:abstractNumId w:val="0"/>
  </w:num>
  <w:num w:numId="24" w16cid:durableId="1348368541">
    <w:abstractNumId w:val="19"/>
  </w:num>
  <w:num w:numId="25" w16cid:durableId="1234045213">
    <w:abstractNumId w:val="13"/>
  </w:num>
  <w:num w:numId="26" w16cid:durableId="1063988426">
    <w:abstractNumId w:val="22"/>
  </w:num>
  <w:num w:numId="27" w16cid:durableId="1999455257">
    <w:abstractNumId w:val="2"/>
  </w:num>
  <w:num w:numId="28" w16cid:durableId="1023239285">
    <w:abstractNumId w:val="17"/>
  </w:num>
  <w:num w:numId="29" w16cid:durableId="296838072">
    <w:abstractNumId w:val="3"/>
  </w:num>
  <w:num w:numId="30" w16cid:durableId="222300436">
    <w:abstractNumId w:val="25"/>
  </w:num>
  <w:num w:numId="31" w16cid:durableId="1907691121">
    <w:abstractNumId w:val="26"/>
  </w:num>
  <w:num w:numId="32" w16cid:durableId="561255274">
    <w:abstractNumId w:val="7"/>
  </w:num>
  <w:num w:numId="33" w16cid:durableId="401760565">
    <w:abstractNumId w:val="14"/>
  </w:num>
  <w:num w:numId="34" w16cid:durableId="11780773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12835635">
    <w:abstractNumId w:val="10"/>
  </w:num>
  <w:num w:numId="36" w16cid:durableId="17863151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33320230">
    <w:abstractNumId w:val="28"/>
  </w:num>
  <w:num w:numId="38" w16cid:durableId="19096825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B78"/>
    <w:rsid w:val="00013155"/>
    <w:rsid w:val="00017CC1"/>
    <w:rsid w:val="00027C0B"/>
    <w:rsid w:val="00032BD9"/>
    <w:rsid w:val="00043929"/>
    <w:rsid w:val="000753E8"/>
    <w:rsid w:val="00082443"/>
    <w:rsid w:val="000A2306"/>
    <w:rsid w:val="000A5DBE"/>
    <w:rsid w:val="000D4045"/>
    <w:rsid w:val="000E05A5"/>
    <w:rsid w:val="000E7390"/>
    <w:rsid w:val="001017C0"/>
    <w:rsid w:val="00112B94"/>
    <w:rsid w:val="00112E30"/>
    <w:rsid w:val="001146E7"/>
    <w:rsid w:val="00123253"/>
    <w:rsid w:val="001330BB"/>
    <w:rsid w:val="00134BCB"/>
    <w:rsid w:val="00163463"/>
    <w:rsid w:val="001723E6"/>
    <w:rsid w:val="00180FAE"/>
    <w:rsid w:val="00190AA0"/>
    <w:rsid w:val="001A5617"/>
    <w:rsid w:val="001B092C"/>
    <w:rsid w:val="001B39BA"/>
    <w:rsid w:val="001C24BA"/>
    <w:rsid w:val="001E4420"/>
    <w:rsid w:val="001E6B14"/>
    <w:rsid w:val="001F0C09"/>
    <w:rsid w:val="00202033"/>
    <w:rsid w:val="00202C86"/>
    <w:rsid w:val="00242732"/>
    <w:rsid w:val="002507AD"/>
    <w:rsid w:val="002564AD"/>
    <w:rsid w:val="0026033B"/>
    <w:rsid w:val="00260E4B"/>
    <w:rsid w:val="00261AA0"/>
    <w:rsid w:val="00263FB2"/>
    <w:rsid w:val="002809B9"/>
    <w:rsid w:val="0029391C"/>
    <w:rsid w:val="00295C05"/>
    <w:rsid w:val="002A2081"/>
    <w:rsid w:val="002B55B7"/>
    <w:rsid w:val="002C0EC7"/>
    <w:rsid w:val="002C57BF"/>
    <w:rsid w:val="002D25DC"/>
    <w:rsid w:val="002D448A"/>
    <w:rsid w:val="002E0C03"/>
    <w:rsid w:val="002E0C2F"/>
    <w:rsid w:val="002E16B6"/>
    <w:rsid w:val="00315798"/>
    <w:rsid w:val="0031695B"/>
    <w:rsid w:val="0031721E"/>
    <w:rsid w:val="0032622A"/>
    <w:rsid w:val="00337EBE"/>
    <w:rsid w:val="0036771C"/>
    <w:rsid w:val="00384312"/>
    <w:rsid w:val="00390613"/>
    <w:rsid w:val="00392E7F"/>
    <w:rsid w:val="003A39AA"/>
    <w:rsid w:val="003C0D6F"/>
    <w:rsid w:val="003D246B"/>
    <w:rsid w:val="003F2A1D"/>
    <w:rsid w:val="003F6A43"/>
    <w:rsid w:val="00404DC5"/>
    <w:rsid w:val="00412CBA"/>
    <w:rsid w:val="0041316B"/>
    <w:rsid w:val="00426AB0"/>
    <w:rsid w:val="00435855"/>
    <w:rsid w:val="00445554"/>
    <w:rsid w:val="00445CAF"/>
    <w:rsid w:val="00445E6E"/>
    <w:rsid w:val="00447673"/>
    <w:rsid w:val="0045072C"/>
    <w:rsid w:val="00461DF1"/>
    <w:rsid w:val="00462391"/>
    <w:rsid w:val="004734DD"/>
    <w:rsid w:val="00474DFE"/>
    <w:rsid w:val="00480B78"/>
    <w:rsid w:val="00492A58"/>
    <w:rsid w:val="00496C9D"/>
    <w:rsid w:val="004B4B14"/>
    <w:rsid w:val="004D067A"/>
    <w:rsid w:val="004D5000"/>
    <w:rsid w:val="004D5DF2"/>
    <w:rsid w:val="004E4980"/>
    <w:rsid w:val="004F007C"/>
    <w:rsid w:val="004F1082"/>
    <w:rsid w:val="004F3944"/>
    <w:rsid w:val="00502EFB"/>
    <w:rsid w:val="00503736"/>
    <w:rsid w:val="005055A4"/>
    <w:rsid w:val="005102FB"/>
    <w:rsid w:val="0055423A"/>
    <w:rsid w:val="00563282"/>
    <w:rsid w:val="00577F08"/>
    <w:rsid w:val="00582D7A"/>
    <w:rsid w:val="005A590E"/>
    <w:rsid w:val="005C2C6E"/>
    <w:rsid w:val="005C580E"/>
    <w:rsid w:val="005F3432"/>
    <w:rsid w:val="00603C72"/>
    <w:rsid w:val="00613FF3"/>
    <w:rsid w:val="00614071"/>
    <w:rsid w:val="00616239"/>
    <w:rsid w:val="006166BE"/>
    <w:rsid w:val="00636392"/>
    <w:rsid w:val="006412B4"/>
    <w:rsid w:val="00651DA0"/>
    <w:rsid w:val="006573CA"/>
    <w:rsid w:val="006615BC"/>
    <w:rsid w:val="006659E3"/>
    <w:rsid w:val="006662CB"/>
    <w:rsid w:val="00667B78"/>
    <w:rsid w:val="0067212B"/>
    <w:rsid w:val="00694F65"/>
    <w:rsid w:val="0069500A"/>
    <w:rsid w:val="006A0347"/>
    <w:rsid w:val="006A2368"/>
    <w:rsid w:val="006A49DA"/>
    <w:rsid w:val="006B14C7"/>
    <w:rsid w:val="006B3C37"/>
    <w:rsid w:val="006C4955"/>
    <w:rsid w:val="006D23EB"/>
    <w:rsid w:val="006D24CA"/>
    <w:rsid w:val="00707C96"/>
    <w:rsid w:val="00710741"/>
    <w:rsid w:val="00723F72"/>
    <w:rsid w:val="00727735"/>
    <w:rsid w:val="007309AC"/>
    <w:rsid w:val="00742ECF"/>
    <w:rsid w:val="00753C25"/>
    <w:rsid w:val="00760695"/>
    <w:rsid w:val="00765039"/>
    <w:rsid w:val="00780F1E"/>
    <w:rsid w:val="007816A0"/>
    <w:rsid w:val="00786704"/>
    <w:rsid w:val="007B04EE"/>
    <w:rsid w:val="007B0778"/>
    <w:rsid w:val="007B3E95"/>
    <w:rsid w:val="007B7009"/>
    <w:rsid w:val="007F0459"/>
    <w:rsid w:val="00800AAE"/>
    <w:rsid w:val="00816076"/>
    <w:rsid w:val="00820CB4"/>
    <w:rsid w:val="00821463"/>
    <w:rsid w:val="00834A87"/>
    <w:rsid w:val="00834C62"/>
    <w:rsid w:val="00836D0E"/>
    <w:rsid w:val="0084172F"/>
    <w:rsid w:val="00850F13"/>
    <w:rsid w:val="00852E9A"/>
    <w:rsid w:val="00865125"/>
    <w:rsid w:val="00870B19"/>
    <w:rsid w:val="00870BA5"/>
    <w:rsid w:val="00874CBB"/>
    <w:rsid w:val="00875A6B"/>
    <w:rsid w:val="00875B5B"/>
    <w:rsid w:val="008766A6"/>
    <w:rsid w:val="00877AD5"/>
    <w:rsid w:val="00886520"/>
    <w:rsid w:val="0089080A"/>
    <w:rsid w:val="008B62C5"/>
    <w:rsid w:val="008C34DE"/>
    <w:rsid w:val="008D4F11"/>
    <w:rsid w:val="008E030F"/>
    <w:rsid w:val="008E173C"/>
    <w:rsid w:val="008E44CF"/>
    <w:rsid w:val="00900D5D"/>
    <w:rsid w:val="0090775A"/>
    <w:rsid w:val="00927E57"/>
    <w:rsid w:val="00956D07"/>
    <w:rsid w:val="00977C75"/>
    <w:rsid w:val="009861D2"/>
    <w:rsid w:val="009A4D96"/>
    <w:rsid w:val="009A5DA4"/>
    <w:rsid w:val="009B1558"/>
    <w:rsid w:val="009C013D"/>
    <w:rsid w:val="009C072A"/>
    <w:rsid w:val="00A02CEB"/>
    <w:rsid w:val="00A228F3"/>
    <w:rsid w:val="00A243F8"/>
    <w:rsid w:val="00A31D25"/>
    <w:rsid w:val="00A32EC5"/>
    <w:rsid w:val="00A368A2"/>
    <w:rsid w:val="00A46990"/>
    <w:rsid w:val="00A62ABD"/>
    <w:rsid w:val="00A72051"/>
    <w:rsid w:val="00A72B73"/>
    <w:rsid w:val="00A760E3"/>
    <w:rsid w:val="00A95DEC"/>
    <w:rsid w:val="00AC1FF2"/>
    <w:rsid w:val="00AC22B9"/>
    <w:rsid w:val="00AD3839"/>
    <w:rsid w:val="00AF4CFD"/>
    <w:rsid w:val="00AF4E8C"/>
    <w:rsid w:val="00B00BF0"/>
    <w:rsid w:val="00B06974"/>
    <w:rsid w:val="00B313C9"/>
    <w:rsid w:val="00B602C8"/>
    <w:rsid w:val="00B64169"/>
    <w:rsid w:val="00B6490A"/>
    <w:rsid w:val="00B72BF9"/>
    <w:rsid w:val="00B86D7E"/>
    <w:rsid w:val="00BB1F46"/>
    <w:rsid w:val="00BB7481"/>
    <w:rsid w:val="00BC156F"/>
    <w:rsid w:val="00BC2A79"/>
    <w:rsid w:val="00BD1AF2"/>
    <w:rsid w:val="00BD1E16"/>
    <w:rsid w:val="00BE3098"/>
    <w:rsid w:val="00BE3319"/>
    <w:rsid w:val="00C126C8"/>
    <w:rsid w:val="00C1274F"/>
    <w:rsid w:val="00C17116"/>
    <w:rsid w:val="00C27ECB"/>
    <w:rsid w:val="00C33E03"/>
    <w:rsid w:val="00C40661"/>
    <w:rsid w:val="00C5707D"/>
    <w:rsid w:val="00C64335"/>
    <w:rsid w:val="00C81E9B"/>
    <w:rsid w:val="00C82AF3"/>
    <w:rsid w:val="00CB1C5B"/>
    <w:rsid w:val="00CB1C87"/>
    <w:rsid w:val="00CB60A0"/>
    <w:rsid w:val="00CC7628"/>
    <w:rsid w:val="00CE4432"/>
    <w:rsid w:val="00CF0AC9"/>
    <w:rsid w:val="00CF2F23"/>
    <w:rsid w:val="00D05FF1"/>
    <w:rsid w:val="00D32A27"/>
    <w:rsid w:val="00D34FB8"/>
    <w:rsid w:val="00D373EB"/>
    <w:rsid w:val="00D40D62"/>
    <w:rsid w:val="00D555A6"/>
    <w:rsid w:val="00D634C8"/>
    <w:rsid w:val="00D71CAD"/>
    <w:rsid w:val="00D93B50"/>
    <w:rsid w:val="00DA0E93"/>
    <w:rsid w:val="00DB68E7"/>
    <w:rsid w:val="00DC7085"/>
    <w:rsid w:val="00DD406D"/>
    <w:rsid w:val="00DD7A43"/>
    <w:rsid w:val="00DE20E4"/>
    <w:rsid w:val="00DE3768"/>
    <w:rsid w:val="00DE3C63"/>
    <w:rsid w:val="00DF561D"/>
    <w:rsid w:val="00E00C7E"/>
    <w:rsid w:val="00E05BF1"/>
    <w:rsid w:val="00E16DC6"/>
    <w:rsid w:val="00E32B63"/>
    <w:rsid w:val="00E41BF5"/>
    <w:rsid w:val="00E506B8"/>
    <w:rsid w:val="00E94475"/>
    <w:rsid w:val="00E95D50"/>
    <w:rsid w:val="00EA664F"/>
    <w:rsid w:val="00EB03E3"/>
    <w:rsid w:val="00EB6266"/>
    <w:rsid w:val="00EC1E77"/>
    <w:rsid w:val="00EC1E8A"/>
    <w:rsid w:val="00EC5EAA"/>
    <w:rsid w:val="00ED2B65"/>
    <w:rsid w:val="00EE0682"/>
    <w:rsid w:val="00EE5D0E"/>
    <w:rsid w:val="00F01DC3"/>
    <w:rsid w:val="00F04BA5"/>
    <w:rsid w:val="00F16878"/>
    <w:rsid w:val="00F53876"/>
    <w:rsid w:val="00F54AE8"/>
    <w:rsid w:val="00F80027"/>
    <w:rsid w:val="00FA22F6"/>
    <w:rsid w:val="00FA4FE6"/>
    <w:rsid w:val="00FA67FD"/>
    <w:rsid w:val="00FB2FEA"/>
    <w:rsid w:val="00FB447E"/>
    <w:rsid w:val="00FB60E8"/>
    <w:rsid w:val="00FC4845"/>
    <w:rsid w:val="00FC5894"/>
    <w:rsid w:val="00FC7884"/>
    <w:rsid w:val="00FD542C"/>
    <w:rsid w:val="00FE15D7"/>
    <w:rsid w:val="00FE3C35"/>
    <w:rsid w:val="00FF3E2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B82B7"/>
  <w15:chartTrackingRefBased/>
  <w15:docId w15:val="{55726BE7-E6C5-4BFD-87AF-3F316119C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S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B78"/>
    <w:pPr>
      <w:widowControl w:val="0"/>
      <w:autoSpaceDE w:val="0"/>
      <w:autoSpaceDN w:val="0"/>
      <w:spacing w:after="0" w:line="240" w:lineRule="auto"/>
    </w:pPr>
    <w:rPr>
      <w:rFonts w:ascii="Microsoft Sans Serif" w:eastAsia="Microsoft Sans Serif" w:hAnsi="Microsoft Sans Serif" w:cs="Microsoft Sans Serif"/>
      <w:kern w:val="0"/>
      <w:sz w:val="22"/>
      <w:szCs w:val="22"/>
      <w:lang w:val="en-US"/>
      <w14:ligatures w14:val="none"/>
    </w:rPr>
  </w:style>
  <w:style w:type="paragraph" w:styleId="Heading1">
    <w:name w:val="heading 1"/>
    <w:basedOn w:val="Normal"/>
    <w:next w:val="Normal"/>
    <w:link w:val="Heading1Char"/>
    <w:uiPriority w:val="9"/>
    <w:qFormat/>
    <w:rsid w:val="00667B7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7B7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7B7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7B7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7B7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7B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B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B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B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B7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7B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7B7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7B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7B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7B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B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B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B78"/>
    <w:rPr>
      <w:rFonts w:eastAsiaTheme="majorEastAsia" w:cstheme="majorBidi"/>
      <w:color w:val="272727" w:themeColor="text1" w:themeTint="D8"/>
    </w:rPr>
  </w:style>
  <w:style w:type="paragraph" w:styleId="Title">
    <w:name w:val="Title"/>
    <w:basedOn w:val="Normal"/>
    <w:next w:val="Normal"/>
    <w:link w:val="TitleChar"/>
    <w:uiPriority w:val="10"/>
    <w:qFormat/>
    <w:rsid w:val="00667B7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B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B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B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B78"/>
    <w:pPr>
      <w:spacing w:before="160"/>
      <w:jc w:val="center"/>
    </w:pPr>
    <w:rPr>
      <w:i/>
      <w:iCs/>
      <w:color w:val="404040" w:themeColor="text1" w:themeTint="BF"/>
    </w:rPr>
  </w:style>
  <w:style w:type="character" w:customStyle="1" w:styleId="QuoteChar">
    <w:name w:val="Quote Char"/>
    <w:basedOn w:val="DefaultParagraphFont"/>
    <w:link w:val="Quote"/>
    <w:uiPriority w:val="29"/>
    <w:rsid w:val="00667B78"/>
    <w:rPr>
      <w:i/>
      <w:iCs/>
      <w:color w:val="404040" w:themeColor="text1" w:themeTint="BF"/>
    </w:rPr>
  </w:style>
  <w:style w:type="paragraph" w:styleId="ListParagraph">
    <w:name w:val="List Paragraph"/>
    <w:basedOn w:val="Normal"/>
    <w:uiPriority w:val="34"/>
    <w:qFormat/>
    <w:rsid w:val="00667B78"/>
    <w:pPr>
      <w:ind w:left="720"/>
      <w:contextualSpacing/>
    </w:pPr>
  </w:style>
  <w:style w:type="character" w:styleId="IntenseEmphasis">
    <w:name w:val="Intense Emphasis"/>
    <w:basedOn w:val="DefaultParagraphFont"/>
    <w:uiPriority w:val="21"/>
    <w:qFormat/>
    <w:rsid w:val="00667B78"/>
    <w:rPr>
      <w:i/>
      <w:iCs/>
      <w:color w:val="2F5496" w:themeColor="accent1" w:themeShade="BF"/>
    </w:rPr>
  </w:style>
  <w:style w:type="paragraph" w:styleId="IntenseQuote">
    <w:name w:val="Intense Quote"/>
    <w:basedOn w:val="Normal"/>
    <w:next w:val="Normal"/>
    <w:link w:val="IntenseQuoteChar"/>
    <w:uiPriority w:val="30"/>
    <w:qFormat/>
    <w:rsid w:val="00667B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7B78"/>
    <w:rPr>
      <w:i/>
      <w:iCs/>
      <w:color w:val="2F5496" w:themeColor="accent1" w:themeShade="BF"/>
    </w:rPr>
  </w:style>
  <w:style w:type="character" w:styleId="IntenseReference">
    <w:name w:val="Intense Reference"/>
    <w:basedOn w:val="DefaultParagraphFont"/>
    <w:uiPriority w:val="32"/>
    <w:qFormat/>
    <w:rsid w:val="00667B78"/>
    <w:rPr>
      <w:b/>
      <w:bCs/>
      <w:smallCaps/>
      <w:color w:val="2F5496" w:themeColor="accent1" w:themeShade="BF"/>
      <w:spacing w:val="5"/>
    </w:rPr>
  </w:style>
  <w:style w:type="paragraph" w:styleId="BodyText">
    <w:name w:val="Body Text"/>
    <w:basedOn w:val="Normal"/>
    <w:link w:val="BodyTextChar"/>
    <w:uiPriority w:val="1"/>
    <w:qFormat/>
    <w:rsid w:val="00667B78"/>
  </w:style>
  <w:style w:type="character" w:customStyle="1" w:styleId="BodyTextChar">
    <w:name w:val="Body Text Char"/>
    <w:basedOn w:val="DefaultParagraphFont"/>
    <w:link w:val="BodyText"/>
    <w:uiPriority w:val="1"/>
    <w:rsid w:val="00667B78"/>
    <w:rPr>
      <w:rFonts w:ascii="Microsoft Sans Serif" w:eastAsia="Microsoft Sans Serif" w:hAnsi="Microsoft Sans Serif" w:cs="Microsoft Sans Serif"/>
      <w:kern w:val="0"/>
      <w:sz w:val="22"/>
      <w:szCs w:val="22"/>
      <w:lang w:val="en-US"/>
      <w14:ligatures w14:val="none"/>
    </w:rPr>
  </w:style>
  <w:style w:type="paragraph" w:styleId="NoSpacing">
    <w:name w:val="No Spacing"/>
    <w:uiPriority w:val="1"/>
    <w:qFormat/>
    <w:rsid w:val="0031695B"/>
    <w:pPr>
      <w:widowControl w:val="0"/>
      <w:autoSpaceDE w:val="0"/>
      <w:autoSpaceDN w:val="0"/>
      <w:spacing w:after="0" w:line="240" w:lineRule="auto"/>
    </w:pPr>
    <w:rPr>
      <w:rFonts w:ascii="Microsoft Sans Serif" w:eastAsia="Microsoft Sans Serif" w:hAnsi="Microsoft Sans Serif" w:cs="Microsoft Sans Serif"/>
      <w:kern w:val="0"/>
      <w:sz w:val="22"/>
      <w:szCs w:val="22"/>
      <w:lang w:val="en-US"/>
      <w14:ligatures w14:val="none"/>
    </w:rPr>
  </w:style>
  <w:style w:type="paragraph" w:styleId="NormalWeb">
    <w:name w:val="Normal (Web)"/>
    <w:basedOn w:val="Normal"/>
    <w:uiPriority w:val="99"/>
    <w:semiHidden/>
    <w:unhideWhenUsed/>
    <w:rsid w:val="007B7009"/>
    <w:pPr>
      <w:widowControl/>
      <w:autoSpaceDE/>
      <w:autoSpaceDN/>
      <w:spacing w:before="100" w:beforeAutospacing="1" w:after="100" w:afterAutospacing="1"/>
    </w:pPr>
    <w:rPr>
      <w:rFonts w:ascii="Times New Roman" w:eastAsia="Times New Roman" w:hAnsi="Times New Roman" w:cs="Times New Roman"/>
      <w:sz w:val="24"/>
      <w:szCs w:val="24"/>
      <w:lang w:val="en-SG" w:eastAsia="en-SG"/>
    </w:rPr>
  </w:style>
  <w:style w:type="character" w:styleId="Strong">
    <w:name w:val="Strong"/>
    <w:basedOn w:val="DefaultParagraphFont"/>
    <w:uiPriority w:val="22"/>
    <w:qFormat/>
    <w:rsid w:val="007B7009"/>
    <w:rPr>
      <w:b/>
      <w:bCs/>
    </w:rPr>
  </w:style>
  <w:style w:type="numbering" w:customStyle="1" w:styleId="NoList1">
    <w:name w:val="No List1"/>
    <w:next w:val="NoList"/>
    <w:uiPriority w:val="99"/>
    <w:semiHidden/>
    <w:unhideWhenUsed/>
    <w:rsid w:val="00EE0682"/>
  </w:style>
  <w:style w:type="paragraph" w:styleId="Header">
    <w:name w:val="header"/>
    <w:basedOn w:val="Normal"/>
    <w:link w:val="HeaderChar"/>
    <w:uiPriority w:val="99"/>
    <w:unhideWhenUsed/>
    <w:rsid w:val="00EE0682"/>
    <w:pPr>
      <w:widowControl/>
      <w:tabs>
        <w:tab w:val="center" w:pos="4513"/>
        <w:tab w:val="right" w:pos="9026"/>
      </w:tabs>
      <w:autoSpaceDE/>
      <w:autoSpaceDN/>
    </w:pPr>
    <w:rPr>
      <w:rFonts w:asciiTheme="minorHAnsi" w:eastAsiaTheme="minorHAnsi" w:hAnsiTheme="minorHAnsi" w:cstheme="minorBidi"/>
      <w:kern w:val="2"/>
      <w:sz w:val="24"/>
      <w:szCs w:val="24"/>
      <w:lang w:val="en-SG"/>
      <w14:ligatures w14:val="standardContextual"/>
    </w:rPr>
  </w:style>
  <w:style w:type="character" w:customStyle="1" w:styleId="HeaderChar">
    <w:name w:val="Header Char"/>
    <w:basedOn w:val="DefaultParagraphFont"/>
    <w:link w:val="Header"/>
    <w:uiPriority w:val="99"/>
    <w:rsid w:val="00EE0682"/>
  </w:style>
  <w:style w:type="paragraph" w:styleId="Footer">
    <w:name w:val="footer"/>
    <w:basedOn w:val="Normal"/>
    <w:link w:val="FooterChar"/>
    <w:uiPriority w:val="99"/>
    <w:unhideWhenUsed/>
    <w:rsid w:val="00EE0682"/>
    <w:pPr>
      <w:widowControl/>
      <w:tabs>
        <w:tab w:val="center" w:pos="4513"/>
        <w:tab w:val="right" w:pos="9026"/>
      </w:tabs>
      <w:autoSpaceDE/>
      <w:autoSpaceDN/>
    </w:pPr>
    <w:rPr>
      <w:rFonts w:asciiTheme="minorHAnsi" w:eastAsiaTheme="minorHAnsi" w:hAnsiTheme="minorHAnsi" w:cstheme="minorBidi"/>
      <w:kern w:val="2"/>
      <w:sz w:val="24"/>
      <w:szCs w:val="24"/>
      <w:lang w:val="en-SG"/>
      <w14:ligatures w14:val="standardContextual"/>
    </w:rPr>
  </w:style>
  <w:style w:type="character" w:customStyle="1" w:styleId="FooterChar">
    <w:name w:val="Footer Char"/>
    <w:basedOn w:val="DefaultParagraphFont"/>
    <w:link w:val="Footer"/>
    <w:uiPriority w:val="99"/>
    <w:rsid w:val="00EE0682"/>
  </w:style>
  <w:style w:type="paragraph" w:customStyle="1" w:styleId="TableParagraph">
    <w:name w:val="Table Paragraph"/>
    <w:basedOn w:val="Normal"/>
    <w:uiPriority w:val="1"/>
    <w:qFormat/>
    <w:rsid w:val="00EE0682"/>
    <w:pPr>
      <w:jc w:val="center"/>
    </w:pPr>
  </w:style>
  <w:style w:type="table" w:styleId="PlainTable2">
    <w:name w:val="Plain Table 2"/>
    <w:basedOn w:val="TableNormal"/>
    <w:uiPriority w:val="42"/>
    <w:rsid w:val="005037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435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1DF1"/>
    <w:rPr>
      <w:color w:val="0563C1" w:themeColor="hyperlink"/>
      <w:u w:val="single"/>
    </w:rPr>
  </w:style>
  <w:style w:type="character" w:styleId="UnresolvedMention">
    <w:name w:val="Unresolved Mention"/>
    <w:basedOn w:val="DefaultParagraphFont"/>
    <w:uiPriority w:val="99"/>
    <w:semiHidden/>
    <w:unhideWhenUsed/>
    <w:rsid w:val="00461DF1"/>
    <w:rPr>
      <w:color w:val="605E5C"/>
      <w:shd w:val="clear" w:color="auto" w:fill="E1DFDD"/>
    </w:rPr>
  </w:style>
  <w:style w:type="paragraph" w:styleId="TOCHeading">
    <w:name w:val="TOC Heading"/>
    <w:basedOn w:val="Heading1"/>
    <w:next w:val="Normal"/>
    <w:uiPriority w:val="39"/>
    <w:unhideWhenUsed/>
    <w:qFormat/>
    <w:rsid w:val="00FC5894"/>
    <w:pPr>
      <w:widowControl/>
      <w:autoSpaceDE/>
      <w:autoSpaceDN/>
      <w:spacing w:before="240" w:after="0" w:line="259" w:lineRule="auto"/>
      <w:outlineLvl w:val="9"/>
    </w:pPr>
    <w:rPr>
      <w:sz w:val="32"/>
      <w:szCs w:val="32"/>
    </w:rPr>
  </w:style>
  <w:style w:type="paragraph" w:styleId="TOC2">
    <w:name w:val="toc 2"/>
    <w:basedOn w:val="Normal"/>
    <w:next w:val="Normal"/>
    <w:autoRedefine/>
    <w:uiPriority w:val="39"/>
    <w:unhideWhenUsed/>
    <w:rsid w:val="00FC5894"/>
    <w:pPr>
      <w:spacing w:after="100"/>
      <w:ind w:left="220"/>
    </w:pPr>
  </w:style>
  <w:style w:type="character" w:styleId="Emphasis">
    <w:name w:val="Emphasis"/>
    <w:basedOn w:val="DefaultParagraphFont"/>
    <w:uiPriority w:val="20"/>
    <w:qFormat/>
    <w:rsid w:val="00877AD5"/>
    <w:rPr>
      <w:i/>
      <w:iCs/>
    </w:rPr>
  </w:style>
  <w:style w:type="character" w:styleId="FollowedHyperlink">
    <w:name w:val="FollowedHyperlink"/>
    <w:basedOn w:val="DefaultParagraphFont"/>
    <w:uiPriority w:val="99"/>
    <w:semiHidden/>
    <w:unhideWhenUsed/>
    <w:rsid w:val="001B39BA"/>
    <w:rPr>
      <w:color w:val="954F72" w:themeColor="followedHyperlink"/>
      <w:u w:val="single"/>
    </w:rPr>
  </w:style>
  <w:style w:type="paragraph" w:customStyle="1" w:styleId="msonormal0">
    <w:name w:val="msonormal"/>
    <w:basedOn w:val="Normal"/>
    <w:uiPriority w:val="99"/>
    <w:semiHidden/>
    <w:rsid w:val="001B39BA"/>
    <w:pPr>
      <w:widowControl/>
      <w:autoSpaceDE/>
      <w:autoSpaceDN/>
      <w:spacing w:before="100" w:beforeAutospacing="1" w:after="100" w:afterAutospacing="1"/>
    </w:pPr>
    <w:rPr>
      <w:rFonts w:ascii="Times New Roman" w:eastAsia="Times New Roman" w:hAnsi="Times New Roman" w:cs="Times New Roman"/>
      <w:sz w:val="24"/>
      <w:szCs w:val="24"/>
      <w:lang w:val="en-SG" w:eastAsia="en-SG"/>
    </w:rPr>
  </w:style>
  <w:style w:type="table" w:customStyle="1" w:styleId="TableGrid1">
    <w:name w:val="Table Grid1"/>
    <w:basedOn w:val="TableNormal"/>
    <w:next w:val="TableGrid"/>
    <w:uiPriority w:val="39"/>
    <w:rsid w:val="001B39B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1B39BA"/>
    <w:pPr>
      <w:spacing w:after="0" w:line="240" w:lineRule="auto"/>
    </w:pPr>
    <w:rPr>
      <w:rFonts w:ascii="Calibri" w:eastAsia="Calibri" w:hAnsi="Calibri" w:cs="Times New Roman"/>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12671-021-01805-0" TargetMode="External"/><Relationship Id="rId21" Type="http://schemas.openxmlformats.org/officeDocument/2006/relationships/hyperlink" Target="https://doi.org/10.1016/j.midw.2015.11.002" TargetMode="External"/><Relationship Id="rId42" Type="http://schemas.openxmlformats.org/officeDocument/2006/relationships/hyperlink" Target="https://doi.org/10.1037/0003-" TargetMode="External"/><Relationship Id="rId47" Type="http://schemas.openxmlformats.org/officeDocument/2006/relationships/hyperlink" Target="https://doi.org/10.1080/09515070.2020.1760974" TargetMode="External"/><Relationship Id="rId63" Type="http://schemas.openxmlformats.org/officeDocument/2006/relationships/hyperlink" Target="https://doi.org/10.52711/2349-2996.2025.00008" TargetMode="External"/><Relationship Id="rId68" Type="http://schemas.openxmlformats.org/officeDocument/2006/relationships/hyperlink" Target="https://doi.org/10.1007/s11031-021-%0909895-6" TargetMode="External"/><Relationship Id="rId2" Type="http://schemas.openxmlformats.org/officeDocument/2006/relationships/numbering" Target="numbering.xml"/><Relationship Id="rId16" Type="http://schemas.openxmlformats.org/officeDocument/2006/relationships/hyperlink" Target="https://doi.org/10.1177/0022167821995371" TargetMode="External"/><Relationship Id="rId29" Type="http://schemas.openxmlformats.org/officeDocument/2006/relationships/hyperlink" Target="https://doi.org/10.3389/fpsyg.2022.856003" TargetMode="External"/><Relationship Id="rId11" Type="http://schemas.openxmlformats.org/officeDocument/2006/relationships/image" Target="media/image2.png"/><Relationship Id="rId24" Type="http://schemas.openxmlformats.org/officeDocument/2006/relationships/hyperlink" Target="https://doi.org/10.1177/01492063261433560" TargetMode="External"/><Relationship Id="rId32" Type="http://schemas.openxmlformats.org/officeDocument/2006/relationships/hyperlink" Target="https://doi.org/10.46827/ejes.v11i4.5215" TargetMode="External"/><Relationship Id="rId37" Type="http://schemas.openxmlformats.org/officeDocument/2006/relationships/hyperlink" Target="https://doi.org/10.21926/obm.icm.2403046" TargetMode="External"/><Relationship Id="rId40" Type="http://schemas.openxmlformats.org/officeDocument/2006/relationships/hyperlink" Target="https://doi.org/10.1007/978-3-030-80519-7" TargetMode="External"/><Relationship Id="rId45" Type="http://schemas.openxmlformats.org/officeDocument/2006/relationships/hyperlink" Target="https://doi.org/10.3390/ijerph18094715" TargetMode="External"/><Relationship Id="rId53" Type="http://schemas.openxmlformats.org/officeDocument/2006/relationships/hyperlink" Target="https://doi.org/10.3389/fpsyg.2021.694000" TargetMode="External"/><Relationship Id="rId58" Type="http://schemas.openxmlformats.org/officeDocument/2006/relationships/hyperlink" Target="https://doi.org/10.1007/s12671-021-01647-1" TargetMode="External"/><Relationship Id="rId66" Type="http://schemas.openxmlformats.org/officeDocument/2006/relationships/hyperlink" Target="https://cphs.berkeley.edu" TargetMode="External"/><Relationship Id="rId5" Type="http://schemas.openxmlformats.org/officeDocument/2006/relationships/webSettings" Target="webSettings.xml"/><Relationship Id="rId61" Type="http://schemas.openxmlformats.org/officeDocument/2006/relationships/hyperlink" Target="https://doi.org/10.1002/jclp.23245" TargetMode="External"/><Relationship Id="rId19" Type="http://schemas.openxmlformats.org/officeDocument/2006/relationships/hyperlink" Target="https://doi.org/10.14812/cuefd.1463114" TargetMode="External"/><Relationship Id="rId14" Type="http://schemas.openxmlformats.org/officeDocument/2006/relationships/image" Target="media/image5.png"/><Relationship Id="rId22" Type="http://schemas.openxmlformats.org/officeDocument/2006/relationships/hyperlink" Target="https://doi.org/10.1080/03075079.2022.2039091" TargetMode="External"/><Relationship Id="rId27" Type="http://schemas.openxmlformats.org/officeDocument/2006/relationships/hyperlink" Target="https://doi.org/10.1177/00110000241234630" TargetMode="External"/><Relationship Id="rId30" Type="http://schemas.openxmlformats.org/officeDocument/2006/relationships/hyperlink" Target="https://doi.org/10.1016/j.cpr.2022.102120" TargetMode="External"/><Relationship Id="rId35" Type="http://schemas.openxmlformats.org/officeDocument/2006/relationships/hyperlink" Target="https://doi.org/10.1007/s12671-019-%0901134-6" TargetMode="External"/><Relationship Id="rId43" Type="http://schemas.openxmlformats.org/officeDocument/2006/relationships/hyperlink" Target="https://doi.org/10.1146/annurev-clinpsy-081219-093304" TargetMode="External"/><Relationship Id="rId48" Type="http://schemas.openxmlformats.org/officeDocument/2006/relationships/hyperlink" Target="https://doi.org/10.1016/j.jaac.2020.05.009" TargetMode="External"/><Relationship Id="rId56" Type="http://schemas.openxmlformats.org/officeDocument/2006/relationships/hyperlink" Target="https://doi.org/10.21926/obm.icm.2403046" TargetMode="External"/><Relationship Id="rId64" Type="http://schemas.openxmlformats.org/officeDocument/2006/relationships/hyperlink" Target="https://doi.org/10.1007/s11165-016-9602-2" TargetMode="External"/><Relationship Id="rId69" Type="http://schemas.openxmlformats.org/officeDocument/2006/relationships/hyperlink" Target="https://www.who.int/publications/i/item/9789240029200" TargetMode="External"/><Relationship Id="rId8" Type="http://schemas.openxmlformats.org/officeDocument/2006/relationships/header" Target="header1.xml"/><Relationship Id="rId51" Type="http://schemas.openxmlformats.org/officeDocument/2006/relationships/hyperlink" Target="https://doi.org/10.3390/ijerph20054123"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pastyle.apa.org" TargetMode="External"/><Relationship Id="rId25" Type="http://schemas.openxmlformats.org/officeDocument/2006/relationships/hyperlink" Target="https://doi.org/10.1007/s12671-021-01789-2" TargetMode="External"/><Relationship Id="rId33" Type="http://schemas.openxmlformats.org/officeDocument/2006/relationships/hyperlink" Target="https://doi.org/10.1037/pst0000442" TargetMode="External"/><Relationship Id="rId38" Type="http://schemas.openxmlformats.org/officeDocument/2006/relationships/hyperlink" Target="https://doi.org/10.1017/S1478951520000939" TargetMode="External"/><Relationship Id="rId46" Type="http://schemas.openxmlformats.org/officeDocument/2006/relationships/hyperlink" Target="https://doi.org/10.3390/ijerph18020572" TargetMode="External"/><Relationship Id="rId59" Type="http://schemas.openxmlformats.org/officeDocument/2006/relationships/hyperlink" Target="https://doi.org/10.1001/jamapediatrics.2021.2482" TargetMode="External"/><Relationship Id="rId67" Type="http://schemas.openxmlformats.org/officeDocument/2006/relationships/hyperlink" Target="https://doi.org/10.1037/pspi0000407" TargetMode="External"/><Relationship Id="rId20" Type="http://schemas.openxmlformats.org/officeDocument/2006/relationships/hyperlink" Target="https://doi.org/10.1002/job.2455" TargetMode="External"/><Relationship Id="rId41" Type="http://schemas.openxmlformats.org/officeDocument/2006/relationships/hyperlink" Target="https://doi.org/10.1016/j.jvb.2020.103427" TargetMode="External"/><Relationship Id="rId54" Type="http://schemas.openxmlformats.org/officeDocument/2006/relationships/hyperlink" Target="https://doi.org/10.1111/hsc.13741" TargetMode="External"/><Relationship Id="rId62" Type="http://schemas.openxmlformats.org/officeDocument/2006/relationships/hyperlink" Target="https://doi.org/10.1016/j.jpainsymman.2021.03.01" TargetMode="External"/><Relationship Id="rId70" Type="http://schemas.openxmlformats.org/officeDocument/2006/relationships/hyperlink" Target="https://doi.org/10.1111/jnu.1260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1016/j.jvb.2023.103824" TargetMode="External"/><Relationship Id="rId28" Type="http://schemas.openxmlformats.org/officeDocument/2006/relationships/hyperlink" Target="https://cioms.ch/publications" TargetMode="External"/><Relationship Id="rId36" Type="http://schemas.openxmlformats.org/officeDocument/2006/relationships/hyperlink" Target="https://doi.org/10.1007/s12671-021-01785-6" TargetMode="External"/><Relationship Id="rId49" Type="http://schemas.openxmlformats.org/officeDocument/2006/relationships/hyperlink" Target="https://doi.org/10.1186/s12912-025-03604-w" TargetMode="External"/><Relationship Id="rId57" Type="http://schemas.openxmlformats.org/officeDocument/2006/relationships/hyperlink" Target="https://www.psychologytools.com/professional/problems/interpersonal-" TargetMode="External"/><Relationship Id="rId10" Type="http://schemas.openxmlformats.org/officeDocument/2006/relationships/image" Target="media/image1.jpeg"/><Relationship Id="rId31" Type="http://schemas.openxmlformats.org/officeDocument/2006/relationships/hyperlink" Target="https://doi.org/10.1080/10503307.2022.2078380" TargetMode="External"/><Relationship Id="rId44" Type="http://schemas.openxmlformats.org/officeDocument/2006/relationships/hyperlink" Target="https://doi.org/10.1177/0022167818774696" TargetMode="External"/><Relationship Id="rId52" Type="http://schemas.openxmlformats.org/officeDocument/2006/relationships/hyperlink" Target="https://doi.org/10.1146/annurev-" TargetMode="External"/><Relationship Id="rId60" Type="http://schemas.openxmlformats.org/officeDocument/2006/relationships/hyperlink" Target="https://doi.org/10.2196/62679" TargetMode="External"/><Relationship Id="rId65" Type="http://schemas.openxmlformats.org/officeDocument/2006/relationships/hyperlink" Target="https://doi.org/10.1080/10503307.2020.1850961"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hyperlink" Target="https://www.schoolcounselor.org" TargetMode="External"/><Relationship Id="rId39" Type="http://schemas.openxmlformats.org/officeDocument/2006/relationships/hyperlink" Target="https://doi.org/10.1037/1076-8998.5.1.95" TargetMode="External"/><Relationship Id="rId34" Type="http://schemas.openxmlformats.org/officeDocument/2006/relationships/hyperlink" Target="https://doi.org/10.1037/pst0000444" TargetMode="External"/><Relationship Id="rId50" Type="http://schemas.openxmlformats.org/officeDocument/2006/relationships/hyperlink" Target="https://doi.org/10.1007/s12671-019-01271-9" TargetMode="External"/><Relationship Id="rId55" Type="http://schemas.openxmlformats.org/officeDocument/2006/relationships/hyperlink" Target="https://doi.org/10.1007/s12144-024-05678-9" TargetMode="External"/><Relationship Id="rId7" Type="http://schemas.openxmlformats.org/officeDocument/2006/relationships/endnotes" Target="endnotes.xml"/><Relationship Id="rId71" Type="http://schemas.openxmlformats.org/officeDocument/2006/relationships/hyperlink" Target="https://doi.org/10.1016/j.psychres.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5D90B-7D06-4194-8670-4AF1F3B36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2008</TotalTime>
  <Pages>129</Pages>
  <Words>46221</Words>
  <Characters>263463</Characters>
  <Application>Microsoft Office Word</Application>
  <DocSecurity>0</DocSecurity>
  <Lines>2195</Lines>
  <Paragraphs>618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jasmine ponciano</dc:creator>
  <cp:lastModifiedBy>jasmine ponciano</cp:lastModifiedBy>
  <cp:revision>99</cp:revision>
  <cp:lastPrinted>2026-06-19T09:04:00Z</cp:lastPrinted>
  <dcterms:created xsi:type="dcterms:W3CDTF">2026-04-19T15:50:00Z</dcterms:created>
  <dcterms:modified xsi:type="dcterms:W3CDTF">2026-07-08T07:06:00Z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739863bc-193c-4346-8bca-1b485b2c102f</vt:lpwstr>
  </property>
</Properties>
</file>