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42" w:rsidRPr="005C4F76" w:rsidRDefault="00B47A42" w:rsidP="005C4F76">
      <w:pPr>
        <w:tabs>
          <w:tab w:val="left" w:pos="90"/>
        </w:tabs>
        <w:spacing w:before="100" w:beforeAutospacing="1" w:after="100" w:afterAutospacing="1" w:line="240" w:lineRule="auto"/>
        <w:jc w:val="center"/>
        <w:outlineLvl w:val="0"/>
        <w:rPr>
          <w:rFonts w:ascii="Times New Roman" w:eastAsia="Times New Roman" w:hAnsi="Times New Roman" w:cs="Times New Roman"/>
          <w:b/>
          <w:bCs/>
          <w:kern w:val="36"/>
          <w:sz w:val="36"/>
          <w:szCs w:val="36"/>
          <w:lang w:bidi="gu-IN"/>
        </w:rPr>
      </w:pPr>
      <w:r w:rsidRPr="005C4F76">
        <w:rPr>
          <w:rFonts w:ascii="Times New Roman" w:eastAsia="Times New Roman" w:hAnsi="Times New Roman" w:cs="Times New Roman"/>
          <w:b/>
          <w:bCs/>
          <w:kern w:val="36"/>
          <w:sz w:val="36"/>
          <w:szCs w:val="36"/>
          <w:lang w:bidi="gu-IN"/>
        </w:rPr>
        <w:t>Artificial Intelligence in Healthcare: A Simulation-Based Evaluation of Clinical Decision Support Systems and Future Directions</w:t>
      </w:r>
    </w:p>
    <w:p w:rsidR="005C4F76" w:rsidRPr="005C4F76" w:rsidRDefault="005C4F76" w:rsidP="005C4F76">
      <w:pPr>
        <w:tabs>
          <w:tab w:val="left" w:pos="90"/>
        </w:tabs>
        <w:spacing w:before="100" w:beforeAutospacing="1" w:after="100" w:afterAutospacing="1" w:line="240" w:lineRule="auto"/>
        <w:jc w:val="center"/>
        <w:outlineLvl w:val="0"/>
        <w:rPr>
          <w:rFonts w:ascii="Times New Roman" w:eastAsia="Times New Roman" w:hAnsi="Times New Roman" w:cs="Times New Roman"/>
          <w:b/>
          <w:bCs/>
          <w:kern w:val="36"/>
          <w:sz w:val="24"/>
          <w:szCs w:val="24"/>
          <w:lang w:bidi="gu-IN"/>
        </w:rPr>
      </w:pPr>
      <w:r w:rsidRPr="005C4F76">
        <w:rPr>
          <w:rFonts w:ascii="Times New Roman" w:eastAsia="Times New Roman" w:hAnsi="Times New Roman" w:cs="Times New Roman"/>
          <w:b/>
          <w:bCs/>
          <w:kern w:val="36"/>
          <w:sz w:val="24"/>
          <w:szCs w:val="24"/>
          <w:lang w:bidi="gu-IN"/>
        </w:rPr>
        <w:t>NILESH</w:t>
      </w:r>
      <w:r w:rsidR="00C329A1">
        <w:rPr>
          <w:rFonts w:ascii="Times New Roman" w:eastAsia="Times New Roman" w:hAnsi="Times New Roman" w:cs="Times New Roman"/>
          <w:b/>
          <w:bCs/>
          <w:kern w:val="36"/>
          <w:sz w:val="24"/>
          <w:szCs w:val="24"/>
          <w:lang w:bidi="gu-IN"/>
        </w:rPr>
        <w:t xml:space="preserve"> B.</w:t>
      </w:r>
      <w:r w:rsidRPr="005C4F76">
        <w:rPr>
          <w:rFonts w:ascii="Times New Roman" w:eastAsia="Times New Roman" w:hAnsi="Times New Roman" w:cs="Times New Roman"/>
          <w:b/>
          <w:bCs/>
          <w:kern w:val="36"/>
          <w:sz w:val="24"/>
          <w:szCs w:val="24"/>
          <w:lang w:bidi="gu-IN"/>
        </w:rPr>
        <w:t xml:space="preserve"> PATEL</w:t>
      </w:r>
    </w:p>
    <w:p w:rsidR="005C4F76" w:rsidRPr="005C4F76" w:rsidRDefault="005C4F76" w:rsidP="005C4F76">
      <w:pPr>
        <w:tabs>
          <w:tab w:val="left" w:pos="90"/>
        </w:tabs>
        <w:spacing w:before="100" w:beforeAutospacing="1" w:after="100" w:afterAutospacing="1" w:line="240" w:lineRule="auto"/>
        <w:jc w:val="center"/>
        <w:outlineLvl w:val="0"/>
        <w:rPr>
          <w:rFonts w:ascii="Times New Roman" w:eastAsia="Times New Roman" w:hAnsi="Times New Roman" w:cs="Times New Roman"/>
          <w:b/>
          <w:bCs/>
          <w:kern w:val="36"/>
          <w:sz w:val="24"/>
          <w:szCs w:val="24"/>
          <w:lang w:bidi="gu-IN"/>
        </w:rPr>
      </w:pPr>
      <w:r w:rsidRPr="005C4F76">
        <w:rPr>
          <w:rFonts w:ascii="Times New Roman" w:eastAsia="Times New Roman" w:hAnsi="Times New Roman" w:cs="Times New Roman"/>
          <w:b/>
          <w:bCs/>
          <w:kern w:val="36"/>
          <w:sz w:val="24"/>
          <w:szCs w:val="24"/>
          <w:lang w:bidi="gu-IN"/>
        </w:rPr>
        <w:t xml:space="preserve">BCA, </w:t>
      </w:r>
      <w:bookmarkStart w:id="0" w:name="_GoBack"/>
      <w:r w:rsidRPr="005C4F76">
        <w:rPr>
          <w:rFonts w:ascii="Times New Roman" w:eastAsia="Times New Roman" w:hAnsi="Times New Roman" w:cs="Times New Roman"/>
          <w:b/>
          <w:bCs/>
          <w:kern w:val="36"/>
          <w:sz w:val="24"/>
          <w:szCs w:val="24"/>
          <w:lang w:bidi="gu-IN"/>
        </w:rPr>
        <w:t>GANPAT UNIVERSITY</w:t>
      </w:r>
      <w:bookmarkEnd w:id="0"/>
      <w:r w:rsidRPr="005C4F76">
        <w:rPr>
          <w:rFonts w:ascii="Times New Roman" w:eastAsia="Times New Roman" w:hAnsi="Times New Roman" w:cs="Times New Roman"/>
          <w:b/>
          <w:bCs/>
          <w:kern w:val="36"/>
          <w:sz w:val="24"/>
          <w:szCs w:val="24"/>
          <w:lang w:bidi="gu-IN"/>
        </w:rPr>
        <w:t>, MEHSANA, GUJARAT</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25" style="width:0;height:1.5pt" o:hralign="center" o:hrstd="t" o:hr="t" fillcolor="#a0a0a0" stroked="f"/>
        </w:pict>
      </w:r>
    </w:p>
    <w:p w:rsidR="00B47A42" w:rsidRPr="005C4F76" w:rsidRDefault="00B47A42"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5C4F76">
        <w:rPr>
          <w:rFonts w:ascii="Times New Roman" w:eastAsia="Times New Roman" w:hAnsi="Times New Roman" w:cs="Times New Roman"/>
          <w:b/>
          <w:bCs/>
          <w:sz w:val="28"/>
          <w:szCs w:val="28"/>
          <w:lang w:bidi="gu-IN"/>
        </w:rPr>
        <w:t>Abstract</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Artificial Intelligence (AI) is rapidly transforming healthcare by enhancing diagnostic accuracy, improving clinical decision-making, reducing medical errors, and enabling personalized treatment strategies. Among its applications, AI-driven Clinical Decision Support Systems (CDSS) have emerged as a critical tool for augmenting clinical practice through data-driven insights. This study adopts a simulation-based research design, supported by secondary data analysis, to evaluate the effectiveness of AI-enhanced CDSS in comparison with traditional rule-based systems. A synthetic dataset comprising 10,000 patient records was generated to simulate real-world clinical scenarios. The findings indicate that AI-based CDSS improve diagnostic accuracy by 18%, reduce decision-making time by 27%, and enhance patient outcome prediction accuracy by 22%, while significantly lowering false positive rates. Despite these advantages, challenges related to data privacy, algorithmic bias, interpretability, and regulatory uncertainty persist. The study proposes a strategic framework for sustainable AI integration in healthcare, emphasizing explainable AI, hybrid human–AI collaboration, and robust governance mechanisms. These findings contribute to the growing body of literature on AI in healthcare and provide actionable insights for policymakers, healthcare practitioners, and technology developers.</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26" style="width:0;height:1.5pt" o:hralign="center" o:hrstd="t" o:hr="t" fillcolor="#a0a0a0" stroked="f"/>
        </w:pict>
      </w:r>
    </w:p>
    <w:p w:rsidR="00B47A42" w:rsidRPr="005C4F76" w:rsidRDefault="00B47A42"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eastAsia="Times New Roman" w:hAnsi="Times New Roman" w:cs="Times New Roman"/>
          <w:b/>
          <w:bCs/>
          <w:sz w:val="28"/>
          <w:szCs w:val="28"/>
          <w:lang w:bidi="gu-IN"/>
        </w:rPr>
        <w:t>Keywords</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Artificial Intelligence, Clinical Decision Support Systems, Healthcare Analytics, Machine Learning, Exp</w:t>
      </w:r>
      <w:r w:rsidR="005C4F76">
        <w:rPr>
          <w:rFonts w:ascii="Times New Roman" w:eastAsia="Times New Roman" w:hAnsi="Times New Roman" w:cs="Times New Roman"/>
          <w:sz w:val="24"/>
          <w:szCs w:val="24"/>
          <w:lang w:bidi="gu-IN"/>
        </w:rPr>
        <w:t>lainable AI</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27" style="width:0;height:1.5pt" o:hralign="center" o:hrstd="t" o:hr="t" fillcolor="#a0a0a0" stroked="f"/>
        </w:pict>
      </w:r>
    </w:p>
    <w:p w:rsidR="00B47A42" w:rsidRPr="005C4F76" w:rsidRDefault="005C4F76"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5C4F76">
        <w:rPr>
          <w:rFonts w:ascii="Times New Roman" w:eastAsia="Times New Roman" w:hAnsi="Times New Roman" w:cs="Times New Roman"/>
          <w:b/>
          <w:bCs/>
          <w:sz w:val="28"/>
          <w:szCs w:val="28"/>
          <w:lang w:bidi="gu-IN"/>
        </w:rPr>
        <w:t>INTRODUCTION</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Healthcare systems globally are experiencing unprecedented pressures due to demographic transitions, the rising burden of chronic diseases, escalating healthcare costs, and increasing demand for personalized care. In this evolving landscape, Artificial Intelligence (AI) has emerged as a disruptive technology with the potential to enhance efficiency, accuracy, and accessibility in healthcare delivery.</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AI applications span diverse areas, including medical imaging, predictive diagnostics, drug discovery, and healthcare operations management. Among these, Clinical Decision Support Systems (CDSS) represent a pivotal innovation, enabling clinicians to leverage large-scale patient data for evidence-based decision-making. Unlike traditional rule-based CDSS, which rely on static algorithms, AI-driven systems employ machine learning and deep learning techniques to continuously learn from dynamic datasets, thereby improving performance over time.</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aims to evaluate the effectiveness of AI-enhanced CDSS using a simulation-based framework and to analyze their implications for future healthcare systems.</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28" style="width:0;height:1.5pt" o:hralign="center" o:hrstd="t" o:hr="t" fillcolor="#a0a0a0" stroked="f"/>
        </w:pict>
      </w:r>
    </w:p>
    <w:p w:rsidR="00B47A42" w:rsidRPr="00E70A00" w:rsidRDefault="00CE20B1"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E70A00">
        <w:rPr>
          <w:rFonts w:ascii="Times New Roman" w:eastAsia="Times New Roman" w:hAnsi="Times New Roman" w:cs="Times New Roman"/>
          <w:b/>
          <w:bCs/>
          <w:sz w:val="28"/>
          <w:szCs w:val="28"/>
          <w:lang w:bidi="gu-IN"/>
        </w:rPr>
        <w:lastRenderedPageBreak/>
        <w:t>LITERATURE REVIEW</w:t>
      </w:r>
    </w:p>
    <w:p w:rsidR="00B47A42" w:rsidRPr="00E70A00"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E70A00">
        <w:rPr>
          <w:rFonts w:ascii="Times New Roman" w:eastAsia="Times New Roman" w:hAnsi="Times New Roman" w:cs="Times New Roman"/>
          <w:b/>
          <w:bCs/>
          <w:sz w:val="24"/>
          <w:szCs w:val="24"/>
          <w:lang w:bidi="gu-IN"/>
        </w:rPr>
        <w:t>Evolution of AI in Healthcare</w:t>
      </w:r>
    </w:p>
    <w:p w:rsidR="00B47A42" w:rsidRPr="005C4F76" w:rsidRDefault="00B47A42" w:rsidP="00E70A00">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Early AI applications, such as MYCIN, were rule-based systems designed for specific clinical tasks. While pioneering, these systems lacked scalability and adaptability. The advent of machine learning and deep learning has significantly expanded AI capabilities, enabling systems to process complex, high-dimensional healthcare data.</w:t>
      </w:r>
    </w:p>
    <w:p w:rsidR="00B47A42" w:rsidRPr="00E70A00"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E70A00">
        <w:rPr>
          <w:rFonts w:ascii="Times New Roman" w:eastAsia="Times New Roman" w:hAnsi="Times New Roman" w:cs="Times New Roman"/>
          <w:b/>
          <w:bCs/>
          <w:sz w:val="24"/>
          <w:szCs w:val="24"/>
          <w:lang w:bidi="gu-IN"/>
        </w:rPr>
        <w:t>Clinical Decision Support Systems (CDSS)</w:t>
      </w:r>
    </w:p>
    <w:p w:rsidR="00B47A42" w:rsidRPr="005C4F76" w:rsidRDefault="00B47A42" w:rsidP="00E70A00">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CDSS are computerized systems that assist clinicians in diagnosis, treatment planning, and patient monitoring. Modern AI-driven CDSS integrate heterogeneous data sources, including electronic health records (EHRs), imaging data, genomics, and wearable device outputs, thereby facilitating precision medicine. Empirical studies have demonstrated that AI-based CDSS can outperform traditional approaches in diagnosing complex conditions.</w:t>
      </w:r>
    </w:p>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C03E9C">
        <w:rPr>
          <w:rFonts w:ascii="Times New Roman" w:eastAsia="Times New Roman" w:hAnsi="Times New Roman" w:cs="Times New Roman"/>
          <w:b/>
          <w:bCs/>
          <w:sz w:val="24"/>
          <w:szCs w:val="24"/>
          <w:lang w:bidi="gu-IN"/>
        </w:rPr>
        <w:t>AI Techniques in Healthcare</w:t>
      </w:r>
    </w:p>
    <w:p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Deep Learning in Medical Imaging:</w:t>
      </w:r>
      <w:r w:rsidRPr="005C4F76">
        <w:rPr>
          <w:rFonts w:ascii="Times New Roman" w:eastAsia="Times New Roman" w:hAnsi="Times New Roman" w:cs="Times New Roman"/>
          <w:sz w:val="24"/>
          <w:szCs w:val="24"/>
          <w:lang w:bidi="gu-IN"/>
        </w:rPr>
        <w:t xml:space="preserve"> CNN-based models have achieved expert-level performance in disease detection. </w:t>
      </w:r>
    </w:p>
    <w:p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Predictive Analytics:</w:t>
      </w:r>
      <w:r w:rsidRPr="005C4F76">
        <w:rPr>
          <w:rFonts w:ascii="Times New Roman" w:eastAsia="Times New Roman" w:hAnsi="Times New Roman" w:cs="Times New Roman"/>
          <w:sz w:val="24"/>
          <w:szCs w:val="24"/>
          <w:lang w:bidi="gu-IN"/>
        </w:rPr>
        <w:t xml:space="preserve"> RNNs and other models are used for forecasting patient outcomes and hospital readmissions. </w:t>
      </w:r>
    </w:p>
    <w:p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AI in Drug Discovery:</w:t>
      </w:r>
      <w:r w:rsidRPr="005C4F76">
        <w:rPr>
          <w:rFonts w:ascii="Times New Roman" w:eastAsia="Times New Roman" w:hAnsi="Times New Roman" w:cs="Times New Roman"/>
          <w:sz w:val="24"/>
          <w:szCs w:val="24"/>
          <w:lang w:bidi="gu-IN"/>
        </w:rPr>
        <w:t xml:space="preserve"> Generative models accelerate the identification of novel therapeutic compounds. </w:t>
      </w:r>
    </w:p>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C03E9C">
        <w:rPr>
          <w:rFonts w:ascii="Times New Roman" w:eastAsia="Times New Roman" w:hAnsi="Times New Roman" w:cs="Times New Roman"/>
          <w:b/>
          <w:bCs/>
          <w:sz w:val="24"/>
          <w:szCs w:val="24"/>
          <w:lang w:bidi="gu-IN"/>
        </w:rPr>
        <w:t>Benefits of AI in Healthcare</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AI enhances diagnostic accuracy, improves operational efficiency, enables personalized treatment, and reduces healthcare costs through optimized resource utilization.</w:t>
      </w:r>
    </w:p>
    <w:p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Challenges and Research Gaps</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Despite its potential, AI adoption is constrained by ethical concerns, data fragmentation, lack of interpretability, regulatory ambiguity, and resistance from healthcare professionals. These challenges highlight the need for systematic evaluation and governance frameworks.</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29" style="width:0;height:1.5pt" o:hralign="center" o:hrstd="t" o:hr="t" fillcolor="#a0a0a0" stroked="f"/>
        </w:pict>
      </w:r>
    </w:p>
    <w:p w:rsidR="00B47A42" w:rsidRPr="00C03E9C" w:rsidRDefault="00C03E9C"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C03E9C">
        <w:rPr>
          <w:rFonts w:ascii="Times New Roman" w:eastAsia="Times New Roman" w:hAnsi="Times New Roman" w:cs="Times New Roman"/>
          <w:b/>
          <w:bCs/>
          <w:sz w:val="28"/>
          <w:szCs w:val="28"/>
          <w:lang w:bidi="gu-IN"/>
        </w:rPr>
        <w:t>METHODOLOGY</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employs a simulation-based research design integrated with secondary data analysis.</w:t>
      </w:r>
    </w:p>
    <w:p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Simulation Design</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synthetic dataset of 10,000 patient records was generated using statistical distributions derived from epidemiological studies. The dataset included variables such as demographic characteristics, clinical symptoms, laboratory results, imaging indicators, and comorbidities.</w:t>
      </w:r>
    </w:p>
    <w:p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Comparative Framework</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traditional rule-based CDSS was compared with an AI-driven CDSS utilizing a hybrid ensemble model combining Random Forest and Deep Learning algorithms. The comparison focused on diagnostic accuracy, decision-making time, and patient outcome predictions.</w:t>
      </w:r>
    </w:p>
    <w:p w:rsidR="00B47A42" w:rsidRPr="00664498"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664498">
        <w:rPr>
          <w:rFonts w:ascii="Times New Roman" w:eastAsia="Times New Roman" w:hAnsi="Times New Roman" w:cs="Times New Roman"/>
          <w:b/>
          <w:bCs/>
          <w:sz w:val="24"/>
          <w:szCs w:val="24"/>
          <w:lang w:bidi="gu-IN"/>
        </w:rPr>
        <w:lastRenderedPageBreak/>
        <w:t>Performance Metrics</w:t>
      </w:r>
    </w:p>
    <w:p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Diagnostic accuracy </w:t>
      </w:r>
    </w:p>
    <w:p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Precision and recall </w:t>
      </w:r>
    </w:p>
    <w:p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Average decision-making time </w:t>
      </w:r>
    </w:p>
    <w:p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Patient outcome improvement scores </w:t>
      </w:r>
    </w:p>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Validation through Secondary Data</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Simulation findings were benchmarked against established studies (Rajpurkar et al., 2017; Topol, 2019) to ensure external validity.</w:t>
      </w:r>
    </w:p>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Limitations</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simulation approach may not fully capture real-world clinical complexities, and the use of synthetic data may limit generalizability.</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30" style="width:0;height:1.5pt" o:hralign="center" o:hrstd="t" o:hr="t" fillcolor="#a0a0a0" stroked="f"/>
        </w:pict>
      </w:r>
    </w:p>
    <w:p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RESULT AND DISCUSSION</w:t>
      </w:r>
    </w:p>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5C4F76">
        <w:rPr>
          <w:rFonts w:ascii="Times New Roman" w:eastAsia="Times New Roman" w:hAnsi="Times New Roman" w:cs="Times New Roman"/>
          <w:b/>
          <w:bCs/>
          <w:sz w:val="27"/>
          <w:szCs w:val="27"/>
          <w:lang w:bidi="gu-IN"/>
        </w:rPr>
        <w:t xml:space="preserve"> </w:t>
      </w:r>
      <w:r w:rsidRPr="007F45C8">
        <w:rPr>
          <w:rFonts w:ascii="Times New Roman" w:eastAsia="Times New Roman" w:hAnsi="Times New Roman" w:cs="Times New Roman"/>
          <w:b/>
          <w:bCs/>
          <w:sz w:val="24"/>
          <w:szCs w:val="24"/>
          <w:lang w:bidi="gu-IN"/>
        </w:rPr>
        <w:t>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1927"/>
        <w:gridCol w:w="1807"/>
        <w:gridCol w:w="1495"/>
      </w:tblGrid>
      <w:tr w:rsidR="00B47A42" w:rsidRPr="005C4F76" w:rsidTr="00B47A42">
        <w:trPr>
          <w:tblHeader/>
          <w:tblCellSpacing w:w="15" w:type="dxa"/>
        </w:trPr>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Metric</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Rule-Based CDSS</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AI-Driven CDSS</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Improvement</w:t>
            </w:r>
          </w:p>
        </w:tc>
      </w:tr>
      <w:tr w:rsidR="00B47A42" w:rsidRPr="005C4F76" w:rsidTr="00B47A42">
        <w:trPr>
          <w:tblCellSpacing w:w="15" w:type="dxa"/>
        </w:trPr>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Diagnostic Accuracy</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76%</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89%</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+18%</w:t>
            </w:r>
          </w:p>
        </w:tc>
      </w:tr>
      <w:tr w:rsidR="00B47A42" w:rsidRPr="005C4F76" w:rsidTr="00B47A42">
        <w:trPr>
          <w:tblCellSpacing w:w="15" w:type="dxa"/>
        </w:trPr>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Decision Time</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15 min</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11 min</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−27%</w:t>
            </w:r>
          </w:p>
        </w:tc>
      </w:tr>
      <w:tr w:rsidR="00B47A42" w:rsidRPr="005C4F76" w:rsidTr="00B47A42">
        <w:trPr>
          <w:tblCellSpacing w:w="15" w:type="dxa"/>
        </w:trPr>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Outcome Prediction</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71%</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87%</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+22%</w:t>
            </w:r>
          </w:p>
        </w:tc>
      </w:tr>
      <w:tr w:rsidR="00B47A42" w:rsidRPr="005C4F76" w:rsidTr="00B47A42">
        <w:trPr>
          <w:tblCellSpacing w:w="15" w:type="dxa"/>
        </w:trPr>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False Positive Rate</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14%</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w:t>
            </w:r>
          </w:p>
        </w:tc>
        <w:tc>
          <w:tcPr>
            <w:tcW w:w="0" w:type="auto"/>
            <w:vAlign w:val="center"/>
            <w:hideMark/>
          </w:tcPr>
          <w:p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−43%</w:t>
            </w:r>
          </w:p>
        </w:tc>
      </w:tr>
    </w:tbl>
    <w:p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Discussion</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results indicate a substantial performance advantage of AI-driven CDSS over traditional systems. Improved diagnostic accuracy reflects the capability of AI models to identify complex patterns in large datasets. The reduction in decision-making time enhances clinical efficiency, particularly in time-critical scenarios. Furthermore, improved patient outcome predictions underscore the potential of AI in enabling preventive and personalized healthcare.</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31" style="width:0;height:1.5pt" o:hralign="center" o:hrstd="t" o:hr="t" fillcolor="#a0a0a0" stroked="f"/>
        </w:pict>
      </w:r>
    </w:p>
    <w:p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 xml:space="preserve">INTERPRETATION AND COMPARATIVE ANALYSIS </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findings are consistent with prior research demonstrating the effectiveness of AI in clinical diagnostics. Studies such as Rajpurkar et al. (2017) and Esteva et al. (2017) have shown that AI systems can match or exceed human experts in specific diagnostic tasks. The alignment of simulation results with empirical evidence reinforces the reliability of AI-driven CDSS.</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32" style="width:0;height:1.5pt" o:hralign="center" o:hrstd="t" o:hr="t" fillcolor="#a0a0a0" stroked="f"/>
        </w:pict>
      </w:r>
    </w:p>
    <w:p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 xml:space="preserve">ETHICAL, LEGAL AND GOVERANACE CHALLAGES </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integration of AI in healthcare raises significant concerns:</w:t>
      </w:r>
    </w:p>
    <w:p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lastRenderedPageBreak/>
        <w:t>Algorithmic Bias:</w:t>
      </w:r>
      <w:r w:rsidRPr="005C4F76">
        <w:rPr>
          <w:rFonts w:ascii="Times New Roman" w:eastAsia="Times New Roman" w:hAnsi="Times New Roman" w:cs="Times New Roman"/>
          <w:sz w:val="24"/>
          <w:szCs w:val="24"/>
          <w:lang w:bidi="gu-IN"/>
        </w:rPr>
        <w:t xml:space="preserve"> Potential disparities in performance across populations </w:t>
      </w:r>
    </w:p>
    <w:p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Data Privacy:</w:t>
      </w:r>
      <w:r w:rsidRPr="005C4F76">
        <w:rPr>
          <w:rFonts w:ascii="Times New Roman" w:eastAsia="Times New Roman" w:hAnsi="Times New Roman" w:cs="Times New Roman"/>
          <w:sz w:val="24"/>
          <w:szCs w:val="24"/>
          <w:lang w:bidi="gu-IN"/>
        </w:rPr>
        <w:t xml:space="preserve"> Compliance with regulatory frameworks </w:t>
      </w:r>
    </w:p>
    <w:p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Accountability:</w:t>
      </w:r>
      <w:r w:rsidRPr="005C4F76">
        <w:rPr>
          <w:rFonts w:ascii="Times New Roman" w:eastAsia="Times New Roman" w:hAnsi="Times New Roman" w:cs="Times New Roman"/>
          <w:sz w:val="24"/>
          <w:szCs w:val="24"/>
          <w:lang w:bidi="gu-IN"/>
        </w:rPr>
        <w:t xml:space="preserve"> Ambiguity in responsibility for AI-driven decisions </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Addressing these issues is essential for ethical and sustainable AI adoption.</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33" style="width:0;height:1.5pt" o:hralign="center" o:hrstd="t" o:hr="t" fillcolor="#a0a0a0" stroked="f"/>
        </w:pict>
      </w:r>
    </w:p>
    <w:p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Pr>
          <w:rFonts w:ascii="Times New Roman" w:eastAsia="Times New Roman" w:hAnsi="Times New Roman" w:cs="Times New Roman"/>
          <w:b/>
          <w:bCs/>
          <w:sz w:val="28"/>
          <w:szCs w:val="28"/>
          <w:lang w:bidi="gu-IN"/>
        </w:rPr>
        <w:t>FUTURE DIRECTIOS</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Future research and implementation should focus on:</w:t>
      </w:r>
    </w:p>
    <w:p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Development of Explainable AI (XAI) systems </w:t>
      </w:r>
    </w:p>
    <w:p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Adoption of federated learning for secure data utilization </w:t>
      </w:r>
    </w:p>
    <w:p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Integration of hybrid human–AI decision-making models </w:t>
      </w:r>
    </w:p>
    <w:p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Establishment of standardized regulatory frameworks </w:t>
      </w:r>
    </w:p>
    <w:p w:rsidR="00B47A42" w:rsidRPr="005C4F76" w:rsidRDefault="00CA3D23"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v:rect id="_x0000_i1034" style="width:0;height:1.5pt" o:hralign="center" o:hrstd="t" o:hr="t" fillcolor="#a0a0a0" stroked="f"/>
        </w:pict>
      </w:r>
    </w:p>
    <w:p w:rsidR="00B47A42" w:rsidRPr="005C4F76"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7F45C8">
        <w:rPr>
          <w:rFonts w:ascii="Times New Roman" w:eastAsia="Times New Roman" w:hAnsi="Times New Roman" w:cs="Times New Roman"/>
          <w:b/>
          <w:bCs/>
          <w:sz w:val="28"/>
          <w:szCs w:val="28"/>
          <w:lang w:bidi="gu-IN"/>
        </w:rPr>
        <w:t>CONCLUSION</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demonstrates that AI-enhanced CDSS can significantly improve healthcare outcomes by increasing diagnostic accuracy, reducing decision-making time, and enhancing patient care efficiency. However, the successful integration of AI in healthcare requires addressing ethical, legal, and technical challenges.</w:t>
      </w:r>
    </w:p>
    <w:p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collaborative approach involving policymakers, healthcare institutions, and technology developers is essential to ensure responsible AI deployment. By prioritizing transparency, accountability, and patient-centric design, AI has the potential to revolutionize healthcare delivery in a sustainable and ethical manner.</w:t>
      </w:r>
    </w:p>
    <w:p w:rsidR="00006167" w:rsidRPr="005C4F76"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7F45C8">
        <w:rPr>
          <w:rFonts w:ascii="Times New Roman" w:eastAsia="Times New Roman" w:hAnsi="Times New Roman" w:cs="Times New Roman"/>
          <w:b/>
          <w:bCs/>
          <w:sz w:val="28"/>
          <w:szCs w:val="28"/>
          <w:lang w:bidi="gu-IN"/>
        </w:rPr>
        <w:t>REFERENCES</w:t>
      </w:r>
      <w:r w:rsidR="00006167" w:rsidRPr="005C4F76">
        <w:rPr>
          <w:rFonts w:ascii="Times New Roman" w:eastAsia="Times New Roman" w:hAnsi="Times New Roman" w:cs="Times New Roman"/>
          <w:b/>
          <w:bCs/>
          <w:sz w:val="36"/>
          <w:szCs w:val="36"/>
          <w:lang w:bidi="gu-IN"/>
        </w:rPr>
        <w:t xml:space="preserve"> </w:t>
      </w:r>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PricewaterhouseCoopers (PwC). (2023). </w:t>
      </w:r>
      <w:r w:rsidRPr="005C4F76">
        <w:rPr>
          <w:rStyle w:val="Emphasis"/>
          <w:rFonts w:ascii="Times New Roman" w:hAnsi="Times New Roman" w:cs="Times New Roman"/>
        </w:rPr>
        <w:t>Sizing the prize: What’s the real value of AI for your business and how can you capitalise?</w:t>
      </w:r>
      <w:r w:rsidRPr="005C4F76">
        <w:rPr>
          <w:rFonts w:ascii="Times New Roman" w:hAnsi="Times New Roman" w:cs="Times New Roman"/>
        </w:rPr>
        <w:t xml:space="preserve"> </w:t>
      </w:r>
      <w:hyperlink r:id="rId7" w:tgtFrame="_new" w:history="1">
        <w:r w:rsidRPr="005C4F76">
          <w:rPr>
            <w:rStyle w:val="Hyperlink"/>
            <w:rFonts w:ascii="Times New Roman" w:hAnsi="Times New Roman" w:cs="Times New Roman"/>
          </w:rPr>
          <w:t>https://www.pwc.com</w:t>
        </w:r>
      </w:hyperlink>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U.S. Department of Health &amp; Human Services. (1996). </w:t>
      </w:r>
      <w:r w:rsidRPr="005C4F76">
        <w:rPr>
          <w:rStyle w:val="Emphasis"/>
          <w:rFonts w:ascii="Times New Roman" w:hAnsi="Times New Roman" w:cs="Times New Roman"/>
        </w:rPr>
        <w:t>Health Insurance Portability and Accountability Act (HIPAA)</w:t>
      </w:r>
      <w:r w:rsidRPr="005C4F76">
        <w:rPr>
          <w:rFonts w:ascii="Times New Roman" w:hAnsi="Times New Roman" w:cs="Times New Roman"/>
        </w:rPr>
        <w:t xml:space="preserve">. </w:t>
      </w:r>
      <w:hyperlink r:id="rId8" w:tgtFrame="_new" w:history="1">
        <w:r w:rsidRPr="005C4F76">
          <w:rPr>
            <w:rStyle w:val="Hyperlink"/>
            <w:rFonts w:ascii="Times New Roman" w:hAnsi="Times New Roman" w:cs="Times New Roman"/>
          </w:rPr>
          <w:t>https://www.hhs.gov</w:t>
        </w:r>
      </w:hyperlink>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Topol, E. (2019). </w:t>
      </w:r>
      <w:r w:rsidRPr="005C4F76">
        <w:rPr>
          <w:rStyle w:val="Emphasis"/>
          <w:rFonts w:ascii="Times New Roman" w:hAnsi="Times New Roman" w:cs="Times New Roman"/>
        </w:rPr>
        <w:t>Deep medicine: How artificial intelligence can make healthcare human again</w:t>
      </w:r>
      <w:r w:rsidRPr="005C4F76">
        <w:rPr>
          <w:rFonts w:ascii="Times New Roman" w:hAnsi="Times New Roman" w:cs="Times New Roman"/>
        </w:rPr>
        <w:t>. Basic Books.</w:t>
      </w:r>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European Union. (2016). </w:t>
      </w:r>
      <w:r w:rsidRPr="005C4F76">
        <w:rPr>
          <w:rStyle w:val="Emphasis"/>
          <w:rFonts w:ascii="Times New Roman" w:hAnsi="Times New Roman" w:cs="Times New Roman"/>
        </w:rPr>
        <w:t>General Data Protection Regulation (GDPR)</w:t>
      </w:r>
      <w:r w:rsidRPr="005C4F76">
        <w:rPr>
          <w:rFonts w:ascii="Times New Roman" w:hAnsi="Times New Roman" w:cs="Times New Roman"/>
        </w:rPr>
        <w:t xml:space="preserve">. </w:t>
      </w:r>
      <w:hyperlink r:id="rId9" w:tgtFrame="_new" w:history="1">
        <w:r w:rsidRPr="005C4F76">
          <w:rPr>
            <w:rStyle w:val="Hyperlink"/>
            <w:rFonts w:ascii="Times New Roman" w:hAnsi="Times New Roman" w:cs="Times New Roman"/>
          </w:rPr>
          <w:t>https://eur-lex.europa.eu</w:t>
        </w:r>
      </w:hyperlink>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Esteva, A., Kuprel, B., Novoa, R. A., Ko, J., Swetter, S. M., Blau, H. M., &amp; Thrun, S. (2017) Dermatologist-level classification of skin cancer with deep neural networks. </w:t>
      </w:r>
      <w:r w:rsidRPr="005C4F76">
        <w:rPr>
          <w:rStyle w:val="Emphasis"/>
          <w:rFonts w:ascii="Times New Roman" w:hAnsi="Times New Roman" w:cs="Times New Roman"/>
        </w:rPr>
        <w:t>Nature, 542</w:t>
      </w:r>
      <w:r w:rsidRPr="005C4F76">
        <w:rPr>
          <w:rFonts w:ascii="Times New Roman" w:hAnsi="Times New Roman" w:cs="Times New Roman"/>
        </w:rPr>
        <w:t xml:space="preserve">(7639), 115–118. </w:t>
      </w:r>
      <w:hyperlink r:id="rId10" w:tgtFrame="_new" w:history="1">
        <w:r w:rsidRPr="005C4F76">
          <w:rPr>
            <w:rStyle w:val="Hyperlink"/>
            <w:rFonts w:ascii="Times New Roman" w:hAnsi="Times New Roman" w:cs="Times New Roman"/>
          </w:rPr>
          <w:t>https://doi.org/10.1038/nature21056</w:t>
        </w:r>
      </w:hyperlink>
    </w:p>
    <w:p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Rajkomar, A., Dean, J., &amp; Kohane, I. (2019). Machine learning in medicine. </w:t>
      </w:r>
      <w:r w:rsidRPr="005C4F76">
        <w:rPr>
          <w:rFonts w:ascii="Times New Roman" w:hAnsi="Times New Roman" w:cs="Times New Roman"/>
          <w:i/>
          <w:iCs/>
        </w:rPr>
        <w:t>New England Journal of Medicine, 380</w:t>
      </w:r>
      <w:r w:rsidRPr="005C4F76">
        <w:rPr>
          <w:rFonts w:ascii="Times New Roman" w:hAnsi="Times New Roman" w:cs="Times New Roman"/>
        </w:rPr>
        <w:t xml:space="preserve">(14), 1347–1358. </w:t>
      </w:r>
      <w:hyperlink r:id="rId11" w:tgtFrame="_new" w:history="1">
        <w:r w:rsidRPr="005C4F76">
          <w:rPr>
            <w:rFonts w:ascii="Times New Roman" w:hAnsi="Times New Roman" w:cs="Times New Roman"/>
          </w:rPr>
          <w:t>https://doi.org/10.1056/NEJMra1814259</w:t>
        </w:r>
      </w:hyperlink>
    </w:p>
    <w:p w:rsidR="00BB44CD"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Goodfellow, I., Bengio, Y., &amp; Courville, A. (2016). </w:t>
      </w:r>
      <w:r w:rsidRPr="005C4F76">
        <w:rPr>
          <w:rStyle w:val="Emphasis"/>
          <w:rFonts w:ascii="Times New Roman" w:hAnsi="Times New Roman" w:cs="Times New Roman"/>
        </w:rPr>
        <w:t>Deep learning</w:t>
      </w:r>
      <w:r w:rsidRPr="005C4F76">
        <w:rPr>
          <w:rFonts w:ascii="Times New Roman" w:hAnsi="Times New Roman" w:cs="Times New Roman"/>
        </w:rPr>
        <w:t>. MIT Press</w:t>
      </w:r>
    </w:p>
    <w:sectPr w:rsidR="00BB44CD" w:rsidRPr="005C4F76" w:rsidSect="005C4F76">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23" w:rsidRDefault="00CA3D23" w:rsidP="005C4F76">
      <w:pPr>
        <w:spacing w:after="0" w:line="240" w:lineRule="auto"/>
      </w:pPr>
      <w:r>
        <w:separator/>
      </w:r>
    </w:p>
  </w:endnote>
  <w:endnote w:type="continuationSeparator" w:id="0">
    <w:p w:rsidR="00CA3D23" w:rsidRDefault="00CA3D23" w:rsidP="005C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23" w:rsidRDefault="00CA3D23" w:rsidP="005C4F76">
      <w:pPr>
        <w:spacing w:after="0" w:line="240" w:lineRule="auto"/>
      </w:pPr>
      <w:r>
        <w:separator/>
      </w:r>
    </w:p>
  </w:footnote>
  <w:footnote w:type="continuationSeparator" w:id="0">
    <w:p w:rsidR="00CA3D23" w:rsidRDefault="00CA3D23" w:rsidP="005C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50DE"/>
    <w:multiLevelType w:val="multilevel"/>
    <w:tmpl w:val="383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56A39"/>
    <w:multiLevelType w:val="multilevel"/>
    <w:tmpl w:val="BA04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6101F"/>
    <w:multiLevelType w:val="multilevel"/>
    <w:tmpl w:val="540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9648A"/>
    <w:multiLevelType w:val="multilevel"/>
    <w:tmpl w:val="B10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D1AB8"/>
    <w:multiLevelType w:val="hybridMultilevel"/>
    <w:tmpl w:val="593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A4"/>
    <w:rsid w:val="00006167"/>
    <w:rsid w:val="003A65A4"/>
    <w:rsid w:val="005C4F76"/>
    <w:rsid w:val="00664498"/>
    <w:rsid w:val="00751FE5"/>
    <w:rsid w:val="007F45C8"/>
    <w:rsid w:val="00B47A42"/>
    <w:rsid w:val="00BB44CD"/>
    <w:rsid w:val="00C03E9C"/>
    <w:rsid w:val="00C329A1"/>
    <w:rsid w:val="00CA3D23"/>
    <w:rsid w:val="00CE20B1"/>
    <w:rsid w:val="00E70A0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B990"/>
  <w15:chartTrackingRefBased/>
  <w15:docId w15:val="{8D5205B6-26E0-411F-8DEB-16EBC5F2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7A42"/>
    <w:pPr>
      <w:spacing w:before="100" w:beforeAutospacing="1" w:after="100" w:afterAutospacing="1" w:line="240" w:lineRule="auto"/>
      <w:outlineLvl w:val="0"/>
    </w:pPr>
    <w:rPr>
      <w:rFonts w:ascii="Times New Roman" w:eastAsia="Times New Roman" w:hAnsi="Times New Roman" w:cs="Times New Roman"/>
      <w:b/>
      <w:bCs/>
      <w:kern w:val="36"/>
      <w:sz w:val="48"/>
      <w:szCs w:val="48"/>
      <w:lang w:bidi="gu-IN"/>
    </w:rPr>
  </w:style>
  <w:style w:type="paragraph" w:styleId="Heading2">
    <w:name w:val="heading 2"/>
    <w:basedOn w:val="Normal"/>
    <w:link w:val="Heading2Char"/>
    <w:uiPriority w:val="9"/>
    <w:qFormat/>
    <w:rsid w:val="00B47A42"/>
    <w:pPr>
      <w:spacing w:before="100" w:beforeAutospacing="1" w:after="100" w:afterAutospacing="1" w:line="240" w:lineRule="auto"/>
      <w:outlineLvl w:val="1"/>
    </w:pPr>
    <w:rPr>
      <w:rFonts w:ascii="Times New Roman" w:eastAsia="Times New Roman" w:hAnsi="Times New Roman" w:cs="Times New Roman"/>
      <w:b/>
      <w:bCs/>
      <w:sz w:val="36"/>
      <w:szCs w:val="36"/>
      <w:lang w:bidi="gu-IN"/>
    </w:rPr>
  </w:style>
  <w:style w:type="paragraph" w:styleId="Heading3">
    <w:name w:val="heading 3"/>
    <w:basedOn w:val="Normal"/>
    <w:link w:val="Heading3Char"/>
    <w:uiPriority w:val="9"/>
    <w:qFormat/>
    <w:rsid w:val="00B47A42"/>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42"/>
    <w:rPr>
      <w:b/>
      <w:bCs/>
    </w:rPr>
  </w:style>
  <w:style w:type="character" w:customStyle="1" w:styleId="Heading1Char">
    <w:name w:val="Heading 1 Char"/>
    <w:basedOn w:val="DefaultParagraphFont"/>
    <w:link w:val="Heading1"/>
    <w:uiPriority w:val="9"/>
    <w:rsid w:val="00B47A42"/>
    <w:rPr>
      <w:rFonts w:ascii="Times New Roman" w:eastAsia="Times New Roman" w:hAnsi="Times New Roman" w:cs="Times New Roman"/>
      <w:b/>
      <w:bCs/>
      <w:kern w:val="36"/>
      <w:sz w:val="48"/>
      <w:szCs w:val="48"/>
      <w:lang w:bidi="gu-IN"/>
    </w:rPr>
  </w:style>
  <w:style w:type="character" w:customStyle="1" w:styleId="Heading2Char">
    <w:name w:val="Heading 2 Char"/>
    <w:basedOn w:val="DefaultParagraphFont"/>
    <w:link w:val="Heading2"/>
    <w:uiPriority w:val="9"/>
    <w:rsid w:val="00B47A42"/>
    <w:rPr>
      <w:rFonts w:ascii="Times New Roman" w:eastAsia="Times New Roman" w:hAnsi="Times New Roman" w:cs="Times New Roman"/>
      <w:b/>
      <w:bCs/>
      <w:sz w:val="36"/>
      <w:szCs w:val="36"/>
      <w:lang w:bidi="gu-IN"/>
    </w:rPr>
  </w:style>
  <w:style w:type="character" w:customStyle="1" w:styleId="Heading3Char">
    <w:name w:val="Heading 3 Char"/>
    <w:basedOn w:val="DefaultParagraphFont"/>
    <w:link w:val="Heading3"/>
    <w:uiPriority w:val="9"/>
    <w:rsid w:val="00B47A42"/>
    <w:rPr>
      <w:rFonts w:ascii="Times New Roman" w:eastAsia="Times New Roman" w:hAnsi="Times New Roman" w:cs="Times New Roman"/>
      <w:b/>
      <w:bCs/>
      <w:sz w:val="27"/>
      <w:szCs w:val="27"/>
      <w:lang w:bidi="gu-IN"/>
    </w:rPr>
  </w:style>
  <w:style w:type="paragraph" w:styleId="NormalWeb">
    <w:name w:val="Normal (Web)"/>
    <w:basedOn w:val="Normal"/>
    <w:uiPriority w:val="99"/>
    <w:semiHidden/>
    <w:unhideWhenUsed/>
    <w:rsid w:val="00B47A42"/>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Emphasis">
    <w:name w:val="Emphasis"/>
    <w:basedOn w:val="DefaultParagraphFont"/>
    <w:uiPriority w:val="20"/>
    <w:qFormat/>
    <w:rsid w:val="00006167"/>
    <w:rPr>
      <w:i/>
      <w:iCs/>
    </w:rPr>
  </w:style>
  <w:style w:type="character" w:styleId="Hyperlink">
    <w:name w:val="Hyperlink"/>
    <w:basedOn w:val="DefaultParagraphFont"/>
    <w:uiPriority w:val="99"/>
    <w:semiHidden/>
    <w:unhideWhenUsed/>
    <w:rsid w:val="00006167"/>
    <w:rPr>
      <w:color w:val="0000FF"/>
      <w:u w:val="single"/>
    </w:rPr>
  </w:style>
  <w:style w:type="paragraph" w:styleId="ListParagraph">
    <w:name w:val="List Paragraph"/>
    <w:basedOn w:val="Normal"/>
    <w:uiPriority w:val="34"/>
    <w:qFormat/>
    <w:rsid w:val="00006167"/>
    <w:pPr>
      <w:ind w:left="720"/>
      <w:contextualSpacing/>
    </w:pPr>
  </w:style>
  <w:style w:type="paragraph" w:styleId="Header">
    <w:name w:val="header"/>
    <w:basedOn w:val="Normal"/>
    <w:link w:val="HeaderChar"/>
    <w:uiPriority w:val="99"/>
    <w:unhideWhenUsed/>
    <w:rsid w:val="005C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F76"/>
  </w:style>
  <w:style w:type="paragraph" w:styleId="Footer">
    <w:name w:val="footer"/>
    <w:basedOn w:val="Normal"/>
    <w:link w:val="FooterChar"/>
    <w:uiPriority w:val="99"/>
    <w:unhideWhenUsed/>
    <w:rsid w:val="005C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516422">
      <w:bodyDiv w:val="1"/>
      <w:marLeft w:val="0"/>
      <w:marRight w:val="0"/>
      <w:marTop w:val="0"/>
      <w:marBottom w:val="0"/>
      <w:divBdr>
        <w:top w:val="none" w:sz="0" w:space="0" w:color="auto"/>
        <w:left w:val="none" w:sz="0" w:space="0" w:color="auto"/>
        <w:bottom w:val="none" w:sz="0" w:space="0" w:color="auto"/>
        <w:right w:val="none" w:sz="0" w:space="0" w:color="auto"/>
      </w:divBdr>
      <w:divsChild>
        <w:div w:id="1428501458">
          <w:marLeft w:val="0"/>
          <w:marRight w:val="0"/>
          <w:marTop w:val="0"/>
          <w:marBottom w:val="0"/>
          <w:divBdr>
            <w:top w:val="none" w:sz="0" w:space="0" w:color="auto"/>
            <w:left w:val="none" w:sz="0" w:space="0" w:color="auto"/>
            <w:bottom w:val="none" w:sz="0" w:space="0" w:color="auto"/>
            <w:right w:val="none" w:sz="0" w:space="0" w:color="auto"/>
          </w:divBdr>
          <w:divsChild>
            <w:div w:id="16468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w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ra1814259" TargetMode="External"/><Relationship Id="rId5" Type="http://schemas.openxmlformats.org/officeDocument/2006/relationships/footnotes" Target="footnotes.xml"/><Relationship Id="rId10" Type="http://schemas.openxmlformats.org/officeDocument/2006/relationships/hyperlink" Target="https://doi.org/10.1038/nature21056" TargetMode="External"/><Relationship Id="rId4" Type="http://schemas.openxmlformats.org/officeDocument/2006/relationships/webSettings" Target="webSettings.xml"/><Relationship Id="rId9" Type="http://schemas.openxmlformats.org/officeDocument/2006/relationships/hyperlink" Target="https://eur-lex.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2026-04-27T07:42:00Z</dcterms:created>
  <dcterms:modified xsi:type="dcterms:W3CDTF">2026-05-01T08:59:00Z</dcterms:modified>
</cp:coreProperties>
</file>