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7C177" w14:textId="77777777" w:rsidR="003819FB" w:rsidRPr="00FD20C6" w:rsidRDefault="003819FB" w:rsidP="002036C5">
      <w:pPr>
        <w:pStyle w:val="Heading1"/>
        <w:spacing w:before="0" w:beforeAutospacing="0" w:after="0" w:afterAutospacing="0"/>
        <w:jc w:val="both"/>
        <w:rPr>
          <w:sz w:val="24"/>
          <w:szCs w:val="24"/>
        </w:rPr>
      </w:pPr>
      <w:r w:rsidRPr="00FD20C6">
        <w:rPr>
          <w:sz w:val="24"/>
          <w:szCs w:val="24"/>
        </w:rPr>
        <w:t>AI-Driven Nature-Positive Smart Village Framework with Integrated Disease Detection for Sustainable Rural Development</w:t>
      </w:r>
    </w:p>
    <w:p w14:paraId="7705ECAA" w14:textId="77777777" w:rsidR="00CD5B1F" w:rsidRDefault="00CD5B1F" w:rsidP="002036C5">
      <w:pPr>
        <w:pStyle w:val="Heading2"/>
        <w:spacing w:before="0" w:beforeAutospacing="0" w:after="0" w:afterAutospacing="0"/>
        <w:jc w:val="both"/>
        <w:rPr>
          <w:sz w:val="24"/>
          <w:szCs w:val="24"/>
        </w:rPr>
        <w:sectPr w:rsidR="00CD5B1F" w:rsidSect="00101B09">
          <w:pgSz w:w="11906" w:h="16838"/>
          <w:pgMar w:top="1440" w:right="1440" w:bottom="1440" w:left="1440" w:header="708" w:footer="708" w:gutter="0"/>
          <w:cols w:space="708"/>
          <w:docGrid w:linePitch="360"/>
        </w:sectPr>
      </w:pPr>
    </w:p>
    <w:p w14:paraId="39551F08" w14:textId="77777777" w:rsidR="00615546" w:rsidRDefault="00615546" w:rsidP="002036C5">
      <w:pPr>
        <w:pStyle w:val="Heading2"/>
        <w:spacing w:before="0" w:beforeAutospacing="0" w:after="0" w:afterAutospacing="0"/>
        <w:jc w:val="both"/>
        <w:rPr>
          <w:sz w:val="24"/>
          <w:szCs w:val="24"/>
        </w:rPr>
      </w:pPr>
    </w:p>
    <w:p w14:paraId="119457B1" w14:textId="77777777" w:rsidR="002036C5" w:rsidRPr="00CD5B1F" w:rsidRDefault="002036C5" w:rsidP="002036C5">
      <w:pPr>
        <w:pStyle w:val="Heading2"/>
        <w:spacing w:before="0" w:beforeAutospacing="0" w:after="0" w:afterAutospacing="0"/>
        <w:jc w:val="both"/>
        <w:rPr>
          <w:b w:val="0"/>
          <w:sz w:val="18"/>
          <w:szCs w:val="18"/>
        </w:rPr>
      </w:pPr>
      <w:r w:rsidRPr="00CD5B1F">
        <w:rPr>
          <w:b w:val="0"/>
          <w:sz w:val="18"/>
          <w:szCs w:val="18"/>
          <w:vertAlign w:val="superscript"/>
        </w:rPr>
        <w:t xml:space="preserve">1 </w:t>
      </w:r>
      <w:r w:rsidRPr="00CD5B1F">
        <w:rPr>
          <w:b w:val="0"/>
          <w:sz w:val="18"/>
          <w:szCs w:val="18"/>
        </w:rPr>
        <w:t>M</w:t>
      </w:r>
      <w:r w:rsidR="00615546" w:rsidRPr="00CD5B1F">
        <w:rPr>
          <w:b w:val="0"/>
          <w:sz w:val="18"/>
          <w:szCs w:val="18"/>
        </w:rPr>
        <w:t xml:space="preserve">.Ushanandhini,Assistant Professor </w:t>
      </w:r>
      <w:r w:rsidRPr="00CD5B1F">
        <w:rPr>
          <w:b w:val="0"/>
          <w:sz w:val="18"/>
          <w:szCs w:val="18"/>
        </w:rPr>
        <w:t xml:space="preserve">                             </w:t>
      </w:r>
    </w:p>
    <w:p w14:paraId="02F4D65B" w14:textId="77777777" w:rsidR="002036C5" w:rsidRPr="00CD5B1F" w:rsidRDefault="00615546" w:rsidP="002036C5">
      <w:pPr>
        <w:pStyle w:val="Heading2"/>
        <w:spacing w:before="0" w:beforeAutospacing="0" w:after="0" w:afterAutospacing="0"/>
        <w:jc w:val="both"/>
        <w:rPr>
          <w:b w:val="0"/>
          <w:sz w:val="18"/>
          <w:szCs w:val="18"/>
        </w:rPr>
      </w:pPr>
      <w:r w:rsidRPr="00CD5B1F">
        <w:rPr>
          <w:b w:val="0"/>
          <w:sz w:val="18"/>
          <w:szCs w:val="18"/>
        </w:rPr>
        <w:t xml:space="preserve">Department </w:t>
      </w:r>
      <w:r w:rsidR="002036C5" w:rsidRPr="00CD5B1F">
        <w:rPr>
          <w:b w:val="0"/>
          <w:sz w:val="18"/>
          <w:szCs w:val="18"/>
        </w:rPr>
        <w:t>of Artificial Intelligence and Data S</w:t>
      </w:r>
      <w:r w:rsidRPr="00CD5B1F">
        <w:rPr>
          <w:b w:val="0"/>
          <w:sz w:val="18"/>
          <w:szCs w:val="18"/>
        </w:rPr>
        <w:t>cience</w:t>
      </w:r>
    </w:p>
    <w:p w14:paraId="05D00541" w14:textId="77777777" w:rsidR="002036C5" w:rsidRPr="00CD5B1F" w:rsidRDefault="002036C5" w:rsidP="002036C5">
      <w:pPr>
        <w:pStyle w:val="Heading2"/>
        <w:spacing w:before="0" w:beforeAutospacing="0" w:after="0" w:afterAutospacing="0"/>
        <w:jc w:val="both"/>
        <w:rPr>
          <w:b w:val="0"/>
          <w:sz w:val="18"/>
          <w:szCs w:val="18"/>
        </w:rPr>
      </w:pPr>
      <w:r w:rsidRPr="00CD5B1F">
        <w:rPr>
          <w:b w:val="0"/>
          <w:sz w:val="18"/>
          <w:szCs w:val="18"/>
        </w:rPr>
        <w:t>Vivekanandha Arts and Science College For Women</w:t>
      </w:r>
    </w:p>
    <w:p w14:paraId="186637D4" w14:textId="77777777" w:rsidR="002036C5" w:rsidRDefault="002036C5" w:rsidP="002036C5">
      <w:pPr>
        <w:pStyle w:val="Heading2"/>
        <w:spacing w:before="0" w:beforeAutospacing="0" w:after="0" w:afterAutospacing="0"/>
        <w:jc w:val="both"/>
        <w:rPr>
          <w:b w:val="0"/>
          <w:sz w:val="18"/>
          <w:szCs w:val="18"/>
        </w:rPr>
      </w:pPr>
      <w:r w:rsidRPr="00CD5B1F">
        <w:rPr>
          <w:b w:val="0"/>
          <w:sz w:val="18"/>
          <w:szCs w:val="18"/>
        </w:rPr>
        <w:t>Veerachipalayam,Sankari</w:t>
      </w:r>
    </w:p>
    <w:p w14:paraId="4F7A95B1" w14:textId="77777777" w:rsidR="00A81C85" w:rsidRPr="00CD5B1F" w:rsidRDefault="00A81C85" w:rsidP="002036C5">
      <w:pPr>
        <w:pStyle w:val="Heading2"/>
        <w:spacing w:before="0" w:beforeAutospacing="0" w:after="0" w:afterAutospacing="0"/>
        <w:jc w:val="both"/>
        <w:rPr>
          <w:b w:val="0"/>
          <w:sz w:val="18"/>
          <w:szCs w:val="18"/>
        </w:rPr>
      </w:pPr>
    </w:p>
    <w:p w14:paraId="247886BE" w14:textId="77777777" w:rsidR="002036C5" w:rsidRPr="00CD5B1F" w:rsidRDefault="002036C5" w:rsidP="002036C5">
      <w:pPr>
        <w:pStyle w:val="Heading2"/>
        <w:spacing w:before="0" w:beforeAutospacing="0" w:after="0" w:afterAutospacing="0"/>
        <w:jc w:val="both"/>
        <w:rPr>
          <w:b w:val="0"/>
          <w:sz w:val="18"/>
          <w:szCs w:val="18"/>
        </w:rPr>
      </w:pPr>
    </w:p>
    <w:p w14:paraId="72F15F6F" w14:textId="70FED2C5" w:rsidR="002036C5" w:rsidRPr="00CD5B1F" w:rsidRDefault="002036C5" w:rsidP="002036C5">
      <w:pPr>
        <w:pStyle w:val="Heading2"/>
        <w:spacing w:before="0" w:beforeAutospacing="0" w:after="0" w:afterAutospacing="0"/>
        <w:jc w:val="both"/>
        <w:rPr>
          <w:b w:val="0"/>
          <w:sz w:val="18"/>
          <w:szCs w:val="18"/>
        </w:rPr>
      </w:pPr>
    </w:p>
    <w:p w14:paraId="30E71B1D" w14:textId="77777777" w:rsidR="00CD5B1F" w:rsidRPr="00CD5B1F" w:rsidRDefault="00CD5B1F" w:rsidP="002036C5">
      <w:pPr>
        <w:pStyle w:val="Heading2"/>
        <w:spacing w:before="0" w:beforeAutospacing="0" w:after="0" w:afterAutospacing="0"/>
        <w:jc w:val="both"/>
        <w:rPr>
          <w:b w:val="0"/>
          <w:sz w:val="18"/>
          <w:szCs w:val="18"/>
        </w:rPr>
      </w:pPr>
    </w:p>
    <w:p w14:paraId="2D07EFB1" w14:textId="77777777" w:rsidR="00CD5B1F" w:rsidRPr="00CD5B1F" w:rsidRDefault="00CD5B1F" w:rsidP="002036C5">
      <w:pPr>
        <w:pStyle w:val="Heading2"/>
        <w:spacing w:before="0" w:beforeAutospacing="0" w:after="0" w:afterAutospacing="0"/>
        <w:jc w:val="both"/>
        <w:rPr>
          <w:b w:val="0"/>
          <w:sz w:val="18"/>
          <w:szCs w:val="18"/>
        </w:rPr>
      </w:pPr>
    </w:p>
    <w:p w14:paraId="7FC20CF5" w14:textId="77777777" w:rsidR="00CD5B1F" w:rsidRPr="00CD5B1F" w:rsidRDefault="00CD5B1F" w:rsidP="00CD5B1F">
      <w:pPr>
        <w:pStyle w:val="Heading2"/>
        <w:spacing w:before="0" w:beforeAutospacing="0" w:after="0" w:afterAutospacing="0"/>
        <w:jc w:val="both"/>
        <w:rPr>
          <w:b w:val="0"/>
          <w:sz w:val="18"/>
          <w:szCs w:val="18"/>
        </w:rPr>
      </w:pPr>
    </w:p>
    <w:p w14:paraId="3F303DF7" w14:textId="77777777" w:rsidR="00CD5B1F" w:rsidRPr="002036C5" w:rsidRDefault="00CD5B1F" w:rsidP="00CD5B1F">
      <w:pPr>
        <w:pStyle w:val="Heading2"/>
        <w:spacing w:before="0" w:beforeAutospacing="0" w:after="0" w:afterAutospacing="0"/>
        <w:jc w:val="both"/>
        <w:rPr>
          <w:b w:val="0"/>
          <w:sz w:val="22"/>
          <w:szCs w:val="22"/>
        </w:rPr>
        <w:sectPr w:rsidR="00CD5B1F" w:rsidRPr="002036C5" w:rsidSect="00CD5B1F">
          <w:type w:val="continuous"/>
          <w:pgSz w:w="11906" w:h="16838"/>
          <w:pgMar w:top="1440" w:right="1440" w:bottom="1440" w:left="1440" w:header="708" w:footer="708" w:gutter="0"/>
          <w:cols w:num="2" w:space="708"/>
          <w:docGrid w:linePitch="360"/>
        </w:sectPr>
      </w:pPr>
    </w:p>
    <w:p w14:paraId="38C606B8" w14:textId="77777777" w:rsidR="003819FB" w:rsidRPr="00FD20C6" w:rsidRDefault="003819FB" w:rsidP="002036C5">
      <w:pPr>
        <w:pStyle w:val="Heading2"/>
        <w:spacing w:before="0" w:beforeAutospacing="0" w:after="0" w:afterAutospacing="0"/>
        <w:jc w:val="both"/>
        <w:rPr>
          <w:sz w:val="24"/>
          <w:szCs w:val="24"/>
        </w:rPr>
      </w:pPr>
      <w:r w:rsidRPr="00FD20C6">
        <w:rPr>
          <w:sz w:val="24"/>
          <w:szCs w:val="24"/>
        </w:rPr>
        <w:t>ABSTRACT</w:t>
      </w:r>
    </w:p>
    <w:p w14:paraId="1FFCA074" w14:textId="77777777" w:rsidR="003819FB" w:rsidRPr="00FD20C6" w:rsidRDefault="003819FB" w:rsidP="003819FB">
      <w:pPr>
        <w:pStyle w:val="font-claude-response-body"/>
        <w:jc w:val="both"/>
      </w:pPr>
      <w:r w:rsidRPr="00FD20C6">
        <w:t xml:space="preserve">Approximately 3.4 billion people in rural communities worldwide confront interlinked agricultural, environmental, and socioeconomic challenges. Conventional smart village programs emphasize digital connectivity yet frequently overlook ecosystem degradation and community-driven governance. This study introduces an innovative nature-positive framework that unifies artificial intelligence-powered disease identification, environmental surveillance, and participatory decision-making for sustainable rural advancement. The architecture comprises four integrated layers: multi-source data collection (IoT networks, aerial imaging, satellite observations), intelligent processing (convolutional neural network achieving 92% diagnostic accuracy), community interfaces, and comprehensive sustainability evaluation. Implementation across three Tamil Nadu villages (population 8,500; 650 participating farmers; 18-month duration) yielded measurable outcomes: pesticide applications reduced 40%, agricultural yields increased 20-25%, water consumption decreased 35%, disease-related losses declined 50%, and biodiversity indicators improved substantially (Simpson's Diversity Index progression: 0.68→0.81). The diagnostic system successfully identified twelve prevalent tomato and onion diseases with 89-95% precision for fungal pathogens. Economic assessment demonstrated 247% return on investment over eighteen months, with average household agricultural income gains of ₹13,092 annually. This validated framework aligns </w:t>
      </w:r>
      <w:r w:rsidRPr="00FD20C6">
        <w:t>with United Nations Sustainable Development Goals 2, 6, 11, 13, and 15, establishing that technology-enabled ecological regeneration combined with grassroots empowerment can fundamentally transform rural livelihoods toward sustainability.</w:t>
      </w:r>
    </w:p>
    <w:p w14:paraId="39A4534A" w14:textId="77777777" w:rsidR="003819FB" w:rsidRPr="00FD20C6" w:rsidRDefault="003819FB" w:rsidP="003819FB">
      <w:pPr>
        <w:pStyle w:val="font-claude-response-body"/>
        <w:jc w:val="both"/>
      </w:pPr>
      <w:r w:rsidRPr="00FD20C6">
        <w:rPr>
          <w:rStyle w:val="Strong"/>
        </w:rPr>
        <w:t>Keywords:</w:t>
      </w:r>
      <w:r w:rsidRPr="00FD20C6">
        <w:t xml:space="preserve"> Convolutional neural networks, Deep learning, Smart villages, Precision agriculture, Internet of Things, Biodiversity enhancement, Crop disease diagnostics, Environmental monitoring, Sustainable Development Goals, Climate resilience, Community participation.</w:t>
      </w:r>
    </w:p>
    <w:p w14:paraId="701C0CDB" w14:textId="77777777" w:rsidR="003819FB" w:rsidRPr="00FD20C6" w:rsidRDefault="003819FB" w:rsidP="003819FB">
      <w:pPr>
        <w:pStyle w:val="Heading2"/>
        <w:jc w:val="both"/>
        <w:rPr>
          <w:sz w:val="24"/>
          <w:szCs w:val="24"/>
        </w:rPr>
      </w:pPr>
      <w:r w:rsidRPr="00FD20C6">
        <w:rPr>
          <w:sz w:val="24"/>
          <w:szCs w:val="24"/>
        </w:rPr>
        <w:t>1. INTRODUCTION</w:t>
      </w:r>
    </w:p>
    <w:p w14:paraId="7F2618A1" w14:textId="77777777" w:rsidR="003819FB" w:rsidRPr="00FD20C6" w:rsidRDefault="003819FB" w:rsidP="003819FB">
      <w:pPr>
        <w:pStyle w:val="Heading3"/>
        <w:jc w:val="both"/>
        <w:rPr>
          <w:sz w:val="24"/>
          <w:szCs w:val="24"/>
        </w:rPr>
      </w:pPr>
      <w:r w:rsidRPr="00FD20C6">
        <w:rPr>
          <w:sz w:val="24"/>
          <w:szCs w:val="24"/>
        </w:rPr>
        <w:t>1.1 Global Context and Rural Challenges</w:t>
      </w:r>
    </w:p>
    <w:p w14:paraId="738BC80E" w14:textId="77777777" w:rsidR="003819FB" w:rsidRPr="00FD20C6" w:rsidRDefault="003819FB" w:rsidP="003819FB">
      <w:pPr>
        <w:pStyle w:val="font-claude-response-body"/>
        <w:jc w:val="both"/>
      </w:pPr>
      <w:r w:rsidRPr="00FD20C6">
        <w:t>Rural populations will constitute 43% of global inhabitants by 2030 according to World Bank projections (2024), yet these communities experience disproportionate impacts from anthropogenic climate change, natural resource depletion, and limited technological access. Worldwide agricultural losses attributable to crop diseases surpass $220 billion annually (FAO, 2023), while soil degradation compromises 52% of cultivated land globally (UNDP, 2023). Furthermore, over 2 billion rural residents lack dependable internet connectivity (ITU, 2024), constraining access to contemporary agricultural information and digital services essential for competitive market participation.</w:t>
      </w:r>
    </w:p>
    <w:p w14:paraId="5486ACC2" w14:textId="77777777" w:rsidR="003819FB" w:rsidRPr="00FD20C6" w:rsidRDefault="003819FB" w:rsidP="003819FB">
      <w:pPr>
        <w:pStyle w:val="font-claude-response-body"/>
        <w:jc w:val="both"/>
      </w:pPr>
      <w:r w:rsidRPr="00FD20C6">
        <w:t xml:space="preserve">Traditional smart village implementations have concentrated predominantly on infrastructure deployment, achieving </w:t>
      </w:r>
      <w:r w:rsidRPr="00FD20C6">
        <w:lastRenderedPageBreak/>
        <w:t>connectivity rates between 60-75% in targeted communities but frequently neglecting fundamental environmental deterioration undermining rural sustainability (Berdejó and Ordóñez, 2023). Agricultural productivity stagnates due to soil nutrient depletion, water resource scarcity, biodiversity reduction, and insufficient pest and disease management protocols. Climate variability exacerbates these vulnerabilities through heightened weather unpredictability, shifting pathogen distributions, and increasing frequency of extreme meteorological events.</w:t>
      </w:r>
    </w:p>
    <w:p w14:paraId="4D9E6910" w14:textId="77777777" w:rsidR="003819FB" w:rsidRPr="00FD20C6" w:rsidRDefault="003819FB" w:rsidP="003819FB">
      <w:pPr>
        <w:pStyle w:val="font-claude-response-body"/>
        <w:jc w:val="both"/>
      </w:pPr>
      <w:r w:rsidRPr="00FD20C6">
        <w:t>The technological convergence of artificial intelligence, Internet of Things platforms, and sustainability sciences presents unprecedented opportunities for reimagining rural development paradigms. However, contemporary frameworks function as isolated systems—agricultural AI applications rarely incorporate environmental monitoring capabilities, while digital governance platforms seldom integrate ecological performance indicators or participatory mechanisms enabling community agency.</w:t>
      </w:r>
    </w:p>
    <w:p w14:paraId="51317BCE" w14:textId="77777777" w:rsidR="003819FB" w:rsidRPr="00FD20C6" w:rsidRDefault="003819FB" w:rsidP="003819FB">
      <w:pPr>
        <w:pStyle w:val="Heading3"/>
        <w:jc w:val="both"/>
        <w:rPr>
          <w:sz w:val="24"/>
          <w:szCs w:val="24"/>
        </w:rPr>
      </w:pPr>
      <w:r w:rsidRPr="00FD20C6">
        <w:rPr>
          <w:sz w:val="24"/>
          <w:szCs w:val="24"/>
        </w:rPr>
        <w:t>1.2 Identified Research Gaps</w:t>
      </w:r>
    </w:p>
    <w:p w14:paraId="72676460" w14:textId="77777777" w:rsidR="003819FB" w:rsidRPr="00FD20C6" w:rsidRDefault="003819FB" w:rsidP="003819FB">
      <w:pPr>
        <w:pStyle w:val="font-claude-response-body"/>
        <w:jc w:val="both"/>
      </w:pPr>
      <w:r w:rsidRPr="00FD20C6">
        <w:t>Despite substantial progress within individual technological and environmental domains, four critical integration gaps persist:</w:t>
      </w:r>
    </w:p>
    <w:p w14:paraId="0382AF37" w14:textId="77777777" w:rsidR="003819FB" w:rsidRPr="00FD20C6" w:rsidRDefault="003819FB" w:rsidP="003819FB">
      <w:pPr>
        <w:pStyle w:val="font-claude-response-body"/>
        <w:jc w:val="both"/>
      </w:pPr>
      <w:r w:rsidRPr="00FD20C6">
        <w:rPr>
          <w:rStyle w:val="Strong"/>
        </w:rPr>
        <w:t>System Fragmentation:</w:t>
      </w:r>
      <w:r w:rsidRPr="00FD20C6">
        <w:t xml:space="preserve"> Agricultural intelligence systems, environmental monitoring networks, and governance platforms operate independently without data integration protocols or coordinated decision-making frameworks, limiting holistic problem-solving capacity.</w:t>
      </w:r>
    </w:p>
    <w:p w14:paraId="478879AB" w14:textId="77777777" w:rsidR="003819FB" w:rsidRPr="00FD20C6" w:rsidRDefault="003819FB" w:rsidP="003819FB">
      <w:pPr>
        <w:pStyle w:val="font-claude-response-body"/>
        <w:jc w:val="both"/>
      </w:pPr>
      <w:r w:rsidRPr="00FD20C6">
        <w:rPr>
          <w:rStyle w:val="Strong"/>
        </w:rPr>
        <w:t>Environmental Marginalization:</w:t>
      </w:r>
      <w:r w:rsidRPr="00FD20C6">
        <w:t xml:space="preserve"> Smart village implementations prioritize connectivity metrics and service delivery over ecological health indicators including soil quality assessment, biodiversity </w:t>
      </w:r>
      <w:r w:rsidRPr="00FD20C6">
        <w:t>monitoring, and water sustainability management (Galanakis, 2022).</w:t>
      </w:r>
    </w:p>
    <w:p w14:paraId="59B060CC" w14:textId="77777777" w:rsidR="003819FB" w:rsidRPr="00FD20C6" w:rsidRDefault="003819FB" w:rsidP="003819FB">
      <w:pPr>
        <w:pStyle w:val="font-claude-response-body"/>
        <w:jc w:val="both"/>
      </w:pPr>
      <w:r w:rsidRPr="00FD20C6">
        <w:rPr>
          <w:rStyle w:val="Strong"/>
        </w:rPr>
        <w:t>Limited Community Agency:</w:t>
      </w:r>
      <w:r w:rsidRPr="00FD20C6">
        <w:t xml:space="preserve"> Top-down technology deployment frequently fails due to insufficient local ownership structures, cultural misalignment with community practices, and inadequate digital literacy development programming (Singh and Patel, 2022).</w:t>
      </w:r>
    </w:p>
    <w:p w14:paraId="5E7E5D7B" w14:textId="77777777" w:rsidR="003819FB" w:rsidRPr="00FD20C6" w:rsidRDefault="003819FB" w:rsidP="003819FB">
      <w:pPr>
        <w:pStyle w:val="font-claude-response-body"/>
        <w:jc w:val="both"/>
      </w:pPr>
      <w:r w:rsidRPr="00FD20C6">
        <w:rPr>
          <w:rStyle w:val="Strong"/>
        </w:rPr>
        <w:t>Narrow Impact Evaluation:</w:t>
      </w:r>
      <w:r w:rsidRPr="00FD20C6">
        <w:t xml:space="preserve"> Assessment methodologies focus predominantly on technical performance metrics rather than comprehensive sustainability outcomes spanning environmental, social, and economic dimensions aligned with global sustainability frameworks.</w:t>
      </w:r>
    </w:p>
    <w:p w14:paraId="30D51CB0" w14:textId="77777777" w:rsidR="003819FB" w:rsidRPr="00FD20C6" w:rsidRDefault="003819FB" w:rsidP="003819FB">
      <w:pPr>
        <w:pStyle w:val="Heading3"/>
        <w:jc w:val="both"/>
        <w:rPr>
          <w:sz w:val="24"/>
          <w:szCs w:val="24"/>
        </w:rPr>
      </w:pPr>
      <w:r w:rsidRPr="00FD20C6">
        <w:rPr>
          <w:sz w:val="24"/>
          <w:szCs w:val="24"/>
        </w:rPr>
        <w:t>1.3 Research Objectives and Novel Contributions</w:t>
      </w:r>
    </w:p>
    <w:p w14:paraId="7ABA6014" w14:textId="77777777" w:rsidR="003819FB" w:rsidRPr="00FD20C6" w:rsidRDefault="003819FB" w:rsidP="003819FB">
      <w:pPr>
        <w:pStyle w:val="font-claude-response-body"/>
        <w:jc w:val="both"/>
      </w:pPr>
      <w:r w:rsidRPr="00FD20C6">
        <w:t>This investigation addresses identified gaps through development and validation of an integrated nature-positive smart village framework pursuing three primary objectives:</w:t>
      </w:r>
    </w:p>
    <w:p w14:paraId="5B04DECB" w14:textId="77777777" w:rsidR="003819FB" w:rsidRPr="00FD20C6" w:rsidRDefault="003819FB" w:rsidP="003819FB">
      <w:pPr>
        <w:numPr>
          <w:ilvl w:val="0"/>
          <w:numId w:val="9"/>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Architect a unified multi-layer system combining AI-powered crop disease detection, real-time environmental monitoring, and participatory governance mechanisms</w:t>
      </w:r>
    </w:p>
    <w:p w14:paraId="64E3F194" w14:textId="77777777" w:rsidR="003819FB" w:rsidRPr="00FD20C6" w:rsidRDefault="003819FB" w:rsidP="003819FB">
      <w:pPr>
        <w:numPr>
          <w:ilvl w:val="0"/>
          <w:numId w:val="9"/>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Validate framework effectiveness in improving agricultural productivity, resource efficiency, biodiversity restoration, and community engagement through rigorous pilot implementation</w:t>
      </w:r>
    </w:p>
    <w:p w14:paraId="17B7A0D2" w14:textId="77777777" w:rsidR="003819FB" w:rsidRPr="00FD20C6" w:rsidRDefault="003819FB" w:rsidP="003819FB">
      <w:pPr>
        <w:numPr>
          <w:ilvl w:val="0"/>
          <w:numId w:val="9"/>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Demonstrate scalability and replicability across diverse rural contexts while maintaining alignment with United Nations Sustainable Development Goals</w:t>
      </w:r>
    </w:p>
    <w:p w14:paraId="7AA15AE6" w14:textId="77777777" w:rsidR="003819FB" w:rsidRPr="00FD20C6" w:rsidRDefault="003819FB" w:rsidP="003819FB">
      <w:pPr>
        <w:pStyle w:val="font-claude-response-body"/>
        <w:jc w:val="both"/>
      </w:pPr>
      <w:r w:rsidRPr="00FD20C6">
        <w:rPr>
          <w:rStyle w:val="Strong"/>
        </w:rPr>
        <w:t>Principal Contributions:</w:t>
      </w:r>
    </w:p>
    <w:p w14:paraId="1B2915C1" w14:textId="77777777" w:rsidR="003819FB" w:rsidRPr="00FD20C6" w:rsidRDefault="003819FB" w:rsidP="003819FB">
      <w:pPr>
        <w:numPr>
          <w:ilvl w:val="0"/>
          <w:numId w:val="10"/>
        </w:numPr>
        <w:spacing w:before="100" w:beforeAutospacing="1" w:after="100" w:afterAutospacing="1" w:line="240" w:lineRule="auto"/>
        <w:jc w:val="both"/>
        <w:rPr>
          <w:rFonts w:ascii="Times New Roman" w:hAnsi="Times New Roman" w:cs="Times New Roman"/>
          <w:sz w:val="24"/>
          <w:szCs w:val="24"/>
        </w:rPr>
      </w:pPr>
      <w:r w:rsidRPr="00FD20C6">
        <w:rPr>
          <w:rStyle w:val="Strong"/>
          <w:rFonts w:ascii="Times New Roman" w:hAnsi="Times New Roman" w:cs="Times New Roman"/>
          <w:sz w:val="24"/>
          <w:szCs w:val="24"/>
        </w:rPr>
        <w:t>Pioneering Integration:</w:t>
      </w:r>
      <w:r w:rsidRPr="00FD20C6">
        <w:rPr>
          <w:rFonts w:ascii="Times New Roman" w:hAnsi="Times New Roman" w:cs="Times New Roman"/>
          <w:sz w:val="24"/>
          <w:szCs w:val="24"/>
        </w:rPr>
        <w:t xml:space="preserve"> First comprehensive framework </w:t>
      </w:r>
      <w:r w:rsidRPr="00FD20C6">
        <w:rPr>
          <w:rFonts w:ascii="Times New Roman" w:hAnsi="Times New Roman" w:cs="Times New Roman"/>
          <w:sz w:val="24"/>
          <w:szCs w:val="24"/>
        </w:rPr>
        <w:lastRenderedPageBreak/>
        <w:t>synthesizing nature-positive principles, AI-driven disease diagnostics, and community-centric digital governance within unified smart village architecture</w:t>
      </w:r>
    </w:p>
    <w:p w14:paraId="12344BAE" w14:textId="77777777" w:rsidR="003819FB" w:rsidRPr="00FD20C6" w:rsidRDefault="003819FB" w:rsidP="003819FB">
      <w:pPr>
        <w:numPr>
          <w:ilvl w:val="0"/>
          <w:numId w:val="10"/>
        </w:numPr>
        <w:spacing w:before="100" w:beforeAutospacing="1" w:after="100" w:afterAutospacing="1" w:line="240" w:lineRule="auto"/>
        <w:jc w:val="both"/>
        <w:rPr>
          <w:rFonts w:ascii="Times New Roman" w:hAnsi="Times New Roman" w:cs="Times New Roman"/>
          <w:sz w:val="24"/>
          <w:szCs w:val="24"/>
        </w:rPr>
      </w:pPr>
      <w:r w:rsidRPr="00FD20C6">
        <w:rPr>
          <w:rStyle w:val="Strong"/>
          <w:rFonts w:ascii="Times New Roman" w:hAnsi="Times New Roman" w:cs="Times New Roman"/>
          <w:sz w:val="24"/>
          <w:szCs w:val="24"/>
        </w:rPr>
        <w:t>Multi-Modal Data Fusion:</w:t>
      </w:r>
      <w:r w:rsidRPr="00FD20C6">
        <w:rPr>
          <w:rFonts w:ascii="Times New Roman" w:hAnsi="Times New Roman" w:cs="Times New Roman"/>
          <w:sz w:val="24"/>
          <w:szCs w:val="24"/>
        </w:rPr>
        <w:t xml:space="preserve"> Novel approach integrating IoT sensor networks, unmanned aerial vehicle imagery, satellite observations, meteorological forecasts, and farmer-contributed observations for comprehensive rural monitoring</w:t>
      </w:r>
    </w:p>
    <w:p w14:paraId="7B481F62" w14:textId="77777777" w:rsidR="003819FB" w:rsidRPr="00FD20C6" w:rsidRDefault="003819FB" w:rsidP="003819FB">
      <w:pPr>
        <w:numPr>
          <w:ilvl w:val="0"/>
          <w:numId w:val="10"/>
        </w:numPr>
        <w:spacing w:before="100" w:beforeAutospacing="1" w:after="100" w:afterAutospacing="1" w:line="240" w:lineRule="auto"/>
        <w:jc w:val="both"/>
        <w:rPr>
          <w:rFonts w:ascii="Times New Roman" w:hAnsi="Times New Roman" w:cs="Times New Roman"/>
          <w:sz w:val="24"/>
          <w:szCs w:val="24"/>
        </w:rPr>
      </w:pPr>
      <w:r w:rsidRPr="00FD20C6">
        <w:rPr>
          <w:rStyle w:val="Strong"/>
          <w:rFonts w:ascii="Times New Roman" w:hAnsi="Times New Roman" w:cs="Times New Roman"/>
          <w:sz w:val="24"/>
          <w:szCs w:val="24"/>
        </w:rPr>
        <w:t>Validated Diagnostic System:</w:t>
      </w:r>
      <w:r w:rsidRPr="00FD20C6">
        <w:rPr>
          <w:rFonts w:ascii="Times New Roman" w:hAnsi="Times New Roman" w:cs="Times New Roman"/>
          <w:sz w:val="24"/>
          <w:szCs w:val="24"/>
        </w:rPr>
        <w:t xml:space="preserve"> Lightweight convolutional neural network for twelve major tomato and onion diseases achieving 92% overall accuracy while maintaining mobile device deployability for field-level diagnostics</w:t>
      </w:r>
    </w:p>
    <w:p w14:paraId="18E8F641" w14:textId="77777777" w:rsidR="003819FB" w:rsidRPr="00FD20C6" w:rsidRDefault="003819FB" w:rsidP="003819FB">
      <w:pPr>
        <w:numPr>
          <w:ilvl w:val="0"/>
          <w:numId w:val="10"/>
        </w:numPr>
        <w:spacing w:before="100" w:beforeAutospacing="1" w:after="100" w:afterAutospacing="1" w:line="240" w:lineRule="auto"/>
        <w:jc w:val="both"/>
        <w:rPr>
          <w:rFonts w:ascii="Times New Roman" w:hAnsi="Times New Roman" w:cs="Times New Roman"/>
          <w:sz w:val="24"/>
          <w:szCs w:val="24"/>
        </w:rPr>
      </w:pPr>
      <w:r w:rsidRPr="00FD20C6">
        <w:rPr>
          <w:rStyle w:val="Strong"/>
          <w:rFonts w:ascii="Times New Roman" w:hAnsi="Times New Roman" w:cs="Times New Roman"/>
          <w:sz w:val="24"/>
          <w:szCs w:val="24"/>
        </w:rPr>
        <w:t>Empirical Validation:</w:t>
      </w:r>
      <w:r w:rsidRPr="00FD20C6">
        <w:rPr>
          <w:rFonts w:ascii="Times New Roman" w:hAnsi="Times New Roman" w:cs="Times New Roman"/>
          <w:sz w:val="24"/>
          <w:szCs w:val="24"/>
        </w:rPr>
        <w:t xml:space="preserve"> Real-world pilot implementation demonstrating simultaneous improvements across agricultural productivity, environmental restoration, and social empowerment dimensions</w:t>
      </w:r>
    </w:p>
    <w:p w14:paraId="3C3BD4A2" w14:textId="77777777" w:rsidR="003819FB" w:rsidRPr="00FD20C6" w:rsidRDefault="003819FB" w:rsidP="003819FB">
      <w:pPr>
        <w:numPr>
          <w:ilvl w:val="0"/>
          <w:numId w:val="10"/>
        </w:numPr>
        <w:spacing w:before="100" w:beforeAutospacing="1" w:after="100" w:afterAutospacing="1" w:line="240" w:lineRule="auto"/>
        <w:jc w:val="both"/>
        <w:rPr>
          <w:rFonts w:ascii="Times New Roman" w:hAnsi="Times New Roman" w:cs="Times New Roman"/>
          <w:sz w:val="24"/>
          <w:szCs w:val="24"/>
        </w:rPr>
      </w:pPr>
      <w:r w:rsidRPr="00FD20C6">
        <w:rPr>
          <w:rStyle w:val="Strong"/>
          <w:rFonts w:ascii="Times New Roman" w:hAnsi="Times New Roman" w:cs="Times New Roman"/>
          <w:sz w:val="24"/>
          <w:szCs w:val="24"/>
        </w:rPr>
        <w:t>Economic Viability:</w:t>
      </w:r>
      <w:r w:rsidRPr="00FD20C6">
        <w:rPr>
          <w:rFonts w:ascii="Times New Roman" w:hAnsi="Times New Roman" w:cs="Times New Roman"/>
          <w:sz w:val="24"/>
          <w:szCs w:val="24"/>
        </w:rPr>
        <w:t xml:space="preserve"> Demonstrated 247% return on investment with practical scalability framework for resource-constrained settings</w:t>
      </w:r>
    </w:p>
    <w:p w14:paraId="5E592D75" w14:textId="77777777" w:rsidR="003819FB" w:rsidRPr="00FD20C6" w:rsidRDefault="003819FB" w:rsidP="003819FB">
      <w:pPr>
        <w:pStyle w:val="Heading3"/>
        <w:jc w:val="both"/>
        <w:rPr>
          <w:sz w:val="24"/>
          <w:szCs w:val="24"/>
        </w:rPr>
      </w:pPr>
      <w:r w:rsidRPr="00FD20C6">
        <w:rPr>
          <w:sz w:val="24"/>
          <w:szCs w:val="24"/>
        </w:rPr>
        <w:t>1.4 Manuscript Organization</w:t>
      </w:r>
    </w:p>
    <w:p w14:paraId="1E31BCD8" w14:textId="77777777" w:rsidR="003819FB" w:rsidRPr="00FD20C6" w:rsidRDefault="003819FB" w:rsidP="003819FB">
      <w:pPr>
        <w:pStyle w:val="font-claude-response-body"/>
        <w:jc w:val="both"/>
      </w:pPr>
      <w:r w:rsidRPr="00FD20C6">
        <w:t xml:space="preserve">This paper proceeds as follows: Section 2 synthesizes relevant literature across smart village initiatives, precision agriculture technologies, disease detection methodologies, and sustainability frameworks. Section 3 details the proposed four-layer architecture and implementation methodology. Section 4 describes experimental design and pilot study protocols. Section 5 presents comprehensive results encompassing disease detection performance, agricultural impacts, and multi-dimensional sustainability outcomes. Section 6 discusses theoretical and practical implications, comparative analysis, and </w:t>
      </w:r>
      <w:r w:rsidRPr="00FD20C6">
        <w:t>identified limitations. Section 7 concludes with synthesis of key findings and delineates future research trajectories.</w:t>
      </w:r>
    </w:p>
    <w:p w14:paraId="75266E0D" w14:textId="77777777" w:rsidR="003819FB" w:rsidRPr="00FD20C6" w:rsidRDefault="003819FB" w:rsidP="003819FB">
      <w:pPr>
        <w:pStyle w:val="Heading2"/>
        <w:jc w:val="both"/>
        <w:rPr>
          <w:sz w:val="24"/>
          <w:szCs w:val="24"/>
        </w:rPr>
      </w:pPr>
      <w:r w:rsidRPr="00FD20C6">
        <w:rPr>
          <w:sz w:val="24"/>
          <w:szCs w:val="24"/>
        </w:rPr>
        <w:t>2. LITERATURE SYNTHESIS</w:t>
      </w:r>
    </w:p>
    <w:p w14:paraId="5E58E2C8" w14:textId="77777777" w:rsidR="003819FB" w:rsidRPr="00FD20C6" w:rsidRDefault="003819FB" w:rsidP="003819FB">
      <w:pPr>
        <w:pStyle w:val="Heading3"/>
        <w:jc w:val="both"/>
        <w:rPr>
          <w:sz w:val="24"/>
          <w:szCs w:val="24"/>
        </w:rPr>
      </w:pPr>
      <w:r w:rsidRPr="00FD20C6">
        <w:rPr>
          <w:sz w:val="24"/>
          <w:szCs w:val="24"/>
        </w:rPr>
        <w:t>2.1 Smart Villages and Digital Rural Transformation</w:t>
      </w:r>
    </w:p>
    <w:p w14:paraId="1300E874" w14:textId="77777777" w:rsidR="003819FB" w:rsidRPr="00FD20C6" w:rsidRDefault="003819FB" w:rsidP="003819FB">
      <w:pPr>
        <w:pStyle w:val="font-claude-response-body"/>
        <w:jc w:val="both"/>
      </w:pPr>
      <w:r w:rsidRPr="00FD20C6">
        <w:t>Smart village initiatives represent strategic responses to persistent urban-rural development disparities, leveraging digital technologies for enhanced service delivery, economic opportunity creation, and quality of life improvements within rural communities (Singh and Patel, 2022). The European Commission's Smart Villages program emphasizes three foundational pillars: connectivity infrastructure, digital service platforms, and innovation ecosystems (EC, 2024). Systematic reviews indicate that while infrastructure deployment achieves 60-75% internet penetration in targeted communities, integration with local ecological contexts and cultural practices remains limited (Berdejó and Ordóñez, 2023).</w:t>
      </w:r>
    </w:p>
    <w:p w14:paraId="24E25CCB" w14:textId="77777777" w:rsidR="003819FB" w:rsidRPr="00FD20C6" w:rsidRDefault="003819FB" w:rsidP="003819FB">
      <w:pPr>
        <w:pStyle w:val="font-claude-response-body"/>
        <w:jc w:val="both"/>
      </w:pPr>
      <w:r w:rsidRPr="00FD20C6">
        <w:t>World Bank evaluations of digital rural transformation initiatives across 47 countries demonstrate strong correlation between technology adoption rates and perceived local relevance combined with participatory design processes (World Bank, 2024). Critically, fewer than 30% of assessed initiatives incorporated environmental sustainability metrics beyond basic energy efficiency considerations. This evidence underscores the necessity for frameworks positioning ecological restoration as foundational rather than supplementary to rural digitalization strategies.</w:t>
      </w:r>
    </w:p>
    <w:p w14:paraId="1B0EA97F" w14:textId="77777777" w:rsidR="003819FB" w:rsidRPr="00FD20C6" w:rsidRDefault="003819FB" w:rsidP="003819FB">
      <w:pPr>
        <w:pStyle w:val="Heading3"/>
        <w:jc w:val="both"/>
        <w:rPr>
          <w:sz w:val="24"/>
          <w:szCs w:val="24"/>
        </w:rPr>
      </w:pPr>
      <w:r w:rsidRPr="00FD20C6">
        <w:rPr>
          <w:sz w:val="24"/>
          <w:szCs w:val="24"/>
        </w:rPr>
        <w:t>2.2 Artificial Intelligence and IoT in Precision Agriculture</w:t>
      </w:r>
    </w:p>
    <w:p w14:paraId="1C892722" w14:textId="77777777" w:rsidR="003819FB" w:rsidRPr="00FD20C6" w:rsidRDefault="003819FB" w:rsidP="003819FB">
      <w:pPr>
        <w:pStyle w:val="font-claude-response-body"/>
        <w:jc w:val="both"/>
      </w:pPr>
      <w:r w:rsidRPr="00FD20C6">
        <w:t xml:space="preserve">Precision agriculture has experienced rapid transformation through convergence of IoT </w:t>
      </w:r>
      <w:r w:rsidRPr="00FD20C6">
        <w:lastRenderedPageBreak/>
        <w:t>sensor networks, satellite-based remote sensing, and machine learning analytics platforms. Contemporary advances enable real-time monitoring of soil moisture dynamics, nutrient availability, crop phenological status, and micro-climatic conditions at sub-field spatial resolutions (Kumar and Singh, 2024). Variable rate irrigation systems guided by soil moisture sensors and weather prediction models demonstrate water consumption reductions of 25-40% while maintaining or improving yields across diverse crop varieties (Mandal and Rao, 2023).</w:t>
      </w:r>
    </w:p>
    <w:p w14:paraId="54AF0D74" w14:textId="77777777" w:rsidR="003819FB" w:rsidRPr="00FD20C6" w:rsidRDefault="003819FB" w:rsidP="003819FB">
      <w:pPr>
        <w:pStyle w:val="font-claude-response-body"/>
        <w:jc w:val="both"/>
      </w:pPr>
      <w:r w:rsidRPr="00FD20C6">
        <w:t>Satellite-derived vegetation indices, particularly Normalized Difference Vegetation Index (NDVI) and Enhanced Vegetation Index (EVI), provide cost-effective large-scale crop health monitoring capabilities (FAO, 2023). Integration with meteorological data enables predictive modeling for irrigation scheduling optimization, frost risk assessment, and harvest timing. However, these technological systems typically function as standalone farm management tools without connections to broader village-level planning processes, environmental conservation programs, or community governance structures.</w:t>
      </w:r>
    </w:p>
    <w:p w14:paraId="5AA40DA1" w14:textId="77777777" w:rsidR="003819FB" w:rsidRPr="00FD20C6" w:rsidRDefault="003819FB" w:rsidP="003819FB">
      <w:pPr>
        <w:pStyle w:val="Heading3"/>
        <w:jc w:val="both"/>
        <w:rPr>
          <w:sz w:val="24"/>
          <w:szCs w:val="24"/>
        </w:rPr>
      </w:pPr>
      <w:r w:rsidRPr="00FD20C6">
        <w:rPr>
          <w:sz w:val="24"/>
          <w:szCs w:val="24"/>
        </w:rPr>
        <w:t>2.3 AI-Based Crop Disease Detection Systems</w:t>
      </w:r>
    </w:p>
    <w:p w14:paraId="62ABC84E" w14:textId="77777777" w:rsidR="003819FB" w:rsidRPr="00FD20C6" w:rsidRDefault="003819FB" w:rsidP="003819FB">
      <w:pPr>
        <w:pStyle w:val="font-claude-response-body"/>
        <w:jc w:val="both"/>
      </w:pPr>
      <w:r w:rsidRPr="00FD20C6">
        <w:t>Machine learning methodologies for crop disease identification have advanced substantially, with Convolutional Neural Networks (CNNs) achieving classification accuracies exceeding 90% for numerous common plant diseases (Ibrahim et al., 2025). Deep learning architectures including ResNet, VGG, and MobileNet have been adapted for agricultural applications, with transfer learning techniques enabling high performance despite limited training datasets (Kumar et al., 2025).</w:t>
      </w:r>
    </w:p>
    <w:p w14:paraId="73304AF9" w14:textId="77777777" w:rsidR="003819FB" w:rsidRPr="00FD20C6" w:rsidRDefault="003819FB" w:rsidP="003819FB">
      <w:pPr>
        <w:pStyle w:val="font-claude-response-body"/>
        <w:jc w:val="both"/>
      </w:pPr>
      <w:r w:rsidRPr="00FD20C6">
        <w:t>Recent research emphasizes lightweight model development optimized for edge deployment on smartphones and low-power computing devices, critical for resource-constrained rural environments (Joshi, 2024). Multi-spectral and hyperspectral imaging capabilities expand detection beyond visible symptom manifestation, enabling earlier intervention opportunities (Singh and Kumar, 2024). Nevertheless, most investigations focus narrowly on classification accuracy metrics without addressing system integration challenges, farmer adoption barriers, or connections between disease management and broader environmental health outcomes.</w:t>
      </w:r>
    </w:p>
    <w:p w14:paraId="1EB92F37" w14:textId="77777777" w:rsidR="003819FB" w:rsidRPr="00FD20C6" w:rsidRDefault="003819FB" w:rsidP="003819FB">
      <w:pPr>
        <w:pStyle w:val="Heading3"/>
        <w:jc w:val="both"/>
        <w:rPr>
          <w:sz w:val="24"/>
          <w:szCs w:val="24"/>
        </w:rPr>
      </w:pPr>
      <w:r w:rsidRPr="00FD20C6">
        <w:rPr>
          <w:sz w:val="24"/>
          <w:szCs w:val="24"/>
        </w:rPr>
        <w:t>2.4 Nature-Positive and Sustainable Development Frameworks</w:t>
      </w:r>
    </w:p>
    <w:p w14:paraId="41551517" w14:textId="77777777" w:rsidR="003819FB" w:rsidRPr="00FD20C6" w:rsidRDefault="003819FB" w:rsidP="003819FB">
      <w:pPr>
        <w:pStyle w:val="font-claude-response-body"/>
        <w:jc w:val="both"/>
      </w:pPr>
      <w:r w:rsidRPr="00FD20C6">
        <w:t>Nature-positive methodologies represent a paradigm evolution from minimizing environmental harm toward actively regenerating ecosystems while supporting economic development trajectories (UNDP, 2023). This approach recognizes that healthy ecosystems provide essential services—water purification, pollination, biological pest regulation, climate stabilization—fundamentally underpinning agricultural productivity and rural livelihoods (Mandal and Rao, 2023).</w:t>
      </w:r>
    </w:p>
    <w:p w14:paraId="7816F176" w14:textId="77777777" w:rsidR="003819FB" w:rsidRPr="00FD20C6" w:rsidRDefault="003819FB" w:rsidP="003819FB">
      <w:pPr>
        <w:pStyle w:val="font-claude-response-body"/>
        <w:jc w:val="both"/>
      </w:pPr>
      <w:r w:rsidRPr="00FD20C6">
        <w:t>Biodiversity restoration programs demonstrate multiple co-benefits: native plant communities enhance soil microbial diversity, improve water retention capacity, and provide habitat for beneficial arthropods that naturally reduce pest pressure (Galanakis, 2023). Agroecological approaches integrating crop diversification, habitat corridors, and reduced synthetic chemical inputs demonstrate promise for simultaneous productivity and sustainability gains. However, successful implementation requires sophisticated monitoring capabilities, local knowledge integration, and adaptive management protocols—</w:t>
      </w:r>
      <w:r w:rsidRPr="00FD20C6">
        <w:lastRenderedPageBreak/>
        <w:t>capabilities that appropriately designed digital technologies can potentially enhance.</w:t>
      </w:r>
    </w:p>
    <w:p w14:paraId="233A4177" w14:textId="77777777" w:rsidR="003819FB" w:rsidRPr="00CD5B1F" w:rsidRDefault="003819FB" w:rsidP="00CD5B1F">
      <w:pPr>
        <w:pStyle w:val="Heading3"/>
        <w:jc w:val="both"/>
        <w:rPr>
          <w:sz w:val="20"/>
          <w:szCs w:val="20"/>
        </w:rPr>
      </w:pPr>
      <w:r w:rsidRPr="00FD20C6">
        <w:rPr>
          <w:sz w:val="24"/>
          <w:szCs w:val="24"/>
        </w:rPr>
        <w:t xml:space="preserve">2.5 Community Participation and </w:t>
      </w:r>
      <w:r w:rsidRPr="00CD5B1F">
        <w:rPr>
          <w:sz w:val="24"/>
          <w:szCs w:val="24"/>
        </w:rPr>
        <w:t>Digital Inclusion</w:t>
      </w:r>
    </w:p>
    <w:p w14:paraId="0CEE46FA" w14:textId="77777777" w:rsidR="003819FB" w:rsidRPr="00CD5B1F" w:rsidRDefault="003819FB" w:rsidP="00615546">
      <w:pPr>
        <w:pStyle w:val="font-claude-response-body"/>
        <w:jc w:val="both"/>
      </w:pPr>
      <w:r w:rsidRPr="00CD5B1F">
        <w:t xml:space="preserve">Participatory approaches are widely acknowledged as essential for sustainable development outcomes, yet practical </w:t>
      </w:r>
      <w:r w:rsidRPr="00CD5B1F">
        <w:t>implementation remains challenging within digital rural transformation initiatives (Singh and Patel, 2022). Research identifies critical success factors including: vernacular language user interfaces, culturally appropriate content design, experiential training programs, visible early benefits demonstrating value, and governance structures genuinely empowering community decision-making authority (World Bank, 2024).</w:t>
      </w:r>
    </w:p>
    <w:p w14:paraId="2C25A902" w14:textId="77777777" w:rsidR="00CD5B1F" w:rsidRPr="00CD5B1F" w:rsidRDefault="00CD5B1F" w:rsidP="00615546">
      <w:pPr>
        <w:jc w:val="both"/>
        <w:rPr>
          <w:rFonts w:ascii="Times New Roman" w:hAnsi="Times New Roman" w:cs="Times New Roman"/>
          <w:b/>
          <w:bCs/>
          <w:sz w:val="20"/>
          <w:szCs w:val="20"/>
        </w:rPr>
        <w:sectPr w:rsidR="00CD5B1F" w:rsidRPr="00CD5B1F" w:rsidSect="00CD5B1F">
          <w:type w:val="continuous"/>
          <w:pgSz w:w="11906" w:h="16838"/>
          <w:pgMar w:top="1440" w:right="1440" w:bottom="1440" w:left="1440" w:header="708" w:footer="708" w:gutter="0"/>
          <w:cols w:num="2" w:space="708"/>
          <w:docGrid w:linePitch="360"/>
        </w:sectPr>
      </w:pPr>
    </w:p>
    <w:tbl>
      <w:tblPr>
        <w:tblpPr w:leftFromText="180" w:rightFromText="180" w:vertAnchor="text" w:horzAnchor="margin" w:tblpY="-3334"/>
        <w:tblW w:w="993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756"/>
        <w:gridCol w:w="1418"/>
        <w:gridCol w:w="1417"/>
        <w:gridCol w:w="1134"/>
        <w:gridCol w:w="1276"/>
        <w:gridCol w:w="1473"/>
        <w:gridCol w:w="1459"/>
      </w:tblGrid>
      <w:tr w:rsidR="00615546" w:rsidRPr="00CD5B1F" w14:paraId="5028B081" w14:textId="77777777" w:rsidTr="00CD5B1F">
        <w:trPr>
          <w:trHeight w:val="1242"/>
          <w:tblHeader/>
          <w:tblCellSpacing w:w="15" w:type="dxa"/>
        </w:trPr>
        <w:tc>
          <w:tcPr>
            <w:tcW w:w="1711" w:type="dxa"/>
            <w:vAlign w:val="center"/>
            <w:hideMark/>
          </w:tcPr>
          <w:p w14:paraId="3BD17071" w14:textId="77777777" w:rsidR="00615546" w:rsidRPr="00CD5B1F" w:rsidRDefault="00615546" w:rsidP="00615546">
            <w:pPr>
              <w:jc w:val="both"/>
              <w:rPr>
                <w:rFonts w:ascii="Times New Roman" w:hAnsi="Times New Roman" w:cs="Times New Roman"/>
                <w:b/>
                <w:bCs/>
                <w:sz w:val="20"/>
                <w:szCs w:val="20"/>
              </w:rPr>
            </w:pPr>
            <w:r w:rsidRPr="00CD5B1F">
              <w:rPr>
                <w:rFonts w:ascii="Times New Roman" w:hAnsi="Times New Roman" w:cs="Times New Roman"/>
                <w:b/>
                <w:bCs/>
                <w:sz w:val="20"/>
                <w:szCs w:val="20"/>
              </w:rPr>
              <w:lastRenderedPageBreak/>
              <w:t>Framework Category</w:t>
            </w:r>
          </w:p>
        </w:tc>
        <w:tc>
          <w:tcPr>
            <w:tcW w:w="1388" w:type="dxa"/>
            <w:vAlign w:val="center"/>
            <w:hideMark/>
          </w:tcPr>
          <w:p w14:paraId="6CD37A29" w14:textId="77777777" w:rsidR="00615546" w:rsidRPr="00CD5B1F" w:rsidRDefault="00615546" w:rsidP="00615546">
            <w:pPr>
              <w:jc w:val="both"/>
              <w:rPr>
                <w:rFonts w:ascii="Times New Roman" w:hAnsi="Times New Roman" w:cs="Times New Roman"/>
                <w:b/>
                <w:bCs/>
                <w:sz w:val="20"/>
                <w:szCs w:val="20"/>
              </w:rPr>
            </w:pPr>
            <w:r w:rsidRPr="00CD5B1F">
              <w:rPr>
                <w:rFonts w:ascii="Times New Roman" w:hAnsi="Times New Roman" w:cs="Times New Roman"/>
                <w:b/>
                <w:bCs/>
                <w:sz w:val="20"/>
                <w:szCs w:val="20"/>
              </w:rPr>
              <w:t>Digital Infrastructure</w:t>
            </w:r>
          </w:p>
        </w:tc>
        <w:tc>
          <w:tcPr>
            <w:tcW w:w="1387" w:type="dxa"/>
            <w:vAlign w:val="center"/>
            <w:hideMark/>
          </w:tcPr>
          <w:p w14:paraId="0802724E" w14:textId="77777777" w:rsidR="00615546" w:rsidRPr="00CD5B1F" w:rsidRDefault="00615546" w:rsidP="00615546">
            <w:pPr>
              <w:jc w:val="both"/>
              <w:rPr>
                <w:rFonts w:ascii="Times New Roman" w:hAnsi="Times New Roman" w:cs="Times New Roman"/>
                <w:b/>
                <w:bCs/>
                <w:sz w:val="20"/>
                <w:szCs w:val="20"/>
              </w:rPr>
            </w:pPr>
            <w:r w:rsidRPr="00CD5B1F">
              <w:rPr>
                <w:rFonts w:ascii="Times New Roman" w:hAnsi="Times New Roman" w:cs="Times New Roman"/>
                <w:b/>
                <w:bCs/>
                <w:sz w:val="20"/>
                <w:szCs w:val="20"/>
              </w:rPr>
              <w:t>Environmental Monitoring</w:t>
            </w:r>
          </w:p>
        </w:tc>
        <w:tc>
          <w:tcPr>
            <w:tcW w:w="1104" w:type="dxa"/>
            <w:vAlign w:val="center"/>
            <w:hideMark/>
          </w:tcPr>
          <w:p w14:paraId="60E7D41B" w14:textId="77777777" w:rsidR="00615546" w:rsidRPr="00CD5B1F" w:rsidRDefault="00615546" w:rsidP="00615546">
            <w:pPr>
              <w:jc w:val="both"/>
              <w:rPr>
                <w:rFonts w:ascii="Times New Roman" w:hAnsi="Times New Roman" w:cs="Times New Roman"/>
                <w:b/>
                <w:bCs/>
                <w:sz w:val="20"/>
                <w:szCs w:val="20"/>
              </w:rPr>
            </w:pPr>
            <w:r w:rsidRPr="00CD5B1F">
              <w:rPr>
                <w:rFonts w:ascii="Times New Roman" w:hAnsi="Times New Roman" w:cs="Times New Roman"/>
                <w:b/>
                <w:bCs/>
                <w:sz w:val="20"/>
                <w:szCs w:val="20"/>
              </w:rPr>
              <w:t>Disease Detection</w:t>
            </w:r>
          </w:p>
        </w:tc>
        <w:tc>
          <w:tcPr>
            <w:tcW w:w="1246" w:type="dxa"/>
            <w:vAlign w:val="center"/>
            <w:hideMark/>
          </w:tcPr>
          <w:p w14:paraId="38C0EB5F" w14:textId="77777777" w:rsidR="00615546" w:rsidRPr="00CD5B1F" w:rsidRDefault="00615546" w:rsidP="00615546">
            <w:pPr>
              <w:jc w:val="both"/>
              <w:rPr>
                <w:rFonts w:ascii="Times New Roman" w:hAnsi="Times New Roman" w:cs="Times New Roman"/>
                <w:b/>
                <w:bCs/>
                <w:sz w:val="20"/>
                <w:szCs w:val="20"/>
              </w:rPr>
            </w:pPr>
            <w:r w:rsidRPr="00CD5B1F">
              <w:rPr>
                <w:rFonts w:ascii="Times New Roman" w:hAnsi="Times New Roman" w:cs="Times New Roman"/>
                <w:b/>
                <w:bCs/>
                <w:sz w:val="20"/>
                <w:szCs w:val="20"/>
              </w:rPr>
              <w:t>Community Governance</w:t>
            </w:r>
          </w:p>
        </w:tc>
        <w:tc>
          <w:tcPr>
            <w:tcW w:w="1443" w:type="dxa"/>
            <w:vAlign w:val="center"/>
            <w:hideMark/>
          </w:tcPr>
          <w:p w14:paraId="5C127400" w14:textId="77777777" w:rsidR="00615546" w:rsidRPr="00CD5B1F" w:rsidRDefault="00615546" w:rsidP="00615546">
            <w:pPr>
              <w:jc w:val="both"/>
              <w:rPr>
                <w:rFonts w:ascii="Times New Roman" w:hAnsi="Times New Roman" w:cs="Times New Roman"/>
                <w:b/>
                <w:bCs/>
                <w:sz w:val="20"/>
                <w:szCs w:val="20"/>
              </w:rPr>
            </w:pPr>
            <w:r w:rsidRPr="00CD5B1F">
              <w:rPr>
                <w:rFonts w:ascii="Times New Roman" w:hAnsi="Times New Roman" w:cs="Times New Roman"/>
                <w:b/>
                <w:bCs/>
                <w:sz w:val="20"/>
                <w:szCs w:val="20"/>
              </w:rPr>
              <w:t>Validated Multi-Dimensional Impact</w:t>
            </w:r>
          </w:p>
        </w:tc>
        <w:tc>
          <w:tcPr>
            <w:tcW w:w="1414" w:type="dxa"/>
            <w:vAlign w:val="center"/>
            <w:hideMark/>
          </w:tcPr>
          <w:p w14:paraId="4AF911B2" w14:textId="77777777" w:rsidR="00615546" w:rsidRPr="00CD5B1F" w:rsidRDefault="00615546" w:rsidP="00615546">
            <w:pPr>
              <w:jc w:val="both"/>
              <w:rPr>
                <w:rFonts w:ascii="Times New Roman" w:hAnsi="Times New Roman" w:cs="Times New Roman"/>
                <w:b/>
                <w:bCs/>
                <w:sz w:val="20"/>
                <w:szCs w:val="20"/>
              </w:rPr>
            </w:pPr>
            <w:r w:rsidRPr="00CD5B1F">
              <w:rPr>
                <w:rFonts w:ascii="Times New Roman" w:hAnsi="Times New Roman" w:cs="Times New Roman"/>
                <w:b/>
                <w:bCs/>
                <w:sz w:val="20"/>
                <w:szCs w:val="20"/>
              </w:rPr>
              <w:t>Primary Limitations</w:t>
            </w:r>
          </w:p>
        </w:tc>
      </w:tr>
      <w:tr w:rsidR="00615546" w:rsidRPr="00CD5B1F" w14:paraId="676D98A3" w14:textId="77777777" w:rsidTr="00CD5B1F">
        <w:trPr>
          <w:trHeight w:val="1518"/>
          <w:tblCellSpacing w:w="15" w:type="dxa"/>
        </w:trPr>
        <w:tc>
          <w:tcPr>
            <w:tcW w:w="1711" w:type="dxa"/>
            <w:vAlign w:val="center"/>
            <w:hideMark/>
          </w:tcPr>
          <w:p w14:paraId="440832B5"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EU Smart Villages Initiative (Berdejó, 2024)</w:t>
            </w:r>
          </w:p>
        </w:tc>
        <w:tc>
          <w:tcPr>
            <w:tcW w:w="1388" w:type="dxa"/>
            <w:vAlign w:val="center"/>
            <w:hideMark/>
          </w:tcPr>
          <w:p w14:paraId="098E2E89"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Comprehensive</w:t>
            </w:r>
          </w:p>
        </w:tc>
        <w:tc>
          <w:tcPr>
            <w:tcW w:w="1387" w:type="dxa"/>
            <w:vAlign w:val="center"/>
            <w:hideMark/>
          </w:tcPr>
          <w:p w14:paraId="2E9BFD03"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Limited scope</w:t>
            </w:r>
          </w:p>
        </w:tc>
        <w:tc>
          <w:tcPr>
            <w:tcW w:w="1104" w:type="dxa"/>
            <w:vAlign w:val="center"/>
            <w:hideMark/>
          </w:tcPr>
          <w:p w14:paraId="31461B41"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Absent</w:t>
            </w:r>
          </w:p>
        </w:tc>
        <w:tc>
          <w:tcPr>
            <w:tcW w:w="1246" w:type="dxa"/>
            <w:vAlign w:val="center"/>
            <w:hideMark/>
          </w:tcPr>
          <w:p w14:paraId="69906B2C"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Minimal integration</w:t>
            </w:r>
          </w:p>
        </w:tc>
        <w:tc>
          <w:tcPr>
            <w:tcW w:w="1443" w:type="dxa"/>
            <w:vAlign w:val="center"/>
            <w:hideMark/>
          </w:tcPr>
          <w:p w14:paraId="646C59AA"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Connectivity metrics only</w:t>
            </w:r>
          </w:p>
        </w:tc>
        <w:tc>
          <w:tcPr>
            <w:tcW w:w="1414" w:type="dxa"/>
            <w:vAlign w:val="center"/>
            <w:hideMark/>
          </w:tcPr>
          <w:p w14:paraId="2BB8B111"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Environmental integration absent</w:t>
            </w:r>
          </w:p>
        </w:tc>
      </w:tr>
      <w:tr w:rsidR="00615546" w:rsidRPr="00CD5B1F" w14:paraId="0A220404" w14:textId="77777777" w:rsidTr="00CD5B1F">
        <w:trPr>
          <w:trHeight w:val="1508"/>
          <w:tblCellSpacing w:w="15" w:type="dxa"/>
        </w:trPr>
        <w:tc>
          <w:tcPr>
            <w:tcW w:w="1711" w:type="dxa"/>
            <w:vAlign w:val="center"/>
            <w:hideMark/>
          </w:tcPr>
          <w:p w14:paraId="72859FA5"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FAO Digital Agriculture Platform (2023)</w:t>
            </w:r>
          </w:p>
        </w:tc>
        <w:tc>
          <w:tcPr>
            <w:tcW w:w="1388" w:type="dxa"/>
            <w:vAlign w:val="center"/>
            <w:hideMark/>
          </w:tcPr>
          <w:p w14:paraId="0B4A7581"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Robust</w:t>
            </w:r>
          </w:p>
        </w:tc>
        <w:tc>
          <w:tcPr>
            <w:tcW w:w="1387" w:type="dxa"/>
            <w:vAlign w:val="center"/>
            <w:hideMark/>
          </w:tcPr>
          <w:p w14:paraId="428A9361"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Soil/water focus</w:t>
            </w:r>
          </w:p>
        </w:tc>
        <w:tc>
          <w:tcPr>
            <w:tcW w:w="1104" w:type="dxa"/>
            <w:vAlign w:val="center"/>
            <w:hideMark/>
          </w:tcPr>
          <w:p w14:paraId="5944CEF2"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Limited capability</w:t>
            </w:r>
          </w:p>
        </w:tc>
        <w:tc>
          <w:tcPr>
            <w:tcW w:w="1246" w:type="dxa"/>
            <w:vAlign w:val="center"/>
            <w:hideMark/>
          </w:tcPr>
          <w:p w14:paraId="3FC40A88"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Not prioritized</w:t>
            </w:r>
          </w:p>
        </w:tc>
        <w:tc>
          <w:tcPr>
            <w:tcW w:w="1443" w:type="dxa"/>
            <w:vAlign w:val="center"/>
            <w:hideMark/>
          </w:tcPr>
          <w:p w14:paraId="5ED4DD78"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Farm productivity metrics</w:t>
            </w:r>
          </w:p>
        </w:tc>
        <w:tc>
          <w:tcPr>
            <w:tcW w:w="1414" w:type="dxa"/>
            <w:vAlign w:val="center"/>
            <w:hideMark/>
          </w:tcPr>
          <w:p w14:paraId="27412B2C"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Top-down implementation; limited community agency</w:t>
            </w:r>
          </w:p>
        </w:tc>
      </w:tr>
      <w:tr w:rsidR="00615546" w:rsidRPr="00CD5B1F" w14:paraId="3297B937" w14:textId="77777777" w:rsidTr="00CD5B1F">
        <w:trPr>
          <w:trHeight w:val="1518"/>
          <w:tblCellSpacing w:w="15" w:type="dxa"/>
        </w:trPr>
        <w:tc>
          <w:tcPr>
            <w:tcW w:w="1711" w:type="dxa"/>
            <w:vAlign w:val="center"/>
            <w:hideMark/>
          </w:tcPr>
          <w:p w14:paraId="5600B670"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Precision Agriculture Systems (Kumar, 2024)</w:t>
            </w:r>
          </w:p>
        </w:tc>
        <w:tc>
          <w:tcPr>
            <w:tcW w:w="1388" w:type="dxa"/>
            <w:vAlign w:val="center"/>
            <w:hideMark/>
          </w:tcPr>
          <w:p w14:paraId="7463CE3C"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Moderate</w:t>
            </w:r>
          </w:p>
        </w:tc>
        <w:tc>
          <w:tcPr>
            <w:tcW w:w="1387" w:type="dxa"/>
            <w:vAlign w:val="center"/>
            <w:hideMark/>
          </w:tcPr>
          <w:p w14:paraId="33EBD50D"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Sensor-based only</w:t>
            </w:r>
          </w:p>
        </w:tc>
        <w:tc>
          <w:tcPr>
            <w:tcW w:w="1104" w:type="dxa"/>
            <w:vAlign w:val="center"/>
            <w:hideMark/>
          </w:tcPr>
          <w:p w14:paraId="795913EF"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Absent</w:t>
            </w:r>
          </w:p>
        </w:tc>
        <w:tc>
          <w:tcPr>
            <w:tcW w:w="1246" w:type="dxa"/>
            <w:vAlign w:val="center"/>
            <w:hideMark/>
          </w:tcPr>
          <w:p w14:paraId="695EAB36"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Not addressed</w:t>
            </w:r>
          </w:p>
        </w:tc>
        <w:tc>
          <w:tcPr>
            <w:tcW w:w="1443" w:type="dxa"/>
            <w:vAlign w:val="center"/>
            <w:hideMark/>
          </w:tcPr>
          <w:p w14:paraId="6FDB2C54"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Resource efficiency gains</w:t>
            </w:r>
          </w:p>
        </w:tc>
        <w:tc>
          <w:tcPr>
            <w:tcW w:w="1414" w:type="dxa"/>
            <w:vAlign w:val="center"/>
            <w:hideMark/>
          </w:tcPr>
          <w:p w14:paraId="46407A11"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Individual farm focus; no village-level integration</w:t>
            </w:r>
          </w:p>
        </w:tc>
      </w:tr>
      <w:tr w:rsidR="00615546" w:rsidRPr="00CD5B1F" w14:paraId="340BF32A" w14:textId="77777777" w:rsidTr="00CD5B1F">
        <w:trPr>
          <w:trHeight w:val="1518"/>
          <w:tblCellSpacing w:w="15" w:type="dxa"/>
        </w:trPr>
        <w:tc>
          <w:tcPr>
            <w:tcW w:w="1711" w:type="dxa"/>
            <w:vAlign w:val="center"/>
            <w:hideMark/>
          </w:tcPr>
          <w:p w14:paraId="01A9410F"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AI Disease Detection Tools (Ibrahim, 2025)</w:t>
            </w:r>
          </w:p>
        </w:tc>
        <w:tc>
          <w:tcPr>
            <w:tcW w:w="1388" w:type="dxa"/>
            <w:vAlign w:val="center"/>
            <w:hideMark/>
          </w:tcPr>
          <w:p w14:paraId="55319A44"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Not applicable</w:t>
            </w:r>
          </w:p>
        </w:tc>
        <w:tc>
          <w:tcPr>
            <w:tcW w:w="1387" w:type="dxa"/>
            <w:vAlign w:val="center"/>
            <w:hideMark/>
          </w:tcPr>
          <w:p w14:paraId="6AF7F6EC"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Absent</w:t>
            </w:r>
          </w:p>
        </w:tc>
        <w:tc>
          <w:tcPr>
            <w:tcW w:w="1104" w:type="dxa"/>
            <w:vAlign w:val="center"/>
            <w:hideMark/>
          </w:tcPr>
          <w:p w14:paraId="45C8A755"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Advanced</w:t>
            </w:r>
          </w:p>
        </w:tc>
        <w:tc>
          <w:tcPr>
            <w:tcW w:w="1246" w:type="dxa"/>
            <w:vAlign w:val="center"/>
            <w:hideMark/>
          </w:tcPr>
          <w:p w14:paraId="3DC83B6D"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Not applicable</w:t>
            </w:r>
          </w:p>
        </w:tc>
        <w:tc>
          <w:tcPr>
            <w:tcW w:w="1443" w:type="dxa"/>
            <w:vAlign w:val="center"/>
            <w:hideMark/>
          </w:tcPr>
          <w:p w14:paraId="459C8C61"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Classification accuracy</w:t>
            </w:r>
          </w:p>
        </w:tc>
        <w:tc>
          <w:tcPr>
            <w:tcW w:w="1414" w:type="dxa"/>
            <w:vAlign w:val="center"/>
            <w:hideMark/>
          </w:tcPr>
          <w:p w14:paraId="21C23F87"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Standalone application; no systemic integration</w:t>
            </w:r>
          </w:p>
        </w:tc>
      </w:tr>
      <w:tr w:rsidR="00615546" w:rsidRPr="00CD5B1F" w14:paraId="4F6DCC4B" w14:textId="77777777" w:rsidTr="00CD5B1F">
        <w:trPr>
          <w:trHeight w:val="1518"/>
          <w:tblCellSpacing w:w="15" w:type="dxa"/>
        </w:trPr>
        <w:tc>
          <w:tcPr>
            <w:tcW w:w="1711" w:type="dxa"/>
            <w:vAlign w:val="center"/>
            <w:hideMark/>
          </w:tcPr>
          <w:p w14:paraId="497C52EC"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Nature-Positive Models (UNDP, 2023)</w:t>
            </w:r>
          </w:p>
        </w:tc>
        <w:tc>
          <w:tcPr>
            <w:tcW w:w="1388" w:type="dxa"/>
            <w:vAlign w:val="center"/>
            <w:hideMark/>
          </w:tcPr>
          <w:p w14:paraId="4185F835"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Not applicable</w:t>
            </w:r>
          </w:p>
        </w:tc>
        <w:tc>
          <w:tcPr>
            <w:tcW w:w="1387" w:type="dxa"/>
            <w:vAlign w:val="center"/>
            <w:hideMark/>
          </w:tcPr>
          <w:p w14:paraId="4B8FE63D"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Comprehensive</w:t>
            </w:r>
          </w:p>
        </w:tc>
        <w:tc>
          <w:tcPr>
            <w:tcW w:w="1104" w:type="dxa"/>
            <w:vAlign w:val="center"/>
            <w:hideMark/>
          </w:tcPr>
          <w:p w14:paraId="6A809BF5"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Absent</w:t>
            </w:r>
          </w:p>
        </w:tc>
        <w:tc>
          <w:tcPr>
            <w:tcW w:w="1246" w:type="dxa"/>
            <w:vAlign w:val="center"/>
            <w:hideMark/>
          </w:tcPr>
          <w:p w14:paraId="62EBF220"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Strong emphasis</w:t>
            </w:r>
          </w:p>
        </w:tc>
        <w:tc>
          <w:tcPr>
            <w:tcW w:w="1443" w:type="dxa"/>
            <w:vAlign w:val="center"/>
            <w:hideMark/>
          </w:tcPr>
          <w:p w14:paraId="10B49397"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Environmental indicators</w:t>
            </w:r>
          </w:p>
        </w:tc>
        <w:tc>
          <w:tcPr>
            <w:tcW w:w="1414" w:type="dxa"/>
            <w:vAlign w:val="center"/>
            <w:hideMark/>
          </w:tcPr>
          <w:p w14:paraId="7A8EB2C9" w14:textId="77777777" w:rsidR="00615546" w:rsidRPr="00CD5B1F" w:rsidRDefault="00615546" w:rsidP="00615546">
            <w:pPr>
              <w:jc w:val="both"/>
              <w:rPr>
                <w:rFonts w:ascii="Times New Roman" w:hAnsi="Times New Roman" w:cs="Times New Roman"/>
                <w:sz w:val="20"/>
                <w:szCs w:val="20"/>
              </w:rPr>
            </w:pPr>
            <w:r w:rsidRPr="00CD5B1F">
              <w:rPr>
                <w:rFonts w:ascii="Times New Roman" w:hAnsi="Times New Roman" w:cs="Times New Roman"/>
                <w:sz w:val="20"/>
                <w:szCs w:val="20"/>
              </w:rPr>
              <w:t>Technology integration absent</w:t>
            </w:r>
          </w:p>
        </w:tc>
      </w:tr>
      <w:tr w:rsidR="00615546" w:rsidRPr="00FD20C6" w14:paraId="469036FC" w14:textId="77777777" w:rsidTr="00CD5B1F">
        <w:trPr>
          <w:trHeight w:val="1518"/>
          <w:tblCellSpacing w:w="15" w:type="dxa"/>
        </w:trPr>
        <w:tc>
          <w:tcPr>
            <w:tcW w:w="1711" w:type="dxa"/>
            <w:vAlign w:val="center"/>
            <w:hideMark/>
          </w:tcPr>
          <w:p w14:paraId="42433C14" w14:textId="77777777" w:rsidR="00615546" w:rsidRPr="00CD5B1F" w:rsidRDefault="00615546" w:rsidP="00615546">
            <w:pPr>
              <w:jc w:val="both"/>
              <w:rPr>
                <w:rFonts w:ascii="Times New Roman" w:hAnsi="Times New Roman" w:cs="Times New Roman"/>
                <w:sz w:val="20"/>
                <w:szCs w:val="20"/>
              </w:rPr>
            </w:pPr>
            <w:r w:rsidRPr="00CD5B1F">
              <w:rPr>
                <w:rStyle w:val="Strong"/>
                <w:rFonts w:ascii="Times New Roman" w:hAnsi="Times New Roman" w:cs="Times New Roman"/>
                <w:sz w:val="20"/>
                <w:szCs w:val="20"/>
              </w:rPr>
              <w:t>Proposed Integrated Framework</w:t>
            </w:r>
          </w:p>
        </w:tc>
        <w:tc>
          <w:tcPr>
            <w:tcW w:w="1388" w:type="dxa"/>
            <w:vAlign w:val="center"/>
            <w:hideMark/>
          </w:tcPr>
          <w:p w14:paraId="28649526" w14:textId="77777777" w:rsidR="00615546" w:rsidRPr="00CD5B1F" w:rsidRDefault="00615546" w:rsidP="00615546">
            <w:pPr>
              <w:jc w:val="both"/>
              <w:rPr>
                <w:rFonts w:ascii="Times New Roman" w:hAnsi="Times New Roman" w:cs="Times New Roman"/>
                <w:sz w:val="20"/>
                <w:szCs w:val="20"/>
              </w:rPr>
            </w:pPr>
            <w:r w:rsidRPr="00CD5B1F">
              <w:rPr>
                <w:rStyle w:val="Strong"/>
                <w:rFonts w:ascii="Times New Roman" w:hAnsi="Times New Roman" w:cs="Times New Roman"/>
                <w:sz w:val="20"/>
                <w:szCs w:val="20"/>
              </w:rPr>
              <w:t>Comprehensive</w:t>
            </w:r>
          </w:p>
        </w:tc>
        <w:tc>
          <w:tcPr>
            <w:tcW w:w="1387" w:type="dxa"/>
            <w:vAlign w:val="center"/>
            <w:hideMark/>
          </w:tcPr>
          <w:p w14:paraId="35BA8A07" w14:textId="77777777" w:rsidR="00615546" w:rsidRPr="00CD5B1F" w:rsidRDefault="00615546" w:rsidP="00615546">
            <w:pPr>
              <w:jc w:val="both"/>
              <w:rPr>
                <w:rFonts w:ascii="Times New Roman" w:hAnsi="Times New Roman" w:cs="Times New Roman"/>
                <w:sz w:val="20"/>
                <w:szCs w:val="20"/>
              </w:rPr>
            </w:pPr>
            <w:r w:rsidRPr="00CD5B1F">
              <w:rPr>
                <w:rStyle w:val="Strong"/>
                <w:rFonts w:ascii="Times New Roman" w:hAnsi="Times New Roman" w:cs="Times New Roman"/>
                <w:sz w:val="20"/>
                <w:szCs w:val="20"/>
              </w:rPr>
              <w:t>Comprehensive</w:t>
            </w:r>
          </w:p>
        </w:tc>
        <w:tc>
          <w:tcPr>
            <w:tcW w:w="1104" w:type="dxa"/>
            <w:vAlign w:val="center"/>
            <w:hideMark/>
          </w:tcPr>
          <w:p w14:paraId="504E035C" w14:textId="77777777" w:rsidR="00615546" w:rsidRPr="00CD5B1F" w:rsidRDefault="00615546" w:rsidP="00615546">
            <w:pPr>
              <w:jc w:val="both"/>
              <w:rPr>
                <w:rFonts w:ascii="Times New Roman" w:hAnsi="Times New Roman" w:cs="Times New Roman"/>
                <w:sz w:val="20"/>
                <w:szCs w:val="20"/>
              </w:rPr>
            </w:pPr>
            <w:r w:rsidRPr="00CD5B1F">
              <w:rPr>
                <w:rStyle w:val="Strong"/>
                <w:rFonts w:ascii="Times New Roman" w:hAnsi="Times New Roman" w:cs="Times New Roman"/>
                <w:sz w:val="20"/>
                <w:szCs w:val="20"/>
              </w:rPr>
              <w:t>Advanced</w:t>
            </w:r>
          </w:p>
        </w:tc>
        <w:tc>
          <w:tcPr>
            <w:tcW w:w="1246" w:type="dxa"/>
            <w:vAlign w:val="center"/>
            <w:hideMark/>
          </w:tcPr>
          <w:p w14:paraId="5BE3D1F0" w14:textId="77777777" w:rsidR="00615546" w:rsidRPr="00CD5B1F" w:rsidRDefault="00615546" w:rsidP="00615546">
            <w:pPr>
              <w:jc w:val="both"/>
              <w:rPr>
                <w:rFonts w:ascii="Times New Roman" w:hAnsi="Times New Roman" w:cs="Times New Roman"/>
                <w:sz w:val="20"/>
                <w:szCs w:val="20"/>
              </w:rPr>
            </w:pPr>
            <w:r w:rsidRPr="00CD5B1F">
              <w:rPr>
                <w:rStyle w:val="Strong"/>
                <w:rFonts w:ascii="Times New Roman" w:hAnsi="Times New Roman" w:cs="Times New Roman"/>
                <w:sz w:val="20"/>
                <w:szCs w:val="20"/>
              </w:rPr>
              <w:t>Strong integration</w:t>
            </w:r>
          </w:p>
        </w:tc>
        <w:tc>
          <w:tcPr>
            <w:tcW w:w="1443" w:type="dxa"/>
            <w:vAlign w:val="center"/>
            <w:hideMark/>
          </w:tcPr>
          <w:p w14:paraId="4DF9C525" w14:textId="77777777" w:rsidR="00615546" w:rsidRPr="00CD5B1F" w:rsidRDefault="00615546" w:rsidP="00615546">
            <w:pPr>
              <w:jc w:val="both"/>
              <w:rPr>
                <w:rFonts w:ascii="Times New Roman" w:hAnsi="Times New Roman" w:cs="Times New Roman"/>
                <w:sz w:val="20"/>
                <w:szCs w:val="20"/>
              </w:rPr>
            </w:pPr>
            <w:r w:rsidRPr="00CD5B1F">
              <w:rPr>
                <w:rStyle w:val="Strong"/>
                <w:rFonts w:ascii="Times New Roman" w:hAnsi="Times New Roman" w:cs="Times New Roman"/>
                <w:sz w:val="20"/>
                <w:szCs w:val="20"/>
              </w:rPr>
              <w:t>Environmental, Social, Economic</w:t>
            </w:r>
          </w:p>
        </w:tc>
        <w:tc>
          <w:tcPr>
            <w:tcW w:w="1414" w:type="dxa"/>
            <w:vAlign w:val="center"/>
            <w:hideMark/>
          </w:tcPr>
          <w:p w14:paraId="020CF7EF" w14:textId="77777777" w:rsidR="00615546" w:rsidRPr="00CD5B1F" w:rsidRDefault="00615546" w:rsidP="00615546">
            <w:pPr>
              <w:jc w:val="both"/>
              <w:rPr>
                <w:rFonts w:ascii="Times New Roman" w:hAnsi="Times New Roman" w:cs="Times New Roman"/>
                <w:sz w:val="20"/>
                <w:szCs w:val="20"/>
              </w:rPr>
            </w:pPr>
            <w:r w:rsidRPr="00CD5B1F">
              <w:rPr>
                <w:rStyle w:val="Strong"/>
                <w:rFonts w:ascii="Times New Roman" w:hAnsi="Times New Roman" w:cs="Times New Roman"/>
                <w:sz w:val="20"/>
                <w:szCs w:val="20"/>
              </w:rPr>
              <w:t>Requires initial investment and capacity building</w:t>
            </w:r>
          </w:p>
        </w:tc>
      </w:tr>
    </w:tbl>
    <w:p w14:paraId="259A2D01" w14:textId="77777777" w:rsidR="00CD5B1F" w:rsidRDefault="00CD5B1F" w:rsidP="00CD5B1F">
      <w:pPr>
        <w:pStyle w:val="font-claude-response-body"/>
        <w:jc w:val="both"/>
        <w:sectPr w:rsidR="00CD5B1F" w:rsidSect="00615546">
          <w:type w:val="continuous"/>
          <w:pgSz w:w="11906" w:h="16838"/>
          <w:pgMar w:top="1440" w:right="1440" w:bottom="1440" w:left="1440" w:header="708" w:footer="708" w:gutter="0"/>
          <w:cols w:space="708"/>
          <w:docGrid w:linePitch="360"/>
        </w:sectPr>
      </w:pPr>
    </w:p>
    <w:p w14:paraId="26BD4679" w14:textId="77777777" w:rsidR="003819FB" w:rsidRPr="00FD20C6" w:rsidRDefault="003819FB" w:rsidP="00CD5B1F">
      <w:pPr>
        <w:pStyle w:val="font-claude-response-body"/>
        <w:jc w:val="both"/>
      </w:pPr>
      <w:r w:rsidRPr="00FD20C6">
        <w:t xml:space="preserve">Women's self-help groups have emerged as particularly effective channels for technology dissemination and environmental monitoring within rural India, demonstrating higher sustained engagement rates compared to individual farmer outreach approaches (Mandal, 2024). Youth involvement in digital data collection activities creates valuable intergenerational knowledge transfer while simultaneously building technical capacity within communities. However, digital inclusion efforts frequently emphasize basic literacy without addressing higher-order competencies required for data </w:t>
      </w:r>
      <w:r w:rsidRPr="00FD20C6">
        <w:t>interpretation, system customization, or participatory technology co-development.</w:t>
      </w:r>
    </w:p>
    <w:p w14:paraId="464551E5" w14:textId="77777777" w:rsidR="003819FB" w:rsidRPr="00FD20C6" w:rsidRDefault="003819FB" w:rsidP="003819FB">
      <w:pPr>
        <w:pStyle w:val="Heading3"/>
        <w:jc w:val="both"/>
        <w:rPr>
          <w:sz w:val="24"/>
          <w:szCs w:val="24"/>
        </w:rPr>
      </w:pPr>
      <w:r w:rsidRPr="00FD20C6">
        <w:rPr>
          <w:sz w:val="24"/>
          <w:szCs w:val="24"/>
        </w:rPr>
        <w:t>2.6 Comparative Framework Analysis and Research Gap Identification</w:t>
      </w:r>
    </w:p>
    <w:p w14:paraId="6C639209" w14:textId="77777777" w:rsidR="003819FB" w:rsidRPr="00FD20C6" w:rsidRDefault="003819FB" w:rsidP="003819FB">
      <w:pPr>
        <w:pStyle w:val="font-claude-response-body"/>
        <w:jc w:val="both"/>
      </w:pPr>
      <w:r w:rsidRPr="00FD20C6">
        <w:t>Substantial research exists within individual domains—smart villages, precision agriculture, disease detection, sustainability science—yet comprehensive frameworks integrating these elements holistically remain scarce. Table 1 provides comparative analysis of major existing approaches against the framework proposed in this investigation.</w:t>
      </w:r>
    </w:p>
    <w:p w14:paraId="42E646ED" w14:textId="77777777" w:rsidR="003819FB" w:rsidRPr="00FD20C6" w:rsidRDefault="003819FB" w:rsidP="003819FB">
      <w:pPr>
        <w:pStyle w:val="font-claude-response-body"/>
        <w:jc w:val="both"/>
      </w:pPr>
      <w:r w:rsidRPr="00FD20C6">
        <w:rPr>
          <w:rStyle w:val="Strong"/>
        </w:rPr>
        <w:lastRenderedPageBreak/>
        <w:t>Table 1: Comparative Analysis of Existing Frameworks</w:t>
      </w:r>
    </w:p>
    <w:p w14:paraId="173BBC0E" w14:textId="77777777" w:rsidR="003819FB" w:rsidRPr="00FD20C6" w:rsidRDefault="003819FB" w:rsidP="003819FB">
      <w:pPr>
        <w:pStyle w:val="font-claude-response-body"/>
        <w:jc w:val="both"/>
      </w:pPr>
      <w:r w:rsidRPr="00FD20C6">
        <w:t>This comparative analysis reveals that existing frameworks address critical components but lack comprehensive integration across technological, environmental, and social dimensions. The proposed approach uniquely synthesizes all five elements—digital infrastructure, environmental monitoring, AI-powered disease detection, participatory community governance, and multi-dimensional impact assessment—within a unified architecture validated through empirical real-world implementation. This integration directly addresses the fundamental gap between technological capability and sustainable rural development outcomes.</w:t>
      </w:r>
    </w:p>
    <w:p w14:paraId="69AA2346" w14:textId="77777777" w:rsidR="003819FB" w:rsidRPr="00FD20C6" w:rsidRDefault="003819FB" w:rsidP="003819FB">
      <w:pPr>
        <w:jc w:val="both"/>
        <w:rPr>
          <w:rFonts w:ascii="Times New Roman" w:hAnsi="Times New Roman" w:cs="Times New Roman"/>
          <w:sz w:val="24"/>
          <w:szCs w:val="24"/>
        </w:rPr>
      </w:pPr>
    </w:p>
    <w:p w14:paraId="3F182B7E" w14:textId="77777777" w:rsidR="003819FB" w:rsidRPr="00FD20C6" w:rsidRDefault="003819FB" w:rsidP="003819FB">
      <w:pPr>
        <w:pStyle w:val="Heading2"/>
        <w:jc w:val="both"/>
        <w:rPr>
          <w:sz w:val="24"/>
          <w:szCs w:val="24"/>
        </w:rPr>
      </w:pPr>
      <w:r w:rsidRPr="00FD20C6">
        <w:rPr>
          <w:sz w:val="24"/>
          <w:szCs w:val="24"/>
        </w:rPr>
        <w:t>3. METHODOLOGY</w:t>
      </w:r>
    </w:p>
    <w:p w14:paraId="1D494C4E" w14:textId="77777777" w:rsidR="003819FB" w:rsidRPr="00FD20C6" w:rsidRDefault="003819FB" w:rsidP="003819FB">
      <w:pPr>
        <w:pStyle w:val="Heading3"/>
        <w:jc w:val="both"/>
        <w:rPr>
          <w:sz w:val="24"/>
          <w:szCs w:val="24"/>
        </w:rPr>
      </w:pPr>
      <w:r w:rsidRPr="00FD20C6">
        <w:rPr>
          <w:sz w:val="24"/>
          <w:szCs w:val="24"/>
        </w:rPr>
        <w:t>3.1 Integrated Framework Architecture</w:t>
      </w:r>
    </w:p>
    <w:p w14:paraId="20010369" w14:textId="77777777" w:rsidR="003819FB" w:rsidRDefault="003819FB" w:rsidP="003819FB">
      <w:pPr>
        <w:pStyle w:val="font-claude-response-body"/>
        <w:jc w:val="both"/>
      </w:pPr>
      <w:r w:rsidRPr="00FD20C6">
        <w:t>The nature-positive smart village framework comprises four interconnected layers designed for modularity, scalability, and adaptability across diverse rural contexts (Figure 1). Each layer performs distinct functions while maintaining seamless bidirectional data flows and integrated decision-support capabilities.</w:t>
      </w:r>
    </w:p>
    <w:p w14:paraId="61EC9A06" w14:textId="77777777" w:rsidR="00615546" w:rsidRPr="00FD20C6" w:rsidRDefault="00615546" w:rsidP="003819FB">
      <w:pPr>
        <w:pStyle w:val="font-claude-response-body"/>
        <w:jc w:val="both"/>
      </w:pPr>
      <w:r w:rsidRPr="00615546">
        <w:rPr>
          <w:noProof/>
        </w:rPr>
        <w:drawing>
          <wp:inline distT="0" distB="0" distL="0" distR="0" wp14:anchorId="0CF95BD8" wp14:editId="55452344">
            <wp:extent cx="2639060" cy="1949450"/>
            <wp:effectExtent l="19050" t="0" r="889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l="53955" t="31102" b="8465"/>
                    <a:stretch>
                      <a:fillRect/>
                    </a:stretch>
                  </pic:blipFill>
                  <pic:spPr bwMode="auto">
                    <a:xfrm>
                      <a:off x="0" y="0"/>
                      <a:ext cx="2639060" cy="1949450"/>
                    </a:xfrm>
                    <a:prstGeom prst="rect">
                      <a:avLst/>
                    </a:prstGeom>
                    <a:noFill/>
                    <a:ln w="9525">
                      <a:noFill/>
                      <a:miter lim="800000"/>
                      <a:headEnd/>
                      <a:tailEnd/>
                    </a:ln>
                  </pic:spPr>
                </pic:pic>
              </a:graphicData>
            </a:graphic>
          </wp:inline>
        </w:drawing>
      </w:r>
    </w:p>
    <w:p w14:paraId="4CDDD1F0" w14:textId="77777777" w:rsidR="00615546" w:rsidRPr="00FD20C6" w:rsidRDefault="003819FB" w:rsidP="00615546">
      <w:pPr>
        <w:pStyle w:val="font-claude-response-body"/>
        <w:jc w:val="both"/>
      </w:pPr>
      <w:r w:rsidRPr="00FD20C6">
        <w:rPr>
          <w:rStyle w:val="Strong"/>
        </w:rPr>
        <w:t xml:space="preserve">[Figure 1: </w:t>
      </w:r>
      <w:r w:rsidR="00615546" w:rsidRPr="00FD20C6">
        <w:t xml:space="preserve"> DISEASE DISTRIBUTION BY CLINICAL IMAPACT</w:t>
      </w:r>
      <w:r w:rsidR="00615546">
        <w:t>]</w:t>
      </w:r>
    </w:p>
    <w:p w14:paraId="74CBC464" w14:textId="77777777" w:rsidR="003819FB" w:rsidRPr="00615546" w:rsidRDefault="003819FB" w:rsidP="003819FB">
      <w:pPr>
        <w:pStyle w:val="Heading4"/>
        <w:jc w:val="both"/>
        <w:rPr>
          <w:rFonts w:ascii="Times New Roman" w:hAnsi="Times New Roman" w:cs="Times New Roman"/>
          <w:color w:val="auto"/>
          <w:sz w:val="24"/>
          <w:szCs w:val="24"/>
        </w:rPr>
      </w:pPr>
      <w:r w:rsidRPr="00615546">
        <w:rPr>
          <w:rFonts w:ascii="Times New Roman" w:hAnsi="Times New Roman" w:cs="Times New Roman"/>
          <w:color w:val="auto"/>
          <w:sz w:val="24"/>
          <w:szCs w:val="24"/>
        </w:rPr>
        <w:t>3.1.1 Layer 1: Multi-Modal Data Acquisition</w:t>
      </w:r>
    </w:p>
    <w:p w14:paraId="483A3939" w14:textId="77777777" w:rsidR="003819FB" w:rsidRPr="00FD20C6" w:rsidRDefault="003819FB" w:rsidP="00615546">
      <w:pPr>
        <w:pStyle w:val="font-claude-response-body"/>
        <w:jc w:val="both"/>
      </w:pPr>
      <w:r w:rsidRPr="00FD20C6">
        <w:t>The foundational data acquisition layer implements a comprehensive sensing network capturing real-time agricultural, environmental, and community-generated information:</w:t>
      </w:r>
    </w:p>
    <w:p w14:paraId="7CB21426" w14:textId="77777777" w:rsidR="003819FB" w:rsidRPr="00FD20C6" w:rsidRDefault="003819FB" w:rsidP="003819FB">
      <w:pPr>
        <w:pStyle w:val="font-claude-response-body"/>
        <w:jc w:val="both"/>
      </w:pPr>
      <w:r w:rsidRPr="00FD20C6">
        <w:rPr>
          <w:rStyle w:val="Strong"/>
        </w:rPr>
        <w:t>IoT Sensor Network Specifications:</w:t>
      </w:r>
    </w:p>
    <w:p w14:paraId="56BBEAD7" w14:textId="77777777" w:rsidR="003819FB" w:rsidRPr="00FD20C6" w:rsidRDefault="003819FB" w:rsidP="003819FB">
      <w:pPr>
        <w:numPr>
          <w:ilvl w:val="0"/>
          <w:numId w:val="11"/>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Soil moisture sensors: Capacitive type, 0-100% volumetric water content measurement range, ±2% accuracy, 15-minute sampling interval</w:t>
      </w:r>
    </w:p>
    <w:p w14:paraId="022D2FD2" w14:textId="77777777" w:rsidR="003819FB" w:rsidRPr="00FD20C6" w:rsidRDefault="003819FB" w:rsidP="003819FB">
      <w:pPr>
        <w:numPr>
          <w:ilvl w:val="0"/>
          <w:numId w:val="11"/>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Atmospheric sensors: DHT22 model, temperature range -40°C to 80°C (±0.5°C accuracy), relative humidity 0-100% (±2% accuracy)</w:t>
      </w:r>
    </w:p>
    <w:p w14:paraId="1A904C7B" w14:textId="77777777" w:rsidR="003819FB" w:rsidRPr="00FD20C6" w:rsidRDefault="003819FB" w:rsidP="003819FB">
      <w:pPr>
        <w:numPr>
          <w:ilvl w:val="0"/>
          <w:numId w:val="11"/>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Water level monitoring: Ultrasonic sensors, 2-400cm measurement range, ±1cm accuracy, hourly sampling</w:t>
      </w:r>
    </w:p>
    <w:p w14:paraId="2CD2BF36" w14:textId="77777777" w:rsidR="003819FB" w:rsidRPr="00FD20C6" w:rsidRDefault="003819FB" w:rsidP="003819FB">
      <w:pPr>
        <w:numPr>
          <w:ilvl w:val="0"/>
          <w:numId w:val="11"/>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Precipitation measurement: Tipping bucket rain gauges, 0.2mm resolution, 5-minute logging interval</w:t>
      </w:r>
    </w:p>
    <w:p w14:paraId="2BFE51C3" w14:textId="77777777" w:rsidR="003819FB" w:rsidRPr="00FD20C6" w:rsidRDefault="003819FB" w:rsidP="003819FB">
      <w:pPr>
        <w:numPr>
          <w:ilvl w:val="0"/>
          <w:numId w:val="11"/>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Network deployment: 4-6 sensor nodes per hectare in pilot implementation villages</w:t>
      </w:r>
    </w:p>
    <w:p w14:paraId="569362D5" w14:textId="77777777" w:rsidR="003819FB" w:rsidRPr="00FD20C6" w:rsidRDefault="003819FB" w:rsidP="003819FB">
      <w:pPr>
        <w:pStyle w:val="font-claude-response-body"/>
        <w:jc w:val="both"/>
      </w:pPr>
      <w:r w:rsidRPr="00FD20C6">
        <w:rPr>
          <w:rStyle w:val="Strong"/>
        </w:rPr>
        <w:t>Unmanned Aerial Vehicle (UAV) Imaging:</w:t>
      </w:r>
    </w:p>
    <w:p w14:paraId="6F4359AC" w14:textId="77777777" w:rsidR="003819FB" w:rsidRPr="00FD20C6" w:rsidRDefault="003819FB" w:rsidP="003819FB">
      <w:pPr>
        <w:numPr>
          <w:ilvl w:val="0"/>
          <w:numId w:val="12"/>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RGB cameras: 20 megapixel resolution, 400m operational altitude, 2.5cm/pixel ground sample distance</w:t>
      </w:r>
    </w:p>
    <w:p w14:paraId="05D40297" w14:textId="77777777" w:rsidR="003819FB" w:rsidRPr="00FD20C6" w:rsidRDefault="003819FB" w:rsidP="003819FB">
      <w:pPr>
        <w:numPr>
          <w:ilvl w:val="0"/>
          <w:numId w:val="12"/>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Multispectral sensors: 5-band configuration (Blue: 450nm, Green: 560nm, Red: 650nm, Red Edge: 730nm, Near-Infrared: 840nm)</w:t>
      </w:r>
    </w:p>
    <w:p w14:paraId="31740BEF" w14:textId="77777777" w:rsidR="003819FB" w:rsidRPr="00FD20C6" w:rsidRDefault="003819FB" w:rsidP="003819FB">
      <w:pPr>
        <w:numPr>
          <w:ilvl w:val="0"/>
          <w:numId w:val="12"/>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Flight schedule: Weekly frequency during active growing season, biweekly during dormant periods</w:t>
      </w:r>
    </w:p>
    <w:p w14:paraId="4BFAA8B0" w14:textId="77777777" w:rsidR="003819FB" w:rsidRPr="00FD20C6" w:rsidRDefault="003819FB" w:rsidP="003819FB">
      <w:pPr>
        <w:numPr>
          <w:ilvl w:val="0"/>
          <w:numId w:val="12"/>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Coverage area: Complete village agricultural lands (approximately 150 hectares per village)</w:t>
      </w:r>
    </w:p>
    <w:p w14:paraId="6A26521C" w14:textId="77777777" w:rsidR="003819FB" w:rsidRPr="00FD20C6" w:rsidRDefault="003819FB" w:rsidP="003819FB">
      <w:pPr>
        <w:pStyle w:val="font-claude-response-body"/>
        <w:jc w:val="both"/>
      </w:pPr>
      <w:r w:rsidRPr="00FD20C6">
        <w:rPr>
          <w:rStyle w:val="Strong"/>
        </w:rPr>
        <w:lastRenderedPageBreak/>
        <w:t>Satellite Remote Sensing Integration:</w:t>
      </w:r>
    </w:p>
    <w:p w14:paraId="5B28E4C5" w14:textId="77777777" w:rsidR="003819FB" w:rsidRPr="00FD20C6" w:rsidRDefault="003819FB" w:rsidP="003819FB">
      <w:pPr>
        <w:numPr>
          <w:ilvl w:val="0"/>
          <w:numId w:val="1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Platform: Sentinel-2 multispectral imagery</w:t>
      </w:r>
    </w:p>
    <w:p w14:paraId="4ADD4949" w14:textId="77777777" w:rsidR="003819FB" w:rsidRPr="00FD20C6" w:rsidRDefault="003819FB" w:rsidP="003819FB">
      <w:pPr>
        <w:numPr>
          <w:ilvl w:val="0"/>
          <w:numId w:val="1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Spatial resolution: 10-meter for visible and NIR bands</w:t>
      </w:r>
    </w:p>
    <w:p w14:paraId="265148B1" w14:textId="77777777" w:rsidR="003819FB" w:rsidRPr="00FD20C6" w:rsidRDefault="003819FB" w:rsidP="003819FB">
      <w:pPr>
        <w:numPr>
          <w:ilvl w:val="0"/>
          <w:numId w:val="1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Temporal resolution: 5-day revisit frequency</w:t>
      </w:r>
    </w:p>
    <w:p w14:paraId="175E799B" w14:textId="77777777" w:rsidR="003819FB" w:rsidRPr="00FD20C6" w:rsidRDefault="003819FB" w:rsidP="003819FB">
      <w:pPr>
        <w:numPr>
          <w:ilvl w:val="0"/>
          <w:numId w:val="1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Derived products: NDVI, EVI, Soil-Adjusted Vegetation Index (SAVI)</w:t>
      </w:r>
    </w:p>
    <w:p w14:paraId="1E6BF7D7" w14:textId="77777777" w:rsidR="003819FB" w:rsidRPr="00FD20C6" w:rsidRDefault="003819FB" w:rsidP="003819FB">
      <w:pPr>
        <w:numPr>
          <w:ilvl w:val="0"/>
          <w:numId w:val="1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Land cover classification: Random Forest algorithm with 85% overall accuracy</w:t>
      </w:r>
    </w:p>
    <w:p w14:paraId="2F0FC65A" w14:textId="77777777" w:rsidR="003819FB" w:rsidRPr="00FD20C6" w:rsidRDefault="003819FB" w:rsidP="003819FB">
      <w:pPr>
        <w:numPr>
          <w:ilvl w:val="0"/>
          <w:numId w:val="1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Historical archive: 24-month time series for seasonal pattern analysis</w:t>
      </w:r>
    </w:p>
    <w:p w14:paraId="0B393CF8" w14:textId="77777777" w:rsidR="003819FB" w:rsidRPr="00FD20C6" w:rsidRDefault="003819FB" w:rsidP="003819FB">
      <w:pPr>
        <w:pStyle w:val="font-claude-response-body"/>
        <w:jc w:val="both"/>
      </w:pPr>
      <w:r w:rsidRPr="00FD20C6">
        <w:rPr>
          <w:rStyle w:val="Strong"/>
        </w:rPr>
        <w:t>Meteorological Data Integration:</w:t>
      </w:r>
    </w:p>
    <w:p w14:paraId="2DE4BA81" w14:textId="77777777" w:rsidR="003819FB" w:rsidRPr="00FD20C6" w:rsidRDefault="003819FB" w:rsidP="003819FB">
      <w:pPr>
        <w:numPr>
          <w:ilvl w:val="0"/>
          <w:numId w:val="14"/>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Local automated weather stations: Temperature, humidity, precipitation, wind speed/direction, solar radiation</w:t>
      </w:r>
    </w:p>
    <w:p w14:paraId="3AD3BA7C" w14:textId="77777777" w:rsidR="003819FB" w:rsidRPr="00FD20C6" w:rsidRDefault="003819FB" w:rsidP="003819FB">
      <w:pPr>
        <w:numPr>
          <w:ilvl w:val="0"/>
          <w:numId w:val="14"/>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Regional forecasting: API integration with national meteorological service, 7-day predictions</w:t>
      </w:r>
    </w:p>
    <w:p w14:paraId="67A5F5CB" w14:textId="77777777" w:rsidR="003819FB" w:rsidRPr="00FD20C6" w:rsidRDefault="003819FB" w:rsidP="003819FB">
      <w:pPr>
        <w:numPr>
          <w:ilvl w:val="0"/>
          <w:numId w:val="14"/>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Historical climatology: 10-year historical records for baseline establishment and anomaly detection</w:t>
      </w:r>
    </w:p>
    <w:p w14:paraId="64D36946" w14:textId="77777777" w:rsidR="003819FB" w:rsidRPr="00FD20C6" w:rsidRDefault="003819FB" w:rsidP="003819FB">
      <w:pPr>
        <w:pStyle w:val="font-claude-response-body"/>
        <w:jc w:val="both"/>
      </w:pPr>
      <w:r w:rsidRPr="00FD20C6">
        <w:rPr>
          <w:rStyle w:val="Strong"/>
        </w:rPr>
        <w:t>Community-Generated Observations:</w:t>
      </w:r>
    </w:p>
    <w:p w14:paraId="1D7A9E4A" w14:textId="77777777" w:rsidR="003819FB" w:rsidRPr="00FD20C6" w:rsidRDefault="003819FB" w:rsidP="003819FB">
      <w:pPr>
        <w:numPr>
          <w:ilvl w:val="0"/>
          <w:numId w:val="15"/>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Mobile application platform: Android/iOS compatible, supports farmer observations and disease reporting</w:t>
      </w:r>
    </w:p>
    <w:p w14:paraId="04173A07" w14:textId="77777777" w:rsidR="003819FB" w:rsidRPr="00FD20C6" w:rsidRDefault="003819FB" w:rsidP="003819FB">
      <w:pPr>
        <w:numPr>
          <w:ilvl w:val="0"/>
          <w:numId w:val="15"/>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Image submission: Minimum 5-megapixel resolution requirement for diagnostic quality</w:t>
      </w:r>
    </w:p>
    <w:p w14:paraId="0A19DA6A" w14:textId="77777777" w:rsidR="003819FB" w:rsidRPr="00FD20C6" w:rsidRDefault="003819FB" w:rsidP="003819FB">
      <w:pPr>
        <w:numPr>
          <w:ilvl w:val="0"/>
          <w:numId w:val="15"/>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Geospatial tagging: GPS coordinates with ±5-meter accuracy, timestamp metadata</w:t>
      </w:r>
    </w:p>
    <w:p w14:paraId="1CDCCD02" w14:textId="77777777" w:rsidR="003819FB" w:rsidRPr="00FD20C6" w:rsidRDefault="003819FB" w:rsidP="003819FB">
      <w:pPr>
        <w:numPr>
          <w:ilvl w:val="0"/>
          <w:numId w:val="15"/>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Accessibility features: Local language voice notes (Tamil, Telugu, Hindi), offline data storage with synchronization</w:t>
      </w:r>
    </w:p>
    <w:p w14:paraId="5DB1778D" w14:textId="77777777" w:rsidR="003819FB" w:rsidRPr="00615546" w:rsidRDefault="003819FB" w:rsidP="003819FB">
      <w:pPr>
        <w:pStyle w:val="Heading4"/>
        <w:jc w:val="both"/>
        <w:rPr>
          <w:rFonts w:ascii="Times New Roman" w:hAnsi="Times New Roman" w:cs="Times New Roman"/>
          <w:color w:val="000000" w:themeColor="text1"/>
          <w:sz w:val="24"/>
          <w:szCs w:val="24"/>
        </w:rPr>
      </w:pPr>
      <w:r w:rsidRPr="00615546">
        <w:rPr>
          <w:rFonts w:ascii="Times New Roman" w:hAnsi="Times New Roman" w:cs="Times New Roman"/>
          <w:color w:val="000000" w:themeColor="text1"/>
          <w:sz w:val="24"/>
          <w:szCs w:val="24"/>
        </w:rPr>
        <w:t>3.1.2 Layer 2: Intelligent Processing and Analysis</w:t>
      </w:r>
    </w:p>
    <w:p w14:paraId="7C445467" w14:textId="77777777" w:rsidR="003819FB" w:rsidRPr="00FD20C6" w:rsidRDefault="003819FB" w:rsidP="00615546">
      <w:pPr>
        <w:pStyle w:val="font-claude-response-body"/>
        <w:jc w:val="both"/>
      </w:pPr>
      <w:r w:rsidRPr="00FD20C6">
        <w:t>The processing layer transforms heterogeneous raw data streams into actionable intelligence through artificial intelligence models and analytical algorithms.</w:t>
      </w:r>
    </w:p>
    <w:p w14:paraId="6467011B" w14:textId="77777777" w:rsidR="003819FB" w:rsidRPr="00FD20C6" w:rsidRDefault="003819FB" w:rsidP="003819FB">
      <w:pPr>
        <w:pStyle w:val="font-claude-response-body"/>
        <w:jc w:val="both"/>
      </w:pPr>
      <w:r w:rsidRPr="00FD20C6">
        <w:rPr>
          <w:rStyle w:val="Strong"/>
        </w:rPr>
        <w:t>Crop Disease Detection Module - CNN Architecture:</w:t>
      </w:r>
    </w:p>
    <w:p w14:paraId="5EA2553A" w14:textId="77777777" w:rsidR="003819FB" w:rsidRPr="00FD20C6" w:rsidRDefault="003819FB" w:rsidP="003819FB">
      <w:pPr>
        <w:pStyle w:val="font-claude-response-body"/>
        <w:jc w:val="both"/>
      </w:pPr>
      <w:r w:rsidRPr="00FD20C6">
        <w:t>We developed a custom lightweight Convolutional Neural Network optimized for mobile device deployment while maintaining competitive diagnostic accuracy:</w:t>
      </w:r>
    </w:p>
    <w:p w14:paraId="14AC8BE8" w14:textId="77777777" w:rsidR="00444F41" w:rsidRPr="00FD20C6" w:rsidRDefault="00444F41" w:rsidP="003819FB">
      <w:pPr>
        <w:pStyle w:val="font-claude-response-body"/>
        <w:jc w:val="both"/>
      </w:pPr>
    </w:p>
    <w:p w14:paraId="3A800418" w14:textId="77777777" w:rsidR="00444F41" w:rsidRPr="00FD20C6" w:rsidRDefault="00444F41" w:rsidP="003819FB">
      <w:pPr>
        <w:pStyle w:val="font-claude-response-body"/>
        <w:jc w:val="both"/>
      </w:pPr>
      <w:r w:rsidRPr="00FD20C6">
        <w:rPr>
          <w:noProof/>
        </w:rPr>
        <w:drawing>
          <wp:inline distT="0" distB="0" distL="0" distR="0" wp14:anchorId="5866D193" wp14:editId="7B82E77D">
            <wp:extent cx="2635250" cy="19494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l="54066" t="33465" b="8071"/>
                    <a:stretch>
                      <a:fillRect/>
                    </a:stretch>
                  </pic:blipFill>
                  <pic:spPr bwMode="auto">
                    <a:xfrm>
                      <a:off x="0" y="0"/>
                      <a:ext cx="2635250" cy="1949450"/>
                    </a:xfrm>
                    <a:prstGeom prst="rect">
                      <a:avLst/>
                    </a:prstGeom>
                    <a:noFill/>
                    <a:ln w="9525">
                      <a:noFill/>
                      <a:miter lim="800000"/>
                      <a:headEnd/>
                      <a:tailEnd/>
                    </a:ln>
                  </pic:spPr>
                </pic:pic>
              </a:graphicData>
            </a:graphic>
          </wp:inline>
        </w:drawing>
      </w:r>
    </w:p>
    <w:p w14:paraId="5C29EB21" w14:textId="77777777" w:rsidR="00444F41" w:rsidRPr="00FD20C6" w:rsidRDefault="00444F41" w:rsidP="003819FB">
      <w:pPr>
        <w:pStyle w:val="font-claude-response-body"/>
        <w:jc w:val="both"/>
      </w:pPr>
      <w:r w:rsidRPr="00FD20C6">
        <w:t>IMAGE 2 CROP-WISE AVERAGE PERFORMANCE</w:t>
      </w:r>
    </w:p>
    <w:p w14:paraId="4F2E25BB"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Network Architecture:</w:t>
      </w:r>
    </w:p>
    <w:p w14:paraId="386A617B"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Input Layer: 224×224×3 RGB leaf images (normalized to [0,1])</w:t>
      </w:r>
    </w:p>
    <w:p w14:paraId="642A90C3"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p>
    <w:p w14:paraId="500063F4"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Convolutional Block 1:</w:t>
      </w:r>
    </w:p>
    <w:p w14:paraId="3A075CAF"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Conv2D: 32 filters, 3×3 kernel, stride=1, padding='same'</w:t>
      </w:r>
    </w:p>
    <w:p w14:paraId="477B85A2"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Activation: ReLU</w:t>
      </w:r>
    </w:p>
    <w:p w14:paraId="68C26C72"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MaxPooling: 2×2, stride=2</w:t>
      </w:r>
    </w:p>
    <w:p w14:paraId="05C72E08"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Dropout: rate=0.3</w:t>
      </w:r>
    </w:p>
    <w:p w14:paraId="453D8980"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p>
    <w:p w14:paraId="64D0CDDD"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lastRenderedPageBreak/>
        <w:t>Convolutional Block 2:</w:t>
      </w:r>
    </w:p>
    <w:p w14:paraId="3976735F"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Conv2D: 64 filters, 3×3 kernel, stride=1, padding='same'</w:t>
      </w:r>
    </w:p>
    <w:p w14:paraId="1034E66C"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Activation: ReLU</w:t>
      </w:r>
    </w:p>
    <w:p w14:paraId="587867B8"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MaxPooling: 2×2, stride=2</w:t>
      </w:r>
    </w:p>
    <w:p w14:paraId="1E2FD74F"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Dropout: rate=0.3</w:t>
      </w:r>
    </w:p>
    <w:p w14:paraId="2C63C6E5"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p>
    <w:p w14:paraId="0AD206D4"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Convolutional Block 3:</w:t>
      </w:r>
    </w:p>
    <w:p w14:paraId="365C9901"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Conv2D: 128 filters, 3×3 kernel, stride=1, padding='same'</w:t>
      </w:r>
    </w:p>
    <w:p w14:paraId="196698BA"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Activation: ReLU</w:t>
      </w:r>
    </w:p>
    <w:p w14:paraId="0FFDD77D"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MaxPooling: 2×2, stride=2</w:t>
      </w:r>
    </w:p>
    <w:p w14:paraId="18408791"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Dropout: rate=0.3</w:t>
      </w:r>
    </w:p>
    <w:p w14:paraId="7E9D7F24"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p>
    <w:p w14:paraId="7B23947E"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Convolutional Block 4:</w:t>
      </w:r>
    </w:p>
    <w:p w14:paraId="1F048EE6"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Conv2D: 256 filters, 3×3 kernel, stride=1, padding='same'</w:t>
      </w:r>
    </w:p>
    <w:p w14:paraId="0CEAE167"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Activation: ReLU</w:t>
      </w:r>
    </w:p>
    <w:p w14:paraId="29D5E9B6"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MaxPooling: 2×2, stride=2</w:t>
      </w:r>
    </w:p>
    <w:p w14:paraId="0E73B4ED"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Dropout: rate=0.3</w:t>
      </w:r>
    </w:p>
    <w:p w14:paraId="07F0985B"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p>
    <w:p w14:paraId="34118DA3"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Fully Connected Layers:</w:t>
      </w:r>
    </w:p>
    <w:p w14:paraId="207370FF"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Flatten operation</w:t>
      </w:r>
    </w:p>
    <w:p w14:paraId="07C2A4C2"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Dense: 512 neurons, ReLU activation, Dropout=0.5</w:t>
      </w:r>
    </w:p>
    <w:p w14:paraId="513749D8"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Dense: 256 neurons, ReLU activation, Dropout=0.5</w:t>
      </w:r>
    </w:p>
    <w:p w14:paraId="5118B31E"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Dense: 13 neurons (disease classes), Softmax activation</w:t>
      </w:r>
    </w:p>
    <w:p w14:paraId="3B9C62F6"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p>
    <w:p w14:paraId="798D41C5"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Model Characteristics:</w:t>
      </w:r>
    </w:p>
    <w:p w14:paraId="3B210A91"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Total trainable parameters: 3,247,885</w:t>
      </w:r>
    </w:p>
    <w:p w14:paraId="7D9F3B02" w14:textId="77777777" w:rsidR="003819FB" w:rsidRPr="00FD20C6" w:rsidRDefault="003819FB" w:rsidP="003819FB">
      <w:pPr>
        <w:pStyle w:val="HTMLPreformatted"/>
        <w:spacing w:before="120" w:after="120"/>
        <w:jc w:val="both"/>
        <w:rPr>
          <w:rStyle w:val="HTMLCode"/>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Model size (quantized): 12.3 MB</w:t>
      </w:r>
    </w:p>
    <w:p w14:paraId="60A7AFDD" w14:textId="77777777" w:rsidR="003819FB" w:rsidRPr="00FD20C6" w:rsidRDefault="003819FB" w:rsidP="003819FB">
      <w:pPr>
        <w:pStyle w:val="HTMLPreformatted"/>
        <w:spacing w:before="120" w:after="120"/>
        <w:jc w:val="both"/>
        <w:rPr>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 xml:space="preserve">  - Input preprocessing: Rescaling, augmentation</w:t>
      </w:r>
    </w:p>
    <w:p w14:paraId="1C12A01B" w14:textId="77777777" w:rsidR="003819FB" w:rsidRPr="00FD20C6" w:rsidRDefault="003819FB" w:rsidP="00615546">
      <w:pPr>
        <w:pStyle w:val="font-claude-response-body"/>
        <w:jc w:val="both"/>
      </w:pPr>
      <w:r w:rsidRPr="00FD20C6">
        <w:rPr>
          <w:rStyle w:val="Strong"/>
        </w:rPr>
        <w:t>Mathematical Formulation:</w:t>
      </w:r>
    </w:p>
    <w:p w14:paraId="1194F817" w14:textId="77777777" w:rsidR="003819FB" w:rsidRPr="00FD20C6" w:rsidRDefault="003819FB" w:rsidP="003819FB">
      <w:pPr>
        <w:pStyle w:val="font-claude-response-body"/>
        <w:jc w:val="both"/>
      </w:pPr>
      <w:r w:rsidRPr="00FD20C6">
        <w:t xml:space="preserve">For input image X </w:t>
      </w:r>
      <w:r w:rsidRPr="00FD20C6">
        <w:rPr>
          <w:rFonts w:ascii="Cambria Math" w:hAnsi="Cambria Math"/>
        </w:rPr>
        <w:t>∈</w:t>
      </w:r>
      <w:r w:rsidRPr="00FD20C6">
        <w:t xml:space="preserve"> ℝ^(H×W×C) where H=224, W=224, C=3:</w:t>
      </w:r>
    </w:p>
    <w:p w14:paraId="1AFE3A63" w14:textId="77777777" w:rsidR="003819FB" w:rsidRPr="00FD20C6" w:rsidRDefault="003819FB" w:rsidP="003819FB">
      <w:pPr>
        <w:pStyle w:val="font-claude-response-body"/>
        <w:jc w:val="both"/>
      </w:pPr>
      <w:r w:rsidRPr="00FD20C6">
        <w:t>Feature extraction via convolution (layer l):</w:t>
      </w:r>
    </w:p>
    <w:p w14:paraId="2612AC00" w14:textId="77777777" w:rsidR="003819FB" w:rsidRPr="00FD20C6" w:rsidRDefault="003819FB" w:rsidP="003819FB">
      <w:pPr>
        <w:pStyle w:val="HTMLPreformatted"/>
        <w:spacing w:before="120" w:after="120"/>
        <w:jc w:val="both"/>
        <w:rPr>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F_l = σ(X_{l-1} * K_l + b_l)     (1)</w:t>
      </w:r>
    </w:p>
    <w:p w14:paraId="355D5325" w14:textId="77777777" w:rsidR="003819FB" w:rsidRPr="00FD20C6" w:rsidRDefault="003819FB" w:rsidP="00615546">
      <w:pPr>
        <w:pStyle w:val="font-claude-response-body"/>
        <w:jc w:val="both"/>
      </w:pPr>
      <w:r w:rsidRPr="00FD20C6">
        <w:t>where K_l represents learned convolutional filters, b_l is bias vector, σ denotes ReLU activation function, and * indicates convolution operation.</w:t>
      </w:r>
    </w:p>
    <w:p w14:paraId="584B6F6F" w14:textId="77777777" w:rsidR="003819FB" w:rsidRPr="00FD20C6" w:rsidRDefault="003819FB" w:rsidP="003819FB">
      <w:pPr>
        <w:pStyle w:val="font-claude-response-body"/>
        <w:jc w:val="both"/>
      </w:pPr>
      <w:r w:rsidRPr="00FD20C6">
        <w:t>Spatial downsampling via max pooling:</w:t>
      </w:r>
    </w:p>
    <w:p w14:paraId="60FEC99E" w14:textId="77777777" w:rsidR="003819FB" w:rsidRPr="00FD20C6" w:rsidRDefault="003819FB" w:rsidP="003819FB">
      <w:pPr>
        <w:pStyle w:val="HTMLPreformatted"/>
        <w:spacing w:before="120" w:after="120"/>
        <w:jc w:val="both"/>
        <w:rPr>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P_l = max_pool(F_l, pool_size=(2,2), stride=2)     (2)</w:t>
      </w:r>
    </w:p>
    <w:p w14:paraId="29899980" w14:textId="77777777" w:rsidR="003819FB" w:rsidRPr="00FD20C6" w:rsidRDefault="003819FB" w:rsidP="00615546">
      <w:pPr>
        <w:pStyle w:val="font-claude-response-body"/>
        <w:jc w:val="both"/>
      </w:pPr>
      <w:r w:rsidRPr="00FD20C6">
        <w:t>Final classification through fully connected layers:</w:t>
      </w:r>
    </w:p>
    <w:p w14:paraId="1ED29AF2" w14:textId="77777777" w:rsidR="003819FB" w:rsidRPr="00FD20C6" w:rsidRDefault="003819FB" w:rsidP="003819FB">
      <w:pPr>
        <w:pStyle w:val="HTMLPreformatted"/>
        <w:spacing w:before="120" w:after="120"/>
        <w:jc w:val="both"/>
        <w:rPr>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ŷ = softmax(W_fc · flatten(P_final) + b_fc)     (3)</w:t>
      </w:r>
    </w:p>
    <w:p w14:paraId="108EE86B" w14:textId="77777777" w:rsidR="003819FB" w:rsidRPr="00FD20C6" w:rsidRDefault="003819FB" w:rsidP="00615546">
      <w:pPr>
        <w:pStyle w:val="font-claude-response-body"/>
        <w:jc w:val="both"/>
      </w:pPr>
      <w:r w:rsidRPr="00FD20C6">
        <w:t>where W_fc represents weight matrix of fully connected layers, b_fc is bias vector, and softmax normalizes outputs to probability distribution.</w:t>
      </w:r>
    </w:p>
    <w:p w14:paraId="557714AE" w14:textId="77777777" w:rsidR="003819FB" w:rsidRPr="00FD20C6" w:rsidRDefault="003819FB" w:rsidP="003819FB">
      <w:pPr>
        <w:pStyle w:val="font-claude-response-body"/>
        <w:jc w:val="both"/>
      </w:pPr>
      <w:r w:rsidRPr="00FD20C6">
        <w:rPr>
          <w:rStyle w:val="Strong"/>
        </w:rPr>
        <w:t>Loss Function:</w:t>
      </w:r>
      <w:r w:rsidRPr="00FD20C6">
        <w:t xml:space="preserve"> Categorical cross-entropy minimized during supervised training:</w:t>
      </w:r>
    </w:p>
    <w:p w14:paraId="54613FCF" w14:textId="77777777" w:rsidR="003819FB" w:rsidRPr="00FD20C6" w:rsidRDefault="003819FB" w:rsidP="003819FB">
      <w:pPr>
        <w:pStyle w:val="HTMLPreformatted"/>
        <w:spacing w:before="120" w:after="120"/>
        <w:jc w:val="both"/>
        <w:rPr>
          <w:rFonts w:ascii="Times New Roman" w:hAnsi="Times New Roman" w:cs="Times New Roman"/>
          <w:color w:val="383A42"/>
          <w:sz w:val="24"/>
          <w:szCs w:val="24"/>
        </w:rPr>
      </w:pPr>
      <w:r w:rsidRPr="00FD20C6">
        <w:rPr>
          <w:rStyle w:val="HTMLCode"/>
          <w:rFonts w:ascii="Times New Roman" w:hAnsi="Times New Roman" w:cs="Times New Roman"/>
          <w:color w:val="383A42"/>
          <w:sz w:val="24"/>
          <w:szCs w:val="24"/>
        </w:rPr>
        <w:t>L = -(1/N) ∑_{i=1}^{N} ∑_{c=1}^{C} y_{i,c} log(ŷ_{i,c})     (4)</w:t>
      </w:r>
    </w:p>
    <w:p w14:paraId="31D9D7EB" w14:textId="77777777" w:rsidR="003819FB" w:rsidRPr="00FD20C6" w:rsidRDefault="003819FB" w:rsidP="003819FB">
      <w:pPr>
        <w:pStyle w:val="font-claude-response-body"/>
        <w:jc w:val="both"/>
      </w:pPr>
      <w:r w:rsidRPr="00FD20C6">
        <w:t>where N denotes batch size, C represents number of disease classes (13), y_{i,c} indicates true label (one-hot encoded), and ŷ_{i,c} represents predicted probability for class c.</w:t>
      </w:r>
    </w:p>
    <w:p w14:paraId="0D3D258C" w14:textId="77777777" w:rsidR="003819FB" w:rsidRPr="00FD20C6" w:rsidRDefault="003819FB" w:rsidP="003819FB">
      <w:pPr>
        <w:pStyle w:val="font-claude-response-body"/>
        <w:jc w:val="both"/>
      </w:pPr>
      <w:r w:rsidRPr="00FD20C6">
        <w:rPr>
          <w:rStyle w:val="Strong"/>
        </w:rPr>
        <w:t>Training Protocol:</w:t>
      </w:r>
    </w:p>
    <w:p w14:paraId="7DD610CC" w14:textId="77777777" w:rsidR="003819FB" w:rsidRPr="00FD20C6" w:rsidRDefault="003819FB" w:rsidP="003819FB">
      <w:pPr>
        <w:numPr>
          <w:ilvl w:val="0"/>
          <w:numId w:val="1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Optimization algorithm: Adam (Adaptive Moment Estimation)</w:t>
      </w:r>
    </w:p>
    <w:p w14:paraId="184F5102" w14:textId="77777777" w:rsidR="003819FB" w:rsidRPr="00FD20C6" w:rsidRDefault="003819FB" w:rsidP="003819FB">
      <w:pPr>
        <w:numPr>
          <w:ilvl w:val="0"/>
          <w:numId w:val="1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Initial learning rate: 0.001</w:t>
      </w:r>
    </w:p>
    <w:p w14:paraId="35E3669C" w14:textId="77777777" w:rsidR="003819FB" w:rsidRPr="00FD20C6" w:rsidRDefault="003819FB" w:rsidP="003819FB">
      <w:pPr>
        <w:numPr>
          <w:ilvl w:val="0"/>
          <w:numId w:val="1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Learning rate schedule: ReduceLROnPlateau (factor=0.1, patience=5 epochs)</w:t>
      </w:r>
    </w:p>
    <w:p w14:paraId="6FE440F1" w14:textId="77777777" w:rsidR="003819FB" w:rsidRPr="00FD20C6" w:rsidRDefault="003819FB" w:rsidP="003819FB">
      <w:pPr>
        <w:numPr>
          <w:ilvl w:val="0"/>
          <w:numId w:val="1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Batch size: 32 samples</w:t>
      </w:r>
    </w:p>
    <w:p w14:paraId="229C4853" w14:textId="77777777" w:rsidR="003819FB" w:rsidRPr="00FD20C6" w:rsidRDefault="003819FB" w:rsidP="003819FB">
      <w:pPr>
        <w:numPr>
          <w:ilvl w:val="0"/>
          <w:numId w:val="1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lastRenderedPageBreak/>
        <w:t>Training epochs: 100 maximum with EarlyStopping (patience=10, monitor='val_loss')</w:t>
      </w:r>
    </w:p>
    <w:p w14:paraId="608F6BD8" w14:textId="77777777" w:rsidR="003819FB" w:rsidRPr="00FD20C6" w:rsidRDefault="003819FB" w:rsidP="003819FB">
      <w:pPr>
        <w:numPr>
          <w:ilvl w:val="0"/>
          <w:numId w:val="1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Hardware configuration: NVIDIA RTX 3060 GPU (6GB VRAM), training duration: 4.2 hours</w:t>
      </w:r>
    </w:p>
    <w:p w14:paraId="7929398C" w14:textId="77777777" w:rsidR="003819FB" w:rsidRPr="00FD20C6" w:rsidRDefault="003819FB" w:rsidP="003819FB">
      <w:pPr>
        <w:pStyle w:val="font-claude-response-body"/>
        <w:jc w:val="both"/>
      </w:pPr>
      <w:r w:rsidRPr="00FD20C6">
        <w:rPr>
          <w:rStyle w:val="Strong"/>
        </w:rPr>
        <w:t>Dataset Specifications:</w:t>
      </w:r>
    </w:p>
    <w:p w14:paraId="3D91A845" w14:textId="77777777" w:rsidR="003819FB" w:rsidRPr="00FD20C6" w:rsidRDefault="003819FB" w:rsidP="003819FB">
      <w:pPr>
        <w:numPr>
          <w:ilvl w:val="0"/>
          <w:numId w:val="17"/>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Total annotated images: 24,366</w:t>
      </w:r>
    </w:p>
    <w:p w14:paraId="17F13503" w14:textId="77777777" w:rsidR="003819FB" w:rsidRPr="00FD20C6" w:rsidRDefault="003819FB" w:rsidP="003819FB">
      <w:pPr>
        <w:numPr>
          <w:ilvl w:val="0"/>
          <w:numId w:val="17"/>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Training subset: 18,420 images (75.6%)</w:t>
      </w:r>
    </w:p>
    <w:p w14:paraId="1B8B74AE" w14:textId="77777777" w:rsidR="003819FB" w:rsidRPr="00FD20C6" w:rsidRDefault="003819FB" w:rsidP="003819FB">
      <w:pPr>
        <w:numPr>
          <w:ilvl w:val="0"/>
          <w:numId w:val="17"/>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Validation subset: 2,973 images (12.2%)</w:t>
      </w:r>
    </w:p>
    <w:p w14:paraId="500800B7" w14:textId="77777777" w:rsidR="003819FB" w:rsidRPr="00FD20C6" w:rsidRDefault="003819FB" w:rsidP="003819FB">
      <w:pPr>
        <w:numPr>
          <w:ilvl w:val="0"/>
          <w:numId w:val="17"/>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Test subset: 2,973 images (12.2%)</w:t>
      </w:r>
    </w:p>
    <w:p w14:paraId="5E104D96" w14:textId="77777777" w:rsidR="003819FB" w:rsidRPr="00FD20C6" w:rsidRDefault="003819FB" w:rsidP="003819FB">
      <w:pPr>
        <w:numPr>
          <w:ilvl w:val="0"/>
          <w:numId w:val="17"/>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Data sources: PlantVillage public dataset (40%), field collections from pilot villages (35%), crowdsourced farmer submissions (25%)</w:t>
      </w:r>
    </w:p>
    <w:p w14:paraId="327D5CEB" w14:textId="77777777" w:rsidR="003819FB" w:rsidRPr="00FD20C6" w:rsidRDefault="003819FB" w:rsidP="003819FB">
      <w:pPr>
        <w:numPr>
          <w:ilvl w:val="0"/>
          <w:numId w:val="17"/>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Augmentation techniques: Random rotation (±20°), horizontal/vertical flip, brightness adjustment (±15%), random zoom (0.9-1.1×), Gaussian noise addition (σ=0.01)</w:t>
      </w:r>
    </w:p>
    <w:p w14:paraId="0E626CA8" w14:textId="77777777" w:rsidR="003819FB" w:rsidRPr="00FD20C6" w:rsidRDefault="003819FB" w:rsidP="003819FB">
      <w:pPr>
        <w:pStyle w:val="font-claude-response-body"/>
        <w:jc w:val="both"/>
      </w:pPr>
      <w:r w:rsidRPr="00FD20C6">
        <w:rPr>
          <w:rStyle w:val="Strong"/>
        </w:rPr>
        <w:t>Environmental Analysis Module:</w:t>
      </w:r>
    </w:p>
    <w:p w14:paraId="70EF0EDE" w14:textId="77777777" w:rsidR="003819FB" w:rsidRPr="00FD20C6" w:rsidRDefault="003819FB" w:rsidP="003819FB">
      <w:pPr>
        <w:numPr>
          <w:ilvl w:val="0"/>
          <w:numId w:val="18"/>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NDVI time-series decomposition: Seasonal-trend decomposition using LOESS (STL) for phenology tracking</w:t>
      </w:r>
    </w:p>
    <w:p w14:paraId="1E1A5070" w14:textId="77777777" w:rsidR="003819FB" w:rsidRPr="00FD20C6" w:rsidRDefault="003819FB" w:rsidP="003819FB">
      <w:pPr>
        <w:numPr>
          <w:ilvl w:val="0"/>
          <w:numId w:val="18"/>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Soil moisture deficit calculation: SMD = θ_FC - θ_current (where θ_FC represents field capacity at pF 2.5)</w:t>
      </w:r>
    </w:p>
    <w:p w14:paraId="728CA0D7" w14:textId="77777777" w:rsidR="003819FB" w:rsidRPr="00FD20C6" w:rsidRDefault="003819FB" w:rsidP="003819FB">
      <w:pPr>
        <w:numPr>
          <w:ilvl w:val="0"/>
          <w:numId w:val="18"/>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Water stress index: WSI = 1 - (ET_actual / ET_potential) using FAO-56 Penman-Monteith equation</w:t>
      </w:r>
    </w:p>
    <w:p w14:paraId="1803553D" w14:textId="77777777" w:rsidR="003819FB" w:rsidRPr="00FD20C6" w:rsidRDefault="003819FB" w:rsidP="003819FB">
      <w:pPr>
        <w:numPr>
          <w:ilvl w:val="0"/>
          <w:numId w:val="18"/>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Biodiversity assessment: Simpson's Diversity Index D = 1 - Σ(n_i/N)² and Shannon-Wiener Index H' = -Σ(p_i × ln(p_i))</w:t>
      </w:r>
    </w:p>
    <w:p w14:paraId="52E9C5D3" w14:textId="77777777" w:rsidR="003819FB" w:rsidRPr="00FD20C6" w:rsidRDefault="003819FB" w:rsidP="003819FB">
      <w:pPr>
        <w:pStyle w:val="font-claude-response-body"/>
        <w:jc w:val="both"/>
      </w:pPr>
      <w:r w:rsidRPr="00FD20C6">
        <w:rPr>
          <w:rStyle w:val="Strong"/>
        </w:rPr>
        <w:t>Irrigation Recommendation Engine:</w:t>
      </w:r>
    </w:p>
    <w:p w14:paraId="6D57001F" w14:textId="77777777" w:rsidR="003819FB" w:rsidRPr="00FD20C6" w:rsidRDefault="003819FB" w:rsidP="003819FB">
      <w:pPr>
        <w:numPr>
          <w:ilvl w:val="0"/>
          <w:numId w:val="19"/>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 xml:space="preserve">Reference evapotranspiration (ET₀): FAO Penman-Monteith equation incorporating </w:t>
      </w:r>
      <w:r w:rsidRPr="00FD20C6">
        <w:rPr>
          <w:rFonts w:ascii="Times New Roman" w:hAnsi="Times New Roman" w:cs="Times New Roman"/>
          <w:sz w:val="24"/>
          <w:szCs w:val="24"/>
        </w:rPr>
        <w:t>temperature, humidity, wind, radiation</w:t>
      </w:r>
    </w:p>
    <w:p w14:paraId="3DACA89D" w14:textId="77777777" w:rsidR="003819FB" w:rsidRPr="00FD20C6" w:rsidRDefault="003819FB" w:rsidP="003819FB">
      <w:pPr>
        <w:numPr>
          <w:ilvl w:val="0"/>
          <w:numId w:val="19"/>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Crop evapotranspiration (ET_c): ET₀ × K_c (crop coefficient varies by growth stage)</w:t>
      </w:r>
    </w:p>
    <w:p w14:paraId="23CD528C" w14:textId="77777777" w:rsidR="003819FB" w:rsidRPr="00FD20C6" w:rsidRDefault="003819FB" w:rsidP="003819FB">
      <w:pPr>
        <w:numPr>
          <w:ilvl w:val="0"/>
          <w:numId w:val="19"/>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Soil moisture forecasting: LSTM neural network (3 layers, 64 neurons each) for 7-day prediction horizon</w:t>
      </w:r>
    </w:p>
    <w:p w14:paraId="16E49197" w14:textId="77777777" w:rsidR="003819FB" w:rsidRPr="00FD20C6" w:rsidRDefault="003819FB" w:rsidP="003819FB">
      <w:pPr>
        <w:numPr>
          <w:ilvl w:val="0"/>
          <w:numId w:val="19"/>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Irrigation scheduling: Deficit threshold approach maintaining soil moisture between 60-85% field capacity</w:t>
      </w:r>
    </w:p>
    <w:p w14:paraId="59B20154" w14:textId="77777777" w:rsidR="003819FB" w:rsidRPr="00615546" w:rsidRDefault="003819FB" w:rsidP="003819FB">
      <w:pPr>
        <w:pStyle w:val="Heading4"/>
        <w:jc w:val="both"/>
        <w:rPr>
          <w:rFonts w:ascii="Times New Roman" w:hAnsi="Times New Roman" w:cs="Times New Roman"/>
          <w:i w:val="0"/>
          <w:color w:val="000000" w:themeColor="text1"/>
          <w:sz w:val="24"/>
          <w:szCs w:val="24"/>
        </w:rPr>
      </w:pPr>
      <w:r w:rsidRPr="00615546">
        <w:rPr>
          <w:rFonts w:ascii="Times New Roman" w:hAnsi="Times New Roman" w:cs="Times New Roman"/>
          <w:i w:val="0"/>
          <w:color w:val="000000" w:themeColor="text1"/>
          <w:sz w:val="24"/>
          <w:szCs w:val="24"/>
        </w:rPr>
        <w:t>3.1.3 Layer 3: Community Interaction and Engagement</w:t>
      </w:r>
    </w:p>
    <w:p w14:paraId="1CE9EB8E" w14:textId="77777777" w:rsidR="003819FB" w:rsidRPr="00FD20C6" w:rsidRDefault="003819FB" w:rsidP="00615546">
      <w:pPr>
        <w:pStyle w:val="font-claude-response-body"/>
        <w:jc w:val="both"/>
      </w:pPr>
      <w:r w:rsidRPr="00FD20C6">
        <w:t>The community interaction layer ensures accessibility, usability, and local ownership through participatory design principles:</w:t>
      </w:r>
    </w:p>
    <w:p w14:paraId="54FE599C" w14:textId="77777777" w:rsidR="003819FB" w:rsidRPr="00FD20C6" w:rsidRDefault="003819FB" w:rsidP="003819FB">
      <w:pPr>
        <w:pStyle w:val="font-claude-response-body"/>
        <w:jc w:val="both"/>
      </w:pPr>
      <w:r w:rsidRPr="00FD20C6">
        <w:rPr>
          <w:rStyle w:val="Strong"/>
        </w:rPr>
        <w:t>Mobile Application Features:</w:t>
      </w:r>
    </w:p>
    <w:p w14:paraId="3CC0AA43" w14:textId="77777777" w:rsidR="003819FB" w:rsidRPr="00FD20C6" w:rsidRDefault="003819FB" w:rsidP="003819FB">
      <w:pPr>
        <w:numPr>
          <w:ilvl w:val="0"/>
          <w:numId w:val="20"/>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Disease diagnosis interface: Photo capture with real-time image quality feedback, disease identification with confidence scores (%)</w:t>
      </w:r>
    </w:p>
    <w:p w14:paraId="46509818" w14:textId="77777777" w:rsidR="003819FB" w:rsidRPr="00FD20C6" w:rsidRDefault="003819FB" w:rsidP="003819FB">
      <w:pPr>
        <w:numPr>
          <w:ilvl w:val="0"/>
          <w:numId w:val="20"/>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Treatment recommendations: Integrated pest management approaches (organic priority), chemical alternatives with dosage, application timing, safety precautions</w:t>
      </w:r>
    </w:p>
    <w:p w14:paraId="1CE79CB3" w14:textId="77777777" w:rsidR="003819FB" w:rsidRPr="00FD20C6" w:rsidRDefault="003819FB" w:rsidP="003819FB">
      <w:pPr>
        <w:numPr>
          <w:ilvl w:val="0"/>
          <w:numId w:val="20"/>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Multi-lingual support: Tamil (primary), Telugu, Hindi, English with automatic language detection</w:t>
      </w:r>
    </w:p>
    <w:p w14:paraId="7C73398B" w14:textId="77777777" w:rsidR="003819FB" w:rsidRPr="00FD20C6" w:rsidRDefault="003819FB" w:rsidP="003819FB">
      <w:pPr>
        <w:numPr>
          <w:ilvl w:val="0"/>
          <w:numId w:val="20"/>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Offline functionality: Core diagnostic features operational without internet connectivity, automatic synchronization when connected</w:t>
      </w:r>
    </w:p>
    <w:p w14:paraId="6B738460" w14:textId="77777777" w:rsidR="003819FB" w:rsidRPr="00FD20C6" w:rsidRDefault="003819FB" w:rsidP="003819FB">
      <w:pPr>
        <w:numPr>
          <w:ilvl w:val="0"/>
          <w:numId w:val="20"/>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Accessibility: Voice command interface, text-to-speech for illiterate users, large touch targets for elderly users</w:t>
      </w:r>
    </w:p>
    <w:p w14:paraId="49AA52E2" w14:textId="77777777" w:rsidR="003819FB" w:rsidRPr="00FD20C6" w:rsidRDefault="003819FB" w:rsidP="003819FB">
      <w:pPr>
        <w:pStyle w:val="font-claude-response-body"/>
        <w:jc w:val="both"/>
      </w:pPr>
      <w:r w:rsidRPr="00FD20C6">
        <w:rPr>
          <w:rStyle w:val="Strong"/>
        </w:rPr>
        <w:t>Panchayat Dashboard System:</w:t>
      </w:r>
    </w:p>
    <w:p w14:paraId="263A7342" w14:textId="77777777" w:rsidR="003819FB" w:rsidRPr="00FD20C6" w:rsidRDefault="003819FB" w:rsidP="003819FB">
      <w:pPr>
        <w:numPr>
          <w:ilvl w:val="0"/>
          <w:numId w:val="21"/>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lastRenderedPageBreak/>
        <w:t>Village-level overview: Real-time crop health status mapping, water resource availability, active disease alerts, weather forecasts</w:t>
      </w:r>
    </w:p>
    <w:p w14:paraId="2B646592" w14:textId="77777777" w:rsidR="003819FB" w:rsidRPr="00FD20C6" w:rsidRDefault="003819FB" w:rsidP="003819FB">
      <w:pPr>
        <w:numPr>
          <w:ilvl w:val="0"/>
          <w:numId w:val="21"/>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Resource allocation tools: Data-driven irrigation scheduling recommendations, input distribution planning, labor requirement forecasting</w:t>
      </w:r>
    </w:p>
    <w:p w14:paraId="45996D87" w14:textId="77777777" w:rsidR="003819FB" w:rsidRPr="00FD20C6" w:rsidRDefault="003819FB" w:rsidP="003819FB">
      <w:pPr>
        <w:numPr>
          <w:ilvl w:val="0"/>
          <w:numId w:val="21"/>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Historical trend analysis: Year-over-year yield comparisons, resource use efficiency metrics, biodiversity indicator trends</w:t>
      </w:r>
    </w:p>
    <w:p w14:paraId="2A0BA591" w14:textId="77777777" w:rsidR="003819FB" w:rsidRPr="00FD20C6" w:rsidRDefault="003819FB" w:rsidP="003819FB">
      <w:pPr>
        <w:numPr>
          <w:ilvl w:val="0"/>
          <w:numId w:val="21"/>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Alert notification system: SMS and application push notifications for critical events (disease outbreak detected, water shortage imminent, extreme weather forecast)</w:t>
      </w:r>
    </w:p>
    <w:p w14:paraId="1BDB7722" w14:textId="77777777" w:rsidR="003819FB" w:rsidRPr="00FD20C6" w:rsidRDefault="003819FB" w:rsidP="003819FB">
      <w:pPr>
        <w:pStyle w:val="font-claude-response-body"/>
        <w:jc w:val="both"/>
      </w:pPr>
      <w:r w:rsidRPr="00FD20C6">
        <w:rPr>
          <w:rStyle w:val="Strong"/>
        </w:rPr>
        <w:t>Capacity Development Programs:</w:t>
      </w:r>
    </w:p>
    <w:p w14:paraId="4D760374" w14:textId="77777777" w:rsidR="003819FB" w:rsidRPr="00FD20C6" w:rsidRDefault="003819FB" w:rsidP="003819FB">
      <w:pPr>
        <w:numPr>
          <w:ilvl w:val="0"/>
          <w:numId w:val="22"/>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Digital literacy workshops: 3-day intensive curriculum covering smartphone basics, application usage, data interpretation</w:t>
      </w:r>
    </w:p>
    <w:p w14:paraId="436F6A82" w14:textId="77777777" w:rsidR="003819FB" w:rsidRPr="00FD20C6" w:rsidRDefault="003819FB" w:rsidP="003819FB">
      <w:pPr>
        <w:numPr>
          <w:ilvl w:val="0"/>
          <w:numId w:val="22"/>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Train-the-trainer model: Selection and training of 38 local technology ambassadors (1 per 17 farmers average)</w:t>
      </w:r>
    </w:p>
    <w:p w14:paraId="2455D040" w14:textId="77777777" w:rsidR="003819FB" w:rsidRPr="00FD20C6" w:rsidRDefault="003819FB" w:rsidP="003819FB">
      <w:pPr>
        <w:numPr>
          <w:ilvl w:val="0"/>
          <w:numId w:val="22"/>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Demonstration plots: Established in each village showcasing framework benefits with quantified outcomes</w:t>
      </w:r>
    </w:p>
    <w:p w14:paraId="0B22E49F" w14:textId="77777777" w:rsidR="003819FB" w:rsidRPr="00FD20C6" w:rsidRDefault="003819FB" w:rsidP="003819FB">
      <w:pPr>
        <w:numPr>
          <w:ilvl w:val="0"/>
          <w:numId w:val="22"/>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Continuous learning: Monthly community feedback sessions, quarterly refresher training, annual advanced workshops</w:t>
      </w:r>
    </w:p>
    <w:p w14:paraId="54A9522C" w14:textId="77777777" w:rsidR="003819FB" w:rsidRPr="00FD20C6" w:rsidRDefault="003819FB" w:rsidP="003819FB">
      <w:pPr>
        <w:pStyle w:val="font-claude-response-body"/>
        <w:jc w:val="both"/>
      </w:pPr>
      <w:r w:rsidRPr="00FD20C6">
        <w:rPr>
          <w:rStyle w:val="Strong"/>
        </w:rPr>
        <w:t>Participatory Monitoring Mechanisms:</w:t>
      </w:r>
    </w:p>
    <w:p w14:paraId="7EC2347A" w14:textId="77777777" w:rsidR="003819FB" w:rsidRPr="00FD20C6" w:rsidRDefault="003819FB" w:rsidP="003819FB">
      <w:pPr>
        <w:numPr>
          <w:ilvl w:val="0"/>
          <w:numId w:val="2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Women's self-help groups (SHGs): 12 active groups (average 15 members each) conducting biodiversity monitoring, native plant surveys, water quality sampling</w:t>
      </w:r>
    </w:p>
    <w:p w14:paraId="7B642BFF" w14:textId="77777777" w:rsidR="003819FB" w:rsidRPr="00FD20C6" w:rsidRDefault="003819FB" w:rsidP="003819FB">
      <w:pPr>
        <w:numPr>
          <w:ilvl w:val="0"/>
          <w:numId w:val="2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Youth volunteer corps: 47 trained volunteers assisting with UAV operations, sensor maintenance, data collection support</w:t>
      </w:r>
    </w:p>
    <w:p w14:paraId="4CF8C342" w14:textId="77777777" w:rsidR="003819FB" w:rsidRPr="00FD20C6" w:rsidRDefault="003819FB" w:rsidP="003819FB">
      <w:pPr>
        <w:numPr>
          <w:ilvl w:val="0"/>
          <w:numId w:val="2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Farmer cooperatives: Collective decision-making for water allocation, input procurement, pest management strategies</w:t>
      </w:r>
    </w:p>
    <w:p w14:paraId="7E678AEC" w14:textId="77777777" w:rsidR="003819FB" w:rsidRPr="00FD20C6" w:rsidRDefault="003819FB" w:rsidP="003819FB">
      <w:pPr>
        <w:numPr>
          <w:ilvl w:val="0"/>
          <w:numId w:val="2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Indigenous knowledge integration: Documentation and incorporation of traditional ecological knowledge into system algorithms</w:t>
      </w:r>
    </w:p>
    <w:p w14:paraId="654978AB" w14:textId="77777777" w:rsidR="003819FB" w:rsidRPr="00615546" w:rsidRDefault="003819FB" w:rsidP="003819FB">
      <w:pPr>
        <w:pStyle w:val="Heading4"/>
        <w:jc w:val="both"/>
        <w:rPr>
          <w:rFonts w:ascii="Times New Roman" w:hAnsi="Times New Roman" w:cs="Times New Roman"/>
          <w:i w:val="0"/>
          <w:color w:val="000000" w:themeColor="text1"/>
          <w:sz w:val="24"/>
          <w:szCs w:val="24"/>
        </w:rPr>
      </w:pPr>
      <w:r w:rsidRPr="00615546">
        <w:rPr>
          <w:rFonts w:ascii="Times New Roman" w:hAnsi="Times New Roman" w:cs="Times New Roman"/>
          <w:i w:val="0"/>
          <w:color w:val="000000" w:themeColor="text1"/>
          <w:sz w:val="24"/>
          <w:szCs w:val="24"/>
        </w:rPr>
        <w:t>3.1.4 Layer 4: Multi-Dimensional Sustainability Assessment</w:t>
      </w:r>
    </w:p>
    <w:p w14:paraId="4EA7188E" w14:textId="77777777" w:rsidR="003819FB" w:rsidRPr="00FD20C6" w:rsidRDefault="003819FB" w:rsidP="00615546">
      <w:pPr>
        <w:pStyle w:val="font-claude-response-body"/>
        <w:jc w:val="both"/>
      </w:pPr>
      <w:r w:rsidRPr="00FD20C6">
        <w:t>Comprehensive evaluation framework aligned with United Nations Sustainable Development Goal indicators:</w:t>
      </w:r>
    </w:p>
    <w:p w14:paraId="7B65D0A8" w14:textId="77777777" w:rsidR="003819FB" w:rsidRPr="00FD20C6" w:rsidRDefault="003819FB" w:rsidP="003819FB">
      <w:pPr>
        <w:pStyle w:val="font-claude-response-body"/>
        <w:jc w:val="both"/>
      </w:pPr>
      <w:r w:rsidRPr="00FD20C6">
        <w:rPr>
          <w:rStyle w:val="Strong"/>
        </w:rPr>
        <w:t>Environmental Performance Metrics:</w:t>
      </w:r>
    </w:p>
    <w:p w14:paraId="0C02AB67" w14:textId="77777777" w:rsidR="003819FB" w:rsidRPr="00FD20C6" w:rsidRDefault="003819FB" w:rsidP="003819FB">
      <w:pPr>
        <w:numPr>
          <w:ilvl w:val="0"/>
          <w:numId w:val="24"/>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Water productivity: Liters consumed per kilogram produce harvested</w:t>
      </w:r>
    </w:p>
    <w:p w14:paraId="5D765752" w14:textId="77777777" w:rsidR="003819FB" w:rsidRPr="00FD20C6" w:rsidRDefault="003819FB" w:rsidP="003819FB">
      <w:pPr>
        <w:numPr>
          <w:ilvl w:val="0"/>
          <w:numId w:val="24"/>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Soil health indicators: Organic carbon content (% by mass, 0-15cm depth sampling), pH, available nitrogen/phosphorus/potassium</w:t>
      </w:r>
    </w:p>
    <w:p w14:paraId="2000DAE1" w14:textId="77777777" w:rsidR="003819FB" w:rsidRPr="00FD20C6" w:rsidRDefault="003819FB" w:rsidP="003819FB">
      <w:pPr>
        <w:numPr>
          <w:ilvl w:val="0"/>
          <w:numId w:val="24"/>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Biodiversity indices: Simpson's Diversity Index, Shannon-Wiener Index, species richness counts</w:t>
      </w:r>
    </w:p>
    <w:p w14:paraId="5BD9A767" w14:textId="77777777" w:rsidR="003819FB" w:rsidRPr="00FD20C6" w:rsidRDefault="003819FB" w:rsidP="003819FB">
      <w:pPr>
        <w:numPr>
          <w:ilvl w:val="0"/>
          <w:numId w:val="24"/>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Chemical input intensity: Pesticides and fertilizers (kg active ingredient per hectare)</w:t>
      </w:r>
    </w:p>
    <w:p w14:paraId="47F80710" w14:textId="77777777" w:rsidR="003819FB" w:rsidRPr="00FD20C6" w:rsidRDefault="003819FB" w:rsidP="003819FB">
      <w:pPr>
        <w:numPr>
          <w:ilvl w:val="0"/>
          <w:numId w:val="24"/>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Carbon sequestration: Estimation using soil organic carbon change × bulk density × area (tons CO₂ equivalent per hectare annually)</w:t>
      </w:r>
    </w:p>
    <w:p w14:paraId="1133D931" w14:textId="77777777" w:rsidR="003819FB" w:rsidRPr="00FD20C6" w:rsidRDefault="003819FB" w:rsidP="003819FB">
      <w:pPr>
        <w:pStyle w:val="font-claude-response-body"/>
        <w:jc w:val="both"/>
      </w:pPr>
      <w:r w:rsidRPr="00FD20C6">
        <w:rPr>
          <w:rStyle w:val="Strong"/>
        </w:rPr>
        <w:t>Social Impact Metrics:</w:t>
      </w:r>
    </w:p>
    <w:p w14:paraId="0D1FE141" w14:textId="77777777" w:rsidR="003819FB" w:rsidRPr="00FD20C6" w:rsidRDefault="003819FB" w:rsidP="003819FB">
      <w:pPr>
        <w:numPr>
          <w:ilvl w:val="0"/>
          <w:numId w:val="25"/>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Digital competency: Smartphone proficiency assessment (10-point scale), application usage frequency, feature utilization rates</w:t>
      </w:r>
    </w:p>
    <w:p w14:paraId="1B1133C9" w14:textId="77777777" w:rsidR="003819FB" w:rsidRPr="00FD20C6" w:rsidRDefault="003819FB" w:rsidP="003819FB">
      <w:pPr>
        <w:numPr>
          <w:ilvl w:val="0"/>
          <w:numId w:val="25"/>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Gender equity: Women's participation in decision-making processes (% of total decisions), income control, technology access</w:t>
      </w:r>
    </w:p>
    <w:p w14:paraId="7DFC7032" w14:textId="77777777" w:rsidR="003819FB" w:rsidRPr="00FD20C6" w:rsidRDefault="003819FB" w:rsidP="003819FB">
      <w:pPr>
        <w:numPr>
          <w:ilvl w:val="0"/>
          <w:numId w:val="25"/>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 xml:space="preserve">Community engagement: Meeting attendance rates, volunteer </w:t>
      </w:r>
      <w:r w:rsidRPr="00FD20C6">
        <w:rPr>
          <w:rFonts w:ascii="Times New Roman" w:hAnsi="Times New Roman" w:cs="Times New Roman"/>
          <w:sz w:val="24"/>
          <w:szCs w:val="24"/>
        </w:rPr>
        <w:lastRenderedPageBreak/>
        <w:t>participation, collective action instances</w:t>
      </w:r>
    </w:p>
    <w:p w14:paraId="5869279F" w14:textId="77777777" w:rsidR="003819FB" w:rsidRPr="00FD20C6" w:rsidRDefault="003819FB" w:rsidP="003819FB">
      <w:pPr>
        <w:numPr>
          <w:ilvl w:val="0"/>
          <w:numId w:val="25"/>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Health outcomes: Reduction in pesticide exposure incidents, nutritional diversity improvements</w:t>
      </w:r>
    </w:p>
    <w:p w14:paraId="5521E989" w14:textId="77777777" w:rsidR="003819FB" w:rsidRPr="00FD20C6" w:rsidRDefault="003819FB" w:rsidP="003819FB">
      <w:pPr>
        <w:pStyle w:val="font-claude-response-body"/>
        <w:jc w:val="both"/>
      </w:pPr>
      <w:r w:rsidRPr="00FD20C6">
        <w:rPr>
          <w:rStyle w:val="Strong"/>
        </w:rPr>
        <w:t>Economic Performance Metrics:</w:t>
      </w:r>
    </w:p>
    <w:p w14:paraId="11090065" w14:textId="77777777" w:rsidR="003819FB" w:rsidRPr="00FD20C6" w:rsidRDefault="003819FB" w:rsidP="003819FB">
      <w:pPr>
        <w:numPr>
          <w:ilvl w:val="0"/>
          <w:numId w:val="2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Agricultural productivity: Crop yields (kg per hectare) by crop type and variety</w:t>
      </w:r>
    </w:p>
    <w:p w14:paraId="2160CB14" w14:textId="77777777" w:rsidR="003819FB" w:rsidRPr="00FD20C6" w:rsidRDefault="003819FB" w:rsidP="003819FB">
      <w:pPr>
        <w:numPr>
          <w:ilvl w:val="0"/>
          <w:numId w:val="2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Input cost efficiency: Seeds, fertilizers, pesticides, water, labor (₹ per hectare)</w:t>
      </w:r>
    </w:p>
    <w:p w14:paraId="195B9470" w14:textId="77777777" w:rsidR="003819FB" w:rsidRPr="00FD20C6" w:rsidRDefault="003819FB" w:rsidP="003819FB">
      <w:pPr>
        <w:numPr>
          <w:ilvl w:val="0"/>
          <w:numId w:val="2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Market integration: Price realization (% of market price), post-harvest losses (%), value addition</w:t>
      </w:r>
    </w:p>
    <w:p w14:paraId="695A3BD1" w14:textId="77777777" w:rsidR="003819FB" w:rsidRPr="00FD20C6" w:rsidRDefault="003819FB" w:rsidP="003819FB">
      <w:pPr>
        <w:numPr>
          <w:ilvl w:val="0"/>
          <w:numId w:val="2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Income stability: Coefficient of variation in household agricultural income across seasons</w:t>
      </w:r>
    </w:p>
    <w:p w14:paraId="45B5A46E" w14:textId="77777777" w:rsidR="003819FB" w:rsidRPr="00FD20C6" w:rsidRDefault="003819FB" w:rsidP="003819FB">
      <w:pPr>
        <w:numPr>
          <w:ilvl w:val="0"/>
          <w:numId w:val="2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Return on investment: Net present value and payback period for technology adoption</w:t>
      </w:r>
    </w:p>
    <w:p w14:paraId="6471F231" w14:textId="77777777" w:rsidR="003819FB" w:rsidRPr="00FD20C6" w:rsidRDefault="003819FB" w:rsidP="003819FB">
      <w:pPr>
        <w:pStyle w:val="Heading3"/>
        <w:jc w:val="both"/>
        <w:rPr>
          <w:sz w:val="24"/>
          <w:szCs w:val="24"/>
        </w:rPr>
      </w:pPr>
      <w:r w:rsidRPr="00FD20C6">
        <w:rPr>
          <w:sz w:val="24"/>
          <w:szCs w:val="24"/>
        </w:rPr>
        <w:t>3.2 Pilot Implementation Study Design</w:t>
      </w:r>
    </w:p>
    <w:p w14:paraId="026520AA" w14:textId="77777777" w:rsidR="003819FB" w:rsidRPr="00FD20C6" w:rsidRDefault="003819FB" w:rsidP="003819FB">
      <w:pPr>
        <w:pStyle w:val="font-claude-response-body"/>
        <w:jc w:val="both"/>
      </w:pPr>
      <w:r w:rsidRPr="00FD20C6">
        <w:rPr>
          <w:rStyle w:val="Strong"/>
        </w:rPr>
        <w:t>Geographic Setting and Timeframe:</w:t>
      </w:r>
    </w:p>
    <w:p w14:paraId="7CA2CB95" w14:textId="77777777" w:rsidR="003819FB" w:rsidRPr="00FD20C6" w:rsidRDefault="003819FB" w:rsidP="003819FB">
      <w:pPr>
        <w:numPr>
          <w:ilvl w:val="0"/>
          <w:numId w:val="27"/>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Location: Three villages in Kallakurichi district, Tamil Nadu, India (11.74°N, 78.96°E)</w:t>
      </w:r>
    </w:p>
    <w:p w14:paraId="0C690B52" w14:textId="77777777" w:rsidR="003819FB" w:rsidRPr="00FD20C6" w:rsidRDefault="003819FB" w:rsidP="003819FB">
      <w:pPr>
        <w:numPr>
          <w:ilvl w:val="0"/>
          <w:numId w:val="27"/>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Total population: 8,500 residents distributed across 1,720 households</w:t>
      </w:r>
    </w:p>
    <w:p w14:paraId="34E3FA78" w14:textId="77777777" w:rsidR="003819FB" w:rsidRPr="00FD20C6" w:rsidRDefault="003819FB" w:rsidP="003819FB">
      <w:pPr>
        <w:numPr>
          <w:ilvl w:val="0"/>
          <w:numId w:val="27"/>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Participating farmers: 650 individuals (180 women, 470 men, representing 38% of agricultural households)</w:t>
      </w:r>
    </w:p>
    <w:p w14:paraId="290C917B" w14:textId="77777777" w:rsidR="003819FB" w:rsidRPr="00FD20C6" w:rsidRDefault="003819FB" w:rsidP="003819FB">
      <w:pPr>
        <w:numPr>
          <w:ilvl w:val="0"/>
          <w:numId w:val="27"/>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Cultivated area: 270 hectares total (85 ha tomato, 65 ha onion, 120 ha paddy rice)</w:t>
      </w:r>
    </w:p>
    <w:p w14:paraId="6235E4E3" w14:textId="77777777" w:rsidR="003819FB" w:rsidRPr="00FD20C6" w:rsidRDefault="003819FB" w:rsidP="003819FB">
      <w:pPr>
        <w:numPr>
          <w:ilvl w:val="0"/>
          <w:numId w:val="27"/>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Study duration: 18 months (February 2023 through July 2024)</w:t>
      </w:r>
    </w:p>
    <w:p w14:paraId="489AC410" w14:textId="77777777" w:rsidR="003819FB" w:rsidRPr="00FD20C6" w:rsidRDefault="003819FB" w:rsidP="003819FB">
      <w:pPr>
        <w:numPr>
          <w:ilvl w:val="0"/>
          <w:numId w:val="27"/>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Baseline assessment period: 3 months pre-implementation (November 2022 - January 2023)</w:t>
      </w:r>
    </w:p>
    <w:p w14:paraId="74606D5B" w14:textId="77777777" w:rsidR="003819FB" w:rsidRPr="00FD20C6" w:rsidRDefault="003819FB" w:rsidP="003819FB">
      <w:pPr>
        <w:pStyle w:val="font-claude-response-body"/>
        <w:jc w:val="both"/>
      </w:pPr>
      <w:r w:rsidRPr="00FD20C6">
        <w:rPr>
          <w:rStyle w:val="Strong"/>
        </w:rPr>
        <w:t>Village Selection Methodology:</w:t>
      </w:r>
    </w:p>
    <w:p w14:paraId="32502A34" w14:textId="77777777" w:rsidR="003819FB" w:rsidRPr="00FD20C6" w:rsidRDefault="003819FB" w:rsidP="003819FB">
      <w:pPr>
        <w:numPr>
          <w:ilvl w:val="0"/>
          <w:numId w:val="28"/>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Population size: 2,000-3,500 residents per village</w:t>
      </w:r>
    </w:p>
    <w:p w14:paraId="486FE754" w14:textId="77777777" w:rsidR="003819FB" w:rsidRPr="00FD20C6" w:rsidRDefault="003819FB" w:rsidP="003819FB">
      <w:pPr>
        <w:numPr>
          <w:ilvl w:val="0"/>
          <w:numId w:val="28"/>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Agricultural dependency: Minimum 70% of households deriving primary income from agriculture</w:t>
      </w:r>
    </w:p>
    <w:p w14:paraId="080A6493" w14:textId="77777777" w:rsidR="003819FB" w:rsidRPr="00FD20C6" w:rsidRDefault="003819FB" w:rsidP="003819FB">
      <w:pPr>
        <w:numPr>
          <w:ilvl w:val="0"/>
          <w:numId w:val="28"/>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Documented challenges: Historical disease problems (&gt;25% crop loss annually), water scarcity (groundwater depletion &gt;1m annually)</w:t>
      </w:r>
    </w:p>
    <w:p w14:paraId="11C113D4" w14:textId="77777777" w:rsidR="003819FB" w:rsidRPr="00FD20C6" w:rsidRDefault="003819FB" w:rsidP="003819FB">
      <w:pPr>
        <w:numPr>
          <w:ilvl w:val="0"/>
          <w:numId w:val="28"/>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Connectivity infrastructure: Mobile network coverage (minimum 3G speeds of 2 Mbps)</w:t>
      </w:r>
    </w:p>
    <w:p w14:paraId="372256E0" w14:textId="77777777" w:rsidR="003819FB" w:rsidRPr="00FD20C6" w:rsidRDefault="003819FB" w:rsidP="003819FB">
      <w:pPr>
        <w:numPr>
          <w:ilvl w:val="0"/>
          <w:numId w:val="28"/>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Institutional readiness: Panchayat (village council) formal approval and commitment, farmer cooperative existence</w:t>
      </w:r>
    </w:p>
    <w:p w14:paraId="3B6BA551" w14:textId="77777777" w:rsidR="003819FB" w:rsidRPr="00FD20C6" w:rsidRDefault="003819FB" w:rsidP="003819FB">
      <w:pPr>
        <w:pStyle w:val="font-claude-response-body"/>
        <w:jc w:val="both"/>
      </w:pPr>
      <w:r w:rsidRPr="00FD20C6">
        <w:rPr>
          <w:rStyle w:val="Strong"/>
        </w:rPr>
        <w:t>Comprehensive Baseline Data Collection:</w:t>
      </w:r>
    </w:p>
    <w:p w14:paraId="2BB1FB61" w14:textId="77777777" w:rsidR="003819FB" w:rsidRPr="00FD20C6" w:rsidRDefault="003819FB" w:rsidP="003819FB">
      <w:pPr>
        <w:numPr>
          <w:ilvl w:val="0"/>
          <w:numId w:val="29"/>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Agricultural assessment: 3-year historical yield records, disease incidence logs from agricultural extension office, input cost documentation from cooperative societies</w:t>
      </w:r>
    </w:p>
    <w:p w14:paraId="660581BE" w14:textId="77777777" w:rsidR="003819FB" w:rsidRPr="00FD20C6" w:rsidRDefault="003819FB" w:rsidP="003819FB">
      <w:pPr>
        <w:numPr>
          <w:ilvl w:val="0"/>
          <w:numId w:val="29"/>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Environmental characterization: Soil laboratory testing (N-P-K, organic carbon via Walkley-Black method, pH via glass electrode), water quality analysis (electrical conductivity, total dissolved solids, nitrate concentration), biodiversity baseline surveys documenting 47 initial species</w:t>
      </w:r>
    </w:p>
    <w:p w14:paraId="7C4F3721" w14:textId="77777777" w:rsidR="003819FB" w:rsidRPr="00FD20C6" w:rsidRDefault="003819FB" w:rsidP="003819FB">
      <w:pPr>
        <w:numPr>
          <w:ilvl w:val="0"/>
          <w:numId w:val="29"/>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Socioeconomic profiling: Household income levels via structured surveys, educational attainment (average 6.2 years formal schooling), digital literacy assessment (38% baseline smartphone proficiency), gender role analysis</w:t>
      </w:r>
    </w:p>
    <w:p w14:paraId="0602D66B" w14:textId="77777777" w:rsidR="00444F41" w:rsidRPr="00FD20C6" w:rsidRDefault="00444F41" w:rsidP="00444F41">
      <w:p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noProof/>
          <w:sz w:val="24"/>
          <w:szCs w:val="24"/>
          <w:lang w:eastAsia="en-GB"/>
        </w:rPr>
        <w:lastRenderedPageBreak/>
        <w:drawing>
          <wp:inline distT="0" distB="0" distL="0" distR="0" wp14:anchorId="67F7A69C" wp14:editId="22BFA6C9">
            <wp:extent cx="4133850" cy="22415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srcRect l="53401" t="25984" b="4528"/>
                    <a:stretch>
                      <a:fillRect/>
                    </a:stretch>
                  </pic:blipFill>
                  <pic:spPr bwMode="auto">
                    <a:xfrm>
                      <a:off x="0" y="0"/>
                      <a:ext cx="4133850" cy="2241550"/>
                    </a:xfrm>
                    <a:prstGeom prst="rect">
                      <a:avLst/>
                    </a:prstGeom>
                    <a:noFill/>
                    <a:ln w="9525">
                      <a:noFill/>
                      <a:miter lim="800000"/>
                      <a:headEnd/>
                      <a:tailEnd/>
                    </a:ln>
                  </pic:spPr>
                </pic:pic>
              </a:graphicData>
            </a:graphic>
          </wp:inline>
        </w:drawing>
      </w:r>
    </w:p>
    <w:p w14:paraId="35E869DD" w14:textId="77777777" w:rsidR="00444F41" w:rsidRPr="00FD20C6" w:rsidRDefault="00FD20C6" w:rsidP="00444F41">
      <w:p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IMAGE 3 PRECISION VS RECALL ANALYSIS</w:t>
      </w:r>
    </w:p>
    <w:p w14:paraId="30321675" w14:textId="77777777" w:rsidR="003819FB" w:rsidRPr="00FD20C6" w:rsidRDefault="003819FB" w:rsidP="003819FB">
      <w:pPr>
        <w:pStyle w:val="font-claude-response-body"/>
        <w:jc w:val="both"/>
      </w:pPr>
      <w:r w:rsidRPr="00FD20C6">
        <w:rPr>
          <w:rStyle w:val="Strong"/>
        </w:rPr>
        <w:t>Phased Implementation Timeline:</w:t>
      </w:r>
    </w:p>
    <w:p w14:paraId="0C9451CF" w14:textId="77777777" w:rsidR="003819FB" w:rsidRPr="00FD20C6" w:rsidRDefault="003819FB" w:rsidP="003819FB">
      <w:pPr>
        <w:pStyle w:val="font-claude-response-body"/>
        <w:jc w:val="both"/>
      </w:pPr>
      <w:r w:rsidRPr="00FD20C6">
        <w:rPr>
          <w:rStyle w:val="Emphasis"/>
        </w:rPr>
        <w:t>Phase 1 - Infrastructure Deployment (Months 1-2):</w:t>
      </w:r>
    </w:p>
    <w:p w14:paraId="31133ABB" w14:textId="77777777" w:rsidR="003819FB" w:rsidRPr="00FD20C6" w:rsidRDefault="003819FB" w:rsidP="003819FB">
      <w:pPr>
        <w:numPr>
          <w:ilvl w:val="0"/>
          <w:numId w:val="30"/>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IoT sensor network installation across 150 agricultural hectares</w:t>
      </w:r>
    </w:p>
    <w:p w14:paraId="49C0EB2E" w14:textId="77777777" w:rsidR="003819FB" w:rsidRPr="00FD20C6" w:rsidRDefault="003819FB" w:rsidP="003819FB">
      <w:pPr>
        <w:numPr>
          <w:ilvl w:val="0"/>
          <w:numId w:val="30"/>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UAV procurement and pilot training</w:t>
      </w:r>
    </w:p>
    <w:p w14:paraId="090B15FC" w14:textId="77777777" w:rsidR="003819FB" w:rsidRPr="00FD20C6" w:rsidRDefault="003819FB" w:rsidP="003819FB">
      <w:pPr>
        <w:numPr>
          <w:ilvl w:val="0"/>
          <w:numId w:val="30"/>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Mobile application development and beta testing</w:t>
      </w:r>
    </w:p>
    <w:p w14:paraId="095728F6" w14:textId="77777777" w:rsidR="003819FB" w:rsidRPr="00FD20C6" w:rsidRDefault="003819FB" w:rsidP="003819FB">
      <w:pPr>
        <w:numPr>
          <w:ilvl w:val="0"/>
          <w:numId w:val="30"/>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Satellite data pipeline establishment</w:t>
      </w:r>
    </w:p>
    <w:p w14:paraId="6FCB129F" w14:textId="77777777" w:rsidR="003819FB" w:rsidRPr="00FD20C6" w:rsidRDefault="003819FB" w:rsidP="003819FB">
      <w:pPr>
        <w:pStyle w:val="font-claude-response-body"/>
        <w:jc w:val="both"/>
      </w:pPr>
      <w:r w:rsidRPr="00FD20C6">
        <w:rPr>
          <w:rStyle w:val="Emphasis"/>
        </w:rPr>
        <w:t>Phase 2 - Training and Capacity Building (Months 2-3):</w:t>
      </w:r>
    </w:p>
    <w:p w14:paraId="5C9652E0" w14:textId="77777777" w:rsidR="003819FB" w:rsidRPr="00FD20C6" w:rsidRDefault="003819FB" w:rsidP="003819FB">
      <w:pPr>
        <w:numPr>
          <w:ilvl w:val="0"/>
          <w:numId w:val="31"/>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Farmer workshops: 12 sessions, 50-60 participants each</w:t>
      </w:r>
    </w:p>
    <w:p w14:paraId="0DF6319F" w14:textId="77777777" w:rsidR="003819FB" w:rsidRPr="00FD20C6" w:rsidRDefault="003819FB" w:rsidP="003819FB">
      <w:pPr>
        <w:numPr>
          <w:ilvl w:val="0"/>
          <w:numId w:val="31"/>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Technology ambassador selection and intensive training</w:t>
      </w:r>
    </w:p>
    <w:p w14:paraId="38DA56DC" w14:textId="77777777" w:rsidR="003819FB" w:rsidRPr="00FD20C6" w:rsidRDefault="003819FB" w:rsidP="003819FB">
      <w:pPr>
        <w:numPr>
          <w:ilvl w:val="0"/>
          <w:numId w:val="31"/>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Demonstration plot establishment: 3 plots × 0.5 hectares each</w:t>
      </w:r>
    </w:p>
    <w:p w14:paraId="2B43154F" w14:textId="77777777" w:rsidR="003819FB" w:rsidRPr="00FD20C6" w:rsidRDefault="003819FB" w:rsidP="003819FB">
      <w:pPr>
        <w:numPr>
          <w:ilvl w:val="0"/>
          <w:numId w:val="31"/>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Panchayat dashboard installation and official training</w:t>
      </w:r>
    </w:p>
    <w:p w14:paraId="479533F1" w14:textId="77777777" w:rsidR="003819FB" w:rsidRPr="00FD20C6" w:rsidRDefault="003819FB" w:rsidP="003819FB">
      <w:pPr>
        <w:pStyle w:val="font-claude-response-body"/>
        <w:jc w:val="both"/>
      </w:pPr>
      <w:r w:rsidRPr="00FD20C6">
        <w:rPr>
          <w:rStyle w:val="Emphasis"/>
        </w:rPr>
        <w:t>Phase 3 - Active Operation (Months 4-15):</w:t>
      </w:r>
    </w:p>
    <w:p w14:paraId="41F67FE3" w14:textId="77777777" w:rsidR="003819FB" w:rsidRPr="00FD20C6" w:rsidRDefault="003819FB" w:rsidP="003819FB">
      <w:pPr>
        <w:numPr>
          <w:ilvl w:val="0"/>
          <w:numId w:val="32"/>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Full system operational deployment</w:t>
      </w:r>
    </w:p>
    <w:p w14:paraId="2895116A" w14:textId="77777777" w:rsidR="003819FB" w:rsidRPr="00FD20C6" w:rsidRDefault="003819FB" w:rsidP="003819FB">
      <w:pPr>
        <w:numPr>
          <w:ilvl w:val="0"/>
          <w:numId w:val="32"/>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Continuous monitoring and data collection</w:t>
      </w:r>
    </w:p>
    <w:p w14:paraId="79C9E333" w14:textId="77777777" w:rsidR="003819FB" w:rsidRPr="00FD20C6" w:rsidRDefault="003819FB" w:rsidP="003819FB">
      <w:pPr>
        <w:numPr>
          <w:ilvl w:val="0"/>
          <w:numId w:val="32"/>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Monthly community feedback sessions</w:t>
      </w:r>
    </w:p>
    <w:p w14:paraId="511E179C" w14:textId="77777777" w:rsidR="003819FB" w:rsidRPr="00FD20C6" w:rsidRDefault="003819FB" w:rsidP="003819FB">
      <w:pPr>
        <w:numPr>
          <w:ilvl w:val="0"/>
          <w:numId w:val="32"/>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Quarterly system optimization based on user feedback</w:t>
      </w:r>
    </w:p>
    <w:p w14:paraId="0A7C8DB9" w14:textId="77777777" w:rsidR="003819FB" w:rsidRPr="00FD20C6" w:rsidRDefault="003819FB" w:rsidP="003819FB">
      <w:pPr>
        <w:pStyle w:val="font-claude-response-body"/>
        <w:jc w:val="both"/>
      </w:pPr>
      <w:r w:rsidRPr="00FD20C6">
        <w:rPr>
          <w:rStyle w:val="Emphasis"/>
        </w:rPr>
        <w:t>Phase 4 - Evaluation and Scale-Up Planning (Months 16-18):</w:t>
      </w:r>
    </w:p>
    <w:p w14:paraId="6755A1B6" w14:textId="77777777" w:rsidR="003819FB" w:rsidRPr="00FD20C6" w:rsidRDefault="003819FB" w:rsidP="003819FB">
      <w:pPr>
        <w:numPr>
          <w:ilvl w:val="0"/>
          <w:numId w:val="3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Comprehensive impact assessment across all metrics</w:t>
      </w:r>
    </w:p>
    <w:p w14:paraId="5B29A319" w14:textId="77777777" w:rsidR="003819FB" w:rsidRPr="00FD20C6" w:rsidRDefault="003819FB" w:rsidP="003819FB">
      <w:pPr>
        <w:numPr>
          <w:ilvl w:val="0"/>
          <w:numId w:val="3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System refinement based on 18-month learnings</w:t>
      </w:r>
    </w:p>
    <w:p w14:paraId="6762EA12" w14:textId="77777777" w:rsidR="003819FB" w:rsidRPr="00FD20C6" w:rsidRDefault="003819FB" w:rsidP="003819FB">
      <w:pPr>
        <w:numPr>
          <w:ilvl w:val="0"/>
          <w:numId w:val="3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Replication framework development for additional villages</w:t>
      </w:r>
    </w:p>
    <w:p w14:paraId="58BA9545" w14:textId="77777777" w:rsidR="003819FB" w:rsidRPr="00FD20C6" w:rsidRDefault="003819FB" w:rsidP="003819FB">
      <w:pPr>
        <w:numPr>
          <w:ilvl w:val="0"/>
          <w:numId w:val="33"/>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Policy brief preparation for state government</w:t>
      </w:r>
    </w:p>
    <w:p w14:paraId="08FD6504" w14:textId="77777777" w:rsidR="003819FB" w:rsidRPr="00FD20C6" w:rsidRDefault="003819FB" w:rsidP="003819FB">
      <w:pPr>
        <w:pStyle w:val="font-claude-response-body"/>
        <w:jc w:val="both"/>
      </w:pPr>
      <w:r w:rsidRPr="00FD20C6">
        <w:rPr>
          <w:rStyle w:val="Strong"/>
        </w:rPr>
        <w:t>Rigorous Data Collection Protocols:</w:t>
      </w:r>
    </w:p>
    <w:p w14:paraId="7C1901F9" w14:textId="77777777" w:rsidR="003819FB" w:rsidRPr="00FD20C6" w:rsidRDefault="003819FB" w:rsidP="003819FB">
      <w:pPr>
        <w:numPr>
          <w:ilvl w:val="0"/>
          <w:numId w:val="34"/>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Agricultural monitoring: Weekly crop health surveys using standardized protocols, disease incidence logging (number affected plants / total plants), harvest yield measurement with calibrated scales</w:t>
      </w:r>
    </w:p>
    <w:p w14:paraId="666D9E26" w14:textId="77777777" w:rsidR="003819FB" w:rsidRPr="00FD20C6" w:rsidRDefault="003819FB" w:rsidP="003819FB">
      <w:pPr>
        <w:numPr>
          <w:ilvl w:val="0"/>
          <w:numId w:val="34"/>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Environmental sampling: Continuous automated sensor data (15-minute intervals), monthly composite soil sampling (5 subsamples per plot), quarterly biodiversity surveys (transect method, 100m × 10m)</w:t>
      </w:r>
    </w:p>
    <w:p w14:paraId="1658F8D7" w14:textId="77777777" w:rsidR="003819FB" w:rsidRPr="00FD20C6" w:rsidRDefault="003819FB" w:rsidP="003819FB">
      <w:pPr>
        <w:numPr>
          <w:ilvl w:val="0"/>
          <w:numId w:val="34"/>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Social data gathering: Monthly household surveys (n=130, stratified random sampling), quarterly focus group discussions (8-12 participants, separate men's and women's groups), continuous application usage analytics</w:t>
      </w:r>
    </w:p>
    <w:p w14:paraId="6E4F0C32" w14:textId="77777777" w:rsidR="003819FB" w:rsidRPr="00FD20C6" w:rsidRDefault="003819FB" w:rsidP="003819FB">
      <w:pPr>
        <w:numPr>
          <w:ilvl w:val="0"/>
          <w:numId w:val="34"/>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Economic documentation: Input purchase records from cooperative societies, market transaction logs from local mandis, household income surveys (biannual, recall period = 6 months)</w:t>
      </w:r>
    </w:p>
    <w:p w14:paraId="6993CDED" w14:textId="77777777" w:rsidR="003819FB" w:rsidRPr="00FD20C6" w:rsidRDefault="003819FB" w:rsidP="003819FB">
      <w:pPr>
        <w:pStyle w:val="font-claude-response-body"/>
        <w:jc w:val="both"/>
      </w:pPr>
      <w:r w:rsidRPr="00FD20C6">
        <w:rPr>
          <w:rStyle w:val="Strong"/>
        </w:rPr>
        <w:t>Methodological Controls and Comparisons:</w:t>
      </w:r>
    </w:p>
    <w:p w14:paraId="664FEF5C" w14:textId="77777777" w:rsidR="003819FB" w:rsidRPr="00FD20C6" w:rsidRDefault="003819FB" w:rsidP="003819FB">
      <w:pPr>
        <w:numPr>
          <w:ilvl w:val="0"/>
          <w:numId w:val="35"/>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lastRenderedPageBreak/>
        <w:t>Comparison villages: 2 neighboring villages with similar demographic and agricultural characteristics serving as controls (no intervention)</w:t>
      </w:r>
    </w:p>
    <w:p w14:paraId="239E9CB3" w14:textId="77777777" w:rsidR="003819FB" w:rsidRPr="00FD20C6" w:rsidRDefault="003819FB" w:rsidP="003819FB">
      <w:pPr>
        <w:numPr>
          <w:ilvl w:val="0"/>
          <w:numId w:val="35"/>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Historical baselines: 3-year average performance within pilot villages for within-subject comparison</w:t>
      </w:r>
    </w:p>
    <w:p w14:paraId="16EE57AC" w14:textId="77777777" w:rsidR="003819FB" w:rsidRPr="00FD20C6" w:rsidRDefault="003819FB" w:rsidP="003819FB">
      <w:pPr>
        <w:numPr>
          <w:ilvl w:val="0"/>
          <w:numId w:val="35"/>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Phased rollout: Staggered implementation enabling comparison between early and late adopters within pilot villages</w:t>
      </w:r>
    </w:p>
    <w:p w14:paraId="50A61064" w14:textId="77777777" w:rsidR="003819FB" w:rsidRPr="00FD20C6" w:rsidRDefault="003819FB" w:rsidP="003819FB">
      <w:pPr>
        <w:pStyle w:val="font-claude-response-body"/>
        <w:jc w:val="both"/>
      </w:pPr>
      <w:r w:rsidRPr="00FD20C6">
        <w:rPr>
          <w:rStyle w:val="Strong"/>
        </w:rPr>
        <w:t>Ethical Protocols and Safeguards:</w:t>
      </w:r>
    </w:p>
    <w:p w14:paraId="0DCF9AEE" w14:textId="77777777" w:rsidR="003819FB" w:rsidRPr="00FD20C6" w:rsidRDefault="003819FB" w:rsidP="003819FB">
      <w:pPr>
        <w:numPr>
          <w:ilvl w:val="0"/>
          <w:numId w:val="3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Informed consent: Written consent obtained from all 650 participating farmers, translated into Tamil</w:t>
      </w:r>
    </w:p>
    <w:p w14:paraId="707764B0" w14:textId="77777777" w:rsidR="003819FB" w:rsidRPr="00FD20C6" w:rsidRDefault="003819FB" w:rsidP="003819FB">
      <w:pPr>
        <w:numPr>
          <w:ilvl w:val="0"/>
          <w:numId w:val="3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Data privacy: Personal information anonymization, secure encrypted storage, restricted access protocols</w:t>
      </w:r>
    </w:p>
    <w:p w14:paraId="2F5EB80A" w14:textId="77777777" w:rsidR="003819FB" w:rsidRPr="00FD20C6" w:rsidRDefault="003819FB" w:rsidP="003819FB">
      <w:pPr>
        <w:numPr>
          <w:ilvl w:val="0"/>
          <w:numId w:val="3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Benefit equity: Technology access provided to all village residents regardless of participation in formal data collection</w:t>
      </w:r>
    </w:p>
    <w:p w14:paraId="5FC71419" w14:textId="77777777" w:rsidR="003819FB" w:rsidRPr="00FD20C6" w:rsidRDefault="003819FB" w:rsidP="003819FB">
      <w:pPr>
        <w:numPr>
          <w:ilvl w:val="0"/>
          <w:numId w:val="36"/>
        </w:numPr>
        <w:spacing w:before="100" w:beforeAutospacing="1" w:after="100" w:afterAutospacing="1" w:line="240" w:lineRule="auto"/>
        <w:jc w:val="both"/>
        <w:rPr>
          <w:rFonts w:ascii="Times New Roman" w:hAnsi="Times New Roman" w:cs="Times New Roman"/>
          <w:sz w:val="24"/>
          <w:szCs w:val="24"/>
        </w:rPr>
      </w:pPr>
      <w:r w:rsidRPr="00FD20C6">
        <w:rPr>
          <w:rFonts w:ascii="Times New Roman" w:hAnsi="Times New Roman" w:cs="Times New Roman"/>
          <w:sz w:val="24"/>
          <w:szCs w:val="24"/>
        </w:rPr>
        <w:t>Cultural sensitivity: Framework design incorporating consultations with village elders, religious leaders, women's group representatives</w:t>
      </w:r>
    </w:p>
    <w:p w14:paraId="735AF352" w14:textId="77777777" w:rsidR="003819FB" w:rsidRPr="00FD20C6" w:rsidRDefault="003819FB" w:rsidP="003819FB">
      <w:pPr>
        <w:spacing w:after="0"/>
        <w:jc w:val="both"/>
        <w:rPr>
          <w:rFonts w:ascii="Times New Roman" w:hAnsi="Times New Roman" w:cs="Times New Roman"/>
          <w:sz w:val="24"/>
          <w:szCs w:val="24"/>
        </w:rPr>
      </w:pPr>
    </w:p>
    <w:p w14:paraId="033594BE" w14:textId="77777777" w:rsidR="003819FB" w:rsidRPr="00FD20C6" w:rsidRDefault="003819FB" w:rsidP="003819FB">
      <w:pPr>
        <w:pStyle w:val="Heading2"/>
        <w:jc w:val="both"/>
        <w:rPr>
          <w:sz w:val="24"/>
          <w:szCs w:val="24"/>
        </w:rPr>
      </w:pPr>
      <w:r w:rsidRPr="00FD20C6">
        <w:rPr>
          <w:sz w:val="24"/>
          <w:szCs w:val="24"/>
        </w:rPr>
        <w:t>4. COMPREHENSIVE RESULTS</w:t>
      </w:r>
    </w:p>
    <w:p w14:paraId="3997EB8E" w14:textId="77777777" w:rsidR="003819FB" w:rsidRPr="00FD20C6" w:rsidRDefault="003819FB" w:rsidP="003819FB">
      <w:pPr>
        <w:pStyle w:val="Heading3"/>
        <w:jc w:val="both"/>
        <w:rPr>
          <w:sz w:val="24"/>
          <w:szCs w:val="24"/>
        </w:rPr>
      </w:pPr>
      <w:r w:rsidRPr="00FD20C6">
        <w:rPr>
          <w:sz w:val="24"/>
          <w:szCs w:val="24"/>
        </w:rPr>
        <w:t>4.1 Disease Detection System Performance</w:t>
      </w:r>
    </w:p>
    <w:p w14:paraId="143478B6" w14:textId="77777777" w:rsidR="003819FB" w:rsidRPr="00FD20C6" w:rsidRDefault="003819FB" w:rsidP="003819FB">
      <w:pPr>
        <w:pStyle w:val="font-claude-response-body"/>
        <w:jc w:val="both"/>
      </w:pPr>
      <w:r w:rsidRPr="00FD20C6">
        <w:t>The CNN-based diagnostic module underwent rigorous evaluation using a held-out test dataset of 2,973 images spanning 12 disease categories plus healthy controls for tomato and onion crops.</w:t>
      </w:r>
    </w:p>
    <w:p w14:paraId="3C07AB98" w14:textId="77777777" w:rsidR="003819FB" w:rsidRPr="00FD20C6" w:rsidRDefault="003819FB" w:rsidP="003819FB">
      <w:pPr>
        <w:pStyle w:val="font-claude-response-body"/>
        <w:jc w:val="both"/>
      </w:pPr>
      <w:r w:rsidRPr="00FD20C6">
        <w:rPr>
          <w:rStyle w:val="Strong"/>
        </w:rPr>
        <w:t>Aggregate Performance Metrics:</w:t>
      </w:r>
    </w:p>
    <w:p w14:paraId="0D4EB905" w14:textId="77777777" w:rsidR="003819FB" w:rsidRPr="00FD20C6" w:rsidRDefault="003819FB" w:rsidP="003819FB">
      <w:pPr>
        <w:numPr>
          <w:ilvl w:val="0"/>
          <w:numId w:val="37"/>
        </w:numPr>
        <w:spacing w:before="100" w:beforeAutospacing="1" w:after="100" w:afterAutospacing="1" w:line="240" w:lineRule="auto"/>
        <w:jc w:val="both"/>
        <w:rPr>
          <w:rFonts w:ascii="Times New Roman" w:hAnsi="Times New Roman" w:cs="Times New Roman"/>
          <w:sz w:val="24"/>
          <w:szCs w:val="24"/>
        </w:rPr>
      </w:pPr>
      <w:r w:rsidRPr="00FD20C6">
        <w:rPr>
          <w:rStyle w:val="Strong"/>
          <w:rFonts w:ascii="Times New Roman" w:hAnsi="Times New Roman" w:cs="Times New Roman"/>
          <w:sz w:val="24"/>
          <w:szCs w:val="24"/>
        </w:rPr>
        <w:t>Overall classification accuracy: 92.3%</w:t>
      </w:r>
      <w:r w:rsidRPr="00FD20C6">
        <w:rPr>
          <w:rFonts w:ascii="Times New Roman" w:hAnsi="Times New Roman" w:cs="Times New Roman"/>
          <w:sz w:val="24"/>
          <w:szCs w:val="24"/>
        </w:rPr>
        <w:t xml:space="preserve"> (2,745 correctly classified images out of 2,973 total)</w:t>
      </w:r>
    </w:p>
    <w:p w14:paraId="201C9D48" w14:textId="77777777" w:rsidR="003819FB" w:rsidRPr="00FD20C6" w:rsidRDefault="003819FB" w:rsidP="003819FB">
      <w:pPr>
        <w:numPr>
          <w:ilvl w:val="0"/>
          <w:numId w:val="37"/>
        </w:numPr>
        <w:spacing w:before="100" w:beforeAutospacing="1" w:after="100" w:afterAutospacing="1" w:line="240" w:lineRule="auto"/>
        <w:jc w:val="both"/>
        <w:rPr>
          <w:rFonts w:ascii="Times New Roman" w:hAnsi="Times New Roman" w:cs="Times New Roman"/>
          <w:sz w:val="24"/>
          <w:szCs w:val="24"/>
        </w:rPr>
      </w:pPr>
      <w:r w:rsidRPr="00FD20C6">
        <w:rPr>
          <w:rStyle w:val="Strong"/>
          <w:rFonts w:ascii="Times New Roman" w:hAnsi="Times New Roman" w:cs="Times New Roman"/>
          <w:sz w:val="24"/>
          <w:szCs w:val="24"/>
        </w:rPr>
        <w:t>Macro-averaged precision: 91.7%</w:t>
      </w:r>
      <w:r w:rsidRPr="00FD20C6">
        <w:rPr>
          <w:rFonts w:ascii="Times New Roman" w:hAnsi="Times New Roman" w:cs="Times New Roman"/>
          <w:sz w:val="24"/>
          <w:szCs w:val="24"/>
        </w:rPr>
        <w:t xml:space="preserve"> (mean across all classes)</w:t>
      </w:r>
    </w:p>
    <w:p w14:paraId="04CA89EF" w14:textId="77777777" w:rsidR="003819FB" w:rsidRPr="00FD20C6" w:rsidRDefault="003819FB" w:rsidP="003819FB">
      <w:pPr>
        <w:numPr>
          <w:ilvl w:val="0"/>
          <w:numId w:val="37"/>
        </w:numPr>
        <w:spacing w:before="100" w:beforeAutospacing="1" w:after="100" w:afterAutospacing="1" w:line="240" w:lineRule="auto"/>
        <w:jc w:val="both"/>
        <w:rPr>
          <w:rFonts w:ascii="Times New Roman" w:hAnsi="Times New Roman" w:cs="Times New Roman"/>
          <w:sz w:val="24"/>
          <w:szCs w:val="24"/>
        </w:rPr>
      </w:pPr>
      <w:r w:rsidRPr="00FD20C6">
        <w:rPr>
          <w:rStyle w:val="Strong"/>
          <w:rFonts w:ascii="Times New Roman" w:hAnsi="Times New Roman" w:cs="Times New Roman"/>
          <w:sz w:val="24"/>
          <w:szCs w:val="24"/>
        </w:rPr>
        <w:t>Macro-averaged recall: 90.8%</w:t>
      </w:r>
      <w:r w:rsidRPr="00FD20C6">
        <w:rPr>
          <w:rFonts w:ascii="Times New Roman" w:hAnsi="Times New Roman" w:cs="Times New Roman"/>
          <w:sz w:val="24"/>
          <w:szCs w:val="24"/>
        </w:rPr>
        <w:t xml:space="preserve"> (mean sensitivity across disease categories)</w:t>
      </w:r>
    </w:p>
    <w:p w14:paraId="691A40D5" w14:textId="77777777" w:rsidR="003819FB" w:rsidRPr="00FD20C6" w:rsidRDefault="003819FB" w:rsidP="003819FB">
      <w:pPr>
        <w:numPr>
          <w:ilvl w:val="0"/>
          <w:numId w:val="37"/>
        </w:numPr>
        <w:spacing w:before="100" w:beforeAutospacing="1" w:after="100" w:afterAutospacing="1" w:line="240" w:lineRule="auto"/>
        <w:jc w:val="both"/>
        <w:rPr>
          <w:rFonts w:ascii="Times New Roman" w:hAnsi="Times New Roman" w:cs="Times New Roman"/>
          <w:sz w:val="24"/>
          <w:szCs w:val="24"/>
        </w:rPr>
      </w:pPr>
      <w:r w:rsidRPr="00FD20C6">
        <w:rPr>
          <w:rStyle w:val="Strong"/>
          <w:rFonts w:ascii="Times New Roman" w:hAnsi="Times New Roman" w:cs="Times New Roman"/>
          <w:sz w:val="24"/>
          <w:szCs w:val="24"/>
        </w:rPr>
        <w:t>Macro-averaged F1-score: 91.2%</w:t>
      </w:r>
      <w:r w:rsidRPr="00FD20C6">
        <w:rPr>
          <w:rFonts w:ascii="Times New Roman" w:hAnsi="Times New Roman" w:cs="Times New Roman"/>
          <w:sz w:val="24"/>
          <w:szCs w:val="24"/>
        </w:rPr>
        <w:t xml:space="preserve"> (harmonic mean of precision and recall)</w:t>
      </w:r>
    </w:p>
    <w:p w14:paraId="2F360F42" w14:textId="77777777" w:rsidR="003819FB" w:rsidRPr="00FD20C6" w:rsidRDefault="003819FB" w:rsidP="003819FB">
      <w:pPr>
        <w:numPr>
          <w:ilvl w:val="0"/>
          <w:numId w:val="37"/>
        </w:numPr>
        <w:spacing w:before="100" w:beforeAutospacing="1" w:after="100" w:afterAutospacing="1" w:line="240" w:lineRule="auto"/>
        <w:jc w:val="both"/>
        <w:rPr>
          <w:rFonts w:ascii="Times New Roman" w:hAnsi="Times New Roman" w:cs="Times New Roman"/>
          <w:sz w:val="24"/>
          <w:szCs w:val="24"/>
        </w:rPr>
      </w:pPr>
      <w:r w:rsidRPr="00FD20C6">
        <w:rPr>
          <w:rStyle w:val="Strong"/>
          <w:rFonts w:ascii="Times New Roman" w:hAnsi="Times New Roman" w:cs="Times New Roman"/>
          <w:sz w:val="24"/>
          <w:szCs w:val="24"/>
        </w:rPr>
        <w:t>Mean inference latency: 0.18 seconds per image</w:t>
      </w:r>
      <w:r w:rsidRPr="00FD20C6">
        <w:rPr>
          <w:rFonts w:ascii="Times New Roman" w:hAnsi="Times New Roman" w:cs="Times New Roman"/>
          <w:sz w:val="24"/>
          <w:szCs w:val="24"/>
        </w:rPr>
        <w:t xml:space="preserve"> (measured on mid-range Android smartphone: Qualcomm Snapdragon 765G processor)</w:t>
      </w:r>
    </w:p>
    <w:p w14:paraId="47F435B0" w14:textId="77777777" w:rsidR="003819FB" w:rsidRPr="00FD20C6" w:rsidRDefault="003819FB" w:rsidP="003819FB">
      <w:pPr>
        <w:numPr>
          <w:ilvl w:val="0"/>
          <w:numId w:val="37"/>
        </w:numPr>
        <w:spacing w:before="100" w:beforeAutospacing="1" w:after="100" w:afterAutospacing="1" w:line="240" w:lineRule="auto"/>
        <w:jc w:val="both"/>
        <w:rPr>
          <w:rFonts w:ascii="Times New Roman" w:hAnsi="Times New Roman" w:cs="Times New Roman"/>
          <w:sz w:val="24"/>
          <w:szCs w:val="24"/>
        </w:rPr>
      </w:pPr>
      <w:r w:rsidRPr="00FD20C6">
        <w:rPr>
          <w:rStyle w:val="Strong"/>
          <w:rFonts w:ascii="Times New Roman" w:hAnsi="Times New Roman" w:cs="Times New Roman"/>
          <w:sz w:val="24"/>
          <w:szCs w:val="24"/>
        </w:rPr>
        <w:t>Model deployment footprint: 12.3 MB</w:t>
      </w:r>
      <w:r w:rsidRPr="00FD20C6">
        <w:rPr>
          <w:rFonts w:ascii="Times New Roman" w:hAnsi="Times New Roman" w:cs="Times New Roman"/>
          <w:sz w:val="24"/>
          <w:szCs w:val="24"/>
        </w:rPr>
        <w:t xml:space="preserve"> (TensorFlow Lite quantized model)</w:t>
      </w:r>
    </w:p>
    <w:p w14:paraId="7EBC6B30" w14:textId="77777777" w:rsidR="00CD5B1F" w:rsidRDefault="00CD5B1F" w:rsidP="003819FB">
      <w:pPr>
        <w:pStyle w:val="font-claude-response-body"/>
        <w:jc w:val="both"/>
        <w:rPr>
          <w:rStyle w:val="Strong"/>
        </w:rPr>
        <w:sectPr w:rsidR="00CD5B1F" w:rsidSect="00CD5B1F">
          <w:type w:val="continuous"/>
          <w:pgSz w:w="11906" w:h="16838"/>
          <w:pgMar w:top="1440" w:right="1440" w:bottom="1440" w:left="1440" w:header="708" w:footer="708" w:gutter="0"/>
          <w:cols w:num="2" w:space="708"/>
          <w:docGrid w:linePitch="360"/>
        </w:sectPr>
      </w:pPr>
    </w:p>
    <w:p w14:paraId="1D6910DE" w14:textId="77777777" w:rsidR="003819FB" w:rsidRPr="00FD20C6" w:rsidRDefault="003819FB" w:rsidP="003819FB">
      <w:pPr>
        <w:pStyle w:val="font-claude-response-body"/>
        <w:jc w:val="both"/>
      </w:pPr>
      <w:r w:rsidRPr="00FD20C6">
        <w:rPr>
          <w:rStyle w:val="Strong"/>
        </w:rPr>
        <w:t>Table 2: Detailed Per-Disease Classification Performance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33"/>
        <w:gridCol w:w="1105"/>
        <w:gridCol w:w="798"/>
        <w:gridCol w:w="790"/>
        <w:gridCol w:w="958"/>
        <w:gridCol w:w="1778"/>
        <w:gridCol w:w="1774"/>
      </w:tblGrid>
      <w:tr w:rsidR="003819FB" w:rsidRPr="00FD20C6" w14:paraId="1762A6CF" w14:textId="77777777" w:rsidTr="00FD20C6">
        <w:trPr>
          <w:tblHeader/>
          <w:tblCellSpacing w:w="15" w:type="dxa"/>
        </w:trPr>
        <w:tc>
          <w:tcPr>
            <w:tcW w:w="0" w:type="auto"/>
            <w:vAlign w:val="center"/>
            <w:hideMark/>
          </w:tcPr>
          <w:p w14:paraId="62B8D503" w14:textId="77777777" w:rsidR="003819FB" w:rsidRPr="00FD20C6" w:rsidRDefault="003819FB" w:rsidP="003819FB">
            <w:pPr>
              <w:jc w:val="both"/>
              <w:rPr>
                <w:rFonts w:ascii="Times New Roman" w:hAnsi="Times New Roman" w:cs="Times New Roman"/>
                <w:b/>
                <w:bCs/>
                <w:sz w:val="24"/>
                <w:szCs w:val="24"/>
              </w:rPr>
            </w:pPr>
            <w:r w:rsidRPr="00FD20C6">
              <w:rPr>
                <w:rFonts w:ascii="Times New Roman" w:hAnsi="Times New Roman" w:cs="Times New Roman"/>
                <w:b/>
                <w:bCs/>
                <w:sz w:val="24"/>
                <w:szCs w:val="24"/>
              </w:rPr>
              <w:t>Disease Category</w:t>
            </w:r>
          </w:p>
        </w:tc>
        <w:tc>
          <w:tcPr>
            <w:tcW w:w="0" w:type="auto"/>
            <w:vAlign w:val="center"/>
            <w:hideMark/>
          </w:tcPr>
          <w:p w14:paraId="67D0AF0D" w14:textId="77777777" w:rsidR="003819FB" w:rsidRPr="00FD20C6" w:rsidRDefault="003819FB" w:rsidP="003819FB">
            <w:pPr>
              <w:jc w:val="both"/>
              <w:rPr>
                <w:rFonts w:ascii="Times New Roman" w:hAnsi="Times New Roman" w:cs="Times New Roman"/>
                <w:b/>
                <w:bCs/>
                <w:sz w:val="24"/>
                <w:szCs w:val="24"/>
              </w:rPr>
            </w:pPr>
            <w:r w:rsidRPr="00FD20C6">
              <w:rPr>
                <w:rFonts w:ascii="Times New Roman" w:hAnsi="Times New Roman" w:cs="Times New Roman"/>
                <w:b/>
                <w:bCs/>
                <w:sz w:val="24"/>
                <w:szCs w:val="24"/>
              </w:rPr>
              <w:t>Precision (%)</w:t>
            </w:r>
          </w:p>
        </w:tc>
        <w:tc>
          <w:tcPr>
            <w:tcW w:w="0" w:type="auto"/>
            <w:vAlign w:val="center"/>
            <w:hideMark/>
          </w:tcPr>
          <w:p w14:paraId="4BD87331" w14:textId="77777777" w:rsidR="003819FB" w:rsidRPr="00FD20C6" w:rsidRDefault="003819FB" w:rsidP="003819FB">
            <w:pPr>
              <w:jc w:val="both"/>
              <w:rPr>
                <w:rFonts w:ascii="Times New Roman" w:hAnsi="Times New Roman" w:cs="Times New Roman"/>
                <w:b/>
                <w:bCs/>
                <w:sz w:val="24"/>
                <w:szCs w:val="24"/>
              </w:rPr>
            </w:pPr>
            <w:r w:rsidRPr="00FD20C6">
              <w:rPr>
                <w:rFonts w:ascii="Times New Roman" w:hAnsi="Times New Roman" w:cs="Times New Roman"/>
                <w:b/>
                <w:bCs/>
                <w:sz w:val="24"/>
                <w:szCs w:val="24"/>
              </w:rPr>
              <w:t>Recall (%)</w:t>
            </w:r>
          </w:p>
        </w:tc>
        <w:tc>
          <w:tcPr>
            <w:tcW w:w="0" w:type="auto"/>
            <w:vAlign w:val="center"/>
            <w:hideMark/>
          </w:tcPr>
          <w:p w14:paraId="49C8071A" w14:textId="77777777" w:rsidR="003819FB" w:rsidRPr="00FD20C6" w:rsidRDefault="003819FB" w:rsidP="003819FB">
            <w:pPr>
              <w:jc w:val="both"/>
              <w:rPr>
                <w:rFonts w:ascii="Times New Roman" w:hAnsi="Times New Roman" w:cs="Times New Roman"/>
                <w:b/>
                <w:bCs/>
                <w:sz w:val="24"/>
                <w:szCs w:val="24"/>
              </w:rPr>
            </w:pPr>
            <w:r w:rsidRPr="00FD20C6">
              <w:rPr>
                <w:rFonts w:ascii="Times New Roman" w:hAnsi="Times New Roman" w:cs="Times New Roman"/>
                <w:b/>
                <w:bCs/>
                <w:sz w:val="24"/>
                <w:szCs w:val="24"/>
              </w:rPr>
              <w:t>F1-Score (%)</w:t>
            </w:r>
          </w:p>
        </w:tc>
        <w:tc>
          <w:tcPr>
            <w:tcW w:w="0" w:type="auto"/>
            <w:vAlign w:val="center"/>
            <w:hideMark/>
          </w:tcPr>
          <w:p w14:paraId="19C5444B" w14:textId="77777777" w:rsidR="003819FB" w:rsidRPr="00FD20C6" w:rsidRDefault="003819FB" w:rsidP="003819FB">
            <w:pPr>
              <w:jc w:val="both"/>
              <w:rPr>
                <w:rFonts w:ascii="Times New Roman" w:hAnsi="Times New Roman" w:cs="Times New Roman"/>
                <w:b/>
                <w:bCs/>
                <w:sz w:val="24"/>
                <w:szCs w:val="24"/>
              </w:rPr>
            </w:pPr>
            <w:r w:rsidRPr="00FD20C6">
              <w:rPr>
                <w:rFonts w:ascii="Times New Roman" w:hAnsi="Times New Roman" w:cs="Times New Roman"/>
                <w:b/>
                <w:bCs/>
                <w:sz w:val="24"/>
                <w:szCs w:val="24"/>
              </w:rPr>
              <w:t>Test Images (n)</w:t>
            </w:r>
          </w:p>
        </w:tc>
        <w:tc>
          <w:tcPr>
            <w:tcW w:w="0" w:type="auto"/>
            <w:vAlign w:val="center"/>
            <w:hideMark/>
          </w:tcPr>
          <w:p w14:paraId="3FD9AE8A" w14:textId="77777777" w:rsidR="003819FB" w:rsidRPr="00FD20C6" w:rsidRDefault="003819FB" w:rsidP="003819FB">
            <w:pPr>
              <w:jc w:val="both"/>
              <w:rPr>
                <w:rFonts w:ascii="Times New Roman" w:hAnsi="Times New Roman" w:cs="Times New Roman"/>
                <w:b/>
                <w:bCs/>
                <w:sz w:val="24"/>
                <w:szCs w:val="24"/>
              </w:rPr>
            </w:pPr>
            <w:r w:rsidRPr="00FD20C6">
              <w:rPr>
                <w:rFonts w:ascii="Times New Roman" w:hAnsi="Times New Roman" w:cs="Times New Roman"/>
                <w:b/>
                <w:bCs/>
                <w:sz w:val="24"/>
                <w:szCs w:val="24"/>
              </w:rPr>
              <w:t>Primary Confusion Source</w:t>
            </w:r>
          </w:p>
        </w:tc>
        <w:tc>
          <w:tcPr>
            <w:tcW w:w="0" w:type="auto"/>
            <w:vAlign w:val="center"/>
            <w:hideMark/>
          </w:tcPr>
          <w:p w14:paraId="1D09ADF1" w14:textId="77777777" w:rsidR="003819FB" w:rsidRPr="00FD20C6" w:rsidRDefault="003819FB" w:rsidP="003819FB">
            <w:pPr>
              <w:jc w:val="both"/>
              <w:rPr>
                <w:rFonts w:ascii="Times New Roman" w:hAnsi="Times New Roman" w:cs="Times New Roman"/>
                <w:b/>
                <w:bCs/>
                <w:sz w:val="24"/>
                <w:szCs w:val="24"/>
              </w:rPr>
            </w:pPr>
            <w:r w:rsidRPr="00FD20C6">
              <w:rPr>
                <w:rFonts w:ascii="Times New Roman" w:hAnsi="Times New Roman" w:cs="Times New Roman"/>
                <w:b/>
                <w:bCs/>
                <w:sz w:val="24"/>
                <w:szCs w:val="24"/>
              </w:rPr>
              <w:t>Clinical Significance</w:t>
            </w:r>
          </w:p>
        </w:tc>
      </w:tr>
      <w:tr w:rsidR="003819FB" w:rsidRPr="00FD20C6" w14:paraId="34E62FC5" w14:textId="77777777" w:rsidTr="00FD20C6">
        <w:trPr>
          <w:tblCellSpacing w:w="15" w:type="dxa"/>
        </w:trPr>
        <w:tc>
          <w:tcPr>
            <w:tcW w:w="0" w:type="auto"/>
            <w:vAlign w:val="center"/>
            <w:hideMark/>
          </w:tcPr>
          <w:p w14:paraId="3EA605C7" w14:textId="77777777" w:rsidR="003819FB" w:rsidRPr="00FD20C6" w:rsidRDefault="003819FB" w:rsidP="003819FB">
            <w:pPr>
              <w:jc w:val="both"/>
              <w:rPr>
                <w:rFonts w:ascii="Times New Roman" w:hAnsi="Times New Roman" w:cs="Times New Roman"/>
                <w:sz w:val="24"/>
                <w:szCs w:val="24"/>
              </w:rPr>
            </w:pPr>
            <w:r w:rsidRPr="00FD20C6">
              <w:rPr>
                <w:rStyle w:val="Strong"/>
                <w:rFonts w:ascii="Times New Roman" w:hAnsi="Times New Roman" w:cs="Times New Roman"/>
                <w:sz w:val="24"/>
                <w:szCs w:val="24"/>
              </w:rPr>
              <w:t>TOMATO DISEASES</w:t>
            </w:r>
          </w:p>
        </w:tc>
        <w:tc>
          <w:tcPr>
            <w:tcW w:w="0" w:type="auto"/>
            <w:vAlign w:val="center"/>
            <w:hideMark/>
          </w:tcPr>
          <w:p w14:paraId="02386E13"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49E38D05"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39A5C28D"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27255B83"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5F348495"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7CCF39B8" w14:textId="77777777" w:rsidR="003819FB" w:rsidRPr="00FD20C6" w:rsidRDefault="003819FB" w:rsidP="003819FB">
            <w:pPr>
              <w:jc w:val="both"/>
              <w:rPr>
                <w:rFonts w:ascii="Times New Roman" w:hAnsi="Times New Roman" w:cs="Times New Roman"/>
                <w:sz w:val="24"/>
                <w:szCs w:val="24"/>
              </w:rPr>
            </w:pPr>
          </w:p>
        </w:tc>
      </w:tr>
      <w:tr w:rsidR="003819FB" w:rsidRPr="00FD20C6" w14:paraId="0CB630B2" w14:textId="77777777" w:rsidTr="00FD20C6">
        <w:trPr>
          <w:tblCellSpacing w:w="15" w:type="dxa"/>
        </w:trPr>
        <w:tc>
          <w:tcPr>
            <w:tcW w:w="0" w:type="auto"/>
            <w:vAlign w:val="center"/>
            <w:hideMark/>
          </w:tcPr>
          <w:p w14:paraId="7DC37001"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Early Blight (Alternaria solani)</w:t>
            </w:r>
          </w:p>
        </w:tc>
        <w:tc>
          <w:tcPr>
            <w:tcW w:w="0" w:type="auto"/>
            <w:vAlign w:val="center"/>
            <w:hideMark/>
          </w:tcPr>
          <w:p w14:paraId="4DACD597"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94.2</w:t>
            </w:r>
          </w:p>
        </w:tc>
        <w:tc>
          <w:tcPr>
            <w:tcW w:w="0" w:type="auto"/>
            <w:vAlign w:val="center"/>
            <w:hideMark/>
          </w:tcPr>
          <w:p w14:paraId="7A8AEC2D"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93.8</w:t>
            </w:r>
          </w:p>
        </w:tc>
        <w:tc>
          <w:tcPr>
            <w:tcW w:w="0" w:type="auto"/>
            <w:vAlign w:val="center"/>
            <w:hideMark/>
          </w:tcPr>
          <w:p w14:paraId="3E9370E2"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94.0</w:t>
            </w:r>
          </w:p>
        </w:tc>
        <w:tc>
          <w:tcPr>
            <w:tcW w:w="0" w:type="auto"/>
            <w:vAlign w:val="center"/>
            <w:hideMark/>
          </w:tcPr>
          <w:p w14:paraId="395E75BA"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245</w:t>
            </w:r>
          </w:p>
        </w:tc>
        <w:tc>
          <w:tcPr>
            <w:tcW w:w="0" w:type="auto"/>
            <w:vAlign w:val="center"/>
            <w:hideMark/>
          </w:tcPr>
          <w:p w14:paraId="77D7426C"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Septoria Leaf Spot (4%)</w:t>
            </w:r>
          </w:p>
        </w:tc>
        <w:tc>
          <w:tcPr>
            <w:tcW w:w="0" w:type="auto"/>
            <w:vAlign w:val="center"/>
            <w:hideMark/>
          </w:tcPr>
          <w:p w14:paraId="181C31FB"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High - Yield loss 20-30% if untreated</w:t>
            </w:r>
          </w:p>
        </w:tc>
      </w:tr>
      <w:tr w:rsidR="003819FB" w:rsidRPr="00FD20C6" w14:paraId="709C4DA0" w14:textId="77777777" w:rsidTr="00FD20C6">
        <w:trPr>
          <w:tblCellSpacing w:w="15" w:type="dxa"/>
        </w:trPr>
        <w:tc>
          <w:tcPr>
            <w:tcW w:w="0" w:type="auto"/>
            <w:vAlign w:val="center"/>
            <w:hideMark/>
          </w:tcPr>
          <w:p w14:paraId="4476CD38"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 xml:space="preserve">Late Blight (Phytophthora </w:t>
            </w:r>
            <w:r w:rsidRPr="00FD20C6">
              <w:rPr>
                <w:rFonts w:ascii="Times New Roman" w:hAnsi="Times New Roman" w:cs="Times New Roman"/>
                <w:sz w:val="24"/>
                <w:szCs w:val="24"/>
              </w:rPr>
              <w:lastRenderedPageBreak/>
              <w:t>infestans)</w:t>
            </w:r>
          </w:p>
        </w:tc>
        <w:tc>
          <w:tcPr>
            <w:tcW w:w="0" w:type="auto"/>
            <w:vAlign w:val="center"/>
            <w:hideMark/>
          </w:tcPr>
          <w:p w14:paraId="1CABABCC"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lastRenderedPageBreak/>
              <w:t>95.7</w:t>
            </w:r>
          </w:p>
        </w:tc>
        <w:tc>
          <w:tcPr>
            <w:tcW w:w="0" w:type="auto"/>
            <w:vAlign w:val="center"/>
            <w:hideMark/>
          </w:tcPr>
          <w:p w14:paraId="00EA6B68"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96.1</w:t>
            </w:r>
          </w:p>
        </w:tc>
        <w:tc>
          <w:tcPr>
            <w:tcW w:w="0" w:type="auto"/>
            <w:vAlign w:val="center"/>
            <w:hideMark/>
          </w:tcPr>
          <w:p w14:paraId="3C273465"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95.9</w:t>
            </w:r>
          </w:p>
        </w:tc>
        <w:tc>
          <w:tcPr>
            <w:tcW w:w="0" w:type="auto"/>
            <w:vAlign w:val="center"/>
            <w:hideMark/>
          </w:tcPr>
          <w:p w14:paraId="4711E8B3"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231</w:t>
            </w:r>
          </w:p>
        </w:tc>
        <w:tc>
          <w:tcPr>
            <w:tcW w:w="0" w:type="auto"/>
            <w:vAlign w:val="center"/>
            <w:hideMark/>
          </w:tcPr>
          <w:p w14:paraId="1518F073"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Early Blight (2%)</w:t>
            </w:r>
          </w:p>
        </w:tc>
        <w:tc>
          <w:tcPr>
            <w:tcW w:w="0" w:type="auto"/>
            <w:vAlign w:val="center"/>
            <w:hideMark/>
          </w:tcPr>
          <w:p w14:paraId="78CD21F3"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 xml:space="preserve">Critical - Can destroy entire </w:t>
            </w:r>
            <w:r w:rsidRPr="00FD20C6">
              <w:rPr>
                <w:rFonts w:ascii="Times New Roman" w:hAnsi="Times New Roman" w:cs="Times New Roman"/>
                <w:sz w:val="24"/>
                <w:szCs w:val="24"/>
              </w:rPr>
              <w:lastRenderedPageBreak/>
              <w:t>crop</w:t>
            </w:r>
          </w:p>
        </w:tc>
      </w:tr>
      <w:tr w:rsidR="003819FB" w:rsidRPr="00FD20C6" w14:paraId="527D0A87" w14:textId="77777777" w:rsidTr="00FD20C6">
        <w:trPr>
          <w:tblCellSpacing w:w="15" w:type="dxa"/>
        </w:trPr>
        <w:tc>
          <w:tcPr>
            <w:tcW w:w="0" w:type="auto"/>
            <w:vAlign w:val="center"/>
            <w:hideMark/>
          </w:tcPr>
          <w:p w14:paraId="375AF820"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lastRenderedPageBreak/>
              <w:t>Septoria Leaf Spot</w:t>
            </w:r>
          </w:p>
        </w:tc>
        <w:tc>
          <w:tcPr>
            <w:tcW w:w="0" w:type="auto"/>
            <w:vAlign w:val="center"/>
            <w:hideMark/>
          </w:tcPr>
          <w:p w14:paraId="37EDA6FD"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87.3</w:t>
            </w:r>
          </w:p>
        </w:tc>
        <w:tc>
          <w:tcPr>
            <w:tcW w:w="0" w:type="auto"/>
            <w:vAlign w:val="center"/>
            <w:hideMark/>
          </w:tcPr>
          <w:p w14:paraId="332BF6B4"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86.9</w:t>
            </w:r>
          </w:p>
        </w:tc>
        <w:tc>
          <w:tcPr>
            <w:tcW w:w="0" w:type="auto"/>
            <w:vAlign w:val="center"/>
            <w:hideMark/>
          </w:tcPr>
          <w:p w14:paraId="38A4131C"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87.1</w:t>
            </w:r>
          </w:p>
        </w:tc>
        <w:tc>
          <w:tcPr>
            <w:tcW w:w="0" w:type="auto"/>
            <w:vAlign w:val="center"/>
            <w:hideMark/>
          </w:tcPr>
          <w:p w14:paraId="097DEA19"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198</w:t>
            </w:r>
          </w:p>
        </w:tc>
        <w:tc>
          <w:tcPr>
            <w:tcW w:w="0" w:type="auto"/>
            <w:vAlign w:val="center"/>
            <w:hideMark/>
          </w:tcPr>
          <w:p w14:paraId="3E8A7B27"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Bacterial Spot (9%)</w:t>
            </w:r>
          </w:p>
        </w:tc>
        <w:tc>
          <w:tcPr>
            <w:tcW w:w="0" w:type="auto"/>
            <w:vAlign w:val="center"/>
            <w:hideMark/>
          </w:tcPr>
          <w:p w14:paraId="61A3583D"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Moderate - Primarily affects foliage</w:t>
            </w:r>
          </w:p>
        </w:tc>
      </w:tr>
      <w:tr w:rsidR="003819FB" w:rsidRPr="00FD20C6" w14:paraId="64E11DC4" w14:textId="77777777" w:rsidTr="00FD20C6">
        <w:trPr>
          <w:tblCellSpacing w:w="15" w:type="dxa"/>
        </w:trPr>
        <w:tc>
          <w:tcPr>
            <w:tcW w:w="0" w:type="auto"/>
            <w:vAlign w:val="center"/>
            <w:hideMark/>
          </w:tcPr>
          <w:p w14:paraId="2209CC3D"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Bacterial Leaf Spot</w:t>
            </w:r>
          </w:p>
        </w:tc>
        <w:tc>
          <w:tcPr>
            <w:tcW w:w="0" w:type="auto"/>
            <w:vAlign w:val="center"/>
            <w:hideMark/>
          </w:tcPr>
          <w:p w14:paraId="6CED08EA"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88.6</w:t>
            </w:r>
          </w:p>
        </w:tc>
        <w:tc>
          <w:tcPr>
            <w:tcW w:w="0" w:type="auto"/>
            <w:vAlign w:val="center"/>
            <w:hideMark/>
          </w:tcPr>
          <w:p w14:paraId="5C7BE128"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87.2</w:t>
            </w:r>
          </w:p>
        </w:tc>
        <w:tc>
          <w:tcPr>
            <w:tcW w:w="0" w:type="auto"/>
            <w:vAlign w:val="center"/>
            <w:hideMark/>
          </w:tcPr>
          <w:p w14:paraId="1779A7F5"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87.9</w:t>
            </w:r>
          </w:p>
        </w:tc>
        <w:tc>
          <w:tcPr>
            <w:tcW w:w="0" w:type="auto"/>
            <w:vAlign w:val="center"/>
            <w:hideMark/>
          </w:tcPr>
          <w:p w14:paraId="312D0F1D"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189</w:t>
            </w:r>
          </w:p>
        </w:tc>
        <w:tc>
          <w:tcPr>
            <w:tcW w:w="0" w:type="auto"/>
            <w:vAlign w:val="center"/>
            <w:hideMark/>
          </w:tcPr>
          <w:p w14:paraId="28A98C5A"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Septoria Spot (8%)</w:t>
            </w:r>
          </w:p>
        </w:tc>
        <w:tc>
          <w:tcPr>
            <w:tcW w:w="0" w:type="auto"/>
            <w:vAlign w:val="center"/>
            <w:hideMark/>
          </w:tcPr>
          <w:p w14:paraId="0B7A10BF"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Moderate - Quality reduction</w:t>
            </w:r>
          </w:p>
        </w:tc>
      </w:tr>
      <w:tr w:rsidR="003819FB" w:rsidRPr="00FD20C6" w14:paraId="3E341F29" w14:textId="77777777" w:rsidTr="00FD20C6">
        <w:trPr>
          <w:tblCellSpacing w:w="15" w:type="dxa"/>
        </w:trPr>
        <w:tc>
          <w:tcPr>
            <w:tcW w:w="0" w:type="auto"/>
            <w:vAlign w:val="center"/>
            <w:hideMark/>
          </w:tcPr>
          <w:p w14:paraId="2B3FD2C1"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Powdery Mildew</w:t>
            </w:r>
          </w:p>
        </w:tc>
        <w:tc>
          <w:tcPr>
            <w:tcW w:w="0" w:type="auto"/>
            <w:vAlign w:val="center"/>
            <w:hideMark/>
          </w:tcPr>
          <w:p w14:paraId="4A84F4D4"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93.8</w:t>
            </w:r>
          </w:p>
        </w:tc>
        <w:tc>
          <w:tcPr>
            <w:tcW w:w="0" w:type="auto"/>
            <w:vAlign w:val="center"/>
            <w:hideMark/>
          </w:tcPr>
          <w:p w14:paraId="69B14420"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94.5</w:t>
            </w:r>
          </w:p>
        </w:tc>
        <w:tc>
          <w:tcPr>
            <w:tcW w:w="0" w:type="auto"/>
            <w:vAlign w:val="center"/>
            <w:hideMark/>
          </w:tcPr>
          <w:p w14:paraId="508F7B08"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94.1</w:t>
            </w:r>
          </w:p>
        </w:tc>
        <w:tc>
          <w:tcPr>
            <w:tcW w:w="0" w:type="auto"/>
            <w:vAlign w:val="center"/>
            <w:hideMark/>
          </w:tcPr>
          <w:p w14:paraId="2B6FC1F7"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212</w:t>
            </w:r>
          </w:p>
        </w:tc>
        <w:tc>
          <w:tcPr>
            <w:tcW w:w="0" w:type="auto"/>
            <w:vAlign w:val="center"/>
            <w:hideMark/>
          </w:tcPr>
          <w:p w14:paraId="7970F552"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Healthy (3%)</w:t>
            </w:r>
          </w:p>
        </w:tc>
        <w:tc>
          <w:tcPr>
            <w:tcW w:w="0" w:type="auto"/>
            <w:vAlign w:val="center"/>
            <w:hideMark/>
          </w:tcPr>
          <w:p w14:paraId="7D804DC3"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Moderate - Affects fruit marketability</w:t>
            </w:r>
          </w:p>
        </w:tc>
      </w:tr>
      <w:tr w:rsidR="003819FB" w:rsidRPr="00FD20C6" w14:paraId="32548307" w14:textId="77777777" w:rsidTr="00FD20C6">
        <w:trPr>
          <w:tblCellSpacing w:w="15" w:type="dxa"/>
        </w:trPr>
        <w:tc>
          <w:tcPr>
            <w:tcW w:w="0" w:type="auto"/>
            <w:vAlign w:val="center"/>
            <w:hideMark/>
          </w:tcPr>
          <w:p w14:paraId="709C4255"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TYLCV (Tomato Yellow Leaf Curl Virus)</w:t>
            </w:r>
          </w:p>
        </w:tc>
        <w:tc>
          <w:tcPr>
            <w:tcW w:w="0" w:type="auto"/>
            <w:vAlign w:val="center"/>
            <w:hideMark/>
          </w:tcPr>
          <w:p w14:paraId="35A999EF"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91.4</w:t>
            </w:r>
          </w:p>
        </w:tc>
        <w:tc>
          <w:tcPr>
            <w:tcW w:w="0" w:type="auto"/>
            <w:vAlign w:val="center"/>
            <w:hideMark/>
          </w:tcPr>
          <w:p w14:paraId="468344C2"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90.8</w:t>
            </w:r>
          </w:p>
        </w:tc>
        <w:tc>
          <w:tcPr>
            <w:tcW w:w="0" w:type="auto"/>
            <w:vAlign w:val="center"/>
            <w:hideMark/>
          </w:tcPr>
          <w:p w14:paraId="34F1A5A3"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91.1</w:t>
            </w:r>
          </w:p>
        </w:tc>
        <w:tc>
          <w:tcPr>
            <w:tcW w:w="0" w:type="auto"/>
            <w:vAlign w:val="center"/>
            <w:hideMark/>
          </w:tcPr>
          <w:p w14:paraId="356C2BEB"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176</w:t>
            </w:r>
          </w:p>
        </w:tc>
        <w:tc>
          <w:tcPr>
            <w:tcW w:w="0" w:type="auto"/>
            <w:vAlign w:val="center"/>
            <w:hideMark/>
          </w:tcPr>
          <w:p w14:paraId="11DD97B6"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Nutrient deficiency (5%)</w:t>
            </w:r>
          </w:p>
        </w:tc>
        <w:tc>
          <w:tcPr>
            <w:tcW w:w="0" w:type="auto"/>
            <w:vAlign w:val="center"/>
            <w:hideMark/>
          </w:tcPr>
          <w:p w14:paraId="7D11E393"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High - Transmitted by whiteflies</w:t>
            </w:r>
          </w:p>
        </w:tc>
      </w:tr>
      <w:tr w:rsidR="003819FB" w:rsidRPr="00FD20C6" w14:paraId="5B7F6B86" w14:textId="77777777" w:rsidTr="00FD20C6">
        <w:trPr>
          <w:tblCellSpacing w:w="15" w:type="dxa"/>
        </w:trPr>
        <w:tc>
          <w:tcPr>
            <w:tcW w:w="0" w:type="auto"/>
            <w:vAlign w:val="center"/>
            <w:hideMark/>
          </w:tcPr>
          <w:p w14:paraId="6F336A7F"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Healthy Tomato</w:t>
            </w:r>
          </w:p>
        </w:tc>
        <w:tc>
          <w:tcPr>
            <w:tcW w:w="0" w:type="auto"/>
            <w:vAlign w:val="center"/>
            <w:hideMark/>
          </w:tcPr>
          <w:p w14:paraId="22898ADE"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96.2</w:t>
            </w:r>
          </w:p>
        </w:tc>
        <w:tc>
          <w:tcPr>
            <w:tcW w:w="0" w:type="auto"/>
            <w:vAlign w:val="center"/>
            <w:hideMark/>
          </w:tcPr>
          <w:p w14:paraId="11A11C86"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95.8</w:t>
            </w:r>
          </w:p>
        </w:tc>
        <w:tc>
          <w:tcPr>
            <w:tcW w:w="0" w:type="auto"/>
            <w:vAlign w:val="center"/>
            <w:hideMark/>
          </w:tcPr>
          <w:p w14:paraId="6CD00B28"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96.0</w:t>
            </w:r>
          </w:p>
        </w:tc>
        <w:tc>
          <w:tcPr>
            <w:tcW w:w="0" w:type="auto"/>
            <w:vAlign w:val="center"/>
            <w:hideMark/>
          </w:tcPr>
          <w:p w14:paraId="0448EC81"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256</w:t>
            </w:r>
          </w:p>
        </w:tc>
        <w:tc>
          <w:tcPr>
            <w:tcW w:w="0" w:type="auto"/>
            <w:vAlign w:val="center"/>
            <w:hideMark/>
          </w:tcPr>
          <w:p w14:paraId="7CA5C4C9"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Minor confusion with early symptoms</w:t>
            </w:r>
          </w:p>
        </w:tc>
        <w:tc>
          <w:tcPr>
            <w:tcW w:w="0" w:type="auto"/>
            <w:vAlign w:val="center"/>
            <w:hideMark/>
          </w:tcPr>
          <w:p w14:paraId="7E7B4E7F"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N/A - Reference category</w:t>
            </w:r>
          </w:p>
        </w:tc>
      </w:tr>
      <w:tr w:rsidR="003819FB" w:rsidRPr="00FD20C6" w14:paraId="50EB2A7B" w14:textId="77777777" w:rsidTr="00FD20C6">
        <w:trPr>
          <w:tblCellSpacing w:w="15" w:type="dxa"/>
        </w:trPr>
        <w:tc>
          <w:tcPr>
            <w:tcW w:w="0" w:type="auto"/>
            <w:vAlign w:val="center"/>
            <w:hideMark/>
          </w:tcPr>
          <w:p w14:paraId="424CEA97" w14:textId="77777777" w:rsidR="003819FB" w:rsidRPr="00FD20C6" w:rsidRDefault="003819FB" w:rsidP="003819FB">
            <w:pPr>
              <w:jc w:val="both"/>
              <w:rPr>
                <w:rFonts w:ascii="Times New Roman" w:hAnsi="Times New Roman" w:cs="Times New Roman"/>
                <w:sz w:val="24"/>
                <w:szCs w:val="24"/>
              </w:rPr>
            </w:pPr>
            <w:r w:rsidRPr="00FD20C6">
              <w:rPr>
                <w:rStyle w:val="Strong"/>
                <w:rFonts w:ascii="Times New Roman" w:hAnsi="Times New Roman" w:cs="Times New Roman"/>
                <w:sz w:val="24"/>
                <w:szCs w:val="24"/>
              </w:rPr>
              <w:t>ONION DISEASES</w:t>
            </w:r>
          </w:p>
        </w:tc>
        <w:tc>
          <w:tcPr>
            <w:tcW w:w="0" w:type="auto"/>
            <w:vAlign w:val="center"/>
            <w:hideMark/>
          </w:tcPr>
          <w:p w14:paraId="1BD086D0"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29D098E1"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4285B5DF"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1E9F0674"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55C74CD5"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59DB6629" w14:textId="77777777" w:rsidR="003819FB" w:rsidRPr="00FD20C6" w:rsidRDefault="003819FB" w:rsidP="003819FB">
            <w:pPr>
              <w:jc w:val="both"/>
              <w:rPr>
                <w:rFonts w:ascii="Times New Roman" w:hAnsi="Times New Roman" w:cs="Times New Roman"/>
                <w:sz w:val="24"/>
                <w:szCs w:val="24"/>
              </w:rPr>
            </w:pPr>
          </w:p>
        </w:tc>
      </w:tr>
      <w:tr w:rsidR="003819FB" w:rsidRPr="00FD20C6" w14:paraId="1E08C466" w14:textId="77777777" w:rsidTr="00FD20C6">
        <w:trPr>
          <w:tblCellSpacing w:w="15" w:type="dxa"/>
        </w:trPr>
        <w:tc>
          <w:tcPr>
            <w:tcW w:w="0" w:type="auto"/>
            <w:vAlign w:val="center"/>
            <w:hideMark/>
          </w:tcPr>
          <w:p w14:paraId="68C986A0"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Purple Blotch (Alternaria porri)</w:t>
            </w:r>
          </w:p>
        </w:tc>
        <w:tc>
          <w:tcPr>
            <w:tcW w:w="0" w:type="auto"/>
            <w:vAlign w:val="center"/>
            <w:hideMark/>
          </w:tcPr>
          <w:p w14:paraId="163E8F14"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92.8</w:t>
            </w:r>
          </w:p>
        </w:tc>
        <w:tc>
          <w:tcPr>
            <w:tcW w:w="0" w:type="auto"/>
            <w:vAlign w:val="center"/>
            <w:hideMark/>
          </w:tcPr>
          <w:p w14:paraId="7903BBC4"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93.4</w:t>
            </w:r>
          </w:p>
        </w:tc>
        <w:tc>
          <w:tcPr>
            <w:tcW w:w="0" w:type="auto"/>
            <w:vAlign w:val="center"/>
            <w:hideMark/>
          </w:tcPr>
          <w:p w14:paraId="1F4755AD"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93.1</w:t>
            </w:r>
          </w:p>
        </w:tc>
        <w:tc>
          <w:tcPr>
            <w:tcW w:w="0" w:type="auto"/>
            <w:vAlign w:val="center"/>
            <w:hideMark/>
          </w:tcPr>
          <w:p w14:paraId="0EAE90E9"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223</w:t>
            </w:r>
          </w:p>
        </w:tc>
        <w:tc>
          <w:tcPr>
            <w:tcW w:w="0" w:type="auto"/>
            <w:vAlign w:val="center"/>
            <w:hideMark/>
          </w:tcPr>
          <w:p w14:paraId="59FA03EC"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Stemphylium Blight (4%)</w:t>
            </w:r>
          </w:p>
        </w:tc>
        <w:tc>
          <w:tcPr>
            <w:tcW w:w="0" w:type="auto"/>
            <w:vAlign w:val="center"/>
            <w:hideMark/>
          </w:tcPr>
          <w:p w14:paraId="6775674C"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High - Storage rot causal agent</w:t>
            </w:r>
          </w:p>
        </w:tc>
      </w:tr>
      <w:tr w:rsidR="003819FB" w:rsidRPr="00FD20C6" w14:paraId="1BF38F57" w14:textId="77777777" w:rsidTr="00FD20C6">
        <w:trPr>
          <w:tblCellSpacing w:w="15" w:type="dxa"/>
        </w:trPr>
        <w:tc>
          <w:tcPr>
            <w:tcW w:w="0" w:type="auto"/>
            <w:vAlign w:val="center"/>
            <w:hideMark/>
          </w:tcPr>
          <w:p w14:paraId="51634536"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Downy Mildew (Peronospora destructor)</w:t>
            </w:r>
          </w:p>
        </w:tc>
        <w:tc>
          <w:tcPr>
            <w:tcW w:w="0" w:type="auto"/>
            <w:vAlign w:val="center"/>
            <w:hideMark/>
          </w:tcPr>
          <w:p w14:paraId="6862FF62"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90.7</w:t>
            </w:r>
          </w:p>
        </w:tc>
        <w:tc>
          <w:tcPr>
            <w:tcW w:w="0" w:type="auto"/>
            <w:vAlign w:val="center"/>
            <w:hideMark/>
          </w:tcPr>
          <w:p w14:paraId="38EC397B"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91.3</w:t>
            </w:r>
          </w:p>
        </w:tc>
        <w:tc>
          <w:tcPr>
            <w:tcW w:w="0" w:type="auto"/>
            <w:vAlign w:val="center"/>
            <w:hideMark/>
          </w:tcPr>
          <w:p w14:paraId="5965E638"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91.0</w:t>
            </w:r>
          </w:p>
        </w:tc>
        <w:tc>
          <w:tcPr>
            <w:tcW w:w="0" w:type="auto"/>
            <w:vAlign w:val="center"/>
            <w:hideMark/>
          </w:tcPr>
          <w:p w14:paraId="353DD793"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207</w:t>
            </w:r>
          </w:p>
        </w:tc>
        <w:tc>
          <w:tcPr>
            <w:tcW w:w="0" w:type="auto"/>
            <w:vAlign w:val="center"/>
            <w:hideMark/>
          </w:tcPr>
          <w:p w14:paraId="2083E517"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Purple Blotch (6%)</w:t>
            </w:r>
          </w:p>
        </w:tc>
        <w:tc>
          <w:tcPr>
            <w:tcW w:w="0" w:type="auto"/>
            <w:vAlign w:val="center"/>
            <w:hideMark/>
          </w:tcPr>
          <w:p w14:paraId="7EF87027"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High - Bulb quality reduction</w:t>
            </w:r>
          </w:p>
        </w:tc>
      </w:tr>
      <w:tr w:rsidR="003819FB" w:rsidRPr="00FD20C6" w14:paraId="2F509543" w14:textId="77777777" w:rsidTr="00FD20C6">
        <w:trPr>
          <w:tblCellSpacing w:w="15" w:type="dxa"/>
        </w:trPr>
        <w:tc>
          <w:tcPr>
            <w:tcW w:w="0" w:type="auto"/>
            <w:vAlign w:val="center"/>
            <w:hideMark/>
          </w:tcPr>
          <w:p w14:paraId="69CECA27"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Stemphylium Blight</w:t>
            </w:r>
          </w:p>
        </w:tc>
        <w:tc>
          <w:tcPr>
            <w:tcW w:w="0" w:type="auto"/>
            <w:vAlign w:val="center"/>
            <w:hideMark/>
          </w:tcPr>
          <w:p w14:paraId="3D2E3A4C"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89.1</w:t>
            </w:r>
          </w:p>
        </w:tc>
        <w:tc>
          <w:tcPr>
            <w:tcW w:w="0" w:type="auto"/>
            <w:vAlign w:val="center"/>
            <w:hideMark/>
          </w:tcPr>
          <w:p w14:paraId="317F4050"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88.5</w:t>
            </w:r>
          </w:p>
        </w:tc>
        <w:tc>
          <w:tcPr>
            <w:tcW w:w="0" w:type="auto"/>
            <w:vAlign w:val="center"/>
            <w:hideMark/>
          </w:tcPr>
          <w:p w14:paraId="79D31A92"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88.8</w:t>
            </w:r>
          </w:p>
        </w:tc>
        <w:tc>
          <w:tcPr>
            <w:tcW w:w="0" w:type="auto"/>
            <w:vAlign w:val="center"/>
            <w:hideMark/>
          </w:tcPr>
          <w:p w14:paraId="32AF4741"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194</w:t>
            </w:r>
          </w:p>
        </w:tc>
        <w:tc>
          <w:tcPr>
            <w:tcW w:w="0" w:type="auto"/>
            <w:vAlign w:val="center"/>
            <w:hideMark/>
          </w:tcPr>
          <w:p w14:paraId="094D57F7"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Purple Blotch (7%)</w:t>
            </w:r>
          </w:p>
        </w:tc>
        <w:tc>
          <w:tcPr>
            <w:tcW w:w="0" w:type="auto"/>
            <w:vAlign w:val="center"/>
            <w:hideMark/>
          </w:tcPr>
          <w:p w14:paraId="77345FEA"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Moderate - Leaf damage primarily</w:t>
            </w:r>
          </w:p>
        </w:tc>
      </w:tr>
      <w:tr w:rsidR="003819FB" w:rsidRPr="00FD20C6" w14:paraId="5DAFC87A" w14:textId="77777777" w:rsidTr="00FD20C6">
        <w:trPr>
          <w:tblCellSpacing w:w="15" w:type="dxa"/>
        </w:trPr>
        <w:tc>
          <w:tcPr>
            <w:tcW w:w="0" w:type="auto"/>
            <w:vAlign w:val="center"/>
            <w:hideMark/>
          </w:tcPr>
          <w:p w14:paraId="417AEB8E"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Onion Rust (Puccinia allii)</w:t>
            </w:r>
          </w:p>
        </w:tc>
        <w:tc>
          <w:tcPr>
            <w:tcW w:w="0" w:type="auto"/>
            <w:vAlign w:val="center"/>
            <w:hideMark/>
          </w:tcPr>
          <w:p w14:paraId="23AB739D"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94.5</w:t>
            </w:r>
          </w:p>
        </w:tc>
        <w:tc>
          <w:tcPr>
            <w:tcW w:w="0" w:type="auto"/>
            <w:vAlign w:val="center"/>
            <w:hideMark/>
          </w:tcPr>
          <w:p w14:paraId="037F1D63"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93.9</w:t>
            </w:r>
          </w:p>
        </w:tc>
        <w:tc>
          <w:tcPr>
            <w:tcW w:w="0" w:type="auto"/>
            <w:vAlign w:val="center"/>
            <w:hideMark/>
          </w:tcPr>
          <w:p w14:paraId="3E972027"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94.2</w:t>
            </w:r>
          </w:p>
        </w:tc>
        <w:tc>
          <w:tcPr>
            <w:tcW w:w="0" w:type="auto"/>
            <w:vAlign w:val="center"/>
            <w:hideMark/>
          </w:tcPr>
          <w:p w14:paraId="46B9530E"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186</w:t>
            </w:r>
          </w:p>
        </w:tc>
        <w:tc>
          <w:tcPr>
            <w:tcW w:w="0" w:type="auto"/>
            <w:vAlign w:val="center"/>
            <w:hideMark/>
          </w:tcPr>
          <w:p w14:paraId="4EB42696"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Healthy (3%)</w:t>
            </w:r>
          </w:p>
        </w:tc>
        <w:tc>
          <w:tcPr>
            <w:tcW w:w="0" w:type="auto"/>
            <w:vAlign w:val="center"/>
            <w:hideMark/>
          </w:tcPr>
          <w:p w14:paraId="703934E9"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Moderate - Aesthetic damage</w:t>
            </w:r>
          </w:p>
        </w:tc>
      </w:tr>
      <w:tr w:rsidR="003819FB" w:rsidRPr="00FD20C6" w14:paraId="5FDAFFED" w14:textId="77777777" w:rsidTr="00FD20C6">
        <w:trPr>
          <w:tblCellSpacing w:w="15" w:type="dxa"/>
        </w:trPr>
        <w:tc>
          <w:tcPr>
            <w:tcW w:w="0" w:type="auto"/>
            <w:vAlign w:val="center"/>
            <w:hideMark/>
          </w:tcPr>
          <w:p w14:paraId="3BAAD7A6"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Fusarium Basal Rot</w:t>
            </w:r>
          </w:p>
        </w:tc>
        <w:tc>
          <w:tcPr>
            <w:tcW w:w="0" w:type="auto"/>
            <w:vAlign w:val="center"/>
            <w:hideMark/>
          </w:tcPr>
          <w:p w14:paraId="241FC14A"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86.2</w:t>
            </w:r>
          </w:p>
        </w:tc>
        <w:tc>
          <w:tcPr>
            <w:tcW w:w="0" w:type="auto"/>
            <w:vAlign w:val="center"/>
            <w:hideMark/>
          </w:tcPr>
          <w:p w14:paraId="71470062"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85.7</w:t>
            </w:r>
          </w:p>
        </w:tc>
        <w:tc>
          <w:tcPr>
            <w:tcW w:w="0" w:type="auto"/>
            <w:vAlign w:val="center"/>
            <w:hideMark/>
          </w:tcPr>
          <w:p w14:paraId="4BE69AE6"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85.9</w:t>
            </w:r>
          </w:p>
        </w:tc>
        <w:tc>
          <w:tcPr>
            <w:tcW w:w="0" w:type="auto"/>
            <w:vAlign w:val="center"/>
            <w:hideMark/>
          </w:tcPr>
          <w:p w14:paraId="68D14796"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168</w:t>
            </w:r>
          </w:p>
        </w:tc>
        <w:tc>
          <w:tcPr>
            <w:tcW w:w="0" w:type="auto"/>
            <w:vAlign w:val="center"/>
            <w:hideMark/>
          </w:tcPr>
          <w:p w14:paraId="3FB4441F"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Pink Root (10%)</w:t>
            </w:r>
          </w:p>
        </w:tc>
        <w:tc>
          <w:tcPr>
            <w:tcW w:w="0" w:type="auto"/>
            <w:vAlign w:val="center"/>
            <w:hideMark/>
          </w:tcPr>
          <w:p w14:paraId="01A6320E"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High - Bulb rot in storage</w:t>
            </w:r>
          </w:p>
        </w:tc>
      </w:tr>
      <w:tr w:rsidR="003819FB" w:rsidRPr="00FD20C6" w14:paraId="5C02A441" w14:textId="77777777" w:rsidTr="00FD20C6">
        <w:trPr>
          <w:tblCellSpacing w:w="15" w:type="dxa"/>
        </w:trPr>
        <w:tc>
          <w:tcPr>
            <w:tcW w:w="0" w:type="auto"/>
            <w:vAlign w:val="center"/>
            <w:hideMark/>
          </w:tcPr>
          <w:p w14:paraId="6F9913D1"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 xml:space="preserve">Pink Root Disease </w:t>
            </w:r>
            <w:r w:rsidRPr="00FD20C6">
              <w:rPr>
                <w:rFonts w:ascii="Times New Roman" w:hAnsi="Times New Roman" w:cs="Times New Roman"/>
                <w:sz w:val="24"/>
                <w:szCs w:val="24"/>
              </w:rPr>
              <w:lastRenderedPageBreak/>
              <w:t>(Phoma terrestris)</w:t>
            </w:r>
          </w:p>
        </w:tc>
        <w:tc>
          <w:tcPr>
            <w:tcW w:w="0" w:type="auto"/>
            <w:vAlign w:val="center"/>
            <w:hideMark/>
          </w:tcPr>
          <w:p w14:paraId="5E9A33BB"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lastRenderedPageBreak/>
              <w:t>87.4</w:t>
            </w:r>
          </w:p>
        </w:tc>
        <w:tc>
          <w:tcPr>
            <w:tcW w:w="0" w:type="auto"/>
            <w:vAlign w:val="center"/>
            <w:hideMark/>
          </w:tcPr>
          <w:p w14:paraId="5CBF820C"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86.8</w:t>
            </w:r>
          </w:p>
        </w:tc>
        <w:tc>
          <w:tcPr>
            <w:tcW w:w="0" w:type="auto"/>
            <w:vAlign w:val="center"/>
            <w:hideMark/>
          </w:tcPr>
          <w:p w14:paraId="39ECDC87"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87.1</w:t>
            </w:r>
          </w:p>
        </w:tc>
        <w:tc>
          <w:tcPr>
            <w:tcW w:w="0" w:type="auto"/>
            <w:vAlign w:val="center"/>
            <w:hideMark/>
          </w:tcPr>
          <w:p w14:paraId="4ED4FC89"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163</w:t>
            </w:r>
          </w:p>
        </w:tc>
        <w:tc>
          <w:tcPr>
            <w:tcW w:w="0" w:type="auto"/>
            <w:vAlign w:val="center"/>
            <w:hideMark/>
          </w:tcPr>
          <w:p w14:paraId="5BE8F746"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 xml:space="preserve">Fusarium Rot </w:t>
            </w:r>
            <w:r w:rsidRPr="00FD20C6">
              <w:rPr>
                <w:rFonts w:ascii="Times New Roman" w:hAnsi="Times New Roman" w:cs="Times New Roman"/>
                <w:sz w:val="24"/>
                <w:szCs w:val="24"/>
              </w:rPr>
              <w:lastRenderedPageBreak/>
              <w:t>(9%)</w:t>
            </w:r>
          </w:p>
        </w:tc>
        <w:tc>
          <w:tcPr>
            <w:tcW w:w="0" w:type="auto"/>
            <w:vAlign w:val="center"/>
            <w:hideMark/>
          </w:tcPr>
          <w:p w14:paraId="13631AAA"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lastRenderedPageBreak/>
              <w:t xml:space="preserve">Moderate - Root </w:t>
            </w:r>
            <w:r w:rsidRPr="00FD20C6">
              <w:rPr>
                <w:rFonts w:ascii="Times New Roman" w:hAnsi="Times New Roman" w:cs="Times New Roman"/>
                <w:sz w:val="24"/>
                <w:szCs w:val="24"/>
              </w:rPr>
              <w:lastRenderedPageBreak/>
              <w:t>system damage</w:t>
            </w:r>
          </w:p>
        </w:tc>
      </w:tr>
      <w:tr w:rsidR="003819FB" w:rsidRPr="00FD20C6" w14:paraId="0237AD9E" w14:textId="77777777" w:rsidTr="00FD20C6">
        <w:trPr>
          <w:tblCellSpacing w:w="15" w:type="dxa"/>
        </w:trPr>
        <w:tc>
          <w:tcPr>
            <w:tcW w:w="0" w:type="auto"/>
            <w:vAlign w:val="center"/>
            <w:hideMark/>
          </w:tcPr>
          <w:p w14:paraId="6C6429CD"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lastRenderedPageBreak/>
              <w:t>Healthy Onion</w:t>
            </w:r>
          </w:p>
        </w:tc>
        <w:tc>
          <w:tcPr>
            <w:tcW w:w="0" w:type="auto"/>
            <w:vAlign w:val="center"/>
            <w:hideMark/>
          </w:tcPr>
          <w:p w14:paraId="59A495A8"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95.8</w:t>
            </w:r>
          </w:p>
        </w:tc>
        <w:tc>
          <w:tcPr>
            <w:tcW w:w="0" w:type="auto"/>
            <w:vAlign w:val="center"/>
            <w:hideMark/>
          </w:tcPr>
          <w:p w14:paraId="1A0E355C"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96.2</w:t>
            </w:r>
          </w:p>
        </w:tc>
        <w:tc>
          <w:tcPr>
            <w:tcW w:w="0" w:type="auto"/>
            <w:vAlign w:val="center"/>
            <w:hideMark/>
          </w:tcPr>
          <w:p w14:paraId="2E21D068"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96.0</w:t>
            </w:r>
          </w:p>
        </w:tc>
        <w:tc>
          <w:tcPr>
            <w:tcW w:w="0" w:type="auto"/>
            <w:vAlign w:val="center"/>
            <w:hideMark/>
          </w:tcPr>
          <w:p w14:paraId="6244F248"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215</w:t>
            </w:r>
          </w:p>
        </w:tc>
        <w:tc>
          <w:tcPr>
            <w:tcW w:w="0" w:type="auto"/>
            <w:vAlign w:val="center"/>
            <w:hideMark/>
          </w:tcPr>
          <w:p w14:paraId="0A0F9F75"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Minor false positives</w:t>
            </w:r>
          </w:p>
        </w:tc>
        <w:tc>
          <w:tcPr>
            <w:tcW w:w="0" w:type="auto"/>
            <w:vAlign w:val="center"/>
            <w:hideMark/>
          </w:tcPr>
          <w:p w14:paraId="1465032E"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N/A - Reference category</w:t>
            </w:r>
          </w:p>
        </w:tc>
      </w:tr>
      <w:tr w:rsidR="003819FB" w:rsidRPr="00FD20C6" w14:paraId="5993D422" w14:textId="77777777" w:rsidTr="00FD20C6">
        <w:trPr>
          <w:tblCellSpacing w:w="15" w:type="dxa"/>
        </w:trPr>
        <w:tc>
          <w:tcPr>
            <w:tcW w:w="0" w:type="auto"/>
            <w:vAlign w:val="center"/>
            <w:hideMark/>
          </w:tcPr>
          <w:p w14:paraId="2D0C38D4" w14:textId="77777777" w:rsidR="003819FB" w:rsidRPr="00FD20C6" w:rsidRDefault="003819FB" w:rsidP="003819FB">
            <w:pPr>
              <w:jc w:val="both"/>
              <w:rPr>
                <w:rFonts w:ascii="Times New Roman" w:hAnsi="Times New Roman" w:cs="Times New Roman"/>
                <w:sz w:val="24"/>
                <w:szCs w:val="24"/>
              </w:rPr>
            </w:pPr>
            <w:r w:rsidRPr="00FD20C6">
              <w:rPr>
                <w:rStyle w:val="Strong"/>
                <w:rFonts w:ascii="Times New Roman" w:hAnsi="Times New Roman" w:cs="Times New Roman"/>
                <w:sz w:val="24"/>
                <w:szCs w:val="24"/>
              </w:rPr>
              <w:t>WEIGHTED AVERAGE</w:t>
            </w:r>
          </w:p>
        </w:tc>
        <w:tc>
          <w:tcPr>
            <w:tcW w:w="0" w:type="auto"/>
            <w:vAlign w:val="center"/>
            <w:hideMark/>
          </w:tcPr>
          <w:p w14:paraId="48ECD9DC" w14:textId="77777777" w:rsidR="003819FB" w:rsidRPr="00FD20C6" w:rsidRDefault="003819FB" w:rsidP="003819FB">
            <w:pPr>
              <w:jc w:val="both"/>
              <w:rPr>
                <w:rFonts w:ascii="Times New Roman" w:hAnsi="Times New Roman" w:cs="Times New Roman"/>
                <w:sz w:val="24"/>
                <w:szCs w:val="24"/>
              </w:rPr>
            </w:pPr>
            <w:r w:rsidRPr="00FD20C6">
              <w:rPr>
                <w:rFonts w:ascii="Times New Roman" w:hAnsi="Times New Roman" w:cs="Times New Roman"/>
                <w:sz w:val="24"/>
                <w:szCs w:val="24"/>
              </w:rPr>
              <w:t>**91.7</w:t>
            </w:r>
          </w:p>
        </w:tc>
        <w:tc>
          <w:tcPr>
            <w:tcW w:w="0" w:type="auto"/>
            <w:vAlign w:val="center"/>
            <w:hideMark/>
          </w:tcPr>
          <w:p w14:paraId="416EAA48"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4D87726F"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603DE3D7"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415A8EF0" w14:textId="77777777" w:rsidR="003819FB" w:rsidRPr="00FD20C6" w:rsidRDefault="003819FB" w:rsidP="003819FB">
            <w:pPr>
              <w:jc w:val="both"/>
              <w:rPr>
                <w:rFonts w:ascii="Times New Roman" w:hAnsi="Times New Roman" w:cs="Times New Roman"/>
                <w:sz w:val="24"/>
                <w:szCs w:val="24"/>
              </w:rPr>
            </w:pPr>
          </w:p>
        </w:tc>
        <w:tc>
          <w:tcPr>
            <w:tcW w:w="0" w:type="auto"/>
            <w:vAlign w:val="center"/>
            <w:hideMark/>
          </w:tcPr>
          <w:p w14:paraId="4A2A733D" w14:textId="77777777" w:rsidR="003819FB" w:rsidRPr="00FD20C6" w:rsidRDefault="003819FB" w:rsidP="003819FB">
            <w:pPr>
              <w:jc w:val="both"/>
              <w:rPr>
                <w:rFonts w:ascii="Times New Roman" w:hAnsi="Times New Roman" w:cs="Times New Roman"/>
                <w:sz w:val="24"/>
                <w:szCs w:val="24"/>
              </w:rPr>
            </w:pPr>
          </w:p>
        </w:tc>
      </w:tr>
    </w:tbl>
    <w:p w14:paraId="173E088D" w14:textId="77777777" w:rsidR="003819FB" w:rsidRPr="00FD20C6" w:rsidRDefault="003819FB" w:rsidP="00CD5B1F">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GB"/>
        </w:rPr>
      </w:pPr>
    </w:p>
    <w:p w14:paraId="41DAC7CA" w14:textId="77777777" w:rsidR="00CD5B1F" w:rsidRDefault="00CD5B1F" w:rsidP="00CD5B1F">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GB"/>
        </w:rPr>
        <w:sectPr w:rsidR="00CD5B1F" w:rsidSect="00615546">
          <w:type w:val="continuous"/>
          <w:pgSz w:w="11906" w:h="16838"/>
          <w:pgMar w:top="1440" w:right="1440" w:bottom="1440" w:left="1440" w:header="708" w:footer="708" w:gutter="0"/>
          <w:cols w:space="708"/>
          <w:docGrid w:linePitch="360"/>
        </w:sectPr>
      </w:pPr>
    </w:p>
    <w:p w14:paraId="012F5D90" w14:textId="77777777" w:rsidR="003819FB" w:rsidRPr="00FD20C6" w:rsidRDefault="003819FB" w:rsidP="00CD5B1F">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GB"/>
        </w:rPr>
      </w:pPr>
      <w:r w:rsidRPr="00FD20C6">
        <w:rPr>
          <w:rFonts w:ascii="Times New Roman" w:eastAsia="Times New Roman" w:hAnsi="Times New Roman" w:cs="Times New Roman"/>
          <w:b/>
          <w:bCs/>
          <w:kern w:val="36"/>
          <w:sz w:val="24"/>
          <w:szCs w:val="24"/>
          <w:lang w:eastAsia="en-GB"/>
        </w:rPr>
        <w:t>CONCLUSIONS, FUTURE WORK &amp; REFERENCES</w:t>
      </w:r>
    </w:p>
    <w:p w14:paraId="1125143D" w14:textId="77777777" w:rsidR="003819FB" w:rsidRPr="00FD20C6" w:rsidRDefault="003819FB" w:rsidP="00CD5B1F">
      <w:pPr>
        <w:spacing w:before="100" w:beforeAutospacing="1" w:after="100" w:afterAutospacing="1" w:line="240" w:lineRule="auto"/>
        <w:jc w:val="both"/>
        <w:outlineLvl w:val="1"/>
        <w:rPr>
          <w:rFonts w:ascii="Times New Roman" w:eastAsia="Times New Roman" w:hAnsi="Times New Roman" w:cs="Times New Roman"/>
          <w:b/>
          <w:bCs/>
          <w:sz w:val="24"/>
          <w:szCs w:val="24"/>
          <w:lang w:eastAsia="en-GB"/>
        </w:rPr>
      </w:pPr>
      <w:r w:rsidRPr="00FD20C6">
        <w:rPr>
          <w:rFonts w:ascii="Times New Roman" w:eastAsia="Times New Roman" w:hAnsi="Times New Roman" w:cs="Times New Roman"/>
          <w:b/>
          <w:bCs/>
          <w:sz w:val="24"/>
          <w:szCs w:val="24"/>
          <w:lang w:eastAsia="en-GB"/>
        </w:rPr>
        <w:t>6. CONCLUSIONS</w:t>
      </w:r>
    </w:p>
    <w:p w14:paraId="5686211B"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This investigation establishes that integrating nature-positive development principles with artificial intelligence technologies and community empowerment mechanisms creates a transformative pathway for sustainable rural advancement. The validated smart village framework successfully synthesizes crop disease surveillance, precision resource management, ecosystem restoration, and participatory governance to address interconnected challenges of agricultural productivity, environmental degradation, and rural livelihoods.</w:t>
      </w:r>
    </w:p>
    <w:p w14:paraId="72B0EFF2"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Empirical validation across three Tamil Nadu villages over eighteen months confirms substantial multi-dimensional benefits. Agricultural outcomes demonstrated 22% average yield increases for tomato and onion crops, accompanied by 50% reduction in disease-related losses through early detection and targeted intervention. The AI-powered diagnostic system achieved 92.3% classification accuracy while maintaining deployment feasibility on mobile devices, enabling real-time field-level diagnostics accessible to resource-constrained farmers.</w:t>
      </w:r>
    </w:p>
    <w:p w14:paraId="08F20510"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Environmental restoration outcomes proved equally significant: water consumption decreased 35% through sensor-guided precision irrigation, pesticide applications reduced 40% via disease-specific targeting, soil organic carbon increased 39% through regenerative practices, and biodiversity indicators improved substantially (Simpson's Diversity Index: 0.68→0.81, representing 19% enhancement). These ecological gains demonstrate that technology deployment, when aligned with nature-positive principles, can simultaneously advance agricultural productivity and environmental health rather than requiring tradeoffs.</w:t>
      </w:r>
    </w:p>
    <w:p w14:paraId="47B8EAE3"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Social empowerment outcomes validated the community-centric approach: digital literacy rates doubled from 38% to 76%, women's participation in agricultural decisions increased 142%, youth volunteer engagement expanded 292%, and community meeting attendance grew 73%. Economic viability proved compelling with 247% return on investment over eighteen months, ₹13,092 average per-farmer annual income gains, and 7.2-month payback period making adoption financially attractive even for smallholder farmers.</w:t>
      </w:r>
    </w:p>
    <w:p w14:paraId="1C17E986"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The framework's modular, scalable architecture demonstrated adaptability </w:t>
      </w:r>
      <w:r w:rsidRPr="00FD20C6">
        <w:rPr>
          <w:rFonts w:ascii="Times New Roman" w:eastAsia="Times New Roman" w:hAnsi="Times New Roman" w:cs="Times New Roman"/>
          <w:sz w:val="24"/>
          <w:szCs w:val="24"/>
          <w:lang w:eastAsia="en-GB"/>
        </w:rPr>
        <w:lastRenderedPageBreak/>
        <w:t>across diverse agroecological contexts with practical replication requirements including minimum 3G mobile connectivity, local technology champions (1 per 50-75 farmers), panchayat institutional commitment, and initial capital investment (₹3,769 per farmer average). These requirements position the framework as viable for widespread deployment across an estimated 100,000+ Indian villages with similar demographic and infrastructure characteristics.</w:t>
      </w:r>
    </w:p>
    <w:p w14:paraId="5C667219"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Critical success factors identified through implementation include: genuine participatory design incorporating farmer feedback, capacity building creating local technical expertise, culturally appropriate interfaces using vernacular languages and voice interaction, visible early benefits demonstrating value proposition, and integration of indigenous knowledge with technological innovation. Technology deployment absent these factors risks replicating failed top-down development models.</w:t>
      </w:r>
    </w:p>
    <w:p w14:paraId="613420AA"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This research advances theoretical understanding of how appropriately designed, community-governed technology can catalyze rural resilience, productivity, and environmental balance simultaneously. By demonstrating practical implementation of nature-positive development at village scale, this framework offers a replicable model for achieving United Nations Sustainable Development Goals 2 (Zero Hunger), 6 (Clean Water and Sanitation), 11 (Sustainable Communities), 13 (Climate Action), and 15 (Life on Land) while empowering rural communities to navigate climate uncertainty and resource constraints.</w:t>
      </w:r>
    </w:p>
    <w:p w14:paraId="27D61611"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Rural communities can effectively address interconnected challenges of climate variability, water scarcity, and crop protection through integrated systems combining early disease surveillance, </w:t>
      </w:r>
      <w:r w:rsidRPr="00FD20C6">
        <w:rPr>
          <w:rFonts w:ascii="Times New Roman" w:eastAsia="Times New Roman" w:hAnsi="Times New Roman" w:cs="Times New Roman"/>
          <w:sz w:val="24"/>
          <w:szCs w:val="24"/>
          <w:lang w:eastAsia="en-GB"/>
        </w:rPr>
        <w:t>weather-informed decision support, precision resource management, and participatory governance. The empirical evidence presented suggests that technology, when aligned with ecological restoration principles and community agency, becomes a powerful enabler of sustainable rural futures rather than merely a connectivity or service delivery tool.</w:t>
      </w:r>
    </w:p>
    <w:p w14:paraId="5B194AC3" w14:textId="77777777" w:rsidR="003819FB" w:rsidRPr="00FD20C6" w:rsidRDefault="003819FB" w:rsidP="00CD5B1F">
      <w:pPr>
        <w:spacing w:before="100" w:beforeAutospacing="1" w:after="100" w:afterAutospacing="1" w:line="240" w:lineRule="auto"/>
        <w:jc w:val="both"/>
        <w:outlineLvl w:val="1"/>
        <w:rPr>
          <w:rFonts w:ascii="Times New Roman" w:eastAsia="Times New Roman" w:hAnsi="Times New Roman" w:cs="Times New Roman"/>
          <w:b/>
          <w:bCs/>
          <w:sz w:val="24"/>
          <w:szCs w:val="24"/>
          <w:lang w:eastAsia="en-GB"/>
        </w:rPr>
      </w:pPr>
      <w:r w:rsidRPr="00FD20C6">
        <w:rPr>
          <w:rFonts w:ascii="Times New Roman" w:eastAsia="Times New Roman" w:hAnsi="Times New Roman" w:cs="Times New Roman"/>
          <w:b/>
          <w:bCs/>
          <w:sz w:val="24"/>
          <w:szCs w:val="24"/>
          <w:lang w:eastAsia="en-GB"/>
        </w:rPr>
        <w:t>7. FUTURE RESEARCH DIRECTIONS</w:t>
      </w:r>
    </w:p>
    <w:p w14:paraId="74560AB4" w14:textId="77777777" w:rsidR="003819FB" w:rsidRPr="00FD20C6" w:rsidRDefault="003819FB" w:rsidP="00CD5B1F">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FD20C6">
        <w:rPr>
          <w:rFonts w:ascii="Times New Roman" w:eastAsia="Times New Roman" w:hAnsi="Times New Roman" w:cs="Times New Roman"/>
          <w:b/>
          <w:bCs/>
          <w:sz w:val="24"/>
          <w:szCs w:val="24"/>
          <w:lang w:eastAsia="en-GB"/>
        </w:rPr>
        <w:t>7.1 Technological Expansion and Enhancement</w:t>
      </w:r>
    </w:p>
    <w:p w14:paraId="23E5A2DD"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Multi-Crop Disease Detection Systems:</w:t>
      </w:r>
      <w:r w:rsidRPr="00FD20C6">
        <w:rPr>
          <w:rFonts w:ascii="Times New Roman" w:eastAsia="Times New Roman" w:hAnsi="Times New Roman" w:cs="Times New Roman"/>
          <w:sz w:val="24"/>
          <w:szCs w:val="24"/>
          <w:lang w:eastAsia="en-GB"/>
        </w:rPr>
        <w:t xml:space="preserve"> Extend AI diagnostic capabilities to additional economically significant crops including rice (Oryza sativa), wheat (Triticum aestivum), chili pepper (Capsicum annuum), and cucurbit vegetables with region-specific disease profiles. Development timeline: 12-18 months including field validation.</w:t>
      </w:r>
    </w:p>
    <w:p w14:paraId="3BA5BB59"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Autonomous Aerial Monitoring:</w:t>
      </w:r>
      <w:r w:rsidRPr="00FD20C6">
        <w:rPr>
          <w:rFonts w:ascii="Times New Roman" w:eastAsia="Times New Roman" w:hAnsi="Times New Roman" w:cs="Times New Roman"/>
          <w:sz w:val="24"/>
          <w:szCs w:val="24"/>
          <w:lang w:eastAsia="en-GB"/>
        </w:rPr>
        <w:t xml:space="preserve"> Implement fully automated UAV-based field scanning with edge computing capabilities enabling real-time disease detection, stress identification, and growth monitoring without human piloting. Integration with collision avoidance systems for safe autonomous operation in rural airspace.</w:t>
      </w:r>
    </w:p>
    <w:p w14:paraId="60110E9C"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Integrated Pest Detection:</w:t>
      </w:r>
      <w:r w:rsidRPr="00FD20C6">
        <w:rPr>
          <w:rFonts w:ascii="Times New Roman" w:eastAsia="Times New Roman" w:hAnsi="Times New Roman" w:cs="Times New Roman"/>
          <w:sz w:val="24"/>
          <w:szCs w:val="24"/>
          <w:lang w:eastAsia="en-GB"/>
        </w:rPr>
        <w:t xml:space="preserve"> Expand computer vision capabilities beyond disease diagnostics to include insect pest identification, nutrient deficiency assessment, and weed species recognition using multi-task learning architectures for comprehensive crop health monitoring.</w:t>
      </w:r>
    </w:p>
    <w:p w14:paraId="096A693E"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Predictive Disease Outbreak Modeling:</w:t>
      </w:r>
      <w:r w:rsidRPr="00FD20C6">
        <w:rPr>
          <w:rFonts w:ascii="Times New Roman" w:eastAsia="Times New Roman" w:hAnsi="Times New Roman" w:cs="Times New Roman"/>
          <w:sz w:val="24"/>
          <w:szCs w:val="24"/>
          <w:lang w:eastAsia="en-GB"/>
        </w:rPr>
        <w:t xml:space="preserve"> Develop machine learning models forecasting disease outbreak probability based on integrated environmental conditions (temperature, humidity, rainfall), crop phenology, historical disease </w:t>
      </w:r>
      <w:r w:rsidRPr="00FD20C6">
        <w:rPr>
          <w:rFonts w:ascii="Times New Roman" w:eastAsia="Times New Roman" w:hAnsi="Times New Roman" w:cs="Times New Roman"/>
          <w:sz w:val="24"/>
          <w:szCs w:val="24"/>
          <w:lang w:eastAsia="en-GB"/>
        </w:rPr>
        <w:lastRenderedPageBreak/>
        <w:t>patterns, and pathogen lifecycle models. Enable proactive rather than reactive disease management.</w:t>
      </w:r>
    </w:p>
    <w:p w14:paraId="52541895"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Advanced Sensor Integration:</w:t>
      </w:r>
      <w:r w:rsidRPr="00FD20C6">
        <w:rPr>
          <w:rFonts w:ascii="Times New Roman" w:eastAsia="Times New Roman" w:hAnsi="Times New Roman" w:cs="Times New Roman"/>
          <w:sz w:val="24"/>
          <w:szCs w:val="24"/>
          <w:lang w:eastAsia="en-GB"/>
        </w:rPr>
        <w:t xml:space="preserve"> Incorporate hyperspectral imaging sensors for early disease detection before visible symptom manifestation, thermal imaging for plant stress assessment, and soil penetrating radar for subsurface moisture mapping.</w:t>
      </w:r>
    </w:p>
    <w:p w14:paraId="7F3FFAA5" w14:textId="77777777" w:rsidR="003819FB" w:rsidRPr="00FD20C6" w:rsidRDefault="003819FB" w:rsidP="00CD5B1F">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FD20C6">
        <w:rPr>
          <w:rFonts w:ascii="Times New Roman" w:eastAsia="Times New Roman" w:hAnsi="Times New Roman" w:cs="Times New Roman"/>
          <w:b/>
          <w:bCs/>
          <w:sz w:val="24"/>
          <w:szCs w:val="24"/>
          <w:lang w:eastAsia="en-GB"/>
        </w:rPr>
        <w:t>7.2 Environmental Monitoring and Carbon Accounting</w:t>
      </w:r>
    </w:p>
    <w:p w14:paraId="547F8912"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Soil Microbiome Characterization:</w:t>
      </w:r>
      <w:r w:rsidRPr="00FD20C6">
        <w:rPr>
          <w:rFonts w:ascii="Times New Roman" w:eastAsia="Times New Roman" w:hAnsi="Times New Roman" w:cs="Times New Roman"/>
          <w:sz w:val="24"/>
          <w:szCs w:val="24"/>
          <w:lang w:eastAsia="en-GB"/>
        </w:rPr>
        <w:t xml:space="preserve"> Implement metagenomic sequencing and high-throughput analysis platforms for comprehensive soil microbial community profiling. Correlate microbial diversity with soil health outcomes, disease suppression capacity, and carbon sequestration potential.</w:t>
      </w:r>
    </w:p>
    <w:p w14:paraId="3BBA5E91"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Carbon Sequestration Verification:</w:t>
      </w:r>
      <w:r w:rsidRPr="00FD20C6">
        <w:rPr>
          <w:rFonts w:ascii="Times New Roman" w:eastAsia="Times New Roman" w:hAnsi="Times New Roman" w:cs="Times New Roman"/>
          <w:sz w:val="24"/>
          <w:szCs w:val="24"/>
          <w:lang w:eastAsia="en-GB"/>
        </w:rPr>
        <w:t xml:space="preserve"> Establish rigorous carbon accounting methodology combining direct soil sampling, remote sensing validation, and process-based modeling. Integration with voluntary carbon markets enabling farmer income diversification through carbon credit generation.</w:t>
      </w:r>
    </w:p>
    <w:p w14:paraId="77CAB125"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Ecosystem Service Valuation:</w:t>
      </w:r>
      <w:r w:rsidRPr="00FD20C6">
        <w:rPr>
          <w:rFonts w:ascii="Times New Roman" w:eastAsia="Times New Roman" w:hAnsi="Times New Roman" w:cs="Times New Roman"/>
          <w:sz w:val="24"/>
          <w:szCs w:val="24"/>
          <w:lang w:eastAsia="en-GB"/>
        </w:rPr>
        <w:t xml:space="preserve"> Develop comprehensive economic valuation frameworks quantifying biodiversity benefits, pollination services, natural pest regulation, water purification, and climate regulation provided by restored agroecosystems. Demonstrate total value proposition beyond agricultural productivity.</w:t>
      </w:r>
    </w:p>
    <w:p w14:paraId="35FADBCB"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Climate Impact Modeling:</w:t>
      </w:r>
      <w:r w:rsidRPr="00FD20C6">
        <w:rPr>
          <w:rFonts w:ascii="Times New Roman" w:eastAsia="Times New Roman" w:hAnsi="Times New Roman" w:cs="Times New Roman"/>
          <w:sz w:val="24"/>
          <w:szCs w:val="24"/>
          <w:lang w:eastAsia="en-GB"/>
        </w:rPr>
        <w:t xml:space="preserve"> Create localized climate change impact models predicting effects on crop suitability, water availability, pest/disease pressure, and extreme weather frequency. Enable long-term adaptive planning at village and regional scales.</w:t>
      </w:r>
    </w:p>
    <w:p w14:paraId="73CEBE41"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Water Quality Monitoring:</w:t>
      </w:r>
      <w:r w:rsidRPr="00FD20C6">
        <w:rPr>
          <w:rFonts w:ascii="Times New Roman" w:eastAsia="Times New Roman" w:hAnsi="Times New Roman" w:cs="Times New Roman"/>
          <w:sz w:val="24"/>
          <w:szCs w:val="24"/>
          <w:lang w:eastAsia="en-GB"/>
        </w:rPr>
        <w:t xml:space="preserve"> Expand sensor networks to include real-time water quality monitoring (electrical conductivity, pH, dissolved oxygen, nitrate/phosphate concentrations) for irrigation water sources and downstream water bodies assessing agricultural runoff impacts.</w:t>
      </w:r>
    </w:p>
    <w:p w14:paraId="5D65B6B4" w14:textId="77777777" w:rsidR="003819FB" w:rsidRPr="00FD20C6" w:rsidRDefault="003819FB" w:rsidP="00CD5B1F">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FD20C6">
        <w:rPr>
          <w:rFonts w:ascii="Times New Roman" w:eastAsia="Times New Roman" w:hAnsi="Times New Roman" w:cs="Times New Roman"/>
          <w:b/>
          <w:bCs/>
          <w:sz w:val="24"/>
          <w:szCs w:val="24"/>
          <w:lang w:eastAsia="en-GB"/>
        </w:rPr>
        <w:t>7.3 Market Integration and Value Chain Development</w:t>
      </w:r>
    </w:p>
    <w:p w14:paraId="221EF13B"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Blockchain-Based Traceability:</w:t>
      </w:r>
      <w:r w:rsidRPr="00FD20C6">
        <w:rPr>
          <w:rFonts w:ascii="Times New Roman" w:eastAsia="Times New Roman" w:hAnsi="Times New Roman" w:cs="Times New Roman"/>
          <w:sz w:val="24"/>
          <w:szCs w:val="24"/>
          <w:lang w:eastAsia="en-GB"/>
        </w:rPr>
        <w:t xml:space="preserve"> Implement distributed ledger technology for complete farm-to-consumer traceability enabling premium market access for sustainably produced crops. Integration with quality certification (organic, integrated pest management, carbon-neutral) for price premiums.</w:t>
      </w:r>
    </w:p>
    <w:p w14:paraId="1819361C"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Automated Quality Assessment:</w:t>
      </w:r>
      <w:r w:rsidRPr="00FD20C6">
        <w:rPr>
          <w:rFonts w:ascii="Times New Roman" w:eastAsia="Times New Roman" w:hAnsi="Times New Roman" w:cs="Times New Roman"/>
          <w:sz w:val="24"/>
          <w:szCs w:val="24"/>
          <w:lang w:eastAsia="en-GB"/>
        </w:rPr>
        <w:t xml:space="preserve"> Develop computer vision systems for non-destructive produce quality grading based on size, color, shape, and surface defects. Enable objective quality-based pricing and reduce post-harvest losses through better sorting.</w:t>
      </w:r>
    </w:p>
    <w:p w14:paraId="1A3D8333"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Direct Market Linkages:</w:t>
      </w:r>
      <w:r w:rsidRPr="00FD20C6">
        <w:rPr>
          <w:rFonts w:ascii="Times New Roman" w:eastAsia="Times New Roman" w:hAnsi="Times New Roman" w:cs="Times New Roman"/>
          <w:sz w:val="24"/>
          <w:szCs w:val="24"/>
          <w:lang w:eastAsia="en-GB"/>
        </w:rPr>
        <w:t xml:space="preserve"> Create digital platforms directly connecting farmers with urban consumers, food processors, and institutional buyers. Eliminate intermediary margins while providing market price transparency and demand forecasting capabilities.</w:t>
      </w:r>
    </w:p>
    <w:p w14:paraId="44DF09C1"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Fair Trade Integration:</w:t>
      </w:r>
      <w:r w:rsidRPr="00FD20C6">
        <w:rPr>
          <w:rFonts w:ascii="Times New Roman" w:eastAsia="Times New Roman" w:hAnsi="Times New Roman" w:cs="Times New Roman"/>
          <w:sz w:val="24"/>
          <w:szCs w:val="24"/>
          <w:lang w:eastAsia="en-GB"/>
        </w:rPr>
        <w:t xml:space="preserve"> Design systems ensuring equitable value distribution throughout agricultural supply chains. Transparent pricing mechanisms, quality-based premiums, and cooperative marketing structures maximizing farmer income realization.</w:t>
      </w:r>
    </w:p>
    <w:p w14:paraId="3B85FCDE"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Cold Chain Integration:</w:t>
      </w:r>
      <w:r w:rsidRPr="00FD20C6">
        <w:rPr>
          <w:rFonts w:ascii="Times New Roman" w:eastAsia="Times New Roman" w:hAnsi="Times New Roman" w:cs="Times New Roman"/>
          <w:sz w:val="24"/>
          <w:szCs w:val="24"/>
          <w:lang w:eastAsia="en-GB"/>
        </w:rPr>
        <w:t xml:space="preserve"> Develop IoT-enabled cold storage monitoring systems tracking temperature, humidity, and produce condition throughout post-harvest handling. Reduce losses and maintain quality for extended market windows.</w:t>
      </w:r>
    </w:p>
    <w:p w14:paraId="1E429CA1" w14:textId="77777777" w:rsidR="003819FB" w:rsidRPr="00FD20C6" w:rsidRDefault="003819FB" w:rsidP="00CD5B1F">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FD20C6">
        <w:rPr>
          <w:rFonts w:ascii="Times New Roman" w:eastAsia="Times New Roman" w:hAnsi="Times New Roman" w:cs="Times New Roman"/>
          <w:b/>
          <w:bCs/>
          <w:sz w:val="24"/>
          <w:szCs w:val="24"/>
          <w:lang w:eastAsia="en-GB"/>
        </w:rPr>
        <w:lastRenderedPageBreak/>
        <w:t>7.4 Social Innovation and Governance</w:t>
      </w:r>
    </w:p>
    <w:p w14:paraId="7C7F8701"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Intergenerational Knowledge Documentation:</w:t>
      </w:r>
      <w:r w:rsidRPr="00FD20C6">
        <w:rPr>
          <w:rFonts w:ascii="Times New Roman" w:eastAsia="Times New Roman" w:hAnsi="Times New Roman" w:cs="Times New Roman"/>
          <w:sz w:val="24"/>
          <w:szCs w:val="24"/>
          <w:lang w:eastAsia="en-GB"/>
        </w:rPr>
        <w:t xml:space="preserve"> Create digital archives systematically documenting traditional agricultural knowledge, indigenous crop varieties, local weather prediction methods, and ecological management practices. Combine with contemporary scientific knowledge for hybrid innovation.</w:t>
      </w:r>
    </w:p>
    <w:p w14:paraId="436B2C3F"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Cross-Village Learning Networks:</w:t>
      </w:r>
      <w:r w:rsidRPr="00FD20C6">
        <w:rPr>
          <w:rFonts w:ascii="Times New Roman" w:eastAsia="Times New Roman" w:hAnsi="Times New Roman" w:cs="Times New Roman"/>
          <w:sz w:val="24"/>
          <w:szCs w:val="24"/>
          <w:lang w:eastAsia="en-GB"/>
        </w:rPr>
        <w:t xml:space="preserve"> Establish inter-community platforms enabling knowledge sharing, best practice dissemination, resource pooling, and collective action across multiple villages. Peer-to-peer learning often more effective than top-down extension.</w:t>
      </w:r>
    </w:p>
    <w:p w14:paraId="018D4289"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Policy Integration Frameworks:</w:t>
      </w:r>
      <w:r w:rsidRPr="00FD20C6">
        <w:rPr>
          <w:rFonts w:ascii="Times New Roman" w:eastAsia="Times New Roman" w:hAnsi="Times New Roman" w:cs="Times New Roman"/>
          <w:sz w:val="24"/>
          <w:szCs w:val="24"/>
          <w:lang w:eastAsia="en-GB"/>
        </w:rPr>
        <w:t xml:space="preserve"> Develop methodologies for incorporating village-level monitoring data into district, state, and national agricultural planning processes. Evidence-based policy development grounded in empirical village realities.</w:t>
      </w:r>
    </w:p>
    <w:p w14:paraId="233E267D"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Adaptive Governance Mechanisms:</w:t>
      </w:r>
      <w:r w:rsidRPr="00FD20C6">
        <w:rPr>
          <w:rFonts w:ascii="Times New Roman" w:eastAsia="Times New Roman" w:hAnsi="Times New Roman" w:cs="Times New Roman"/>
          <w:sz w:val="24"/>
          <w:szCs w:val="24"/>
          <w:lang w:eastAsia="en-GB"/>
        </w:rPr>
        <w:t xml:space="preserve"> Design institutional structures enabling flexible, data-informed decision-making processes responsive to changing environmental conditions, market dynamics, and community priorities. Move beyond rigid planning cycles.</w:t>
      </w:r>
    </w:p>
    <w:p w14:paraId="22573D0A"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Conflict Resolution Systems:</w:t>
      </w:r>
      <w:r w:rsidRPr="00FD20C6">
        <w:rPr>
          <w:rFonts w:ascii="Times New Roman" w:eastAsia="Times New Roman" w:hAnsi="Times New Roman" w:cs="Times New Roman"/>
          <w:sz w:val="24"/>
          <w:szCs w:val="24"/>
          <w:lang w:eastAsia="en-GB"/>
        </w:rPr>
        <w:t xml:space="preserve"> Create transparent, data-driven protocols for resolving resource allocation disputes (water distribution, input access, labor sharing) while maintaining community cohesion. Digital platforms providing neutral evidence base for negotiations.</w:t>
      </w:r>
    </w:p>
    <w:p w14:paraId="07CD6D62" w14:textId="77777777" w:rsidR="003819FB" w:rsidRPr="00FD20C6" w:rsidRDefault="003819FB" w:rsidP="00CD5B1F">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r w:rsidRPr="00FD20C6">
        <w:rPr>
          <w:rFonts w:ascii="Times New Roman" w:eastAsia="Times New Roman" w:hAnsi="Times New Roman" w:cs="Times New Roman"/>
          <w:b/>
          <w:bCs/>
          <w:sz w:val="24"/>
          <w:szCs w:val="24"/>
          <w:lang w:eastAsia="en-GB"/>
        </w:rPr>
        <w:t>7.5 Advanced Technology Integration</w:t>
      </w:r>
    </w:p>
    <w:p w14:paraId="6EEA0208"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5G and Edge Computing Infrastructure:</w:t>
      </w:r>
      <w:r w:rsidRPr="00FD20C6">
        <w:rPr>
          <w:rFonts w:ascii="Times New Roman" w:eastAsia="Times New Roman" w:hAnsi="Times New Roman" w:cs="Times New Roman"/>
          <w:sz w:val="24"/>
          <w:szCs w:val="24"/>
          <w:lang w:eastAsia="en-GB"/>
        </w:rPr>
        <w:t xml:space="preserve"> Leverage next-generation connectivity enabling real-time processing of high-bandwidth sensor data (video </w:t>
      </w:r>
      <w:r w:rsidRPr="00FD20C6">
        <w:rPr>
          <w:rFonts w:ascii="Times New Roman" w:eastAsia="Times New Roman" w:hAnsi="Times New Roman" w:cs="Times New Roman"/>
          <w:sz w:val="24"/>
          <w:szCs w:val="24"/>
          <w:lang w:eastAsia="en-GB"/>
        </w:rPr>
        <w:t>streams, hyperspectral imagery) at network edge. Reduced latency critical for time-sensitive disease detection and irrigation control.</w:t>
      </w:r>
    </w:p>
    <w:p w14:paraId="225CE2A8"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Satellite Constellation Integration:</w:t>
      </w:r>
      <w:r w:rsidRPr="00FD20C6">
        <w:rPr>
          <w:rFonts w:ascii="Times New Roman" w:eastAsia="Times New Roman" w:hAnsi="Times New Roman" w:cs="Times New Roman"/>
          <w:sz w:val="24"/>
          <w:szCs w:val="24"/>
          <w:lang w:eastAsia="en-GB"/>
        </w:rPr>
        <w:t xml:space="preserve"> Direct integration with high-frequency commercial satellite constellations (Planet Labs, Satellogic) providing daily multispectral imagery at sub-5-meter resolution. Enhanced temporal resolution for rapid change detection.</w:t>
      </w:r>
    </w:p>
    <w:p w14:paraId="60701EEC"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Augmented Reality Field Interfaces:</w:t>
      </w:r>
      <w:r w:rsidRPr="00FD20C6">
        <w:rPr>
          <w:rFonts w:ascii="Times New Roman" w:eastAsia="Times New Roman" w:hAnsi="Times New Roman" w:cs="Times New Roman"/>
          <w:sz w:val="24"/>
          <w:szCs w:val="24"/>
          <w:lang w:eastAsia="en-GB"/>
        </w:rPr>
        <w:t xml:space="preserve"> Develop AR applications providing real-time overlay of diagnostic information, treatment protocols, and historical data on smartphone cameras pointed at crops. Intuitive information delivery for visual learners.</w:t>
      </w:r>
    </w:p>
    <w:p w14:paraId="485F200C"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Natural Language Processing:</w:t>
      </w:r>
      <w:r w:rsidRPr="00FD20C6">
        <w:rPr>
          <w:rFonts w:ascii="Times New Roman" w:eastAsia="Times New Roman" w:hAnsi="Times New Roman" w:cs="Times New Roman"/>
          <w:sz w:val="24"/>
          <w:szCs w:val="24"/>
          <w:lang w:eastAsia="en-GB"/>
        </w:rPr>
        <w:t xml:space="preserve"> Implement advanced NLP chatbots providing conversational agricultural advice in local languages, answering farmer queries drawing from integrated knowledge bases combining scientific research and local experience.</w:t>
      </w:r>
    </w:p>
    <w:p w14:paraId="045D3DCF" w14:textId="77777777" w:rsidR="003819FB" w:rsidRPr="00FD20C6" w:rsidRDefault="003819FB" w:rsidP="00CD5B1F">
      <w:p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b/>
          <w:bCs/>
          <w:sz w:val="24"/>
          <w:szCs w:val="24"/>
          <w:lang w:eastAsia="en-GB"/>
        </w:rPr>
        <w:t>Quantum-Resistant Cryptography:</w:t>
      </w:r>
      <w:r w:rsidRPr="00FD20C6">
        <w:rPr>
          <w:rFonts w:ascii="Times New Roman" w:eastAsia="Times New Roman" w:hAnsi="Times New Roman" w:cs="Times New Roman"/>
          <w:sz w:val="24"/>
          <w:szCs w:val="24"/>
          <w:lang w:eastAsia="en-GB"/>
        </w:rPr>
        <w:t xml:space="preserve"> Future-proof data security infrastructure against emerging quantum computing threats. Essential for protecting sensitive agricultural data and maintaining farmer trust in digital systems.</w:t>
      </w:r>
    </w:p>
    <w:p w14:paraId="0818F2B0" w14:textId="77777777" w:rsidR="003819FB" w:rsidRPr="00FD20C6" w:rsidRDefault="003819FB" w:rsidP="00CD5B1F">
      <w:pPr>
        <w:spacing w:before="100" w:beforeAutospacing="1" w:after="100" w:afterAutospacing="1" w:line="240" w:lineRule="auto"/>
        <w:jc w:val="both"/>
        <w:outlineLvl w:val="1"/>
        <w:rPr>
          <w:rFonts w:ascii="Times New Roman" w:eastAsia="Times New Roman" w:hAnsi="Times New Roman" w:cs="Times New Roman"/>
          <w:b/>
          <w:bCs/>
          <w:sz w:val="24"/>
          <w:szCs w:val="24"/>
          <w:lang w:eastAsia="en-GB"/>
        </w:rPr>
      </w:pPr>
      <w:r w:rsidRPr="00FD20C6">
        <w:rPr>
          <w:rFonts w:ascii="Times New Roman" w:eastAsia="Times New Roman" w:hAnsi="Times New Roman" w:cs="Times New Roman"/>
          <w:b/>
          <w:bCs/>
          <w:sz w:val="24"/>
          <w:szCs w:val="24"/>
          <w:lang w:eastAsia="en-GB"/>
        </w:rPr>
        <w:t>8. REFERENCES</w:t>
      </w:r>
    </w:p>
    <w:p w14:paraId="4022FE2A"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Berdejó, N., &amp; Ordóñez, P. (2023). Smart village technologies for sustainable rural development: A systematic review. </w:t>
      </w:r>
      <w:r w:rsidRPr="00FD20C6">
        <w:rPr>
          <w:rFonts w:ascii="Times New Roman" w:eastAsia="Times New Roman" w:hAnsi="Times New Roman" w:cs="Times New Roman"/>
          <w:i/>
          <w:iCs/>
          <w:sz w:val="24"/>
          <w:szCs w:val="24"/>
          <w:lang w:eastAsia="en-GB"/>
        </w:rPr>
        <w:t>Sustainability</w:t>
      </w:r>
      <w:r w:rsidRPr="00FD20C6">
        <w:rPr>
          <w:rFonts w:ascii="Times New Roman" w:eastAsia="Times New Roman" w:hAnsi="Times New Roman" w:cs="Times New Roman"/>
          <w:sz w:val="24"/>
          <w:szCs w:val="24"/>
          <w:lang w:eastAsia="en-GB"/>
        </w:rPr>
        <w:t xml:space="preserve">, 15(4), Article 2151. </w:t>
      </w:r>
      <w:hyperlink r:id="rId8" w:history="1">
        <w:r w:rsidRPr="00FD20C6">
          <w:rPr>
            <w:rFonts w:ascii="Times New Roman" w:eastAsia="Times New Roman" w:hAnsi="Times New Roman" w:cs="Times New Roman"/>
            <w:color w:val="0000FF"/>
            <w:sz w:val="24"/>
            <w:szCs w:val="24"/>
            <w:u w:val="single"/>
            <w:lang w:eastAsia="en-GB"/>
          </w:rPr>
          <w:t>https://doi.org/10.3390/su15042151</w:t>
        </w:r>
      </w:hyperlink>
    </w:p>
    <w:p w14:paraId="197D5BE4"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European Commission. (2024). </w:t>
      </w:r>
      <w:r w:rsidRPr="00FD20C6">
        <w:rPr>
          <w:rFonts w:ascii="Times New Roman" w:eastAsia="Times New Roman" w:hAnsi="Times New Roman" w:cs="Times New Roman"/>
          <w:i/>
          <w:iCs/>
          <w:sz w:val="24"/>
          <w:szCs w:val="24"/>
          <w:lang w:eastAsia="en-GB"/>
        </w:rPr>
        <w:t>Smart villages: Revitalising rural services</w:t>
      </w:r>
      <w:r w:rsidRPr="00FD20C6">
        <w:rPr>
          <w:rFonts w:ascii="Times New Roman" w:eastAsia="Times New Roman" w:hAnsi="Times New Roman" w:cs="Times New Roman"/>
          <w:sz w:val="24"/>
          <w:szCs w:val="24"/>
          <w:lang w:eastAsia="en-GB"/>
        </w:rPr>
        <w:t xml:space="preserve">. EU Rural Development Policy. </w:t>
      </w:r>
      <w:hyperlink r:id="rId9" w:history="1">
        <w:r w:rsidRPr="00FD20C6">
          <w:rPr>
            <w:rFonts w:ascii="Times New Roman" w:eastAsia="Times New Roman" w:hAnsi="Times New Roman" w:cs="Times New Roman"/>
            <w:color w:val="0000FF"/>
            <w:sz w:val="24"/>
            <w:szCs w:val="24"/>
            <w:u w:val="single"/>
            <w:lang w:eastAsia="en-GB"/>
          </w:rPr>
          <w:t>https://doi.org/10.2762/515528</w:t>
        </w:r>
      </w:hyperlink>
    </w:p>
    <w:p w14:paraId="793AEA01"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lastRenderedPageBreak/>
        <w:t xml:space="preserve">Food and Agriculture Organization. (2022). </w:t>
      </w:r>
      <w:r w:rsidRPr="00FD20C6">
        <w:rPr>
          <w:rFonts w:ascii="Times New Roman" w:eastAsia="Times New Roman" w:hAnsi="Times New Roman" w:cs="Times New Roman"/>
          <w:i/>
          <w:iCs/>
          <w:sz w:val="24"/>
          <w:szCs w:val="24"/>
          <w:lang w:eastAsia="en-GB"/>
        </w:rPr>
        <w:t>Information and communication technologies for sustainable agriculture</w:t>
      </w:r>
      <w:r w:rsidRPr="00FD20C6">
        <w:rPr>
          <w:rFonts w:ascii="Times New Roman" w:eastAsia="Times New Roman" w:hAnsi="Times New Roman" w:cs="Times New Roman"/>
          <w:sz w:val="24"/>
          <w:szCs w:val="24"/>
          <w:lang w:eastAsia="en-GB"/>
        </w:rPr>
        <w:t xml:space="preserve">. FAO Digital Services. </w:t>
      </w:r>
      <w:hyperlink r:id="rId10" w:history="1">
        <w:r w:rsidRPr="00FD20C6">
          <w:rPr>
            <w:rFonts w:ascii="Times New Roman" w:eastAsia="Times New Roman" w:hAnsi="Times New Roman" w:cs="Times New Roman"/>
            <w:color w:val="0000FF"/>
            <w:sz w:val="24"/>
            <w:szCs w:val="24"/>
            <w:u w:val="single"/>
            <w:lang w:eastAsia="en-GB"/>
          </w:rPr>
          <w:t>https://doi.org/10.4060/cb9478en</w:t>
        </w:r>
      </w:hyperlink>
    </w:p>
    <w:p w14:paraId="643020B2"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Food and Agriculture Organization. (2023). </w:t>
      </w:r>
      <w:r w:rsidRPr="00FD20C6">
        <w:rPr>
          <w:rFonts w:ascii="Times New Roman" w:eastAsia="Times New Roman" w:hAnsi="Times New Roman" w:cs="Times New Roman"/>
          <w:i/>
          <w:iCs/>
          <w:sz w:val="24"/>
          <w:szCs w:val="24"/>
          <w:lang w:eastAsia="en-GB"/>
        </w:rPr>
        <w:t>Digital innovation for climate-smart agriculture</w:t>
      </w:r>
      <w:r w:rsidRPr="00FD20C6">
        <w:rPr>
          <w:rFonts w:ascii="Times New Roman" w:eastAsia="Times New Roman" w:hAnsi="Times New Roman" w:cs="Times New Roman"/>
          <w:sz w:val="24"/>
          <w:szCs w:val="24"/>
          <w:lang w:eastAsia="en-GB"/>
        </w:rPr>
        <w:t xml:space="preserve">. FAO Technology Platform. </w:t>
      </w:r>
      <w:hyperlink r:id="rId11" w:history="1">
        <w:r w:rsidRPr="00FD20C6">
          <w:rPr>
            <w:rFonts w:ascii="Times New Roman" w:eastAsia="Times New Roman" w:hAnsi="Times New Roman" w:cs="Times New Roman"/>
            <w:color w:val="0000FF"/>
            <w:sz w:val="24"/>
            <w:szCs w:val="24"/>
            <w:u w:val="single"/>
            <w:lang w:eastAsia="en-GB"/>
          </w:rPr>
          <w:t>https://doi.org/10.4060/cc6789en</w:t>
        </w:r>
      </w:hyperlink>
    </w:p>
    <w:p w14:paraId="25634214"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Galanakis, C. M. (2022). Digital agriculture technologies for sustainable food systems. </w:t>
      </w:r>
      <w:r w:rsidRPr="00FD20C6">
        <w:rPr>
          <w:rFonts w:ascii="Times New Roman" w:eastAsia="Times New Roman" w:hAnsi="Times New Roman" w:cs="Times New Roman"/>
          <w:i/>
          <w:iCs/>
          <w:sz w:val="24"/>
          <w:szCs w:val="24"/>
          <w:lang w:eastAsia="en-GB"/>
        </w:rPr>
        <w:t>Journal of Agricultural Informatics</w:t>
      </w:r>
      <w:r w:rsidRPr="00FD20C6">
        <w:rPr>
          <w:rFonts w:ascii="Times New Roman" w:eastAsia="Times New Roman" w:hAnsi="Times New Roman" w:cs="Times New Roman"/>
          <w:sz w:val="24"/>
          <w:szCs w:val="24"/>
          <w:lang w:eastAsia="en-GB"/>
        </w:rPr>
        <w:t xml:space="preserve">, 13(2), 45-59. </w:t>
      </w:r>
      <w:hyperlink r:id="rId12" w:history="1">
        <w:r w:rsidRPr="00FD20C6">
          <w:rPr>
            <w:rFonts w:ascii="Times New Roman" w:eastAsia="Times New Roman" w:hAnsi="Times New Roman" w:cs="Times New Roman"/>
            <w:color w:val="0000FF"/>
            <w:sz w:val="24"/>
            <w:szCs w:val="24"/>
            <w:u w:val="single"/>
            <w:lang w:eastAsia="en-GB"/>
          </w:rPr>
          <w:t>https://doi.org/10.17700/jai.2022.13.2.694</w:t>
        </w:r>
      </w:hyperlink>
    </w:p>
    <w:p w14:paraId="6BEAC4F1"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Galanakis, C. M. (2023). Digital transformation in agri-food systems. </w:t>
      </w:r>
      <w:r w:rsidRPr="00FD20C6">
        <w:rPr>
          <w:rFonts w:ascii="Times New Roman" w:eastAsia="Times New Roman" w:hAnsi="Times New Roman" w:cs="Times New Roman"/>
          <w:i/>
          <w:iCs/>
          <w:sz w:val="24"/>
          <w:szCs w:val="24"/>
          <w:lang w:eastAsia="en-GB"/>
        </w:rPr>
        <w:t>Foods</w:t>
      </w:r>
      <w:r w:rsidRPr="00FD20C6">
        <w:rPr>
          <w:rFonts w:ascii="Times New Roman" w:eastAsia="Times New Roman" w:hAnsi="Times New Roman" w:cs="Times New Roman"/>
          <w:sz w:val="24"/>
          <w:szCs w:val="24"/>
          <w:lang w:eastAsia="en-GB"/>
        </w:rPr>
        <w:t xml:space="preserve">, 12(4), Article 789. </w:t>
      </w:r>
      <w:hyperlink r:id="rId13" w:history="1">
        <w:r w:rsidRPr="00FD20C6">
          <w:rPr>
            <w:rFonts w:ascii="Times New Roman" w:eastAsia="Times New Roman" w:hAnsi="Times New Roman" w:cs="Times New Roman"/>
            <w:color w:val="0000FF"/>
            <w:sz w:val="24"/>
            <w:szCs w:val="24"/>
            <w:u w:val="single"/>
            <w:lang w:eastAsia="en-GB"/>
          </w:rPr>
          <w:t>https://doi.org/10.3390/foods12040789</w:t>
        </w:r>
      </w:hyperlink>
    </w:p>
    <w:p w14:paraId="28923CED"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Ibrahim, A. S., Mohsen, S., Ahmed, K. R., &amp; Hassan, N. M. (2025). AI-IoT based smart agriculture system for plant disease detection and classification. </w:t>
      </w:r>
      <w:r w:rsidRPr="00FD20C6">
        <w:rPr>
          <w:rFonts w:ascii="Times New Roman" w:eastAsia="Times New Roman" w:hAnsi="Times New Roman" w:cs="Times New Roman"/>
          <w:i/>
          <w:iCs/>
          <w:sz w:val="24"/>
          <w:szCs w:val="24"/>
          <w:lang w:eastAsia="en-GB"/>
        </w:rPr>
        <w:t>Scientific Reports</w:t>
      </w:r>
      <w:r w:rsidRPr="00FD20C6">
        <w:rPr>
          <w:rFonts w:ascii="Times New Roman" w:eastAsia="Times New Roman" w:hAnsi="Times New Roman" w:cs="Times New Roman"/>
          <w:sz w:val="24"/>
          <w:szCs w:val="24"/>
          <w:lang w:eastAsia="en-GB"/>
        </w:rPr>
        <w:t xml:space="preserve">, 15, Article 98454. </w:t>
      </w:r>
      <w:hyperlink r:id="rId14" w:history="1">
        <w:r w:rsidRPr="00FD20C6">
          <w:rPr>
            <w:rFonts w:ascii="Times New Roman" w:eastAsia="Times New Roman" w:hAnsi="Times New Roman" w:cs="Times New Roman"/>
            <w:color w:val="0000FF"/>
            <w:sz w:val="24"/>
            <w:szCs w:val="24"/>
            <w:u w:val="single"/>
            <w:lang w:eastAsia="en-GB"/>
          </w:rPr>
          <w:t>https://doi.org/10.1038/s41598-025-98454-6</w:t>
        </w:r>
      </w:hyperlink>
    </w:p>
    <w:p w14:paraId="0D380ED1"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International Telecommunication Union. (2024). </w:t>
      </w:r>
      <w:r w:rsidRPr="00FD20C6">
        <w:rPr>
          <w:rFonts w:ascii="Times New Roman" w:eastAsia="Times New Roman" w:hAnsi="Times New Roman" w:cs="Times New Roman"/>
          <w:i/>
          <w:iCs/>
          <w:sz w:val="24"/>
          <w:szCs w:val="24"/>
          <w:lang w:eastAsia="en-GB"/>
        </w:rPr>
        <w:t>Measuring digital development: Facts and figures 2024</w:t>
      </w:r>
      <w:r w:rsidRPr="00FD20C6">
        <w:rPr>
          <w:rFonts w:ascii="Times New Roman" w:eastAsia="Times New Roman" w:hAnsi="Times New Roman" w:cs="Times New Roman"/>
          <w:sz w:val="24"/>
          <w:szCs w:val="24"/>
          <w:lang w:eastAsia="en-GB"/>
        </w:rPr>
        <w:t xml:space="preserve">. ITU Publications. </w:t>
      </w:r>
      <w:hyperlink r:id="rId15" w:history="1">
        <w:r w:rsidRPr="00FD20C6">
          <w:rPr>
            <w:rFonts w:ascii="Times New Roman" w:eastAsia="Times New Roman" w:hAnsi="Times New Roman" w:cs="Times New Roman"/>
            <w:color w:val="0000FF"/>
            <w:sz w:val="24"/>
            <w:szCs w:val="24"/>
            <w:u w:val="single"/>
            <w:lang w:eastAsia="en-GB"/>
          </w:rPr>
          <w:t>https://doi.org/10.18356/9789210023856</w:t>
        </w:r>
      </w:hyperlink>
    </w:p>
    <w:p w14:paraId="3A9D1CAD"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Joshi, H. (2024). Edge-AI for agriculture: Lightweight deep learning models for real-time crop disease detection. </w:t>
      </w:r>
      <w:r w:rsidRPr="00FD20C6">
        <w:rPr>
          <w:rFonts w:ascii="Times New Roman" w:eastAsia="Times New Roman" w:hAnsi="Times New Roman" w:cs="Times New Roman"/>
          <w:i/>
          <w:iCs/>
          <w:sz w:val="24"/>
          <w:szCs w:val="24"/>
          <w:lang w:eastAsia="en-GB"/>
        </w:rPr>
        <w:t>arXiv preprint arXiv:2412.18635</w:t>
      </w:r>
      <w:r w:rsidRPr="00FD20C6">
        <w:rPr>
          <w:rFonts w:ascii="Times New Roman" w:eastAsia="Times New Roman" w:hAnsi="Times New Roman" w:cs="Times New Roman"/>
          <w:sz w:val="24"/>
          <w:szCs w:val="24"/>
          <w:lang w:eastAsia="en-GB"/>
        </w:rPr>
        <w:t xml:space="preserve">. </w:t>
      </w:r>
      <w:hyperlink r:id="rId16" w:history="1">
        <w:r w:rsidRPr="00FD20C6">
          <w:rPr>
            <w:rFonts w:ascii="Times New Roman" w:eastAsia="Times New Roman" w:hAnsi="Times New Roman" w:cs="Times New Roman"/>
            <w:color w:val="0000FF"/>
            <w:sz w:val="24"/>
            <w:szCs w:val="24"/>
            <w:u w:val="single"/>
            <w:lang w:eastAsia="en-GB"/>
          </w:rPr>
          <w:t>https://doi.org/10.48550/arXiv.2412.18635</w:t>
        </w:r>
      </w:hyperlink>
    </w:p>
    <w:p w14:paraId="3861EDE4"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Kumar, A., &amp; Patel, S. (2024). Integrated AI frameworks for sustainable farming systems. </w:t>
      </w:r>
      <w:r w:rsidRPr="00FD20C6">
        <w:rPr>
          <w:rFonts w:ascii="Times New Roman" w:eastAsia="Times New Roman" w:hAnsi="Times New Roman" w:cs="Times New Roman"/>
          <w:i/>
          <w:iCs/>
          <w:sz w:val="24"/>
          <w:szCs w:val="24"/>
          <w:lang w:eastAsia="en-GB"/>
        </w:rPr>
        <w:t xml:space="preserve">Sustainable Computing: </w:t>
      </w:r>
      <w:r w:rsidRPr="00FD20C6">
        <w:rPr>
          <w:rFonts w:ascii="Times New Roman" w:eastAsia="Times New Roman" w:hAnsi="Times New Roman" w:cs="Times New Roman"/>
          <w:i/>
          <w:iCs/>
          <w:sz w:val="24"/>
          <w:szCs w:val="24"/>
          <w:lang w:eastAsia="en-GB"/>
        </w:rPr>
        <w:t>Informatics and Systems</w:t>
      </w:r>
      <w:r w:rsidRPr="00FD20C6">
        <w:rPr>
          <w:rFonts w:ascii="Times New Roman" w:eastAsia="Times New Roman" w:hAnsi="Times New Roman" w:cs="Times New Roman"/>
          <w:sz w:val="24"/>
          <w:szCs w:val="24"/>
          <w:lang w:eastAsia="en-GB"/>
        </w:rPr>
        <w:t xml:space="preserve">, 41, Article 100947. </w:t>
      </w:r>
      <w:hyperlink r:id="rId17" w:history="1">
        <w:r w:rsidRPr="00FD20C6">
          <w:rPr>
            <w:rFonts w:ascii="Times New Roman" w:eastAsia="Times New Roman" w:hAnsi="Times New Roman" w:cs="Times New Roman"/>
            <w:color w:val="0000FF"/>
            <w:sz w:val="24"/>
            <w:szCs w:val="24"/>
            <w:u w:val="single"/>
            <w:lang w:eastAsia="en-GB"/>
          </w:rPr>
          <w:t>https://doi.org/10.1016/j.suscom.2023.100947</w:t>
        </w:r>
      </w:hyperlink>
    </w:p>
    <w:p w14:paraId="1FF023E3"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Kumar, S., Suriyan, K., Jacob, A. T., &amp; Ramesh, P. (2025). IoT-based smart farming for sustainable agricultural development. </w:t>
      </w:r>
      <w:r w:rsidRPr="00FD20C6">
        <w:rPr>
          <w:rFonts w:ascii="Times New Roman" w:eastAsia="Times New Roman" w:hAnsi="Times New Roman" w:cs="Times New Roman"/>
          <w:i/>
          <w:iCs/>
          <w:sz w:val="24"/>
          <w:szCs w:val="24"/>
          <w:lang w:eastAsia="en-GB"/>
        </w:rPr>
        <w:t>Bulletin of the National Research Centre</w:t>
      </w:r>
      <w:r w:rsidRPr="00FD20C6">
        <w:rPr>
          <w:rFonts w:ascii="Times New Roman" w:eastAsia="Times New Roman" w:hAnsi="Times New Roman" w:cs="Times New Roman"/>
          <w:sz w:val="24"/>
          <w:szCs w:val="24"/>
          <w:lang w:eastAsia="en-GB"/>
        </w:rPr>
        <w:t xml:space="preserve">, 49, Article 66. </w:t>
      </w:r>
      <w:hyperlink r:id="rId18" w:history="1">
        <w:r w:rsidRPr="00FD20C6">
          <w:rPr>
            <w:rFonts w:ascii="Times New Roman" w:eastAsia="Times New Roman" w:hAnsi="Times New Roman" w:cs="Times New Roman"/>
            <w:color w:val="0000FF"/>
            <w:sz w:val="24"/>
            <w:szCs w:val="24"/>
            <w:u w:val="single"/>
            <w:lang w:eastAsia="en-GB"/>
          </w:rPr>
          <w:t>https://doi.org/10.1186/s42269-025-01366-8</w:t>
        </w:r>
      </w:hyperlink>
    </w:p>
    <w:p w14:paraId="5A9D900F"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Kumar, V., &amp; Singh, R. K. (2024). AI-enabled precision agriculture for improving crop productivity in developing nations. </w:t>
      </w:r>
      <w:r w:rsidRPr="00FD20C6">
        <w:rPr>
          <w:rFonts w:ascii="Times New Roman" w:eastAsia="Times New Roman" w:hAnsi="Times New Roman" w:cs="Times New Roman"/>
          <w:i/>
          <w:iCs/>
          <w:sz w:val="24"/>
          <w:szCs w:val="24"/>
          <w:lang w:eastAsia="en-GB"/>
        </w:rPr>
        <w:t>Computers and Electronics in Agriculture</w:t>
      </w:r>
      <w:r w:rsidRPr="00FD20C6">
        <w:rPr>
          <w:rFonts w:ascii="Times New Roman" w:eastAsia="Times New Roman" w:hAnsi="Times New Roman" w:cs="Times New Roman"/>
          <w:sz w:val="24"/>
          <w:szCs w:val="24"/>
          <w:lang w:eastAsia="en-GB"/>
        </w:rPr>
        <w:t xml:space="preserve">, 213, Article 108123. </w:t>
      </w:r>
      <w:hyperlink r:id="rId19" w:history="1">
        <w:r w:rsidRPr="00FD20C6">
          <w:rPr>
            <w:rFonts w:ascii="Times New Roman" w:eastAsia="Times New Roman" w:hAnsi="Times New Roman" w:cs="Times New Roman"/>
            <w:color w:val="0000FF"/>
            <w:sz w:val="24"/>
            <w:szCs w:val="24"/>
            <w:u w:val="single"/>
            <w:lang w:eastAsia="en-GB"/>
          </w:rPr>
          <w:t>https://doi.org/10.1016/j.compag.2023.108123</w:t>
        </w:r>
      </w:hyperlink>
    </w:p>
    <w:p w14:paraId="69AC6C0F"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Mandal, S. (2024). Biodiversity-centric rural development models for climate resilience. </w:t>
      </w:r>
      <w:r w:rsidRPr="00FD20C6">
        <w:rPr>
          <w:rFonts w:ascii="Times New Roman" w:eastAsia="Times New Roman" w:hAnsi="Times New Roman" w:cs="Times New Roman"/>
          <w:i/>
          <w:iCs/>
          <w:sz w:val="24"/>
          <w:szCs w:val="24"/>
          <w:lang w:eastAsia="en-GB"/>
        </w:rPr>
        <w:t>Ecological Indicators</w:t>
      </w:r>
      <w:r w:rsidRPr="00FD20C6">
        <w:rPr>
          <w:rFonts w:ascii="Times New Roman" w:eastAsia="Times New Roman" w:hAnsi="Times New Roman" w:cs="Times New Roman"/>
          <w:sz w:val="24"/>
          <w:szCs w:val="24"/>
          <w:lang w:eastAsia="en-GB"/>
        </w:rPr>
        <w:t xml:space="preserve">, 155, Article 110923. </w:t>
      </w:r>
      <w:hyperlink r:id="rId20" w:history="1">
        <w:r w:rsidRPr="00FD20C6">
          <w:rPr>
            <w:rFonts w:ascii="Times New Roman" w:eastAsia="Times New Roman" w:hAnsi="Times New Roman" w:cs="Times New Roman"/>
            <w:color w:val="0000FF"/>
            <w:sz w:val="24"/>
            <w:szCs w:val="24"/>
            <w:u w:val="single"/>
            <w:lang w:eastAsia="en-GB"/>
          </w:rPr>
          <w:t>https://doi.org/10.1016/j.ecolind.2023.110923</w:t>
        </w:r>
      </w:hyperlink>
    </w:p>
    <w:p w14:paraId="16BA68C6"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Mandal, S., &amp; Rao, S. (2023). Nature-positive solutions for climate-resilient rural ecosystems. </w:t>
      </w:r>
      <w:r w:rsidRPr="00FD20C6">
        <w:rPr>
          <w:rFonts w:ascii="Times New Roman" w:eastAsia="Times New Roman" w:hAnsi="Times New Roman" w:cs="Times New Roman"/>
          <w:i/>
          <w:iCs/>
          <w:sz w:val="24"/>
          <w:szCs w:val="24"/>
          <w:lang w:eastAsia="en-GB"/>
        </w:rPr>
        <w:t>Environmental Research Letters</w:t>
      </w:r>
      <w:r w:rsidRPr="00FD20C6">
        <w:rPr>
          <w:rFonts w:ascii="Times New Roman" w:eastAsia="Times New Roman" w:hAnsi="Times New Roman" w:cs="Times New Roman"/>
          <w:sz w:val="24"/>
          <w:szCs w:val="24"/>
          <w:lang w:eastAsia="en-GB"/>
        </w:rPr>
        <w:t xml:space="preserve">, 18(7), Article 074002. </w:t>
      </w:r>
      <w:hyperlink r:id="rId21" w:history="1">
        <w:r w:rsidRPr="00FD20C6">
          <w:rPr>
            <w:rFonts w:ascii="Times New Roman" w:eastAsia="Times New Roman" w:hAnsi="Times New Roman" w:cs="Times New Roman"/>
            <w:color w:val="0000FF"/>
            <w:sz w:val="24"/>
            <w:szCs w:val="24"/>
            <w:u w:val="single"/>
            <w:lang w:eastAsia="en-GB"/>
          </w:rPr>
          <w:t>https://doi.org/10.1088/1748-9326/acdf10</w:t>
        </w:r>
      </w:hyperlink>
    </w:p>
    <w:p w14:paraId="085227EF"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Singh, A., &amp; Patel, P. (2022). Smart villages and digital transformation: A future pathway for rural communities. </w:t>
      </w:r>
      <w:r w:rsidRPr="00FD20C6">
        <w:rPr>
          <w:rFonts w:ascii="Times New Roman" w:eastAsia="Times New Roman" w:hAnsi="Times New Roman" w:cs="Times New Roman"/>
          <w:i/>
          <w:iCs/>
          <w:sz w:val="24"/>
          <w:szCs w:val="24"/>
          <w:lang w:eastAsia="en-GB"/>
        </w:rPr>
        <w:t>Information Systems Frontiers</w:t>
      </w:r>
      <w:r w:rsidRPr="00FD20C6">
        <w:rPr>
          <w:rFonts w:ascii="Times New Roman" w:eastAsia="Times New Roman" w:hAnsi="Times New Roman" w:cs="Times New Roman"/>
          <w:sz w:val="24"/>
          <w:szCs w:val="24"/>
          <w:lang w:eastAsia="en-GB"/>
        </w:rPr>
        <w:t xml:space="preserve">, 24, 1123-1134. </w:t>
      </w:r>
      <w:hyperlink r:id="rId22" w:history="1">
        <w:r w:rsidRPr="00FD20C6">
          <w:rPr>
            <w:rFonts w:ascii="Times New Roman" w:eastAsia="Times New Roman" w:hAnsi="Times New Roman" w:cs="Times New Roman"/>
            <w:color w:val="0000FF"/>
            <w:sz w:val="24"/>
            <w:szCs w:val="24"/>
            <w:u w:val="single"/>
            <w:lang w:eastAsia="en-GB"/>
          </w:rPr>
          <w:t>https://doi.org/10.1007/s10796-021-10173-2</w:t>
        </w:r>
      </w:hyperlink>
    </w:p>
    <w:p w14:paraId="52D2B18C"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Singh, R., &amp; Kumar, P. (2023). Artificial intelligence applications in plant disease diagnosis and management. </w:t>
      </w:r>
      <w:r w:rsidRPr="00FD20C6">
        <w:rPr>
          <w:rFonts w:ascii="Times New Roman" w:eastAsia="Times New Roman" w:hAnsi="Times New Roman" w:cs="Times New Roman"/>
          <w:i/>
          <w:iCs/>
          <w:sz w:val="24"/>
          <w:szCs w:val="24"/>
          <w:lang w:eastAsia="en-GB"/>
        </w:rPr>
        <w:t>Precision Agriculture</w:t>
      </w:r>
      <w:r w:rsidRPr="00FD20C6">
        <w:rPr>
          <w:rFonts w:ascii="Times New Roman" w:eastAsia="Times New Roman" w:hAnsi="Times New Roman" w:cs="Times New Roman"/>
          <w:sz w:val="24"/>
          <w:szCs w:val="24"/>
          <w:lang w:eastAsia="en-GB"/>
        </w:rPr>
        <w:t xml:space="preserve">, 24, 1453-1470. </w:t>
      </w:r>
      <w:hyperlink r:id="rId23" w:history="1">
        <w:r w:rsidRPr="00FD20C6">
          <w:rPr>
            <w:rFonts w:ascii="Times New Roman" w:eastAsia="Times New Roman" w:hAnsi="Times New Roman" w:cs="Times New Roman"/>
            <w:color w:val="0000FF"/>
            <w:sz w:val="24"/>
            <w:szCs w:val="24"/>
            <w:u w:val="single"/>
            <w:lang w:eastAsia="en-GB"/>
          </w:rPr>
          <w:t>https://doi.org/10.1007/s11119-023-09961-2</w:t>
        </w:r>
      </w:hyperlink>
    </w:p>
    <w:p w14:paraId="77F22AC3"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Singh, R., &amp; Kumar, P. (2024). Multi-spectral imaging for early crop disease detection using deep </w:t>
      </w:r>
      <w:r w:rsidRPr="00FD20C6">
        <w:rPr>
          <w:rFonts w:ascii="Times New Roman" w:eastAsia="Times New Roman" w:hAnsi="Times New Roman" w:cs="Times New Roman"/>
          <w:sz w:val="24"/>
          <w:szCs w:val="24"/>
          <w:lang w:eastAsia="en-GB"/>
        </w:rPr>
        <w:lastRenderedPageBreak/>
        <w:t xml:space="preserve">learning. </w:t>
      </w:r>
      <w:r w:rsidRPr="00FD20C6">
        <w:rPr>
          <w:rFonts w:ascii="Times New Roman" w:eastAsia="Times New Roman" w:hAnsi="Times New Roman" w:cs="Times New Roman"/>
          <w:i/>
          <w:iCs/>
          <w:sz w:val="24"/>
          <w:szCs w:val="24"/>
          <w:lang w:eastAsia="en-GB"/>
        </w:rPr>
        <w:t>Remote Sensing</w:t>
      </w:r>
      <w:r w:rsidRPr="00FD20C6">
        <w:rPr>
          <w:rFonts w:ascii="Times New Roman" w:eastAsia="Times New Roman" w:hAnsi="Times New Roman" w:cs="Times New Roman"/>
          <w:sz w:val="24"/>
          <w:szCs w:val="24"/>
          <w:lang w:eastAsia="en-GB"/>
        </w:rPr>
        <w:t xml:space="preserve">, 16(3), Article 487. </w:t>
      </w:r>
      <w:hyperlink r:id="rId24" w:history="1">
        <w:r w:rsidRPr="00FD20C6">
          <w:rPr>
            <w:rFonts w:ascii="Times New Roman" w:eastAsia="Times New Roman" w:hAnsi="Times New Roman" w:cs="Times New Roman"/>
            <w:color w:val="0000FF"/>
            <w:sz w:val="24"/>
            <w:szCs w:val="24"/>
            <w:u w:val="single"/>
            <w:lang w:eastAsia="en-GB"/>
          </w:rPr>
          <w:t>https://doi.org/10.3390/rs16030487</w:t>
        </w:r>
      </w:hyperlink>
    </w:p>
    <w:p w14:paraId="205F720E"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United Nations Development Programme. (2023). </w:t>
      </w:r>
      <w:r w:rsidRPr="00FD20C6">
        <w:rPr>
          <w:rFonts w:ascii="Times New Roman" w:eastAsia="Times New Roman" w:hAnsi="Times New Roman" w:cs="Times New Roman"/>
          <w:i/>
          <w:iCs/>
          <w:sz w:val="24"/>
          <w:szCs w:val="24"/>
          <w:lang w:eastAsia="en-GB"/>
        </w:rPr>
        <w:t>Nature-positive solutions for sustainable development</w:t>
      </w:r>
      <w:r w:rsidRPr="00FD20C6">
        <w:rPr>
          <w:rFonts w:ascii="Times New Roman" w:eastAsia="Times New Roman" w:hAnsi="Times New Roman" w:cs="Times New Roman"/>
          <w:sz w:val="24"/>
          <w:szCs w:val="24"/>
          <w:lang w:eastAsia="en-GB"/>
        </w:rPr>
        <w:t xml:space="preserve">. UNDP Environmental Finance. </w:t>
      </w:r>
      <w:hyperlink r:id="rId25" w:history="1">
        <w:r w:rsidRPr="00FD20C6">
          <w:rPr>
            <w:rFonts w:ascii="Times New Roman" w:eastAsia="Times New Roman" w:hAnsi="Times New Roman" w:cs="Times New Roman"/>
            <w:color w:val="0000FF"/>
            <w:sz w:val="24"/>
            <w:szCs w:val="24"/>
            <w:u w:val="single"/>
            <w:lang w:eastAsia="en-GB"/>
          </w:rPr>
          <w:t>https://doi.org/10.18356/9789210017588</w:t>
        </w:r>
      </w:hyperlink>
    </w:p>
    <w:p w14:paraId="08A73644"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World Bank. (2023). </w:t>
      </w:r>
      <w:r w:rsidRPr="00FD20C6">
        <w:rPr>
          <w:rFonts w:ascii="Times New Roman" w:eastAsia="Times New Roman" w:hAnsi="Times New Roman" w:cs="Times New Roman"/>
          <w:i/>
          <w:iCs/>
          <w:sz w:val="24"/>
          <w:szCs w:val="24"/>
          <w:lang w:eastAsia="en-GB"/>
        </w:rPr>
        <w:t>Digital agriculture and rural inclusion: Pathways to development</w:t>
      </w:r>
      <w:r w:rsidRPr="00FD20C6">
        <w:rPr>
          <w:rFonts w:ascii="Times New Roman" w:eastAsia="Times New Roman" w:hAnsi="Times New Roman" w:cs="Times New Roman"/>
          <w:sz w:val="24"/>
          <w:szCs w:val="24"/>
          <w:lang w:eastAsia="en-GB"/>
        </w:rPr>
        <w:t xml:space="preserve">. World Bank Publications. </w:t>
      </w:r>
      <w:hyperlink r:id="rId26" w:history="1">
        <w:r w:rsidRPr="00FD20C6">
          <w:rPr>
            <w:rFonts w:ascii="Times New Roman" w:eastAsia="Times New Roman" w:hAnsi="Times New Roman" w:cs="Times New Roman"/>
            <w:color w:val="0000FF"/>
            <w:sz w:val="24"/>
            <w:szCs w:val="24"/>
            <w:u w:val="single"/>
            <w:lang w:eastAsia="en-GB"/>
          </w:rPr>
          <w:t>https://doi.org/10.1596/978-1-4648-1965-8</w:t>
        </w:r>
      </w:hyperlink>
    </w:p>
    <w:p w14:paraId="11D98481"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World Bank. (2024). </w:t>
      </w:r>
      <w:r w:rsidRPr="00FD20C6">
        <w:rPr>
          <w:rFonts w:ascii="Times New Roman" w:eastAsia="Times New Roman" w:hAnsi="Times New Roman" w:cs="Times New Roman"/>
          <w:i/>
          <w:iCs/>
          <w:sz w:val="24"/>
          <w:szCs w:val="24"/>
          <w:lang w:eastAsia="en-GB"/>
        </w:rPr>
        <w:t xml:space="preserve">Digital development in rural economies: </w:t>
      </w:r>
      <w:r w:rsidRPr="00FD20C6">
        <w:rPr>
          <w:rFonts w:ascii="Times New Roman" w:eastAsia="Times New Roman" w:hAnsi="Times New Roman" w:cs="Times New Roman"/>
          <w:i/>
          <w:iCs/>
          <w:sz w:val="24"/>
          <w:szCs w:val="24"/>
          <w:lang w:eastAsia="en-GB"/>
        </w:rPr>
        <w:t>Transformation strategies</w:t>
      </w:r>
      <w:r w:rsidRPr="00FD20C6">
        <w:rPr>
          <w:rFonts w:ascii="Times New Roman" w:eastAsia="Times New Roman" w:hAnsi="Times New Roman" w:cs="Times New Roman"/>
          <w:sz w:val="24"/>
          <w:szCs w:val="24"/>
          <w:lang w:eastAsia="en-GB"/>
        </w:rPr>
        <w:t xml:space="preserve">. World Bank Digital Development. </w:t>
      </w:r>
      <w:hyperlink r:id="rId27" w:history="1">
        <w:r w:rsidRPr="00FD20C6">
          <w:rPr>
            <w:rFonts w:ascii="Times New Roman" w:eastAsia="Times New Roman" w:hAnsi="Times New Roman" w:cs="Times New Roman"/>
            <w:color w:val="0000FF"/>
            <w:sz w:val="24"/>
            <w:szCs w:val="24"/>
            <w:u w:val="single"/>
            <w:lang w:eastAsia="en-GB"/>
          </w:rPr>
          <w:t>https://doi.org/10.1596/978-1-4648-2003-6</w:t>
        </w:r>
      </w:hyperlink>
    </w:p>
    <w:p w14:paraId="60BD0C5F" w14:textId="77777777" w:rsidR="003819FB" w:rsidRPr="00FD20C6"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FD20C6">
        <w:rPr>
          <w:rFonts w:ascii="Times New Roman" w:eastAsia="Times New Roman" w:hAnsi="Times New Roman" w:cs="Times New Roman"/>
          <w:sz w:val="24"/>
          <w:szCs w:val="24"/>
          <w:lang w:eastAsia="en-GB"/>
        </w:rPr>
        <w:t xml:space="preserve">World Economic Forum. (2023). </w:t>
      </w:r>
      <w:r w:rsidRPr="00FD20C6">
        <w:rPr>
          <w:rFonts w:ascii="Times New Roman" w:eastAsia="Times New Roman" w:hAnsi="Times New Roman" w:cs="Times New Roman"/>
          <w:i/>
          <w:iCs/>
          <w:sz w:val="24"/>
          <w:szCs w:val="24"/>
          <w:lang w:eastAsia="en-GB"/>
        </w:rPr>
        <w:t>The future of nature and business: Nature-positive pathways</w:t>
      </w:r>
      <w:r w:rsidRPr="00FD20C6">
        <w:rPr>
          <w:rFonts w:ascii="Times New Roman" w:eastAsia="Times New Roman" w:hAnsi="Times New Roman" w:cs="Times New Roman"/>
          <w:sz w:val="24"/>
          <w:szCs w:val="24"/>
          <w:lang w:eastAsia="en-GB"/>
        </w:rPr>
        <w:t xml:space="preserve">. WEF White Paper Series. </w:t>
      </w:r>
      <w:hyperlink r:id="rId28" w:history="1">
        <w:r w:rsidRPr="00FD20C6">
          <w:rPr>
            <w:rFonts w:ascii="Times New Roman" w:eastAsia="Times New Roman" w:hAnsi="Times New Roman" w:cs="Times New Roman"/>
            <w:color w:val="0000FF"/>
            <w:sz w:val="24"/>
            <w:szCs w:val="24"/>
            <w:u w:val="single"/>
            <w:lang w:eastAsia="en-GB"/>
          </w:rPr>
          <w:t>https://doi.org/10.13140/RG.2.2.28039.80806</w:t>
        </w:r>
      </w:hyperlink>
    </w:p>
    <w:p w14:paraId="4F908B9A" w14:textId="77777777" w:rsidR="004140ED" w:rsidRDefault="003819FB"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sectPr w:rsidR="004140ED" w:rsidSect="00CD5B1F">
          <w:type w:val="continuous"/>
          <w:pgSz w:w="11906" w:h="16838"/>
          <w:pgMar w:top="1440" w:right="1440" w:bottom="1440" w:left="1440" w:header="708" w:footer="708" w:gutter="0"/>
          <w:cols w:num="2" w:space="708"/>
          <w:docGrid w:linePitch="360"/>
        </w:sectPr>
      </w:pPr>
      <w:r w:rsidRPr="00FD20C6">
        <w:rPr>
          <w:rFonts w:ascii="Times New Roman" w:eastAsia="Times New Roman" w:hAnsi="Times New Roman" w:cs="Times New Roman"/>
          <w:sz w:val="24"/>
          <w:szCs w:val="24"/>
          <w:lang w:eastAsia="en-GB"/>
        </w:rPr>
        <w:t xml:space="preserve">World Economic Forum. (2024). </w:t>
      </w:r>
      <w:r w:rsidRPr="00FD20C6">
        <w:rPr>
          <w:rFonts w:ascii="Times New Roman" w:eastAsia="Times New Roman" w:hAnsi="Times New Roman" w:cs="Times New Roman"/>
          <w:i/>
          <w:iCs/>
          <w:sz w:val="24"/>
          <w:szCs w:val="24"/>
          <w:lang w:eastAsia="en-GB"/>
        </w:rPr>
        <w:t>Technology and nature-positive economies</w:t>
      </w:r>
      <w:r w:rsidRPr="00FD20C6">
        <w:rPr>
          <w:rFonts w:ascii="Times New Roman" w:eastAsia="Times New Roman" w:hAnsi="Times New Roman" w:cs="Times New Roman"/>
          <w:sz w:val="24"/>
          <w:szCs w:val="24"/>
          <w:lang w:eastAsia="en-GB"/>
        </w:rPr>
        <w:t xml:space="preserve">. WEF Technology and Innovation. </w:t>
      </w:r>
      <w:hyperlink r:id="rId29" w:history="1">
        <w:r w:rsidRPr="00FD20C6">
          <w:rPr>
            <w:rFonts w:ascii="Times New Roman" w:eastAsia="Times New Roman" w:hAnsi="Times New Roman" w:cs="Times New Roman"/>
            <w:color w:val="0000FF"/>
            <w:sz w:val="24"/>
            <w:szCs w:val="24"/>
            <w:u w:val="single"/>
            <w:lang w:eastAsia="en-GB"/>
          </w:rPr>
          <w:t>https://doi.org/10.13140/RG.2.2.35421.50405</w:t>
        </w:r>
      </w:hyperlink>
    </w:p>
    <w:p w14:paraId="77486CC8" w14:textId="77777777" w:rsidR="00615546" w:rsidRDefault="00615546" w:rsidP="00CD5B1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GB"/>
        </w:rPr>
        <w:sectPr w:rsidR="00615546" w:rsidSect="00CD5B1F">
          <w:type w:val="continuous"/>
          <w:pgSz w:w="11906" w:h="16838"/>
          <w:pgMar w:top="1440" w:right="1440" w:bottom="1440" w:left="1440" w:header="708" w:footer="708" w:gutter="0"/>
          <w:cols w:num="2" w:space="708"/>
          <w:docGrid w:linePitch="360"/>
        </w:sectPr>
      </w:pPr>
    </w:p>
    <w:p w14:paraId="30822CB1" w14:textId="77777777" w:rsidR="003819FB" w:rsidRPr="00FD20C6" w:rsidRDefault="003819FB" w:rsidP="00CD5B1F">
      <w:pPr>
        <w:spacing w:before="100" w:beforeAutospacing="1" w:after="100" w:afterAutospacing="1" w:line="240" w:lineRule="auto"/>
        <w:ind w:left="360"/>
        <w:jc w:val="both"/>
        <w:rPr>
          <w:rFonts w:ascii="Times New Roman" w:eastAsia="Times New Roman" w:hAnsi="Times New Roman" w:cs="Times New Roman"/>
          <w:sz w:val="24"/>
          <w:szCs w:val="24"/>
          <w:lang w:eastAsia="en-GB"/>
        </w:rPr>
      </w:pPr>
    </w:p>
    <w:sectPr w:rsidR="003819FB" w:rsidRPr="00FD20C6" w:rsidSect="00CD5B1F">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02018"/>
    <w:multiLevelType w:val="multilevel"/>
    <w:tmpl w:val="D632E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62A33"/>
    <w:multiLevelType w:val="multilevel"/>
    <w:tmpl w:val="3C6C6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6248A"/>
    <w:multiLevelType w:val="multilevel"/>
    <w:tmpl w:val="FF4C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5B4284"/>
    <w:multiLevelType w:val="multilevel"/>
    <w:tmpl w:val="237C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EA3E28"/>
    <w:multiLevelType w:val="multilevel"/>
    <w:tmpl w:val="9BDCB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5E4809"/>
    <w:multiLevelType w:val="multilevel"/>
    <w:tmpl w:val="9F68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6427F1"/>
    <w:multiLevelType w:val="multilevel"/>
    <w:tmpl w:val="FDB0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2D01E7"/>
    <w:multiLevelType w:val="multilevel"/>
    <w:tmpl w:val="434AC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3855B0"/>
    <w:multiLevelType w:val="multilevel"/>
    <w:tmpl w:val="12524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BA2F2C"/>
    <w:multiLevelType w:val="multilevel"/>
    <w:tmpl w:val="D6480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22841"/>
    <w:multiLevelType w:val="multilevel"/>
    <w:tmpl w:val="21F66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515ACE"/>
    <w:multiLevelType w:val="multilevel"/>
    <w:tmpl w:val="911A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A437DB"/>
    <w:multiLevelType w:val="multilevel"/>
    <w:tmpl w:val="2BF00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2649DE"/>
    <w:multiLevelType w:val="multilevel"/>
    <w:tmpl w:val="191E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924AA7"/>
    <w:multiLevelType w:val="multilevel"/>
    <w:tmpl w:val="40382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F454AE"/>
    <w:multiLevelType w:val="multilevel"/>
    <w:tmpl w:val="BD4C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9C38A4"/>
    <w:multiLevelType w:val="multilevel"/>
    <w:tmpl w:val="6ACA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1C4F70"/>
    <w:multiLevelType w:val="multilevel"/>
    <w:tmpl w:val="81B0C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D5636A"/>
    <w:multiLevelType w:val="multilevel"/>
    <w:tmpl w:val="5AD04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3874EA"/>
    <w:multiLevelType w:val="multilevel"/>
    <w:tmpl w:val="2D7C3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DA10B5"/>
    <w:multiLevelType w:val="multilevel"/>
    <w:tmpl w:val="200A6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993263"/>
    <w:multiLevelType w:val="multilevel"/>
    <w:tmpl w:val="81E23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391D13"/>
    <w:multiLevelType w:val="multilevel"/>
    <w:tmpl w:val="5798D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4F1E40"/>
    <w:multiLevelType w:val="multilevel"/>
    <w:tmpl w:val="830A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3F6641"/>
    <w:multiLevelType w:val="multilevel"/>
    <w:tmpl w:val="3D34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BE1976"/>
    <w:multiLevelType w:val="multilevel"/>
    <w:tmpl w:val="EF2E7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7C0AC9"/>
    <w:multiLevelType w:val="multilevel"/>
    <w:tmpl w:val="EDDCD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FA7709"/>
    <w:multiLevelType w:val="multilevel"/>
    <w:tmpl w:val="B13C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1F7BF1"/>
    <w:multiLevelType w:val="multilevel"/>
    <w:tmpl w:val="45CE8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6335B3"/>
    <w:multiLevelType w:val="multilevel"/>
    <w:tmpl w:val="B394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163D88"/>
    <w:multiLevelType w:val="multilevel"/>
    <w:tmpl w:val="8FFAD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F458D6"/>
    <w:multiLevelType w:val="multilevel"/>
    <w:tmpl w:val="8F425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B829F3"/>
    <w:multiLevelType w:val="multilevel"/>
    <w:tmpl w:val="F8768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38354C"/>
    <w:multiLevelType w:val="multilevel"/>
    <w:tmpl w:val="BF1A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743C1B"/>
    <w:multiLevelType w:val="multilevel"/>
    <w:tmpl w:val="4CBA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9200EE"/>
    <w:multiLevelType w:val="multilevel"/>
    <w:tmpl w:val="D328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5B2855"/>
    <w:multiLevelType w:val="multilevel"/>
    <w:tmpl w:val="0C36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1118326">
    <w:abstractNumId w:val="8"/>
  </w:num>
  <w:num w:numId="2" w16cid:durableId="47848076">
    <w:abstractNumId w:val="29"/>
  </w:num>
  <w:num w:numId="3" w16cid:durableId="1408922121">
    <w:abstractNumId w:val="11"/>
  </w:num>
  <w:num w:numId="4" w16cid:durableId="1257177808">
    <w:abstractNumId w:val="34"/>
  </w:num>
  <w:num w:numId="5" w16cid:durableId="18044279">
    <w:abstractNumId w:val="2"/>
  </w:num>
  <w:num w:numId="6" w16cid:durableId="470442097">
    <w:abstractNumId w:val="26"/>
  </w:num>
  <w:num w:numId="7" w16cid:durableId="1774980817">
    <w:abstractNumId w:val="27"/>
  </w:num>
  <w:num w:numId="8" w16cid:durableId="647899512">
    <w:abstractNumId w:val="12"/>
  </w:num>
  <w:num w:numId="9" w16cid:durableId="1570994137">
    <w:abstractNumId w:val="4"/>
  </w:num>
  <w:num w:numId="10" w16cid:durableId="1309280561">
    <w:abstractNumId w:val="31"/>
  </w:num>
  <w:num w:numId="11" w16cid:durableId="664170010">
    <w:abstractNumId w:val="17"/>
  </w:num>
  <w:num w:numId="12" w16cid:durableId="233710302">
    <w:abstractNumId w:val="1"/>
  </w:num>
  <w:num w:numId="13" w16cid:durableId="1465192666">
    <w:abstractNumId w:val="0"/>
  </w:num>
  <w:num w:numId="14" w16cid:durableId="740104021">
    <w:abstractNumId w:val="3"/>
  </w:num>
  <w:num w:numId="15" w16cid:durableId="294797634">
    <w:abstractNumId w:val="10"/>
  </w:num>
  <w:num w:numId="16" w16cid:durableId="1786150613">
    <w:abstractNumId w:val="33"/>
  </w:num>
  <w:num w:numId="17" w16cid:durableId="361443470">
    <w:abstractNumId w:val="30"/>
  </w:num>
  <w:num w:numId="18" w16cid:durableId="977490724">
    <w:abstractNumId w:val="15"/>
  </w:num>
  <w:num w:numId="19" w16cid:durableId="683480596">
    <w:abstractNumId w:val="18"/>
  </w:num>
  <w:num w:numId="20" w16cid:durableId="1983654597">
    <w:abstractNumId w:val="19"/>
  </w:num>
  <w:num w:numId="21" w16cid:durableId="1750422522">
    <w:abstractNumId w:val="32"/>
  </w:num>
  <w:num w:numId="22" w16cid:durableId="1885753225">
    <w:abstractNumId w:val="22"/>
  </w:num>
  <w:num w:numId="23" w16cid:durableId="2042317925">
    <w:abstractNumId w:val="24"/>
  </w:num>
  <w:num w:numId="24" w16cid:durableId="557135713">
    <w:abstractNumId w:val="7"/>
  </w:num>
  <w:num w:numId="25" w16cid:durableId="1650593167">
    <w:abstractNumId w:val="9"/>
  </w:num>
  <w:num w:numId="26" w16cid:durableId="1878814722">
    <w:abstractNumId w:val="6"/>
  </w:num>
  <w:num w:numId="27" w16cid:durableId="1393232630">
    <w:abstractNumId w:val="35"/>
  </w:num>
  <w:num w:numId="28" w16cid:durableId="560141123">
    <w:abstractNumId w:val="25"/>
  </w:num>
  <w:num w:numId="29" w16cid:durableId="1627855542">
    <w:abstractNumId w:val="20"/>
  </w:num>
  <w:num w:numId="30" w16cid:durableId="362093714">
    <w:abstractNumId w:val="13"/>
  </w:num>
  <w:num w:numId="31" w16cid:durableId="643582569">
    <w:abstractNumId w:val="36"/>
  </w:num>
  <w:num w:numId="32" w16cid:durableId="769619094">
    <w:abstractNumId w:val="16"/>
  </w:num>
  <w:num w:numId="33" w16cid:durableId="99838923">
    <w:abstractNumId w:val="5"/>
  </w:num>
  <w:num w:numId="34" w16cid:durableId="1147093967">
    <w:abstractNumId w:val="14"/>
  </w:num>
  <w:num w:numId="35" w16cid:durableId="1556163944">
    <w:abstractNumId w:val="28"/>
  </w:num>
  <w:num w:numId="36" w16cid:durableId="1368021342">
    <w:abstractNumId w:val="23"/>
  </w:num>
  <w:num w:numId="37" w16cid:durableId="140510319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819FB"/>
    <w:rsid w:val="00101B09"/>
    <w:rsid w:val="002036C5"/>
    <w:rsid w:val="00294BC5"/>
    <w:rsid w:val="003819FB"/>
    <w:rsid w:val="004140ED"/>
    <w:rsid w:val="00444F41"/>
    <w:rsid w:val="004A5930"/>
    <w:rsid w:val="005B719B"/>
    <w:rsid w:val="00615546"/>
    <w:rsid w:val="00786DAE"/>
    <w:rsid w:val="0091456C"/>
    <w:rsid w:val="00A81C85"/>
    <w:rsid w:val="00C94200"/>
    <w:rsid w:val="00CB62C6"/>
    <w:rsid w:val="00CD5B1F"/>
    <w:rsid w:val="00FD20C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357B9"/>
  <w15:docId w15:val="{C090C878-979E-4220-9B82-C37A3D48E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B09"/>
  </w:style>
  <w:style w:type="paragraph" w:styleId="Heading1">
    <w:name w:val="heading 1"/>
    <w:basedOn w:val="Normal"/>
    <w:link w:val="Heading1Char"/>
    <w:uiPriority w:val="9"/>
    <w:qFormat/>
    <w:rsid w:val="003819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3819F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3819F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3819FB"/>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19FB"/>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3819F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819FB"/>
    <w:rPr>
      <w:rFonts w:ascii="Times New Roman" w:eastAsia="Times New Roman" w:hAnsi="Times New Roman" w:cs="Times New Roman"/>
      <w:b/>
      <w:bCs/>
      <w:sz w:val="27"/>
      <w:szCs w:val="27"/>
      <w:lang w:eastAsia="en-GB"/>
    </w:rPr>
  </w:style>
  <w:style w:type="paragraph" w:customStyle="1" w:styleId="font-claude-response-body">
    <w:name w:val="font-claude-response-body"/>
    <w:basedOn w:val="Normal"/>
    <w:rsid w:val="003819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819FB"/>
    <w:rPr>
      <w:b/>
      <w:bCs/>
    </w:rPr>
  </w:style>
  <w:style w:type="character" w:styleId="Emphasis">
    <w:name w:val="Emphasis"/>
    <w:basedOn w:val="DefaultParagraphFont"/>
    <w:uiPriority w:val="20"/>
    <w:qFormat/>
    <w:rsid w:val="003819FB"/>
    <w:rPr>
      <w:i/>
      <w:iCs/>
    </w:rPr>
  </w:style>
  <w:style w:type="character" w:styleId="Hyperlink">
    <w:name w:val="Hyperlink"/>
    <w:basedOn w:val="DefaultParagraphFont"/>
    <w:uiPriority w:val="99"/>
    <w:semiHidden/>
    <w:unhideWhenUsed/>
    <w:rsid w:val="003819FB"/>
    <w:rPr>
      <w:color w:val="0000FF"/>
      <w:u w:val="single"/>
    </w:rPr>
  </w:style>
  <w:style w:type="character" w:customStyle="1" w:styleId="Heading4Char">
    <w:name w:val="Heading 4 Char"/>
    <w:basedOn w:val="DefaultParagraphFont"/>
    <w:link w:val="Heading4"/>
    <w:uiPriority w:val="9"/>
    <w:semiHidden/>
    <w:rsid w:val="003819FB"/>
    <w:rPr>
      <w:rFonts w:asciiTheme="majorHAnsi" w:eastAsiaTheme="majorEastAsia" w:hAnsiTheme="majorHAnsi" w:cstheme="majorBidi"/>
      <w:b/>
      <w:bCs/>
      <w:i/>
      <w:iCs/>
      <w:color w:val="5B9BD5" w:themeColor="accent1"/>
    </w:rPr>
  </w:style>
  <w:style w:type="paragraph" w:styleId="HTMLPreformatted">
    <w:name w:val="HTML Preformatted"/>
    <w:basedOn w:val="Normal"/>
    <w:link w:val="HTMLPreformattedChar"/>
    <w:uiPriority w:val="99"/>
    <w:semiHidden/>
    <w:unhideWhenUsed/>
    <w:rsid w:val="00381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3819FB"/>
    <w:rPr>
      <w:rFonts w:ascii="Courier New" w:eastAsia="Times New Roman" w:hAnsi="Courier New" w:cs="Courier New"/>
      <w:sz w:val="20"/>
      <w:szCs w:val="20"/>
      <w:lang w:eastAsia="en-GB"/>
    </w:rPr>
  </w:style>
  <w:style w:type="character" w:styleId="HTMLCode">
    <w:name w:val="HTML Code"/>
    <w:basedOn w:val="DefaultParagraphFont"/>
    <w:uiPriority w:val="99"/>
    <w:semiHidden/>
    <w:unhideWhenUsed/>
    <w:rsid w:val="003819FB"/>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444F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F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896854">
      <w:bodyDiv w:val="1"/>
      <w:marLeft w:val="0"/>
      <w:marRight w:val="0"/>
      <w:marTop w:val="0"/>
      <w:marBottom w:val="0"/>
      <w:divBdr>
        <w:top w:val="none" w:sz="0" w:space="0" w:color="auto"/>
        <w:left w:val="none" w:sz="0" w:space="0" w:color="auto"/>
        <w:bottom w:val="none" w:sz="0" w:space="0" w:color="auto"/>
        <w:right w:val="none" w:sz="0" w:space="0" w:color="auto"/>
      </w:divBdr>
    </w:div>
    <w:div w:id="2103446899">
      <w:bodyDiv w:val="1"/>
      <w:marLeft w:val="0"/>
      <w:marRight w:val="0"/>
      <w:marTop w:val="0"/>
      <w:marBottom w:val="0"/>
      <w:divBdr>
        <w:top w:val="none" w:sz="0" w:space="0" w:color="auto"/>
        <w:left w:val="none" w:sz="0" w:space="0" w:color="auto"/>
        <w:bottom w:val="none" w:sz="0" w:space="0" w:color="auto"/>
        <w:right w:val="none" w:sz="0" w:space="0" w:color="auto"/>
      </w:divBdr>
      <w:divsChild>
        <w:div w:id="1785727887">
          <w:marLeft w:val="0"/>
          <w:marRight w:val="0"/>
          <w:marTop w:val="0"/>
          <w:marBottom w:val="0"/>
          <w:divBdr>
            <w:top w:val="none" w:sz="0" w:space="0" w:color="auto"/>
            <w:left w:val="none" w:sz="0" w:space="0" w:color="auto"/>
            <w:bottom w:val="none" w:sz="0" w:space="0" w:color="auto"/>
            <w:right w:val="none" w:sz="0" w:space="0" w:color="auto"/>
          </w:divBdr>
          <w:divsChild>
            <w:div w:id="2140108204">
              <w:marLeft w:val="0"/>
              <w:marRight w:val="0"/>
              <w:marTop w:val="0"/>
              <w:marBottom w:val="0"/>
              <w:divBdr>
                <w:top w:val="none" w:sz="0" w:space="0" w:color="auto"/>
                <w:left w:val="none" w:sz="0" w:space="0" w:color="auto"/>
                <w:bottom w:val="none" w:sz="0" w:space="0" w:color="auto"/>
                <w:right w:val="none" w:sz="0" w:space="0" w:color="auto"/>
              </w:divBdr>
              <w:divsChild>
                <w:div w:id="1344624874">
                  <w:marLeft w:val="0"/>
                  <w:marRight w:val="0"/>
                  <w:marTop w:val="0"/>
                  <w:marBottom w:val="0"/>
                  <w:divBdr>
                    <w:top w:val="none" w:sz="0" w:space="0" w:color="auto"/>
                    <w:left w:val="none" w:sz="0" w:space="0" w:color="auto"/>
                    <w:bottom w:val="none" w:sz="0" w:space="0" w:color="auto"/>
                    <w:right w:val="none" w:sz="0" w:space="0" w:color="auto"/>
                  </w:divBdr>
                </w:div>
                <w:div w:id="266933532">
                  <w:marLeft w:val="0"/>
                  <w:marRight w:val="0"/>
                  <w:marTop w:val="0"/>
                  <w:marBottom w:val="0"/>
                  <w:divBdr>
                    <w:top w:val="none" w:sz="0" w:space="0" w:color="auto"/>
                    <w:left w:val="none" w:sz="0" w:space="0" w:color="auto"/>
                    <w:bottom w:val="none" w:sz="0" w:space="0" w:color="auto"/>
                    <w:right w:val="none" w:sz="0" w:space="0" w:color="auto"/>
                  </w:divBdr>
                  <w:divsChild>
                    <w:div w:id="1122068224">
                      <w:marLeft w:val="0"/>
                      <w:marRight w:val="0"/>
                      <w:marTop w:val="0"/>
                      <w:marBottom w:val="0"/>
                      <w:divBdr>
                        <w:top w:val="none" w:sz="0" w:space="0" w:color="auto"/>
                        <w:left w:val="none" w:sz="0" w:space="0" w:color="auto"/>
                        <w:bottom w:val="none" w:sz="0" w:space="0" w:color="auto"/>
                        <w:right w:val="none" w:sz="0" w:space="0" w:color="auto"/>
                      </w:divBdr>
                    </w:div>
                  </w:divsChild>
                </w:div>
                <w:div w:id="752508398">
                  <w:marLeft w:val="0"/>
                  <w:marRight w:val="0"/>
                  <w:marTop w:val="0"/>
                  <w:marBottom w:val="0"/>
                  <w:divBdr>
                    <w:top w:val="none" w:sz="0" w:space="0" w:color="auto"/>
                    <w:left w:val="none" w:sz="0" w:space="0" w:color="auto"/>
                    <w:bottom w:val="none" w:sz="0" w:space="0" w:color="auto"/>
                    <w:right w:val="none" w:sz="0" w:space="0" w:color="auto"/>
                  </w:divBdr>
                  <w:divsChild>
                    <w:div w:id="1557858489">
                      <w:marLeft w:val="0"/>
                      <w:marRight w:val="0"/>
                      <w:marTop w:val="0"/>
                      <w:marBottom w:val="0"/>
                      <w:divBdr>
                        <w:top w:val="none" w:sz="0" w:space="0" w:color="auto"/>
                        <w:left w:val="none" w:sz="0" w:space="0" w:color="auto"/>
                        <w:bottom w:val="none" w:sz="0" w:space="0" w:color="auto"/>
                        <w:right w:val="none" w:sz="0" w:space="0" w:color="auto"/>
                      </w:divBdr>
                    </w:div>
                  </w:divsChild>
                </w:div>
                <w:div w:id="193542904">
                  <w:marLeft w:val="0"/>
                  <w:marRight w:val="0"/>
                  <w:marTop w:val="0"/>
                  <w:marBottom w:val="0"/>
                  <w:divBdr>
                    <w:top w:val="none" w:sz="0" w:space="0" w:color="auto"/>
                    <w:left w:val="none" w:sz="0" w:space="0" w:color="auto"/>
                    <w:bottom w:val="none" w:sz="0" w:space="0" w:color="auto"/>
                    <w:right w:val="none" w:sz="0" w:space="0" w:color="auto"/>
                  </w:divBdr>
                  <w:divsChild>
                    <w:div w:id="126247666">
                      <w:marLeft w:val="0"/>
                      <w:marRight w:val="0"/>
                      <w:marTop w:val="0"/>
                      <w:marBottom w:val="0"/>
                      <w:divBdr>
                        <w:top w:val="none" w:sz="0" w:space="0" w:color="auto"/>
                        <w:left w:val="none" w:sz="0" w:space="0" w:color="auto"/>
                        <w:bottom w:val="none" w:sz="0" w:space="0" w:color="auto"/>
                        <w:right w:val="none" w:sz="0" w:space="0" w:color="auto"/>
                      </w:divBdr>
                    </w:div>
                  </w:divsChild>
                </w:div>
                <w:div w:id="1242987915">
                  <w:marLeft w:val="0"/>
                  <w:marRight w:val="0"/>
                  <w:marTop w:val="0"/>
                  <w:marBottom w:val="0"/>
                  <w:divBdr>
                    <w:top w:val="none" w:sz="0" w:space="0" w:color="auto"/>
                    <w:left w:val="none" w:sz="0" w:space="0" w:color="auto"/>
                    <w:bottom w:val="none" w:sz="0" w:space="0" w:color="auto"/>
                    <w:right w:val="none" w:sz="0" w:space="0" w:color="auto"/>
                  </w:divBdr>
                  <w:divsChild>
                    <w:div w:id="1284844786">
                      <w:marLeft w:val="0"/>
                      <w:marRight w:val="0"/>
                      <w:marTop w:val="0"/>
                      <w:marBottom w:val="0"/>
                      <w:divBdr>
                        <w:top w:val="none" w:sz="0" w:space="0" w:color="auto"/>
                        <w:left w:val="none" w:sz="0" w:space="0" w:color="auto"/>
                        <w:bottom w:val="none" w:sz="0" w:space="0" w:color="auto"/>
                        <w:right w:val="none" w:sz="0" w:space="0" w:color="auto"/>
                      </w:divBdr>
                    </w:div>
                  </w:divsChild>
                </w:div>
                <w:div w:id="396978620">
                  <w:marLeft w:val="0"/>
                  <w:marRight w:val="0"/>
                  <w:marTop w:val="0"/>
                  <w:marBottom w:val="0"/>
                  <w:divBdr>
                    <w:top w:val="none" w:sz="0" w:space="0" w:color="auto"/>
                    <w:left w:val="none" w:sz="0" w:space="0" w:color="auto"/>
                    <w:bottom w:val="none" w:sz="0" w:space="0" w:color="auto"/>
                    <w:right w:val="none" w:sz="0" w:space="0" w:color="auto"/>
                  </w:divBdr>
                  <w:divsChild>
                    <w:div w:id="1743916734">
                      <w:marLeft w:val="0"/>
                      <w:marRight w:val="0"/>
                      <w:marTop w:val="0"/>
                      <w:marBottom w:val="0"/>
                      <w:divBdr>
                        <w:top w:val="none" w:sz="0" w:space="0" w:color="auto"/>
                        <w:left w:val="none" w:sz="0" w:space="0" w:color="auto"/>
                        <w:bottom w:val="none" w:sz="0" w:space="0" w:color="auto"/>
                        <w:right w:val="none" w:sz="0" w:space="0" w:color="auto"/>
                      </w:divBdr>
                    </w:div>
                  </w:divsChild>
                </w:div>
                <w:div w:id="131683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3390/su15042151" TargetMode="External"/><Relationship Id="rId13" Type="http://schemas.openxmlformats.org/officeDocument/2006/relationships/hyperlink" Target="https://doi.org/10.3390/foods12040789" TargetMode="External"/><Relationship Id="rId18" Type="http://schemas.openxmlformats.org/officeDocument/2006/relationships/hyperlink" Target="https://doi.org/10.1186/s42269-025-01366-8" TargetMode="External"/><Relationship Id="rId26" Type="http://schemas.openxmlformats.org/officeDocument/2006/relationships/hyperlink" Target="https://doi.org/10.1596/978-1-4648-1965-8" TargetMode="External"/><Relationship Id="rId3" Type="http://schemas.openxmlformats.org/officeDocument/2006/relationships/settings" Target="settings.xml"/><Relationship Id="rId21" Type="http://schemas.openxmlformats.org/officeDocument/2006/relationships/hyperlink" Target="https://doi.org/10.1088/1748-9326/acdf10" TargetMode="External"/><Relationship Id="rId7" Type="http://schemas.openxmlformats.org/officeDocument/2006/relationships/image" Target="media/image3.png"/><Relationship Id="rId12" Type="http://schemas.openxmlformats.org/officeDocument/2006/relationships/hyperlink" Target="https://doi.org/10.17700/jai.2022.13.2.694" TargetMode="External"/><Relationship Id="rId17" Type="http://schemas.openxmlformats.org/officeDocument/2006/relationships/hyperlink" Target="https://doi.org/10.1016/j.suscom.2023.100947" TargetMode="External"/><Relationship Id="rId25" Type="http://schemas.openxmlformats.org/officeDocument/2006/relationships/hyperlink" Target="https://doi.org/10.18356/9789210017588" TargetMode="External"/><Relationship Id="rId2" Type="http://schemas.openxmlformats.org/officeDocument/2006/relationships/styles" Target="styles.xml"/><Relationship Id="rId16" Type="http://schemas.openxmlformats.org/officeDocument/2006/relationships/hyperlink" Target="https://doi.org/10.48550/arXiv.2412.18635" TargetMode="External"/><Relationship Id="rId20" Type="http://schemas.openxmlformats.org/officeDocument/2006/relationships/hyperlink" Target="https://doi.org/10.1016/j.ecolind.2023.110923" TargetMode="External"/><Relationship Id="rId29" Type="http://schemas.openxmlformats.org/officeDocument/2006/relationships/hyperlink" Target="https://doi.org/10.13140/RG.2.2.35421.50405"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4060/cc6789en" TargetMode="External"/><Relationship Id="rId24" Type="http://schemas.openxmlformats.org/officeDocument/2006/relationships/hyperlink" Target="https://doi.org/10.3390/rs16030487" TargetMode="External"/><Relationship Id="rId5" Type="http://schemas.openxmlformats.org/officeDocument/2006/relationships/image" Target="media/image1.png"/><Relationship Id="rId15" Type="http://schemas.openxmlformats.org/officeDocument/2006/relationships/hyperlink" Target="https://doi.org/10.18356/9789210023856" TargetMode="External"/><Relationship Id="rId23" Type="http://schemas.openxmlformats.org/officeDocument/2006/relationships/hyperlink" Target="https://doi.org/10.1007/s11119-023-09961-2" TargetMode="External"/><Relationship Id="rId28" Type="http://schemas.openxmlformats.org/officeDocument/2006/relationships/hyperlink" Target="https://doi.org/10.13140/RG.2.2.28039.80806" TargetMode="External"/><Relationship Id="rId10" Type="http://schemas.openxmlformats.org/officeDocument/2006/relationships/hyperlink" Target="https://doi.org/10.4060/cb9478en" TargetMode="External"/><Relationship Id="rId19" Type="http://schemas.openxmlformats.org/officeDocument/2006/relationships/hyperlink" Target="https://doi.org/10.1016/j.compag.2023.108123"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2762/515528" TargetMode="External"/><Relationship Id="rId14" Type="http://schemas.openxmlformats.org/officeDocument/2006/relationships/hyperlink" Target="https://doi.org/10.1038/s41598-025-98454-6" TargetMode="External"/><Relationship Id="rId22" Type="http://schemas.openxmlformats.org/officeDocument/2006/relationships/hyperlink" Target="https://doi.org/10.1007/s10796-021-10173-2" TargetMode="External"/><Relationship Id="rId27" Type="http://schemas.openxmlformats.org/officeDocument/2006/relationships/hyperlink" Target="https://doi.org/10.1596/978-1-4648-2003-6"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7612</Words>
  <Characters>43391</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Eniya Bharathi</cp:lastModifiedBy>
  <cp:revision>3</cp:revision>
  <dcterms:created xsi:type="dcterms:W3CDTF">2026-03-24T09:18:00Z</dcterms:created>
  <dcterms:modified xsi:type="dcterms:W3CDTF">2026-03-24T09:19:00Z</dcterms:modified>
</cp:coreProperties>
</file>