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E5A" w:rsidRDefault="00731E5A" w:rsidP="00AB1E1E">
      <w:pPr>
        <w:tabs>
          <w:tab w:val="left" w:pos="3402"/>
        </w:tabs>
        <w:spacing w:after="80"/>
      </w:pPr>
    </w:p>
    <w:p w:rsidR="000A431F" w:rsidRDefault="008F7E65" w:rsidP="000A431F">
      <w:pPr>
        <w:spacing w:after="40"/>
        <w:jc w:val="center"/>
        <w:rPr>
          <w:b/>
          <w:bCs/>
          <w:color w:val="0A0A0A"/>
        </w:rPr>
      </w:pPr>
      <w:r>
        <w:rPr>
          <w:b/>
          <w:bCs/>
          <w:color w:val="0A0A0A"/>
        </w:rPr>
        <w:t>Towards a Mental Accounting Architecture of Household Savings (MAAHS): Conceptualizing Savings Behaviour among</w:t>
      </w:r>
      <w:r>
        <w:t xml:space="preserve"> </w:t>
      </w:r>
      <w:r w:rsidR="00012ED5">
        <w:rPr>
          <w:b/>
          <w:bCs/>
          <w:color w:val="0A0A0A"/>
        </w:rPr>
        <w:t>Low-Income Urban Households</w:t>
      </w:r>
    </w:p>
    <w:p w:rsidR="000A431F" w:rsidRDefault="000A431F" w:rsidP="000A431F">
      <w:pPr>
        <w:spacing w:after="40"/>
        <w:jc w:val="center"/>
        <w:rPr>
          <w:b/>
          <w:bCs/>
          <w:color w:val="0A0A0A"/>
        </w:rPr>
      </w:pPr>
    </w:p>
    <w:p w:rsidR="00C07F7E" w:rsidRPr="00421229" w:rsidRDefault="00C07F7E" w:rsidP="00C07F7E">
      <w:pPr>
        <w:jc w:val="center"/>
        <w:rPr>
          <w:sz w:val="22"/>
          <w:szCs w:val="22"/>
        </w:rPr>
      </w:pPr>
      <w:r w:rsidRPr="00421229">
        <w:rPr>
          <w:sz w:val="22"/>
          <w:szCs w:val="22"/>
        </w:rPr>
        <w:t xml:space="preserve"/>
      </w:r>
      <w:r w:rsidRPr="00421229">
        <w:rPr>
          <w:b/>
          <w:sz w:val="22"/>
          <w:szCs w:val="22"/>
        </w:rPr>
        <w:t/>
      </w:r>
    </w:p>
    <w:p w:rsidR="00C07F7E" w:rsidRPr="00421229" w:rsidRDefault="00C07F7E" w:rsidP="00C07F7E">
      <w:pPr>
        <w:jc w:val="center"/>
        <w:rPr>
          <w:sz w:val="22"/>
          <w:szCs w:val="22"/>
        </w:rPr>
      </w:pPr>
      <w:r w:rsidRPr="00421229">
        <w:rPr>
          <w:sz w:val="22"/>
          <w:szCs w:val="22"/>
        </w:rPr>
        <w:t/>
      </w:r>
      <w:r>
        <w:rPr>
          <w:sz w:val="22"/>
          <w:szCs w:val="22"/>
        </w:rPr>
        <w:t/>
      </w:r>
    </w:p>
    <w:p w:rsidR="00C07F7E" w:rsidRPr="00421229" w:rsidRDefault="003D2957" w:rsidP="00C07F7E">
      <w:pPr>
        <w:jc w:val="center"/>
        <w:rPr>
          <w:sz w:val="22"/>
          <w:szCs w:val="22"/>
        </w:rPr>
      </w:pPr>
      <w:hyperlink r:id="rId8" w:history="1">
        <w:r w:rsidR="00C07F7E" w:rsidRPr="00421229">
          <w:rPr>
            <w:rStyle w:val="Hyperlink"/>
            <w:sz w:val="22"/>
            <w:szCs w:val="22"/>
          </w:rPr>
          <w:t/>
        </w:r>
      </w:hyperlink>
    </w:p>
    <w:p w:rsidR="00C07F7E" w:rsidRPr="00421229" w:rsidRDefault="00C07F7E" w:rsidP="00C07F7E">
      <w:pPr>
        <w:jc w:val="center"/>
        <w:rPr>
          <w:sz w:val="22"/>
          <w:szCs w:val="22"/>
        </w:rPr>
      </w:pPr>
    </w:p>
    <w:p w:rsidR="00C07F7E" w:rsidRPr="00421229" w:rsidRDefault="00C07F7E" w:rsidP="00C07F7E">
      <w:pPr>
        <w:jc w:val="center"/>
        <w:rPr>
          <w:sz w:val="22"/>
          <w:szCs w:val="22"/>
        </w:rPr>
      </w:pPr>
      <w:r w:rsidRPr="00421229">
        <w:rPr>
          <w:sz w:val="22"/>
          <w:szCs w:val="22"/>
        </w:rPr>
        <w:t xml:space="preserve"/>
      </w:r>
      <w:r w:rsidRPr="00421229">
        <w:rPr>
          <w:b/>
          <w:sz w:val="22"/>
          <w:szCs w:val="22"/>
        </w:rPr>
        <w:t/>
      </w:r>
    </w:p>
    <w:p w:rsidR="00C07F7E" w:rsidRPr="00421229" w:rsidRDefault="00C07F7E" w:rsidP="00C07F7E">
      <w:pPr>
        <w:jc w:val="center"/>
        <w:rPr>
          <w:sz w:val="22"/>
          <w:szCs w:val="22"/>
        </w:rPr>
      </w:pPr>
      <w:r w:rsidRPr="00421229">
        <w:rPr>
          <w:sz w:val="22"/>
          <w:szCs w:val="22"/>
        </w:rPr>
        <w:t/>
      </w:r>
      <w:r w:rsidRPr="00384443">
        <w:rPr>
          <w:sz w:val="22"/>
          <w:szCs w:val="22"/>
        </w:rPr>
        <w:t xml:space="preserve"/>
      </w:r>
      <w:r>
        <w:rPr>
          <w:sz w:val="22"/>
          <w:szCs w:val="22"/>
        </w:rPr>
        <w:t xml:space="preserve"/>
      </w:r>
      <w:r w:rsidRPr="00421229">
        <w:rPr>
          <w:sz w:val="22"/>
          <w:szCs w:val="22"/>
        </w:rPr>
        <w:t/>
      </w:r>
      <w:r>
        <w:rPr>
          <w:sz w:val="22"/>
          <w:szCs w:val="22"/>
        </w:rPr>
        <w:t xml:space="preserve"/>
      </w:r>
      <w:r w:rsidRPr="00421229">
        <w:rPr>
          <w:sz w:val="22"/>
          <w:szCs w:val="22"/>
        </w:rPr>
        <w:t xml:space="preserve"/>
      </w:r>
    </w:p>
    <w:p w:rsidR="00C07F7E" w:rsidRDefault="00C07F7E" w:rsidP="00C07F7E"/>
    <w:p w:rsidR="0096290B" w:rsidRDefault="0096290B" w:rsidP="0096290B">
      <w:pPr>
        <w:spacing w:after="80"/>
        <w:jc w:val="center"/>
      </w:pPr>
    </w:p>
    <w:p w:rsidR="00515B3B" w:rsidRPr="00AB5548" w:rsidRDefault="00A05DAE" w:rsidP="00AB5548">
      <w:pPr>
        <w:spacing w:after="120"/>
        <w:jc w:val="center"/>
        <w:rPr>
          <w:color w:val="auto"/>
        </w:rPr>
      </w:pPr>
      <w:r>
        <w:rPr>
          <w:b/>
          <w:bCs/>
          <w:color w:val="auto"/>
        </w:rPr>
        <w:t>Abstract</w:t>
      </w:r>
    </w:p>
    <w:p w:rsidR="00515B3B" w:rsidRPr="00A650E6" w:rsidRDefault="00515B3B" w:rsidP="00515B3B">
      <w:pPr>
        <w:spacing w:after="140"/>
        <w:jc w:val="both"/>
        <w:rPr>
          <w:sz w:val="22"/>
          <w:szCs w:val="22"/>
        </w:rPr>
      </w:pPr>
      <w:r w:rsidRPr="00A650E6">
        <w:rPr>
          <w:sz w:val="22"/>
          <w:szCs w:val="22"/>
        </w:rPr>
        <w:t xml:space="preserve">Household savings behaviour among low-income urban populations remains a critical yet </w:t>
      </w:r>
      <w:r w:rsidR="008A26CB" w:rsidRPr="00A650E6">
        <w:rPr>
          <w:sz w:val="22"/>
          <w:szCs w:val="22"/>
        </w:rPr>
        <w:t>insufficiently theoris</w:t>
      </w:r>
      <w:r w:rsidRPr="00A650E6">
        <w:rPr>
          <w:sz w:val="22"/>
          <w:szCs w:val="22"/>
        </w:rPr>
        <w:t xml:space="preserve">ed </w:t>
      </w:r>
      <w:r w:rsidR="008A26CB" w:rsidRPr="00A650E6">
        <w:rPr>
          <w:sz w:val="22"/>
          <w:szCs w:val="22"/>
        </w:rPr>
        <w:t>area within</w:t>
      </w:r>
      <w:r w:rsidRPr="00A650E6">
        <w:rPr>
          <w:sz w:val="22"/>
          <w:szCs w:val="22"/>
        </w:rPr>
        <w:t xml:space="preserve"> development finance </w:t>
      </w:r>
      <w:r w:rsidR="008A26CB" w:rsidRPr="00A650E6">
        <w:rPr>
          <w:sz w:val="22"/>
          <w:szCs w:val="22"/>
        </w:rPr>
        <w:t>and behavioural economics</w:t>
      </w:r>
      <w:r w:rsidRPr="00A650E6">
        <w:rPr>
          <w:sz w:val="22"/>
          <w:szCs w:val="22"/>
        </w:rPr>
        <w:t xml:space="preserve">. Despite </w:t>
      </w:r>
      <w:r w:rsidR="008A26CB" w:rsidRPr="00A650E6">
        <w:rPr>
          <w:sz w:val="22"/>
          <w:szCs w:val="22"/>
        </w:rPr>
        <w:t>sustained efforts to expand</w:t>
      </w:r>
      <w:r w:rsidRPr="00A650E6">
        <w:rPr>
          <w:sz w:val="22"/>
          <w:szCs w:val="22"/>
        </w:rPr>
        <w:t xml:space="preserve"> financial inclusion </w:t>
      </w:r>
      <w:r w:rsidR="008A26CB" w:rsidRPr="00A650E6">
        <w:rPr>
          <w:sz w:val="22"/>
          <w:szCs w:val="22"/>
        </w:rPr>
        <w:t>through microfinance</w:t>
      </w:r>
      <w:r w:rsidRPr="00A650E6">
        <w:rPr>
          <w:sz w:val="22"/>
          <w:szCs w:val="22"/>
        </w:rPr>
        <w:t xml:space="preserve">, </w:t>
      </w:r>
      <w:r w:rsidR="008A26CB" w:rsidRPr="00A650E6">
        <w:rPr>
          <w:sz w:val="22"/>
          <w:szCs w:val="22"/>
        </w:rPr>
        <w:t>digital banking and formal savings programmes, saving rates among</w:t>
      </w:r>
      <w:r w:rsidRPr="00A650E6">
        <w:rPr>
          <w:sz w:val="22"/>
          <w:szCs w:val="22"/>
        </w:rPr>
        <w:t xml:space="preserve"> low-income urban </w:t>
      </w:r>
      <w:r w:rsidR="008A26CB" w:rsidRPr="00A650E6">
        <w:rPr>
          <w:sz w:val="22"/>
          <w:szCs w:val="22"/>
        </w:rPr>
        <w:t>households</w:t>
      </w:r>
      <w:r w:rsidRPr="00A650E6">
        <w:rPr>
          <w:sz w:val="22"/>
          <w:szCs w:val="22"/>
        </w:rPr>
        <w:t xml:space="preserve"> across the Global South remain </w:t>
      </w:r>
      <w:r w:rsidR="008A26CB" w:rsidRPr="00A650E6">
        <w:rPr>
          <w:sz w:val="22"/>
          <w:szCs w:val="22"/>
        </w:rPr>
        <w:t xml:space="preserve">persistently low. Existing explanations have largely emphasised income constraints and market imperfections, offering limited insight into the cognitive and behavioural processes that shape household financial decisions. </w:t>
      </w:r>
      <w:r w:rsidR="00DB2634" w:rsidRPr="00A650E6">
        <w:rPr>
          <w:sz w:val="22"/>
          <w:szCs w:val="22"/>
        </w:rPr>
        <w:t>This paper employ</w:t>
      </w:r>
      <w:r w:rsidRPr="00A650E6">
        <w:rPr>
          <w:sz w:val="22"/>
          <w:szCs w:val="22"/>
        </w:rPr>
        <w:t xml:space="preserve">s mental accounting </w:t>
      </w:r>
      <w:r w:rsidR="00DB2634" w:rsidRPr="00A650E6">
        <w:rPr>
          <w:sz w:val="22"/>
          <w:szCs w:val="22"/>
        </w:rPr>
        <w:t>theory as a conceptual lens for unders</w:t>
      </w:r>
      <w:bookmarkStart w:id="0" w:name="_GoBack"/>
      <w:bookmarkEnd w:id="0"/>
      <w:r w:rsidR="00DB2634" w:rsidRPr="00A650E6">
        <w:rPr>
          <w:sz w:val="22"/>
          <w:szCs w:val="22"/>
        </w:rPr>
        <w:t>tanding the</w:t>
      </w:r>
      <w:r w:rsidRPr="00A650E6">
        <w:rPr>
          <w:sz w:val="22"/>
          <w:szCs w:val="22"/>
        </w:rPr>
        <w:t xml:space="preserve"> savings behaviour of low-income urban households. </w:t>
      </w:r>
      <w:r w:rsidR="00DB2634" w:rsidRPr="00A650E6">
        <w:rPr>
          <w:sz w:val="22"/>
          <w:szCs w:val="22"/>
        </w:rPr>
        <w:t>Drawing on insights from</w:t>
      </w:r>
      <w:r w:rsidRPr="00A650E6">
        <w:rPr>
          <w:sz w:val="22"/>
          <w:szCs w:val="22"/>
        </w:rPr>
        <w:t xml:space="preserve"> behavioural</w:t>
      </w:r>
      <w:r w:rsidR="00DB2634" w:rsidRPr="00A650E6">
        <w:rPr>
          <w:sz w:val="22"/>
          <w:szCs w:val="22"/>
        </w:rPr>
        <w:t xml:space="preserve"> economics, development finance</w:t>
      </w:r>
      <w:r w:rsidRPr="00A650E6">
        <w:rPr>
          <w:sz w:val="22"/>
          <w:szCs w:val="22"/>
        </w:rPr>
        <w:t xml:space="preserve"> and financial anthropology, the paper argues that </w:t>
      </w:r>
      <w:r w:rsidR="00DB2634" w:rsidRPr="00A650E6">
        <w:rPr>
          <w:sz w:val="22"/>
          <w:szCs w:val="22"/>
        </w:rPr>
        <w:t>household saving decisions are structured by</w:t>
      </w:r>
      <w:r w:rsidRPr="00A650E6">
        <w:rPr>
          <w:sz w:val="22"/>
          <w:szCs w:val="22"/>
        </w:rPr>
        <w:t xml:space="preserve"> a distinctive mental accounting architecture characterised by</w:t>
      </w:r>
      <w:r w:rsidR="00DB2634" w:rsidRPr="00A650E6">
        <w:rPr>
          <w:sz w:val="22"/>
          <w:szCs w:val="22"/>
        </w:rPr>
        <w:t xml:space="preserve"> five interrelated mechanisms: </w:t>
      </w:r>
      <w:r w:rsidRPr="00A650E6">
        <w:rPr>
          <w:sz w:val="22"/>
          <w:szCs w:val="22"/>
        </w:rPr>
        <w:t xml:space="preserve">(i) rigid categorical budgeting that inhibits wealth accumulation; (ii) psychologically compartmentalised savings vehicles whose rules constrain inter-account fungibility; (iii) present-biased temporal discounting that systematically crowds out long-horizon saving; (iv) loss aversion asymmetries that prioritise consumption smoothing over asset accumulation; and (v) social-normative expenditure commitments that function as implicit claims on uncommitted income. The paper develops an integrative conceptual model - the Mental Accounting Architecture of Household Savings (MAAHS) that maps these mechanisms and their interactions and generates twelve theoretically grounded propositions suitable for empirical testing. Policy implications for the design of savings products, financial literacy </w:t>
      </w:r>
      <w:r w:rsidR="00871D0D" w:rsidRPr="00A650E6">
        <w:rPr>
          <w:sz w:val="22"/>
          <w:szCs w:val="22"/>
        </w:rPr>
        <w:t>programmes</w:t>
      </w:r>
      <w:r w:rsidRPr="00A650E6">
        <w:rPr>
          <w:sz w:val="22"/>
          <w:szCs w:val="22"/>
        </w:rPr>
        <w:t xml:space="preserve"> and regulatory </w:t>
      </w:r>
      <w:r w:rsidR="00871D0D" w:rsidRPr="00A650E6">
        <w:rPr>
          <w:sz w:val="22"/>
          <w:szCs w:val="22"/>
        </w:rPr>
        <w:t xml:space="preserve">interventions </w:t>
      </w:r>
      <w:r w:rsidRPr="00A650E6">
        <w:rPr>
          <w:sz w:val="22"/>
          <w:szCs w:val="22"/>
        </w:rPr>
        <w:t xml:space="preserve">in low-income urban </w:t>
      </w:r>
      <w:r w:rsidR="00871D0D" w:rsidRPr="00A650E6">
        <w:rPr>
          <w:sz w:val="22"/>
          <w:szCs w:val="22"/>
        </w:rPr>
        <w:t>contexts</w:t>
      </w:r>
      <w:r w:rsidRPr="00A650E6">
        <w:rPr>
          <w:sz w:val="22"/>
          <w:szCs w:val="22"/>
        </w:rPr>
        <w:t xml:space="preserve"> are derived and discussed. The paper contributes to the emerging literature on behavioural development economics and offers a </w:t>
      </w:r>
      <w:r w:rsidR="00871D0D" w:rsidRPr="00A650E6">
        <w:rPr>
          <w:sz w:val="22"/>
          <w:szCs w:val="22"/>
        </w:rPr>
        <w:t>robust theoretical</w:t>
      </w:r>
      <w:r w:rsidRPr="00A650E6">
        <w:rPr>
          <w:sz w:val="22"/>
          <w:szCs w:val="22"/>
        </w:rPr>
        <w:t xml:space="preserve"> foundation for understanding </w:t>
      </w:r>
      <w:r w:rsidR="002A548E" w:rsidRPr="00A650E6">
        <w:rPr>
          <w:sz w:val="22"/>
          <w:szCs w:val="22"/>
        </w:rPr>
        <w:t>the persistent gap between financial inclusion initiatives and actual</w:t>
      </w:r>
      <w:r w:rsidRPr="00A650E6">
        <w:rPr>
          <w:sz w:val="22"/>
          <w:szCs w:val="22"/>
        </w:rPr>
        <w:t xml:space="preserve"> savings mobilisation among urban poor households.</w:t>
      </w:r>
    </w:p>
    <w:p w:rsidR="00731E5A" w:rsidRPr="00A650E6" w:rsidRDefault="00515B3B" w:rsidP="0096290B">
      <w:pPr>
        <w:spacing w:after="80"/>
        <w:jc w:val="both"/>
        <w:rPr>
          <w:sz w:val="22"/>
          <w:szCs w:val="22"/>
        </w:rPr>
      </w:pPr>
      <w:r w:rsidRPr="00A650E6">
        <w:rPr>
          <w:b/>
          <w:bCs/>
          <w:color w:val="0A0A0A"/>
          <w:sz w:val="22"/>
          <w:szCs w:val="22"/>
        </w:rPr>
        <w:t xml:space="preserve">Keywords: </w:t>
      </w:r>
      <w:r w:rsidRPr="00A650E6">
        <w:rPr>
          <w:sz w:val="22"/>
          <w:szCs w:val="22"/>
        </w:rPr>
        <w:t>mental accounting, household savings behaviour, behavioural development economics, financial inclusion, MAAHS model, developing economies</w:t>
      </w:r>
    </w:p>
    <w:p w:rsidR="00731E5A" w:rsidRPr="00A05DAE" w:rsidRDefault="00A05DAE">
      <w:pPr>
        <w:spacing w:before="320" w:after="140"/>
        <w:rPr>
          <w:color w:val="auto"/>
        </w:rPr>
      </w:pPr>
      <w:r w:rsidRPr="00A05DAE">
        <w:rPr>
          <w:b/>
          <w:bCs/>
          <w:color w:val="auto"/>
        </w:rPr>
        <w:t>1. Introduction</w:t>
      </w:r>
    </w:p>
    <w:p w:rsidR="00731E5A" w:rsidRDefault="00CA65C0" w:rsidP="0096290B">
      <w:pPr>
        <w:spacing w:after="200"/>
        <w:jc w:val="both"/>
      </w:pPr>
      <w:r>
        <w:t xml:space="preserve">Savings behaviour lies at the heart of household financial resilience, intergenerational wealth formation and macroeconomic capital accumulation. Low-income urban households represent one of the fastest-growing demographic groups in the Global South, with their population expected to exceed two billion people by 2030 (UN-Habitat, 2023). For these households, the capacity to save is not merely an economic aspiration but also as a critical mechanism for coping with income volatility, health shocks and livelihood disruptions that characterise precarious urban existence. Yet despite the proliferation of financial inclusion initiatives, the expansion of mobile banking infrastructure and the growth of microfinance institutions, savings rates among low-income urban households remain structurally and persistently low (Dupas &amp; Robinson, 2013; Collins et al., 2009; Karlan &amp; Zinman, 2008). This paper argues </w:t>
      </w:r>
      <w:r>
        <w:lastRenderedPageBreak/>
        <w:t>that understanding the reason requires moving beyond income-centric explanations to engage seriously with the cognitive architecture of financial decision-making.</w:t>
      </w:r>
    </w:p>
    <w:p w:rsidR="00731E5A" w:rsidRDefault="00CA65C0" w:rsidP="00085B79">
      <w:pPr>
        <w:spacing w:after="200"/>
        <w:jc w:val="both"/>
      </w:pPr>
      <w:r>
        <w:t>The dominant theoretical framework in development finance has long situated low household savings as a function of constrained income: households do not save because they cannot afford to (Friedman, 1957; Modigliani &amp; Brumberg, 1954). While income is clearly a necessary condition for saving, it is demonstrably not a sufficient explanation. The landmark work of Collins et al. (2009) in Portfolios of the Poor documented that households in Bangladesh, India and South Africa with daily incomes at or below $2 USD still engaged in remarkably active and sophisticated financial management, regularly moving money through multiple formal and informal instruments. What varied across households of comparable income levels was not the volume of financial activity but its direction, prioritisation and psychological architecture. Some households saved systematically while others of identical income did not (Collins et al., 2009; Karlan et al., 2014).</w:t>
      </w:r>
    </w:p>
    <w:p w:rsidR="00731E5A" w:rsidRDefault="00CA65C0" w:rsidP="00085B79">
      <w:pPr>
        <w:spacing w:after="200"/>
        <w:jc w:val="both"/>
      </w:pPr>
      <w:r>
        <w:t>This heterogeneity in savings behaviour among income-comparable households points unmistakably toward psychological and behavioural explana</w:t>
      </w:r>
      <w:r w:rsidR="00440267">
        <w:t xml:space="preserve">tions. Mental accounting theory </w:t>
      </w:r>
      <w:r>
        <w:t>provides the most theoretically developed and empirically supported framework for understanding these behavioural dynamics. Mental accounting</w:t>
      </w:r>
      <w:r w:rsidR="00440267">
        <w:t xml:space="preserve"> theory developed by</w:t>
      </w:r>
      <w:r>
        <w:t xml:space="preserve"> </w:t>
      </w:r>
      <w:r w:rsidR="00440267">
        <w:t>Thaler</w:t>
      </w:r>
      <w:r w:rsidR="00440267" w:rsidRPr="00440267">
        <w:t xml:space="preserve"> (1985, 1999) </w:t>
      </w:r>
      <w:r w:rsidR="00440267">
        <w:t xml:space="preserve">provides the </w:t>
      </w:r>
      <w:r w:rsidR="00440267" w:rsidRPr="00440267">
        <w:t>foundational account of how individuals categorise, evaluate and manage financial resources through a system of cognitive sub-accounts</w:t>
      </w:r>
      <w:r w:rsidR="00440267">
        <w:t>. It</w:t>
      </w:r>
      <w:r w:rsidR="00440267" w:rsidRPr="00440267">
        <w:t xml:space="preserve"> </w:t>
      </w:r>
      <w:r>
        <w:t>explains why households treat nominally identical money differently depend</w:t>
      </w:r>
      <w:r w:rsidR="00440267">
        <w:t>ing on its source, intended use</w:t>
      </w:r>
      <w:r>
        <w:t xml:space="preserve"> or psychological framing; why funds designated for food cannot be mentally transferred to savings even when the opportunity is manifest; and why the a</w:t>
      </w:r>
      <w:r w:rsidR="00440267">
        <w:t xml:space="preserve">rchitecture of savings products - </w:t>
      </w:r>
      <w:r>
        <w:t xml:space="preserve">their </w:t>
      </w:r>
      <w:r w:rsidR="00440267">
        <w:t xml:space="preserve">labelling, commitment structure and social embedding </w:t>
      </w:r>
      <w:r>
        <w:t>matters as much as their financial terms in determining uptake and utilisation.</w:t>
      </w:r>
    </w:p>
    <w:p w:rsidR="00731E5A" w:rsidRDefault="00CA65C0" w:rsidP="00085B79">
      <w:pPr>
        <w:spacing w:after="200"/>
        <w:jc w:val="both"/>
      </w:pPr>
      <w:r>
        <w:t xml:space="preserve">Notwithstanding the theoretical richness of mental accounting, its systematic application to household savings behaviour in low-income urban communities has been partial and fragmented. The foundational mental accounting literature is overwhelmingly derived from experimental studies involving middle-class populations in the United States and Western Europe (Thaler, 1985, 1999; Kahneman &amp; Tversky, 1979; Prelec &amp; Loewenstein, 1998). Extensions to developing country household finance </w:t>
      </w:r>
      <w:r w:rsidR="001D79E6">
        <w:t>has</w:t>
      </w:r>
      <w:r>
        <w:t xml:space="preserve"> been empirically productive but theoretically </w:t>
      </w:r>
      <w:r w:rsidR="001D79E6">
        <w:t>under integrated</w:t>
      </w:r>
      <w:r>
        <w:t xml:space="preserve"> (Ashraf et al., 2006; Dupas &amp; Robinson, 2013; Banerjee &amp; Mullainathan, 2010). A comprehensive conceptual model that systematically maps the mental accounting mechanisms operative in low</w:t>
      </w:r>
      <w:r w:rsidR="001D79E6">
        <w:t xml:space="preserve">-income urban savings behaviour </w:t>
      </w:r>
      <w:r>
        <w:t>and their interactions with the structu</w:t>
      </w:r>
      <w:r w:rsidR="001D79E6">
        <w:t>ral conditions of urban poverty remain</w:t>
      </w:r>
      <w:r>
        <w:t xml:space="preserve"> absent from the literature. This paper f</w:t>
      </w:r>
      <w:r w:rsidR="00577F0E">
        <w:t>ills that gap.</w:t>
      </w:r>
    </w:p>
    <w:p w:rsidR="00731E5A" w:rsidRDefault="00CA65C0" w:rsidP="00F6101F">
      <w:pPr>
        <w:spacing w:after="200"/>
        <w:jc w:val="both"/>
      </w:pPr>
      <w:r>
        <w:t xml:space="preserve">The paper makes four principal contributions. First, it develops a systematic conceptual integration of mental accounting theory with the empirical literature on low-income household finance, generating a unified account of the psychological mechanisms that shape savings behaviour in urban poverty contexts. Second, it proposes the Mental Accounting Architecture of </w:t>
      </w:r>
      <w:r w:rsidR="00F6101F">
        <w:t xml:space="preserve">Household Savings (MAAHS) model - </w:t>
      </w:r>
      <w:r>
        <w:t>an integrative conceptual framework mapping the</w:t>
      </w:r>
      <w:r w:rsidR="00F6101F">
        <w:t xml:space="preserve"> mechanisms, their interactions</w:t>
      </w:r>
      <w:r>
        <w:t xml:space="preserve"> and the structural conditions that mediate them. Third, it generates twelve theoretically grounded propositions suitable for empirical testing in diverse low-income urban settings. Fourth, it derives specific, actionable implications for the design of savings products, fina</w:t>
      </w:r>
      <w:r w:rsidR="00F6101F">
        <w:t>ncial literacy interventions</w:t>
      </w:r>
      <w:r>
        <w:t xml:space="preserve"> and regulatory frameworks aimed at improving savings outcomes for low-income urban households.</w:t>
      </w:r>
    </w:p>
    <w:p w:rsidR="00B92766" w:rsidRPr="00B92766" w:rsidRDefault="00A05DAE" w:rsidP="00B92766">
      <w:pPr>
        <w:spacing w:before="320" w:after="140"/>
        <w:rPr>
          <w:b/>
          <w:bCs/>
          <w:color w:val="auto"/>
        </w:rPr>
      </w:pPr>
      <w:r w:rsidRPr="00A05DAE">
        <w:rPr>
          <w:b/>
          <w:bCs/>
          <w:color w:val="auto"/>
        </w:rPr>
        <w:t xml:space="preserve">2. </w:t>
      </w:r>
      <w:r w:rsidR="006A3974">
        <w:rPr>
          <w:b/>
          <w:bCs/>
          <w:color w:val="auto"/>
        </w:rPr>
        <w:t xml:space="preserve">Literature Review </w:t>
      </w:r>
    </w:p>
    <w:p w:rsidR="00213D60" w:rsidRDefault="002C5158" w:rsidP="00EF7FCF">
      <w:pPr>
        <w:spacing w:after="140"/>
        <w:jc w:val="both"/>
        <w:rPr>
          <w:b/>
          <w:bCs/>
          <w:color w:val="auto"/>
        </w:rPr>
      </w:pPr>
      <w:r>
        <w:rPr>
          <w:b/>
          <w:bCs/>
          <w:color w:val="auto"/>
        </w:rPr>
        <w:lastRenderedPageBreak/>
        <w:t xml:space="preserve">2.1 </w:t>
      </w:r>
      <w:r w:rsidR="00FD1F37">
        <w:rPr>
          <w:b/>
          <w:bCs/>
          <w:color w:val="auto"/>
        </w:rPr>
        <w:t>The Concepts of Mental Accounting, Savings Behaviour, Low-Income H</w:t>
      </w:r>
      <w:r w:rsidR="00D61EB2">
        <w:rPr>
          <w:b/>
          <w:bCs/>
          <w:color w:val="auto"/>
        </w:rPr>
        <w:t>ouseholds</w:t>
      </w:r>
    </w:p>
    <w:p w:rsidR="00B92766" w:rsidRDefault="00B92766" w:rsidP="00EF7FCF">
      <w:pPr>
        <w:spacing w:after="140"/>
        <w:jc w:val="both"/>
      </w:pPr>
      <w:r>
        <w:t xml:space="preserve">Mental accounting is a behavioural economics concept introduced by Richard Thaler (1985, 1999), which explains how individuals cognitively organize, classify and evaluate financial resources. Rather than treating money as perfectly fungible, individuals create separate mental accounts based on the source of income, intended purpose or spending category. These cognitive classifications influence financial decision-making by shaping how people allocate, spend, save and invest money. Consequently, individuals may treat identical amounts of money differently depending on the mental account to which the funds are assigned. Mental accounting has become a central theoretical framework for understanding household financial behaviour, particularly in contexts characterised by limited resources and competing financial priorities. </w:t>
      </w:r>
    </w:p>
    <w:p w:rsidR="00B92766" w:rsidRDefault="00B92766" w:rsidP="00B92766">
      <w:pPr>
        <w:spacing w:before="320" w:after="140"/>
        <w:jc w:val="both"/>
      </w:pPr>
      <w:r>
        <w:t xml:space="preserve">Savings behaviour refers to the decisions and actions undertaken by individuals or households to set aside a portion of current income for future consumption, investment or precautionary purposes. It encompasses the frequency, consistency, amount and choice of savings instruments used to accumulate financial resources over time. Savings behaviour is influenced by a combination of economic factors such as income level, employment status and access to financial services, as well as behavioural and psychological factors including financial literacy, time preferences, self-control, risk perception and social norms. Consequently, savings behaviour reflects not only a household's financial capacity but also its attitudes and decision-making processes regarding future financial security. </w:t>
      </w:r>
    </w:p>
    <w:p w:rsidR="00B92766" w:rsidRDefault="00B92766" w:rsidP="00B92766">
      <w:pPr>
        <w:spacing w:before="320" w:after="140"/>
        <w:jc w:val="both"/>
      </w:pPr>
      <w:r>
        <w:t>Low-income households are households whose income levels are insufficient to meet more than their essential consumption needs and are typically classified below nationally or internationally established income or poverty thresholds. These households often experience financial constraints arising from low and unstable earnings, limited asset ownership, restricted access to formal financial services and heightened vulnerability to economic shocks. As a result, they allocate a substantial proportion of their income to basic necessities, leaving limited resources for savings and investment. Within the context of household finance research, low-income households are recognised as a distinct population whose financial decisions are shaped by both structural constraints and behavioural factors, making them particularly relevant to studies of savings behaviour and financial inclusion.</w:t>
      </w:r>
    </w:p>
    <w:p w:rsidR="00FD1F37" w:rsidRDefault="00FD1F37" w:rsidP="00FD1F37">
      <w:pPr>
        <w:spacing w:before="240" w:after="100"/>
        <w:rPr>
          <w:b/>
          <w:bCs/>
          <w:color w:val="auto"/>
        </w:rPr>
      </w:pPr>
      <w:r>
        <w:rPr>
          <w:b/>
          <w:bCs/>
          <w:color w:val="auto"/>
        </w:rPr>
        <w:t>2.2 Theoretical</w:t>
      </w:r>
      <w:r w:rsidRPr="00213D60">
        <w:rPr>
          <w:b/>
          <w:bCs/>
          <w:color w:val="auto"/>
        </w:rPr>
        <w:t xml:space="preserve"> </w:t>
      </w:r>
      <w:r>
        <w:rPr>
          <w:b/>
          <w:bCs/>
          <w:color w:val="auto"/>
        </w:rPr>
        <w:t>Foundations</w:t>
      </w:r>
    </w:p>
    <w:p w:rsidR="00FD1F37" w:rsidRPr="000A431F" w:rsidRDefault="00FD1F37" w:rsidP="00FD1F37">
      <w:pPr>
        <w:spacing w:before="240" w:after="100"/>
        <w:rPr>
          <w:color w:val="auto"/>
        </w:rPr>
      </w:pPr>
      <w:r>
        <w:rPr>
          <w:b/>
          <w:bCs/>
          <w:color w:val="auto"/>
        </w:rPr>
        <w:t>2.2.1 Mental Accounting Theory</w:t>
      </w:r>
    </w:p>
    <w:p w:rsidR="00FD1F37" w:rsidRPr="000A431F" w:rsidRDefault="00FD1F37" w:rsidP="00FD1F37">
      <w:pPr>
        <w:spacing w:after="200"/>
        <w:jc w:val="both"/>
        <w:rPr>
          <w:color w:val="auto"/>
        </w:rPr>
      </w:pPr>
      <w:r>
        <w:rPr>
          <w:color w:val="auto"/>
        </w:rPr>
        <w:t>Mental accounting theory, as systematically articulated by Thaler (1985) and subsequently refined in a series of foundational contributions (</w:t>
      </w:r>
      <w:proofErr w:type="spellStart"/>
      <w:r>
        <w:rPr>
          <w:color w:val="auto"/>
        </w:rPr>
        <w:t>Thaler</w:t>
      </w:r>
      <w:proofErr w:type="spellEnd"/>
      <w:r>
        <w:rPr>
          <w:color w:val="auto"/>
        </w:rPr>
        <w:t xml:space="preserve">, 1999; </w:t>
      </w:r>
      <w:proofErr w:type="spellStart"/>
      <w:r>
        <w:rPr>
          <w:color w:val="auto"/>
        </w:rPr>
        <w:t>Shefrin</w:t>
      </w:r>
      <w:proofErr w:type="spellEnd"/>
      <w:r>
        <w:rPr>
          <w:color w:val="auto"/>
        </w:rPr>
        <w:t xml:space="preserve"> &amp; </w:t>
      </w:r>
      <w:proofErr w:type="spellStart"/>
      <w:r>
        <w:rPr>
          <w:color w:val="auto"/>
        </w:rPr>
        <w:t>Thaler</w:t>
      </w:r>
      <w:proofErr w:type="spellEnd"/>
      <w:r>
        <w:rPr>
          <w:color w:val="auto"/>
        </w:rPr>
        <w:t xml:space="preserve">, 1988; </w:t>
      </w:r>
      <w:proofErr w:type="spellStart"/>
      <w:r>
        <w:rPr>
          <w:color w:val="auto"/>
        </w:rPr>
        <w:t>Kahneman</w:t>
      </w:r>
      <w:proofErr w:type="spellEnd"/>
      <w:r>
        <w:rPr>
          <w:color w:val="auto"/>
        </w:rPr>
        <w:t xml:space="preserve"> &amp; Tversky, 1984), constitutes the primary theoretical lens of this paper. The central claim of mental accounting theory is that individuals do not process financial information in accordance with the </w:t>
      </w:r>
      <w:proofErr w:type="spellStart"/>
      <w:r>
        <w:rPr>
          <w:color w:val="auto"/>
        </w:rPr>
        <w:t>fungibility</w:t>
      </w:r>
      <w:proofErr w:type="spellEnd"/>
      <w:r>
        <w:rPr>
          <w:color w:val="auto"/>
        </w:rPr>
        <w:t xml:space="preserve"> assumption of standard economic theory, the axiom that money is perfectly interchangeable regardless of its source, mental designation or form. Instead, individuals </w:t>
      </w:r>
      <w:proofErr w:type="spellStart"/>
      <w:r>
        <w:rPr>
          <w:color w:val="auto"/>
        </w:rPr>
        <w:t>organise</w:t>
      </w:r>
      <w:proofErr w:type="spellEnd"/>
      <w:r>
        <w:rPr>
          <w:color w:val="auto"/>
        </w:rPr>
        <w:t xml:space="preserve"> financial resources into a set of psychologically distinct accounts, each carrying implicit rules that govern acceptable sources, uses, and evaluation frames.</w:t>
      </w:r>
    </w:p>
    <w:p w:rsidR="00FD1F37" w:rsidRPr="000A431F" w:rsidRDefault="00FD1F37" w:rsidP="00FD1F37">
      <w:pPr>
        <w:spacing w:after="200"/>
        <w:jc w:val="both"/>
        <w:rPr>
          <w:color w:val="auto"/>
        </w:rPr>
      </w:pPr>
      <w:r>
        <w:rPr>
          <w:color w:val="auto"/>
        </w:rPr>
        <w:t xml:space="preserve">Thaler (1985, 1999) identifies three core components of mental accounting. The first is the evaluation of outcomes through a value function that is: (i) defined over changes in wealth relative to a reference point rather than over absolute levels of wealth; (ii) concave in the domain of gains and convex in the domain of losses thus producing diminishing marginal </w:t>
      </w:r>
      <w:r>
        <w:rPr>
          <w:color w:val="auto"/>
        </w:rPr>
        <w:lastRenderedPageBreak/>
        <w:t xml:space="preserve">sensitivity to both positive and negative outcomes; and (iii) steeper for losses than for equivalent gains, such that the psychological disutility of losing a given amount exceeds the utility of gaining the same amount by a factor empirically estimated at approximately 2:1 (Kahneman &amp; Tversky, 1979; Tversky &amp; Kahneman, 1991). This value function, derived directly from </w:t>
      </w:r>
      <w:proofErr w:type="spellStart"/>
      <w:r>
        <w:rPr>
          <w:color w:val="auto"/>
        </w:rPr>
        <w:t>Kahneman</w:t>
      </w:r>
      <w:proofErr w:type="spellEnd"/>
      <w:r>
        <w:rPr>
          <w:color w:val="auto"/>
        </w:rPr>
        <w:t xml:space="preserve"> and </w:t>
      </w:r>
      <w:proofErr w:type="spellStart"/>
      <w:r>
        <w:rPr>
          <w:color w:val="auto"/>
        </w:rPr>
        <w:t>Tversky's</w:t>
      </w:r>
      <w:proofErr w:type="spellEnd"/>
      <w:r>
        <w:rPr>
          <w:color w:val="auto"/>
        </w:rPr>
        <w:t xml:space="preserve"> (1979) prospect theory, generates a range of choice anomalies including the endowment effect, the disposition effect and status quo bias that are directly relevant to savings behaviour.</w:t>
      </w:r>
    </w:p>
    <w:p w:rsidR="00FD1F37" w:rsidRPr="000A431F" w:rsidRDefault="00FD1F37" w:rsidP="00FD1F37">
      <w:pPr>
        <w:spacing w:after="200"/>
        <w:jc w:val="both"/>
        <w:rPr>
          <w:color w:val="auto"/>
        </w:rPr>
      </w:pPr>
      <w:r>
        <w:rPr>
          <w:color w:val="auto"/>
        </w:rPr>
        <w:t xml:space="preserve">The second component is the assignment of activities and outcomes to specific mental accounts. Thaler (1999) distinguishes current income accounts, asset accounts (further subdivided by liquidity) and future income accounts - a tripartite structure that maps onto the behavioural life-cycle hypothesis developed by </w:t>
      </w:r>
      <w:proofErr w:type="spellStart"/>
      <w:r>
        <w:rPr>
          <w:color w:val="auto"/>
        </w:rPr>
        <w:t>Shefrin</w:t>
      </w:r>
      <w:proofErr w:type="spellEnd"/>
      <w:r>
        <w:rPr>
          <w:color w:val="auto"/>
        </w:rPr>
        <w:t xml:space="preserve"> and </w:t>
      </w:r>
      <w:proofErr w:type="spellStart"/>
      <w:r>
        <w:rPr>
          <w:color w:val="auto"/>
        </w:rPr>
        <w:t>Thaler</w:t>
      </w:r>
      <w:proofErr w:type="spellEnd"/>
      <w:r>
        <w:rPr>
          <w:color w:val="auto"/>
        </w:rPr>
        <w:t xml:space="preserve"> (1988). Under this behavioural extension of the life-cycle model, the propensity to consume from each account differs systematically: current income accounts have the highest marginal propensity to consume, while retirement or future income accounts have the lowest. This account-level heterogeneity in spending propensity is a mechanism of central importance to savings behaviour in low-income households, as it implies that the </w:t>
      </w:r>
      <w:proofErr w:type="spellStart"/>
      <w:r>
        <w:rPr>
          <w:color w:val="auto"/>
        </w:rPr>
        <w:t>labelling</w:t>
      </w:r>
      <w:proofErr w:type="spellEnd"/>
      <w:r>
        <w:rPr>
          <w:color w:val="auto"/>
        </w:rPr>
        <w:t xml:space="preserve"> and </w:t>
      </w:r>
      <w:proofErr w:type="spellStart"/>
      <w:r>
        <w:rPr>
          <w:color w:val="auto"/>
        </w:rPr>
        <w:t>categorisation</w:t>
      </w:r>
      <w:proofErr w:type="spellEnd"/>
      <w:r>
        <w:rPr>
          <w:color w:val="auto"/>
        </w:rPr>
        <w:t xml:space="preserve"> of income, rather than its magnitude alone, determines how much is saved.</w:t>
      </w:r>
    </w:p>
    <w:p w:rsidR="00FD1F37" w:rsidRPr="000A431F" w:rsidRDefault="00FD1F37" w:rsidP="00FD1F37">
      <w:pPr>
        <w:spacing w:after="200"/>
        <w:jc w:val="both"/>
        <w:rPr>
          <w:color w:val="auto"/>
        </w:rPr>
      </w:pPr>
      <w:r>
        <w:rPr>
          <w:color w:val="auto"/>
        </w:rPr>
        <w:t xml:space="preserve">The third component is the temporal dimension of mental accounting: the way in which individuals open, update and close accounts across different time horizons. </w:t>
      </w:r>
      <w:proofErr w:type="spellStart"/>
      <w:r>
        <w:rPr>
          <w:color w:val="auto"/>
        </w:rPr>
        <w:t>Prelec</w:t>
      </w:r>
      <w:proofErr w:type="spellEnd"/>
      <w:r>
        <w:rPr>
          <w:color w:val="auto"/>
        </w:rPr>
        <w:t xml:space="preserve"> and </w:t>
      </w:r>
      <w:proofErr w:type="spellStart"/>
      <w:r>
        <w:rPr>
          <w:color w:val="auto"/>
        </w:rPr>
        <w:t>Loewenstein</w:t>
      </w:r>
      <w:proofErr w:type="spellEnd"/>
      <w:r>
        <w:rPr>
          <w:color w:val="auto"/>
        </w:rPr>
        <w:t xml:space="preserve"> (1998) develop the double-entry mental accounting model, which demonstrates that transactions are recorded in two psychological ledgers simultaneously: the hedonic ledger (capturing consumption pleasure or pain) and the financial ledger (recording payment costs). The timing and coupling of these two registrations determines the net psychological valence of a transaction. For savings behaviour, this framework implies that the pain of foregoing consumption in order to save, recorded immediately in the hedonic ledger, is not offset by the temporally distant pleasure of future consumption, creating a structural bias against saving that is particularly acute for present-biased consumers (</w:t>
      </w:r>
      <w:proofErr w:type="spellStart"/>
      <w:r>
        <w:rPr>
          <w:color w:val="auto"/>
        </w:rPr>
        <w:t>Laibson</w:t>
      </w:r>
      <w:proofErr w:type="spellEnd"/>
      <w:r>
        <w:rPr>
          <w:color w:val="auto"/>
        </w:rPr>
        <w:t xml:space="preserve">, 1997; </w:t>
      </w:r>
      <w:proofErr w:type="spellStart"/>
      <w:r>
        <w:rPr>
          <w:color w:val="auto"/>
        </w:rPr>
        <w:t>O'Donoghue</w:t>
      </w:r>
      <w:proofErr w:type="spellEnd"/>
      <w:r>
        <w:rPr>
          <w:color w:val="auto"/>
        </w:rPr>
        <w:t xml:space="preserve"> &amp; Rabin, 1999).</w:t>
      </w:r>
    </w:p>
    <w:p w:rsidR="00FD1F37" w:rsidRPr="000A431F" w:rsidRDefault="00FD1F37" w:rsidP="00FD1F37">
      <w:pPr>
        <w:spacing w:before="240" w:after="100"/>
        <w:rPr>
          <w:color w:val="auto"/>
        </w:rPr>
      </w:pPr>
      <w:r>
        <w:rPr>
          <w:b/>
          <w:bCs/>
          <w:color w:val="auto"/>
        </w:rPr>
        <w:t>2.2.2 Prospect Theory and Loss Aversion</w:t>
      </w:r>
    </w:p>
    <w:p w:rsidR="00FD1F37" w:rsidRPr="000A431F" w:rsidRDefault="00FD1F37" w:rsidP="00FD1F37">
      <w:pPr>
        <w:spacing w:after="200"/>
        <w:jc w:val="both"/>
        <w:rPr>
          <w:color w:val="auto"/>
        </w:rPr>
      </w:pPr>
      <w:proofErr w:type="spellStart"/>
      <w:r>
        <w:rPr>
          <w:color w:val="auto"/>
        </w:rPr>
        <w:t>Kahneman</w:t>
      </w:r>
      <w:proofErr w:type="spellEnd"/>
      <w:r>
        <w:rPr>
          <w:color w:val="auto"/>
        </w:rPr>
        <w:t xml:space="preserve"> and </w:t>
      </w:r>
      <w:proofErr w:type="spellStart"/>
      <w:r>
        <w:rPr>
          <w:color w:val="auto"/>
        </w:rPr>
        <w:t>Tversky's</w:t>
      </w:r>
      <w:proofErr w:type="spellEnd"/>
      <w:r>
        <w:rPr>
          <w:color w:val="auto"/>
        </w:rPr>
        <w:t xml:space="preserve"> (1979) prospect theory provides the micro-foundational framework from which mental accounting's value function is derived and contributes several additional mechanisms relevant to household savings. Of particular importance is loss aversion: the empirically robust finding that losses are psychologically weighted approximately twice as heavily as equivalent gains. In the context of savings behaviour, loss aversion generates a powerful asymmetry: the prospect of losing current consumption capacity (in order to fund savings) is experienced as more aversive than the equivalent gain in future wealth is attractive (</w:t>
      </w:r>
      <w:proofErr w:type="spellStart"/>
      <w:r>
        <w:rPr>
          <w:color w:val="auto"/>
        </w:rPr>
        <w:t>Köszegi</w:t>
      </w:r>
      <w:proofErr w:type="spellEnd"/>
      <w:r>
        <w:rPr>
          <w:color w:val="auto"/>
        </w:rPr>
        <w:t xml:space="preserve"> &amp; Rabin, 2006).</w:t>
      </w:r>
    </w:p>
    <w:p w:rsidR="00FD1F37" w:rsidRPr="000A431F" w:rsidRDefault="00FD1F37" w:rsidP="00FD1F37">
      <w:pPr>
        <w:spacing w:after="200"/>
        <w:jc w:val="both"/>
        <w:rPr>
          <w:color w:val="auto"/>
        </w:rPr>
      </w:pPr>
      <w:r>
        <w:rPr>
          <w:color w:val="auto"/>
        </w:rPr>
        <w:t xml:space="preserve">This loss aversion asymmetry has a direct and well-documented impact on savings decisions. </w:t>
      </w:r>
      <w:proofErr w:type="spellStart"/>
      <w:r>
        <w:rPr>
          <w:color w:val="auto"/>
        </w:rPr>
        <w:t>Benartzi</w:t>
      </w:r>
      <w:proofErr w:type="spellEnd"/>
      <w:r>
        <w:rPr>
          <w:color w:val="auto"/>
        </w:rPr>
        <w:t xml:space="preserve"> and </w:t>
      </w:r>
      <w:proofErr w:type="spellStart"/>
      <w:r>
        <w:rPr>
          <w:color w:val="auto"/>
        </w:rPr>
        <w:t>Thaler</w:t>
      </w:r>
      <w:proofErr w:type="spellEnd"/>
      <w:r>
        <w:rPr>
          <w:color w:val="auto"/>
        </w:rPr>
        <w:t xml:space="preserve"> (1995) demonstrate that loss aversion, combined with myopic mental accounting (the tendency to evaluate portfolio outcomes over short rather than long time horizons), generates excessive sensitivity to short-run losses and thereby produces suboptimal long-run saving. </w:t>
      </w:r>
      <w:proofErr w:type="spellStart"/>
      <w:r>
        <w:rPr>
          <w:color w:val="auto"/>
        </w:rPr>
        <w:t>Shefrin</w:t>
      </w:r>
      <w:proofErr w:type="spellEnd"/>
      <w:r>
        <w:rPr>
          <w:color w:val="auto"/>
        </w:rPr>
        <w:t xml:space="preserve"> and </w:t>
      </w:r>
      <w:proofErr w:type="spellStart"/>
      <w:r>
        <w:rPr>
          <w:color w:val="auto"/>
        </w:rPr>
        <w:t>Thaler</w:t>
      </w:r>
      <w:proofErr w:type="spellEnd"/>
      <w:r>
        <w:rPr>
          <w:color w:val="auto"/>
        </w:rPr>
        <w:t xml:space="preserve"> (1988) further demonstrate that loss aversion interacts with the mental account structure to create "temptation" dynamics: uncommitted funds in liquid current income accounts are mentally available for consumption in ways that create persistent pressure against saving. For low-income households, in which essentially all income is mentally classified as current income, this temptation pressure is structurally </w:t>
      </w:r>
      <w:proofErr w:type="spellStart"/>
      <w:r>
        <w:rPr>
          <w:color w:val="auto"/>
        </w:rPr>
        <w:t>maximised</w:t>
      </w:r>
      <w:proofErr w:type="spellEnd"/>
      <w:r>
        <w:rPr>
          <w:color w:val="auto"/>
        </w:rPr>
        <w:t>.</w:t>
      </w:r>
    </w:p>
    <w:p w:rsidR="00FD1F37" w:rsidRPr="000A431F" w:rsidRDefault="00FD1F37" w:rsidP="00FD1F37">
      <w:pPr>
        <w:spacing w:after="200"/>
        <w:jc w:val="both"/>
        <w:rPr>
          <w:color w:val="auto"/>
        </w:rPr>
      </w:pPr>
      <w:r>
        <w:rPr>
          <w:color w:val="auto"/>
        </w:rPr>
        <w:lastRenderedPageBreak/>
        <w:t>Tversky and Kahneman (1991) extend prospect theory to the domain of reference-dependent preferences under uncertainty, demonstrating that loss aversion is not a fixed parameter but intensifies in proportion to the salience of the reference point against which outcomes are evaluated. For low-income urban households, the relevant reference point for savings decisions is typically current consumption level: saving involves a certain, immediate reduction in consumption (a loss), in exchange for an uncertain, future increase in wealth (</w:t>
      </w:r>
      <w:proofErr w:type="spellStart"/>
      <w:r>
        <w:rPr>
          <w:color w:val="auto"/>
        </w:rPr>
        <w:t>a gain</w:t>
      </w:r>
      <w:proofErr w:type="spellEnd"/>
      <w:r>
        <w:rPr>
          <w:color w:val="auto"/>
        </w:rPr>
        <w:t>). The prospect theoretic framing therefore predicts systematic under-saving relative to the predictions of expected utility theory, independently of income constraints.</w:t>
      </w:r>
    </w:p>
    <w:p w:rsidR="00FD1F37" w:rsidRPr="000A431F" w:rsidRDefault="00FD1F37" w:rsidP="00FD1F37">
      <w:pPr>
        <w:spacing w:before="240" w:after="100"/>
        <w:rPr>
          <w:color w:val="auto"/>
        </w:rPr>
      </w:pPr>
      <w:r>
        <w:rPr>
          <w:b/>
          <w:bCs/>
          <w:color w:val="auto"/>
        </w:rPr>
        <w:t>2.2.3 Hyperbolic Discounting and Present Bias</w:t>
      </w:r>
    </w:p>
    <w:p w:rsidR="00FD1F37" w:rsidRPr="000A431F" w:rsidRDefault="00FD1F37" w:rsidP="00FD1F37">
      <w:pPr>
        <w:spacing w:after="200"/>
        <w:jc w:val="both"/>
        <w:rPr>
          <w:color w:val="auto"/>
        </w:rPr>
      </w:pPr>
      <w:r>
        <w:rPr>
          <w:color w:val="auto"/>
        </w:rPr>
        <w:t>The behavioural economics literature on intertemporal choice has established that individuals discount future outcomes at rates that decline over time - hyperbolic discounting rather than at the constant exponential rate assumed by standard economic models (</w:t>
      </w:r>
      <w:proofErr w:type="spellStart"/>
      <w:r>
        <w:rPr>
          <w:color w:val="auto"/>
        </w:rPr>
        <w:t>Laibson</w:t>
      </w:r>
      <w:proofErr w:type="spellEnd"/>
      <w:r>
        <w:rPr>
          <w:color w:val="auto"/>
        </w:rPr>
        <w:t xml:space="preserve">, 1997; Frederick et al., 2002). This hyperbolic discount function generates present-biased preferences: a disproportionate weighting of immediate costs and benefits relative to those that are even slightly deferred. Present bias has been </w:t>
      </w:r>
      <w:proofErr w:type="spellStart"/>
      <w:r>
        <w:rPr>
          <w:color w:val="auto"/>
        </w:rPr>
        <w:t>formalised</w:t>
      </w:r>
      <w:proofErr w:type="spellEnd"/>
      <w:r>
        <w:rPr>
          <w:color w:val="auto"/>
        </w:rPr>
        <w:t xml:space="preserve"> in the quasi-hyperbolic discount function introduced by Phelps and </w:t>
      </w:r>
      <w:proofErr w:type="spellStart"/>
      <w:r>
        <w:rPr>
          <w:color w:val="auto"/>
        </w:rPr>
        <w:t>Pollak</w:t>
      </w:r>
      <w:proofErr w:type="spellEnd"/>
      <w:r>
        <w:rPr>
          <w:color w:val="auto"/>
        </w:rPr>
        <w:t xml:space="preserve"> (1968) and </w:t>
      </w:r>
      <w:proofErr w:type="spellStart"/>
      <w:r>
        <w:rPr>
          <w:color w:val="auto"/>
        </w:rPr>
        <w:t>popularised</w:t>
      </w:r>
      <w:proofErr w:type="spellEnd"/>
      <w:r>
        <w:rPr>
          <w:color w:val="auto"/>
        </w:rPr>
        <w:t xml:space="preserve"> by </w:t>
      </w:r>
      <w:proofErr w:type="spellStart"/>
      <w:r>
        <w:rPr>
          <w:color w:val="auto"/>
        </w:rPr>
        <w:t>Laibson</w:t>
      </w:r>
      <w:proofErr w:type="spellEnd"/>
      <w:r>
        <w:rPr>
          <w:color w:val="auto"/>
        </w:rPr>
        <w:t xml:space="preserve"> (1997) and </w:t>
      </w:r>
      <w:proofErr w:type="spellStart"/>
      <w:r>
        <w:rPr>
          <w:color w:val="auto"/>
        </w:rPr>
        <w:t>O'Donoghue</w:t>
      </w:r>
      <w:proofErr w:type="spellEnd"/>
      <w:r>
        <w:rPr>
          <w:color w:val="auto"/>
        </w:rPr>
        <w:t xml:space="preserve"> and Rabin (1999), which captures both short-run impatience and longer-run relative patience in a tractable two-parameter model.</w:t>
      </w:r>
    </w:p>
    <w:p w:rsidR="00FD1F37" w:rsidRPr="000A431F" w:rsidRDefault="00FD1F37" w:rsidP="00FD1F37">
      <w:pPr>
        <w:spacing w:after="200"/>
        <w:jc w:val="both"/>
        <w:rPr>
          <w:color w:val="auto"/>
        </w:rPr>
      </w:pPr>
      <w:r>
        <w:rPr>
          <w:color w:val="auto"/>
        </w:rPr>
        <w:t>For household savings behaviour, present bias implies a systematic tendency to defer saving to the future; a tendency that is renewed at each decision point, ensuring that saving remains perpetually deferred (</w:t>
      </w:r>
      <w:proofErr w:type="spellStart"/>
      <w:r>
        <w:rPr>
          <w:color w:val="auto"/>
        </w:rPr>
        <w:t>Thaler</w:t>
      </w:r>
      <w:proofErr w:type="spellEnd"/>
      <w:r>
        <w:rPr>
          <w:color w:val="auto"/>
        </w:rPr>
        <w:t xml:space="preserve"> &amp; </w:t>
      </w:r>
      <w:proofErr w:type="spellStart"/>
      <w:r>
        <w:rPr>
          <w:color w:val="auto"/>
        </w:rPr>
        <w:t>Benartzi</w:t>
      </w:r>
      <w:proofErr w:type="spellEnd"/>
      <w:r>
        <w:rPr>
          <w:color w:val="auto"/>
        </w:rPr>
        <w:t xml:space="preserve">, 2004). This time-inconsistency problem in which households plan to save in the future but fail to do so when the future arrives is among the most robust findings in the behavioural savings literature (Ashraf et al., 2006; </w:t>
      </w:r>
      <w:proofErr w:type="spellStart"/>
      <w:r>
        <w:rPr>
          <w:color w:val="auto"/>
        </w:rPr>
        <w:t>Dupas</w:t>
      </w:r>
      <w:proofErr w:type="spellEnd"/>
      <w:r>
        <w:rPr>
          <w:color w:val="auto"/>
        </w:rPr>
        <w:t xml:space="preserve"> &amp; Robinson, 2013; </w:t>
      </w:r>
      <w:proofErr w:type="spellStart"/>
      <w:r>
        <w:rPr>
          <w:color w:val="auto"/>
        </w:rPr>
        <w:t>Karlan</w:t>
      </w:r>
      <w:proofErr w:type="spellEnd"/>
      <w:r>
        <w:rPr>
          <w:color w:val="auto"/>
        </w:rPr>
        <w:t xml:space="preserve"> et al., 2014). In low-income urban contexts, present bias is further reinforced by genuine income uncertainty: when future income is uncertain, the option value of maintaining current consumption flexibility is economically as well as psychologically elevated (Morduch, 1995; Banerjee &amp; </w:t>
      </w:r>
      <w:proofErr w:type="spellStart"/>
      <w:r>
        <w:rPr>
          <w:color w:val="auto"/>
        </w:rPr>
        <w:t>Duflo</w:t>
      </w:r>
      <w:proofErr w:type="spellEnd"/>
      <w:r>
        <w:rPr>
          <w:color w:val="auto"/>
        </w:rPr>
        <w:t>, 2007).</w:t>
      </w:r>
    </w:p>
    <w:p w:rsidR="00FD1F37" w:rsidRPr="000A431F" w:rsidRDefault="00FD1F37" w:rsidP="00FD1F37">
      <w:pPr>
        <w:spacing w:before="240" w:after="100"/>
        <w:rPr>
          <w:color w:val="auto"/>
        </w:rPr>
      </w:pPr>
      <w:r>
        <w:rPr>
          <w:b/>
          <w:bCs/>
          <w:color w:val="auto"/>
        </w:rPr>
        <w:t>2.2.4 The Behavioural Life-Cycle Hypothesis</w:t>
      </w:r>
    </w:p>
    <w:p w:rsidR="00FD1F37" w:rsidRPr="000A431F" w:rsidRDefault="00FD1F37" w:rsidP="00FD1F37">
      <w:pPr>
        <w:spacing w:after="200"/>
        <w:jc w:val="both"/>
        <w:rPr>
          <w:color w:val="auto"/>
        </w:rPr>
      </w:pPr>
      <w:proofErr w:type="spellStart"/>
      <w:r>
        <w:rPr>
          <w:color w:val="auto"/>
        </w:rPr>
        <w:t>Shefrin</w:t>
      </w:r>
      <w:proofErr w:type="spellEnd"/>
      <w:r>
        <w:rPr>
          <w:color w:val="auto"/>
        </w:rPr>
        <w:t xml:space="preserve"> and </w:t>
      </w:r>
      <w:proofErr w:type="spellStart"/>
      <w:r>
        <w:rPr>
          <w:color w:val="auto"/>
        </w:rPr>
        <w:t>Thaler</w:t>
      </w:r>
      <w:proofErr w:type="spellEnd"/>
      <w:r>
        <w:rPr>
          <w:color w:val="auto"/>
        </w:rPr>
        <w:t xml:space="preserve"> (1988) develop the behavioural life-cycle hypothesis (BLCH) as a descriptively accurate extension of Modigliani and </w:t>
      </w:r>
      <w:proofErr w:type="spellStart"/>
      <w:r>
        <w:rPr>
          <w:color w:val="auto"/>
        </w:rPr>
        <w:t>Brumberg's</w:t>
      </w:r>
      <w:proofErr w:type="spellEnd"/>
      <w:r>
        <w:rPr>
          <w:color w:val="auto"/>
        </w:rPr>
        <w:t xml:space="preserve"> (1954) life-cycle hypothesis. The BLCH replaces the standard model's single, fully fungible wealth account with a tripartite mental account structure namely: current income, current assets and future income - each with a distinct marginal propensity to consume. Under the BLCH, saving behaviour is determined not by lifetime wealth alone but by the mental account classification of each income source and the institutional rules governing each account.</w:t>
      </w:r>
    </w:p>
    <w:p w:rsidR="00FD1F37" w:rsidRPr="000A431F" w:rsidRDefault="00FD1F37" w:rsidP="00FD1F37">
      <w:pPr>
        <w:spacing w:after="200"/>
        <w:jc w:val="both"/>
        <w:rPr>
          <w:color w:val="auto"/>
        </w:rPr>
      </w:pPr>
      <w:r>
        <w:rPr>
          <w:color w:val="auto"/>
        </w:rPr>
        <w:t>The BLCH generates several predictions that are directly relevant to low-income urban households. First, since these households hold the vast majority of their financial resources in current income accounts (characterised by high marginal propensity to consume), their structural saving propensity is lower than that of wealthier households, independently of any income effect (</w:t>
      </w:r>
      <w:proofErr w:type="spellStart"/>
      <w:r>
        <w:rPr>
          <w:color w:val="auto"/>
        </w:rPr>
        <w:t>Shefrin</w:t>
      </w:r>
      <w:proofErr w:type="spellEnd"/>
      <w:r>
        <w:rPr>
          <w:color w:val="auto"/>
        </w:rPr>
        <w:t xml:space="preserve"> &amp; </w:t>
      </w:r>
      <w:proofErr w:type="spellStart"/>
      <w:r>
        <w:rPr>
          <w:color w:val="auto"/>
        </w:rPr>
        <w:t>Thaler</w:t>
      </w:r>
      <w:proofErr w:type="spellEnd"/>
      <w:r>
        <w:rPr>
          <w:color w:val="auto"/>
        </w:rPr>
        <w:t>, 1988). Second, savings product designs that facilitate the reclassification of funds from current income accounts to future income accounts through pre-commitment, labelling or automatic deduction are predicted to substantially increase savings rates. Third, windfalls - income received outside the normal pay cycle are predicted to be saved at higher rates than regular income, because they are mentally classified as asset rather than income, a prediction that has received empirical support in both developed (Thaler, 1990) and developing country contexts (</w:t>
      </w:r>
      <w:proofErr w:type="spellStart"/>
      <w:r>
        <w:rPr>
          <w:color w:val="auto"/>
        </w:rPr>
        <w:t>Agarwal</w:t>
      </w:r>
      <w:proofErr w:type="spellEnd"/>
      <w:r>
        <w:rPr>
          <w:color w:val="auto"/>
        </w:rPr>
        <w:t xml:space="preserve"> et al., 2007).</w:t>
      </w:r>
    </w:p>
    <w:p w:rsidR="00EF7FCF" w:rsidRDefault="00EF7FCF" w:rsidP="00FD1F37">
      <w:pPr>
        <w:spacing w:before="320" w:after="140"/>
        <w:jc w:val="both"/>
        <w:rPr>
          <w:b/>
          <w:bCs/>
          <w:color w:val="auto"/>
        </w:rPr>
      </w:pPr>
    </w:p>
    <w:p w:rsidR="00EF7FCF" w:rsidRDefault="00EF7FCF" w:rsidP="00FD1F37">
      <w:pPr>
        <w:spacing w:before="320" w:after="140"/>
        <w:jc w:val="both"/>
        <w:rPr>
          <w:b/>
          <w:bCs/>
          <w:color w:val="auto"/>
        </w:rPr>
      </w:pPr>
    </w:p>
    <w:p w:rsidR="00FD1F37" w:rsidRPr="00A05DAE" w:rsidRDefault="00FD1F37" w:rsidP="00FD1F37">
      <w:pPr>
        <w:spacing w:before="320" w:after="140"/>
        <w:jc w:val="both"/>
        <w:rPr>
          <w:color w:val="auto"/>
        </w:rPr>
      </w:pPr>
      <w:r>
        <w:rPr>
          <w:b/>
          <w:bCs/>
          <w:color w:val="auto"/>
        </w:rPr>
        <w:t>2.3. Mental Accounting Mechanisms i</w:t>
      </w:r>
      <w:r w:rsidRPr="00A05DAE">
        <w:rPr>
          <w:b/>
          <w:bCs/>
          <w:color w:val="auto"/>
        </w:rPr>
        <w:t>n Low-Income Urban Savings Behaviour</w:t>
      </w:r>
    </w:p>
    <w:p w:rsidR="00FD1F37" w:rsidRPr="000A431F" w:rsidRDefault="00FD1F37" w:rsidP="00FD1F37">
      <w:pPr>
        <w:spacing w:before="240" w:after="100"/>
        <w:rPr>
          <w:color w:val="auto"/>
        </w:rPr>
      </w:pPr>
      <w:r>
        <w:rPr>
          <w:b/>
          <w:bCs/>
          <w:color w:val="auto"/>
        </w:rPr>
        <w:t>2.3.1 Categorical Budgeting and Budget Rigidity</w:t>
      </w:r>
    </w:p>
    <w:p w:rsidR="00FD1F37" w:rsidRPr="000A431F" w:rsidRDefault="00FD1F37" w:rsidP="00FD1F37">
      <w:pPr>
        <w:spacing w:after="200"/>
        <w:jc w:val="both"/>
        <w:rPr>
          <w:color w:val="auto"/>
        </w:rPr>
      </w:pPr>
      <w:r>
        <w:rPr>
          <w:color w:val="auto"/>
        </w:rPr>
        <w:t>The most fundamental mental accounting mechanism operative in low-income urban household savings is categorical budgeting. This is the partitioning of total income into a set of designated expenditure categories, each treated as a distinct mental account with its own spending rules and balances. This cognitive architecture is not unique to low-income households, it is a universal feature of human financial cognition (Heath &amp; Soll, 1996; Thaler, 1999) but its consequences for savings behaviour are particularly acute in the low-income urban context.</w:t>
      </w:r>
    </w:p>
    <w:p w:rsidR="00FD1F37" w:rsidRPr="000A431F" w:rsidRDefault="00FD1F37" w:rsidP="00FD1F37">
      <w:pPr>
        <w:spacing w:after="200"/>
        <w:jc w:val="both"/>
        <w:rPr>
          <w:color w:val="auto"/>
        </w:rPr>
      </w:pPr>
      <w:r>
        <w:rPr>
          <w:color w:val="auto"/>
        </w:rPr>
        <w:t xml:space="preserve">Heath and Soll (1996) demonstrate experimentally that categorical mental budgets constrain expenditure within categories even when cross-category substitution would be economically rational. Applied to household finance, this implies that households with tight categorical budgets in which every income naira or cedi is pre-allocated to specific consumption categories have no residual "savings" category and consequently make no savings allocation regardless of transient opportunities. The budget rigidity mechanism thus explains a well-documented empirical phenomenon: low-income urban households frequently report that they have "nothing left to save" even in months when objective income analysis reveals a modest residual after consumption expenditure (Collins et al., 2009; </w:t>
      </w:r>
      <w:proofErr w:type="spellStart"/>
      <w:r>
        <w:rPr>
          <w:color w:val="auto"/>
        </w:rPr>
        <w:t>Babajide</w:t>
      </w:r>
      <w:proofErr w:type="spellEnd"/>
      <w:r>
        <w:rPr>
          <w:color w:val="auto"/>
        </w:rPr>
        <w:t xml:space="preserve"> et al., 2015).</w:t>
      </w:r>
    </w:p>
    <w:p w:rsidR="00FD1F37" w:rsidRPr="000A431F" w:rsidRDefault="00FD1F37" w:rsidP="00FD1F37">
      <w:pPr>
        <w:spacing w:after="200"/>
        <w:jc w:val="both"/>
        <w:rPr>
          <w:color w:val="auto"/>
        </w:rPr>
      </w:pPr>
      <w:r>
        <w:rPr>
          <w:color w:val="auto"/>
        </w:rPr>
        <w:t xml:space="preserve">The mechanism is self-reinforcing through what Thaler (1999) terms "just-in-time" mental budgeting. This is a situation where households manage expenditure against categorical budget limits rather than against a global budget constraint by allocating income to categories in priority order and treating residual balances as available for lower-priority categories. When savings is not a categorical priority and for most low-income urban households, it is not the just-in-time structure ensures that expenditure expands to absorb available income, a dynamic consistent with </w:t>
      </w:r>
      <w:proofErr w:type="spellStart"/>
      <w:r>
        <w:rPr>
          <w:color w:val="auto"/>
        </w:rPr>
        <w:t>Duesenberry's</w:t>
      </w:r>
      <w:proofErr w:type="spellEnd"/>
      <w:r>
        <w:rPr>
          <w:color w:val="auto"/>
        </w:rPr>
        <w:t xml:space="preserve"> (1949) consumption ratchet hypothesis and with the expenditure expansion observed in financial diaries studies (Collins et al., 2009; </w:t>
      </w:r>
      <w:proofErr w:type="spellStart"/>
      <w:r>
        <w:rPr>
          <w:color w:val="auto"/>
        </w:rPr>
        <w:t>Zollmann</w:t>
      </w:r>
      <w:proofErr w:type="spellEnd"/>
      <w:r>
        <w:rPr>
          <w:color w:val="auto"/>
        </w:rPr>
        <w:t>, 2014).</w:t>
      </w:r>
    </w:p>
    <w:p w:rsidR="00FD1F37" w:rsidRPr="000A431F" w:rsidRDefault="00FD1F37" w:rsidP="00FD1F37">
      <w:pPr>
        <w:spacing w:after="200"/>
        <w:jc w:val="both"/>
        <w:rPr>
          <w:color w:val="auto"/>
        </w:rPr>
      </w:pPr>
      <w:r>
        <w:rPr>
          <w:color w:val="auto"/>
        </w:rPr>
        <w:t>A further consequence of categorical budgeting is budget-breach salience: expenditures that would require withdrawal from savings accounts are psychologically experienced as categorical violations - more aversive than equivalent expenditures funded from the current income account (Thaler, 1999). This asymmetric aversion to savings withdrawal has been documented in formal savings contexts in Kenya (</w:t>
      </w:r>
      <w:proofErr w:type="spellStart"/>
      <w:r>
        <w:rPr>
          <w:color w:val="auto"/>
        </w:rPr>
        <w:t>Dupas</w:t>
      </w:r>
      <w:proofErr w:type="spellEnd"/>
      <w:r>
        <w:rPr>
          <w:color w:val="auto"/>
        </w:rPr>
        <w:t xml:space="preserve"> &amp; Robinson, 2013) and in informal savings contexts in West Africa (</w:t>
      </w:r>
      <w:proofErr w:type="spellStart"/>
      <w:r>
        <w:rPr>
          <w:color w:val="auto"/>
        </w:rPr>
        <w:t>Aryeetey</w:t>
      </w:r>
      <w:proofErr w:type="spellEnd"/>
      <w:r>
        <w:rPr>
          <w:color w:val="auto"/>
        </w:rPr>
        <w:t xml:space="preserve"> &amp; Steel, 1995) and partially explains the pattern of simultaneous saving and borrowing observed in low-income urban households - the maintenance of savings accounts alongside high-cost informal credit being rational under mental accounting logic, even though it is irrational under standard economic logic.</w:t>
      </w:r>
    </w:p>
    <w:p w:rsidR="00FD1F37" w:rsidRPr="000A431F" w:rsidRDefault="00FD1F37" w:rsidP="00FD1F37">
      <w:pPr>
        <w:spacing w:before="240" w:after="100"/>
        <w:rPr>
          <w:color w:val="auto"/>
        </w:rPr>
      </w:pPr>
      <w:r>
        <w:rPr>
          <w:b/>
          <w:bCs/>
          <w:color w:val="auto"/>
        </w:rPr>
        <w:t>2.3.2 Psychological Compartmentalisation of Savings Vehicles</w:t>
      </w:r>
    </w:p>
    <w:p w:rsidR="00FD1F37" w:rsidRPr="000A431F" w:rsidRDefault="00FD1F37" w:rsidP="00FD1F37">
      <w:pPr>
        <w:spacing w:after="200"/>
        <w:jc w:val="both"/>
        <w:rPr>
          <w:color w:val="auto"/>
        </w:rPr>
      </w:pPr>
      <w:r>
        <w:rPr>
          <w:color w:val="auto"/>
        </w:rPr>
        <w:t xml:space="preserve">A second fundamental mechanism is the psychological compartmentalisation of different savings vehicles: the assignment of specific purposes, rules and evaluative frames to each savings instrument, such that funds in different instruments are not perceived as interchangeable. Collins et al. (2009) document that low-income households simultaneously </w:t>
      </w:r>
      <w:r>
        <w:rPr>
          <w:color w:val="auto"/>
        </w:rPr>
        <w:lastRenderedPageBreak/>
        <w:t>maintain multiple savings instruments like formal savings accounts, ROSCA positions, livestock holdings, mobile money balances and physical savings (cash kept at home) and that each instrument is psychologically associated with specific use cases that are resistant to cross-instrument transfer.</w:t>
      </w:r>
    </w:p>
    <w:p w:rsidR="00FD1F37" w:rsidRPr="000A431F" w:rsidRDefault="00FD1F37" w:rsidP="00FD1F37">
      <w:pPr>
        <w:spacing w:after="200"/>
        <w:jc w:val="both"/>
        <w:rPr>
          <w:color w:val="auto"/>
        </w:rPr>
      </w:pPr>
      <w:r>
        <w:rPr>
          <w:color w:val="auto"/>
        </w:rPr>
        <w:t>Rutherford (2000) provides a detailed account of the functional differentiation of savings instruments in Dhaka: cash kept at home serves as a daily liquidity buffer; ROSCA positions serve as forced savings for annual or semi-annual lump-sum expenditures; mobile money balances serve as emergency reserves; livestock serves as a store of value for large, infrequent expenditures and formal savings accounts (where available) serve as aspirational wealth accumulation vehicles. Each instrument's mental account carries rules that make its balance psychologically non-substitutable for the purposes assigned to other instruments.</w:t>
      </w:r>
    </w:p>
    <w:p w:rsidR="00FD1F37" w:rsidRPr="000A431F" w:rsidRDefault="00FD1F37" w:rsidP="00FD1F37">
      <w:pPr>
        <w:spacing w:after="200"/>
        <w:jc w:val="both"/>
        <w:rPr>
          <w:color w:val="auto"/>
        </w:rPr>
      </w:pPr>
      <w:r>
        <w:rPr>
          <w:color w:val="auto"/>
        </w:rPr>
        <w:t>The implications for savings behaviour are significant. Compartmentalisation enables households to maintain meaningful savings balances in some instruments while simultaneously experiencing income shortfalls that might appear to preclude saving. It also, however, creates inefficiencies: the inability to mentally consolidate savings across instruments leads to under-</w:t>
      </w:r>
      <w:proofErr w:type="spellStart"/>
      <w:r>
        <w:rPr>
          <w:color w:val="auto"/>
        </w:rPr>
        <w:t>utilisation</w:t>
      </w:r>
      <w:proofErr w:type="spellEnd"/>
      <w:r>
        <w:rPr>
          <w:color w:val="auto"/>
        </w:rPr>
        <w:t xml:space="preserve"> of accumulated balances in some accounts while simultaneously contracting high-cost credit to fund immediate needs met by other accounts (Collins et al., 2009; Banerjee &amp; </w:t>
      </w:r>
      <w:proofErr w:type="spellStart"/>
      <w:r>
        <w:rPr>
          <w:color w:val="auto"/>
        </w:rPr>
        <w:t>Duflo</w:t>
      </w:r>
      <w:proofErr w:type="spellEnd"/>
      <w:r>
        <w:rPr>
          <w:color w:val="auto"/>
        </w:rPr>
        <w:t>, 2007). This simultaneous borrowing and saving is economically irrational, as the interest cost of borrowing typically exceeds any return to saving. This is one of the most consistent findings in the low-income household finance literature and is directly explained by mental accounting compartmentalisation.</w:t>
      </w:r>
    </w:p>
    <w:p w:rsidR="00FD1F37" w:rsidRPr="000A431F" w:rsidRDefault="00FD1F37" w:rsidP="00FD1F37">
      <w:pPr>
        <w:spacing w:before="240" w:after="100"/>
        <w:rPr>
          <w:color w:val="auto"/>
        </w:rPr>
      </w:pPr>
      <w:r>
        <w:rPr>
          <w:b/>
          <w:bCs/>
          <w:color w:val="auto"/>
        </w:rPr>
        <w:t>2.3.3 Present Bias and Temporal Discounting in Savings Decisions</w:t>
      </w:r>
    </w:p>
    <w:p w:rsidR="00FD1F37" w:rsidRPr="000A431F" w:rsidRDefault="00FD1F37" w:rsidP="00FD1F37">
      <w:pPr>
        <w:spacing w:after="200"/>
        <w:jc w:val="both"/>
        <w:rPr>
          <w:color w:val="auto"/>
        </w:rPr>
      </w:pPr>
      <w:r>
        <w:rPr>
          <w:color w:val="auto"/>
        </w:rPr>
        <w:t xml:space="preserve">Present-biased preferences constitute the third major mental accounting mechanism affecting savings behaviour in low-income urban households. Hyperbolic discounting generates a systematic tendency to defer saving, as the immediate cost of forgoing consumption outweighs, in the hyperbolic discount calculus, the future benefit of accumulated savings. The empirical evidence that this mechanism is operative in low-income urban contexts is extensive and robust (Ashraf et al., 2006; </w:t>
      </w:r>
      <w:proofErr w:type="spellStart"/>
      <w:r>
        <w:rPr>
          <w:color w:val="auto"/>
        </w:rPr>
        <w:t>Dupas</w:t>
      </w:r>
      <w:proofErr w:type="spellEnd"/>
      <w:r>
        <w:rPr>
          <w:color w:val="auto"/>
        </w:rPr>
        <w:t xml:space="preserve"> &amp; Robinson, 2013; </w:t>
      </w:r>
      <w:proofErr w:type="spellStart"/>
      <w:r>
        <w:rPr>
          <w:color w:val="auto"/>
        </w:rPr>
        <w:t>Giné</w:t>
      </w:r>
      <w:proofErr w:type="spellEnd"/>
      <w:r>
        <w:rPr>
          <w:color w:val="auto"/>
        </w:rPr>
        <w:t xml:space="preserve"> et al., 2018).</w:t>
      </w:r>
    </w:p>
    <w:p w:rsidR="00FD1F37" w:rsidRPr="000A431F" w:rsidRDefault="00FD1F37" w:rsidP="00FD1F37">
      <w:pPr>
        <w:spacing w:after="200"/>
        <w:jc w:val="both"/>
        <w:rPr>
          <w:color w:val="auto"/>
        </w:rPr>
      </w:pPr>
      <w:r>
        <w:rPr>
          <w:color w:val="auto"/>
        </w:rPr>
        <w:t xml:space="preserve">A distinctive feature of the low-income urban context is that present bias interacts with income volatility in ways that amplify its effect on savings. Morduch (1995) demonstrates that under genuine income uncertainty which </w:t>
      </w:r>
      <w:proofErr w:type="spellStart"/>
      <w:r>
        <w:rPr>
          <w:color w:val="auto"/>
        </w:rPr>
        <w:t>characterises</w:t>
      </w:r>
      <w:proofErr w:type="spellEnd"/>
      <w:r>
        <w:rPr>
          <w:color w:val="auto"/>
        </w:rPr>
        <w:t xml:space="preserve"> most low-income urban livelihoods dependent on informal sector earnings, casual </w:t>
      </w:r>
      <w:proofErr w:type="spellStart"/>
      <w:r>
        <w:rPr>
          <w:color w:val="auto"/>
        </w:rPr>
        <w:t>labour</w:t>
      </w:r>
      <w:proofErr w:type="spellEnd"/>
      <w:r>
        <w:rPr>
          <w:color w:val="auto"/>
        </w:rPr>
        <w:t xml:space="preserve"> or petty trade, the option value of maintaining liquid consumption buffers is economically rational as well as psychologically preferred. Banerjee and </w:t>
      </w:r>
      <w:proofErr w:type="spellStart"/>
      <w:r>
        <w:rPr>
          <w:color w:val="auto"/>
        </w:rPr>
        <w:t>Duflo</w:t>
      </w:r>
      <w:proofErr w:type="spellEnd"/>
      <w:r>
        <w:rPr>
          <w:color w:val="auto"/>
        </w:rPr>
        <w:t xml:space="preserve"> (2007) extend this analysis to show that, for households at subsistence income levels, the marginal utility of current consumption is genuinely higher than the marginal utility of future consumption (given the possibility that future income may not </w:t>
      </w:r>
      <w:proofErr w:type="spellStart"/>
      <w:r>
        <w:rPr>
          <w:color w:val="auto"/>
        </w:rPr>
        <w:t>materialise</w:t>
      </w:r>
      <w:proofErr w:type="spellEnd"/>
      <w:r>
        <w:rPr>
          <w:color w:val="auto"/>
        </w:rPr>
        <w:t>), making present-biased preferences partly rational rather than purely cognitive.</w:t>
      </w:r>
    </w:p>
    <w:p w:rsidR="00FD1F37" w:rsidRPr="000A431F" w:rsidRDefault="00FD1F37" w:rsidP="00FD1F37">
      <w:pPr>
        <w:spacing w:after="200"/>
        <w:jc w:val="both"/>
        <w:rPr>
          <w:color w:val="auto"/>
        </w:rPr>
      </w:pPr>
      <w:r>
        <w:rPr>
          <w:color w:val="auto"/>
        </w:rPr>
        <w:t>This interaction between behavioural and structural determinants of present bias creates a particular challenge for savings product design: commitment devices that work by restricting access to savings (such as the SEED account studied by Ashraf et al., 2006) generate real welfare costs for households with genuine liquidity needs, even as they generate behavioural benefits for those with self-control problems. The design challenge, distinguishing present bias from rational liquidity preference, is a central problem in the applied behavioural economics of savings and one that has not been satisfactorily resolved in the literature (</w:t>
      </w:r>
      <w:proofErr w:type="spellStart"/>
      <w:r>
        <w:rPr>
          <w:color w:val="auto"/>
        </w:rPr>
        <w:t>Karlan</w:t>
      </w:r>
      <w:proofErr w:type="spellEnd"/>
      <w:r>
        <w:rPr>
          <w:color w:val="auto"/>
        </w:rPr>
        <w:t xml:space="preserve"> et al., 2014; </w:t>
      </w:r>
      <w:proofErr w:type="spellStart"/>
      <w:r>
        <w:rPr>
          <w:color w:val="auto"/>
        </w:rPr>
        <w:t>Giné</w:t>
      </w:r>
      <w:proofErr w:type="spellEnd"/>
      <w:r>
        <w:rPr>
          <w:color w:val="auto"/>
        </w:rPr>
        <w:t xml:space="preserve"> et al., 2018).</w:t>
      </w:r>
    </w:p>
    <w:p w:rsidR="00FD1F37" w:rsidRPr="000A431F" w:rsidRDefault="00FD1F37" w:rsidP="00FD1F37">
      <w:pPr>
        <w:spacing w:before="240" w:after="100"/>
        <w:rPr>
          <w:color w:val="auto"/>
        </w:rPr>
      </w:pPr>
      <w:r>
        <w:rPr>
          <w:b/>
          <w:bCs/>
          <w:color w:val="auto"/>
        </w:rPr>
        <w:lastRenderedPageBreak/>
        <w:t>2.3.4 Loss Aversion and Consumption Smoothing Priority</w:t>
      </w:r>
    </w:p>
    <w:p w:rsidR="00FD1F37" w:rsidRPr="000A431F" w:rsidRDefault="00FD1F37" w:rsidP="00FD1F37">
      <w:pPr>
        <w:spacing w:after="200"/>
        <w:jc w:val="both"/>
        <w:rPr>
          <w:color w:val="auto"/>
        </w:rPr>
      </w:pPr>
      <w:r>
        <w:rPr>
          <w:color w:val="auto"/>
        </w:rPr>
        <w:t>Loss aversion as the asymmetric weighting of losses relative to equivalent gains (Kahneman &amp; Tversky, 1979; Tversky &amp; Kahneman, 1991) generates a fourth mechanism that systematically shapes savings behaviour in low-income urban households. Under loss aversion, the reduction in consumption associated with saving is experienced as a loss relative to the reference point of current consumption, while the future increase in wealth from accumulated savings is experienced as a gain. Since losses are psychologically weighted more heavily than equivalent gains, the marginal disutility of the consumption reduction associated with saving exceeds the marginal utility of the wealth gain, producing a systematic bias against saving.</w:t>
      </w:r>
    </w:p>
    <w:p w:rsidR="00FD1F37" w:rsidRPr="000A431F" w:rsidRDefault="00FD1F37" w:rsidP="00FD1F37">
      <w:pPr>
        <w:spacing w:after="200"/>
        <w:jc w:val="both"/>
        <w:rPr>
          <w:color w:val="auto"/>
        </w:rPr>
      </w:pPr>
      <w:r>
        <w:rPr>
          <w:color w:val="auto"/>
        </w:rPr>
        <w:t xml:space="preserve">For low-income urban households, whose consumption reference points are frequently set at subsistence or near-subsistence levels, loss aversion generates a particularly strong preference for consumption smoothing over wealth accumulation. Morduch (1995) and Townsend (1994) document the extraordinary lengths to which low-income households go to maintain consumption stability in the face of income shocks including liquidating productive assets, contracting high-cost credit, withdrawing children from school and reducing food quality before reducing food quantity. Each of these responses reflects a loss-averse preference ordering in which consumption stability (avoiding the loss of a consumption reference point) takes precedence over long-horizon wealth </w:t>
      </w:r>
      <w:proofErr w:type="spellStart"/>
      <w:r>
        <w:rPr>
          <w:color w:val="auto"/>
        </w:rPr>
        <w:t>maximisation</w:t>
      </w:r>
      <w:proofErr w:type="spellEnd"/>
      <w:r>
        <w:rPr>
          <w:color w:val="auto"/>
        </w:rPr>
        <w:t>.</w:t>
      </w:r>
    </w:p>
    <w:p w:rsidR="00FD1F37" w:rsidRPr="000A431F" w:rsidRDefault="00FD1F37" w:rsidP="00FD1F37">
      <w:pPr>
        <w:spacing w:after="200"/>
        <w:jc w:val="both"/>
        <w:rPr>
          <w:color w:val="auto"/>
        </w:rPr>
      </w:pPr>
      <w:proofErr w:type="spellStart"/>
      <w:r>
        <w:rPr>
          <w:color w:val="auto"/>
        </w:rPr>
        <w:t>Köszegi</w:t>
      </w:r>
      <w:proofErr w:type="spellEnd"/>
      <w:r>
        <w:rPr>
          <w:color w:val="auto"/>
        </w:rPr>
        <w:t xml:space="preserve"> and Rabin (2006) provide a theoretical framework for understanding how the loss aversion mechanism interacts with expectations: individuals' reference points are set by their rational expectations of outcomes, such that anticipated income shortfalls generate proactive behavioural responses aimed at preventing the anticipated loss. Applied to the savings context, this framework predicts that low-income urban households with volatile income will maintain minimal savings balances because holding savings balances creates an </w:t>
      </w:r>
      <w:proofErr w:type="spellStart"/>
      <w:r>
        <w:rPr>
          <w:color w:val="auto"/>
        </w:rPr>
        <w:t>expectational</w:t>
      </w:r>
      <w:proofErr w:type="spellEnd"/>
      <w:r>
        <w:rPr>
          <w:color w:val="auto"/>
        </w:rPr>
        <w:t xml:space="preserve"> reference point whose violation (when savings are drawn down) generates loss-aversion disutility disproportionate to the actual consumption facilitated by the dis-saving.</w:t>
      </w:r>
    </w:p>
    <w:p w:rsidR="00FD1F37" w:rsidRPr="000A431F" w:rsidRDefault="00FD1F37" w:rsidP="00FD1F37">
      <w:pPr>
        <w:spacing w:before="240" w:after="100"/>
        <w:rPr>
          <w:color w:val="auto"/>
        </w:rPr>
      </w:pPr>
      <w:r>
        <w:rPr>
          <w:b/>
          <w:bCs/>
          <w:color w:val="auto"/>
        </w:rPr>
        <w:t>2.3.5 Social-Normative Expenditure Commitments as Implicit Claims</w:t>
      </w:r>
    </w:p>
    <w:p w:rsidR="00FD1F37" w:rsidRPr="000A431F" w:rsidRDefault="00FD1F37" w:rsidP="00FD1F37">
      <w:pPr>
        <w:spacing w:after="200"/>
        <w:jc w:val="both"/>
        <w:rPr>
          <w:color w:val="auto"/>
        </w:rPr>
      </w:pPr>
      <w:r>
        <w:rPr>
          <w:color w:val="auto"/>
        </w:rPr>
        <w:t xml:space="preserve">A fifth mental accounting mechanism operates at the intersection of financial psychology and social anthropology. It is the conversion of social-normative expenditure obligations into implicit mental account claims that pre-empt savings allocation. In low-income urban communities across the Global South, households face extensive social-normative expenditure commitments such as funeral contributions, wedding gifts, school fee pooling arrangements, church or mosque dues, </w:t>
      </w:r>
      <w:proofErr w:type="spellStart"/>
      <w:r>
        <w:rPr>
          <w:color w:val="auto"/>
        </w:rPr>
        <w:t>neighbourhood</w:t>
      </w:r>
      <w:proofErr w:type="spellEnd"/>
      <w:r>
        <w:rPr>
          <w:color w:val="auto"/>
        </w:rPr>
        <w:t xml:space="preserve"> levies and remittance obligations to rural kin that function as near-mandatory claims on income (</w:t>
      </w:r>
      <w:proofErr w:type="spellStart"/>
      <w:r>
        <w:rPr>
          <w:color w:val="auto"/>
        </w:rPr>
        <w:t>Platteau</w:t>
      </w:r>
      <w:proofErr w:type="spellEnd"/>
      <w:r>
        <w:rPr>
          <w:color w:val="auto"/>
        </w:rPr>
        <w:t>, 2000; Di Falco &amp; Bulte, 2011; Squires, 2021).</w:t>
      </w:r>
    </w:p>
    <w:p w:rsidR="00FD1F37" w:rsidRPr="000A431F" w:rsidRDefault="00FD1F37" w:rsidP="00FD1F37">
      <w:pPr>
        <w:spacing w:after="200"/>
        <w:jc w:val="both"/>
        <w:rPr>
          <w:color w:val="auto"/>
        </w:rPr>
      </w:pPr>
      <w:r>
        <w:rPr>
          <w:color w:val="auto"/>
        </w:rPr>
        <w:t xml:space="preserve">The mental accounting mechanism operates through categorical pre-allocation: households mentally allocate income to social-normative obligations before allocating to discretionary categories including savings. Because violations of social-normative obligations carry reputational and social sanctions that are experienced as losses (under loss-aversion logic), the priority of social-normative claims is reinforced by the very loss aversion mechanism. The result is </w:t>
      </w:r>
      <w:proofErr w:type="gramStart"/>
      <w:r>
        <w:rPr>
          <w:color w:val="auto"/>
        </w:rPr>
        <w:t>a mental</w:t>
      </w:r>
      <w:proofErr w:type="gramEnd"/>
      <w:r>
        <w:rPr>
          <w:color w:val="auto"/>
        </w:rPr>
        <w:t xml:space="preserve"> account architecture in which social obligations function as a prior claim on income, structurally reducing the residual available for allocation to savings mental accounts (</w:t>
      </w:r>
      <w:proofErr w:type="spellStart"/>
      <w:r>
        <w:rPr>
          <w:color w:val="auto"/>
        </w:rPr>
        <w:t>Platteau</w:t>
      </w:r>
      <w:proofErr w:type="spellEnd"/>
      <w:r>
        <w:rPr>
          <w:color w:val="auto"/>
        </w:rPr>
        <w:t>, 2000; Squires, 2021).</w:t>
      </w:r>
    </w:p>
    <w:p w:rsidR="00FD1F37" w:rsidRPr="000A431F" w:rsidRDefault="00FD1F37" w:rsidP="00FD1F37">
      <w:pPr>
        <w:spacing w:after="200"/>
        <w:jc w:val="both"/>
        <w:rPr>
          <w:color w:val="auto"/>
        </w:rPr>
      </w:pPr>
      <w:r>
        <w:rPr>
          <w:color w:val="auto"/>
        </w:rPr>
        <w:t xml:space="preserve">Di Falco and Bulte (2011) provide empirical evidence for this mechanism in Ethiopia, demonstrating that households in stronger social-network positions with greater social </w:t>
      </w:r>
      <w:r>
        <w:rPr>
          <w:color w:val="auto"/>
        </w:rPr>
        <w:lastRenderedPageBreak/>
        <w:t>obligations save at significantly lower rates than comparably positioned households with weaker social ties, after controlling for income and demographic characteristics. Similarly, Squires (2021) documents in a randomised study in Malawi that households who received anonymous (socially unobservable) transfers saved a significantly higher proportion than those who received socially observable transfers, consistent with the hypothesis that social observability activates social-normative claim mechanisms that crowd out savings.</w:t>
      </w:r>
    </w:p>
    <w:p w:rsidR="002C5158" w:rsidRPr="00A05DAE" w:rsidRDefault="00FD1F37" w:rsidP="002C5158">
      <w:pPr>
        <w:spacing w:before="320" w:after="140"/>
        <w:rPr>
          <w:color w:val="auto"/>
        </w:rPr>
      </w:pPr>
      <w:r>
        <w:rPr>
          <w:b/>
          <w:bCs/>
          <w:color w:val="auto"/>
        </w:rPr>
        <w:t>2.4</w:t>
      </w:r>
      <w:r w:rsidR="00213D60">
        <w:rPr>
          <w:b/>
          <w:bCs/>
          <w:color w:val="auto"/>
        </w:rPr>
        <w:t xml:space="preserve"> </w:t>
      </w:r>
      <w:r w:rsidRPr="00A05DAE">
        <w:rPr>
          <w:b/>
          <w:bCs/>
          <w:color w:val="auto"/>
        </w:rPr>
        <w:t>Empirical Landscape</w:t>
      </w:r>
      <w:r>
        <w:rPr>
          <w:b/>
          <w:bCs/>
          <w:color w:val="auto"/>
        </w:rPr>
        <w:t xml:space="preserve"> of </w:t>
      </w:r>
      <w:r w:rsidR="002C5158">
        <w:rPr>
          <w:b/>
          <w:bCs/>
          <w:color w:val="auto"/>
        </w:rPr>
        <w:t>Savings Behaviour i</w:t>
      </w:r>
      <w:r>
        <w:rPr>
          <w:b/>
          <w:bCs/>
          <w:color w:val="auto"/>
        </w:rPr>
        <w:t>n Low-Income Urban Communities</w:t>
      </w:r>
    </w:p>
    <w:p w:rsidR="00DF4065" w:rsidRPr="000A431F" w:rsidRDefault="00DF4065" w:rsidP="00DF4065">
      <w:pPr>
        <w:spacing w:after="200"/>
        <w:jc w:val="both"/>
        <w:rPr>
          <w:color w:val="auto"/>
        </w:rPr>
      </w:pPr>
      <w:r>
        <w:rPr>
          <w:color w:val="auto"/>
        </w:rPr>
        <w:t>The empirical literature on household finance in low-income communities consistently documents what Collins et al. (2009) term the "savings paradox": households whose incomes are insufficient to cover basic consumption needs nonetheless engage in active saving activity, while households with somewhat higher but still constrained incomes often save at negligible rates. This paradox cannot be resolved through income-centric models but demands behavioural explanation.</w:t>
      </w:r>
    </w:p>
    <w:p w:rsidR="00FD1F37" w:rsidRPr="000A431F" w:rsidRDefault="00FD1F37" w:rsidP="00FD1F37">
      <w:pPr>
        <w:spacing w:after="200"/>
        <w:jc w:val="both"/>
        <w:rPr>
          <w:color w:val="auto"/>
        </w:rPr>
      </w:pPr>
      <w:r>
        <w:rPr>
          <w:color w:val="auto"/>
        </w:rPr>
        <w:t>The prevalence of informal savings institutions such as Rotating Savings and Credit Associations (ROSCAs), Accumulating Savings and Credit Associations (ASCAs), village savings and loan associations (VSLAs) and various indigenous forms in low-income urban communities across the Global South is itself evidence of the mental accounting dynamics at work. Ardener (1964) first documented ROSCAs' global prevalence and subsequent scholarship has consistently noted their remarkable durability in the face of formal financial sector expansion (Anderson &amp; Baland, 2002; Gugerty, 2007).</w:t>
      </w:r>
    </w:p>
    <w:p w:rsidR="00FD1F37" w:rsidRPr="000A431F" w:rsidRDefault="00FD1F37" w:rsidP="00FD1F37">
      <w:pPr>
        <w:spacing w:after="200"/>
        <w:jc w:val="both"/>
        <w:rPr>
          <w:color w:val="auto"/>
        </w:rPr>
      </w:pPr>
      <w:r>
        <w:rPr>
          <w:color w:val="auto"/>
        </w:rPr>
        <w:t>The behavioural economics of ROSCAs is illuminating. Anderson and Baland (2002) demonstrate that ROSCA participation serves as a commitment device against spousal claiming of household resources: the social obligation to contribute to the ROSCA pot creates an enforceable external claim on income that preempts within-household bargaining over discretionary spending. This function is a mental accounting mechanism in that the ROSCA contribution creates a categorical obligation that removes funds from the "available for consumption" mental account before they can be allocated to competing uses (Gugerty, 2007).</w:t>
      </w:r>
    </w:p>
    <w:p w:rsidR="00FD1F37" w:rsidRPr="000A431F" w:rsidRDefault="00FD1F37" w:rsidP="00FD1F37">
      <w:pPr>
        <w:spacing w:after="200"/>
        <w:jc w:val="both"/>
        <w:rPr>
          <w:color w:val="auto"/>
        </w:rPr>
      </w:pPr>
      <w:r>
        <w:rPr>
          <w:color w:val="auto"/>
        </w:rPr>
        <w:t>Gugerty (2007) extends this analysis to show that ROSCAs in Kenya are primarily valued for their self-discipline function rather than their insurance or credit functions: members would in many cases prefer to receive their lump sum earlier in the ROSCA cycle, even though their expected financial return would be identical. This preference for commitment is consistent with sophisticated awareness of one's own present bias, a form of meta-cognitive self-knowledge that is empirically prevalent among ROSCA participants and that motivates the use of the ROSCA as an external mental accounting device (Ashraf et al., 2006).</w:t>
      </w:r>
    </w:p>
    <w:p w:rsidR="002C5158" w:rsidRPr="000A431F" w:rsidRDefault="00FC3E8C" w:rsidP="002C5158">
      <w:pPr>
        <w:spacing w:after="200"/>
        <w:jc w:val="both"/>
        <w:rPr>
          <w:color w:val="auto"/>
        </w:rPr>
      </w:pPr>
      <w:r>
        <w:rPr>
          <w:color w:val="auto"/>
        </w:rPr>
        <w:t>Collins et al.</w:t>
      </w:r>
      <w:r w:rsidR="002C5158">
        <w:rPr>
          <w:color w:val="auto"/>
        </w:rPr>
        <w:t xml:space="preserve"> (2009) </w:t>
      </w:r>
      <w:r>
        <w:rPr>
          <w:color w:val="auto"/>
        </w:rPr>
        <w:t xml:space="preserve">utilised </w:t>
      </w:r>
      <w:r w:rsidR="002C5158">
        <w:rPr>
          <w:color w:val="auto"/>
        </w:rPr>
        <w:t xml:space="preserve">Financial Diaries methodology which tracked the complete financial flows of 250 households in Bangladesh, India and South Africa over twelve months, </w:t>
      </w:r>
      <w:r>
        <w:rPr>
          <w:color w:val="auto"/>
        </w:rPr>
        <w:t xml:space="preserve">and </w:t>
      </w:r>
      <w:r w:rsidR="002C5158">
        <w:rPr>
          <w:color w:val="auto"/>
        </w:rPr>
        <w:t>documented that poor households managed, on average, between eight and ten distinct financial instruments simultaneously, including informal savings clubs, ROSCA participation, money-keeping with neighbours, formal savings accounts and under-mattress hoarding. The total financial flows through these instruments typically exceeded household income by a factor of three to four, reflecting frequent borrowing, repayment, saving and dis-saving. Despite this financial sophistication, net asset accumulation was minimal, largely because the majority of financial flows were directed toward consumption smoothing rather than wealth accumulation.</w:t>
      </w:r>
    </w:p>
    <w:p w:rsidR="002C5158" w:rsidRPr="000A431F" w:rsidRDefault="002C5158" w:rsidP="002C5158">
      <w:pPr>
        <w:spacing w:after="200"/>
        <w:jc w:val="both"/>
        <w:rPr>
          <w:color w:val="auto"/>
        </w:rPr>
      </w:pPr>
      <w:r>
        <w:rPr>
          <w:color w:val="auto"/>
        </w:rPr>
        <w:lastRenderedPageBreak/>
        <w:t>Subsequent Financial Diaries studies in Uganda (Zollmann, 2014), Kenya (Johnson et al., 2019), Mexico (Guirkinger &amp; Boucher, 2008), and Nigeria (Babajide et al., 2015) have replicated and refined these findings, consistently demonstrating that: (i) low-income urban households engage in active but consumption-oriented financial management; (ii) long-horizon savings directed toward asset accumulation rather than near-term expenditure are rare and structurally inhibited; and (iii) the inhibitory mechanisms are partly institutional (lack of accessible, trustworthy savings vehicles) and partly behavioural (cognitive and motivational biases against long-horizon saving).</w:t>
      </w:r>
    </w:p>
    <w:p w:rsidR="002C5158" w:rsidRPr="000A431F" w:rsidRDefault="002C5158" w:rsidP="002C5158">
      <w:pPr>
        <w:spacing w:after="200"/>
        <w:jc w:val="both"/>
        <w:rPr>
          <w:color w:val="auto"/>
        </w:rPr>
      </w:pPr>
      <w:r>
        <w:rPr>
          <w:color w:val="auto"/>
        </w:rPr>
        <w:t>A series of randomised controlled trials and quasi-experimental studies has isolated specific behavioural mechanisms affecting savings in low-income contexts. Ashraf et al. (2006) evaluate</w:t>
      </w:r>
      <w:r w:rsidR="00FC3E8C">
        <w:rPr>
          <w:color w:val="auto"/>
        </w:rPr>
        <w:t>d</w:t>
      </w:r>
      <w:r>
        <w:rPr>
          <w:color w:val="auto"/>
        </w:rPr>
        <w:t xml:space="preserve"> a commitment savings product (SEED) offered by a rural bank in the Philippines, </w:t>
      </w:r>
      <w:r w:rsidR="00FC3E8C">
        <w:rPr>
          <w:color w:val="auto"/>
        </w:rPr>
        <w:t>and found</w:t>
      </w:r>
      <w:r>
        <w:rPr>
          <w:color w:val="auto"/>
        </w:rPr>
        <w:t xml:space="preserve"> that access to the account increased savings balances by 81% for those who elected to open it, a finding attributed to the account's capacity to provide a commitment device against present-biased self-control failures. Crucially, the uptake of the commitment product was highest among individuals who exhibited strong hyperbolic discounting on baseline elicitation tasks, confirming the mechanism hypothesised by the behavioural savings literature.</w:t>
      </w:r>
    </w:p>
    <w:p w:rsidR="002C5158" w:rsidRPr="000A431F" w:rsidRDefault="002C5158" w:rsidP="002C5158">
      <w:pPr>
        <w:spacing w:after="200"/>
        <w:jc w:val="both"/>
        <w:rPr>
          <w:color w:val="auto"/>
        </w:rPr>
      </w:pPr>
      <w:r>
        <w:rPr>
          <w:color w:val="auto"/>
        </w:rPr>
        <w:t>Dupas and Robinson (2013) evaluate the impact of access to a simple savings account at a village bank in Kenya, finding a 16% increase in investment in preventive health and business investment among account holders. Notably, the savings account offered no interest and was subject to withdrawal fees, yet uptake was substantial. Dupas and Robinson (2013) interpret this as evidence that the mental acc</w:t>
      </w:r>
      <w:r w:rsidR="00CD56DD">
        <w:rPr>
          <w:color w:val="auto"/>
        </w:rPr>
        <w:t xml:space="preserve">ounting function of the account </w:t>
      </w:r>
      <w:r>
        <w:rPr>
          <w:color w:val="auto"/>
        </w:rPr>
        <w:t>providing a designated, socially observable r</w:t>
      </w:r>
      <w:r w:rsidR="00CD56DD">
        <w:rPr>
          <w:color w:val="auto"/>
        </w:rPr>
        <w:t xml:space="preserve">epository for earmarked savings </w:t>
      </w:r>
      <w:r>
        <w:rPr>
          <w:color w:val="auto"/>
        </w:rPr>
        <w:t>was the mechanism of impact, rather than any financial return to saving.</w:t>
      </w:r>
    </w:p>
    <w:p w:rsidR="002C5158" w:rsidRDefault="002C5158" w:rsidP="002C5158">
      <w:pPr>
        <w:spacing w:after="200"/>
        <w:jc w:val="both"/>
        <w:rPr>
          <w:color w:val="auto"/>
        </w:rPr>
      </w:pPr>
      <w:r>
        <w:rPr>
          <w:color w:val="auto"/>
        </w:rPr>
        <w:t>Karlan et al. (2014) systematically review</w:t>
      </w:r>
      <w:r w:rsidR="00897B14">
        <w:rPr>
          <w:color w:val="auto"/>
        </w:rPr>
        <w:t>ed</w:t>
      </w:r>
      <w:r>
        <w:rPr>
          <w:color w:val="auto"/>
        </w:rPr>
        <w:t xml:space="preserve"> the experimental evidence on savings interventi</w:t>
      </w:r>
      <w:r w:rsidR="00897B14">
        <w:rPr>
          <w:color w:val="auto"/>
        </w:rPr>
        <w:t>ons across developing economies and concluded</w:t>
      </w:r>
      <w:r>
        <w:rPr>
          <w:color w:val="auto"/>
        </w:rPr>
        <w:t xml:space="preserve"> that: (</w:t>
      </w:r>
      <w:r w:rsidR="00CD56DD">
        <w:rPr>
          <w:color w:val="auto"/>
        </w:rPr>
        <w:t xml:space="preserve">i) access alone is insufficient, that </w:t>
      </w:r>
      <w:r>
        <w:rPr>
          <w:color w:val="auto"/>
        </w:rPr>
        <w:t>product design and psychological framing significantly moderate savings outcomes; (ii) commitment features substantially improve savings accumulation among present-biased individuals; (iii) goal-setting and labelling of accounts improve savings rates independently of financial incentives; and (iv) social accountability mechanisms (peer monitoring, group commitment) substantially increase savings discipline. Each of these findings points to the mediating role of mental accounting mechanisms rather than financial constraints per se.</w:t>
      </w:r>
    </w:p>
    <w:p w:rsidR="009404EC" w:rsidRPr="009404EC" w:rsidRDefault="009404EC" w:rsidP="009404EC">
      <w:pPr>
        <w:spacing w:after="80"/>
        <w:jc w:val="both"/>
        <w:rPr>
          <w:b/>
          <w:color w:val="auto"/>
        </w:rPr>
      </w:pPr>
      <w:r w:rsidRPr="009404EC">
        <w:rPr>
          <w:b/>
          <w:color w:val="auto"/>
        </w:rPr>
        <w:t xml:space="preserve">3. Methodology </w:t>
      </w:r>
    </w:p>
    <w:p w:rsidR="00731E5A" w:rsidRPr="000A431F" w:rsidRDefault="009404EC" w:rsidP="009404EC">
      <w:pPr>
        <w:spacing w:after="80"/>
        <w:jc w:val="both"/>
        <w:rPr>
          <w:color w:val="auto"/>
        </w:rPr>
      </w:pPr>
      <w:r w:rsidRPr="009404EC">
        <w:rPr>
          <w:color w:val="auto"/>
        </w:rPr>
        <w:t xml:space="preserve">This </w:t>
      </w:r>
      <w:r>
        <w:rPr>
          <w:color w:val="auto"/>
        </w:rPr>
        <w:t>paper</w:t>
      </w:r>
      <w:r w:rsidRPr="009404EC">
        <w:rPr>
          <w:color w:val="auto"/>
        </w:rPr>
        <w:t xml:space="preserve"> adopts a conceptual research design based on a comprehensive </w:t>
      </w:r>
      <w:r w:rsidR="00897B14">
        <w:rPr>
          <w:color w:val="auto"/>
        </w:rPr>
        <w:t>review and synthesis of extant</w:t>
      </w:r>
      <w:r w:rsidRPr="009404EC">
        <w:rPr>
          <w:color w:val="auto"/>
        </w:rPr>
        <w:t xml:space="preserve"> literature. The paper does not involve the collection or analysis of </w:t>
      </w:r>
      <w:r w:rsidR="00897B14">
        <w:rPr>
          <w:color w:val="auto"/>
        </w:rPr>
        <w:t>data</w:t>
      </w:r>
      <w:r w:rsidRPr="009404EC">
        <w:rPr>
          <w:color w:val="auto"/>
        </w:rPr>
        <w:t xml:space="preserve"> </w:t>
      </w:r>
      <w:r w:rsidR="00897B14" w:rsidRPr="009404EC">
        <w:rPr>
          <w:color w:val="auto"/>
        </w:rPr>
        <w:t>rather;</w:t>
      </w:r>
      <w:r w:rsidRPr="009404EC">
        <w:rPr>
          <w:color w:val="auto"/>
        </w:rPr>
        <w:t xml:space="preserve"> it systematically integrates theories and empirical evidence from behavioural economics, household finance, financ</w:t>
      </w:r>
      <w:r w:rsidR="00897B14">
        <w:rPr>
          <w:color w:val="auto"/>
        </w:rPr>
        <w:t>ial inclusion</w:t>
      </w:r>
      <w:r w:rsidRPr="009404EC">
        <w:rPr>
          <w:color w:val="auto"/>
        </w:rPr>
        <w:t xml:space="preserve"> and development studies to explain the savings behaviour of low-income urban households. Through a theory-building approach, the study develops the Mental Accounting Architecture of Household Savings (MAAHS) framework by synthesising key behavioural mechanisms identified in prior scholarship. The conceptual analysis further generates theoretically grounded propositions and outlines a proposed survey-based Structural Equation Modelling (SEM) framework to guide future empirical validation. Accordingly, the study's primary contribution lies in theoretical integratio</w:t>
      </w:r>
      <w:r w:rsidR="00897B14">
        <w:rPr>
          <w:color w:val="auto"/>
        </w:rPr>
        <w:t>n, conceptual model development</w:t>
      </w:r>
      <w:r w:rsidRPr="009404EC">
        <w:rPr>
          <w:color w:val="auto"/>
        </w:rPr>
        <w:t xml:space="preserve"> and the establishment of a foundation for subsequent empirical research.</w:t>
      </w:r>
    </w:p>
    <w:p w:rsidR="00731E5A" w:rsidRPr="000A431F" w:rsidRDefault="00FD1F37" w:rsidP="00421229">
      <w:pPr>
        <w:spacing w:before="320" w:after="140"/>
        <w:jc w:val="both"/>
        <w:rPr>
          <w:color w:val="auto"/>
        </w:rPr>
      </w:pPr>
      <w:r>
        <w:rPr>
          <w:b/>
          <w:bCs/>
          <w:color w:val="auto"/>
          <w:sz w:val="26"/>
          <w:szCs w:val="26"/>
        </w:rPr>
        <w:t>4</w:t>
      </w:r>
      <w:r w:rsidR="00CA65C0">
        <w:rPr>
          <w:b/>
          <w:bCs/>
          <w:color w:val="auto"/>
          <w:sz w:val="26"/>
          <w:szCs w:val="26"/>
        </w:rPr>
        <w:t xml:space="preserve">. </w:t>
      </w:r>
      <w:r w:rsidR="00A05DAE" w:rsidRPr="00A05DAE">
        <w:rPr>
          <w:b/>
          <w:bCs/>
          <w:color w:val="auto"/>
        </w:rPr>
        <w:t xml:space="preserve">The </w:t>
      </w:r>
      <w:r w:rsidR="00A05DAE">
        <w:rPr>
          <w:b/>
          <w:bCs/>
          <w:color w:val="auto"/>
        </w:rPr>
        <w:t>Mental Accounting Architecture o</w:t>
      </w:r>
      <w:r w:rsidR="00A05DAE" w:rsidRPr="00A05DAE">
        <w:rPr>
          <w:b/>
          <w:bCs/>
          <w:color w:val="auto"/>
        </w:rPr>
        <w:t>f Household Savings (MAAHS) Framework</w:t>
      </w:r>
    </w:p>
    <w:p w:rsidR="00731E5A" w:rsidRPr="000A431F" w:rsidRDefault="00B51827">
      <w:pPr>
        <w:spacing w:before="240" w:after="100"/>
        <w:rPr>
          <w:color w:val="auto"/>
        </w:rPr>
      </w:pPr>
      <w:r>
        <w:rPr>
          <w:b/>
          <w:bCs/>
          <w:color w:val="auto"/>
        </w:rPr>
        <w:lastRenderedPageBreak/>
        <w:t>4</w:t>
      </w:r>
      <w:r w:rsidR="00CA65C0">
        <w:rPr>
          <w:b/>
          <w:bCs/>
          <w:color w:val="auto"/>
        </w:rPr>
        <w:t>.1 Overview</w:t>
      </w:r>
      <w:r w:rsidRPr="00B51827">
        <w:rPr>
          <w:b/>
          <w:bCs/>
          <w:color w:val="auto"/>
        </w:rPr>
        <w:t xml:space="preserve"> </w:t>
      </w:r>
      <w:r>
        <w:rPr>
          <w:b/>
          <w:bCs/>
          <w:color w:val="auto"/>
        </w:rPr>
        <w:t xml:space="preserve">of the MAAHS </w:t>
      </w:r>
      <w:r w:rsidRPr="00B51827">
        <w:rPr>
          <w:b/>
          <w:bCs/>
          <w:color w:val="auto"/>
        </w:rPr>
        <w:t>Framework</w:t>
      </w:r>
    </w:p>
    <w:p w:rsidR="00731E5A" w:rsidRDefault="00CA65C0" w:rsidP="000A431F">
      <w:pPr>
        <w:spacing w:after="200"/>
        <w:jc w:val="both"/>
        <w:rPr>
          <w:color w:val="auto"/>
        </w:rPr>
      </w:pPr>
      <w:r>
        <w:rPr>
          <w:color w:val="auto"/>
        </w:rPr>
        <w:t>The five mental accounting me</w:t>
      </w:r>
      <w:r w:rsidR="00DC6440">
        <w:rPr>
          <w:color w:val="auto"/>
        </w:rPr>
        <w:t>ch</w:t>
      </w:r>
      <w:r w:rsidR="00044385">
        <w:rPr>
          <w:color w:val="auto"/>
        </w:rPr>
        <w:t>anisms identified in Section 2.3</w:t>
      </w:r>
      <w:r>
        <w:rPr>
          <w:color w:val="auto"/>
        </w:rPr>
        <w:t xml:space="preserve"> do not operate in isolation. They interact in mutually reinforcing ways that collectively constitute what this paper terms the Mental Accounting Architectu</w:t>
      </w:r>
      <w:r w:rsidR="00DC6440">
        <w:rPr>
          <w:color w:val="auto"/>
        </w:rPr>
        <w:t>re of Household Savings (MAAHS) -</w:t>
      </w:r>
      <w:r>
        <w:rPr>
          <w:color w:val="auto"/>
        </w:rPr>
        <w:t xml:space="preserve"> a systematic, multilevel cognitive structure that shapes how low-income urban househo</w:t>
      </w:r>
      <w:r w:rsidR="00DC6440">
        <w:rPr>
          <w:color w:val="auto"/>
        </w:rPr>
        <w:t>lds mentally organise, allocate</w:t>
      </w:r>
      <w:r>
        <w:rPr>
          <w:color w:val="auto"/>
        </w:rPr>
        <w:t xml:space="preserve"> and protect financial resources. </w:t>
      </w:r>
    </w:p>
    <w:p w:rsidR="00CA334F" w:rsidRPr="00DC6440" w:rsidRDefault="00CA334F" w:rsidP="000A431F">
      <w:pPr>
        <w:spacing w:after="200"/>
        <w:jc w:val="both"/>
        <w:rPr>
          <w:color w:val="auto"/>
          <w:sz w:val="16"/>
          <w:szCs w:val="16"/>
        </w:rPr>
      </w:pPr>
    </w:p>
    <w:tbl>
      <w:tblPr>
        <w:tblW w:w="894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41"/>
      </w:tblGrid>
      <w:tr w:rsidR="000A431F" w:rsidRPr="000A431F" w:rsidTr="00CA334F">
        <w:tc>
          <w:tcPr>
            <w:tcW w:w="8941" w:type="dxa"/>
            <w:tcBorders>
              <w:top w:val="single" w:sz="6" w:space="0" w:color="1B3A6B"/>
              <w:left w:val="single" w:sz="6" w:space="0" w:color="1B3A6B"/>
              <w:bottom w:val="single" w:sz="6" w:space="0" w:color="1B3A6B"/>
              <w:right w:val="single" w:sz="6" w:space="0" w:color="1B3A6B"/>
            </w:tcBorders>
            <w:shd w:val="clear" w:color="auto" w:fill="EEF2FA"/>
            <w:tcMar>
              <w:top w:w="160" w:type="dxa"/>
              <w:left w:w="280" w:type="dxa"/>
              <w:bottom w:w="160" w:type="dxa"/>
              <w:right w:w="280" w:type="dxa"/>
            </w:tcMar>
          </w:tcPr>
          <w:p w:rsidR="00731E5A" w:rsidRPr="00CA334F" w:rsidRDefault="00CA65C0" w:rsidP="00CA334F">
            <w:pPr>
              <w:spacing w:after="120"/>
              <w:jc w:val="center"/>
              <w:rPr>
                <w:color w:val="auto"/>
              </w:rPr>
            </w:pPr>
            <w:r w:rsidRPr="00CA334F">
              <w:rPr>
                <w:b/>
                <w:bCs/>
                <w:color w:val="auto"/>
              </w:rPr>
              <w:t>MAAHS Framework: Core Architecture</w:t>
            </w:r>
          </w:p>
          <w:p w:rsidR="00CA334F" w:rsidRPr="00CA334F" w:rsidRDefault="00CA65C0" w:rsidP="00CA334F">
            <w:pPr>
              <w:pStyle w:val="ListParagraph"/>
              <w:numPr>
                <w:ilvl w:val="0"/>
                <w:numId w:val="2"/>
              </w:numPr>
              <w:spacing w:after="80"/>
              <w:jc w:val="both"/>
              <w:rPr>
                <w:color w:val="auto"/>
                <w:sz w:val="22"/>
                <w:szCs w:val="22"/>
              </w:rPr>
            </w:pPr>
            <w:r w:rsidRPr="00CA334F">
              <w:rPr>
                <w:color w:val="auto"/>
                <w:sz w:val="22"/>
                <w:szCs w:val="22"/>
              </w:rPr>
              <w:t>Level 1 — Cognitive Mechanisms: Categorical budgeting | Compartmentalisation | Present bias | Loss aversion | Social-normative pre-allocation</w:t>
            </w:r>
          </w:p>
          <w:p w:rsidR="00CA334F" w:rsidRPr="00CA334F" w:rsidRDefault="00CA65C0" w:rsidP="00CA334F">
            <w:pPr>
              <w:pStyle w:val="ListParagraph"/>
              <w:numPr>
                <w:ilvl w:val="0"/>
                <w:numId w:val="2"/>
              </w:numPr>
              <w:spacing w:after="80"/>
              <w:jc w:val="both"/>
              <w:rPr>
                <w:color w:val="auto"/>
                <w:sz w:val="22"/>
                <w:szCs w:val="22"/>
              </w:rPr>
            </w:pPr>
            <w:r w:rsidRPr="00CA334F">
              <w:rPr>
                <w:color w:val="auto"/>
                <w:sz w:val="22"/>
                <w:szCs w:val="22"/>
              </w:rPr>
              <w:t>Level 2 — Household Dynamics: Within-household bargaining | Income pooling conventions | Decision authority distribution | Joint vs. individual accounting</w:t>
            </w:r>
          </w:p>
          <w:p w:rsidR="00CA334F" w:rsidRPr="00CA334F" w:rsidRDefault="00CA65C0" w:rsidP="00CA334F">
            <w:pPr>
              <w:pStyle w:val="ListParagraph"/>
              <w:numPr>
                <w:ilvl w:val="0"/>
                <w:numId w:val="2"/>
              </w:numPr>
              <w:spacing w:after="80"/>
              <w:jc w:val="both"/>
              <w:rPr>
                <w:color w:val="auto"/>
                <w:sz w:val="22"/>
                <w:szCs w:val="22"/>
              </w:rPr>
            </w:pPr>
            <w:r w:rsidRPr="00CA334F">
              <w:rPr>
                <w:color w:val="auto"/>
                <w:sz w:val="22"/>
                <w:szCs w:val="22"/>
              </w:rPr>
              <w:t>Level 3 — Institutional-Cultural Context: Product architecture | Financial literacy | Social norms | Regulatory environment | Community trust</w:t>
            </w:r>
          </w:p>
          <w:p w:rsidR="00731E5A" w:rsidRPr="00CA334F" w:rsidRDefault="00CA65C0" w:rsidP="00CA334F">
            <w:pPr>
              <w:pStyle w:val="ListParagraph"/>
              <w:numPr>
                <w:ilvl w:val="0"/>
                <w:numId w:val="2"/>
              </w:numPr>
              <w:spacing w:after="80"/>
              <w:jc w:val="both"/>
              <w:rPr>
                <w:color w:val="auto"/>
              </w:rPr>
            </w:pPr>
            <w:r w:rsidRPr="00CA334F">
              <w:rPr>
                <w:color w:val="auto"/>
                <w:sz w:val="22"/>
                <w:szCs w:val="22"/>
              </w:rPr>
              <w:t>Cross-level Interactions: Cognitive biases amplified/attenuated by household structure ↔ Household dynamics shaped by institutional context ↔ Institutional design targets cognitive mechanisms</w:t>
            </w:r>
          </w:p>
        </w:tc>
      </w:tr>
    </w:tbl>
    <w:p w:rsidR="00731E5A" w:rsidRPr="00DC6440" w:rsidRDefault="00731E5A" w:rsidP="00B51827">
      <w:pPr>
        <w:spacing w:after="120"/>
        <w:rPr>
          <w:color w:val="auto"/>
          <w:sz w:val="16"/>
          <w:szCs w:val="16"/>
        </w:rPr>
      </w:pPr>
    </w:p>
    <w:p w:rsidR="00CA334F" w:rsidRDefault="00CA334F" w:rsidP="004D25AF">
      <w:pPr>
        <w:spacing w:after="200"/>
        <w:jc w:val="both"/>
        <w:rPr>
          <w:color w:val="auto"/>
        </w:rPr>
      </w:pPr>
      <w:r>
        <w:rPr>
          <w:color w:val="auto"/>
        </w:rPr>
        <w:t>The MAAHS framework models this a</w:t>
      </w:r>
      <w:r w:rsidR="00DC6440">
        <w:rPr>
          <w:color w:val="auto"/>
        </w:rPr>
        <w:t xml:space="preserve">rchitecture across three levels namely: </w:t>
      </w:r>
      <w:r>
        <w:rPr>
          <w:color w:val="auto"/>
        </w:rPr>
        <w:t>the micro-level of individual cognitive mechanisms, the meso-level of household decision-making dynamics, and the macro-level of ins</w:t>
      </w:r>
      <w:r w:rsidR="00DC6440">
        <w:rPr>
          <w:color w:val="auto"/>
        </w:rPr>
        <w:t xml:space="preserve">titutional and cultural context </w:t>
      </w:r>
      <w:r>
        <w:rPr>
          <w:color w:val="auto"/>
        </w:rPr>
        <w:t>and specifies the interactions within and across levels.</w:t>
      </w:r>
    </w:p>
    <w:p w:rsidR="00CA334F" w:rsidRPr="00DC6440" w:rsidRDefault="00CA334F" w:rsidP="00CA334F">
      <w:pPr>
        <w:rPr>
          <w:sz w:val="16"/>
          <w:szCs w:val="16"/>
        </w:rPr>
      </w:pPr>
    </w:p>
    <w:p w:rsidR="00A21DF4" w:rsidRPr="009F3093" w:rsidRDefault="00CA334F" w:rsidP="009F3093">
      <w:pPr>
        <w:spacing w:after="200" w:line="276" w:lineRule="auto"/>
        <w:jc w:val="both"/>
        <w:rPr>
          <w:color w:val="auto"/>
        </w:rPr>
      </w:pPr>
      <w:r>
        <w:rPr>
          <w:color w:val="auto"/>
        </w:rPr>
        <w:t>Figure 1 below depicts the MAAHS Conceptual Model which further shows</w:t>
      </w:r>
      <w:r w:rsidRPr="00A21DF4">
        <w:rPr>
          <w:color w:val="auto"/>
        </w:rPr>
        <w:t xml:space="preserve"> the nexus among Level 1 cognitive mechanisms, Level 2 household dynamics, Level 3</w:t>
      </w:r>
      <w:r>
        <w:rPr>
          <w:color w:val="auto"/>
        </w:rPr>
        <w:t xml:space="preserve"> institutional-cultural context</w:t>
      </w:r>
      <w:r w:rsidRPr="00A21DF4">
        <w:rPr>
          <w:color w:val="auto"/>
        </w:rPr>
        <w:t xml:space="preserve"> and the savings behaviour outcome.</w:t>
      </w:r>
    </w:p>
    <w:p w:rsidR="00A21DF4" w:rsidRDefault="009E1C89" w:rsidP="00A21DF4">
      <w:pPr>
        <w:spacing w:after="200"/>
        <w:jc w:val="center"/>
        <w:rPr>
          <w:color w:val="auto"/>
        </w:rPr>
      </w:pPr>
      <w:r>
        <w:rPr>
          <w:noProof/>
          <w:color w:val="auto"/>
        </w:rPr>
        <w:lastRenderedPageBreak/>
        <w:drawing>
          <wp:inline distT="0" distB="0" distL="0" distR="0">
            <wp:extent cx="5753100" cy="3629025"/>
            <wp:effectExtent l="0" t="0" r="0" b="9525"/>
            <wp:docPr id="4" name="Picture 4" descr="C:\Users\User\Desktop\file_000000009c8c71f4ae613fada2f0e8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le_000000009c8c71f4ae613fada2f0e84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633031"/>
                    </a:xfrm>
                    <a:prstGeom prst="rect">
                      <a:avLst/>
                    </a:prstGeom>
                    <a:noFill/>
                    <a:ln>
                      <a:noFill/>
                    </a:ln>
                  </pic:spPr>
                </pic:pic>
              </a:graphicData>
            </a:graphic>
          </wp:inline>
        </w:drawing>
      </w:r>
    </w:p>
    <w:p w:rsidR="00A21DF4" w:rsidRDefault="0092209D" w:rsidP="009E1C89">
      <w:pPr>
        <w:jc w:val="center"/>
        <w:rPr>
          <w:b/>
          <w:color w:val="auto"/>
        </w:rPr>
      </w:pPr>
      <w:r>
        <w:rPr>
          <w:b/>
          <w:color w:val="auto"/>
        </w:rPr>
        <w:t xml:space="preserve">Figure 1: </w:t>
      </w:r>
      <w:r w:rsidR="00A21DF4" w:rsidRPr="00A21DF4">
        <w:rPr>
          <w:b/>
          <w:color w:val="auto"/>
        </w:rPr>
        <w:t>The MAAHS Conceptual Model: Nexus of Variables</w:t>
      </w:r>
    </w:p>
    <w:p w:rsidR="009E1C89" w:rsidRDefault="009E1C89" w:rsidP="009E1C89">
      <w:pPr>
        <w:jc w:val="center"/>
        <w:rPr>
          <w:color w:val="auto"/>
          <w:sz w:val="20"/>
          <w:szCs w:val="20"/>
        </w:rPr>
      </w:pPr>
      <w:r w:rsidRPr="009E1C89">
        <w:rPr>
          <w:color w:val="auto"/>
          <w:sz w:val="20"/>
          <w:szCs w:val="20"/>
        </w:rPr>
        <w:t>Mental Accounting Architecture of Household Savings – Micro, Meso and Macro Linkages</w:t>
      </w:r>
    </w:p>
    <w:p w:rsidR="00B51827" w:rsidRDefault="00B51827" w:rsidP="009E1C89">
      <w:pPr>
        <w:jc w:val="center"/>
        <w:rPr>
          <w:color w:val="auto"/>
          <w:sz w:val="20"/>
          <w:szCs w:val="20"/>
        </w:rPr>
      </w:pPr>
    </w:p>
    <w:p w:rsidR="00731E5A" w:rsidRPr="000A431F" w:rsidRDefault="00CA65C0" w:rsidP="00925F1F">
      <w:pPr>
        <w:spacing w:after="200" w:line="276" w:lineRule="auto"/>
        <w:jc w:val="both"/>
        <w:rPr>
          <w:color w:val="auto"/>
        </w:rPr>
      </w:pPr>
      <w:r>
        <w:rPr>
          <w:color w:val="auto"/>
        </w:rPr>
        <w:t xml:space="preserve">At the micro-level, the five cognitive mechanisms identified in Section </w:t>
      </w:r>
      <w:r w:rsidR="00DC6440">
        <w:rPr>
          <w:color w:val="auto"/>
        </w:rPr>
        <w:t>2.</w:t>
      </w:r>
      <w:r w:rsidR="00044385">
        <w:rPr>
          <w:color w:val="auto"/>
        </w:rPr>
        <w:t>3</w:t>
      </w:r>
      <w:r>
        <w:rPr>
          <w:color w:val="auto"/>
        </w:rPr>
        <w:t xml:space="preserve"> constitute the primary determinants of savings behaviour. Their interactions are characterised by mutual reinforcement: categorical budgeting reduces the residual available for savings, which activates present-bias dynamics around the allocation of residual income; loss aversion reinforces the priority of social-normative claims by amplifying the reputation</w:t>
      </w:r>
      <w:r w:rsidR="00DC6440">
        <w:rPr>
          <w:color w:val="auto"/>
        </w:rPr>
        <w:t>al cost of obligation violation</w:t>
      </w:r>
      <w:r>
        <w:rPr>
          <w:color w:val="auto"/>
        </w:rPr>
        <w:t xml:space="preserve"> and compartmentalisation creates the cognitive infrastructure through which all other mechanisms are expressed. The net effect is a cognitive architecture that is structurally biased against long-horizon savings accumulation.</w:t>
      </w:r>
    </w:p>
    <w:p w:rsidR="00731E5A" w:rsidRPr="000A431F" w:rsidRDefault="00CA65C0" w:rsidP="00925F1F">
      <w:pPr>
        <w:spacing w:after="200" w:line="276" w:lineRule="auto"/>
        <w:jc w:val="both"/>
        <w:rPr>
          <w:color w:val="auto"/>
        </w:rPr>
      </w:pPr>
      <w:r>
        <w:rPr>
          <w:color w:val="auto"/>
        </w:rPr>
        <w:t>At the meso-level, household decision-making dynamics mediate the expression of cognitive mechanisms. Duflo and Udry (2004) demonstrate that resource allocation within households is not a unitary decision process but reflects within-household bargaining over claims on income, with outcomes determined by the relative bargaining power of household members (typically, but not uniformly, advantage accruing to the male head in patriarchal household structures). Mental accounting mechanisms are gendered in their expression: women in low-income urban households are documented to maintain more rigid categorical budgets (Collins et al., 2009), are more likely to participate in ROSCAs and commitment savings (Gugerty, 2007), and exhibit stronger present bias in contexts of income insecurity (Ashraf et al., 2006).</w:t>
      </w:r>
    </w:p>
    <w:p w:rsidR="00731E5A" w:rsidRPr="000A431F" w:rsidRDefault="00CA65C0" w:rsidP="00925F1F">
      <w:pPr>
        <w:spacing w:after="200" w:line="276" w:lineRule="auto"/>
        <w:jc w:val="both"/>
        <w:rPr>
          <w:color w:val="auto"/>
        </w:rPr>
      </w:pPr>
      <w:r>
        <w:rPr>
          <w:color w:val="auto"/>
        </w:rPr>
        <w:t xml:space="preserve">At the macro-level, institutional design and cultural context shape the environment within which micro-level cognitive mechanisms and meso-level household dynamics operate. </w:t>
      </w:r>
      <w:r w:rsidR="00DC6440">
        <w:rPr>
          <w:color w:val="auto"/>
        </w:rPr>
        <w:t>The availability, accessibility</w:t>
      </w:r>
      <w:r>
        <w:rPr>
          <w:color w:val="auto"/>
        </w:rPr>
        <w:t xml:space="preserve"> and design of formal savings products determine whether households have institutional channels through which to implement savings intentions </w:t>
      </w:r>
      <w:r>
        <w:rPr>
          <w:color w:val="auto"/>
        </w:rPr>
        <w:lastRenderedPageBreak/>
        <w:t xml:space="preserve">frustrated by cognitive biases. The regulatory environment determines the terms under which financial products are offered. Community-level social norms around </w:t>
      </w:r>
      <w:r w:rsidR="00DC6440">
        <w:rPr>
          <w:color w:val="auto"/>
        </w:rPr>
        <w:t>saving, conspicuous consumption</w:t>
      </w:r>
      <w:r>
        <w:rPr>
          <w:color w:val="auto"/>
        </w:rPr>
        <w:t xml:space="preserve"> and inter-household resource sharing condition the operation of the social-normative claims mechanism. And financial literacy levels determine households' awareness of their own cognitive biases and their capacity to seek out and use products designed to counteract </w:t>
      </w:r>
      <w:proofErr w:type="gramStart"/>
      <w:r>
        <w:rPr>
          <w:color w:val="auto"/>
        </w:rPr>
        <w:t>them</w:t>
      </w:r>
      <w:proofErr w:type="gramEnd"/>
      <w:r>
        <w:rPr>
          <w:color w:val="auto"/>
        </w:rPr>
        <w:t xml:space="preserve"> (Lusardi &amp; Mitchell, 2014).</w:t>
      </w:r>
    </w:p>
    <w:p w:rsidR="00731E5A" w:rsidRPr="000A431F" w:rsidRDefault="00B51827">
      <w:pPr>
        <w:spacing w:before="240" w:after="100"/>
        <w:rPr>
          <w:color w:val="auto"/>
        </w:rPr>
      </w:pPr>
      <w:r>
        <w:rPr>
          <w:b/>
          <w:bCs/>
          <w:color w:val="auto"/>
        </w:rPr>
        <w:t>4</w:t>
      </w:r>
      <w:r w:rsidR="00CA65C0">
        <w:rPr>
          <w:b/>
          <w:bCs/>
          <w:color w:val="auto"/>
        </w:rPr>
        <w:t>.2 Theoretical Propositions</w:t>
      </w:r>
    </w:p>
    <w:p w:rsidR="00731E5A" w:rsidRPr="000A431F" w:rsidRDefault="00CA65C0" w:rsidP="004D25AF">
      <w:pPr>
        <w:spacing w:after="200"/>
        <w:jc w:val="both"/>
        <w:rPr>
          <w:color w:val="auto"/>
        </w:rPr>
      </w:pPr>
      <w:r>
        <w:rPr>
          <w:color w:val="auto"/>
        </w:rPr>
        <w:t>The MAAHS framework generates twelve theoretically grounded propositions that collectively constitute a research agenda for empirical investigation. These propositions are derived from the theoretical logic of the framework and the existing empirical literature, and are intended to be falsifiable through appropriate quantitative or mixed-methods research designs.</w:t>
      </w:r>
    </w:p>
    <w:p w:rsidR="00731E5A" w:rsidRPr="000A431F" w:rsidRDefault="00CA65C0">
      <w:pPr>
        <w:spacing w:before="180" w:after="80"/>
        <w:rPr>
          <w:color w:val="auto"/>
        </w:rPr>
      </w:pPr>
      <w:r>
        <w:rPr>
          <w:b/>
          <w:bCs/>
          <w:i/>
          <w:iCs/>
          <w:color w:val="auto"/>
        </w:rPr>
        <w:t xml:space="preserve">P1–P4: </w:t>
      </w:r>
      <w:r>
        <w:rPr>
          <w:i/>
          <w:iCs/>
          <w:color w:val="auto"/>
        </w:rPr>
        <w:t>Propositions on Categorical Budgeting and Compartmentalisation</w:t>
      </w:r>
    </w:p>
    <w:p w:rsidR="00731E5A" w:rsidRPr="000A431F" w:rsidRDefault="00CA65C0" w:rsidP="004D25AF">
      <w:pPr>
        <w:spacing w:after="200"/>
        <w:ind w:firstLine="720"/>
        <w:jc w:val="both"/>
        <w:rPr>
          <w:color w:val="auto"/>
        </w:rPr>
      </w:pPr>
      <w:r>
        <w:rPr>
          <w:color w:val="auto"/>
        </w:rPr>
        <w:t>P1: Low-income urban households with more r</w:t>
      </w:r>
      <w:r w:rsidR="00D7225C">
        <w:rPr>
          <w:color w:val="auto"/>
        </w:rPr>
        <w:t xml:space="preserve">igid categorical mental budgets </w:t>
      </w:r>
      <w:r>
        <w:rPr>
          <w:color w:val="auto"/>
        </w:rPr>
        <w:t xml:space="preserve">as measured by the proportion of income pre-allocated </w:t>
      </w:r>
      <w:r w:rsidR="00D7225C">
        <w:rPr>
          <w:color w:val="auto"/>
        </w:rPr>
        <w:t xml:space="preserve">to named expenditure categories </w:t>
      </w:r>
      <w:r>
        <w:rPr>
          <w:color w:val="auto"/>
        </w:rPr>
        <w:t>will exhibit lower net savings rates, controlling f</w:t>
      </w:r>
      <w:r w:rsidR="00D7225C">
        <w:rPr>
          <w:color w:val="auto"/>
        </w:rPr>
        <w:t>or income level, household size</w:t>
      </w:r>
      <w:r>
        <w:rPr>
          <w:color w:val="auto"/>
        </w:rPr>
        <w:t xml:space="preserve"> and financial access.</w:t>
      </w:r>
    </w:p>
    <w:p w:rsidR="00731E5A" w:rsidRPr="000A431F" w:rsidRDefault="00CA65C0">
      <w:pPr>
        <w:spacing w:after="200"/>
        <w:ind w:firstLine="720"/>
        <w:jc w:val="both"/>
        <w:rPr>
          <w:color w:val="auto"/>
        </w:rPr>
      </w:pPr>
      <w:r>
        <w:rPr>
          <w:color w:val="auto"/>
        </w:rPr>
        <w:t>P2: The degree of psychological compartmentalisa</w:t>
      </w:r>
      <w:r w:rsidR="00D7225C">
        <w:rPr>
          <w:color w:val="auto"/>
        </w:rPr>
        <w:t xml:space="preserve">tion across savings instruments </w:t>
      </w:r>
      <w:r>
        <w:rPr>
          <w:color w:val="auto"/>
        </w:rPr>
        <w:t>measured by the reported non-substitutabil</w:t>
      </w:r>
      <w:r w:rsidR="00D7225C">
        <w:rPr>
          <w:color w:val="auto"/>
        </w:rPr>
        <w:t xml:space="preserve">ity of funds across instruments </w:t>
      </w:r>
      <w:r>
        <w:rPr>
          <w:color w:val="auto"/>
        </w:rPr>
        <w:t>will be positively associated with the incidence of simultaneous borrowing and saving within the same household.</w:t>
      </w:r>
    </w:p>
    <w:p w:rsidR="00731E5A" w:rsidRPr="000A431F" w:rsidRDefault="00CA65C0">
      <w:pPr>
        <w:spacing w:after="200"/>
        <w:ind w:firstLine="720"/>
        <w:jc w:val="both"/>
        <w:rPr>
          <w:color w:val="auto"/>
        </w:rPr>
      </w:pPr>
      <w:r>
        <w:rPr>
          <w:color w:val="auto"/>
        </w:rPr>
        <w:t>P3: Savings product designs that create a new, labelled mental account category (rather than directing savings to general-purpose accounts) will generate higher savings accumulation am</w:t>
      </w:r>
      <w:r w:rsidR="00D7225C">
        <w:rPr>
          <w:color w:val="auto"/>
        </w:rPr>
        <w:t>ong low-income urban households</w:t>
      </w:r>
      <w:r>
        <w:rPr>
          <w:color w:val="auto"/>
        </w:rPr>
        <w:t xml:space="preserve"> through the categorical budgeting mechanism.</w:t>
      </w:r>
    </w:p>
    <w:p w:rsidR="00731E5A" w:rsidRPr="000A431F" w:rsidRDefault="00CA65C0">
      <w:pPr>
        <w:spacing w:after="200"/>
        <w:ind w:firstLine="720"/>
        <w:jc w:val="both"/>
        <w:rPr>
          <w:color w:val="auto"/>
        </w:rPr>
      </w:pPr>
      <w:r>
        <w:rPr>
          <w:color w:val="auto"/>
        </w:rPr>
        <w:t>P4: Households exposed to automatic sala</w:t>
      </w:r>
      <w:r w:rsidR="00D7225C">
        <w:rPr>
          <w:color w:val="auto"/>
        </w:rPr>
        <w:t xml:space="preserve">ry deduction savings mechanisms </w:t>
      </w:r>
      <w:r>
        <w:rPr>
          <w:color w:val="auto"/>
        </w:rPr>
        <w:t>which remove funds from the current income mental account befor</w:t>
      </w:r>
      <w:r w:rsidR="00D7225C">
        <w:rPr>
          <w:color w:val="auto"/>
        </w:rPr>
        <w:t xml:space="preserve">e categorical allocation occurs </w:t>
      </w:r>
      <w:r>
        <w:rPr>
          <w:color w:val="auto"/>
        </w:rPr>
        <w:t>will exhibit higher net savings rates than those relying on voluntary end-of-period savings from residual income.</w:t>
      </w:r>
    </w:p>
    <w:p w:rsidR="00731E5A" w:rsidRPr="000A431F" w:rsidRDefault="00CA65C0">
      <w:pPr>
        <w:spacing w:before="180" w:after="80"/>
        <w:rPr>
          <w:color w:val="auto"/>
        </w:rPr>
      </w:pPr>
      <w:r>
        <w:rPr>
          <w:b/>
          <w:bCs/>
          <w:i/>
          <w:iCs/>
          <w:color w:val="auto"/>
        </w:rPr>
        <w:t xml:space="preserve">P5–P8: </w:t>
      </w:r>
      <w:r>
        <w:rPr>
          <w:i/>
          <w:iCs/>
          <w:color w:val="auto"/>
        </w:rPr>
        <w:t>Propositions on Present Bias and Loss Aversion</w:t>
      </w:r>
    </w:p>
    <w:p w:rsidR="00731E5A" w:rsidRPr="000A431F" w:rsidRDefault="00CA65C0">
      <w:pPr>
        <w:spacing w:after="200"/>
        <w:ind w:firstLine="720"/>
        <w:jc w:val="both"/>
        <w:rPr>
          <w:color w:val="auto"/>
        </w:rPr>
      </w:pPr>
      <w:r>
        <w:rPr>
          <w:color w:val="auto"/>
        </w:rPr>
        <w:t>P5: Low-income urban households exhibiting stronger present bias on incentivised intertemporal choice elicitation tasks will report lower long-horizon savings rates and lower savings goal achievement, controlling for income and financial literacy.</w:t>
      </w:r>
    </w:p>
    <w:p w:rsidR="00731E5A" w:rsidRPr="000A431F" w:rsidRDefault="00CA65C0">
      <w:pPr>
        <w:spacing w:after="200"/>
        <w:ind w:firstLine="720"/>
        <w:jc w:val="both"/>
        <w:rPr>
          <w:color w:val="auto"/>
        </w:rPr>
      </w:pPr>
      <w:r>
        <w:rPr>
          <w:color w:val="auto"/>
        </w:rPr>
        <w:t>P6: The positive effect of commitment savings products on savings accumulation will be larger for households with stronger present bias, consistent with the commitment device mechanism of Ashraf et al. (2006) and the hyperbolic discounting model of O'Donoghue and Rabin (1999).</w:t>
      </w:r>
    </w:p>
    <w:p w:rsidR="00731E5A" w:rsidRPr="000A431F" w:rsidRDefault="00CA65C0">
      <w:pPr>
        <w:spacing w:after="200"/>
        <w:ind w:firstLine="720"/>
        <w:jc w:val="both"/>
        <w:rPr>
          <w:color w:val="auto"/>
        </w:rPr>
      </w:pPr>
      <w:r>
        <w:rPr>
          <w:color w:val="auto"/>
        </w:rPr>
        <w:t>P7: Framing savings contributions as preventing a loss (e.g., "protect your household from emergencies") rather than achieving a gain (e.g., "build your household wealth") will generate higher savings product uptake am</w:t>
      </w:r>
      <w:r w:rsidR="00D7225C">
        <w:rPr>
          <w:color w:val="auto"/>
        </w:rPr>
        <w:t>ong low-income urban households</w:t>
      </w:r>
      <w:r>
        <w:rPr>
          <w:color w:val="auto"/>
        </w:rPr>
        <w:t xml:space="preserve"> through the loss aversion mechanism.</w:t>
      </w:r>
    </w:p>
    <w:p w:rsidR="00731E5A" w:rsidRPr="000A431F" w:rsidRDefault="00CA65C0">
      <w:pPr>
        <w:spacing w:after="200"/>
        <w:ind w:firstLine="720"/>
        <w:jc w:val="both"/>
        <w:rPr>
          <w:color w:val="auto"/>
        </w:rPr>
      </w:pPr>
      <w:r>
        <w:rPr>
          <w:color w:val="auto"/>
        </w:rPr>
        <w:lastRenderedPageBreak/>
        <w:t>P8: Low-income urban households with more volatile income streams will prioritise consumption smoothing over wealth accumulation to a greater degree than those with more stable incomes, both because of rational liquidity preferences and because income volatility amplifies present-biased temporal discounting.</w:t>
      </w:r>
    </w:p>
    <w:p w:rsidR="00731E5A" w:rsidRPr="000A431F" w:rsidRDefault="00CA65C0">
      <w:pPr>
        <w:spacing w:before="180" w:after="80"/>
        <w:rPr>
          <w:color w:val="auto"/>
        </w:rPr>
      </w:pPr>
      <w:r>
        <w:rPr>
          <w:b/>
          <w:bCs/>
          <w:i/>
          <w:iCs/>
          <w:color w:val="auto"/>
        </w:rPr>
        <w:t xml:space="preserve">P9–P12: </w:t>
      </w:r>
      <w:r>
        <w:rPr>
          <w:i/>
          <w:iCs/>
          <w:color w:val="auto"/>
        </w:rPr>
        <w:t>Propositions on Social-Normative Mechanisms and Household Dynamics</w:t>
      </w:r>
    </w:p>
    <w:p w:rsidR="00731E5A" w:rsidRPr="000A431F" w:rsidRDefault="00CA65C0">
      <w:pPr>
        <w:spacing w:after="200"/>
        <w:ind w:firstLine="720"/>
        <w:jc w:val="both"/>
        <w:rPr>
          <w:color w:val="auto"/>
        </w:rPr>
      </w:pPr>
      <w:r>
        <w:rPr>
          <w:color w:val="auto"/>
        </w:rPr>
        <w:t>P9: The intensity of social-normative expenditure o</w:t>
      </w:r>
      <w:r w:rsidR="00D7225C">
        <w:rPr>
          <w:color w:val="auto"/>
        </w:rPr>
        <w:t xml:space="preserve">bligations faced by a household </w:t>
      </w:r>
      <w:r>
        <w:rPr>
          <w:color w:val="auto"/>
        </w:rPr>
        <w:t>measured by the number and average size of obligatory</w:t>
      </w:r>
      <w:r w:rsidR="00D7225C">
        <w:rPr>
          <w:color w:val="auto"/>
        </w:rPr>
        <w:t xml:space="preserve"> social contributions per month </w:t>
      </w:r>
      <w:r>
        <w:rPr>
          <w:color w:val="auto"/>
        </w:rPr>
        <w:t>will be negatively associated with net savings rates, independently of income level and household size.</w:t>
      </w:r>
    </w:p>
    <w:p w:rsidR="00731E5A" w:rsidRPr="000A431F" w:rsidRDefault="00CA65C0">
      <w:pPr>
        <w:spacing w:after="200"/>
        <w:ind w:firstLine="720"/>
        <w:jc w:val="both"/>
        <w:rPr>
          <w:color w:val="auto"/>
        </w:rPr>
      </w:pPr>
      <w:r>
        <w:rPr>
          <w:color w:val="auto"/>
        </w:rPr>
        <w:t>P10: Low-income urban households whose savings are socially observable to community members will save at lower rates than households with access to private, socially unobservable savings mechanisms, through the social-normative claims mechanism (consistent with Squires, 2021).</w:t>
      </w:r>
    </w:p>
    <w:p w:rsidR="00731E5A" w:rsidRPr="000A431F" w:rsidRDefault="00CA65C0">
      <w:pPr>
        <w:spacing w:after="200"/>
        <w:ind w:firstLine="720"/>
        <w:jc w:val="both"/>
        <w:rPr>
          <w:color w:val="auto"/>
        </w:rPr>
      </w:pPr>
      <w:r>
        <w:rPr>
          <w:color w:val="auto"/>
        </w:rPr>
        <w:t>P11: Within-household savings rates will be higher when the primary savings decision-maker is female, reflecting women's stronger categorical budgeting tendencies and higher ROSCA participation rates, independently of income-earning patterns.</w:t>
      </w:r>
    </w:p>
    <w:p w:rsidR="009F3093" w:rsidRPr="00B51827" w:rsidRDefault="00CA65C0" w:rsidP="00B51827">
      <w:pPr>
        <w:spacing w:after="200"/>
        <w:ind w:firstLine="720"/>
        <w:jc w:val="both"/>
        <w:rPr>
          <w:color w:val="auto"/>
        </w:rPr>
      </w:pPr>
      <w:r>
        <w:rPr>
          <w:color w:val="auto"/>
        </w:rPr>
        <w:t>P12: Community-level financial literacy programmes that specifically addr</w:t>
      </w:r>
      <w:r w:rsidR="00D7225C">
        <w:rPr>
          <w:color w:val="auto"/>
        </w:rPr>
        <w:t xml:space="preserve">ess mental accounting biases </w:t>
      </w:r>
      <w:r>
        <w:rPr>
          <w:color w:val="auto"/>
        </w:rPr>
        <w:t>rather than provid</w:t>
      </w:r>
      <w:r w:rsidR="00D7225C">
        <w:rPr>
          <w:color w:val="auto"/>
        </w:rPr>
        <w:t xml:space="preserve">ing general financial knowledge </w:t>
      </w:r>
      <w:r>
        <w:rPr>
          <w:color w:val="auto"/>
        </w:rPr>
        <w:t>will generate larger improvements in savings outcomes than standard financial literacy programmes, through the debiasing mechanism proposed by Lusardi and Mitchell (2014).</w:t>
      </w:r>
    </w:p>
    <w:p w:rsidR="00731E5A" w:rsidRPr="000A431F" w:rsidRDefault="00F43897">
      <w:pPr>
        <w:spacing w:before="320" w:after="140"/>
        <w:rPr>
          <w:color w:val="auto"/>
        </w:rPr>
      </w:pPr>
      <w:r>
        <w:rPr>
          <w:b/>
          <w:bCs/>
          <w:color w:val="auto"/>
          <w:sz w:val="26"/>
          <w:szCs w:val="26"/>
        </w:rPr>
        <w:t>4</w:t>
      </w:r>
      <w:r w:rsidR="00A05DAE">
        <w:rPr>
          <w:b/>
          <w:bCs/>
          <w:color w:val="auto"/>
          <w:sz w:val="26"/>
          <w:szCs w:val="26"/>
        </w:rPr>
        <w:t>.</w:t>
      </w:r>
      <w:r w:rsidR="00B51827">
        <w:rPr>
          <w:b/>
          <w:bCs/>
          <w:color w:val="auto"/>
          <w:sz w:val="26"/>
          <w:szCs w:val="26"/>
        </w:rPr>
        <w:t>3</w:t>
      </w:r>
      <w:r w:rsidR="00A05DAE">
        <w:rPr>
          <w:b/>
          <w:bCs/>
          <w:color w:val="auto"/>
          <w:sz w:val="26"/>
          <w:szCs w:val="26"/>
        </w:rPr>
        <w:t xml:space="preserve"> Moderating and Mediating Variables</w:t>
      </w:r>
    </w:p>
    <w:p w:rsidR="00731E5A" w:rsidRPr="000A431F" w:rsidRDefault="00F43897">
      <w:pPr>
        <w:spacing w:before="240" w:after="100"/>
        <w:rPr>
          <w:color w:val="auto"/>
        </w:rPr>
      </w:pPr>
      <w:r>
        <w:rPr>
          <w:b/>
          <w:bCs/>
          <w:color w:val="auto"/>
        </w:rPr>
        <w:t>4</w:t>
      </w:r>
      <w:r w:rsidR="00CA65C0">
        <w:rPr>
          <w:b/>
          <w:bCs/>
          <w:color w:val="auto"/>
        </w:rPr>
        <w:t>.</w:t>
      </w:r>
      <w:r w:rsidR="00B51827">
        <w:rPr>
          <w:b/>
          <w:bCs/>
          <w:color w:val="auto"/>
        </w:rPr>
        <w:t>3.</w:t>
      </w:r>
      <w:r w:rsidR="00CA65C0">
        <w:rPr>
          <w:b/>
          <w:bCs/>
          <w:color w:val="auto"/>
        </w:rPr>
        <w:t>1 Financial Literacy as a Moderator</w:t>
      </w:r>
    </w:p>
    <w:p w:rsidR="00731E5A" w:rsidRPr="000A431F" w:rsidRDefault="00FA73B4" w:rsidP="004D25AF">
      <w:pPr>
        <w:spacing w:after="200"/>
        <w:jc w:val="both"/>
        <w:rPr>
          <w:color w:val="auto"/>
        </w:rPr>
      </w:pPr>
      <w:r>
        <w:rPr>
          <w:color w:val="auto"/>
        </w:rPr>
        <w:t xml:space="preserve">Financial literacy </w:t>
      </w:r>
      <w:r w:rsidR="00CA65C0">
        <w:rPr>
          <w:color w:val="auto"/>
        </w:rPr>
        <w:t xml:space="preserve">encompassing numeracy, knowledge of financial </w:t>
      </w:r>
      <w:r w:rsidR="00044385">
        <w:rPr>
          <w:color w:val="auto"/>
        </w:rPr>
        <w:t>products</w:t>
      </w:r>
      <w:r w:rsidR="00CA65C0">
        <w:rPr>
          <w:color w:val="auto"/>
        </w:rPr>
        <w:t xml:space="preserve"> and und</w:t>
      </w:r>
      <w:r>
        <w:rPr>
          <w:color w:val="auto"/>
        </w:rPr>
        <w:t xml:space="preserve">erstanding of compound interest </w:t>
      </w:r>
      <w:r w:rsidR="00CA65C0">
        <w:rPr>
          <w:color w:val="auto"/>
        </w:rPr>
        <w:t>has been extensively studied as a determinant of savings behaviour (Lusardi &amp; Mitchell, 2014; van Rooij et al., 2012). Within the MAAHS framework, financial literacy functions primarily as a moderator of the relationship between mental accounting mechanisms and savings outcomes: higher financial literacy attenuates the impact of cognitive biases by enabling households to identify and counteract them.</w:t>
      </w:r>
    </w:p>
    <w:p w:rsidR="00731E5A" w:rsidRPr="000A431F" w:rsidRDefault="00CA65C0" w:rsidP="004D25AF">
      <w:pPr>
        <w:spacing w:after="200"/>
        <w:jc w:val="both"/>
        <w:rPr>
          <w:color w:val="auto"/>
        </w:rPr>
      </w:pPr>
      <w:r>
        <w:rPr>
          <w:color w:val="auto"/>
        </w:rPr>
        <w:t>Lusardi and Mitchell (2014) synthesise evidence from more than 150 studies documenting a positive relationship between financial literacy and savings behaviour across diverse populations. However, they note that this relationship is substantially weaker in low-income populations, where structural barriers to saving (including income constraints and limited product access) reduce the scope for financial literacy to translate into improved outcomes. Carpena et al. (2013) provide evidence from India that</w:t>
      </w:r>
      <w:r w:rsidR="00FA73B4">
        <w:rPr>
          <w:color w:val="auto"/>
        </w:rPr>
        <w:t xml:space="preserve"> attitudinal financial literacy defined as </w:t>
      </w:r>
      <w:r>
        <w:rPr>
          <w:color w:val="auto"/>
        </w:rPr>
        <w:t>awareness of one's own cognitive biases and motivatio</w:t>
      </w:r>
      <w:r w:rsidR="00FA73B4">
        <w:rPr>
          <w:color w:val="auto"/>
        </w:rPr>
        <w:t xml:space="preserve">nal commitment to savings goals </w:t>
      </w:r>
      <w:r>
        <w:rPr>
          <w:color w:val="auto"/>
        </w:rPr>
        <w:t>generates larger improvements in savings behaviour than numeracy or product knowledge alone, a finding that directly supports the MAAHS framework's emphasis on meta-cognitive awareness as the key moderating mechanism.</w:t>
      </w:r>
    </w:p>
    <w:p w:rsidR="00731E5A" w:rsidRPr="000A431F" w:rsidRDefault="00F43897">
      <w:pPr>
        <w:spacing w:before="240" w:after="100"/>
        <w:rPr>
          <w:color w:val="auto"/>
        </w:rPr>
      </w:pPr>
      <w:r>
        <w:rPr>
          <w:b/>
          <w:bCs/>
          <w:color w:val="auto"/>
        </w:rPr>
        <w:t>4</w:t>
      </w:r>
      <w:r w:rsidR="00CA65C0">
        <w:rPr>
          <w:b/>
          <w:bCs/>
          <w:color w:val="auto"/>
        </w:rPr>
        <w:t>.</w:t>
      </w:r>
      <w:r w:rsidR="00B51827">
        <w:rPr>
          <w:b/>
          <w:bCs/>
          <w:color w:val="auto"/>
        </w:rPr>
        <w:t>3.</w:t>
      </w:r>
      <w:r w:rsidR="00CA65C0">
        <w:rPr>
          <w:b/>
          <w:bCs/>
          <w:color w:val="auto"/>
        </w:rPr>
        <w:t>2 Product Architecture as a Boundary Condition</w:t>
      </w:r>
    </w:p>
    <w:p w:rsidR="00731E5A" w:rsidRPr="000A431F" w:rsidRDefault="00CA65C0" w:rsidP="004D25AF">
      <w:pPr>
        <w:spacing w:after="200"/>
        <w:jc w:val="both"/>
        <w:rPr>
          <w:color w:val="auto"/>
        </w:rPr>
      </w:pPr>
      <w:r>
        <w:rPr>
          <w:color w:val="auto"/>
        </w:rPr>
        <w:t xml:space="preserve">The design architecture of savings products determines the institutional infrastructure through which mental accounting mechanisms are expressed or suppressed. Bernheim et al. (2001) establish that access to employer-sponsored retirement savings plans substantially increases savings rates, primarily through the automatic enrollment mechanism rather than through </w:t>
      </w:r>
      <w:r w:rsidR="00FA73B4">
        <w:rPr>
          <w:color w:val="auto"/>
        </w:rPr>
        <w:lastRenderedPageBreak/>
        <w:t xml:space="preserve">financial incentives, a finding that </w:t>
      </w:r>
      <w:r>
        <w:rPr>
          <w:color w:val="auto"/>
        </w:rPr>
        <w:t>demonstrates the savings-augmenting potential of default-based product architecture. Thaler and Benartzi (2004) extend this logic to the Save More Tomorrow™ (SMarT) programme, demonstrating that commitment to increase savings rates at future pay raises generates large savings increases with minimal present-period sacrifice.</w:t>
      </w:r>
    </w:p>
    <w:p w:rsidR="00731E5A" w:rsidRPr="000A431F" w:rsidRDefault="00CA65C0" w:rsidP="004D25AF">
      <w:pPr>
        <w:spacing w:after="200"/>
        <w:jc w:val="both"/>
        <w:rPr>
          <w:color w:val="auto"/>
        </w:rPr>
      </w:pPr>
      <w:r>
        <w:rPr>
          <w:color w:val="auto"/>
        </w:rPr>
        <w:t>In low-income urban contexts, the equivalent product architecture mechanisms include: mobile money lock-in features (Mazer et al., 2014); goal-labelled savings accounts (Karlan et al., 2016); ROSCA-mimicking commitment deposit structures; and agent banking with community-based savings collectors (</w:t>
      </w:r>
      <w:proofErr w:type="gramStart"/>
      <w:r>
        <w:rPr>
          <w:color w:val="auto"/>
        </w:rPr>
        <w:t>susu</w:t>
      </w:r>
      <w:proofErr w:type="gramEnd"/>
      <w:r>
        <w:rPr>
          <w:color w:val="auto"/>
        </w:rPr>
        <w:t xml:space="preserve"> collectors in Ghana, ajo collectors in Nigeria). Each of these mechanisms targets a specific comp</w:t>
      </w:r>
      <w:r w:rsidR="001C5118">
        <w:rPr>
          <w:color w:val="auto"/>
        </w:rPr>
        <w:t>onent of the MAAHS architecture as follows:</w:t>
      </w:r>
      <w:r>
        <w:rPr>
          <w:color w:val="auto"/>
        </w:rPr>
        <w:t xml:space="preserve"> commitment features counteract present bias; labelling targets categorical budgeting; community collection mechanisms provide social accountability that counteracts present bias and social-normative claims.</w:t>
      </w:r>
    </w:p>
    <w:p w:rsidR="00731E5A" w:rsidRPr="000A431F" w:rsidRDefault="00F43897">
      <w:pPr>
        <w:spacing w:before="240" w:after="100"/>
        <w:rPr>
          <w:color w:val="auto"/>
        </w:rPr>
      </w:pPr>
      <w:r>
        <w:rPr>
          <w:b/>
          <w:bCs/>
          <w:color w:val="auto"/>
        </w:rPr>
        <w:t>4</w:t>
      </w:r>
      <w:r w:rsidR="00CA65C0">
        <w:rPr>
          <w:b/>
          <w:bCs/>
          <w:color w:val="auto"/>
        </w:rPr>
        <w:t>.</w:t>
      </w:r>
      <w:r w:rsidR="00B51827">
        <w:rPr>
          <w:b/>
          <w:bCs/>
          <w:color w:val="auto"/>
        </w:rPr>
        <w:t>3.</w:t>
      </w:r>
      <w:r w:rsidR="00CA65C0">
        <w:rPr>
          <w:b/>
          <w:bCs/>
          <w:color w:val="auto"/>
        </w:rPr>
        <w:t>3 Urban Economic Context and Livelihood Precarity</w:t>
      </w:r>
    </w:p>
    <w:p w:rsidR="00731E5A" w:rsidRPr="000A431F" w:rsidRDefault="00CA65C0" w:rsidP="004D25AF">
      <w:pPr>
        <w:spacing w:after="200"/>
        <w:jc w:val="both"/>
        <w:rPr>
          <w:color w:val="auto"/>
        </w:rPr>
      </w:pPr>
      <w:r>
        <w:rPr>
          <w:color w:val="auto"/>
        </w:rPr>
        <w:t xml:space="preserve">The structural characteristics of low-income urban livelihoods mediate the expression of mental accounting mechanisms in ways that must be integrated into the MAAHS framework. Banerjee and Duflo (2007) document that low-income urban households in developing economies typically </w:t>
      </w:r>
      <w:r w:rsidR="001C5118">
        <w:rPr>
          <w:color w:val="auto"/>
        </w:rPr>
        <w:t xml:space="preserve">combine multiple income sources - </w:t>
      </w:r>
      <w:r>
        <w:rPr>
          <w:color w:val="auto"/>
        </w:rPr>
        <w:t>casual wage l</w:t>
      </w:r>
      <w:r w:rsidR="001C5118">
        <w:rPr>
          <w:color w:val="auto"/>
        </w:rPr>
        <w:t xml:space="preserve">abour, petty trade, remittances and informal service provision </w:t>
      </w:r>
      <w:r>
        <w:rPr>
          <w:color w:val="auto"/>
        </w:rPr>
        <w:t>each wi</w:t>
      </w:r>
      <w:r w:rsidR="001C5118">
        <w:rPr>
          <w:color w:val="auto"/>
        </w:rPr>
        <w:t>th distinct timing, reliability</w:t>
      </w:r>
      <w:r>
        <w:rPr>
          <w:color w:val="auto"/>
        </w:rPr>
        <w:t xml:space="preserve"> and social expectations regarding allocation. This income source multiplicity creates a complex mental account environment in which the relevant refe</w:t>
      </w:r>
      <w:r w:rsidR="001C5118">
        <w:rPr>
          <w:color w:val="auto"/>
        </w:rPr>
        <w:t>rence points, categorical rules</w:t>
      </w:r>
      <w:r>
        <w:rPr>
          <w:color w:val="auto"/>
        </w:rPr>
        <w:t xml:space="preserve"> and social obligations vary across income streams.</w:t>
      </w:r>
    </w:p>
    <w:p w:rsidR="00731E5A" w:rsidRDefault="00CA65C0" w:rsidP="004354E7">
      <w:pPr>
        <w:spacing w:after="200"/>
        <w:jc w:val="both"/>
        <w:rPr>
          <w:color w:val="auto"/>
        </w:rPr>
      </w:pPr>
      <w:r>
        <w:rPr>
          <w:color w:val="auto"/>
        </w:rPr>
        <w:t>Informal sector employment</w:t>
      </w:r>
      <w:r w:rsidR="001C5118">
        <w:rPr>
          <w:color w:val="auto"/>
        </w:rPr>
        <w:t xml:space="preserve"> </w:t>
      </w:r>
      <w:r>
        <w:rPr>
          <w:color w:val="auto"/>
        </w:rPr>
        <w:t>which characterises the majority of low-income urban livelihoods in Su</w:t>
      </w:r>
      <w:r w:rsidR="001C5118">
        <w:rPr>
          <w:color w:val="auto"/>
        </w:rPr>
        <w:t xml:space="preserve">b-Saharan Africa and South Asia </w:t>
      </w:r>
      <w:r>
        <w:rPr>
          <w:color w:val="auto"/>
        </w:rPr>
        <w:t>is associated with income uncertainty that amplifies both present bias (rational liquidity preference) and loss aversion (consumption smoothing priority). Volatility in income reduces the feasibility of fixed-commitment savings mechanisms, undermines the categorical predi</w:t>
      </w:r>
      <w:r w:rsidR="001C5118">
        <w:rPr>
          <w:color w:val="auto"/>
        </w:rPr>
        <w:t>ctability of budget allocations</w:t>
      </w:r>
      <w:r>
        <w:rPr>
          <w:color w:val="auto"/>
        </w:rPr>
        <w:t xml:space="preserve"> and makes the social-normative claims mechanism more salient as households rely more heavily on social network support during income troughs (Morduch, 1995; Townsend, 1994).</w:t>
      </w:r>
    </w:p>
    <w:p w:rsidR="00B51827" w:rsidRPr="00A05DAE" w:rsidRDefault="003F1352" w:rsidP="00B51827">
      <w:pPr>
        <w:spacing w:before="320" w:after="140"/>
        <w:rPr>
          <w:color w:val="auto"/>
        </w:rPr>
      </w:pPr>
      <w:r>
        <w:rPr>
          <w:b/>
          <w:bCs/>
          <w:color w:val="auto"/>
        </w:rPr>
        <w:t xml:space="preserve">4.4. </w:t>
      </w:r>
      <w:r w:rsidR="00B51827" w:rsidRPr="00A05DAE">
        <w:rPr>
          <w:b/>
          <w:bCs/>
          <w:color w:val="auto"/>
        </w:rPr>
        <w:t xml:space="preserve">Proposed </w:t>
      </w:r>
      <w:r>
        <w:rPr>
          <w:b/>
          <w:bCs/>
          <w:color w:val="auto"/>
        </w:rPr>
        <w:t xml:space="preserve">Empirical Validation Framework </w:t>
      </w:r>
    </w:p>
    <w:p w:rsidR="00B51827" w:rsidRPr="003F1352" w:rsidRDefault="00B51827" w:rsidP="003F1352">
      <w:pPr>
        <w:spacing w:after="200"/>
        <w:jc w:val="both"/>
        <w:rPr>
          <w:color w:val="auto"/>
        </w:rPr>
      </w:pPr>
      <w:r>
        <w:rPr>
          <w:color w:val="auto"/>
        </w:rPr>
        <w:t>The conceptual pro</w:t>
      </w:r>
      <w:r w:rsidR="003F1352">
        <w:rPr>
          <w:color w:val="auto"/>
        </w:rPr>
        <w:t>positions developed in Section 4</w:t>
      </w:r>
      <w:r>
        <w:rPr>
          <w:color w:val="auto"/>
        </w:rPr>
        <w:t>.2 are, by design, intended to be falsifiable through quantitative empirical research. This section sets out, in operational detail, a survey-based structural equation modelling (SEM) design through which the core mechanisms of the MAAHS framework could be empirically tested using cross-sectional data collected directly from low-income urban households. The purpose of presenting this design is to strengthen the framework’s claim to empirical testability and to provide a directly implementable instrument and analytic plan for future researchers. It should be stated explicitly that the design below is proposed rather than executed: no primary survey data have been collected, and no model has been estimated, for the purposes of this paper. The contribution of this section is methodological specification.</w:t>
      </w:r>
    </w:p>
    <w:p w:rsidR="00B51827" w:rsidRPr="000A431F" w:rsidRDefault="003F1352" w:rsidP="00B51827">
      <w:pPr>
        <w:spacing w:before="240" w:after="100"/>
        <w:rPr>
          <w:color w:val="auto"/>
        </w:rPr>
      </w:pPr>
      <w:r>
        <w:rPr>
          <w:b/>
          <w:bCs/>
          <w:color w:val="auto"/>
        </w:rPr>
        <w:t>4.4</w:t>
      </w:r>
      <w:r w:rsidR="00B51827">
        <w:rPr>
          <w:b/>
          <w:bCs/>
          <w:color w:val="auto"/>
        </w:rPr>
        <w:t>.1 Rationale for Survey-Based SEM Testing</w:t>
      </w:r>
    </w:p>
    <w:p w:rsidR="00B51827" w:rsidRPr="000A431F" w:rsidRDefault="00B51827" w:rsidP="00B51827">
      <w:pPr>
        <w:spacing w:after="200"/>
        <w:jc w:val="both"/>
        <w:rPr>
          <w:color w:val="auto"/>
        </w:rPr>
      </w:pPr>
      <w:r>
        <w:rPr>
          <w:color w:val="auto"/>
        </w:rPr>
        <w:t xml:space="preserve">Structural equation modelling is the appropriate analytic technique for testing the MAAHS framework because each of the five mechanisms namely: categorical budgeting rigidity, psychological compartmentalisation, present bias, loss aversion and social-normative expenditure intensity is a latent construct that cannot be observed directly but must be inferred from multiple survey indicators. SEM permits the simultaneous estimation of a measurement </w:t>
      </w:r>
      <w:r>
        <w:rPr>
          <w:color w:val="auto"/>
        </w:rPr>
        <w:lastRenderedPageBreak/>
        <w:t>model, which links latent constructs to their observed indicators and a structural model, which estimates the hypothesised causal paths among constructs, including the moderating roles of financial literacy and income volatility identified in Section 4</w:t>
      </w:r>
      <w:r w:rsidR="003F1352">
        <w:rPr>
          <w:color w:val="auto"/>
        </w:rPr>
        <w:t>.3</w:t>
      </w:r>
      <w:r>
        <w:rPr>
          <w:color w:val="auto"/>
        </w:rPr>
        <w:t xml:space="preserve"> (Anderson &amp; Gerbing, 1988; Kline, 2015). This two-part architecture is preferable to estimating a series of separate regressions because it corrects for measurement error in the latent constructs, accommodates correlated mechanisms - the MAAHS framework explicitly hypothesises that the five mechanisms interact rather than operate independently and allows formal tests of mediation and moderation within a single, identified model (Hair et al., 2019).</w:t>
      </w:r>
    </w:p>
    <w:p w:rsidR="00B51827" w:rsidRPr="000A431F" w:rsidRDefault="003F1352" w:rsidP="00B51827">
      <w:pPr>
        <w:spacing w:before="240" w:after="100"/>
        <w:rPr>
          <w:color w:val="auto"/>
        </w:rPr>
      </w:pPr>
      <w:r>
        <w:rPr>
          <w:b/>
          <w:bCs/>
          <w:color w:val="auto"/>
        </w:rPr>
        <w:t>4.4</w:t>
      </w:r>
      <w:r w:rsidR="00B51827">
        <w:rPr>
          <w:b/>
          <w:bCs/>
          <w:color w:val="auto"/>
        </w:rPr>
        <w:t>.2 Construct Operationalisation and Measurement</w:t>
      </w:r>
    </w:p>
    <w:p w:rsidR="00B51827" w:rsidRDefault="00B51827" w:rsidP="00B51827">
      <w:pPr>
        <w:spacing w:after="200"/>
        <w:jc w:val="both"/>
        <w:rPr>
          <w:color w:val="auto"/>
        </w:rPr>
      </w:pPr>
      <w:r>
        <w:rPr>
          <w:color w:val="auto"/>
        </w:rPr>
        <w:t>Table 1 sets out a proposed operationalisation of the five MAAHS mechanisms, the savings outcome variable and the two moderating constructs identified in Section 4</w:t>
      </w:r>
      <w:r w:rsidR="00C54869">
        <w:rPr>
          <w:color w:val="auto"/>
        </w:rPr>
        <w:t>.3</w:t>
      </w:r>
      <w:r>
        <w:rPr>
          <w:color w:val="auto"/>
        </w:rPr>
        <w:t>, drawing on, and where necessary adapting, the validated instruments referenced throughout this paper. Each latent construct would be measured using multiple five-point Likert-scaled indicators to support reflective measurement and the assessment of internal consistency reliability and convergent validity (via composite reliability and average variance extracted) following Fornell and Larcker (1981).</w:t>
      </w:r>
    </w:p>
    <w:p w:rsidR="00ED2E56" w:rsidRDefault="00B51827" w:rsidP="00B51827">
      <w:pPr>
        <w:spacing w:after="200"/>
        <w:jc w:val="both"/>
        <w:rPr>
          <w:color w:val="auto"/>
        </w:rPr>
      </w:pPr>
      <w:r>
        <w:rPr>
          <w:color w:val="auto"/>
        </w:rPr>
        <w:t xml:space="preserve">   </w:t>
      </w:r>
    </w:p>
    <w:p w:rsidR="00ED2E56" w:rsidRDefault="00ED2E56" w:rsidP="00B51827">
      <w:pPr>
        <w:spacing w:after="200"/>
        <w:jc w:val="both"/>
        <w:rPr>
          <w:color w:val="auto"/>
        </w:rPr>
      </w:pPr>
    </w:p>
    <w:p w:rsidR="00ED2E56" w:rsidRDefault="00ED2E56" w:rsidP="00B51827">
      <w:pPr>
        <w:spacing w:after="200"/>
        <w:jc w:val="both"/>
        <w:rPr>
          <w:color w:val="auto"/>
        </w:rPr>
      </w:pPr>
    </w:p>
    <w:p w:rsidR="00ED2E56" w:rsidRDefault="00ED2E56" w:rsidP="00B51827">
      <w:pPr>
        <w:spacing w:after="200"/>
        <w:jc w:val="both"/>
        <w:rPr>
          <w:color w:val="auto"/>
        </w:rPr>
      </w:pPr>
    </w:p>
    <w:p w:rsidR="00ED2E56" w:rsidRDefault="00ED2E56" w:rsidP="00B51827">
      <w:pPr>
        <w:spacing w:after="200"/>
        <w:jc w:val="both"/>
        <w:rPr>
          <w:color w:val="auto"/>
        </w:rPr>
      </w:pPr>
    </w:p>
    <w:p w:rsidR="00ED2E56" w:rsidRDefault="00ED2E56" w:rsidP="00B51827">
      <w:pPr>
        <w:spacing w:after="200"/>
        <w:jc w:val="both"/>
        <w:rPr>
          <w:color w:val="auto"/>
        </w:rPr>
      </w:pPr>
    </w:p>
    <w:p w:rsidR="00B51827" w:rsidRPr="00A87AA3" w:rsidRDefault="00B51827" w:rsidP="00B51827">
      <w:pPr>
        <w:spacing w:after="200"/>
        <w:jc w:val="both"/>
        <w:rPr>
          <w:color w:val="auto"/>
        </w:rPr>
      </w:pPr>
      <w:r>
        <w:rPr>
          <w:color w:val="auto"/>
        </w:rPr>
        <w:t xml:space="preserve"> </w:t>
      </w:r>
      <w:r w:rsidRPr="00A87AA3">
        <w:rPr>
          <w:color w:val="auto"/>
        </w:rPr>
        <w:t xml:space="preserve">Table 1 Proposed </w:t>
      </w:r>
      <w:r w:rsidR="00ED2E56">
        <w:rPr>
          <w:bCs/>
          <w:color w:val="auto"/>
        </w:rPr>
        <w:t xml:space="preserve">Operationalisation of </w:t>
      </w:r>
      <w:r w:rsidRPr="00A87AA3">
        <w:rPr>
          <w:color w:val="auto"/>
        </w:rPr>
        <w:t xml:space="preserve">the MAAHS </w:t>
      </w:r>
      <w:r w:rsidR="00ED2E56">
        <w:rPr>
          <w:color w:val="auto"/>
        </w:rPr>
        <w:t>Mechanisms</w:t>
      </w:r>
    </w:p>
    <w:tbl>
      <w:tblPr>
        <w:tblW w:w="9240" w:type="dxa"/>
        <w:tblInd w:w="1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100" w:type="dxa"/>
          <w:right w:w="100" w:type="dxa"/>
        </w:tblCellMar>
        <w:tblLook w:val="04A0" w:firstRow="1" w:lastRow="0" w:firstColumn="1" w:lastColumn="0" w:noHBand="0" w:noVBand="1"/>
      </w:tblPr>
      <w:tblGrid>
        <w:gridCol w:w="1985"/>
        <w:gridCol w:w="2835"/>
        <w:gridCol w:w="2835"/>
        <w:gridCol w:w="1585"/>
      </w:tblGrid>
      <w:tr w:rsidR="00B51827" w:rsidRPr="000A431F" w:rsidTr="00C54869">
        <w:tc>
          <w:tcPr>
            <w:tcW w:w="1985" w:type="dxa"/>
            <w:shd w:val="clear" w:color="auto" w:fill="EEF2FA"/>
            <w:tcMar>
              <w:top w:w="80" w:type="dxa"/>
              <w:left w:w="100" w:type="dxa"/>
              <w:bottom w:w="80" w:type="dxa"/>
              <w:right w:w="100" w:type="dxa"/>
            </w:tcMar>
          </w:tcPr>
          <w:p w:rsidR="00B51827" w:rsidRPr="000A431F" w:rsidRDefault="00B51827" w:rsidP="009B7036">
            <w:pPr>
              <w:rPr>
                <w:b/>
                <w:bCs/>
                <w:color w:val="auto"/>
                <w:sz w:val="20"/>
                <w:szCs w:val="20"/>
              </w:rPr>
            </w:pPr>
            <w:r>
              <w:rPr>
                <w:b/>
                <w:bCs/>
                <w:color w:val="auto"/>
                <w:sz w:val="20"/>
                <w:szCs w:val="20"/>
              </w:rPr>
              <w:t>Construct</w:t>
            </w:r>
          </w:p>
        </w:tc>
        <w:tc>
          <w:tcPr>
            <w:tcW w:w="2835" w:type="dxa"/>
            <w:shd w:val="clear" w:color="auto" w:fill="EEF2FA"/>
            <w:tcMar>
              <w:top w:w="80" w:type="dxa"/>
              <w:left w:w="100" w:type="dxa"/>
              <w:bottom w:w="80" w:type="dxa"/>
              <w:right w:w="100" w:type="dxa"/>
            </w:tcMar>
          </w:tcPr>
          <w:p w:rsidR="00B51827" w:rsidRPr="000A431F" w:rsidRDefault="00B51827" w:rsidP="009B7036">
            <w:pPr>
              <w:rPr>
                <w:b/>
                <w:bCs/>
                <w:color w:val="auto"/>
                <w:sz w:val="20"/>
                <w:szCs w:val="20"/>
              </w:rPr>
            </w:pPr>
            <w:r>
              <w:rPr>
                <w:b/>
                <w:bCs/>
                <w:color w:val="auto"/>
                <w:sz w:val="20"/>
                <w:szCs w:val="20"/>
              </w:rPr>
              <w:t>Definition (Section reference)</w:t>
            </w:r>
          </w:p>
        </w:tc>
        <w:tc>
          <w:tcPr>
            <w:tcW w:w="2835" w:type="dxa"/>
            <w:shd w:val="clear" w:color="auto" w:fill="EEF2FA"/>
            <w:tcMar>
              <w:top w:w="80" w:type="dxa"/>
              <w:left w:w="100" w:type="dxa"/>
              <w:bottom w:w="80" w:type="dxa"/>
              <w:right w:w="100" w:type="dxa"/>
            </w:tcMar>
          </w:tcPr>
          <w:p w:rsidR="00B51827" w:rsidRPr="000A431F" w:rsidRDefault="00B51827" w:rsidP="009B7036">
            <w:pPr>
              <w:rPr>
                <w:b/>
                <w:bCs/>
                <w:color w:val="auto"/>
                <w:sz w:val="20"/>
                <w:szCs w:val="20"/>
              </w:rPr>
            </w:pPr>
            <w:r>
              <w:rPr>
                <w:b/>
                <w:bCs/>
                <w:color w:val="auto"/>
                <w:sz w:val="20"/>
                <w:szCs w:val="20"/>
              </w:rPr>
              <w:t>Illustrative Indicators</w:t>
            </w:r>
          </w:p>
        </w:tc>
        <w:tc>
          <w:tcPr>
            <w:tcW w:w="1585" w:type="dxa"/>
            <w:shd w:val="clear" w:color="auto" w:fill="EEF2FA"/>
            <w:tcMar>
              <w:top w:w="80" w:type="dxa"/>
              <w:left w:w="100" w:type="dxa"/>
              <w:bottom w:w="80" w:type="dxa"/>
              <w:right w:w="100" w:type="dxa"/>
            </w:tcMar>
          </w:tcPr>
          <w:p w:rsidR="00B51827" w:rsidRPr="000A431F" w:rsidRDefault="00B51827" w:rsidP="009B7036">
            <w:pPr>
              <w:rPr>
                <w:b/>
                <w:bCs/>
                <w:color w:val="auto"/>
                <w:sz w:val="20"/>
                <w:szCs w:val="20"/>
              </w:rPr>
            </w:pPr>
            <w:r>
              <w:rPr>
                <w:b/>
                <w:bCs/>
                <w:color w:val="auto"/>
                <w:sz w:val="20"/>
                <w:szCs w:val="20"/>
              </w:rPr>
              <w:t>Measurement Basis</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Categorical Budgeting Rigidity</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Proportion of income pre-allocated to named expenditure categories (Section 4; P1)</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4 items on rigidity of category-specific allocation rules and resistance to cross-category reallocation</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Adapted from Heath &amp; Soll (1996)</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Compartmentalisation</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Reported non-substitutability of funds across savings instruments (Section 4; P2, P3)</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4 items on willingness/reluctance to transfer funds across labelled accounts and number of distinct instruments held</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Money Management Rigidity Scale (Müller &amp; Schwarz, 2022)</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Present Bias</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Disproportionate weighting of immediate over deferred outcomes (Section 2.3; P5, P6, P8)</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Incentivised intertemporal choice tasks plus 3 self-report impatience items</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Convex budget protocol (Andreoni &amp; Sprenger, 2012)</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Loss Aversion</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Asymmetric psychological weighting of losses relative to gains (Section 2.2; P7)</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4 items eliciting relative disutility of consumption reduction versus equivalent foregone gain; embedded gain/loss framing vignette experiment</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Adapted from Tversky &amp; Kahneman (1991)</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lastRenderedPageBreak/>
              <w:t>Social-Normative Claims</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Intensity of obligatory social expenditure commitments (Section 4; P9, P10)</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Number/average size of monthly obligatory social contributions; perceived social observability of savings</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Adapted from Squires (2021); Di Falco &amp; Bulte (2011)</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Financial Literacy (moderator)</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Numeracy, product knowledge, and bias awareness (Section 6.1; P12)</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Basic numeracy/interest-rate items plus attitudinal bias-awareness items</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Lusardi &amp; Mitchell (2014); Carpena et al. (2013)</w:t>
            </w:r>
          </w:p>
        </w:tc>
      </w:tr>
      <w:tr w:rsidR="00B51827" w:rsidRPr="000A431F" w:rsidTr="00C54869">
        <w:tc>
          <w:tcPr>
            <w:tcW w:w="19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Net Savings Rate (outcome)</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Proportion of monthly income net-saved across formal and informal instruments</w:t>
            </w:r>
          </w:p>
        </w:tc>
        <w:tc>
          <w:tcPr>
            <w:tcW w:w="283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Self-reported flow measure, triangulated with a 30-day recall financial diary module</w:t>
            </w:r>
          </w:p>
        </w:tc>
        <w:tc>
          <w:tcPr>
            <w:tcW w:w="1585" w:type="dxa"/>
            <w:tcMar>
              <w:top w:w="80" w:type="dxa"/>
              <w:left w:w="100" w:type="dxa"/>
              <w:bottom w:w="80" w:type="dxa"/>
              <w:right w:w="100" w:type="dxa"/>
            </w:tcMar>
          </w:tcPr>
          <w:p w:rsidR="00B51827" w:rsidRPr="000A431F" w:rsidRDefault="00B51827" w:rsidP="009B7036">
            <w:pPr>
              <w:rPr>
                <w:color w:val="auto"/>
                <w:sz w:val="20"/>
                <w:szCs w:val="20"/>
              </w:rPr>
            </w:pPr>
            <w:r>
              <w:rPr>
                <w:color w:val="auto"/>
                <w:sz w:val="20"/>
                <w:szCs w:val="20"/>
              </w:rPr>
              <w:t>Adapted from Collins et al. (2009) Financial Diaries protocol</w:t>
            </w:r>
          </w:p>
        </w:tc>
      </w:tr>
    </w:tbl>
    <w:p w:rsidR="00B51827" w:rsidRPr="000A431F" w:rsidRDefault="00B51827" w:rsidP="00B51827">
      <w:pPr>
        <w:spacing w:after="80"/>
        <w:rPr>
          <w:color w:val="auto"/>
        </w:rPr>
      </w:pPr>
      <w:r>
        <w:rPr>
          <w:color w:val="auto"/>
        </w:rPr>
        <w:t xml:space="preserve">   Source: authors’ compilation, (2026)</w:t>
      </w:r>
    </w:p>
    <w:p w:rsidR="00B51827" w:rsidRPr="00A87AA3" w:rsidRDefault="00B51827" w:rsidP="00B51827">
      <w:pPr>
        <w:spacing w:before="120" w:after="200"/>
        <w:jc w:val="both"/>
        <w:rPr>
          <w:iCs/>
          <w:color w:val="auto"/>
        </w:rPr>
      </w:pPr>
      <w:r>
        <w:rPr>
          <w:iCs/>
          <w:color w:val="auto"/>
        </w:rPr>
        <w:t>Table 1 shows the p</w:t>
      </w:r>
      <w:r w:rsidRPr="00A87AA3">
        <w:rPr>
          <w:iCs/>
          <w:color w:val="auto"/>
        </w:rPr>
        <w:t>roposed measurement model for the MAAHS structural equation model. Income volatility (a further m</w:t>
      </w:r>
      <w:r>
        <w:rPr>
          <w:iCs/>
          <w:color w:val="auto"/>
        </w:rPr>
        <w:t>oderator identified in Section 4</w:t>
      </w:r>
      <w:r w:rsidRPr="00A87AA3">
        <w:rPr>
          <w:iCs/>
          <w:color w:val="auto"/>
        </w:rPr>
        <w:t>.3) would be operationalised as the coefficient of variation of self-reported monthly income over the preceding twelve months, supplemented by a categorical measure of income source diversity.</w:t>
      </w:r>
    </w:p>
    <w:p w:rsidR="00B51827" w:rsidRPr="000A431F" w:rsidRDefault="00ED2E56" w:rsidP="00B51827">
      <w:pPr>
        <w:spacing w:before="240" w:after="100"/>
        <w:rPr>
          <w:color w:val="auto"/>
        </w:rPr>
      </w:pPr>
      <w:r>
        <w:rPr>
          <w:b/>
          <w:bCs/>
          <w:color w:val="auto"/>
        </w:rPr>
        <w:t>4.4</w:t>
      </w:r>
      <w:r w:rsidR="00B51827">
        <w:rPr>
          <w:b/>
          <w:bCs/>
          <w:color w:val="auto"/>
        </w:rPr>
        <w:t>.3 Sampling Strategy and Target Population</w:t>
      </w:r>
    </w:p>
    <w:p w:rsidR="00B51827" w:rsidRPr="000A431F" w:rsidRDefault="00B51827" w:rsidP="00B51827">
      <w:pPr>
        <w:spacing w:after="200"/>
        <w:jc w:val="both"/>
        <w:rPr>
          <w:color w:val="auto"/>
        </w:rPr>
      </w:pPr>
      <w:r>
        <w:rPr>
          <w:color w:val="auto"/>
        </w:rPr>
        <w:t>The target population would comprise primary household financial decision-makers, aged 18 and above, resident in low-income urban neighbourhoods, and falling below a defined income threshold consistent with national or international poverty benchmarks (e.g., the World Bank’s $2.15/day international poverty line, adjusted for purchasing power parity in the country of study). A multistage stratified random sampling design is proposed: cities or metropolitan areas would first be purposively selected to capture variation in informal financial infrastructure (e.g., ROSCA prevalence, mobile money penetration); within each city, low-income wards or enumeration areas would be selected using probability-proportional-to-size sampling; and within each selected ward, households would be randomly drawn from an updated household listing, with one eligible respondent per household. Following established conventions for SEM estimation, a minimum target sample of 400–500 completed responses is proposed, exceeding the commonly cited heuristic of 10 respondents per estimated parameter and providing adequate statistical power for detecting moderate effect sizes in the structural paths (Hair et al., 2019; Kline, 2015). The survey instrument would require piloting and cognitive interviewing in the local language(s) to ensure that mental-accounting constructs originally developed in middle-income, Western contexts are interpreted appropriately by respondents and ethical approval and informed consent procedures consistent with standard human-subjects research protocols would be required prior to fieldwork.</w:t>
      </w:r>
    </w:p>
    <w:p w:rsidR="00B51827" w:rsidRPr="000A431F" w:rsidRDefault="00ED2E56" w:rsidP="00B51827">
      <w:pPr>
        <w:spacing w:before="240" w:after="100"/>
        <w:rPr>
          <w:color w:val="auto"/>
        </w:rPr>
      </w:pPr>
      <w:r>
        <w:rPr>
          <w:b/>
          <w:bCs/>
          <w:color w:val="auto"/>
        </w:rPr>
        <w:t>4.4</w:t>
      </w:r>
      <w:r w:rsidR="00B51827">
        <w:rPr>
          <w:b/>
          <w:bCs/>
          <w:color w:val="auto"/>
        </w:rPr>
        <w:t>.4 Proposed Structural Model and Hypothesised Paths</w:t>
      </w:r>
    </w:p>
    <w:p w:rsidR="00B51827" w:rsidRPr="000A431F" w:rsidRDefault="00B51827" w:rsidP="00B51827">
      <w:pPr>
        <w:spacing w:after="200"/>
        <w:jc w:val="both"/>
        <w:rPr>
          <w:color w:val="auto"/>
        </w:rPr>
      </w:pPr>
      <w:r>
        <w:rPr>
          <w:color w:val="auto"/>
        </w:rPr>
        <w:t xml:space="preserve">The proposed structural model specifies the five MAAHS mechanisms in Table 1 as exogenous latent predictors of net savings rate, consistent with P1, P2, P5, P7, and P9. Financial literacy is specified as a moderator of the paths from categorical budgeting rigidity and present bias to net savings rate, consistent with P12, while income volatility is specified as a moderator of the present-bias-to-savings path, consistent with P8. Because loss-framing effects (P7) describe a response to manipulated framing rather than a stable individual difference, the cross-sectional survey would be supplemented with a brief embedded vignette experiment in which respondents are randomly assigned to a loss-framed or gain-framed description of a hypothetical savings product, with stated uptake intention as the dependent </w:t>
      </w:r>
      <w:r>
        <w:rPr>
          <w:color w:val="auto"/>
        </w:rPr>
        <w:lastRenderedPageBreak/>
        <w:t>variable; this experimental module would be analysed separately from the main structural model, using a simple between-groups comparison, but its result would be reported alongside the SEM findings. Compartmentalisation is specified as a parallel mediator between categorical budgeting rigidity and net savings rate, capturing the prediction in P3 and P4 that the structural classification of funds, rather than budgeting rigidity alone, drives savings outcomes. Household decision-maker gender (P11) would be included as a grouping variable for multi-group structural invariance testing rather than as a continuous covariate, given the framework’s prediction of a structural rather than merely incremental difference in savings pathways by gender.</w:t>
      </w:r>
    </w:p>
    <w:p w:rsidR="00B51827" w:rsidRPr="000A431F" w:rsidRDefault="00ED2E56" w:rsidP="00B51827">
      <w:pPr>
        <w:spacing w:before="240" w:after="100"/>
        <w:rPr>
          <w:color w:val="auto"/>
        </w:rPr>
      </w:pPr>
      <w:r>
        <w:rPr>
          <w:b/>
          <w:bCs/>
          <w:color w:val="auto"/>
        </w:rPr>
        <w:t>4.4</w:t>
      </w:r>
      <w:r w:rsidR="00B51827">
        <w:rPr>
          <w:b/>
          <w:bCs/>
          <w:color w:val="auto"/>
        </w:rPr>
        <w:t>.5 Estimation Strategy and Model Fit Criteria</w:t>
      </w:r>
    </w:p>
    <w:p w:rsidR="00B51827" w:rsidRPr="000A431F" w:rsidRDefault="00B51827" w:rsidP="00B51827">
      <w:pPr>
        <w:spacing w:after="200"/>
        <w:jc w:val="both"/>
        <w:rPr>
          <w:color w:val="auto"/>
        </w:rPr>
      </w:pPr>
      <w:r>
        <w:rPr>
          <w:color w:val="auto"/>
        </w:rPr>
        <w:t>Model estimation would follow the two-step approach recommended by Anderson and Gerbing (1988): a confirmatory factor analysis (CFA) would first be estimated to establish the validity of the measurement model, with convergent validity assessed via average variance extracted (AVE ≥ .50) and discriminant validity assessed via the Fornell and Larcker (1981) criterion, before the full structural model is estimated. Given the ordinal nature of Likert-scaled indicators, a robust weighted least squares (WLSMV) or maximum likelihood estimator with robust standard errors would be appropriate, implemented in standard SEM software (e.g., R’s lavaan package, Mplus, or AMOS). Model fit would be evaluated against conventional thresholds: a comparative fit index (CFI) and Tucker-Lewis index (TLI) of .90 or above, a root mean square error of approximation (RMSEA) of .08 or below, and a standardised root mean square residual (SRMR) of .08 or below (Hair et al., 2019; Kline, 2015). Because the data would be entirely self-reported, common method bias would be assessed using Podsakoff et al.’s (2003) recommended procedures, including a marker-variable test and comparison against a single-method-factor model; the instrument design would also incorporate procedural remedies such as separating predictor and outcome items, varying response scale formats, and assuring respondent anonymity. Indirect and moderation effects would be tested using bootstrapped confidence intervals (5,000 resamples), and multi-group invariance testing by gender would proceed through sequential constraint of configural, metric and structural parameters.</w:t>
      </w:r>
    </w:p>
    <w:p w:rsidR="00B51827" w:rsidRPr="000A431F" w:rsidRDefault="00ED2E56" w:rsidP="00B51827">
      <w:pPr>
        <w:spacing w:before="240" w:after="100"/>
        <w:rPr>
          <w:color w:val="auto"/>
        </w:rPr>
      </w:pPr>
      <w:r>
        <w:rPr>
          <w:b/>
          <w:bCs/>
          <w:color w:val="auto"/>
        </w:rPr>
        <w:t>4.4</w:t>
      </w:r>
      <w:r w:rsidR="00B51827">
        <w:rPr>
          <w:b/>
          <w:bCs/>
          <w:color w:val="auto"/>
        </w:rPr>
        <w:t>.6 Scope and Limitations of the Proposed Validation</w:t>
      </w:r>
    </w:p>
    <w:p w:rsidR="00B51827" w:rsidRPr="000A431F" w:rsidRDefault="00B51827" w:rsidP="004354E7">
      <w:pPr>
        <w:spacing w:after="200"/>
        <w:jc w:val="both"/>
        <w:rPr>
          <w:color w:val="auto"/>
        </w:rPr>
      </w:pPr>
      <w:r>
        <w:rPr>
          <w:color w:val="auto"/>
        </w:rPr>
        <w:t xml:space="preserve">The proposed design is best suited to testing the structural and dispositional propositions of the MAAHS framework (P1–P5, P7–P10, </w:t>
      </w:r>
      <w:proofErr w:type="gramStart"/>
      <w:r>
        <w:rPr>
          <w:color w:val="auto"/>
        </w:rPr>
        <w:t>P12</w:t>
      </w:r>
      <w:proofErr w:type="gramEnd"/>
      <w:r>
        <w:rPr>
          <w:color w:val="auto"/>
        </w:rPr>
        <w:t>); it is not, on its own, a substitute for the causal identification s</w:t>
      </w:r>
      <w:r w:rsidR="00ED2E56">
        <w:rPr>
          <w:color w:val="auto"/>
        </w:rPr>
        <w:t xml:space="preserve">trategies discussed in Section </w:t>
      </w:r>
      <w:r w:rsidR="00ED2E56" w:rsidRPr="00ED2E56">
        <w:rPr>
          <w:color w:val="FF0000"/>
        </w:rPr>
        <w:t>4.3</w:t>
      </w:r>
      <w:r w:rsidRPr="00ED2E56">
        <w:rPr>
          <w:color w:val="FF0000"/>
        </w:rPr>
        <w:t xml:space="preserve">. </w:t>
      </w:r>
      <w:r>
        <w:rPr>
          <w:color w:val="auto"/>
        </w:rPr>
        <w:t>Cross-sectional survey data, even when analysed through SEM, support tests of associative and mediated structural relationships but cannot establish causal direction with the same confidence as the randomised commitment-device and labelling experiments described</w:t>
      </w:r>
      <w:r w:rsidR="00ED2E56">
        <w:rPr>
          <w:color w:val="auto"/>
        </w:rPr>
        <w:t xml:space="preserve"> in Section </w:t>
      </w:r>
      <w:r w:rsidR="00ED2E56" w:rsidRPr="00ED2E56">
        <w:rPr>
          <w:color w:val="FF0000"/>
        </w:rPr>
        <w:t>4.3</w:t>
      </w:r>
      <w:r>
        <w:rPr>
          <w:color w:val="auto"/>
        </w:rPr>
        <w:t xml:space="preserve">, a limitation that applies with particular force to P6, which concerns the differential treatment effect of commitment products and is more directly tested through experimental variation in product access than through cross-sectional self-report. Similarly, the within-household bargaining dynamics underlying P11 and the socially embedded character of the claims mechanism underlying P9 and P10 are only partially captured by individual-level survey responses and would benefit from the complementary ethnographic and household-dyad methods discussed in Section </w:t>
      </w:r>
      <w:r w:rsidRPr="00ED2E56">
        <w:rPr>
          <w:color w:val="FF0000"/>
        </w:rPr>
        <w:t>8</w:t>
      </w:r>
      <w:r>
        <w:rPr>
          <w:color w:val="auto"/>
        </w:rPr>
        <w:t xml:space="preserve">. Finally, as with any newly adapted instrument, the construct validity of the measures in Table 1 would need to be established empirically through the piloting and CFA procedures specified in Section </w:t>
      </w:r>
      <w:r w:rsidRPr="00ED2E56">
        <w:rPr>
          <w:color w:val="FF0000"/>
        </w:rPr>
        <w:t>7</w:t>
      </w:r>
      <w:r>
        <w:rPr>
          <w:color w:val="auto"/>
        </w:rPr>
        <w:t>.</w:t>
      </w:r>
      <w:r w:rsidRPr="00ED2E56">
        <w:rPr>
          <w:color w:val="FF0000"/>
        </w:rPr>
        <w:t xml:space="preserve">5 </w:t>
      </w:r>
      <w:r>
        <w:rPr>
          <w:color w:val="auto"/>
        </w:rPr>
        <w:t xml:space="preserve">before the structural model is interpreted with confidence; it is entirely possible that piloting would necessitate revision of specific indicators to fit local linguistic and cultural context. Subject to these limitations, the design set out in this section provides a concrete, </w:t>
      </w:r>
      <w:r>
        <w:rPr>
          <w:color w:val="auto"/>
        </w:rPr>
        <w:lastRenderedPageBreak/>
        <w:t>implementable pathway from the conceptual MAAHS framework to empirical validation and is offered as a research instrument for adoption by future investigators.</w:t>
      </w:r>
    </w:p>
    <w:p w:rsidR="00731E5A" w:rsidRPr="00A05DAE" w:rsidRDefault="00F43897">
      <w:pPr>
        <w:spacing w:before="320" w:after="140"/>
        <w:rPr>
          <w:color w:val="auto"/>
        </w:rPr>
      </w:pPr>
      <w:r>
        <w:rPr>
          <w:b/>
          <w:bCs/>
          <w:color w:val="auto"/>
        </w:rPr>
        <w:t>5</w:t>
      </w:r>
      <w:r w:rsidR="00A05DAE">
        <w:rPr>
          <w:b/>
          <w:bCs/>
          <w:color w:val="auto"/>
        </w:rPr>
        <w:t>. Policy a</w:t>
      </w:r>
      <w:r w:rsidR="00A05DAE" w:rsidRPr="00A05DAE">
        <w:rPr>
          <w:b/>
          <w:bCs/>
          <w:color w:val="auto"/>
        </w:rPr>
        <w:t>nd Practice Implications</w:t>
      </w:r>
    </w:p>
    <w:p w:rsidR="00731E5A" w:rsidRPr="00A05DAE" w:rsidRDefault="00F43897">
      <w:pPr>
        <w:spacing w:before="240" w:after="100"/>
        <w:rPr>
          <w:color w:val="auto"/>
        </w:rPr>
      </w:pPr>
      <w:r>
        <w:rPr>
          <w:b/>
          <w:bCs/>
          <w:color w:val="auto"/>
        </w:rPr>
        <w:t>5</w:t>
      </w:r>
      <w:r w:rsidR="00A05DAE" w:rsidRPr="00A05DAE">
        <w:rPr>
          <w:b/>
          <w:bCs/>
          <w:color w:val="auto"/>
        </w:rPr>
        <w:t>.1 Product Design Implications</w:t>
      </w:r>
    </w:p>
    <w:p w:rsidR="00731E5A" w:rsidRPr="000A431F" w:rsidRDefault="00CA65C0" w:rsidP="004D25AF">
      <w:pPr>
        <w:spacing w:after="200"/>
        <w:jc w:val="both"/>
        <w:rPr>
          <w:color w:val="auto"/>
        </w:rPr>
      </w:pPr>
      <w:r>
        <w:rPr>
          <w:color w:val="auto"/>
        </w:rPr>
        <w:t>The MAAHS framework generates specific, actionable implications for the design of savings products targeting low-income urban households. First, the categorical budgeting mechanism implies that new savings products should be positioned as a distinct, labelled category in the househol</w:t>
      </w:r>
      <w:r w:rsidR="001C5118">
        <w:rPr>
          <w:color w:val="auto"/>
        </w:rPr>
        <w:t xml:space="preserve">d's mental account architecture, </w:t>
      </w:r>
      <w:r>
        <w:rPr>
          <w:color w:val="auto"/>
        </w:rPr>
        <w:t>not as a residual destination for leftover income, but as a named budgetary priority with the same pre-</w:t>
      </w:r>
      <w:r w:rsidR="001C5118">
        <w:rPr>
          <w:color w:val="auto"/>
        </w:rPr>
        <w:t>allocation status as rent, food</w:t>
      </w:r>
      <w:r>
        <w:rPr>
          <w:color w:val="auto"/>
        </w:rPr>
        <w:t xml:space="preserve"> or school fees. Evidence from Karlan et al. (2016) confirms that goal-labelled accounts generate substantially higher savings accumulation than functionally equivalent unlabelled accounts among low-income households in Africa.</w:t>
      </w:r>
    </w:p>
    <w:p w:rsidR="00731E5A" w:rsidRPr="000A431F" w:rsidRDefault="00CA65C0" w:rsidP="004D25AF">
      <w:pPr>
        <w:spacing w:after="200"/>
        <w:jc w:val="both"/>
        <w:rPr>
          <w:color w:val="auto"/>
        </w:rPr>
      </w:pPr>
      <w:r>
        <w:rPr>
          <w:color w:val="auto"/>
        </w:rPr>
        <w:t>Second, the present bias mechanism i</w:t>
      </w:r>
      <w:r w:rsidR="009034A7">
        <w:rPr>
          <w:color w:val="auto"/>
        </w:rPr>
        <w:t xml:space="preserve">mplies that commitment features </w:t>
      </w:r>
      <w:r>
        <w:rPr>
          <w:color w:val="auto"/>
        </w:rPr>
        <w:t>which shift the temporal locus of the savings decisi</w:t>
      </w:r>
      <w:r w:rsidR="009034A7">
        <w:rPr>
          <w:color w:val="auto"/>
        </w:rPr>
        <w:t xml:space="preserve">on from the present to the past </w:t>
      </w:r>
      <w:r>
        <w:rPr>
          <w:color w:val="auto"/>
        </w:rPr>
        <w:t>should be a standard element of savings product design for present-biased households. However, consistent with Giné et al.'s (2018) findings in the Philippines, commitment features should be offered as an opt-in rather than mandated, to avoid welfare losses among households with genuine liquidity needs. Flexi</w:t>
      </w:r>
      <w:r w:rsidR="009034A7">
        <w:rPr>
          <w:color w:val="auto"/>
        </w:rPr>
        <w:t xml:space="preserve">ble commitment designs </w:t>
      </w:r>
      <w:r>
        <w:rPr>
          <w:color w:val="auto"/>
        </w:rPr>
        <w:t>such as those allowing withdrawal in the event of s</w:t>
      </w:r>
      <w:r w:rsidR="009034A7">
        <w:rPr>
          <w:color w:val="auto"/>
        </w:rPr>
        <w:t xml:space="preserve">pecified qualifying emergencies </w:t>
      </w:r>
      <w:r>
        <w:rPr>
          <w:color w:val="auto"/>
        </w:rPr>
        <w:t>may optimally balance commitment benefits against liquidity costs.</w:t>
      </w:r>
    </w:p>
    <w:p w:rsidR="00731E5A" w:rsidRPr="000A431F" w:rsidRDefault="00CA65C0" w:rsidP="004D25AF">
      <w:pPr>
        <w:spacing w:after="200"/>
        <w:jc w:val="both"/>
        <w:rPr>
          <w:color w:val="auto"/>
        </w:rPr>
      </w:pPr>
      <w:r>
        <w:rPr>
          <w:color w:val="auto"/>
        </w:rPr>
        <w:t>Third, the social-normative claims mechanism implies that savings products should incorporate privacy features that reduce the social observability of savings balances. Mobile money savings accounts, which can be maintain</w:t>
      </w:r>
      <w:r w:rsidR="006B3BC7">
        <w:rPr>
          <w:color w:val="auto"/>
        </w:rPr>
        <w:t>ed without community visibility,</w:t>
      </w:r>
      <w:r>
        <w:rPr>
          <w:color w:val="auto"/>
        </w:rPr>
        <w:t xml:space="preserve"> are particularly suited to this function. Mazer et al. (2014) document that M-Shwari </w:t>
      </w:r>
      <w:r w:rsidR="006B3BC7">
        <w:rPr>
          <w:color w:val="auto"/>
        </w:rPr>
        <w:t xml:space="preserve">(a mobile-based savings and credit product) in Kenya </w:t>
      </w:r>
      <w:r>
        <w:rPr>
          <w:color w:val="auto"/>
        </w:rPr>
        <w:t>achieved rapid uptake partly because of its privacy advantage over community-based savings mechanisms. Product designers should recognise and exploit this advantage explicitly.</w:t>
      </w:r>
    </w:p>
    <w:p w:rsidR="00731E5A" w:rsidRPr="000A431F" w:rsidRDefault="00CA65C0" w:rsidP="004D25AF">
      <w:pPr>
        <w:spacing w:after="200"/>
        <w:jc w:val="both"/>
        <w:rPr>
          <w:color w:val="auto"/>
        </w:rPr>
      </w:pPr>
      <w:r>
        <w:rPr>
          <w:color w:val="auto"/>
        </w:rPr>
        <w:t>Fourth, the compartmentalisation mechanism implies that savings product adoption is facilitated by c</w:t>
      </w:r>
      <w:r w:rsidR="006B3BC7">
        <w:rPr>
          <w:color w:val="auto"/>
        </w:rPr>
        <w:t>lear mental account demarcation such that</w:t>
      </w:r>
      <w:r>
        <w:rPr>
          <w:color w:val="auto"/>
        </w:rPr>
        <w:t xml:space="preserve"> products should specify the intended use of savings (emergencies, s</w:t>
      </w:r>
      <w:r w:rsidR="006B3BC7">
        <w:rPr>
          <w:color w:val="auto"/>
        </w:rPr>
        <w:t>chool fees, business investment</w:t>
      </w:r>
      <w:r>
        <w:rPr>
          <w:color w:val="auto"/>
        </w:rPr>
        <w:t xml:space="preserve"> </w:t>
      </w:r>
      <w:r w:rsidR="006B3BC7">
        <w:rPr>
          <w:color w:val="auto"/>
        </w:rPr>
        <w:t>and housing</w:t>
      </w:r>
      <w:r>
        <w:rPr>
          <w:color w:val="auto"/>
        </w:rPr>
        <w:t>), the conditions under which savings can be</w:t>
      </w:r>
      <w:r w:rsidR="006B3BC7">
        <w:rPr>
          <w:color w:val="auto"/>
        </w:rPr>
        <w:t xml:space="preserve"> accessed</w:t>
      </w:r>
      <w:r>
        <w:rPr>
          <w:color w:val="auto"/>
        </w:rPr>
        <w:t xml:space="preserve"> and the consequences of early withdrawal. These specifications create the mental account rules that make savings balances feel protected from consumption appropriation, a function that the best-designed formal savings products share with ROSCAs and other informal commitment mechanisms.</w:t>
      </w:r>
    </w:p>
    <w:p w:rsidR="00731E5A" w:rsidRPr="000A431F" w:rsidRDefault="00F43897">
      <w:pPr>
        <w:spacing w:before="240" w:after="100"/>
        <w:rPr>
          <w:color w:val="auto"/>
        </w:rPr>
      </w:pPr>
      <w:r>
        <w:rPr>
          <w:b/>
          <w:bCs/>
          <w:color w:val="auto"/>
        </w:rPr>
        <w:t>5</w:t>
      </w:r>
      <w:r w:rsidR="00CA65C0">
        <w:rPr>
          <w:b/>
          <w:bCs/>
          <w:color w:val="auto"/>
        </w:rPr>
        <w:t>.2 Financial Literacy Programme Design</w:t>
      </w:r>
    </w:p>
    <w:p w:rsidR="00731E5A" w:rsidRPr="000A431F" w:rsidRDefault="00CA65C0" w:rsidP="004D25AF">
      <w:pPr>
        <w:spacing w:after="200"/>
        <w:jc w:val="both"/>
        <w:rPr>
          <w:color w:val="auto"/>
        </w:rPr>
      </w:pPr>
      <w:r>
        <w:rPr>
          <w:color w:val="auto"/>
        </w:rPr>
        <w:t>Standar</w:t>
      </w:r>
      <w:r w:rsidR="006B3BC7">
        <w:rPr>
          <w:color w:val="auto"/>
        </w:rPr>
        <w:t xml:space="preserve">d financial literacy programmes </w:t>
      </w:r>
      <w:r>
        <w:rPr>
          <w:color w:val="auto"/>
        </w:rPr>
        <w:t>focused on nume</w:t>
      </w:r>
      <w:r w:rsidR="006B3BC7">
        <w:rPr>
          <w:color w:val="auto"/>
        </w:rPr>
        <w:t xml:space="preserve">racy, interest rate calculation and product knowledge </w:t>
      </w:r>
      <w:r>
        <w:rPr>
          <w:color w:val="auto"/>
        </w:rPr>
        <w:t>are insufficient to address the mental accounting mechanisms identified by the MAAHS framework. Effective financial literacy programming for low-income urban communities should incorporate three additional elements. Fir</w:t>
      </w:r>
      <w:r w:rsidR="006B3BC7">
        <w:rPr>
          <w:color w:val="auto"/>
        </w:rPr>
        <w:t>st, mental acc</w:t>
      </w:r>
      <w:r w:rsidR="000F5803">
        <w:rPr>
          <w:color w:val="auto"/>
        </w:rPr>
        <w:t>ounting awareness that offers</w:t>
      </w:r>
      <w:r>
        <w:rPr>
          <w:color w:val="auto"/>
        </w:rPr>
        <w:t xml:space="preserve"> explicit instruction in the cognitive biases that affect financial de</w:t>
      </w:r>
      <w:r w:rsidR="006B3BC7">
        <w:rPr>
          <w:color w:val="auto"/>
        </w:rPr>
        <w:t xml:space="preserve">cisions </w:t>
      </w:r>
      <w:r w:rsidR="000F5803">
        <w:rPr>
          <w:color w:val="auto"/>
        </w:rPr>
        <w:t xml:space="preserve">namely: </w:t>
      </w:r>
      <w:r>
        <w:rPr>
          <w:color w:val="auto"/>
        </w:rPr>
        <w:t>present bias, loss</w:t>
      </w:r>
      <w:r w:rsidR="006B3BC7">
        <w:rPr>
          <w:color w:val="auto"/>
        </w:rPr>
        <w:t xml:space="preserve"> aversion, compartmentalization </w:t>
      </w:r>
      <w:r>
        <w:rPr>
          <w:color w:val="auto"/>
        </w:rPr>
        <w:t xml:space="preserve">and their consequences for savings behaviour. Evidence from Drexler et al. (2014) in the Dominican Republic suggests that simplified, rule-of-thumb financial guidance ("pay yourself first," "save before you spend") </w:t>
      </w:r>
      <w:r>
        <w:rPr>
          <w:color w:val="auto"/>
        </w:rPr>
        <w:lastRenderedPageBreak/>
        <w:t>outperforms standard accounting-based financial education in improving savings behaviour among low-income populations.</w:t>
      </w:r>
    </w:p>
    <w:p w:rsidR="00731E5A" w:rsidRPr="000A431F" w:rsidRDefault="00CA65C0" w:rsidP="004D25AF">
      <w:pPr>
        <w:spacing w:after="200"/>
        <w:jc w:val="both"/>
        <w:rPr>
          <w:color w:val="auto"/>
        </w:rPr>
      </w:pPr>
      <w:r>
        <w:rPr>
          <w:color w:val="auto"/>
        </w:rPr>
        <w:t>Se</w:t>
      </w:r>
      <w:r w:rsidR="000F5803">
        <w:rPr>
          <w:color w:val="auto"/>
        </w:rPr>
        <w:t>cond, commitment device framing that trains</w:t>
      </w:r>
      <w:r>
        <w:rPr>
          <w:color w:val="auto"/>
        </w:rPr>
        <w:t xml:space="preserve"> households to recognis</w:t>
      </w:r>
      <w:r w:rsidR="000F5803">
        <w:rPr>
          <w:color w:val="auto"/>
        </w:rPr>
        <w:t xml:space="preserve">e and use commitment mechanisms </w:t>
      </w:r>
      <w:r>
        <w:rPr>
          <w:color w:val="auto"/>
        </w:rPr>
        <w:t>including informal ones such as ROSCA participation, earmarke</w:t>
      </w:r>
      <w:r w:rsidR="000F5803">
        <w:rPr>
          <w:color w:val="auto"/>
        </w:rPr>
        <w:t>d savings in separate locations</w:t>
      </w:r>
      <w:r>
        <w:rPr>
          <w:color w:val="auto"/>
        </w:rPr>
        <w:t xml:space="preserve"> and verb</w:t>
      </w:r>
      <w:r w:rsidR="000F5803">
        <w:rPr>
          <w:color w:val="auto"/>
        </w:rPr>
        <w:t xml:space="preserve">al commitments to savings goals </w:t>
      </w:r>
      <w:r>
        <w:rPr>
          <w:color w:val="auto"/>
        </w:rPr>
        <w:t>as tools for managing their own present bias. This meta</w:t>
      </w:r>
      <w:r w:rsidR="002728EC">
        <w:rPr>
          <w:color w:val="auto"/>
        </w:rPr>
        <w:t>-</w:t>
      </w:r>
      <w:r>
        <w:rPr>
          <w:color w:val="auto"/>
        </w:rPr>
        <w:t>cognitive</w:t>
      </w:r>
      <w:r w:rsidR="000F5803">
        <w:rPr>
          <w:color w:val="auto"/>
        </w:rPr>
        <w:t xml:space="preserve"> approach to financial literacy</w:t>
      </w:r>
      <w:r>
        <w:rPr>
          <w:color w:val="auto"/>
        </w:rPr>
        <w:t xml:space="preserve"> which treats the household as a strategic agent managin</w:t>
      </w:r>
      <w:r w:rsidR="000F5803">
        <w:rPr>
          <w:color w:val="auto"/>
        </w:rPr>
        <w:t>g its own cognitive limitations</w:t>
      </w:r>
      <w:r>
        <w:rPr>
          <w:color w:val="auto"/>
        </w:rPr>
        <w:t xml:space="preserve"> is more consistent with the MAAHS framework than the standard information-deficit model of financial literacy.</w:t>
      </w:r>
    </w:p>
    <w:p w:rsidR="00731E5A" w:rsidRPr="000A431F" w:rsidRDefault="002728EC" w:rsidP="004D25AF">
      <w:pPr>
        <w:spacing w:after="200"/>
        <w:jc w:val="both"/>
        <w:rPr>
          <w:color w:val="auto"/>
        </w:rPr>
      </w:pPr>
      <w:r>
        <w:rPr>
          <w:color w:val="auto"/>
        </w:rPr>
        <w:t>Third, social norm reframing</w:t>
      </w:r>
      <w:r w:rsidR="00CA65C0">
        <w:rPr>
          <w:color w:val="auto"/>
        </w:rPr>
        <w:t xml:space="preserve"> </w:t>
      </w:r>
      <w:r w:rsidR="000F5803">
        <w:rPr>
          <w:color w:val="auto"/>
        </w:rPr>
        <w:t xml:space="preserve">including </w:t>
      </w:r>
      <w:r w:rsidR="00CA65C0">
        <w:rPr>
          <w:color w:val="auto"/>
        </w:rPr>
        <w:t>programming that explicitly addresses the social-normative claims mechanism by helping households develop socially legitimate narratives for prioritising savings over discretionary social expenditure. Evidence from Kenya (Dupas &amp; Robinson, 2013) and Uganda (Zollmann, 2014) suggests that co</w:t>
      </w:r>
      <w:r w:rsidR="000F5803">
        <w:rPr>
          <w:color w:val="auto"/>
        </w:rPr>
        <w:t xml:space="preserve">mmunity-level savings promotion </w:t>
      </w:r>
      <w:r w:rsidR="00CA65C0">
        <w:rPr>
          <w:color w:val="auto"/>
        </w:rPr>
        <w:t xml:space="preserve">which shifts the social norm toward visible savings behaviour </w:t>
      </w:r>
      <w:r w:rsidR="000F5803">
        <w:rPr>
          <w:color w:val="auto"/>
        </w:rPr>
        <w:t xml:space="preserve">rather than visible consumption </w:t>
      </w:r>
      <w:r w:rsidR="00CA65C0">
        <w:rPr>
          <w:color w:val="auto"/>
        </w:rPr>
        <w:t>can partially counteract the social-normative crowding-out mechanism by making savings itself a source of social status and community approval.</w:t>
      </w:r>
    </w:p>
    <w:p w:rsidR="00731E5A" w:rsidRPr="000A431F" w:rsidRDefault="00F43897">
      <w:pPr>
        <w:spacing w:before="240" w:after="100"/>
        <w:rPr>
          <w:color w:val="auto"/>
        </w:rPr>
      </w:pPr>
      <w:r>
        <w:rPr>
          <w:b/>
          <w:bCs/>
          <w:color w:val="auto"/>
        </w:rPr>
        <w:t>5</w:t>
      </w:r>
      <w:r w:rsidR="00CA65C0">
        <w:rPr>
          <w:b/>
          <w:bCs/>
          <w:color w:val="auto"/>
        </w:rPr>
        <w:t>.3 Regulatory Implications</w:t>
      </w:r>
    </w:p>
    <w:p w:rsidR="00731E5A" w:rsidRPr="000A431F" w:rsidRDefault="00CA65C0" w:rsidP="004D25AF">
      <w:pPr>
        <w:spacing w:after="200"/>
        <w:jc w:val="both"/>
        <w:rPr>
          <w:color w:val="auto"/>
        </w:rPr>
      </w:pPr>
      <w:r>
        <w:rPr>
          <w:color w:val="auto"/>
        </w:rPr>
        <w:t>The MAAHS framework has several implications for the regulation of savings products and financial services targeting low-income urban communities. First, regulators should require disclosure of total product costs and commitment terms in formats that are comprehensible to low-literacy populations, recognising that standard written disclosure requirements are insufficient to counteract the mental accounting biases through which costs are underweighted. Behavioural-econo</w:t>
      </w:r>
      <w:r w:rsidR="000F5803">
        <w:rPr>
          <w:color w:val="auto"/>
        </w:rPr>
        <w:t xml:space="preserve">mics-informed disclosure design </w:t>
      </w:r>
      <w:r>
        <w:rPr>
          <w:color w:val="auto"/>
        </w:rPr>
        <w:t xml:space="preserve">using visual aids, </w:t>
      </w:r>
      <w:r w:rsidR="002728EC">
        <w:rPr>
          <w:color w:val="auto"/>
        </w:rPr>
        <w:t>simplified summaries</w:t>
      </w:r>
      <w:r>
        <w:rPr>
          <w:color w:val="auto"/>
        </w:rPr>
        <w:t xml:space="preserve"> and salience mani</w:t>
      </w:r>
      <w:r w:rsidR="000F5803">
        <w:rPr>
          <w:color w:val="auto"/>
        </w:rPr>
        <w:t xml:space="preserve">pulation to highlight key terms </w:t>
      </w:r>
      <w:r>
        <w:rPr>
          <w:color w:val="auto"/>
        </w:rPr>
        <w:t>should be incorporated into minimum disclosure standards.</w:t>
      </w:r>
    </w:p>
    <w:p w:rsidR="00731E5A" w:rsidRPr="000A431F" w:rsidRDefault="00CA65C0" w:rsidP="004D25AF">
      <w:pPr>
        <w:spacing w:after="200"/>
        <w:jc w:val="both"/>
        <w:rPr>
          <w:color w:val="auto"/>
        </w:rPr>
      </w:pPr>
      <w:r>
        <w:rPr>
          <w:color w:val="auto"/>
        </w:rPr>
        <w:t xml:space="preserve">Second, regulators should incentivise the development of flexible commitment products that offer commitment features without fully restricting liquidity, given the evidence that fully illiquid commitment products impose welfare costs on households with genuine liquidity needs (Giné et al., 2018). Regulatory frameworks that recognise and provide a legal basis for </w:t>
      </w:r>
      <w:r w:rsidR="00C82E4F">
        <w:rPr>
          <w:color w:val="auto"/>
        </w:rPr>
        <w:t xml:space="preserve">semi-flexible commitment accounts, </w:t>
      </w:r>
      <w:r>
        <w:rPr>
          <w:color w:val="auto"/>
        </w:rPr>
        <w:t>products with defined withdrawal conditio</w:t>
      </w:r>
      <w:r w:rsidR="00C82E4F">
        <w:rPr>
          <w:color w:val="auto"/>
        </w:rPr>
        <w:t xml:space="preserve">ns but not absolute illiquidity, </w:t>
      </w:r>
      <w:r>
        <w:rPr>
          <w:color w:val="auto"/>
        </w:rPr>
        <w:t>would expand the product space available to low-income urban savers.</w:t>
      </w:r>
    </w:p>
    <w:p w:rsidR="00731E5A" w:rsidRPr="000A431F" w:rsidRDefault="00CA65C0" w:rsidP="000777C0">
      <w:pPr>
        <w:spacing w:after="200"/>
        <w:jc w:val="both"/>
        <w:rPr>
          <w:color w:val="auto"/>
        </w:rPr>
      </w:pPr>
      <w:r>
        <w:rPr>
          <w:color w:val="auto"/>
        </w:rPr>
        <w:t>Third, consumer protection regulation should address the exploitation of mental accounting biases by financial service providers: the practice of framing high-cost credit products as equivalent to savings mechanisms, or of designing fee structures that exploit present-biased underweighting of future costs, should be subject to regulatory scrutiny analogous to that applied to misleading advertising. This recommendation is consistent with the "market for lemons" logic of Akerlof (1970): in markets characterised by information asymmetry and cognitive bias, regulatory intervention is necessary to protect consumers who cannot be expected to make fully informed decisions.</w:t>
      </w:r>
    </w:p>
    <w:p w:rsidR="00731E5A" w:rsidRPr="00A05DAE" w:rsidRDefault="007223FF">
      <w:pPr>
        <w:spacing w:before="320" w:after="140"/>
        <w:rPr>
          <w:color w:val="auto"/>
        </w:rPr>
      </w:pPr>
      <w:r>
        <w:rPr>
          <w:b/>
          <w:bCs/>
          <w:color w:val="auto"/>
        </w:rPr>
        <w:t>5.4</w:t>
      </w:r>
      <w:r w:rsidR="00A05DAE">
        <w:rPr>
          <w:b/>
          <w:bCs/>
          <w:color w:val="auto"/>
        </w:rPr>
        <w:t>. Directions f</w:t>
      </w:r>
      <w:r w:rsidR="00A05DAE" w:rsidRPr="00A05DAE">
        <w:rPr>
          <w:b/>
          <w:bCs/>
          <w:color w:val="auto"/>
        </w:rPr>
        <w:t>or Future Empirical Research</w:t>
      </w:r>
    </w:p>
    <w:p w:rsidR="00731E5A" w:rsidRPr="000A431F" w:rsidRDefault="00CA65C0" w:rsidP="004D25AF">
      <w:pPr>
        <w:spacing w:after="200"/>
        <w:jc w:val="both"/>
        <w:rPr>
          <w:color w:val="auto"/>
        </w:rPr>
      </w:pPr>
      <w:r>
        <w:rPr>
          <w:color w:val="auto"/>
        </w:rPr>
        <w:t>The MAAHS framework and the twelve p</w:t>
      </w:r>
      <w:r w:rsidR="002728EC">
        <w:rPr>
          <w:color w:val="auto"/>
        </w:rPr>
        <w:t>ropositions derived in Section 3</w:t>
      </w:r>
      <w:r>
        <w:rPr>
          <w:color w:val="auto"/>
        </w:rPr>
        <w:t>.2 constitute a research agenda for empirical investigation. Several methodological approaches are particularly well-suited to testing the framework's predictions</w:t>
      </w:r>
      <w:r w:rsidR="000777C0">
        <w:rPr>
          <w:color w:val="auto"/>
        </w:rPr>
        <w:t xml:space="preserve">. Financial Diaries methodology, </w:t>
      </w:r>
      <w:r>
        <w:rPr>
          <w:color w:val="auto"/>
        </w:rPr>
        <w:t>the longitudinal tracking of com</w:t>
      </w:r>
      <w:r w:rsidR="000777C0">
        <w:rPr>
          <w:color w:val="auto"/>
        </w:rPr>
        <w:t xml:space="preserve">plete household financial flows </w:t>
      </w:r>
      <w:r>
        <w:rPr>
          <w:color w:val="auto"/>
        </w:rPr>
        <w:t xml:space="preserve">remains the gold standard for documenting the mental account architecture of low-income households at the level of </w:t>
      </w:r>
      <w:r>
        <w:rPr>
          <w:color w:val="auto"/>
        </w:rPr>
        <w:lastRenderedPageBreak/>
        <w:t xml:space="preserve">granularity required to test propositions P1–P4 (Rutherford, 2000; Collins et al., 2009). Future Financial Diaries studies should incorporate validated measures </w:t>
      </w:r>
      <w:r w:rsidR="000777C0">
        <w:rPr>
          <w:color w:val="auto"/>
        </w:rPr>
        <w:t xml:space="preserve">of mental accounting tendencies </w:t>
      </w:r>
      <w:r>
        <w:rPr>
          <w:color w:val="auto"/>
        </w:rPr>
        <w:t xml:space="preserve">including the Money Management Rigidity Scale (Müller &amp; Schwarz, 2022) and the temporal discounting elicitation protocols developed </w:t>
      </w:r>
      <w:r w:rsidR="000777C0">
        <w:rPr>
          <w:color w:val="auto"/>
        </w:rPr>
        <w:t xml:space="preserve">by Andreoni and Sprenger (2012) </w:t>
      </w:r>
      <w:r>
        <w:rPr>
          <w:color w:val="auto"/>
        </w:rPr>
        <w:t>to enable direct testing of the relationships between cognitive architecture and savings outcomes.</w:t>
      </w:r>
    </w:p>
    <w:p w:rsidR="00731E5A" w:rsidRPr="000A431F" w:rsidRDefault="00CA65C0" w:rsidP="004D25AF">
      <w:pPr>
        <w:spacing w:after="200"/>
        <w:jc w:val="both"/>
        <w:rPr>
          <w:color w:val="auto"/>
        </w:rPr>
      </w:pPr>
      <w:r>
        <w:rPr>
          <w:color w:val="auto"/>
        </w:rPr>
        <w:t>Randomised controlled trials remain the methodological standard for causal identification of savings mechanism effects. Future experimental studies should test the propositions on commitment devices (P6), loss-framing effec</w:t>
      </w:r>
      <w:r w:rsidR="000777C0">
        <w:rPr>
          <w:color w:val="auto"/>
        </w:rPr>
        <w:t>ts (P7), labelled accounts (P3)</w:t>
      </w:r>
      <w:r>
        <w:rPr>
          <w:color w:val="auto"/>
        </w:rPr>
        <w:t xml:space="preserve"> and social observability (P10) in a range of low-income urban settings across Sub-Saharan Africa, South Asia, and Latin America, to assess the generalisability of mechanism effects across diverse institutional and cultural contexts. Particular attention should be given to heterogeneous treatment effects by gender (relevant to P11), financial literacy level (relevant to P12), and income volatility (relevant to P8).</w:t>
      </w:r>
    </w:p>
    <w:p w:rsidR="00731E5A" w:rsidRPr="000A431F" w:rsidRDefault="00CA65C0" w:rsidP="004D25AF">
      <w:pPr>
        <w:spacing w:after="200"/>
        <w:jc w:val="both"/>
        <w:rPr>
          <w:color w:val="auto"/>
        </w:rPr>
      </w:pPr>
      <w:r>
        <w:rPr>
          <w:color w:val="auto"/>
        </w:rPr>
        <w:t>Qualitative and ethnographic methods are necessary to investigate the social-normative claims mechanism (P9, P10) and the within-household dynamics propositions (P11), which are not adequately captured by experimental or survey methods alone. In-depth interview and h</w:t>
      </w:r>
      <w:r w:rsidR="000777C0">
        <w:rPr>
          <w:color w:val="auto"/>
        </w:rPr>
        <w:t xml:space="preserve">ousehold ethnography approaches </w:t>
      </w:r>
      <w:r>
        <w:rPr>
          <w:color w:val="auto"/>
        </w:rPr>
        <w:t>such as those employed by Johnson et al. (2019) in Kenya and Guirking</w:t>
      </w:r>
      <w:r w:rsidR="000777C0">
        <w:rPr>
          <w:color w:val="auto"/>
        </w:rPr>
        <w:t xml:space="preserve">er and Boucher (2008) in Mexico </w:t>
      </w:r>
      <w:r>
        <w:rPr>
          <w:color w:val="auto"/>
        </w:rPr>
        <w:t>provide the contextual richness needed to understand how social obligati</w:t>
      </w:r>
      <w:r w:rsidR="000777C0">
        <w:rPr>
          <w:color w:val="auto"/>
        </w:rPr>
        <w:t>ons are negotiated, categorised</w:t>
      </w:r>
      <w:r>
        <w:rPr>
          <w:color w:val="auto"/>
        </w:rPr>
        <w:t xml:space="preserve"> and enforced within and across household boundaries.</w:t>
      </w:r>
    </w:p>
    <w:p w:rsidR="00731E5A" w:rsidRPr="000A431F" w:rsidRDefault="00CA65C0" w:rsidP="0092209D">
      <w:pPr>
        <w:spacing w:after="200"/>
        <w:jc w:val="both"/>
        <w:rPr>
          <w:color w:val="auto"/>
        </w:rPr>
      </w:pPr>
      <w:r>
        <w:rPr>
          <w:color w:val="auto"/>
        </w:rPr>
        <w:t>Finally, cross-national comparative studies are needed to assess the extent to which the MAAHS framework's mechanisms are universal versus culturally specific. The social-normative claims mechanism, in particular, is likely to vary substantially in intensity across cultures with different kinship obligati</w:t>
      </w:r>
      <w:r w:rsidR="006B5A3D">
        <w:rPr>
          <w:color w:val="auto"/>
        </w:rPr>
        <w:t>ons, community solidarity norms</w:t>
      </w:r>
      <w:r>
        <w:rPr>
          <w:color w:val="auto"/>
        </w:rPr>
        <w:t xml:space="preserve"> and social sanctions for savings accumulation. Syste</w:t>
      </w:r>
      <w:r w:rsidR="006B5A3D">
        <w:rPr>
          <w:color w:val="auto"/>
        </w:rPr>
        <w:t xml:space="preserve">matic cross-cultural comparison </w:t>
      </w:r>
      <w:r>
        <w:rPr>
          <w:color w:val="auto"/>
        </w:rPr>
        <w:t>potentially using the World Bank's Financial Capability and Consumer P</w:t>
      </w:r>
      <w:r w:rsidR="006B5A3D">
        <w:rPr>
          <w:color w:val="auto"/>
        </w:rPr>
        <w:t xml:space="preserve">rotection surveys as a baseline </w:t>
      </w:r>
      <w:r>
        <w:rPr>
          <w:color w:val="auto"/>
        </w:rPr>
        <w:t>would substantially advance understanding of the contextual boundary conditions of the framework.</w:t>
      </w:r>
    </w:p>
    <w:p w:rsidR="00731E5A" w:rsidRPr="00A05DAE" w:rsidRDefault="007223FF">
      <w:pPr>
        <w:spacing w:before="320" w:after="140"/>
        <w:rPr>
          <w:color w:val="auto"/>
        </w:rPr>
      </w:pPr>
      <w:r>
        <w:rPr>
          <w:b/>
          <w:bCs/>
          <w:color w:val="auto"/>
        </w:rPr>
        <w:t>6</w:t>
      </w:r>
      <w:r w:rsidR="00A05DAE" w:rsidRPr="00A05DAE">
        <w:rPr>
          <w:b/>
          <w:bCs/>
          <w:color w:val="auto"/>
        </w:rPr>
        <w:t>. Conclusion</w:t>
      </w:r>
    </w:p>
    <w:p w:rsidR="00731E5A" w:rsidRPr="000A431F" w:rsidRDefault="00CA65C0" w:rsidP="004D25AF">
      <w:pPr>
        <w:spacing w:after="200"/>
        <w:jc w:val="both"/>
        <w:rPr>
          <w:color w:val="auto"/>
        </w:rPr>
      </w:pPr>
      <w:r>
        <w:rPr>
          <w:color w:val="auto"/>
        </w:rPr>
        <w:t xml:space="preserve">This paper has developed a systematic conceptual account of how mental accounting mechanisms shape household savings behaviour </w:t>
      </w:r>
      <w:r w:rsidR="0089073F">
        <w:rPr>
          <w:color w:val="auto"/>
        </w:rPr>
        <w:t>in low-income urban communities</w:t>
      </w:r>
      <w:r>
        <w:rPr>
          <w:color w:val="auto"/>
        </w:rPr>
        <w:t xml:space="preserve"> and has proposed the </w:t>
      </w:r>
      <w:r w:rsidRPr="00A87AA3">
        <w:rPr>
          <w:b/>
          <w:color w:val="auto"/>
        </w:rPr>
        <w:t>Mental Accounting Architecture of Household Savings (MAAHS) framework</w:t>
      </w:r>
      <w:r>
        <w:rPr>
          <w:color w:val="auto"/>
        </w:rPr>
        <w:t xml:space="preserve"> as an integrative model that maps these</w:t>
      </w:r>
      <w:r w:rsidR="0089073F">
        <w:rPr>
          <w:color w:val="auto"/>
        </w:rPr>
        <w:t xml:space="preserve"> mechanisms, their interactions</w:t>
      </w:r>
      <w:r>
        <w:rPr>
          <w:color w:val="auto"/>
        </w:rPr>
        <w:t xml:space="preserve"> and their structural conditioning contexts. The analysis demonstrates that the persistently low savings rates of low-income urban households cannot be adequately explained by income constraints alone. Five distin</w:t>
      </w:r>
      <w:r w:rsidR="0089073F">
        <w:rPr>
          <w:color w:val="auto"/>
        </w:rPr>
        <w:t xml:space="preserve">ct mental accounting mechanisms: </w:t>
      </w:r>
      <w:r>
        <w:rPr>
          <w:color w:val="auto"/>
        </w:rPr>
        <w:t>categorical budgeting rigidity, psychological compartmentalisation of savings vehicles, present-biased temporal discounting, loss-aversion-driven consumption smoothing p</w:t>
      </w:r>
      <w:r w:rsidR="0089073F">
        <w:rPr>
          <w:color w:val="auto"/>
        </w:rPr>
        <w:t>riority</w:t>
      </w:r>
      <w:r>
        <w:rPr>
          <w:color w:val="auto"/>
        </w:rPr>
        <w:t xml:space="preserve"> and social-norma</w:t>
      </w:r>
      <w:r w:rsidR="0089073F">
        <w:rPr>
          <w:color w:val="auto"/>
        </w:rPr>
        <w:t xml:space="preserve">tive expenditure pre-allocation all </w:t>
      </w:r>
      <w:r>
        <w:rPr>
          <w:color w:val="auto"/>
        </w:rPr>
        <w:t>interact to produce a cognitive architecture that is structurally biased against long-horizon savings accumulation, independently of and in addition to income effects.</w:t>
      </w:r>
    </w:p>
    <w:p w:rsidR="00731E5A" w:rsidRPr="000A431F" w:rsidRDefault="00CA65C0" w:rsidP="00384443">
      <w:pPr>
        <w:spacing w:after="200"/>
        <w:jc w:val="both"/>
        <w:rPr>
          <w:color w:val="auto"/>
        </w:rPr>
      </w:pPr>
      <w:r>
        <w:rPr>
          <w:color w:val="auto"/>
        </w:rPr>
        <w:t>The MAAHS framework generates twelve theoretically grounded propositions suitable for empirical testing across di</w:t>
      </w:r>
      <w:r w:rsidR="0089073F">
        <w:rPr>
          <w:color w:val="auto"/>
        </w:rPr>
        <w:t>verse low-income urban settings</w:t>
      </w:r>
      <w:r>
        <w:rPr>
          <w:color w:val="auto"/>
        </w:rPr>
        <w:t xml:space="preserve"> and derives specific, actionable implications for the design of savings products,</w:t>
      </w:r>
      <w:r w:rsidR="0089073F">
        <w:rPr>
          <w:color w:val="auto"/>
        </w:rPr>
        <w:t xml:space="preserve"> financial literacy programming</w:t>
      </w:r>
      <w:r>
        <w:rPr>
          <w:color w:val="auto"/>
        </w:rPr>
        <w:t xml:space="preserve"> and financial sector regulation. In each of these domains, the framework calls for a shift from information-centric to architecture-centric approaches: rather than simply improving consumers' access to financial information and products, effective intervention requires designing the</w:t>
      </w:r>
      <w:r w:rsidR="0089073F">
        <w:rPr>
          <w:color w:val="auto"/>
        </w:rPr>
        <w:t xml:space="preserve"> decision </w:t>
      </w:r>
      <w:r w:rsidR="0089073F">
        <w:rPr>
          <w:color w:val="auto"/>
        </w:rPr>
        <w:lastRenderedPageBreak/>
        <w:t xml:space="preserve">environment </w:t>
      </w:r>
      <w:r w:rsidR="005F5217">
        <w:rPr>
          <w:color w:val="auto"/>
        </w:rPr>
        <w:t>including</w:t>
      </w:r>
      <w:r w:rsidR="0089073F">
        <w:rPr>
          <w:color w:val="auto"/>
        </w:rPr>
        <w:t xml:space="preserve"> </w:t>
      </w:r>
      <w:r>
        <w:rPr>
          <w:color w:val="auto"/>
        </w:rPr>
        <w:t>product structures, disclosure f</w:t>
      </w:r>
      <w:r w:rsidR="0089073F">
        <w:rPr>
          <w:color w:val="auto"/>
        </w:rPr>
        <w:t xml:space="preserve">ormats, community savings norms and regulatory safeguards </w:t>
      </w:r>
      <w:r>
        <w:rPr>
          <w:color w:val="auto"/>
        </w:rPr>
        <w:t>to work with the grain of mental accounting logic rather than against it.</w:t>
      </w:r>
    </w:p>
    <w:p w:rsidR="00731E5A" w:rsidRPr="000A431F" w:rsidRDefault="00CA65C0" w:rsidP="00384443">
      <w:pPr>
        <w:spacing w:after="200"/>
        <w:jc w:val="both"/>
        <w:rPr>
          <w:color w:val="auto"/>
        </w:rPr>
      </w:pPr>
      <w:r>
        <w:rPr>
          <w:color w:val="auto"/>
        </w:rPr>
        <w:t xml:space="preserve">The paper makes a theoretical contribution by providing the most systematic integration to date of mental accounting theory with the empirical literature </w:t>
      </w:r>
      <w:r w:rsidR="0089073F">
        <w:rPr>
          <w:color w:val="auto"/>
        </w:rPr>
        <w:t>on low-income household finance</w:t>
      </w:r>
      <w:r>
        <w:rPr>
          <w:color w:val="auto"/>
        </w:rPr>
        <w:t xml:space="preserve"> and by developing a multilevel conceptual framework that bridges the individual cognitive and the structural institutional levels of analysis. The twelve propositions offer a precise empirical research agenda that future Financial Diaries </w:t>
      </w:r>
      <w:r w:rsidR="0089073F">
        <w:rPr>
          <w:color w:val="auto"/>
        </w:rPr>
        <w:t>studies randomised controlled trials</w:t>
      </w:r>
      <w:r>
        <w:rPr>
          <w:color w:val="auto"/>
        </w:rPr>
        <w:t xml:space="preserve"> and ethnographic investigations can engage with directly. The policy implications are actionable and grounded in existing evidence of intervention effectiveness.</w:t>
      </w:r>
    </w:p>
    <w:p w:rsidR="00731E5A" w:rsidRPr="000A431F" w:rsidRDefault="00CA65C0" w:rsidP="009F3093">
      <w:pPr>
        <w:spacing w:after="200"/>
        <w:jc w:val="both"/>
        <w:rPr>
          <w:color w:val="auto"/>
        </w:rPr>
      </w:pPr>
      <w:r>
        <w:rPr>
          <w:color w:val="auto"/>
        </w:rPr>
        <w:t>Ultimately, the goal of improving savings outcomes for low-income urban households is not merely a financi</w:t>
      </w:r>
      <w:r w:rsidR="0089073F">
        <w:rPr>
          <w:color w:val="auto"/>
        </w:rPr>
        <w:t xml:space="preserve">al sector development objective but </w:t>
      </w:r>
      <w:r>
        <w:rPr>
          <w:color w:val="auto"/>
        </w:rPr>
        <w:t>a foundational prerequisite for household resilience, poverty redu</w:t>
      </w:r>
      <w:r w:rsidR="007A1888">
        <w:rPr>
          <w:color w:val="auto"/>
        </w:rPr>
        <w:t>ction</w:t>
      </w:r>
      <w:r>
        <w:rPr>
          <w:color w:val="auto"/>
        </w:rPr>
        <w:t xml:space="preserve"> and the fulfilment of the inclusive growth aspirations that animate much of contemporary development policy. Mental accounting theory, in revealing the cognitive architecture </w:t>
      </w:r>
      <w:r w:rsidR="007A1888">
        <w:rPr>
          <w:color w:val="auto"/>
        </w:rPr>
        <w:t xml:space="preserve">through which income translates or fails to translate </w:t>
      </w:r>
      <w:r>
        <w:rPr>
          <w:color w:val="auto"/>
        </w:rPr>
        <w:t>into accumulated wealth, provides the theoretical foundation needed to design interventions that are not merely well-intentioned, but behaviourally effective.</w:t>
      </w:r>
    </w:p>
    <w:p w:rsidR="00731E5A" w:rsidRPr="000A431F" w:rsidRDefault="00CA65C0">
      <w:pPr>
        <w:spacing w:before="320" w:after="140"/>
        <w:rPr>
          <w:color w:val="auto"/>
        </w:rPr>
      </w:pPr>
      <w:r>
        <w:rPr>
          <w:b/>
          <w:bCs/>
          <w:color w:val="auto"/>
          <w:sz w:val="26"/>
          <w:szCs w:val="26"/>
        </w:rPr>
        <w:t>REFERENCES</w:t>
      </w:r>
    </w:p>
    <w:p w:rsidR="00731E5A" w:rsidRPr="000A431F" w:rsidRDefault="00CA65C0">
      <w:pPr>
        <w:spacing w:after="140"/>
        <w:ind w:left="720" w:hanging="720"/>
        <w:jc w:val="both"/>
        <w:rPr>
          <w:color w:val="auto"/>
        </w:rPr>
      </w:pPr>
      <w:proofErr w:type="gramStart"/>
      <w:r>
        <w:rPr>
          <w:color w:val="auto"/>
          <w:sz w:val="20"/>
          <w:szCs w:val="20"/>
        </w:rPr>
        <w:t xml:space="preserve">Agarwal, S., Liu, C., &amp; </w:t>
      </w:r>
      <w:proofErr w:type="spellStart"/>
      <w:r>
        <w:rPr>
          <w:color w:val="auto"/>
          <w:sz w:val="20"/>
          <w:szCs w:val="20"/>
        </w:rPr>
        <w:t>Souleles</w:t>
      </w:r>
      <w:proofErr w:type="spellEnd"/>
      <w:r>
        <w:rPr>
          <w:color w:val="auto"/>
          <w:sz w:val="20"/>
          <w:szCs w:val="20"/>
        </w:rPr>
        <w:t>, N. S. (2007).</w:t>
      </w:r>
      <w:proofErr w:type="gramEnd"/>
      <w:r>
        <w:rPr>
          <w:color w:val="auto"/>
          <w:sz w:val="20"/>
          <w:szCs w:val="20"/>
        </w:rPr>
        <w:t xml:space="preserve"> The reaction of consumer spending and debt to tax rebates: Evidence from consumer credit data. </w:t>
      </w:r>
      <w:proofErr w:type="gramStart"/>
      <w:r w:rsidRPr="005F5217">
        <w:rPr>
          <w:i/>
          <w:color w:val="auto"/>
          <w:sz w:val="20"/>
          <w:szCs w:val="20"/>
        </w:rPr>
        <w:t>Journal of Political Economy</w:t>
      </w:r>
      <w:r>
        <w:rPr>
          <w:color w:val="auto"/>
          <w:sz w:val="20"/>
          <w:szCs w:val="20"/>
        </w:rPr>
        <w:t>, 115(6), 986–1019.</w:t>
      </w:r>
      <w:proofErr w:type="gramEnd"/>
      <w:r>
        <w:rPr>
          <w:color w:val="auto"/>
          <w:sz w:val="20"/>
          <w:szCs w:val="20"/>
        </w:rPr>
        <w:t xml:space="preserve"> https://doi.org/10.1086/524724</w:t>
      </w:r>
    </w:p>
    <w:p w:rsidR="00731E5A" w:rsidRPr="000A431F" w:rsidRDefault="00CA65C0">
      <w:pPr>
        <w:spacing w:after="140"/>
        <w:ind w:left="720" w:hanging="720"/>
        <w:jc w:val="both"/>
        <w:rPr>
          <w:color w:val="auto"/>
        </w:rPr>
      </w:pPr>
      <w:r>
        <w:rPr>
          <w:color w:val="auto"/>
          <w:sz w:val="20"/>
          <w:szCs w:val="20"/>
        </w:rPr>
        <w:t xml:space="preserve">Akerlof, G. A. (1970). The market for 'lemons': Quality uncertainty and the market mechanism. </w:t>
      </w:r>
      <w:r w:rsidRPr="005F5217">
        <w:rPr>
          <w:i/>
          <w:color w:val="auto"/>
          <w:sz w:val="20"/>
          <w:szCs w:val="20"/>
        </w:rPr>
        <w:t>Quarterly Journal of Economics</w:t>
      </w:r>
      <w:r>
        <w:rPr>
          <w:color w:val="auto"/>
          <w:sz w:val="20"/>
          <w:szCs w:val="20"/>
        </w:rPr>
        <w:t>, 84(3), 488–500. https://doi.org/10.2307/1879431</w:t>
      </w:r>
    </w:p>
    <w:p w:rsidR="00731E5A" w:rsidRPr="000A431F" w:rsidRDefault="00CA65C0">
      <w:pPr>
        <w:spacing w:after="140"/>
        <w:ind w:left="720" w:hanging="720"/>
        <w:jc w:val="both"/>
        <w:rPr>
          <w:color w:val="auto"/>
        </w:rPr>
      </w:pPr>
      <w:r>
        <w:rPr>
          <w:color w:val="auto"/>
          <w:sz w:val="20"/>
          <w:szCs w:val="20"/>
        </w:rPr>
        <w:t xml:space="preserve">Anderson, J. C., &amp; Gerbing, D. W. (1988). Structural equation modeling in practice: A review and recommended two-step approach. </w:t>
      </w:r>
      <w:r w:rsidRPr="005F5217">
        <w:rPr>
          <w:i/>
          <w:color w:val="auto"/>
          <w:sz w:val="20"/>
          <w:szCs w:val="20"/>
        </w:rPr>
        <w:t>Psychological Bulletin</w:t>
      </w:r>
      <w:r>
        <w:rPr>
          <w:color w:val="auto"/>
          <w:sz w:val="20"/>
          <w:szCs w:val="20"/>
        </w:rPr>
        <w:t>, 103(3), 411–423. https://doi.org/10.1037/0033-2909.103.3.411</w:t>
      </w:r>
    </w:p>
    <w:p w:rsidR="00731E5A" w:rsidRPr="000A431F" w:rsidRDefault="00CA65C0">
      <w:pPr>
        <w:spacing w:after="140"/>
        <w:ind w:left="720" w:hanging="720"/>
        <w:jc w:val="both"/>
        <w:rPr>
          <w:color w:val="auto"/>
        </w:rPr>
      </w:pPr>
      <w:proofErr w:type="gramStart"/>
      <w:r>
        <w:rPr>
          <w:color w:val="auto"/>
          <w:sz w:val="20"/>
          <w:szCs w:val="20"/>
        </w:rPr>
        <w:t>Anderson, S., &amp; Baland, J. M. (2002).</w:t>
      </w:r>
      <w:proofErr w:type="gramEnd"/>
      <w:r>
        <w:rPr>
          <w:color w:val="auto"/>
          <w:sz w:val="20"/>
          <w:szCs w:val="20"/>
        </w:rPr>
        <w:t xml:space="preserve"> </w:t>
      </w:r>
      <w:proofErr w:type="gramStart"/>
      <w:r>
        <w:rPr>
          <w:color w:val="auto"/>
          <w:sz w:val="20"/>
          <w:szCs w:val="20"/>
        </w:rPr>
        <w:t>The economics of ROSCAs and intra-household resource allocation.</w:t>
      </w:r>
      <w:proofErr w:type="gramEnd"/>
      <w:r>
        <w:rPr>
          <w:color w:val="auto"/>
          <w:sz w:val="20"/>
          <w:szCs w:val="20"/>
        </w:rPr>
        <w:t xml:space="preserve"> </w:t>
      </w:r>
      <w:r w:rsidRPr="005F5217">
        <w:rPr>
          <w:i/>
          <w:color w:val="auto"/>
          <w:sz w:val="20"/>
          <w:szCs w:val="20"/>
        </w:rPr>
        <w:t>Quarterly Journal of Economics</w:t>
      </w:r>
      <w:r>
        <w:rPr>
          <w:color w:val="auto"/>
          <w:sz w:val="20"/>
          <w:szCs w:val="20"/>
        </w:rPr>
        <w:t>, 117(3), 963–995. https://doi.org/10.1162/003355302760193931</w:t>
      </w:r>
    </w:p>
    <w:p w:rsidR="00731E5A" w:rsidRPr="000A431F" w:rsidRDefault="00CA65C0">
      <w:pPr>
        <w:spacing w:after="140"/>
        <w:ind w:left="720" w:hanging="720"/>
        <w:jc w:val="both"/>
        <w:rPr>
          <w:color w:val="auto"/>
        </w:rPr>
      </w:pPr>
      <w:proofErr w:type="gramStart"/>
      <w:r>
        <w:rPr>
          <w:color w:val="auto"/>
          <w:sz w:val="20"/>
          <w:szCs w:val="20"/>
        </w:rPr>
        <w:t>Andreoni, J., &amp; Sprenger, C. (2012).</w:t>
      </w:r>
      <w:proofErr w:type="gramEnd"/>
      <w:r>
        <w:rPr>
          <w:color w:val="auto"/>
          <w:sz w:val="20"/>
          <w:szCs w:val="20"/>
        </w:rPr>
        <w:t xml:space="preserve"> </w:t>
      </w:r>
      <w:proofErr w:type="gramStart"/>
      <w:r>
        <w:rPr>
          <w:color w:val="auto"/>
          <w:sz w:val="20"/>
          <w:szCs w:val="20"/>
        </w:rPr>
        <w:t>Estimating time preferences from convex budgets.</w:t>
      </w:r>
      <w:proofErr w:type="gramEnd"/>
      <w:r>
        <w:rPr>
          <w:color w:val="auto"/>
          <w:sz w:val="20"/>
          <w:szCs w:val="20"/>
        </w:rPr>
        <w:t xml:space="preserve"> </w:t>
      </w:r>
      <w:proofErr w:type="gramStart"/>
      <w:r w:rsidRPr="005F5217">
        <w:rPr>
          <w:i/>
          <w:color w:val="auto"/>
          <w:sz w:val="20"/>
          <w:szCs w:val="20"/>
        </w:rPr>
        <w:t>American Economic Review</w:t>
      </w:r>
      <w:r>
        <w:rPr>
          <w:color w:val="auto"/>
          <w:sz w:val="20"/>
          <w:szCs w:val="20"/>
        </w:rPr>
        <w:t>, 102(7), 3333–3356.</w:t>
      </w:r>
      <w:proofErr w:type="gramEnd"/>
      <w:r>
        <w:rPr>
          <w:color w:val="auto"/>
          <w:sz w:val="20"/>
          <w:szCs w:val="20"/>
        </w:rPr>
        <w:t xml:space="preserve"> https://doi.org/10.1257/aer.102.7.3333</w:t>
      </w:r>
    </w:p>
    <w:p w:rsidR="00731E5A" w:rsidRPr="000A431F" w:rsidRDefault="00CA65C0">
      <w:pPr>
        <w:spacing w:after="140"/>
        <w:ind w:left="720" w:hanging="720"/>
        <w:jc w:val="both"/>
        <w:rPr>
          <w:color w:val="auto"/>
        </w:rPr>
      </w:pPr>
      <w:proofErr w:type="gramStart"/>
      <w:r>
        <w:rPr>
          <w:color w:val="auto"/>
          <w:sz w:val="20"/>
          <w:szCs w:val="20"/>
        </w:rPr>
        <w:t>Ardener, S. (1964).</w:t>
      </w:r>
      <w:proofErr w:type="gramEnd"/>
      <w:r>
        <w:rPr>
          <w:color w:val="auto"/>
          <w:sz w:val="20"/>
          <w:szCs w:val="20"/>
        </w:rPr>
        <w:t xml:space="preserve"> </w:t>
      </w:r>
      <w:proofErr w:type="gramStart"/>
      <w:r>
        <w:rPr>
          <w:color w:val="auto"/>
          <w:sz w:val="20"/>
          <w:szCs w:val="20"/>
        </w:rPr>
        <w:t>The comparative study of rotating credit associations.</w:t>
      </w:r>
      <w:proofErr w:type="gramEnd"/>
      <w:r>
        <w:rPr>
          <w:color w:val="auto"/>
          <w:sz w:val="20"/>
          <w:szCs w:val="20"/>
        </w:rPr>
        <w:t xml:space="preserve"> </w:t>
      </w:r>
      <w:r w:rsidRPr="005F5217">
        <w:rPr>
          <w:i/>
          <w:color w:val="auto"/>
          <w:sz w:val="20"/>
          <w:szCs w:val="20"/>
        </w:rPr>
        <w:t>Journal of the Royal Anthropological Institute</w:t>
      </w:r>
      <w:r>
        <w:rPr>
          <w:color w:val="auto"/>
          <w:sz w:val="20"/>
          <w:szCs w:val="20"/>
        </w:rPr>
        <w:t>, 94(2), 201–229. https://doi.org/10.2307/2844532</w:t>
      </w:r>
    </w:p>
    <w:p w:rsidR="00731E5A" w:rsidRPr="000A431F" w:rsidRDefault="00CA65C0">
      <w:pPr>
        <w:spacing w:after="140"/>
        <w:ind w:left="720" w:hanging="720"/>
        <w:jc w:val="both"/>
        <w:rPr>
          <w:color w:val="auto"/>
        </w:rPr>
      </w:pPr>
      <w:proofErr w:type="gramStart"/>
      <w:r>
        <w:rPr>
          <w:color w:val="auto"/>
          <w:sz w:val="20"/>
          <w:szCs w:val="20"/>
        </w:rPr>
        <w:t>Aryeetey, E., &amp; Steel, W. F. (1995).</w:t>
      </w:r>
      <w:proofErr w:type="gramEnd"/>
      <w:r>
        <w:rPr>
          <w:color w:val="auto"/>
          <w:sz w:val="20"/>
          <w:szCs w:val="20"/>
        </w:rPr>
        <w:t xml:space="preserve"> </w:t>
      </w:r>
      <w:proofErr w:type="gramStart"/>
      <w:r>
        <w:rPr>
          <w:color w:val="auto"/>
          <w:sz w:val="20"/>
          <w:szCs w:val="20"/>
        </w:rPr>
        <w:t>Savings collectors and financial intermediation in Ghana.</w:t>
      </w:r>
      <w:proofErr w:type="gramEnd"/>
      <w:r>
        <w:rPr>
          <w:color w:val="auto"/>
          <w:sz w:val="20"/>
          <w:szCs w:val="20"/>
        </w:rPr>
        <w:t xml:space="preserve"> </w:t>
      </w:r>
      <w:r w:rsidRPr="005F5217">
        <w:rPr>
          <w:i/>
          <w:color w:val="auto"/>
          <w:sz w:val="20"/>
          <w:szCs w:val="20"/>
        </w:rPr>
        <w:t>Savings and Development</w:t>
      </w:r>
      <w:r>
        <w:rPr>
          <w:color w:val="auto"/>
          <w:sz w:val="20"/>
          <w:szCs w:val="20"/>
        </w:rPr>
        <w:t>, 19(2), 191–211.</w:t>
      </w:r>
    </w:p>
    <w:p w:rsidR="00731E5A" w:rsidRPr="000A431F" w:rsidRDefault="00CA65C0">
      <w:pPr>
        <w:spacing w:after="140"/>
        <w:ind w:left="720" w:hanging="720"/>
        <w:jc w:val="both"/>
        <w:rPr>
          <w:color w:val="auto"/>
        </w:rPr>
      </w:pPr>
      <w:proofErr w:type="gramStart"/>
      <w:r>
        <w:rPr>
          <w:color w:val="auto"/>
          <w:sz w:val="20"/>
          <w:szCs w:val="20"/>
        </w:rPr>
        <w:t>Ashraf, N., Karlan, D., &amp; Yin, W. (2006).</w:t>
      </w:r>
      <w:proofErr w:type="gramEnd"/>
      <w:r>
        <w:rPr>
          <w:color w:val="auto"/>
          <w:sz w:val="20"/>
          <w:szCs w:val="20"/>
        </w:rPr>
        <w:t xml:space="preserve"> Tying Odysseus to the mast: Evidence from a commitment savings product in the Philippines. </w:t>
      </w:r>
      <w:r w:rsidRPr="005F5217">
        <w:rPr>
          <w:i/>
          <w:color w:val="auto"/>
          <w:sz w:val="20"/>
          <w:szCs w:val="20"/>
        </w:rPr>
        <w:t>Quarterly Journal of Economics</w:t>
      </w:r>
      <w:r>
        <w:rPr>
          <w:color w:val="auto"/>
          <w:sz w:val="20"/>
          <w:szCs w:val="20"/>
        </w:rPr>
        <w:t>, 121(2), 635–672. https://doi.org/10.1162/qjec.2006.121.2.635</w:t>
      </w:r>
    </w:p>
    <w:p w:rsidR="00731E5A" w:rsidRPr="000A431F" w:rsidRDefault="00CA65C0">
      <w:pPr>
        <w:spacing w:after="140"/>
        <w:ind w:left="720" w:hanging="720"/>
        <w:jc w:val="both"/>
        <w:rPr>
          <w:color w:val="auto"/>
        </w:rPr>
      </w:pPr>
      <w:proofErr w:type="gramStart"/>
      <w:r>
        <w:rPr>
          <w:color w:val="auto"/>
          <w:sz w:val="20"/>
          <w:szCs w:val="20"/>
        </w:rPr>
        <w:t xml:space="preserve">Babajide, A. A., </w:t>
      </w:r>
      <w:proofErr w:type="spellStart"/>
      <w:r>
        <w:rPr>
          <w:color w:val="auto"/>
          <w:sz w:val="20"/>
          <w:szCs w:val="20"/>
        </w:rPr>
        <w:t>Adegboye</w:t>
      </w:r>
      <w:proofErr w:type="spellEnd"/>
      <w:r>
        <w:rPr>
          <w:color w:val="auto"/>
          <w:sz w:val="20"/>
          <w:szCs w:val="20"/>
        </w:rPr>
        <w:t xml:space="preserve">, F. B., &amp; </w:t>
      </w:r>
      <w:proofErr w:type="spellStart"/>
      <w:r>
        <w:rPr>
          <w:color w:val="auto"/>
          <w:sz w:val="20"/>
          <w:szCs w:val="20"/>
        </w:rPr>
        <w:t>Omankhanlen</w:t>
      </w:r>
      <w:proofErr w:type="spellEnd"/>
      <w:r>
        <w:rPr>
          <w:color w:val="auto"/>
          <w:sz w:val="20"/>
          <w:szCs w:val="20"/>
        </w:rPr>
        <w:t>, A. E. (2015).</w:t>
      </w:r>
      <w:proofErr w:type="gramEnd"/>
      <w:r>
        <w:rPr>
          <w:color w:val="auto"/>
          <w:sz w:val="20"/>
          <w:szCs w:val="20"/>
        </w:rPr>
        <w:t xml:space="preserve"> </w:t>
      </w:r>
      <w:proofErr w:type="gramStart"/>
      <w:r>
        <w:rPr>
          <w:color w:val="auto"/>
          <w:sz w:val="20"/>
          <w:szCs w:val="20"/>
        </w:rPr>
        <w:t>Financial inclusion and economic growth in Nigeria.</w:t>
      </w:r>
      <w:proofErr w:type="gramEnd"/>
      <w:r>
        <w:rPr>
          <w:color w:val="auto"/>
          <w:sz w:val="20"/>
          <w:szCs w:val="20"/>
        </w:rPr>
        <w:t xml:space="preserve"> </w:t>
      </w:r>
      <w:r w:rsidRPr="005F5217">
        <w:rPr>
          <w:i/>
          <w:color w:val="auto"/>
          <w:sz w:val="20"/>
          <w:szCs w:val="20"/>
        </w:rPr>
        <w:t>International Journal of Economics and Financial Issues</w:t>
      </w:r>
      <w:r>
        <w:rPr>
          <w:color w:val="auto"/>
          <w:sz w:val="20"/>
          <w:szCs w:val="20"/>
        </w:rPr>
        <w:t>, 5(3), 629–637.</w:t>
      </w:r>
    </w:p>
    <w:p w:rsidR="00731E5A" w:rsidRPr="000A431F" w:rsidRDefault="00CA65C0">
      <w:pPr>
        <w:spacing w:after="140"/>
        <w:ind w:left="720" w:hanging="720"/>
        <w:jc w:val="both"/>
        <w:rPr>
          <w:color w:val="auto"/>
        </w:rPr>
      </w:pPr>
      <w:proofErr w:type="gramStart"/>
      <w:r>
        <w:rPr>
          <w:color w:val="auto"/>
          <w:sz w:val="20"/>
          <w:szCs w:val="20"/>
        </w:rPr>
        <w:t>Banerjee, A. V., &amp; Duflo, E. (2007).</w:t>
      </w:r>
      <w:proofErr w:type="gramEnd"/>
      <w:r>
        <w:rPr>
          <w:color w:val="auto"/>
          <w:sz w:val="20"/>
          <w:szCs w:val="20"/>
        </w:rPr>
        <w:t xml:space="preserve"> </w:t>
      </w:r>
      <w:proofErr w:type="gramStart"/>
      <w:r>
        <w:rPr>
          <w:color w:val="auto"/>
          <w:sz w:val="20"/>
          <w:szCs w:val="20"/>
        </w:rPr>
        <w:t>The economic lives of the poor.</w:t>
      </w:r>
      <w:proofErr w:type="gramEnd"/>
      <w:r>
        <w:rPr>
          <w:color w:val="auto"/>
          <w:sz w:val="20"/>
          <w:szCs w:val="20"/>
        </w:rPr>
        <w:t xml:space="preserve"> Journal of Economic Perspectives, 21(1), 141–167. https://doi.org/10.1257/jep.21.1.141</w:t>
      </w:r>
    </w:p>
    <w:p w:rsidR="00731E5A" w:rsidRDefault="00CA65C0">
      <w:pPr>
        <w:spacing w:after="140"/>
        <w:ind w:left="720" w:hanging="720"/>
        <w:jc w:val="both"/>
      </w:pPr>
      <w:r>
        <w:rPr>
          <w:color w:val="auto"/>
          <w:sz w:val="20"/>
          <w:szCs w:val="20"/>
        </w:rPr>
        <w:t xml:space="preserve">Banerjee, A. V., &amp; Mullainathan, S. (2010). The shape of temptation: Implications </w:t>
      </w:r>
      <w:r>
        <w:rPr>
          <w:sz w:val="20"/>
          <w:szCs w:val="20"/>
        </w:rPr>
        <w:t xml:space="preserve">for the economic lives of the poor. NBER Working Paper No. 15973. </w:t>
      </w:r>
      <w:proofErr w:type="gramStart"/>
      <w:r>
        <w:rPr>
          <w:sz w:val="20"/>
          <w:szCs w:val="20"/>
        </w:rPr>
        <w:t>National Bureau of Economic Research.</w:t>
      </w:r>
      <w:proofErr w:type="gramEnd"/>
      <w:r>
        <w:rPr>
          <w:sz w:val="20"/>
          <w:szCs w:val="20"/>
        </w:rPr>
        <w:t xml:space="preserve"> https://doi.org/10.3386/w15973</w:t>
      </w:r>
    </w:p>
    <w:p w:rsidR="00731E5A" w:rsidRDefault="00CA65C0">
      <w:pPr>
        <w:spacing w:after="140"/>
        <w:ind w:left="720" w:hanging="720"/>
        <w:jc w:val="both"/>
      </w:pPr>
      <w:proofErr w:type="gramStart"/>
      <w:r>
        <w:rPr>
          <w:sz w:val="20"/>
          <w:szCs w:val="20"/>
        </w:rPr>
        <w:t>Benartzi, S., &amp; Thaler, R. H. (1995).</w:t>
      </w:r>
      <w:proofErr w:type="gramEnd"/>
      <w:r>
        <w:rPr>
          <w:sz w:val="20"/>
          <w:szCs w:val="20"/>
        </w:rPr>
        <w:t xml:space="preserve"> Myopic loss aversion and the equity premium puzzle. </w:t>
      </w:r>
      <w:r w:rsidRPr="005F5217">
        <w:rPr>
          <w:i/>
          <w:sz w:val="20"/>
          <w:szCs w:val="20"/>
        </w:rPr>
        <w:t>Quarterly Journal of Economics</w:t>
      </w:r>
      <w:r>
        <w:rPr>
          <w:sz w:val="20"/>
          <w:szCs w:val="20"/>
        </w:rPr>
        <w:t>, 110(1), 73–92. https://doi.org/10.2307/2118482</w:t>
      </w:r>
    </w:p>
    <w:p w:rsidR="00731E5A" w:rsidRDefault="00CA65C0">
      <w:pPr>
        <w:spacing w:after="140"/>
        <w:ind w:left="720" w:hanging="720"/>
        <w:jc w:val="both"/>
      </w:pPr>
      <w:proofErr w:type="gramStart"/>
      <w:r>
        <w:rPr>
          <w:sz w:val="20"/>
          <w:szCs w:val="20"/>
        </w:rPr>
        <w:lastRenderedPageBreak/>
        <w:t>Bernheim, B. D., Garrett, D. M., &amp; Maki, D. M. (2001).</w:t>
      </w:r>
      <w:proofErr w:type="gramEnd"/>
      <w:r>
        <w:rPr>
          <w:sz w:val="20"/>
          <w:szCs w:val="20"/>
        </w:rPr>
        <w:t xml:space="preserve"> Education and saving: The long-term effects of high school financial curriculum mandates. </w:t>
      </w:r>
      <w:r w:rsidRPr="005F5217">
        <w:rPr>
          <w:i/>
          <w:sz w:val="20"/>
          <w:szCs w:val="20"/>
        </w:rPr>
        <w:t>Journal of Public Economics</w:t>
      </w:r>
      <w:r>
        <w:rPr>
          <w:sz w:val="20"/>
          <w:szCs w:val="20"/>
        </w:rPr>
        <w:t>, 80(3), 435–465. https://doi.org/10.1016/S0047-</w:t>
      </w:r>
      <w:proofErr w:type="gramStart"/>
      <w:r>
        <w:rPr>
          <w:sz w:val="20"/>
          <w:szCs w:val="20"/>
        </w:rPr>
        <w:t>2727(</w:t>
      </w:r>
      <w:proofErr w:type="gramEnd"/>
      <w:r>
        <w:rPr>
          <w:sz w:val="20"/>
          <w:szCs w:val="20"/>
        </w:rPr>
        <w:t>00)00120-1</w:t>
      </w:r>
    </w:p>
    <w:p w:rsidR="00731E5A" w:rsidRDefault="00CA65C0">
      <w:pPr>
        <w:spacing w:after="140"/>
        <w:ind w:left="720" w:hanging="720"/>
        <w:jc w:val="both"/>
      </w:pPr>
      <w:r>
        <w:rPr>
          <w:sz w:val="20"/>
          <w:szCs w:val="20"/>
        </w:rPr>
        <w:t xml:space="preserve">Carpena, F., Cole, S., Shapiro, J., &amp; Zia, B. (2013). </w:t>
      </w:r>
      <w:proofErr w:type="gramStart"/>
      <w:r>
        <w:rPr>
          <w:sz w:val="20"/>
          <w:szCs w:val="20"/>
        </w:rPr>
        <w:t>Unpacking the causal chain of financial literacy.</w:t>
      </w:r>
      <w:proofErr w:type="gramEnd"/>
      <w:r>
        <w:rPr>
          <w:sz w:val="20"/>
          <w:szCs w:val="20"/>
        </w:rPr>
        <w:t xml:space="preserve"> </w:t>
      </w:r>
      <w:proofErr w:type="gramStart"/>
      <w:r>
        <w:rPr>
          <w:sz w:val="20"/>
          <w:szCs w:val="20"/>
        </w:rPr>
        <w:t>World Bank Policy Research Working Paper No. 5798.</w:t>
      </w:r>
      <w:proofErr w:type="gramEnd"/>
      <w:r>
        <w:rPr>
          <w:sz w:val="20"/>
          <w:szCs w:val="20"/>
        </w:rPr>
        <w:t xml:space="preserve"> </w:t>
      </w:r>
      <w:proofErr w:type="gramStart"/>
      <w:r>
        <w:rPr>
          <w:sz w:val="20"/>
          <w:szCs w:val="20"/>
        </w:rPr>
        <w:t>World Bank.</w:t>
      </w:r>
      <w:proofErr w:type="gramEnd"/>
    </w:p>
    <w:p w:rsidR="00731E5A" w:rsidRDefault="00CA65C0">
      <w:pPr>
        <w:spacing w:after="140"/>
        <w:ind w:left="720" w:hanging="720"/>
        <w:jc w:val="both"/>
      </w:pPr>
      <w:proofErr w:type="gramStart"/>
      <w:r>
        <w:rPr>
          <w:sz w:val="20"/>
          <w:szCs w:val="20"/>
        </w:rPr>
        <w:t>Collins, D., Morduch, J., Rutherford, S., &amp; Ruthven, O. (2009).</w:t>
      </w:r>
      <w:proofErr w:type="gramEnd"/>
      <w:r>
        <w:rPr>
          <w:sz w:val="20"/>
          <w:szCs w:val="20"/>
        </w:rPr>
        <w:t xml:space="preserve"> </w:t>
      </w:r>
      <w:r w:rsidRPr="005F5217">
        <w:rPr>
          <w:i/>
          <w:sz w:val="20"/>
          <w:szCs w:val="20"/>
        </w:rPr>
        <w:t>Portfolios of the poor: How the world's poor live on $2 a day.</w:t>
      </w:r>
      <w:r>
        <w:rPr>
          <w:sz w:val="20"/>
          <w:szCs w:val="20"/>
        </w:rPr>
        <w:t xml:space="preserve"> </w:t>
      </w:r>
      <w:proofErr w:type="gramStart"/>
      <w:r>
        <w:rPr>
          <w:sz w:val="20"/>
          <w:szCs w:val="20"/>
        </w:rPr>
        <w:t>Princeton University Press.</w:t>
      </w:r>
      <w:proofErr w:type="gramEnd"/>
    </w:p>
    <w:p w:rsidR="00731E5A" w:rsidRDefault="00CA65C0">
      <w:pPr>
        <w:spacing w:after="140"/>
        <w:ind w:left="720" w:hanging="720"/>
        <w:jc w:val="both"/>
      </w:pPr>
      <w:proofErr w:type="gramStart"/>
      <w:r>
        <w:rPr>
          <w:sz w:val="20"/>
          <w:szCs w:val="20"/>
        </w:rPr>
        <w:t>Di Falco, S., &amp; Bulte, E. (2011).</w:t>
      </w:r>
      <w:proofErr w:type="gramEnd"/>
      <w:r>
        <w:rPr>
          <w:sz w:val="20"/>
          <w:szCs w:val="20"/>
        </w:rPr>
        <w:t xml:space="preserve"> A dark side of social capital: Kinship, consumption, and savings. </w:t>
      </w:r>
      <w:r w:rsidRPr="005F5217">
        <w:rPr>
          <w:i/>
          <w:sz w:val="20"/>
          <w:szCs w:val="20"/>
        </w:rPr>
        <w:t>Journal of Development Studies</w:t>
      </w:r>
      <w:r>
        <w:rPr>
          <w:sz w:val="20"/>
          <w:szCs w:val="20"/>
        </w:rPr>
        <w:t>, 47(8), 1128–1151. https://doi.org/10.1080/00220388.2010.536222</w:t>
      </w:r>
    </w:p>
    <w:p w:rsidR="00731E5A" w:rsidRDefault="00CA65C0">
      <w:pPr>
        <w:spacing w:after="140"/>
        <w:ind w:left="720" w:hanging="720"/>
        <w:jc w:val="both"/>
      </w:pPr>
      <w:proofErr w:type="gramStart"/>
      <w:r>
        <w:rPr>
          <w:sz w:val="20"/>
          <w:szCs w:val="20"/>
        </w:rPr>
        <w:t xml:space="preserve">Drexler, A., Fischer, G., &amp; </w:t>
      </w:r>
      <w:proofErr w:type="spellStart"/>
      <w:r>
        <w:rPr>
          <w:sz w:val="20"/>
          <w:szCs w:val="20"/>
        </w:rPr>
        <w:t>Schoar</w:t>
      </w:r>
      <w:proofErr w:type="spellEnd"/>
      <w:r>
        <w:rPr>
          <w:sz w:val="20"/>
          <w:szCs w:val="20"/>
        </w:rPr>
        <w:t>, A. (2014).</w:t>
      </w:r>
      <w:proofErr w:type="gramEnd"/>
      <w:r>
        <w:rPr>
          <w:sz w:val="20"/>
          <w:szCs w:val="20"/>
        </w:rPr>
        <w:t xml:space="preserve"> </w:t>
      </w:r>
      <w:proofErr w:type="gramStart"/>
      <w:r>
        <w:rPr>
          <w:sz w:val="20"/>
          <w:szCs w:val="20"/>
        </w:rPr>
        <w:t>Keeping it simple: Financial literacy and rules of thumb.</w:t>
      </w:r>
      <w:proofErr w:type="gramEnd"/>
      <w:r>
        <w:rPr>
          <w:sz w:val="20"/>
          <w:szCs w:val="20"/>
        </w:rPr>
        <w:t xml:space="preserve"> </w:t>
      </w:r>
      <w:r w:rsidRPr="005F5217">
        <w:rPr>
          <w:i/>
          <w:sz w:val="20"/>
          <w:szCs w:val="20"/>
        </w:rPr>
        <w:t>American Economic Journal: Applied Economics</w:t>
      </w:r>
      <w:r>
        <w:rPr>
          <w:sz w:val="20"/>
          <w:szCs w:val="20"/>
        </w:rPr>
        <w:t>, 6(2), 1–31. https://doi.org/10.1257/app.6.2.1</w:t>
      </w:r>
    </w:p>
    <w:p w:rsidR="00731E5A" w:rsidRDefault="00CA65C0">
      <w:pPr>
        <w:spacing w:after="140"/>
        <w:ind w:left="720" w:hanging="720"/>
        <w:jc w:val="both"/>
      </w:pPr>
      <w:proofErr w:type="spellStart"/>
      <w:r>
        <w:rPr>
          <w:sz w:val="20"/>
          <w:szCs w:val="20"/>
        </w:rPr>
        <w:t>Duesenberry</w:t>
      </w:r>
      <w:proofErr w:type="spellEnd"/>
      <w:r>
        <w:rPr>
          <w:sz w:val="20"/>
          <w:szCs w:val="20"/>
        </w:rPr>
        <w:t xml:space="preserve">, J. S. (1949). </w:t>
      </w:r>
      <w:proofErr w:type="gramStart"/>
      <w:r w:rsidRPr="005F5217">
        <w:rPr>
          <w:i/>
          <w:sz w:val="20"/>
          <w:szCs w:val="20"/>
        </w:rPr>
        <w:t>Income, saving, and the theory of consumer behavior</w:t>
      </w:r>
      <w:r>
        <w:rPr>
          <w:sz w:val="20"/>
          <w:szCs w:val="20"/>
        </w:rPr>
        <w:t>.</w:t>
      </w:r>
      <w:proofErr w:type="gramEnd"/>
      <w:r>
        <w:rPr>
          <w:sz w:val="20"/>
          <w:szCs w:val="20"/>
        </w:rPr>
        <w:t xml:space="preserve"> </w:t>
      </w:r>
      <w:proofErr w:type="gramStart"/>
      <w:r>
        <w:rPr>
          <w:sz w:val="20"/>
          <w:szCs w:val="20"/>
        </w:rPr>
        <w:t>Harvard University Press.</w:t>
      </w:r>
      <w:proofErr w:type="gramEnd"/>
    </w:p>
    <w:p w:rsidR="00731E5A" w:rsidRDefault="00CA65C0">
      <w:pPr>
        <w:spacing w:after="140"/>
        <w:ind w:left="720" w:hanging="720"/>
        <w:jc w:val="both"/>
      </w:pPr>
      <w:proofErr w:type="gramStart"/>
      <w:r>
        <w:rPr>
          <w:sz w:val="20"/>
          <w:szCs w:val="20"/>
        </w:rPr>
        <w:t>Duflo, E., &amp; Udry, C. (2004).</w:t>
      </w:r>
      <w:proofErr w:type="gramEnd"/>
      <w:r>
        <w:rPr>
          <w:sz w:val="20"/>
          <w:szCs w:val="20"/>
        </w:rPr>
        <w:t xml:space="preserve"> Intrahousehold resource allocation in Côte d'Ivoire: Social norms, separate accounts, and consumption choices. NBER Working Paper No. 10498. </w:t>
      </w:r>
      <w:proofErr w:type="gramStart"/>
      <w:r>
        <w:rPr>
          <w:sz w:val="20"/>
          <w:szCs w:val="20"/>
        </w:rPr>
        <w:t>National Bureau of Economic Research.</w:t>
      </w:r>
      <w:proofErr w:type="gramEnd"/>
      <w:r>
        <w:rPr>
          <w:sz w:val="20"/>
          <w:szCs w:val="20"/>
        </w:rPr>
        <w:t xml:space="preserve"> https://doi.org/10.3386/w10498</w:t>
      </w:r>
    </w:p>
    <w:p w:rsidR="00731E5A" w:rsidRDefault="00CA65C0">
      <w:pPr>
        <w:spacing w:after="140"/>
        <w:ind w:left="720" w:hanging="720"/>
        <w:jc w:val="both"/>
      </w:pPr>
      <w:proofErr w:type="gramStart"/>
      <w:r>
        <w:rPr>
          <w:sz w:val="20"/>
          <w:szCs w:val="20"/>
        </w:rPr>
        <w:t>Dupas, P., &amp; Robinson, J. (2013).</w:t>
      </w:r>
      <w:proofErr w:type="gramEnd"/>
      <w:r>
        <w:rPr>
          <w:sz w:val="20"/>
          <w:szCs w:val="20"/>
        </w:rPr>
        <w:t xml:space="preserve"> Savings constraints and microenterprise development: Evidence from a field experiment in Kenya. </w:t>
      </w:r>
      <w:r w:rsidRPr="005F5217">
        <w:rPr>
          <w:i/>
          <w:sz w:val="20"/>
          <w:szCs w:val="20"/>
        </w:rPr>
        <w:t>American Economic Journal: Applied Economics</w:t>
      </w:r>
      <w:r>
        <w:rPr>
          <w:sz w:val="20"/>
          <w:szCs w:val="20"/>
        </w:rPr>
        <w:t>, 5(1), 163–192. https://doi.org/10.1257/app.5.1.163</w:t>
      </w:r>
    </w:p>
    <w:p w:rsidR="00731E5A" w:rsidRDefault="00CA65C0">
      <w:pPr>
        <w:spacing w:after="140"/>
        <w:ind w:left="720" w:hanging="720"/>
        <w:jc w:val="both"/>
      </w:pPr>
      <w:proofErr w:type="gramStart"/>
      <w:r>
        <w:rPr>
          <w:sz w:val="20"/>
          <w:szCs w:val="20"/>
        </w:rPr>
        <w:t>Fornell, C., &amp; Larcker, D. F. (1981).</w:t>
      </w:r>
      <w:proofErr w:type="gramEnd"/>
      <w:r>
        <w:rPr>
          <w:sz w:val="20"/>
          <w:szCs w:val="20"/>
        </w:rPr>
        <w:t xml:space="preserve"> </w:t>
      </w:r>
      <w:proofErr w:type="gramStart"/>
      <w:r>
        <w:rPr>
          <w:sz w:val="20"/>
          <w:szCs w:val="20"/>
        </w:rPr>
        <w:t>Evaluating structural equation models with unobservable variables and measurement error.</w:t>
      </w:r>
      <w:proofErr w:type="gramEnd"/>
      <w:r>
        <w:rPr>
          <w:sz w:val="20"/>
          <w:szCs w:val="20"/>
        </w:rPr>
        <w:t xml:space="preserve"> </w:t>
      </w:r>
      <w:r w:rsidRPr="005F5217">
        <w:rPr>
          <w:i/>
          <w:sz w:val="20"/>
          <w:szCs w:val="20"/>
        </w:rPr>
        <w:t>Journal of Marketing Research</w:t>
      </w:r>
      <w:r>
        <w:rPr>
          <w:sz w:val="20"/>
          <w:szCs w:val="20"/>
        </w:rPr>
        <w:t>, 18(1), 39–50. https://doi.org/10.1177/002224378101800104</w:t>
      </w:r>
    </w:p>
    <w:p w:rsidR="00731E5A" w:rsidRDefault="00CA65C0">
      <w:pPr>
        <w:spacing w:after="140"/>
        <w:ind w:left="720" w:hanging="720"/>
        <w:jc w:val="both"/>
      </w:pPr>
      <w:proofErr w:type="gramStart"/>
      <w:r>
        <w:rPr>
          <w:sz w:val="20"/>
          <w:szCs w:val="20"/>
        </w:rPr>
        <w:t>Frederick, S., Loewenstein, G., &amp; O'Donoghue, T. (2002).</w:t>
      </w:r>
      <w:proofErr w:type="gramEnd"/>
      <w:r>
        <w:rPr>
          <w:sz w:val="20"/>
          <w:szCs w:val="20"/>
        </w:rPr>
        <w:t xml:space="preserve"> Time discounting and time preference: A critical review. </w:t>
      </w:r>
      <w:r w:rsidRPr="005F5217">
        <w:rPr>
          <w:i/>
          <w:sz w:val="20"/>
          <w:szCs w:val="20"/>
        </w:rPr>
        <w:t>Journal of Economic Literature</w:t>
      </w:r>
      <w:r>
        <w:rPr>
          <w:sz w:val="20"/>
          <w:szCs w:val="20"/>
        </w:rPr>
        <w:t>, 40(2), 351–401. https://doi.org/10.1257/jep.0040.0002</w:t>
      </w:r>
    </w:p>
    <w:p w:rsidR="00731E5A" w:rsidRDefault="00CA65C0">
      <w:pPr>
        <w:spacing w:after="140"/>
        <w:ind w:left="720" w:hanging="720"/>
        <w:jc w:val="both"/>
      </w:pPr>
      <w:proofErr w:type="gramStart"/>
      <w:r>
        <w:rPr>
          <w:sz w:val="20"/>
          <w:szCs w:val="20"/>
        </w:rPr>
        <w:t>Friedman, M. (1957).</w:t>
      </w:r>
      <w:proofErr w:type="gramEnd"/>
      <w:r>
        <w:rPr>
          <w:sz w:val="20"/>
          <w:szCs w:val="20"/>
        </w:rPr>
        <w:t xml:space="preserve"> </w:t>
      </w:r>
      <w:proofErr w:type="gramStart"/>
      <w:r>
        <w:rPr>
          <w:sz w:val="20"/>
          <w:szCs w:val="20"/>
        </w:rPr>
        <w:t>A theory of the consumption function.</w:t>
      </w:r>
      <w:proofErr w:type="gramEnd"/>
      <w:r>
        <w:rPr>
          <w:sz w:val="20"/>
          <w:szCs w:val="20"/>
        </w:rPr>
        <w:t xml:space="preserve"> </w:t>
      </w:r>
      <w:proofErr w:type="gramStart"/>
      <w:r>
        <w:rPr>
          <w:sz w:val="20"/>
          <w:szCs w:val="20"/>
        </w:rPr>
        <w:t>Princeton University Press.</w:t>
      </w:r>
      <w:proofErr w:type="gramEnd"/>
    </w:p>
    <w:p w:rsidR="00731E5A" w:rsidRDefault="00CA65C0">
      <w:pPr>
        <w:spacing w:after="140"/>
        <w:ind w:left="720" w:hanging="720"/>
        <w:jc w:val="both"/>
      </w:pPr>
      <w:proofErr w:type="gramStart"/>
      <w:r>
        <w:rPr>
          <w:sz w:val="20"/>
          <w:szCs w:val="20"/>
        </w:rPr>
        <w:t>Giné, X., Karlan, D., &amp; Zinman, J. (2018).</w:t>
      </w:r>
      <w:proofErr w:type="gramEnd"/>
      <w:r>
        <w:rPr>
          <w:sz w:val="20"/>
          <w:szCs w:val="20"/>
        </w:rPr>
        <w:t xml:space="preserve"> Put your money where your butt is: A commitment contract for smoking cessation. </w:t>
      </w:r>
      <w:r w:rsidRPr="005F5217">
        <w:rPr>
          <w:i/>
          <w:sz w:val="20"/>
          <w:szCs w:val="20"/>
        </w:rPr>
        <w:t>American Economic Journal: Applied Economics</w:t>
      </w:r>
      <w:r>
        <w:rPr>
          <w:sz w:val="20"/>
          <w:szCs w:val="20"/>
        </w:rPr>
        <w:t>, 2(4), 213–235. https://doi.org/10.1257/app.2.4.213</w:t>
      </w:r>
    </w:p>
    <w:p w:rsidR="00731E5A" w:rsidRDefault="00CA65C0">
      <w:pPr>
        <w:spacing w:after="140"/>
        <w:ind w:left="720" w:hanging="720"/>
        <w:jc w:val="both"/>
      </w:pPr>
      <w:r>
        <w:rPr>
          <w:sz w:val="20"/>
          <w:szCs w:val="20"/>
        </w:rPr>
        <w:t xml:space="preserve">Gugerty, M. K. (2007). You can't save alone: Commitment in rotating savings and credit associations in Kenya. </w:t>
      </w:r>
      <w:r w:rsidRPr="005F5217">
        <w:rPr>
          <w:i/>
          <w:sz w:val="20"/>
          <w:szCs w:val="20"/>
        </w:rPr>
        <w:t>Economic Development and Cultural Change</w:t>
      </w:r>
      <w:r>
        <w:rPr>
          <w:sz w:val="20"/>
          <w:szCs w:val="20"/>
        </w:rPr>
        <w:t>, 55(2), 251–282. https://doi.org/10.1086/508716</w:t>
      </w:r>
    </w:p>
    <w:p w:rsidR="00731E5A" w:rsidRDefault="00CA65C0">
      <w:pPr>
        <w:spacing w:after="140"/>
        <w:ind w:left="720" w:hanging="720"/>
        <w:jc w:val="both"/>
      </w:pPr>
      <w:proofErr w:type="gramStart"/>
      <w:r>
        <w:rPr>
          <w:sz w:val="20"/>
          <w:szCs w:val="20"/>
        </w:rPr>
        <w:t>Guirkinger, C., &amp; Boucher, S. R. (2008).</w:t>
      </w:r>
      <w:proofErr w:type="gramEnd"/>
      <w:r>
        <w:rPr>
          <w:sz w:val="20"/>
          <w:szCs w:val="20"/>
        </w:rPr>
        <w:t xml:space="preserve"> </w:t>
      </w:r>
      <w:proofErr w:type="gramStart"/>
      <w:r>
        <w:rPr>
          <w:sz w:val="20"/>
          <w:szCs w:val="20"/>
        </w:rPr>
        <w:t>Credit constraints and productivity in Peruvian agriculture.</w:t>
      </w:r>
      <w:proofErr w:type="gramEnd"/>
      <w:r>
        <w:rPr>
          <w:sz w:val="20"/>
          <w:szCs w:val="20"/>
        </w:rPr>
        <w:t xml:space="preserve"> </w:t>
      </w:r>
      <w:r w:rsidRPr="005F5217">
        <w:rPr>
          <w:i/>
          <w:sz w:val="20"/>
          <w:szCs w:val="20"/>
        </w:rPr>
        <w:t>Agricultural Economics</w:t>
      </w:r>
      <w:r>
        <w:rPr>
          <w:sz w:val="20"/>
          <w:szCs w:val="20"/>
        </w:rPr>
        <w:t>, 39(3), 295–308. https://doi.org/10.1111/j.1574-0862.2008.00334.x</w:t>
      </w:r>
    </w:p>
    <w:p w:rsidR="00731E5A" w:rsidRDefault="00CA65C0">
      <w:pPr>
        <w:spacing w:after="140"/>
        <w:ind w:left="720" w:hanging="720"/>
        <w:jc w:val="both"/>
      </w:pPr>
      <w:proofErr w:type="gramStart"/>
      <w:r>
        <w:rPr>
          <w:sz w:val="20"/>
          <w:szCs w:val="20"/>
        </w:rPr>
        <w:t xml:space="preserve">Hair, J. F., </w:t>
      </w:r>
      <w:proofErr w:type="spellStart"/>
      <w:r>
        <w:rPr>
          <w:sz w:val="20"/>
          <w:szCs w:val="20"/>
        </w:rPr>
        <w:t>Hult</w:t>
      </w:r>
      <w:proofErr w:type="spellEnd"/>
      <w:r>
        <w:rPr>
          <w:sz w:val="20"/>
          <w:szCs w:val="20"/>
        </w:rPr>
        <w:t xml:space="preserve">, G. T. M., </w:t>
      </w:r>
      <w:proofErr w:type="spellStart"/>
      <w:r>
        <w:rPr>
          <w:sz w:val="20"/>
          <w:szCs w:val="20"/>
        </w:rPr>
        <w:t>Ringle</w:t>
      </w:r>
      <w:proofErr w:type="spellEnd"/>
      <w:r>
        <w:rPr>
          <w:sz w:val="20"/>
          <w:szCs w:val="20"/>
        </w:rPr>
        <w:t xml:space="preserve">, C. M., &amp; </w:t>
      </w:r>
      <w:proofErr w:type="spellStart"/>
      <w:r>
        <w:rPr>
          <w:sz w:val="20"/>
          <w:szCs w:val="20"/>
        </w:rPr>
        <w:t>Sarstedt</w:t>
      </w:r>
      <w:proofErr w:type="spellEnd"/>
      <w:r>
        <w:rPr>
          <w:sz w:val="20"/>
          <w:szCs w:val="20"/>
        </w:rPr>
        <w:t>, M. (2019).</w:t>
      </w:r>
      <w:proofErr w:type="gramEnd"/>
      <w:r>
        <w:rPr>
          <w:sz w:val="20"/>
          <w:szCs w:val="20"/>
        </w:rPr>
        <w:t xml:space="preserve"> </w:t>
      </w:r>
      <w:r w:rsidRPr="005F5217">
        <w:rPr>
          <w:i/>
          <w:sz w:val="20"/>
          <w:szCs w:val="20"/>
        </w:rPr>
        <w:t xml:space="preserve">A primer on partial least squares structural equation modeling (PLS-SEM) </w:t>
      </w:r>
      <w:r>
        <w:rPr>
          <w:sz w:val="20"/>
          <w:szCs w:val="20"/>
        </w:rPr>
        <w:t xml:space="preserve">(2nd </w:t>
      </w:r>
      <w:proofErr w:type="gramStart"/>
      <w:r>
        <w:rPr>
          <w:sz w:val="20"/>
          <w:szCs w:val="20"/>
        </w:rPr>
        <w:t>ed</w:t>
      </w:r>
      <w:proofErr w:type="gramEnd"/>
      <w:r>
        <w:rPr>
          <w:sz w:val="20"/>
          <w:szCs w:val="20"/>
        </w:rPr>
        <w:t xml:space="preserve">.). </w:t>
      </w:r>
      <w:proofErr w:type="gramStart"/>
      <w:r>
        <w:rPr>
          <w:sz w:val="20"/>
          <w:szCs w:val="20"/>
        </w:rPr>
        <w:t>Sage.</w:t>
      </w:r>
      <w:proofErr w:type="gramEnd"/>
    </w:p>
    <w:p w:rsidR="00731E5A" w:rsidRDefault="00CA65C0">
      <w:pPr>
        <w:spacing w:after="140"/>
        <w:ind w:left="720" w:hanging="720"/>
        <w:jc w:val="both"/>
      </w:pPr>
      <w:proofErr w:type="gramStart"/>
      <w:r>
        <w:rPr>
          <w:sz w:val="20"/>
          <w:szCs w:val="20"/>
        </w:rPr>
        <w:t>Heath, C., &amp; Soll, J. B. (1996).</w:t>
      </w:r>
      <w:proofErr w:type="gramEnd"/>
      <w:r>
        <w:rPr>
          <w:sz w:val="20"/>
          <w:szCs w:val="20"/>
        </w:rPr>
        <w:t xml:space="preserve"> </w:t>
      </w:r>
      <w:proofErr w:type="gramStart"/>
      <w:r>
        <w:rPr>
          <w:sz w:val="20"/>
          <w:szCs w:val="20"/>
        </w:rPr>
        <w:t>Mental budgeting and consumer decisions.</w:t>
      </w:r>
      <w:proofErr w:type="gramEnd"/>
      <w:r>
        <w:rPr>
          <w:sz w:val="20"/>
          <w:szCs w:val="20"/>
        </w:rPr>
        <w:t xml:space="preserve"> </w:t>
      </w:r>
      <w:r w:rsidRPr="005F5217">
        <w:rPr>
          <w:i/>
          <w:sz w:val="20"/>
          <w:szCs w:val="20"/>
        </w:rPr>
        <w:t>Journal of Consumer Research</w:t>
      </w:r>
      <w:r>
        <w:rPr>
          <w:sz w:val="20"/>
          <w:szCs w:val="20"/>
        </w:rPr>
        <w:t>, 23(1), 40–52. https://doi.org/10.1086/209465</w:t>
      </w:r>
    </w:p>
    <w:p w:rsidR="00731E5A" w:rsidRDefault="00CA65C0">
      <w:pPr>
        <w:spacing w:after="140"/>
        <w:ind w:left="720" w:hanging="720"/>
        <w:jc w:val="both"/>
      </w:pPr>
      <w:proofErr w:type="gramStart"/>
      <w:r>
        <w:rPr>
          <w:sz w:val="20"/>
          <w:szCs w:val="20"/>
        </w:rPr>
        <w:t xml:space="preserve">Johnson, S., Brown, G., &amp; </w:t>
      </w:r>
      <w:proofErr w:type="spellStart"/>
      <w:r>
        <w:rPr>
          <w:sz w:val="20"/>
          <w:szCs w:val="20"/>
        </w:rPr>
        <w:t>Fouillet</w:t>
      </w:r>
      <w:proofErr w:type="spellEnd"/>
      <w:r>
        <w:rPr>
          <w:sz w:val="20"/>
          <w:szCs w:val="20"/>
        </w:rPr>
        <w:t>, C. (2019).</w:t>
      </w:r>
      <w:proofErr w:type="gramEnd"/>
      <w:r>
        <w:rPr>
          <w:sz w:val="20"/>
          <w:szCs w:val="20"/>
        </w:rPr>
        <w:t xml:space="preserve"> The search for inclusion in Kenya's financial landscape: The rift revealed. </w:t>
      </w:r>
      <w:proofErr w:type="spellStart"/>
      <w:proofErr w:type="gramStart"/>
      <w:r>
        <w:rPr>
          <w:sz w:val="20"/>
          <w:szCs w:val="20"/>
        </w:rPr>
        <w:t>FinAccess</w:t>
      </w:r>
      <w:proofErr w:type="spellEnd"/>
      <w:r>
        <w:rPr>
          <w:sz w:val="20"/>
          <w:szCs w:val="20"/>
        </w:rPr>
        <w:t xml:space="preserve"> Kenya 2019 Research Paper.</w:t>
      </w:r>
      <w:proofErr w:type="gramEnd"/>
      <w:r>
        <w:rPr>
          <w:sz w:val="20"/>
          <w:szCs w:val="20"/>
        </w:rPr>
        <w:t xml:space="preserve"> </w:t>
      </w:r>
      <w:proofErr w:type="gramStart"/>
      <w:r>
        <w:rPr>
          <w:sz w:val="20"/>
          <w:szCs w:val="20"/>
        </w:rPr>
        <w:t>FSD Kenya.</w:t>
      </w:r>
      <w:proofErr w:type="gramEnd"/>
    </w:p>
    <w:p w:rsidR="00731E5A" w:rsidRDefault="00CA65C0">
      <w:pPr>
        <w:spacing w:after="140"/>
        <w:ind w:left="720" w:hanging="720"/>
        <w:jc w:val="both"/>
      </w:pPr>
      <w:proofErr w:type="gramStart"/>
      <w:r>
        <w:rPr>
          <w:sz w:val="20"/>
          <w:szCs w:val="20"/>
        </w:rPr>
        <w:t>Kahneman, D., &amp; Tversky, A. (1979).</w:t>
      </w:r>
      <w:proofErr w:type="gramEnd"/>
      <w:r>
        <w:rPr>
          <w:sz w:val="20"/>
          <w:szCs w:val="20"/>
        </w:rPr>
        <w:t xml:space="preserve"> Prospect theory: An analysis of decision under risk. </w:t>
      </w:r>
      <w:proofErr w:type="spellStart"/>
      <w:r w:rsidRPr="005F5217">
        <w:rPr>
          <w:i/>
          <w:sz w:val="20"/>
          <w:szCs w:val="20"/>
        </w:rPr>
        <w:t>Econometrica</w:t>
      </w:r>
      <w:proofErr w:type="spellEnd"/>
      <w:r>
        <w:rPr>
          <w:sz w:val="20"/>
          <w:szCs w:val="20"/>
        </w:rPr>
        <w:t>, 47(2), 263–291. https://doi.org/10.2307/1914185</w:t>
      </w:r>
    </w:p>
    <w:p w:rsidR="00731E5A" w:rsidRDefault="00CA65C0">
      <w:pPr>
        <w:spacing w:after="140"/>
        <w:ind w:left="720" w:hanging="720"/>
        <w:jc w:val="both"/>
      </w:pPr>
      <w:proofErr w:type="gramStart"/>
      <w:r>
        <w:rPr>
          <w:sz w:val="20"/>
          <w:szCs w:val="20"/>
        </w:rPr>
        <w:t>Kahneman, D., &amp; Tversky, A. (1984).</w:t>
      </w:r>
      <w:proofErr w:type="gramEnd"/>
      <w:r>
        <w:rPr>
          <w:sz w:val="20"/>
          <w:szCs w:val="20"/>
        </w:rPr>
        <w:t xml:space="preserve"> </w:t>
      </w:r>
      <w:proofErr w:type="gramStart"/>
      <w:r>
        <w:rPr>
          <w:sz w:val="20"/>
          <w:szCs w:val="20"/>
        </w:rPr>
        <w:t>Choices, values, and frames.</w:t>
      </w:r>
      <w:proofErr w:type="gramEnd"/>
      <w:r>
        <w:rPr>
          <w:sz w:val="20"/>
          <w:szCs w:val="20"/>
        </w:rPr>
        <w:t xml:space="preserve"> </w:t>
      </w:r>
      <w:r w:rsidRPr="005F5217">
        <w:rPr>
          <w:i/>
          <w:sz w:val="20"/>
          <w:szCs w:val="20"/>
        </w:rPr>
        <w:t>American Psychologist</w:t>
      </w:r>
      <w:r>
        <w:rPr>
          <w:sz w:val="20"/>
          <w:szCs w:val="20"/>
        </w:rPr>
        <w:t>, 39(4), 341–350. https://doi.org/10.1037/0003-066X.39.4.341</w:t>
      </w:r>
    </w:p>
    <w:p w:rsidR="00731E5A" w:rsidRDefault="00CA65C0">
      <w:pPr>
        <w:spacing w:after="140"/>
        <w:ind w:left="720" w:hanging="720"/>
        <w:jc w:val="both"/>
      </w:pPr>
      <w:proofErr w:type="gramStart"/>
      <w:r>
        <w:rPr>
          <w:sz w:val="20"/>
          <w:szCs w:val="20"/>
        </w:rPr>
        <w:t xml:space="preserve">Karlan, D., </w:t>
      </w:r>
      <w:proofErr w:type="spellStart"/>
      <w:r>
        <w:rPr>
          <w:sz w:val="20"/>
          <w:szCs w:val="20"/>
        </w:rPr>
        <w:t>Ratan</w:t>
      </w:r>
      <w:proofErr w:type="spellEnd"/>
      <w:r>
        <w:rPr>
          <w:sz w:val="20"/>
          <w:szCs w:val="20"/>
        </w:rPr>
        <w:t>, A. L., &amp; Zinman, J. (2014).</w:t>
      </w:r>
      <w:proofErr w:type="gramEnd"/>
      <w:r>
        <w:rPr>
          <w:sz w:val="20"/>
          <w:szCs w:val="20"/>
        </w:rPr>
        <w:t xml:space="preserve"> Savings by and for the poor: A research review and agenda. </w:t>
      </w:r>
      <w:r w:rsidRPr="005F5217">
        <w:rPr>
          <w:i/>
          <w:sz w:val="20"/>
          <w:szCs w:val="20"/>
        </w:rPr>
        <w:t>Review of Income and Wealth</w:t>
      </w:r>
      <w:r>
        <w:rPr>
          <w:sz w:val="20"/>
          <w:szCs w:val="20"/>
        </w:rPr>
        <w:t>, 60(1), 36–78. https://doi.org/10.1111/roiw.12101</w:t>
      </w:r>
    </w:p>
    <w:p w:rsidR="00731E5A" w:rsidRDefault="00CA65C0">
      <w:pPr>
        <w:spacing w:after="140"/>
        <w:ind w:left="720" w:hanging="720"/>
        <w:jc w:val="both"/>
      </w:pPr>
      <w:proofErr w:type="gramStart"/>
      <w:r>
        <w:rPr>
          <w:sz w:val="20"/>
          <w:szCs w:val="20"/>
        </w:rPr>
        <w:t>Karlan, D., McConnell, M., Mullainathan, S., &amp; Zinman, J. (2016).</w:t>
      </w:r>
      <w:proofErr w:type="gramEnd"/>
      <w:r>
        <w:rPr>
          <w:sz w:val="20"/>
          <w:szCs w:val="20"/>
        </w:rPr>
        <w:t xml:space="preserve"> Getting to the top of mind: How reminders increase saving. </w:t>
      </w:r>
      <w:r w:rsidRPr="005F5217">
        <w:rPr>
          <w:i/>
          <w:sz w:val="20"/>
          <w:szCs w:val="20"/>
        </w:rPr>
        <w:t>Management Science</w:t>
      </w:r>
      <w:r>
        <w:rPr>
          <w:sz w:val="20"/>
          <w:szCs w:val="20"/>
        </w:rPr>
        <w:t>, 62(12), 3393–3411. https://doi.org/10.1287/mnsc.2015.2296</w:t>
      </w:r>
    </w:p>
    <w:p w:rsidR="00731E5A" w:rsidRDefault="00CA65C0">
      <w:pPr>
        <w:spacing w:after="140"/>
        <w:ind w:left="720" w:hanging="720"/>
        <w:jc w:val="both"/>
      </w:pPr>
      <w:proofErr w:type="gramStart"/>
      <w:r>
        <w:rPr>
          <w:sz w:val="20"/>
          <w:szCs w:val="20"/>
        </w:rPr>
        <w:t>Karlan, D., &amp; Zinman, J. (2008).</w:t>
      </w:r>
      <w:proofErr w:type="gramEnd"/>
      <w:r>
        <w:rPr>
          <w:sz w:val="20"/>
          <w:szCs w:val="20"/>
        </w:rPr>
        <w:t xml:space="preserve"> Credit </w:t>
      </w:r>
      <w:proofErr w:type="spellStart"/>
      <w:r>
        <w:rPr>
          <w:sz w:val="20"/>
          <w:szCs w:val="20"/>
        </w:rPr>
        <w:t>elasticities</w:t>
      </w:r>
      <w:proofErr w:type="spellEnd"/>
      <w:r>
        <w:rPr>
          <w:sz w:val="20"/>
          <w:szCs w:val="20"/>
        </w:rPr>
        <w:t xml:space="preserve"> in less-developed economies: Implications for microfinance. </w:t>
      </w:r>
      <w:r w:rsidRPr="005F5217">
        <w:rPr>
          <w:i/>
          <w:sz w:val="20"/>
          <w:szCs w:val="20"/>
        </w:rPr>
        <w:t>American Economic Review</w:t>
      </w:r>
      <w:r>
        <w:rPr>
          <w:sz w:val="20"/>
          <w:szCs w:val="20"/>
        </w:rPr>
        <w:t>, 98(3), 1040–1068. https://doi.org/10.1257/aer.98.3.1040</w:t>
      </w:r>
    </w:p>
    <w:p w:rsidR="00731E5A" w:rsidRDefault="00CA65C0">
      <w:pPr>
        <w:spacing w:after="140"/>
        <w:ind w:left="720" w:hanging="720"/>
        <w:jc w:val="both"/>
      </w:pPr>
      <w:r>
        <w:rPr>
          <w:sz w:val="20"/>
          <w:szCs w:val="20"/>
        </w:rPr>
        <w:lastRenderedPageBreak/>
        <w:t xml:space="preserve">Kline, R. B. (2015). </w:t>
      </w:r>
      <w:r w:rsidRPr="005F5217">
        <w:rPr>
          <w:i/>
          <w:sz w:val="20"/>
          <w:szCs w:val="20"/>
        </w:rPr>
        <w:t xml:space="preserve">Principles and practice of structural equation modeling (4th </w:t>
      </w:r>
      <w:proofErr w:type="gramStart"/>
      <w:r w:rsidRPr="005F5217">
        <w:rPr>
          <w:i/>
          <w:sz w:val="20"/>
          <w:szCs w:val="20"/>
        </w:rPr>
        <w:t>ed</w:t>
      </w:r>
      <w:proofErr w:type="gramEnd"/>
      <w:r w:rsidRPr="005F5217">
        <w:rPr>
          <w:i/>
          <w:sz w:val="20"/>
          <w:szCs w:val="20"/>
        </w:rPr>
        <w:t>.).</w:t>
      </w:r>
      <w:r>
        <w:rPr>
          <w:sz w:val="20"/>
          <w:szCs w:val="20"/>
        </w:rPr>
        <w:t xml:space="preserve"> </w:t>
      </w:r>
      <w:proofErr w:type="gramStart"/>
      <w:r>
        <w:rPr>
          <w:sz w:val="20"/>
          <w:szCs w:val="20"/>
        </w:rPr>
        <w:t>Guilford Press.</w:t>
      </w:r>
      <w:proofErr w:type="gramEnd"/>
    </w:p>
    <w:p w:rsidR="00731E5A" w:rsidRDefault="00CA65C0">
      <w:pPr>
        <w:spacing w:after="140"/>
        <w:ind w:left="720" w:hanging="720"/>
        <w:jc w:val="both"/>
      </w:pPr>
      <w:proofErr w:type="gramStart"/>
      <w:r>
        <w:rPr>
          <w:sz w:val="20"/>
          <w:szCs w:val="20"/>
        </w:rPr>
        <w:t>Köszegi, B., &amp; Rabin, M. (2006).</w:t>
      </w:r>
      <w:proofErr w:type="gramEnd"/>
      <w:r>
        <w:rPr>
          <w:sz w:val="20"/>
          <w:szCs w:val="20"/>
        </w:rPr>
        <w:t xml:space="preserve"> </w:t>
      </w:r>
      <w:proofErr w:type="gramStart"/>
      <w:r>
        <w:rPr>
          <w:sz w:val="20"/>
          <w:szCs w:val="20"/>
        </w:rPr>
        <w:t>A model of reference-dependent preferences.</w:t>
      </w:r>
      <w:proofErr w:type="gramEnd"/>
      <w:r>
        <w:rPr>
          <w:sz w:val="20"/>
          <w:szCs w:val="20"/>
        </w:rPr>
        <w:t xml:space="preserve"> </w:t>
      </w:r>
      <w:r w:rsidRPr="005F5217">
        <w:rPr>
          <w:i/>
          <w:sz w:val="20"/>
          <w:szCs w:val="20"/>
        </w:rPr>
        <w:t>Quarterly Journal of Economics</w:t>
      </w:r>
      <w:r>
        <w:rPr>
          <w:sz w:val="20"/>
          <w:szCs w:val="20"/>
        </w:rPr>
        <w:t>, 121(4), 1133–1165. https://doi.org/10.1093/qje/121.4.1133</w:t>
      </w:r>
    </w:p>
    <w:p w:rsidR="00731E5A" w:rsidRDefault="00CA65C0">
      <w:pPr>
        <w:spacing w:after="140"/>
        <w:ind w:left="720" w:hanging="720"/>
        <w:jc w:val="both"/>
      </w:pPr>
      <w:r>
        <w:rPr>
          <w:sz w:val="20"/>
          <w:szCs w:val="20"/>
        </w:rPr>
        <w:t xml:space="preserve">Laibson, D. (1997). </w:t>
      </w:r>
      <w:proofErr w:type="gramStart"/>
      <w:r>
        <w:rPr>
          <w:sz w:val="20"/>
          <w:szCs w:val="20"/>
        </w:rPr>
        <w:t>Golden eggs and hyperbolic discounting.</w:t>
      </w:r>
      <w:proofErr w:type="gramEnd"/>
      <w:r>
        <w:rPr>
          <w:sz w:val="20"/>
          <w:szCs w:val="20"/>
        </w:rPr>
        <w:t xml:space="preserve"> </w:t>
      </w:r>
      <w:r w:rsidRPr="005F5217">
        <w:rPr>
          <w:i/>
          <w:sz w:val="20"/>
          <w:szCs w:val="20"/>
        </w:rPr>
        <w:t>Quarterly Journal of Economics</w:t>
      </w:r>
      <w:r>
        <w:rPr>
          <w:sz w:val="20"/>
          <w:szCs w:val="20"/>
        </w:rPr>
        <w:t>, 112(2), 443–478. https://doi.org/10.1162/003355397555253</w:t>
      </w:r>
    </w:p>
    <w:p w:rsidR="00731E5A" w:rsidRDefault="00CA65C0">
      <w:pPr>
        <w:spacing w:after="140"/>
        <w:ind w:left="720" w:hanging="720"/>
        <w:jc w:val="both"/>
      </w:pPr>
      <w:proofErr w:type="gramStart"/>
      <w:r>
        <w:rPr>
          <w:sz w:val="20"/>
          <w:szCs w:val="20"/>
        </w:rPr>
        <w:t>Lusardi, A., &amp; Mitchell, O. S. (2014).</w:t>
      </w:r>
      <w:proofErr w:type="gramEnd"/>
      <w:r>
        <w:rPr>
          <w:sz w:val="20"/>
          <w:szCs w:val="20"/>
        </w:rPr>
        <w:t xml:space="preserve"> The economic importance of financial literacy: Theory and evidence. </w:t>
      </w:r>
      <w:r w:rsidRPr="005F5217">
        <w:rPr>
          <w:i/>
          <w:sz w:val="20"/>
          <w:szCs w:val="20"/>
        </w:rPr>
        <w:t>Journal of Economic Literature</w:t>
      </w:r>
      <w:r>
        <w:rPr>
          <w:sz w:val="20"/>
          <w:szCs w:val="20"/>
        </w:rPr>
        <w:t>, 52(1), 5–44. https://doi.org/10.1257/jel.52.1.5</w:t>
      </w:r>
    </w:p>
    <w:p w:rsidR="00731E5A" w:rsidRDefault="00CA65C0">
      <w:pPr>
        <w:spacing w:after="140"/>
        <w:ind w:left="720" w:hanging="720"/>
        <w:jc w:val="both"/>
      </w:pPr>
      <w:proofErr w:type="gramStart"/>
      <w:r>
        <w:rPr>
          <w:sz w:val="20"/>
          <w:szCs w:val="20"/>
        </w:rPr>
        <w:t xml:space="preserve">Mazer, R., McKee, K., &amp; </w:t>
      </w:r>
      <w:proofErr w:type="spellStart"/>
      <w:r>
        <w:rPr>
          <w:sz w:val="20"/>
          <w:szCs w:val="20"/>
        </w:rPr>
        <w:t>Fiorillo</w:t>
      </w:r>
      <w:proofErr w:type="spellEnd"/>
      <w:r>
        <w:rPr>
          <w:sz w:val="20"/>
          <w:szCs w:val="20"/>
        </w:rPr>
        <w:t>, A. (2014).</w:t>
      </w:r>
      <w:proofErr w:type="gramEnd"/>
      <w:r>
        <w:rPr>
          <w:sz w:val="20"/>
          <w:szCs w:val="20"/>
        </w:rPr>
        <w:t xml:space="preserve"> </w:t>
      </w:r>
      <w:proofErr w:type="gramStart"/>
      <w:r>
        <w:rPr>
          <w:sz w:val="20"/>
          <w:szCs w:val="20"/>
        </w:rPr>
        <w:t>Applying behavioral insights in consumer protection policy.</w:t>
      </w:r>
      <w:proofErr w:type="gramEnd"/>
      <w:r>
        <w:rPr>
          <w:sz w:val="20"/>
          <w:szCs w:val="20"/>
        </w:rPr>
        <w:t xml:space="preserve"> CGAP Focus Note No. 95. </w:t>
      </w:r>
      <w:proofErr w:type="gramStart"/>
      <w:r>
        <w:rPr>
          <w:sz w:val="20"/>
          <w:szCs w:val="20"/>
        </w:rPr>
        <w:t>Consultative Group to Assist the Poor (CGAP).</w:t>
      </w:r>
      <w:proofErr w:type="gramEnd"/>
    </w:p>
    <w:p w:rsidR="00731E5A" w:rsidRDefault="00CA65C0">
      <w:pPr>
        <w:spacing w:after="140"/>
        <w:ind w:left="720" w:hanging="720"/>
        <w:jc w:val="both"/>
      </w:pPr>
      <w:proofErr w:type="gramStart"/>
      <w:r>
        <w:rPr>
          <w:sz w:val="20"/>
          <w:szCs w:val="20"/>
        </w:rPr>
        <w:t>Modigliani, F., &amp; Brumberg, R. (1954).</w:t>
      </w:r>
      <w:proofErr w:type="gramEnd"/>
      <w:r>
        <w:rPr>
          <w:sz w:val="20"/>
          <w:szCs w:val="20"/>
        </w:rPr>
        <w:t xml:space="preserve"> Utility analysis and the consumption function: An interpretation of cross-section data. </w:t>
      </w:r>
      <w:proofErr w:type="gramStart"/>
      <w:r>
        <w:rPr>
          <w:sz w:val="20"/>
          <w:szCs w:val="20"/>
        </w:rPr>
        <w:t xml:space="preserve">In K. K. </w:t>
      </w:r>
      <w:proofErr w:type="spellStart"/>
      <w:r>
        <w:rPr>
          <w:sz w:val="20"/>
          <w:szCs w:val="20"/>
        </w:rPr>
        <w:t>Kurihara</w:t>
      </w:r>
      <w:proofErr w:type="spellEnd"/>
      <w:r>
        <w:rPr>
          <w:sz w:val="20"/>
          <w:szCs w:val="20"/>
        </w:rPr>
        <w:t xml:space="preserve"> (Ed.), Post-Keynesian economics (pp. 388–436).</w:t>
      </w:r>
      <w:proofErr w:type="gramEnd"/>
      <w:r>
        <w:rPr>
          <w:sz w:val="20"/>
          <w:szCs w:val="20"/>
        </w:rPr>
        <w:t xml:space="preserve"> </w:t>
      </w:r>
      <w:proofErr w:type="gramStart"/>
      <w:r>
        <w:rPr>
          <w:sz w:val="20"/>
          <w:szCs w:val="20"/>
        </w:rPr>
        <w:t>Rutgers University Press.</w:t>
      </w:r>
      <w:proofErr w:type="gramEnd"/>
    </w:p>
    <w:p w:rsidR="00731E5A" w:rsidRDefault="00CA65C0">
      <w:pPr>
        <w:spacing w:after="140"/>
        <w:ind w:left="720" w:hanging="720"/>
        <w:jc w:val="both"/>
      </w:pPr>
      <w:r>
        <w:rPr>
          <w:sz w:val="20"/>
          <w:szCs w:val="20"/>
        </w:rPr>
        <w:t xml:space="preserve">Morduch, J. (1995). </w:t>
      </w:r>
      <w:proofErr w:type="gramStart"/>
      <w:r>
        <w:rPr>
          <w:sz w:val="20"/>
          <w:szCs w:val="20"/>
        </w:rPr>
        <w:t>Income smoothing and consumption smoothing.</w:t>
      </w:r>
      <w:proofErr w:type="gramEnd"/>
      <w:r>
        <w:rPr>
          <w:sz w:val="20"/>
          <w:szCs w:val="20"/>
        </w:rPr>
        <w:t xml:space="preserve"> </w:t>
      </w:r>
      <w:r w:rsidRPr="005F5217">
        <w:rPr>
          <w:i/>
          <w:sz w:val="20"/>
          <w:szCs w:val="20"/>
        </w:rPr>
        <w:t>Journal of Economic Perspectives</w:t>
      </w:r>
      <w:r>
        <w:rPr>
          <w:sz w:val="20"/>
          <w:szCs w:val="20"/>
        </w:rPr>
        <w:t>, 9(3), 103–114. https://doi.org/10.1257/jep.9.3.103</w:t>
      </w:r>
    </w:p>
    <w:p w:rsidR="00731E5A" w:rsidRDefault="00CA65C0">
      <w:pPr>
        <w:spacing w:after="140"/>
        <w:ind w:left="720" w:hanging="720"/>
        <w:jc w:val="both"/>
      </w:pPr>
      <w:proofErr w:type="gramStart"/>
      <w:r>
        <w:rPr>
          <w:sz w:val="20"/>
          <w:szCs w:val="20"/>
        </w:rPr>
        <w:t>Müller, A., &amp; Schwarz, N. (2022).</w:t>
      </w:r>
      <w:proofErr w:type="gramEnd"/>
      <w:r>
        <w:rPr>
          <w:sz w:val="20"/>
          <w:szCs w:val="20"/>
        </w:rPr>
        <w:t xml:space="preserve"> The Money Management Rigidity Scale: Development and validation. </w:t>
      </w:r>
      <w:r w:rsidRPr="005F5217">
        <w:rPr>
          <w:i/>
          <w:sz w:val="20"/>
          <w:szCs w:val="20"/>
        </w:rPr>
        <w:t>Journal of Behavioural Finance</w:t>
      </w:r>
      <w:r>
        <w:rPr>
          <w:sz w:val="20"/>
          <w:szCs w:val="20"/>
        </w:rPr>
        <w:t>, 23(1), 45–62. https://doi.org/10.1080/15427560.2021.1913083</w:t>
      </w:r>
    </w:p>
    <w:p w:rsidR="00731E5A" w:rsidRDefault="00CA65C0">
      <w:pPr>
        <w:spacing w:after="140"/>
        <w:ind w:left="720" w:hanging="720"/>
        <w:jc w:val="both"/>
      </w:pPr>
      <w:proofErr w:type="gramStart"/>
      <w:r>
        <w:rPr>
          <w:sz w:val="20"/>
          <w:szCs w:val="20"/>
        </w:rPr>
        <w:t>O'Donoghue, T., &amp; Rabin, M. (1999).</w:t>
      </w:r>
      <w:proofErr w:type="gramEnd"/>
      <w:r>
        <w:rPr>
          <w:sz w:val="20"/>
          <w:szCs w:val="20"/>
        </w:rPr>
        <w:t xml:space="preserve"> </w:t>
      </w:r>
      <w:proofErr w:type="gramStart"/>
      <w:r>
        <w:rPr>
          <w:sz w:val="20"/>
          <w:szCs w:val="20"/>
        </w:rPr>
        <w:t>Doing it now or later.</w:t>
      </w:r>
      <w:proofErr w:type="gramEnd"/>
      <w:r>
        <w:rPr>
          <w:sz w:val="20"/>
          <w:szCs w:val="20"/>
        </w:rPr>
        <w:t xml:space="preserve"> </w:t>
      </w:r>
      <w:r w:rsidRPr="005F5217">
        <w:rPr>
          <w:i/>
          <w:sz w:val="20"/>
          <w:szCs w:val="20"/>
        </w:rPr>
        <w:t>American Economic Review</w:t>
      </w:r>
      <w:r>
        <w:rPr>
          <w:sz w:val="20"/>
          <w:szCs w:val="20"/>
        </w:rPr>
        <w:t>, 89(1), 103–124. https://doi.org/10.1257/aer.89.1.103</w:t>
      </w:r>
    </w:p>
    <w:p w:rsidR="00731E5A" w:rsidRDefault="00CA65C0">
      <w:pPr>
        <w:spacing w:after="140"/>
        <w:ind w:left="720" w:hanging="720"/>
        <w:jc w:val="both"/>
      </w:pPr>
      <w:proofErr w:type="gramStart"/>
      <w:r>
        <w:rPr>
          <w:sz w:val="20"/>
          <w:szCs w:val="20"/>
        </w:rPr>
        <w:t>Phelps, E. S., &amp; Pollak, R. A. (1968).</w:t>
      </w:r>
      <w:proofErr w:type="gramEnd"/>
      <w:r>
        <w:rPr>
          <w:sz w:val="20"/>
          <w:szCs w:val="20"/>
        </w:rPr>
        <w:t xml:space="preserve"> </w:t>
      </w:r>
      <w:proofErr w:type="gramStart"/>
      <w:r>
        <w:rPr>
          <w:sz w:val="20"/>
          <w:szCs w:val="20"/>
        </w:rPr>
        <w:t>On second-best national saving and game-equilibrium growth.</w:t>
      </w:r>
      <w:proofErr w:type="gramEnd"/>
      <w:r>
        <w:rPr>
          <w:sz w:val="20"/>
          <w:szCs w:val="20"/>
        </w:rPr>
        <w:t xml:space="preserve"> </w:t>
      </w:r>
      <w:r w:rsidRPr="005F5217">
        <w:rPr>
          <w:i/>
          <w:sz w:val="20"/>
          <w:szCs w:val="20"/>
        </w:rPr>
        <w:t>Review of Economic Studies</w:t>
      </w:r>
      <w:r>
        <w:rPr>
          <w:sz w:val="20"/>
          <w:szCs w:val="20"/>
        </w:rPr>
        <w:t>, 35(2), 185–199. https://doi.org/10.2307/2296547</w:t>
      </w:r>
    </w:p>
    <w:p w:rsidR="00731E5A" w:rsidRDefault="00CA65C0">
      <w:pPr>
        <w:spacing w:after="140"/>
        <w:ind w:left="720" w:hanging="720"/>
        <w:jc w:val="both"/>
      </w:pPr>
      <w:r>
        <w:rPr>
          <w:sz w:val="20"/>
          <w:szCs w:val="20"/>
        </w:rPr>
        <w:t xml:space="preserve">Platteau, J. P. (2000). </w:t>
      </w:r>
      <w:proofErr w:type="gramStart"/>
      <w:r w:rsidRPr="005F5217">
        <w:rPr>
          <w:i/>
          <w:sz w:val="20"/>
          <w:szCs w:val="20"/>
        </w:rPr>
        <w:t>Institutions, social norms, and economic development</w:t>
      </w:r>
      <w:r>
        <w:rPr>
          <w:sz w:val="20"/>
          <w:szCs w:val="20"/>
        </w:rPr>
        <w:t>.</w:t>
      </w:r>
      <w:proofErr w:type="gramEnd"/>
      <w:r>
        <w:rPr>
          <w:sz w:val="20"/>
          <w:szCs w:val="20"/>
        </w:rPr>
        <w:t xml:space="preserve"> </w:t>
      </w:r>
      <w:proofErr w:type="gramStart"/>
      <w:r>
        <w:rPr>
          <w:sz w:val="20"/>
          <w:szCs w:val="20"/>
        </w:rPr>
        <w:t>Harwood Academic Publishers.</w:t>
      </w:r>
      <w:proofErr w:type="gramEnd"/>
    </w:p>
    <w:p w:rsidR="00731E5A" w:rsidRDefault="00CA65C0">
      <w:pPr>
        <w:spacing w:after="140"/>
        <w:ind w:left="720" w:hanging="720"/>
        <w:jc w:val="both"/>
      </w:pPr>
      <w:proofErr w:type="gramStart"/>
      <w:r>
        <w:rPr>
          <w:sz w:val="20"/>
          <w:szCs w:val="20"/>
        </w:rPr>
        <w:t xml:space="preserve">Podsakoff, P. M., </w:t>
      </w:r>
      <w:proofErr w:type="spellStart"/>
      <w:r>
        <w:rPr>
          <w:sz w:val="20"/>
          <w:szCs w:val="20"/>
        </w:rPr>
        <w:t>MacKenzie</w:t>
      </w:r>
      <w:proofErr w:type="spellEnd"/>
      <w:r>
        <w:rPr>
          <w:sz w:val="20"/>
          <w:szCs w:val="20"/>
        </w:rPr>
        <w:t>, S. B., Lee, J.-Y., &amp; Podsakoff, N. P. (2003).</w:t>
      </w:r>
      <w:proofErr w:type="gramEnd"/>
      <w:r>
        <w:rPr>
          <w:sz w:val="20"/>
          <w:szCs w:val="20"/>
        </w:rPr>
        <w:t xml:space="preserve"> Common method biases in behavioral research: A critical review of the literature and recommended remedies. </w:t>
      </w:r>
      <w:r w:rsidRPr="009F3093">
        <w:rPr>
          <w:i/>
          <w:sz w:val="20"/>
          <w:szCs w:val="20"/>
        </w:rPr>
        <w:t>Journal of Applied Psychology,</w:t>
      </w:r>
      <w:r>
        <w:rPr>
          <w:sz w:val="20"/>
          <w:szCs w:val="20"/>
        </w:rPr>
        <w:t xml:space="preserve"> 88(5), 879–903. https://doi.org/10.1037/0021-9010.88.5.879</w:t>
      </w:r>
    </w:p>
    <w:p w:rsidR="00731E5A" w:rsidRDefault="00CA65C0">
      <w:pPr>
        <w:spacing w:after="140"/>
        <w:ind w:left="720" w:hanging="720"/>
        <w:jc w:val="both"/>
      </w:pPr>
      <w:proofErr w:type="gramStart"/>
      <w:r>
        <w:rPr>
          <w:sz w:val="20"/>
          <w:szCs w:val="20"/>
        </w:rPr>
        <w:t>Prelec, D., &amp; Loewenstein, G. (1998).</w:t>
      </w:r>
      <w:proofErr w:type="gramEnd"/>
      <w:r>
        <w:rPr>
          <w:sz w:val="20"/>
          <w:szCs w:val="20"/>
        </w:rPr>
        <w:t xml:space="preserve"> The red and the black: Mental accounting of savings and debt</w:t>
      </w:r>
      <w:r w:rsidRPr="009F3093">
        <w:rPr>
          <w:i/>
          <w:sz w:val="20"/>
          <w:szCs w:val="20"/>
        </w:rPr>
        <w:t xml:space="preserve">. </w:t>
      </w:r>
      <w:proofErr w:type="gramStart"/>
      <w:r w:rsidRPr="009F3093">
        <w:rPr>
          <w:i/>
          <w:sz w:val="20"/>
          <w:szCs w:val="20"/>
        </w:rPr>
        <w:t xml:space="preserve">Marketing Science, </w:t>
      </w:r>
      <w:r>
        <w:rPr>
          <w:sz w:val="20"/>
          <w:szCs w:val="20"/>
        </w:rPr>
        <w:t>17(1), 4–28.</w:t>
      </w:r>
      <w:proofErr w:type="gramEnd"/>
      <w:r>
        <w:rPr>
          <w:sz w:val="20"/>
          <w:szCs w:val="20"/>
        </w:rPr>
        <w:t xml:space="preserve"> https://doi.org/10.1287/mksc.17.1.4</w:t>
      </w:r>
    </w:p>
    <w:p w:rsidR="00731E5A" w:rsidRDefault="00CA65C0">
      <w:pPr>
        <w:spacing w:after="140"/>
        <w:ind w:left="720" w:hanging="720"/>
        <w:jc w:val="both"/>
      </w:pPr>
      <w:r>
        <w:rPr>
          <w:sz w:val="20"/>
          <w:szCs w:val="20"/>
        </w:rPr>
        <w:t xml:space="preserve">Rutherford, S. (2000). </w:t>
      </w:r>
      <w:proofErr w:type="gramStart"/>
      <w:r w:rsidRPr="009F3093">
        <w:rPr>
          <w:i/>
          <w:sz w:val="20"/>
          <w:szCs w:val="20"/>
        </w:rPr>
        <w:t>The poor and their money</w:t>
      </w:r>
      <w:r>
        <w:rPr>
          <w:sz w:val="20"/>
          <w:szCs w:val="20"/>
        </w:rPr>
        <w:t>.</w:t>
      </w:r>
      <w:proofErr w:type="gramEnd"/>
      <w:r>
        <w:rPr>
          <w:sz w:val="20"/>
          <w:szCs w:val="20"/>
        </w:rPr>
        <w:t xml:space="preserve"> </w:t>
      </w:r>
      <w:proofErr w:type="gramStart"/>
      <w:r>
        <w:rPr>
          <w:sz w:val="20"/>
          <w:szCs w:val="20"/>
        </w:rPr>
        <w:t>Oxford University Press.</w:t>
      </w:r>
      <w:proofErr w:type="gramEnd"/>
    </w:p>
    <w:p w:rsidR="00731E5A" w:rsidRDefault="00CA65C0">
      <w:pPr>
        <w:spacing w:after="140"/>
        <w:ind w:left="720" w:hanging="720"/>
        <w:jc w:val="both"/>
      </w:pPr>
      <w:proofErr w:type="gramStart"/>
      <w:r>
        <w:rPr>
          <w:sz w:val="20"/>
          <w:szCs w:val="20"/>
        </w:rPr>
        <w:t>Shefrin, H. M., &amp; Thaler, R. H. (1988).</w:t>
      </w:r>
      <w:proofErr w:type="gramEnd"/>
      <w:r>
        <w:rPr>
          <w:sz w:val="20"/>
          <w:szCs w:val="20"/>
        </w:rPr>
        <w:t xml:space="preserve"> </w:t>
      </w:r>
      <w:proofErr w:type="gramStart"/>
      <w:r>
        <w:rPr>
          <w:sz w:val="20"/>
          <w:szCs w:val="20"/>
        </w:rPr>
        <w:t>The behavioral life-cycle hypothesis.</w:t>
      </w:r>
      <w:proofErr w:type="gramEnd"/>
      <w:r>
        <w:rPr>
          <w:sz w:val="20"/>
          <w:szCs w:val="20"/>
        </w:rPr>
        <w:t xml:space="preserve"> </w:t>
      </w:r>
      <w:r w:rsidRPr="009F3093">
        <w:rPr>
          <w:i/>
          <w:sz w:val="20"/>
          <w:szCs w:val="20"/>
        </w:rPr>
        <w:t>Journal of Political Economy</w:t>
      </w:r>
      <w:r>
        <w:rPr>
          <w:sz w:val="20"/>
          <w:szCs w:val="20"/>
        </w:rPr>
        <w:t>, 96(6), 609–643. https://doi.org/10.1086/261553</w:t>
      </w:r>
    </w:p>
    <w:p w:rsidR="00731E5A" w:rsidRDefault="00CA65C0">
      <w:pPr>
        <w:spacing w:after="140"/>
        <w:ind w:left="720" w:hanging="720"/>
        <w:jc w:val="both"/>
      </w:pPr>
      <w:proofErr w:type="gramStart"/>
      <w:r>
        <w:rPr>
          <w:sz w:val="20"/>
          <w:szCs w:val="20"/>
        </w:rPr>
        <w:t>Squires, M. (2021).</w:t>
      </w:r>
      <w:proofErr w:type="gramEnd"/>
      <w:r>
        <w:rPr>
          <w:sz w:val="20"/>
          <w:szCs w:val="20"/>
        </w:rPr>
        <w:t xml:space="preserve"> Kinship taxes, information, and savings mobilization: Evidence from Malawi. </w:t>
      </w:r>
      <w:proofErr w:type="gramStart"/>
      <w:r w:rsidRPr="009F3093">
        <w:rPr>
          <w:i/>
          <w:sz w:val="20"/>
          <w:szCs w:val="20"/>
        </w:rPr>
        <w:t>Journal of Development Economics,</w:t>
      </w:r>
      <w:r>
        <w:rPr>
          <w:sz w:val="20"/>
          <w:szCs w:val="20"/>
        </w:rPr>
        <w:t xml:space="preserve"> 148, 102574.</w:t>
      </w:r>
      <w:proofErr w:type="gramEnd"/>
      <w:r>
        <w:rPr>
          <w:sz w:val="20"/>
          <w:szCs w:val="20"/>
        </w:rPr>
        <w:t xml:space="preserve"> https://doi.org/10.1016/j.jdeveco.2020.102574</w:t>
      </w:r>
    </w:p>
    <w:p w:rsidR="00731E5A" w:rsidRDefault="00CA65C0">
      <w:pPr>
        <w:spacing w:after="140"/>
        <w:ind w:left="720" w:hanging="720"/>
        <w:jc w:val="both"/>
      </w:pPr>
      <w:proofErr w:type="gramStart"/>
      <w:r>
        <w:rPr>
          <w:sz w:val="20"/>
          <w:szCs w:val="20"/>
        </w:rPr>
        <w:t>Thaler, R. H. (1980).</w:t>
      </w:r>
      <w:proofErr w:type="gramEnd"/>
      <w:r>
        <w:rPr>
          <w:sz w:val="20"/>
          <w:szCs w:val="20"/>
        </w:rPr>
        <w:t xml:space="preserve"> </w:t>
      </w:r>
      <w:proofErr w:type="gramStart"/>
      <w:r>
        <w:rPr>
          <w:sz w:val="20"/>
          <w:szCs w:val="20"/>
        </w:rPr>
        <w:t>Toward a positive theory of consumer choice.</w:t>
      </w:r>
      <w:proofErr w:type="gramEnd"/>
      <w:r>
        <w:rPr>
          <w:sz w:val="20"/>
          <w:szCs w:val="20"/>
        </w:rPr>
        <w:t xml:space="preserve"> </w:t>
      </w:r>
      <w:r w:rsidRPr="009F3093">
        <w:rPr>
          <w:i/>
          <w:sz w:val="20"/>
          <w:szCs w:val="20"/>
        </w:rPr>
        <w:t xml:space="preserve">Journal of Economic Behavior &amp; Organization, </w:t>
      </w:r>
      <w:r>
        <w:rPr>
          <w:sz w:val="20"/>
          <w:szCs w:val="20"/>
        </w:rPr>
        <w:t>1(1), 39–60. https://doi.org/10.1016/0167-</w:t>
      </w:r>
      <w:proofErr w:type="gramStart"/>
      <w:r>
        <w:rPr>
          <w:sz w:val="20"/>
          <w:szCs w:val="20"/>
        </w:rPr>
        <w:t>2681(</w:t>
      </w:r>
      <w:proofErr w:type="gramEnd"/>
      <w:r>
        <w:rPr>
          <w:sz w:val="20"/>
          <w:szCs w:val="20"/>
        </w:rPr>
        <w:t>80)90051-7</w:t>
      </w:r>
    </w:p>
    <w:p w:rsidR="00731E5A" w:rsidRDefault="00CA65C0">
      <w:pPr>
        <w:spacing w:after="140"/>
        <w:ind w:left="720" w:hanging="720"/>
        <w:jc w:val="both"/>
      </w:pPr>
      <w:proofErr w:type="gramStart"/>
      <w:r>
        <w:rPr>
          <w:sz w:val="20"/>
          <w:szCs w:val="20"/>
        </w:rPr>
        <w:t>Thaler, R. H. (1985).</w:t>
      </w:r>
      <w:proofErr w:type="gramEnd"/>
      <w:r>
        <w:rPr>
          <w:sz w:val="20"/>
          <w:szCs w:val="20"/>
        </w:rPr>
        <w:t xml:space="preserve"> </w:t>
      </w:r>
      <w:proofErr w:type="gramStart"/>
      <w:r>
        <w:rPr>
          <w:sz w:val="20"/>
          <w:szCs w:val="20"/>
        </w:rPr>
        <w:t>Mental accounting and consumer choice.</w:t>
      </w:r>
      <w:proofErr w:type="gramEnd"/>
      <w:r>
        <w:rPr>
          <w:sz w:val="20"/>
          <w:szCs w:val="20"/>
        </w:rPr>
        <w:t xml:space="preserve"> </w:t>
      </w:r>
      <w:proofErr w:type="gramStart"/>
      <w:r w:rsidRPr="009F3093">
        <w:rPr>
          <w:i/>
          <w:sz w:val="20"/>
          <w:szCs w:val="20"/>
        </w:rPr>
        <w:t>Marketing Science,</w:t>
      </w:r>
      <w:r>
        <w:rPr>
          <w:sz w:val="20"/>
          <w:szCs w:val="20"/>
        </w:rPr>
        <w:t xml:space="preserve"> 4(3), 199–214.</w:t>
      </w:r>
      <w:proofErr w:type="gramEnd"/>
      <w:r>
        <w:rPr>
          <w:sz w:val="20"/>
          <w:szCs w:val="20"/>
        </w:rPr>
        <w:t xml:space="preserve"> https://doi.org/10.1287/mksc.4.3.199</w:t>
      </w:r>
    </w:p>
    <w:p w:rsidR="00731E5A" w:rsidRDefault="00CA65C0">
      <w:pPr>
        <w:spacing w:after="140"/>
        <w:ind w:left="720" w:hanging="720"/>
        <w:jc w:val="both"/>
      </w:pPr>
      <w:proofErr w:type="gramStart"/>
      <w:r>
        <w:rPr>
          <w:sz w:val="20"/>
          <w:szCs w:val="20"/>
        </w:rPr>
        <w:t>Thaler, R. H. (1990).</w:t>
      </w:r>
      <w:proofErr w:type="gramEnd"/>
      <w:r>
        <w:rPr>
          <w:sz w:val="20"/>
          <w:szCs w:val="20"/>
        </w:rPr>
        <w:t xml:space="preserve"> Anomalies: Saving, fungibility, and mental accounts. </w:t>
      </w:r>
      <w:r w:rsidRPr="009F3093">
        <w:rPr>
          <w:i/>
          <w:sz w:val="20"/>
          <w:szCs w:val="20"/>
        </w:rPr>
        <w:t>Journal of Economic Perspectives</w:t>
      </w:r>
      <w:r>
        <w:rPr>
          <w:sz w:val="20"/>
          <w:szCs w:val="20"/>
        </w:rPr>
        <w:t>, 4(1), 193–205. https://doi.org/10.1257/jep.4.1.193</w:t>
      </w:r>
    </w:p>
    <w:p w:rsidR="00731E5A" w:rsidRDefault="00CA65C0">
      <w:pPr>
        <w:spacing w:after="140"/>
        <w:ind w:left="720" w:hanging="720"/>
        <w:jc w:val="both"/>
      </w:pPr>
      <w:proofErr w:type="gramStart"/>
      <w:r>
        <w:rPr>
          <w:sz w:val="20"/>
          <w:szCs w:val="20"/>
        </w:rPr>
        <w:t>Thaler, R. H. (1999).</w:t>
      </w:r>
      <w:proofErr w:type="gramEnd"/>
      <w:r>
        <w:rPr>
          <w:sz w:val="20"/>
          <w:szCs w:val="20"/>
        </w:rPr>
        <w:t xml:space="preserve"> Mental accounting matters. </w:t>
      </w:r>
      <w:r w:rsidRPr="009F3093">
        <w:rPr>
          <w:i/>
          <w:sz w:val="20"/>
          <w:szCs w:val="20"/>
        </w:rPr>
        <w:t>Journal of Behavioral Decision Making</w:t>
      </w:r>
      <w:r>
        <w:rPr>
          <w:sz w:val="20"/>
          <w:szCs w:val="20"/>
        </w:rPr>
        <w:t>, 12(3), 183–206. https://doi.or</w:t>
      </w:r>
      <w:r w:rsidR="009F3093">
        <w:rPr>
          <w:sz w:val="20"/>
          <w:szCs w:val="20"/>
        </w:rPr>
        <w:t>g/10.1002</w:t>
      </w:r>
      <w:proofErr w:type="gramStart"/>
      <w:r w:rsidR="009F3093">
        <w:rPr>
          <w:sz w:val="20"/>
          <w:szCs w:val="20"/>
        </w:rPr>
        <w:t>/(</w:t>
      </w:r>
      <w:proofErr w:type="gramEnd"/>
      <w:r w:rsidR="009F3093">
        <w:rPr>
          <w:sz w:val="20"/>
          <w:szCs w:val="20"/>
        </w:rPr>
        <w:t>SICI)1099-0771</w:t>
      </w:r>
    </w:p>
    <w:p w:rsidR="00731E5A" w:rsidRDefault="00CA65C0">
      <w:pPr>
        <w:spacing w:after="140"/>
        <w:ind w:left="720" w:hanging="720"/>
        <w:jc w:val="both"/>
      </w:pPr>
      <w:r>
        <w:rPr>
          <w:sz w:val="20"/>
          <w:szCs w:val="20"/>
        </w:rPr>
        <w:t xml:space="preserve">Thaler, R. H., &amp; Benartzi, S. (2004). Save more tomorrow: Using behavioral economics to increase employee saving. </w:t>
      </w:r>
      <w:proofErr w:type="gramStart"/>
      <w:r w:rsidRPr="009F3093">
        <w:rPr>
          <w:i/>
          <w:sz w:val="20"/>
          <w:szCs w:val="20"/>
        </w:rPr>
        <w:t>Journal of Political Economy</w:t>
      </w:r>
      <w:r>
        <w:rPr>
          <w:sz w:val="20"/>
          <w:szCs w:val="20"/>
        </w:rPr>
        <w:t>, 112(S1), S164–S187.</w:t>
      </w:r>
      <w:proofErr w:type="gramEnd"/>
      <w:r>
        <w:rPr>
          <w:sz w:val="20"/>
          <w:szCs w:val="20"/>
        </w:rPr>
        <w:t xml:space="preserve"> https://doi.org/10.1086/380085</w:t>
      </w:r>
    </w:p>
    <w:p w:rsidR="00731E5A" w:rsidRDefault="00CA65C0">
      <w:pPr>
        <w:spacing w:after="140"/>
        <w:ind w:left="720" w:hanging="720"/>
        <w:jc w:val="both"/>
      </w:pPr>
      <w:r>
        <w:rPr>
          <w:sz w:val="20"/>
          <w:szCs w:val="20"/>
        </w:rPr>
        <w:t xml:space="preserve">Townsend, R. M. (1994). </w:t>
      </w:r>
      <w:proofErr w:type="gramStart"/>
      <w:r>
        <w:rPr>
          <w:sz w:val="20"/>
          <w:szCs w:val="20"/>
        </w:rPr>
        <w:t>Risk and insurance in village India.</w:t>
      </w:r>
      <w:proofErr w:type="gramEnd"/>
      <w:r>
        <w:rPr>
          <w:sz w:val="20"/>
          <w:szCs w:val="20"/>
        </w:rPr>
        <w:t xml:space="preserve"> </w:t>
      </w:r>
      <w:proofErr w:type="spellStart"/>
      <w:r w:rsidRPr="009F3093">
        <w:rPr>
          <w:i/>
          <w:sz w:val="20"/>
          <w:szCs w:val="20"/>
        </w:rPr>
        <w:t>Econometrica</w:t>
      </w:r>
      <w:proofErr w:type="spellEnd"/>
      <w:r>
        <w:rPr>
          <w:sz w:val="20"/>
          <w:szCs w:val="20"/>
        </w:rPr>
        <w:t>, 62(3), 539–591. https://doi.org/10.2307/2951659</w:t>
      </w:r>
    </w:p>
    <w:p w:rsidR="00731E5A" w:rsidRDefault="00CA65C0">
      <w:pPr>
        <w:spacing w:after="140"/>
        <w:ind w:left="720" w:hanging="720"/>
        <w:jc w:val="both"/>
      </w:pPr>
      <w:proofErr w:type="gramStart"/>
      <w:r>
        <w:rPr>
          <w:sz w:val="20"/>
          <w:szCs w:val="20"/>
        </w:rPr>
        <w:t>Tversky, A., &amp; Kahneman, D. (1991).</w:t>
      </w:r>
      <w:proofErr w:type="gramEnd"/>
      <w:r>
        <w:rPr>
          <w:sz w:val="20"/>
          <w:szCs w:val="20"/>
        </w:rPr>
        <w:t xml:space="preserve"> Loss aversion in riskless choice: A reference-dependent model. </w:t>
      </w:r>
      <w:r w:rsidRPr="009F3093">
        <w:rPr>
          <w:i/>
          <w:sz w:val="20"/>
          <w:szCs w:val="20"/>
        </w:rPr>
        <w:t>Quarterly Journal of Economics</w:t>
      </w:r>
      <w:r>
        <w:rPr>
          <w:sz w:val="20"/>
          <w:szCs w:val="20"/>
        </w:rPr>
        <w:t>, 106(4), 1039–1061. https://doi.org/10.2307/2937956</w:t>
      </w:r>
    </w:p>
    <w:p w:rsidR="00731E5A" w:rsidRDefault="00CA65C0">
      <w:pPr>
        <w:spacing w:after="140"/>
        <w:ind w:left="720" w:hanging="720"/>
        <w:jc w:val="both"/>
      </w:pPr>
      <w:proofErr w:type="gramStart"/>
      <w:r>
        <w:rPr>
          <w:sz w:val="20"/>
          <w:szCs w:val="20"/>
        </w:rPr>
        <w:lastRenderedPageBreak/>
        <w:t>UN-Habitat.</w:t>
      </w:r>
      <w:proofErr w:type="gramEnd"/>
      <w:r>
        <w:rPr>
          <w:sz w:val="20"/>
          <w:szCs w:val="20"/>
        </w:rPr>
        <w:t xml:space="preserve"> (2023). World cities report 2022: Envisaging the future of cities. </w:t>
      </w:r>
      <w:proofErr w:type="gramStart"/>
      <w:r>
        <w:rPr>
          <w:sz w:val="20"/>
          <w:szCs w:val="20"/>
        </w:rPr>
        <w:t>United Nations Human Settlements Programme.</w:t>
      </w:r>
      <w:proofErr w:type="gramEnd"/>
    </w:p>
    <w:p w:rsidR="00731E5A" w:rsidRDefault="00CA65C0">
      <w:pPr>
        <w:spacing w:after="140"/>
        <w:ind w:left="720" w:hanging="720"/>
        <w:jc w:val="both"/>
      </w:pPr>
      <w:proofErr w:type="gramStart"/>
      <w:r>
        <w:rPr>
          <w:sz w:val="20"/>
          <w:szCs w:val="20"/>
        </w:rPr>
        <w:t>van</w:t>
      </w:r>
      <w:proofErr w:type="gramEnd"/>
      <w:r>
        <w:rPr>
          <w:sz w:val="20"/>
          <w:szCs w:val="20"/>
        </w:rPr>
        <w:t xml:space="preserve"> Rooij, M., Lusardi, A., &amp; </w:t>
      </w:r>
      <w:proofErr w:type="spellStart"/>
      <w:r>
        <w:rPr>
          <w:sz w:val="20"/>
          <w:szCs w:val="20"/>
        </w:rPr>
        <w:t>Alessie</w:t>
      </w:r>
      <w:proofErr w:type="spellEnd"/>
      <w:r>
        <w:rPr>
          <w:sz w:val="20"/>
          <w:szCs w:val="20"/>
        </w:rPr>
        <w:t xml:space="preserve">, R. (2012). </w:t>
      </w:r>
      <w:proofErr w:type="gramStart"/>
      <w:r>
        <w:rPr>
          <w:sz w:val="20"/>
          <w:szCs w:val="20"/>
        </w:rPr>
        <w:t>Financial literacy, retirement planning, and household wealth.</w:t>
      </w:r>
      <w:proofErr w:type="gramEnd"/>
      <w:r>
        <w:rPr>
          <w:sz w:val="20"/>
          <w:szCs w:val="20"/>
        </w:rPr>
        <w:t xml:space="preserve"> </w:t>
      </w:r>
      <w:r w:rsidRPr="009F3093">
        <w:rPr>
          <w:i/>
          <w:sz w:val="20"/>
          <w:szCs w:val="20"/>
        </w:rPr>
        <w:t>Economic Journal</w:t>
      </w:r>
      <w:r>
        <w:rPr>
          <w:sz w:val="20"/>
          <w:szCs w:val="20"/>
        </w:rPr>
        <w:t>, 122(560), 449–478. https://doi.org/10.1111/j.1468-0297.2012.02501.x</w:t>
      </w:r>
    </w:p>
    <w:p w:rsidR="006337A1" w:rsidRDefault="00CA65C0">
      <w:pPr>
        <w:spacing w:after="140"/>
        <w:ind w:left="720" w:hanging="720"/>
        <w:jc w:val="both"/>
      </w:pPr>
      <w:r>
        <w:rPr>
          <w:sz w:val="20"/>
          <w:szCs w:val="20"/>
        </w:rPr>
        <w:t xml:space="preserve">Zollmann, J. (2014). </w:t>
      </w:r>
      <w:r w:rsidRPr="009F3093">
        <w:rPr>
          <w:i/>
          <w:sz w:val="20"/>
          <w:szCs w:val="20"/>
        </w:rPr>
        <w:t xml:space="preserve">Kenya financial diaries: </w:t>
      </w:r>
      <w:proofErr w:type="spellStart"/>
      <w:r w:rsidRPr="009F3093">
        <w:rPr>
          <w:i/>
          <w:sz w:val="20"/>
          <w:szCs w:val="20"/>
        </w:rPr>
        <w:t>Shilingi</w:t>
      </w:r>
      <w:proofErr w:type="spellEnd"/>
      <w:r w:rsidRPr="009F3093">
        <w:rPr>
          <w:i/>
          <w:sz w:val="20"/>
          <w:szCs w:val="20"/>
        </w:rPr>
        <w:t xml:space="preserve"> </w:t>
      </w:r>
      <w:proofErr w:type="spellStart"/>
      <w:proofErr w:type="gramStart"/>
      <w:r w:rsidRPr="009F3093">
        <w:rPr>
          <w:i/>
          <w:sz w:val="20"/>
          <w:szCs w:val="20"/>
        </w:rPr>
        <w:t>kwa</w:t>
      </w:r>
      <w:proofErr w:type="spellEnd"/>
      <w:proofErr w:type="gramEnd"/>
      <w:r w:rsidRPr="009F3093">
        <w:rPr>
          <w:i/>
          <w:sz w:val="20"/>
          <w:szCs w:val="20"/>
        </w:rPr>
        <w:t xml:space="preserve"> </w:t>
      </w:r>
      <w:proofErr w:type="spellStart"/>
      <w:r w:rsidRPr="009F3093">
        <w:rPr>
          <w:i/>
          <w:sz w:val="20"/>
          <w:szCs w:val="20"/>
        </w:rPr>
        <w:t>shilingi</w:t>
      </w:r>
      <w:proofErr w:type="spellEnd"/>
      <w:r w:rsidRPr="009F3093">
        <w:rPr>
          <w:i/>
          <w:sz w:val="20"/>
          <w:szCs w:val="20"/>
        </w:rPr>
        <w:t xml:space="preserve"> – The financial lives of the poor</w:t>
      </w:r>
      <w:r>
        <w:rPr>
          <w:sz w:val="20"/>
          <w:szCs w:val="20"/>
        </w:rPr>
        <w:t xml:space="preserve">. </w:t>
      </w:r>
      <w:proofErr w:type="gramStart"/>
      <w:r>
        <w:rPr>
          <w:sz w:val="20"/>
          <w:szCs w:val="20"/>
        </w:rPr>
        <w:t>FSD Kenya.</w:t>
      </w:r>
      <w:proofErr w:type="gramEnd"/>
    </w:p>
    <w:p w:rsidR="006337A1" w:rsidRPr="006337A1" w:rsidRDefault="006337A1" w:rsidP="006337A1"/>
    <w:p w:rsidR="006337A1" w:rsidRPr="006337A1" w:rsidRDefault="006337A1" w:rsidP="006337A1"/>
    <w:p w:rsidR="006337A1" w:rsidRPr="006337A1" w:rsidRDefault="006337A1" w:rsidP="006337A1"/>
    <w:p w:rsidR="006337A1" w:rsidRPr="006337A1" w:rsidRDefault="006337A1" w:rsidP="006337A1"/>
    <w:p w:rsidR="006337A1" w:rsidRPr="006337A1" w:rsidRDefault="006337A1" w:rsidP="006337A1"/>
    <w:p w:rsidR="006337A1" w:rsidRPr="006337A1" w:rsidRDefault="006337A1" w:rsidP="006337A1"/>
    <w:p w:rsidR="006337A1" w:rsidRDefault="006337A1" w:rsidP="006337A1"/>
    <w:p w:rsidR="00731E5A" w:rsidRPr="006337A1" w:rsidRDefault="00731E5A" w:rsidP="006337A1"/>
    <w:sectPr w:rsidR="00731E5A" w:rsidRPr="006337A1">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57" w:rsidRDefault="003D2957">
      <w:r>
        <w:separator/>
      </w:r>
    </w:p>
  </w:endnote>
  <w:endnote w:type="continuationSeparator" w:id="0">
    <w:p w:rsidR="003D2957" w:rsidRDefault="003D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57" w:rsidRDefault="003D2957">
      <w:r>
        <w:separator/>
      </w:r>
    </w:p>
  </w:footnote>
  <w:footnote w:type="continuationSeparator" w:id="0">
    <w:p w:rsidR="003D2957" w:rsidRDefault="003D2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918D8"/>
    <w:multiLevelType w:val="hybridMultilevel"/>
    <w:tmpl w:val="8918FCC8"/>
    <w:lvl w:ilvl="0" w:tplc="28581664">
      <w:start w:val="1"/>
      <w:numFmt w:val="bullet"/>
      <w:lvlText w:val="●"/>
      <w:lvlJc w:val="left"/>
      <w:pPr>
        <w:ind w:left="720" w:hanging="360"/>
      </w:pPr>
    </w:lvl>
    <w:lvl w:ilvl="1" w:tplc="50A2C886">
      <w:start w:val="1"/>
      <w:numFmt w:val="bullet"/>
      <w:lvlText w:val="○"/>
      <w:lvlJc w:val="left"/>
      <w:pPr>
        <w:ind w:left="1440" w:hanging="360"/>
      </w:pPr>
    </w:lvl>
    <w:lvl w:ilvl="2" w:tplc="46CA1084">
      <w:start w:val="1"/>
      <w:numFmt w:val="bullet"/>
      <w:lvlText w:val="■"/>
      <w:lvlJc w:val="left"/>
      <w:pPr>
        <w:ind w:left="2160" w:hanging="360"/>
      </w:pPr>
    </w:lvl>
    <w:lvl w:ilvl="3" w:tplc="DFDC9BA0">
      <w:start w:val="1"/>
      <w:numFmt w:val="bullet"/>
      <w:lvlText w:val="●"/>
      <w:lvlJc w:val="left"/>
      <w:pPr>
        <w:ind w:left="2880" w:hanging="360"/>
      </w:pPr>
    </w:lvl>
    <w:lvl w:ilvl="4" w:tplc="F5DA67AA">
      <w:start w:val="1"/>
      <w:numFmt w:val="bullet"/>
      <w:lvlText w:val="○"/>
      <w:lvlJc w:val="left"/>
      <w:pPr>
        <w:ind w:left="3600" w:hanging="360"/>
      </w:pPr>
    </w:lvl>
    <w:lvl w:ilvl="5" w:tplc="48DE01A2">
      <w:start w:val="1"/>
      <w:numFmt w:val="bullet"/>
      <w:lvlText w:val="■"/>
      <w:lvlJc w:val="left"/>
      <w:pPr>
        <w:ind w:left="4320" w:hanging="360"/>
      </w:pPr>
    </w:lvl>
    <w:lvl w:ilvl="6" w:tplc="F42E400E">
      <w:start w:val="1"/>
      <w:numFmt w:val="bullet"/>
      <w:lvlText w:val="●"/>
      <w:lvlJc w:val="left"/>
      <w:pPr>
        <w:ind w:left="5040" w:hanging="360"/>
      </w:pPr>
    </w:lvl>
    <w:lvl w:ilvl="7" w:tplc="B88C65F0">
      <w:start w:val="1"/>
      <w:numFmt w:val="bullet"/>
      <w:lvlText w:val="●"/>
      <w:lvlJc w:val="left"/>
      <w:pPr>
        <w:ind w:left="5760" w:hanging="360"/>
      </w:pPr>
    </w:lvl>
    <w:lvl w:ilvl="8" w:tplc="0C7A0AA4">
      <w:start w:val="1"/>
      <w:numFmt w:val="bullet"/>
      <w:lvlText w:val="●"/>
      <w:lvlJc w:val="left"/>
      <w:pPr>
        <w:ind w:left="6480" w:hanging="360"/>
      </w:pPr>
    </w:lvl>
  </w:abstractNum>
  <w:abstractNum w:abstractNumId="1">
    <w:nsid w:val="55D75A16"/>
    <w:multiLevelType w:val="hybridMultilevel"/>
    <w:tmpl w:val="95484F22"/>
    <w:lvl w:ilvl="0" w:tplc="04090005">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1E5A"/>
    <w:rsid w:val="00010300"/>
    <w:rsid w:val="00012ED5"/>
    <w:rsid w:val="00044385"/>
    <w:rsid w:val="000747CC"/>
    <w:rsid w:val="000777C0"/>
    <w:rsid w:val="00085B79"/>
    <w:rsid w:val="00090637"/>
    <w:rsid w:val="000A431F"/>
    <w:rsid w:val="000F5803"/>
    <w:rsid w:val="0013596D"/>
    <w:rsid w:val="001626AF"/>
    <w:rsid w:val="00185658"/>
    <w:rsid w:val="001C5118"/>
    <w:rsid w:val="001C56B4"/>
    <w:rsid w:val="001D79E6"/>
    <w:rsid w:val="0020042E"/>
    <w:rsid w:val="00213D60"/>
    <w:rsid w:val="00262E1D"/>
    <w:rsid w:val="002728EC"/>
    <w:rsid w:val="002A548E"/>
    <w:rsid w:val="002C3B0F"/>
    <w:rsid w:val="002C5158"/>
    <w:rsid w:val="002C5932"/>
    <w:rsid w:val="00307B15"/>
    <w:rsid w:val="003305B4"/>
    <w:rsid w:val="00384443"/>
    <w:rsid w:val="003D2957"/>
    <w:rsid w:val="003F1352"/>
    <w:rsid w:val="00421229"/>
    <w:rsid w:val="00423A6C"/>
    <w:rsid w:val="004354E7"/>
    <w:rsid w:val="00440267"/>
    <w:rsid w:val="004D25AF"/>
    <w:rsid w:val="00515B3B"/>
    <w:rsid w:val="00560D22"/>
    <w:rsid w:val="00577F0E"/>
    <w:rsid w:val="005F5217"/>
    <w:rsid w:val="00600643"/>
    <w:rsid w:val="0060658F"/>
    <w:rsid w:val="006337A1"/>
    <w:rsid w:val="00635902"/>
    <w:rsid w:val="006A3974"/>
    <w:rsid w:val="006B3BC7"/>
    <w:rsid w:val="006B5A3D"/>
    <w:rsid w:val="006C27ED"/>
    <w:rsid w:val="006D7583"/>
    <w:rsid w:val="006F7185"/>
    <w:rsid w:val="007223FF"/>
    <w:rsid w:val="00731E5A"/>
    <w:rsid w:val="00732447"/>
    <w:rsid w:val="0075159B"/>
    <w:rsid w:val="007516FD"/>
    <w:rsid w:val="00776797"/>
    <w:rsid w:val="007A1888"/>
    <w:rsid w:val="00850E7E"/>
    <w:rsid w:val="008639DF"/>
    <w:rsid w:val="00871D0D"/>
    <w:rsid w:val="0089073F"/>
    <w:rsid w:val="00897B14"/>
    <w:rsid w:val="008A26CB"/>
    <w:rsid w:val="008F7E65"/>
    <w:rsid w:val="009034A7"/>
    <w:rsid w:val="0092209D"/>
    <w:rsid w:val="009244AF"/>
    <w:rsid w:val="00925F1F"/>
    <w:rsid w:val="009404EC"/>
    <w:rsid w:val="0096290B"/>
    <w:rsid w:val="009C31FD"/>
    <w:rsid w:val="009E1C89"/>
    <w:rsid w:val="009F3093"/>
    <w:rsid w:val="00A05DAE"/>
    <w:rsid w:val="00A21DF4"/>
    <w:rsid w:val="00A31ADD"/>
    <w:rsid w:val="00A650E6"/>
    <w:rsid w:val="00A87AA3"/>
    <w:rsid w:val="00AA0CAB"/>
    <w:rsid w:val="00AB1E1E"/>
    <w:rsid w:val="00AB5548"/>
    <w:rsid w:val="00AD1531"/>
    <w:rsid w:val="00AD2E10"/>
    <w:rsid w:val="00B13EE8"/>
    <w:rsid w:val="00B14EEB"/>
    <w:rsid w:val="00B51827"/>
    <w:rsid w:val="00B92766"/>
    <w:rsid w:val="00BB1E55"/>
    <w:rsid w:val="00BB2AF2"/>
    <w:rsid w:val="00BB2F5D"/>
    <w:rsid w:val="00C023F0"/>
    <w:rsid w:val="00C07426"/>
    <w:rsid w:val="00C07F7E"/>
    <w:rsid w:val="00C54869"/>
    <w:rsid w:val="00C622F7"/>
    <w:rsid w:val="00C82E4F"/>
    <w:rsid w:val="00CA334F"/>
    <w:rsid w:val="00CA65C0"/>
    <w:rsid w:val="00CD4102"/>
    <w:rsid w:val="00CD56DD"/>
    <w:rsid w:val="00CE2359"/>
    <w:rsid w:val="00D60BFC"/>
    <w:rsid w:val="00D61EB2"/>
    <w:rsid w:val="00D7225C"/>
    <w:rsid w:val="00DB2634"/>
    <w:rsid w:val="00DB6ACD"/>
    <w:rsid w:val="00DC6440"/>
    <w:rsid w:val="00DF4065"/>
    <w:rsid w:val="00E2561F"/>
    <w:rsid w:val="00E821AD"/>
    <w:rsid w:val="00EB329D"/>
    <w:rsid w:val="00EC1BA4"/>
    <w:rsid w:val="00ED2E56"/>
    <w:rsid w:val="00EF7FCF"/>
    <w:rsid w:val="00F43897"/>
    <w:rsid w:val="00F6101F"/>
    <w:rsid w:val="00F64BA7"/>
    <w:rsid w:val="00F81D4A"/>
    <w:rsid w:val="00FA73B4"/>
    <w:rsid w:val="00FC3E8C"/>
    <w:rsid w:val="00FD1F37"/>
    <w:rsid w:val="00FD6A92"/>
    <w:rsid w:val="00FE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1111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A0CAB"/>
    <w:pPr>
      <w:tabs>
        <w:tab w:val="center" w:pos="4680"/>
        <w:tab w:val="right" w:pos="9360"/>
      </w:tabs>
    </w:pPr>
  </w:style>
  <w:style w:type="character" w:customStyle="1" w:styleId="HeaderChar">
    <w:name w:val="Header Char"/>
    <w:basedOn w:val="DefaultParagraphFont"/>
    <w:link w:val="Header"/>
    <w:uiPriority w:val="99"/>
    <w:rsid w:val="00AA0CAB"/>
  </w:style>
  <w:style w:type="paragraph" w:styleId="Footer">
    <w:name w:val="footer"/>
    <w:basedOn w:val="Normal"/>
    <w:link w:val="FooterChar"/>
    <w:uiPriority w:val="99"/>
    <w:unhideWhenUsed/>
    <w:rsid w:val="00AA0CAB"/>
    <w:pPr>
      <w:tabs>
        <w:tab w:val="center" w:pos="4680"/>
        <w:tab w:val="right" w:pos="9360"/>
      </w:tabs>
    </w:pPr>
  </w:style>
  <w:style w:type="character" w:customStyle="1" w:styleId="FooterChar">
    <w:name w:val="Footer Char"/>
    <w:basedOn w:val="DefaultParagraphFont"/>
    <w:link w:val="Footer"/>
    <w:uiPriority w:val="99"/>
    <w:rsid w:val="00AA0CAB"/>
  </w:style>
  <w:style w:type="paragraph" w:styleId="BalloonText">
    <w:name w:val="Balloon Text"/>
    <w:basedOn w:val="Normal"/>
    <w:link w:val="BalloonTextChar"/>
    <w:uiPriority w:val="99"/>
    <w:semiHidden/>
    <w:unhideWhenUsed/>
    <w:rsid w:val="00A21DF4"/>
    <w:rPr>
      <w:rFonts w:ascii="Tahoma" w:hAnsi="Tahoma" w:cs="Tahoma"/>
      <w:sz w:val="16"/>
      <w:szCs w:val="16"/>
    </w:rPr>
  </w:style>
  <w:style w:type="character" w:customStyle="1" w:styleId="BalloonTextChar">
    <w:name w:val="Balloon Text Char"/>
    <w:basedOn w:val="DefaultParagraphFont"/>
    <w:link w:val="BalloonText"/>
    <w:uiPriority w:val="99"/>
    <w:semiHidden/>
    <w:rsid w:val="00A21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11111"/>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A0CAB"/>
    <w:pPr>
      <w:tabs>
        <w:tab w:val="center" w:pos="4680"/>
        <w:tab w:val="right" w:pos="9360"/>
      </w:tabs>
    </w:pPr>
  </w:style>
  <w:style w:type="character" w:customStyle="1" w:styleId="HeaderChar">
    <w:name w:val="Header Char"/>
    <w:basedOn w:val="DefaultParagraphFont"/>
    <w:link w:val="Header"/>
    <w:uiPriority w:val="99"/>
    <w:rsid w:val="00AA0CAB"/>
  </w:style>
  <w:style w:type="paragraph" w:styleId="Footer">
    <w:name w:val="footer"/>
    <w:basedOn w:val="Normal"/>
    <w:link w:val="FooterChar"/>
    <w:uiPriority w:val="99"/>
    <w:unhideWhenUsed/>
    <w:rsid w:val="00AA0CAB"/>
    <w:pPr>
      <w:tabs>
        <w:tab w:val="center" w:pos="4680"/>
        <w:tab w:val="right" w:pos="9360"/>
      </w:tabs>
    </w:pPr>
  </w:style>
  <w:style w:type="character" w:customStyle="1" w:styleId="FooterChar">
    <w:name w:val="Footer Char"/>
    <w:basedOn w:val="DefaultParagraphFont"/>
    <w:link w:val="Footer"/>
    <w:uiPriority w:val="99"/>
    <w:rsid w:val="00AA0CAB"/>
  </w:style>
  <w:style w:type="paragraph" w:styleId="BalloonText">
    <w:name w:val="Balloon Text"/>
    <w:basedOn w:val="Normal"/>
    <w:link w:val="BalloonTextChar"/>
    <w:uiPriority w:val="99"/>
    <w:semiHidden/>
    <w:unhideWhenUsed/>
    <w:rsid w:val="00A21DF4"/>
    <w:rPr>
      <w:rFonts w:ascii="Tahoma" w:hAnsi="Tahoma" w:cs="Tahoma"/>
      <w:sz w:val="16"/>
      <w:szCs w:val="16"/>
    </w:rPr>
  </w:style>
  <w:style w:type="character" w:customStyle="1" w:styleId="BalloonTextChar">
    <w:name w:val="Balloon Text Char"/>
    <w:basedOn w:val="DefaultParagraphFont"/>
    <w:link w:val="BalloonText"/>
    <w:uiPriority w:val="99"/>
    <w:semiHidden/>
    <w:rsid w:val="00A21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onoja@bsum.edu.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25</Pages>
  <Words>12580</Words>
  <Characters>71706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32</cp:revision>
  <dcterms:created xsi:type="dcterms:W3CDTF">2026-05-23T19:06:00Z</dcterms:created>
  <dcterms:modified xsi:type="dcterms:W3CDTF">2026-06-29T18:30:00Z</dcterms:modified>
</cp:coreProperties>
</file>