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9428" w14:textId="77777777" w:rsidR="00516544" w:rsidRDefault="00000000">
      <w:pPr>
        <w:spacing w:after="0" w:line="259" w:lineRule="auto"/>
        <w:ind w:left="10" w:right="13"/>
        <w:jc w:val="center"/>
      </w:pPr>
      <w:r>
        <w:rPr>
          <w:b/>
        </w:rPr>
        <w:t xml:space="preserve">School-Based Management Level of Practice and Challenges of Public  </w:t>
      </w:r>
    </w:p>
    <w:p w14:paraId="321D7628" w14:textId="77777777" w:rsidR="00516544" w:rsidRDefault="00000000">
      <w:pPr>
        <w:spacing w:after="0" w:line="259" w:lineRule="auto"/>
        <w:ind w:left="10" w:right="13"/>
        <w:jc w:val="center"/>
      </w:pPr>
      <w:r>
        <w:rPr>
          <w:b/>
        </w:rPr>
        <w:t xml:space="preserve"/>
      </w:r>
    </w:p>
    <w:p w14:paraId="2F4ABC24" w14:textId="77777777" w:rsidR="00516544" w:rsidRDefault="00000000">
      <w:pPr>
        <w:spacing w:after="0" w:line="259" w:lineRule="auto"/>
        <w:ind w:left="0" w:right="0" w:firstLine="0"/>
        <w:jc w:val="left"/>
      </w:pPr>
      <w:r>
        <w:t xml:space="preserve"> </w:t>
      </w:r>
    </w:p>
    <w:p w14:paraId="3730BA0C" w14:textId="382FACEC" w:rsidR="00516544" w:rsidRDefault="00000000" w:rsidP="007E6933">
      <w:pPr>
        <w:spacing w:after="0" w:line="259" w:lineRule="auto"/>
        <w:ind w:left="10" w:right="11"/>
        <w:jc w:val="center"/>
      </w:pPr>
      <w:proofErr w:type="spellStart"/>
      <w:r>
        <w:rPr>
          <w:b/>
        </w:rPr>
        <w:t/>
      </w:r>
      <w:proofErr w:type="spellEnd"/>
      <w:r>
        <w:rPr>
          <w:b/>
        </w:rPr>
        <w:t xml:space="preserve"/>
      </w:r>
    </w:p>
    <w:p w14:paraId="2D7432AC" w14:textId="44B9DCEA" w:rsidR="00516544" w:rsidRDefault="00000000" w:rsidP="007E6933">
      <w:pPr>
        <w:spacing w:after="0" w:line="259" w:lineRule="auto"/>
        <w:ind w:left="10" w:right="13"/>
        <w:jc w:val="center"/>
      </w:pPr>
      <w:r>
        <w:rPr>
          <w:i/>
        </w:rPr>
        <w:t xml:space="preserve"/>
      </w:r>
      <w:r w:rsidR="007E6933">
        <w:rPr>
          <w:i/>
        </w:rPr>
        <w:t/>
      </w:r>
    </w:p>
    <w:p w14:paraId="5DC8AEC0" w14:textId="11942D71" w:rsidR="00516544" w:rsidRDefault="007E6933">
      <w:pPr>
        <w:spacing w:after="0" w:line="259" w:lineRule="auto"/>
        <w:ind w:left="10" w:right="11"/>
        <w:jc w:val="center"/>
        <w:rPr>
          <w:i/>
        </w:rPr>
      </w:pPr>
      <w:r>
        <w:rPr>
          <w:i/>
        </w:rPr>
        <w:t/>
      </w:r>
      <w:r w:rsidR="00000000">
        <w:rPr>
          <w:i/>
        </w:rPr>
        <w:t xml:space="preserve"/>
      </w:r>
    </w:p>
    <w:p w14:paraId="1C31294B" w14:textId="77777777" w:rsidR="007E6933" w:rsidRDefault="007E6933">
      <w:pPr>
        <w:spacing w:after="0" w:line="259" w:lineRule="auto"/>
        <w:ind w:left="10" w:right="11"/>
        <w:jc w:val="center"/>
      </w:pPr>
    </w:p>
    <w:p w14:paraId="4E6AC1C5" w14:textId="2252CED2" w:rsidR="007E6933" w:rsidRDefault="007E6933" w:rsidP="007E6933">
      <w:pPr>
        <w:spacing w:after="0" w:line="259" w:lineRule="auto"/>
        <w:ind w:left="10" w:right="11"/>
        <w:jc w:val="center"/>
      </w:pPr>
      <w:r>
        <w:rPr>
          <w:b/>
        </w:rPr>
        <w:t/>
      </w:r>
    </w:p>
    <w:p w14:paraId="70987D4D" w14:textId="77777777" w:rsidR="007E6933" w:rsidRDefault="007E6933" w:rsidP="007E6933">
      <w:pPr>
        <w:spacing w:after="0" w:line="259" w:lineRule="auto"/>
        <w:ind w:left="10" w:right="13"/>
        <w:jc w:val="center"/>
      </w:pPr>
      <w:r>
        <w:rPr>
          <w:i/>
        </w:rPr>
        <w:t/>
      </w:r>
    </w:p>
    <w:p w14:paraId="250BF1E7" w14:textId="25DF9D5B" w:rsidR="007E6933" w:rsidRDefault="007E6933" w:rsidP="007E6933">
      <w:pPr>
        <w:spacing w:after="0" w:line="259" w:lineRule="auto"/>
        <w:ind w:left="10" w:right="11"/>
        <w:jc w:val="center"/>
        <w:rPr>
          <w:i/>
        </w:rPr>
      </w:pPr>
      <w:r>
        <w:rPr>
          <w:i/>
        </w:rPr>
        <w:t xml:space="preserve"/>
      </w:r>
      <w:r>
        <w:rPr>
          <w:i/>
        </w:rPr>
        <w:t/>
      </w:r>
      <w:r>
        <w:rPr>
          <w:i/>
        </w:rPr>
        <w:t xml:space="preserve"/>
      </w:r>
    </w:p>
    <w:p w14:paraId="1F30EAD9" w14:textId="77777777" w:rsidR="007E6933" w:rsidRDefault="007E6933">
      <w:pPr>
        <w:spacing w:after="0" w:line="259" w:lineRule="auto"/>
        <w:ind w:left="10" w:right="11"/>
        <w:jc w:val="center"/>
      </w:pPr>
    </w:p>
    <w:p w14:paraId="76E4D36A" w14:textId="77777777" w:rsidR="00516544" w:rsidRDefault="00000000">
      <w:pPr>
        <w:spacing w:after="0" w:line="259" w:lineRule="auto"/>
        <w:ind w:left="53" w:right="0" w:firstLine="0"/>
        <w:jc w:val="center"/>
      </w:pPr>
      <w:r>
        <w:t xml:space="preserve"> </w:t>
      </w:r>
    </w:p>
    <w:p w14:paraId="438F7747" w14:textId="77777777" w:rsidR="00516544" w:rsidRDefault="00000000">
      <w:pPr>
        <w:pStyle w:val="Heading1"/>
        <w:ind w:left="730" w:right="0"/>
      </w:pPr>
      <w:r>
        <w:t xml:space="preserve">Abstract </w:t>
      </w:r>
    </w:p>
    <w:p w14:paraId="71DFBCAD" w14:textId="77777777" w:rsidR="00516544" w:rsidRDefault="00000000">
      <w:pPr>
        <w:spacing w:after="66" w:line="259" w:lineRule="auto"/>
        <w:ind w:left="690" w:right="0" w:firstLine="0"/>
        <w:jc w:val="left"/>
      </w:pPr>
      <w:r>
        <w:rPr>
          <w:rFonts w:ascii="Calibri" w:eastAsia="Calibri" w:hAnsi="Calibri" w:cs="Calibri"/>
          <w:noProof/>
        </w:rPr>
        <mc:AlternateContent>
          <mc:Choice Requires="wpg">
            <w:drawing>
              <wp:inline distT="0" distB="0" distL="0" distR="0" wp14:anchorId="57066952" wp14:editId="2C034A0E">
                <wp:extent cx="5068316" cy="6350"/>
                <wp:effectExtent l="0" t="0" r="0" b="0"/>
                <wp:docPr id="33973" name="Group 33973"/>
                <wp:cNvGraphicFramePr/>
                <a:graphic xmlns:a="http://schemas.openxmlformats.org/drawingml/2006/main">
                  <a:graphicData uri="http://schemas.microsoft.com/office/word/2010/wordprocessingGroup">
                    <wpg:wgp>
                      <wpg:cNvGrpSpPr/>
                      <wpg:grpSpPr>
                        <a:xfrm>
                          <a:off x="0" y="0"/>
                          <a:ext cx="5068316" cy="6350"/>
                          <a:chOff x="0" y="0"/>
                          <a:chExt cx="5068316" cy="6350"/>
                        </a:xfrm>
                      </wpg:grpSpPr>
                      <wps:wsp>
                        <wps:cNvPr id="43748" name="Shape 43748"/>
                        <wps:cNvSpPr/>
                        <wps:spPr>
                          <a:xfrm>
                            <a:off x="0" y="0"/>
                            <a:ext cx="5068316" cy="9144"/>
                          </a:xfrm>
                          <a:custGeom>
                            <a:avLst/>
                            <a:gdLst/>
                            <a:ahLst/>
                            <a:cxnLst/>
                            <a:rect l="0" t="0" r="0" b="0"/>
                            <a:pathLst>
                              <a:path w="5068316" h="9144">
                                <a:moveTo>
                                  <a:pt x="0" y="0"/>
                                </a:moveTo>
                                <a:lnTo>
                                  <a:pt x="5068316" y="0"/>
                                </a:lnTo>
                                <a:lnTo>
                                  <a:pt x="5068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73" style="width:399.08pt;height:0.5pt;mso-position-horizontal-relative:char;mso-position-vertical-relative:line" coordsize="50683,63">
                <v:shape id="Shape 43749" style="position:absolute;width:50683;height:91;left:0;top:0;" coordsize="5068316,9144" path="m0,0l5068316,0l5068316,9144l0,9144l0,0">
                  <v:stroke weight="0pt" endcap="flat" joinstyle="miter" miterlimit="10" on="false" color="#000000" opacity="0"/>
                  <v:fill on="true" color="#000000"/>
                </v:shape>
              </v:group>
            </w:pict>
          </mc:Fallback>
        </mc:AlternateContent>
      </w:r>
    </w:p>
    <w:p w14:paraId="2F56298B" w14:textId="77777777" w:rsidR="00516544" w:rsidRDefault="00000000">
      <w:r>
        <w:t xml:space="preserve">This study was conducted in the public secondary schools in the second congressional district in the division of Bohol, which aimed to find out the </w:t>
      </w:r>
      <w:proofErr w:type="spellStart"/>
      <w:r>
        <w:t>schoolbased</w:t>
      </w:r>
      <w:proofErr w:type="spellEnd"/>
      <w:r>
        <w:t xml:space="preserve"> management level of practice and challenges of public secondary schools. It utilized a descriptive- correlational survey method employing an online survey questionnaire made from Google Forms as a tool in gathering data. Frequency, percentages, weighted mean, standard deviation, and Chi- Square Test were employed. Sixty-eight respondents were able to answer the online survey of the study. Evidence of School-Based Management (SBM) framework in terms of Leadership and Governance, Curriculum and Learning, Accountability and Continuous Improvement, and Management of Resources were described at a “Maturing Level” demonstrated that planned practices and procedures were fully implemented and aligned to ACCESs, a framework to advance the philosophy of shared governance of education and to ensure a strong culture of effective leadership &amp; management in the provision of basic education. Significant difference on the profile of the respondents and their level of practice of the </w:t>
      </w:r>
      <w:proofErr w:type="spellStart"/>
      <w:r>
        <w:t>schoolbased</w:t>
      </w:r>
      <w:proofErr w:type="spellEnd"/>
      <w:r>
        <w:t xml:space="preserve"> management conceptual framework were determined at the level of </w:t>
      </w:r>
      <w:proofErr w:type="spellStart"/>
      <w:r>
        <w:t>schoolbased</w:t>
      </w:r>
      <w:proofErr w:type="spellEnd"/>
      <w:r>
        <w:t xml:space="preserve"> implementation and school category. Significant difference on the profiles of the respondents and the challenges of school-based management were determined in terms of school category. Furthermore, a significant relationship was found between the respondents’ level of practice of the school-based management conceptual framework and the challenges in the successful implementation of school-based management. Finally, it is recommended that SBM in charge, like school heads, teachers, and stakeholders, undergo relevant training in the second congressional district in the division of Bohol. </w:t>
      </w:r>
    </w:p>
    <w:p w14:paraId="1784742B" w14:textId="77777777" w:rsidR="00516544" w:rsidRDefault="00000000">
      <w:pPr>
        <w:spacing w:after="46" w:line="259" w:lineRule="auto"/>
        <w:ind w:left="690" w:right="0" w:firstLine="0"/>
        <w:jc w:val="left"/>
      </w:pPr>
      <w:r>
        <w:rPr>
          <w:rFonts w:ascii="Calibri" w:eastAsia="Calibri" w:hAnsi="Calibri" w:cs="Calibri"/>
          <w:noProof/>
        </w:rPr>
        <mc:AlternateContent>
          <mc:Choice Requires="wpg">
            <w:drawing>
              <wp:inline distT="0" distB="0" distL="0" distR="0" wp14:anchorId="153CB7B5" wp14:editId="55604C35">
                <wp:extent cx="5068316" cy="6350"/>
                <wp:effectExtent l="0" t="0" r="0" b="0"/>
                <wp:docPr id="33974" name="Group 33974"/>
                <wp:cNvGraphicFramePr/>
                <a:graphic xmlns:a="http://schemas.openxmlformats.org/drawingml/2006/main">
                  <a:graphicData uri="http://schemas.microsoft.com/office/word/2010/wordprocessingGroup">
                    <wpg:wgp>
                      <wpg:cNvGrpSpPr/>
                      <wpg:grpSpPr>
                        <a:xfrm>
                          <a:off x="0" y="0"/>
                          <a:ext cx="5068316" cy="6350"/>
                          <a:chOff x="0" y="0"/>
                          <a:chExt cx="5068316" cy="6350"/>
                        </a:xfrm>
                      </wpg:grpSpPr>
                      <wps:wsp>
                        <wps:cNvPr id="43750" name="Shape 43750"/>
                        <wps:cNvSpPr/>
                        <wps:spPr>
                          <a:xfrm>
                            <a:off x="0" y="0"/>
                            <a:ext cx="5068316" cy="9144"/>
                          </a:xfrm>
                          <a:custGeom>
                            <a:avLst/>
                            <a:gdLst/>
                            <a:ahLst/>
                            <a:cxnLst/>
                            <a:rect l="0" t="0" r="0" b="0"/>
                            <a:pathLst>
                              <a:path w="5068316" h="9144">
                                <a:moveTo>
                                  <a:pt x="0" y="0"/>
                                </a:moveTo>
                                <a:lnTo>
                                  <a:pt x="5068316" y="0"/>
                                </a:lnTo>
                                <a:lnTo>
                                  <a:pt x="50683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3974" style="width:399.08pt;height:0.5pt;mso-position-horizontal-relative:char;mso-position-vertical-relative:line" coordsize="50683,63">
                <v:shape id="Shape 43751" style="position:absolute;width:50683;height:91;left:0;top:0;" coordsize="5068316,9144" path="m0,0l5068316,0l5068316,9144l0,9144l0,0">
                  <v:stroke weight="0pt" endcap="flat" joinstyle="miter" miterlimit="10" on="false" color="#000000" opacity="0"/>
                  <v:fill on="true" color="#000000"/>
                </v:shape>
              </v:group>
            </w:pict>
          </mc:Fallback>
        </mc:AlternateContent>
      </w:r>
    </w:p>
    <w:p w14:paraId="4F6951B7" w14:textId="77777777" w:rsidR="00516544" w:rsidRDefault="00000000">
      <w:pPr>
        <w:ind w:right="0"/>
        <w:jc w:val="left"/>
      </w:pPr>
      <w:r>
        <w:rPr>
          <w:b/>
          <w:i/>
        </w:rPr>
        <w:t>Keywords</w:t>
      </w:r>
      <w:r>
        <w:rPr>
          <w:i/>
        </w:rPr>
        <w:t xml:space="preserve">: school-based management, leadership and governance, implementation challenges, public secondary schools, educational management. </w:t>
      </w:r>
    </w:p>
    <w:p w14:paraId="1670A6E2" w14:textId="77777777" w:rsidR="00516544" w:rsidRDefault="00000000">
      <w:pPr>
        <w:spacing w:after="0" w:line="259" w:lineRule="auto"/>
        <w:ind w:left="720" w:right="0" w:firstLine="0"/>
        <w:jc w:val="left"/>
      </w:pPr>
      <w:r>
        <w:t xml:space="preserve"> </w:t>
      </w:r>
    </w:p>
    <w:p w14:paraId="7ABEF7ED" w14:textId="77777777" w:rsidR="00516544" w:rsidRDefault="00000000">
      <w:pPr>
        <w:spacing w:after="0" w:line="259" w:lineRule="auto"/>
        <w:ind w:left="0" w:right="0" w:firstLine="0"/>
        <w:jc w:val="left"/>
      </w:pPr>
      <w:r>
        <w:t xml:space="preserve"> </w:t>
      </w:r>
    </w:p>
    <w:p w14:paraId="0B3A3869" w14:textId="77777777" w:rsidR="00516544" w:rsidRDefault="00000000">
      <w:pPr>
        <w:pStyle w:val="Heading1"/>
        <w:ind w:left="-5" w:right="0"/>
      </w:pPr>
      <w:r>
        <w:t xml:space="preserve">Introduction </w:t>
      </w:r>
    </w:p>
    <w:p w14:paraId="5392CA9E" w14:textId="77777777" w:rsidR="00516544" w:rsidRDefault="00000000">
      <w:pPr>
        <w:ind w:left="-5" w:right="0"/>
      </w:pPr>
      <w:r>
        <w:t xml:space="preserve">The global educational system, particularly of those developing and underdeveloped countries, is overwhelmed with restraining trends such as low academic and co-curricular performance of students, inadequate training of teachers and school leaders, low accountability level, and poor </w:t>
      </w:r>
      <w:r>
        <w:lastRenderedPageBreak/>
        <w:t>monitoring and evaluation system, among others. In the past, small and big schools alike had to wait for circulars or mandates from the central government to deal with local needs and manage change to address specific concerns. Such a process had been found to be a significant cause of the dormant movement of education to adapt to the fast-changing needs of society. With research and the initiatives of education experts all over the world, decentralization found its way to improve decision-making and facilitate self-management among local schools (</w:t>
      </w:r>
      <w:proofErr w:type="spellStart"/>
      <w:r>
        <w:t>Latorilla</w:t>
      </w:r>
      <w:proofErr w:type="spellEnd"/>
      <w:r>
        <w:t xml:space="preserve">, 2012).  </w:t>
      </w:r>
    </w:p>
    <w:p w14:paraId="4173EB43" w14:textId="77777777" w:rsidR="00516544" w:rsidRDefault="00000000">
      <w:pPr>
        <w:spacing w:after="0" w:line="259" w:lineRule="auto"/>
        <w:ind w:left="0" w:right="0" w:firstLine="0"/>
        <w:jc w:val="left"/>
      </w:pPr>
      <w:r>
        <w:t xml:space="preserve"> </w:t>
      </w:r>
    </w:p>
    <w:p w14:paraId="17153758" w14:textId="77777777" w:rsidR="00516544" w:rsidRDefault="00000000">
      <w:pPr>
        <w:ind w:left="-5" w:right="0"/>
      </w:pPr>
      <w:r>
        <w:t>The Philippine educational system has undergone many reforms to improve the quality of education for all learners. One of the major reforms that has been implemented was school-based management mandated under the Republic Act. No. 9155, also known as the “Governance of Basic Education Act of 2001,” whose main purpose is to enhance the performance of schools and students. Unfortunately, in some regions like Caraga, Regional Order no.7, s. 2020, entitled Strict Implementation and Utilization of “</w:t>
      </w:r>
      <w:proofErr w:type="spellStart"/>
      <w:r>
        <w:t>Lagda</w:t>
      </w:r>
      <w:proofErr w:type="spellEnd"/>
      <w:r>
        <w:t xml:space="preserve"> </w:t>
      </w:r>
      <w:proofErr w:type="spellStart"/>
      <w:r>
        <w:t>sa</w:t>
      </w:r>
      <w:proofErr w:type="spellEnd"/>
      <w:r>
        <w:t xml:space="preserve"> </w:t>
      </w:r>
      <w:proofErr w:type="spellStart"/>
      <w:r>
        <w:t>Kadumalahan</w:t>
      </w:r>
      <w:proofErr w:type="spellEnd"/>
      <w:r>
        <w:t>', a Contextualized School-Based Management Manual during the document, analysis, observation, and discussion results revealed that crafting of an enhanced school improvement plan (E-SIP) was not facilitated, initiated, and communicated to the stakeholders. Teacher-made contextualized materials/ learning resources were not quality assured, but were already benchmarked by other teachers. However, most of the schools did not review and update their strategic plans, while in the MIMAROPA region, most schools failed to determine their status of SBM implementation (</w:t>
      </w:r>
      <w:proofErr w:type="spellStart"/>
      <w:r>
        <w:t>Ballarta</w:t>
      </w:r>
      <w:proofErr w:type="spellEnd"/>
      <w:r>
        <w:t xml:space="preserve"> et al., 2022). </w:t>
      </w:r>
    </w:p>
    <w:p w14:paraId="23F8E1D1" w14:textId="77777777" w:rsidR="00516544" w:rsidRDefault="00000000">
      <w:pPr>
        <w:spacing w:after="0" w:line="259" w:lineRule="auto"/>
        <w:ind w:left="0" w:right="0" w:firstLine="0"/>
        <w:jc w:val="left"/>
      </w:pPr>
      <w:r>
        <w:t xml:space="preserve"> </w:t>
      </w:r>
    </w:p>
    <w:p w14:paraId="1DFBE745" w14:textId="77777777" w:rsidR="00516544" w:rsidRDefault="00000000">
      <w:pPr>
        <w:ind w:left="-5" w:right="0"/>
      </w:pPr>
      <w:r>
        <w:t xml:space="preserve">In the context of the province of Bohol, particularly in the district of </w:t>
      </w:r>
      <w:proofErr w:type="spellStart"/>
      <w:r>
        <w:t>Sagbayan</w:t>
      </w:r>
      <w:proofErr w:type="spellEnd"/>
      <w:r>
        <w:t xml:space="preserve">, school-based management was implemented. However, no proper introduction was provided, especially to the teachers, regarding how school-based management is conducted. Further, only school heads and/or principals were able to attend trainings relevant to school-based management without including the school’s SBM coordinator and the chairpersons of the four dimensions of </w:t>
      </w:r>
      <w:proofErr w:type="spellStart"/>
      <w:r>
        <w:t>schoolbased</w:t>
      </w:r>
      <w:proofErr w:type="spellEnd"/>
      <w:r>
        <w:t xml:space="preserve"> management. Additionally, the selection of personnel who will comprise the school’s SBM team was simply made through delegation and after the collection of data for school-based management, no feedback was provided to both teachers and stakeholders regarding the areas in SBM that showed best practices, needs more focus and the status on SBM level of practice whether the school is still under level I (beginning), level II (developing), had reach level III (advanced). </w:t>
      </w:r>
    </w:p>
    <w:p w14:paraId="63E3FB76" w14:textId="77777777" w:rsidR="00516544" w:rsidRDefault="00000000">
      <w:pPr>
        <w:spacing w:after="0" w:line="259" w:lineRule="auto"/>
        <w:ind w:left="0" w:right="0" w:firstLine="0"/>
        <w:jc w:val="left"/>
      </w:pPr>
      <w:r>
        <w:t xml:space="preserve"> </w:t>
      </w:r>
    </w:p>
    <w:p w14:paraId="3C32BCF4" w14:textId="77777777" w:rsidR="00516544" w:rsidRDefault="00000000">
      <w:pPr>
        <w:ind w:left="-5" w:right="0"/>
      </w:pPr>
      <w:r>
        <w:t xml:space="preserve">School-based management has been implemented in the division of Bohol for several years already to improve the quality of learning for all its learners and to improve schools’ performance under its jurisdiction and that schools during this time should have reached advanced category but unfortunately most of the schools were stuck in maturing category, hence this research is conducted and is primarily aimed at determining the school-based management level of practice and challenges encountered in the successful implementation of the program of public secondary schools in the division of Bohol to improve school performance. </w:t>
      </w:r>
    </w:p>
    <w:p w14:paraId="0187A361" w14:textId="77777777" w:rsidR="00516544" w:rsidRDefault="00000000">
      <w:pPr>
        <w:spacing w:after="0" w:line="259" w:lineRule="auto"/>
        <w:ind w:left="0" w:right="0" w:firstLine="0"/>
        <w:jc w:val="left"/>
      </w:pPr>
      <w:r>
        <w:t xml:space="preserve"> </w:t>
      </w:r>
    </w:p>
    <w:p w14:paraId="4B935F55" w14:textId="77777777" w:rsidR="00516544" w:rsidRDefault="00000000">
      <w:pPr>
        <w:pStyle w:val="Heading1"/>
        <w:ind w:left="-5" w:right="0"/>
      </w:pPr>
      <w:r>
        <w:t xml:space="preserve">Literature Background </w:t>
      </w:r>
    </w:p>
    <w:p w14:paraId="6FBD2854" w14:textId="77777777" w:rsidR="00516544" w:rsidRDefault="00000000">
      <w:pPr>
        <w:ind w:left="-5" w:right="0"/>
      </w:pPr>
      <w:r>
        <w:t>In a world where knowledge has become a crucial element for nations to prosper and compete, primacy is placed on quality and accessible education from early childhood development to primary, secondary, and tertiary learning. It is for this reason that the significance of education to any country needs to be underscored, for it is believed to be the primary source of all technological advances, innovations, and human comforts. In most countries, particularly those that are developing like the Philippines, education is seen as the key to social mobility and a major determinant of the levels of prosperity, welfare, and security of the people (</w:t>
      </w:r>
      <w:proofErr w:type="spellStart"/>
      <w:r>
        <w:t>Viggayan</w:t>
      </w:r>
      <w:proofErr w:type="spellEnd"/>
      <w:r>
        <w:t xml:space="preserve">, 2017). </w:t>
      </w:r>
    </w:p>
    <w:p w14:paraId="46C10BC3" w14:textId="77777777" w:rsidR="00516544" w:rsidRDefault="00000000">
      <w:pPr>
        <w:spacing w:after="0" w:line="259" w:lineRule="auto"/>
        <w:ind w:left="0" w:right="0" w:firstLine="0"/>
        <w:jc w:val="left"/>
      </w:pPr>
      <w:r>
        <w:lastRenderedPageBreak/>
        <w:t xml:space="preserve"> </w:t>
      </w:r>
    </w:p>
    <w:p w14:paraId="76ED0B62" w14:textId="77777777" w:rsidR="00516544" w:rsidRDefault="00000000">
      <w:pPr>
        <w:ind w:left="-5" w:right="0"/>
      </w:pPr>
      <w:r>
        <w:t xml:space="preserve">Every educational institution in the world has its own share of problems that need to be addressed. Some issues besetting the school system, especially the public school include high dropout rate, poor quality educational service, high repetition rate, and limited holding capacity of the schools. Over the past decades, many initiatives and reform efforts have been implemented to address these problems. One key response of the national government is the implementation of </w:t>
      </w:r>
      <w:proofErr w:type="spellStart"/>
      <w:r>
        <w:t>SchoolBased</w:t>
      </w:r>
      <w:proofErr w:type="spellEnd"/>
      <w:r>
        <w:t xml:space="preserve"> Management (SBM). It is a decentralization framework of governance that transfers the power and authority, as well as the resources, to the school level on the assumption that the school heads, including teachers, key leaders in the community, and parents, know the root and solution to the problem (Abulencia, 2012). </w:t>
      </w:r>
    </w:p>
    <w:p w14:paraId="7EDA9CBE" w14:textId="77777777" w:rsidR="00516544" w:rsidRDefault="00000000">
      <w:pPr>
        <w:spacing w:after="0" w:line="259" w:lineRule="auto"/>
        <w:ind w:left="0" w:right="0" w:firstLine="0"/>
        <w:jc w:val="left"/>
      </w:pPr>
      <w:r>
        <w:t xml:space="preserve"> </w:t>
      </w:r>
    </w:p>
    <w:p w14:paraId="23BC25D4" w14:textId="77777777" w:rsidR="00516544" w:rsidRDefault="00000000">
      <w:pPr>
        <w:ind w:left="-5" w:right="0"/>
      </w:pPr>
      <w:r>
        <w:t xml:space="preserve">In the Philippines, Republic Act No. 9155 under the 1987 Philippine Constitution stipulates that the Department of Education shall protect and promote the right of all citizens to qualify for basic education and shall take appropriate steps to make such education accessible to all. The department shall establish, maintain, and support a complete, adequate, and integrated system of basic education relevant to the needs of the people and society, and take into account regional and sectoral needs and conditions, and shall encourage local planning in the development of educational policies and programs. Further, the implementation of the Governance of Basic Act of 2001 (RA 9155) provided the mandate for decentralizing the system of school management and recognized the role of the Local Government Units and the other stakeholders as partners in education service delivery.  </w:t>
      </w:r>
    </w:p>
    <w:p w14:paraId="0403F2C9" w14:textId="77777777" w:rsidR="00516544" w:rsidRDefault="00000000">
      <w:pPr>
        <w:spacing w:after="0" w:line="259" w:lineRule="auto"/>
        <w:ind w:left="0" w:right="0" w:firstLine="0"/>
        <w:jc w:val="left"/>
      </w:pPr>
      <w:r>
        <w:t xml:space="preserve"> </w:t>
      </w:r>
    </w:p>
    <w:p w14:paraId="2685C869" w14:textId="77777777" w:rsidR="00516544" w:rsidRDefault="00000000">
      <w:pPr>
        <w:ind w:left="-5" w:right="0"/>
      </w:pPr>
      <w:r>
        <w:t xml:space="preserve">Consequently, the Department launched the School’s First Initiative (SFI) in 2005 to empower the schools and their community stakeholders to effectively address access and quality issues in basic education. In 2006, a more comprehensive package of policy reforms dubbed as Basic education Sector Reform Agenda, “The policy actions comprising the BESRA, seek to create a basic education sector that is capable of attaining the country’s Education for All was launched to sustain and expand the gains of SFI through School-Based Management (DepEd Order No.83, s. 2012). </w:t>
      </w:r>
    </w:p>
    <w:p w14:paraId="7566313E" w14:textId="77777777" w:rsidR="00516544" w:rsidRDefault="00000000">
      <w:pPr>
        <w:spacing w:after="0" w:line="259" w:lineRule="auto"/>
        <w:ind w:left="0" w:right="0" w:firstLine="0"/>
        <w:jc w:val="left"/>
      </w:pPr>
      <w:r>
        <w:t xml:space="preserve"> </w:t>
      </w:r>
    </w:p>
    <w:p w14:paraId="6C7C1434" w14:textId="77777777" w:rsidR="00516544" w:rsidRDefault="00000000">
      <w:pPr>
        <w:ind w:left="-5" w:right="0"/>
      </w:pPr>
      <w:r>
        <w:t xml:space="preserve">Along with teacher education development, national learning strategies, quality assurance, monitoring and evaluation, and organizational development, SBM was identified as one of the key reform thrusts (KRTs) envisioned to effect improvement at the school level. Hence, several enabling policies on SBM were formulated, including the establishment of the School Governing Council (SGC); conduct of Assessment of Level of Practice; School Improvement Planning (SIP); and reporting of accomplishments through School Report Cards (SRCs). These policies were supported by a budget line item in the General Appropriations Act (GAA) for the installation of SBM in all public elementary and public secondary schools (DepEd Order no.83, s. 2012). Moreover, DepEd Order No. 45, s. 2015, known as Guidelines on SBM grants for Fiscal Year 2014,” as a reference for SBM grants, was also provided to augment the school fund on Maintenance and Other Operating Expenses. </w:t>
      </w:r>
    </w:p>
    <w:p w14:paraId="6F1FF251" w14:textId="77777777" w:rsidR="00516544" w:rsidRDefault="00000000">
      <w:pPr>
        <w:spacing w:after="0" w:line="259" w:lineRule="auto"/>
        <w:ind w:left="0" w:right="0" w:firstLine="0"/>
        <w:jc w:val="left"/>
      </w:pPr>
      <w:r>
        <w:t xml:space="preserve"> </w:t>
      </w:r>
    </w:p>
    <w:p w14:paraId="37A00F21" w14:textId="77777777" w:rsidR="00516544" w:rsidRDefault="00000000">
      <w:pPr>
        <w:ind w:left="-5" w:right="0"/>
      </w:pPr>
      <w:r>
        <w:t xml:space="preserve">In the context of Bohol province, the same efforts are made to continuously implement SBM through Division Memorandum No. 435, s. 2021, known as Revised School-Based Management (SBM) Level of Practice Assessment Tool and Validation Form, in which the attached is the Regional Memorandum No. 0484 series 2021 dated June 19, 2021, mandating all concerned DepEd personnel to review/ revisit their SBM documents from 2017- 2018 to 2019- 2020 and immediately start providing MOVs per dimension. Part of the documents retrieved as MOVs were </w:t>
      </w:r>
      <w:r>
        <w:lastRenderedPageBreak/>
        <w:t xml:space="preserve">documents from the Learning Action Cell (LAC) stipulated in DepEd Order No. 35, s. 2016, which aimed at continuing professional development strategy for the improvement of teaching and learning, School Improvement Plan (SIP), and the School Report Card (SRC) as stipulated in DepEd Order No. 44, s. 2015. </w:t>
      </w:r>
    </w:p>
    <w:p w14:paraId="127128A7" w14:textId="77777777" w:rsidR="00516544" w:rsidRDefault="00000000">
      <w:pPr>
        <w:spacing w:after="0" w:line="259" w:lineRule="auto"/>
        <w:ind w:left="0" w:right="0" w:firstLine="0"/>
        <w:jc w:val="left"/>
      </w:pPr>
      <w:r>
        <w:t xml:space="preserve"> </w:t>
      </w:r>
    </w:p>
    <w:p w14:paraId="1A3142F8" w14:textId="77777777" w:rsidR="00516544" w:rsidRDefault="00000000">
      <w:pPr>
        <w:ind w:left="-5" w:right="0"/>
      </w:pPr>
      <w:r>
        <w:t xml:space="preserve">In the implementation of school-based management, modern management theory is applied. Accordingly, an organization consists of manpower with different perspectives, aspirations, potentials, and needs. This theory firmly believes that no single managerial strategy can be applied to all people at all times. Moreover, each employee has different views and many motives involved, which vary between organizations. Further, they also gain new motives as they are exposed to experience. So, there is a need for managers to apply different strategies at different times and for different persons (Kitana, 2016). In relation to SBM, according to </w:t>
      </w:r>
      <w:proofErr w:type="spellStart"/>
      <w:r>
        <w:t>Nurkolis</w:t>
      </w:r>
      <w:proofErr w:type="spellEnd"/>
      <w:r>
        <w:t xml:space="preserve"> (2003, as cited in </w:t>
      </w:r>
      <w:proofErr w:type="spellStart"/>
      <w:r>
        <w:t>Lazwardi</w:t>
      </w:r>
      <w:proofErr w:type="spellEnd"/>
      <w:r>
        <w:t xml:space="preserve">, 2018), SBM emphasizes flexibility, so schools must be managed by school residents according to their respective conditions. Because of its complex current schoolwork and the major differences between schools from one another, for example, differences in the level of a student's academic and community situations, schools cannot be run with standard structures throughout the city, the province, or the country. Schools must be able to solve various problems they face in the most appropriate ways and conditions. Although different schools have the same problem, the way to deal with it will be different between one school and another. </w:t>
      </w:r>
    </w:p>
    <w:p w14:paraId="6EE2F5B0" w14:textId="77777777" w:rsidR="00516544" w:rsidRDefault="00000000">
      <w:pPr>
        <w:spacing w:after="0" w:line="259" w:lineRule="auto"/>
        <w:ind w:left="0" w:right="0" w:firstLine="0"/>
        <w:jc w:val="left"/>
      </w:pPr>
      <w:r>
        <w:t xml:space="preserve"> </w:t>
      </w:r>
    </w:p>
    <w:p w14:paraId="13F859BA" w14:textId="77777777" w:rsidR="00516544" w:rsidRDefault="00000000">
      <w:pPr>
        <w:ind w:left="-5" w:right="0"/>
      </w:pPr>
      <w:r>
        <w:t xml:space="preserve">Another theory that is associated with the implementation of school-based management is the systems theory. Accordingly, it develops effective communication systems for organizations. Communication was recognized as an integral part of organizational systems as it oiled the whole system for smooth operations and integrated subsystems for the stability of the larger system. A strong communication network was needed to bind an organization internally and also to its external world. Organizations must deal with multiple levels of communication with all kinds of stakeholders. If feedback mechanisms were not in place to ensure that subsystems achieve a state of equilibrium, especially after an organizational change, then toxins could hit that subsystem. Systems theory was used to analyze the pitfalls of such organizations and to develop models for organizations to adjust their subsystems to changing environments.  </w:t>
      </w:r>
    </w:p>
    <w:p w14:paraId="3996E08E" w14:textId="77777777" w:rsidR="00516544" w:rsidRDefault="00000000">
      <w:pPr>
        <w:spacing w:after="0" w:line="259" w:lineRule="auto"/>
        <w:ind w:left="0" w:right="0" w:firstLine="0"/>
        <w:jc w:val="left"/>
      </w:pPr>
      <w:r>
        <w:t xml:space="preserve"> </w:t>
      </w:r>
    </w:p>
    <w:p w14:paraId="6C3172F6" w14:textId="77777777" w:rsidR="00516544" w:rsidRDefault="00000000">
      <w:pPr>
        <w:ind w:left="-5" w:right="0"/>
      </w:pPr>
      <w:r>
        <w:t xml:space="preserve">In the field of education, teachers were also encouraged to use techniques that recognized students’ environments as influencing factors in their academic growth. The decoding/encoding frame of reference between a teacher and a student can differ, leading to a communication breakdown. A good communicative relationship between a teacher and a student, and a stable feedback system in place, would enhance teaching. Like all other management teams, it was also important that school management finds a good fit between environmental demands and their response capabilities – including its structure, planning process, and leadership style. Curriculum is one of the main planning activities in an educational institution. Systems theorists believed that both the educator and the practitioner should test the feasibility and usefulness of any curriculum change. There should be constructive interaction between the educator, the practitioner, and the researcher so as to achieve effective and valuable education (Lai &amp; Lin, 2017). </w:t>
      </w:r>
    </w:p>
    <w:p w14:paraId="40143D3B" w14:textId="77777777" w:rsidR="00516544" w:rsidRDefault="00000000">
      <w:pPr>
        <w:spacing w:after="0" w:line="259" w:lineRule="auto"/>
        <w:ind w:left="0" w:right="0" w:firstLine="0"/>
        <w:jc w:val="left"/>
      </w:pPr>
      <w:r>
        <w:t xml:space="preserve"> </w:t>
      </w:r>
    </w:p>
    <w:p w14:paraId="637DCFA2" w14:textId="77777777" w:rsidR="00516544" w:rsidRDefault="00000000">
      <w:pPr>
        <w:ind w:left="-5" w:right="0"/>
      </w:pPr>
      <w:r>
        <w:t xml:space="preserve">The theory of Fiscal Federalism is also associated in the successful implementation of </w:t>
      </w:r>
      <w:proofErr w:type="spellStart"/>
      <w:r>
        <w:t>schoolbased</w:t>
      </w:r>
      <w:proofErr w:type="spellEnd"/>
      <w:r>
        <w:t xml:space="preserve"> management because in this theory, the field studies how to divide responsibilities (including finances) among federal, state, and local governments to improve economic efficiency and achieve various public policy objectives under the assumption that the federal and state governments only need to ensure that the total level of government services maximizes the </w:t>
      </w:r>
      <w:r>
        <w:lastRenderedPageBreak/>
        <w:t xml:space="preserve">collective well-being of all residents (often referred to as utility), and do not need to worry about which level of government provides those services. Further, the theory focuses on how responsibilities are assigned across multiple layers of government once policymakers have decided to implement a given policy, and what trade-offs may be involved in administering it. The structure of some spending across levels of government may reflect the proximity of service locations to the benefits they provide. Evidence of this effect can be found in spending on education. Elementary and secondary education primarily provides a highly localized benefit to the children and families in a particular school district. Although it is in a nation’s interest to have a well-educated citizenry, the direct benefit of elementary and secondary school spending is the knowledge bestowed on the individuals in those schools and their families (Driessen &amp; Hughes, 2020). </w:t>
      </w:r>
    </w:p>
    <w:p w14:paraId="6C935377" w14:textId="77777777" w:rsidR="00516544" w:rsidRDefault="00000000">
      <w:pPr>
        <w:spacing w:after="0" w:line="259" w:lineRule="auto"/>
        <w:ind w:left="0" w:right="0" w:firstLine="0"/>
        <w:jc w:val="left"/>
      </w:pPr>
      <w:r>
        <w:t xml:space="preserve"> </w:t>
      </w:r>
    </w:p>
    <w:p w14:paraId="6AF5DF5C" w14:textId="77777777" w:rsidR="00516544" w:rsidRDefault="00000000">
      <w:pPr>
        <w:ind w:left="-5" w:right="0"/>
      </w:pPr>
      <w:r>
        <w:t xml:space="preserve">One of the potential benefits of decentralization is that it increases accountability to the citizen/beneficiary, resulting in improved efficiency in the use of school resources. The improved efficiency results from two effects: one effect is the better match between services provided and the preferences of citizens, and the other effect is increased output relative to resources or expenditures (Decentralization and Education, n.d.). In Spain, the impact of decentralization had a positive impact on education outcomes measured as the survival rate, and showed that the increase in the survival rate has been mainly motivated by an improvement in government efficiency. Furthermore, the positive effects of decentralization are greater in provinces located in autonomous communities with good fiscal discipline (a balance between the Government expenditure and revenue in an economy), and decentralization of education expenditure responsibilities has a positive effect on educational outcomes in the three subject areas, namely Mathematics, Science, and Reading. In addition, the effect of education decentralization depends on the way in which subnational governments are financed. More specifically, the effect of education decentralization is greater the higher the percentage of taxes that are collected at the subnational level of government, that is, when subnational governments are held accountable for taxing decisions. The estimated effects of education decision-making decentralization and tax decentralization are quantitatively relevant (Salinas, 2014). </w:t>
      </w:r>
    </w:p>
    <w:p w14:paraId="7586B23F" w14:textId="77777777" w:rsidR="00516544" w:rsidRDefault="00000000">
      <w:pPr>
        <w:spacing w:after="0" w:line="259" w:lineRule="auto"/>
        <w:ind w:left="0" w:right="0" w:firstLine="0"/>
        <w:jc w:val="left"/>
      </w:pPr>
      <w:r>
        <w:t xml:space="preserve"> </w:t>
      </w:r>
    </w:p>
    <w:p w14:paraId="4B711565" w14:textId="77777777" w:rsidR="00516544" w:rsidRDefault="00000000">
      <w:pPr>
        <w:ind w:left="-5" w:right="0"/>
      </w:pPr>
      <w:r>
        <w:t xml:space="preserve">The history of school-based management, which is based on the principles of cooperating, decentralizing, and empowering the school workers, goes back to 1960. SBM is a managerial concept offered in America due to the dissatisfaction of the beneficiaries with the suggested services of the educational system. The school-based management is adopted along with the reforms in the educational system, decentralization, and devolution to confer more freedom on schools as a strategy to manage themselves. </w:t>
      </w:r>
    </w:p>
    <w:p w14:paraId="4C4E9CEE" w14:textId="77777777" w:rsidR="00516544" w:rsidRDefault="00000000">
      <w:pPr>
        <w:spacing w:after="0" w:line="259" w:lineRule="auto"/>
        <w:ind w:left="0" w:right="0" w:firstLine="0"/>
        <w:jc w:val="left"/>
      </w:pPr>
      <w:r>
        <w:t xml:space="preserve"> </w:t>
      </w:r>
    </w:p>
    <w:p w14:paraId="7EE73D1C" w14:textId="77777777" w:rsidR="00516544" w:rsidRDefault="00000000">
      <w:pPr>
        <w:ind w:left="-5" w:right="0"/>
      </w:pPr>
      <w:r>
        <w:t xml:space="preserve">In the Philippines, SBM was cascaded in all public schools after the promising results revealed in three pilot projects of the Department of Education such as the Third Elementary Education Project (TEEP), Secondary Education Development and Improvement Project (SEDIP) and Basic Education Assistance for Mindanao (BEAM) aimed at supporting the SBM as an effective mechanism to improve the quality of education in the basic level (Villanueva, J., &amp; Ortega- Dela Cruz, R. (2019). </w:t>
      </w:r>
    </w:p>
    <w:p w14:paraId="08205589" w14:textId="77777777" w:rsidR="00516544" w:rsidRDefault="00000000">
      <w:pPr>
        <w:spacing w:after="0" w:line="259" w:lineRule="auto"/>
        <w:ind w:left="0" w:right="0" w:firstLine="0"/>
        <w:jc w:val="left"/>
      </w:pPr>
      <w:r>
        <w:t xml:space="preserve"> </w:t>
      </w:r>
    </w:p>
    <w:p w14:paraId="5B7E0DB5" w14:textId="77777777" w:rsidR="00516544" w:rsidRDefault="00000000">
      <w:pPr>
        <w:ind w:left="-5" w:right="0"/>
      </w:pPr>
      <w:r>
        <w:t xml:space="preserve">School-Based Management (SBM) as a reform thrust has been revised and broadened to better highlight the children/ learners as the center of SBM practice. This is to: encompass the diverse realities of learning context-defined and uniquely occurring within specific geographic, social, cultural, economic, political and environmental make-up of the contemporary society; enhance </w:t>
      </w:r>
      <w:r>
        <w:lastRenderedPageBreak/>
        <w:t xml:space="preserve">commitment of education stakeholders at all levels to their responsibilities and accountabilities in realizing the education outcomes for children; further promote shared governance between the school community; integrate accreditation into SBM for a seamless assessment of a school system; and, to improve the school system’s capacity to be on track in achieving the EFA/Millennium Development Goals and sustain good performance (DepEd, 2012, as cited in </w:t>
      </w:r>
      <w:proofErr w:type="spellStart"/>
      <w:r>
        <w:t>Ballarta</w:t>
      </w:r>
      <w:proofErr w:type="spellEnd"/>
      <w:r>
        <w:t xml:space="preserve"> et al., 2022). </w:t>
      </w:r>
    </w:p>
    <w:p w14:paraId="0DE0C7A7" w14:textId="77777777" w:rsidR="00516544" w:rsidRDefault="00000000">
      <w:pPr>
        <w:spacing w:after="0" w:line="259" w:lineRule="auto"/>
        <w:ind w:left="0" w:right="0" w:firstLine="0"/>
        <w:jc w:val="left"/>
      </w:pPr>
      <w:r>
        <w:t xml:space="preserve"> </w:t>
      </w:r>
    </w:p>
    <w:p w14:paraId="0357FE8E" w14:textId="77777777" w:rsidR="00516544" w:rsidRDefault="00000000">
      <w:pPr>
        <w:ind w:left="-5" w:right="0"/>
      </w:pPr>
      <w:r>
        <w:t xml:space="preserve">A Child and Community-Centered Education System (ACCESs) represented the vision of the Department of Education. It epitomizes the character and value of the institution that is successful in implementing the reform agenda in the Basic Education Sector Agenda (BESRA) and realizing the desired future of education and education service delivery in RA 9155. Furthermore, it is both a product and a process. As a product, it is the ultimate outcome of the communities/ barangays working together to protect the right of every child to quality education and a better life. As a process, it is an approach to effectively decentralize and bring to reality the mainstreaming of education as a tool for human development and transformation (DepEd, 2020). </w:t>
      </w:r>
    </w:p>
    <w:p w14:paraId="61CD397E" w14:textId="77777777" w:rsidR="00516544" w:rsidRDefault="00000000">
      <w:pPr>
        <w:spacing w:after="0" w:line="259" w:lineRule="auto"/>
        <w:ind w:left="0" w:right="0" w:firstLine="0"/>
        <w:jc w:val="left"/>
      </w:pPr>
      <w:r>
        <w:t xml:space="preserve"> </w:t>
      </w:r>
    </w:p>
    <w:p w14:paraId="1923818D" w14:textId="77777777" w:rsidR="00516544" w:rsidRDefault="00000000">
      <w:pPr>
        <w:ind w:left="-5" w:right="0"/>
      </w:pPr>
      <w:r>
        <w:t xml:space="preserve">In view of the SBM review and revision, ACCESs served to clarify the guiding principles derived from the concepts of “rights-based” education and the community as “stewards or right bearers” in education. From this philosophical underpinnings, ACCESs espoused four principles of a school system that guides the SBM process and these are: (1) Leadership and Governance: a network of leadership and governance that guides the education system to achieve its shared vision, mission and goals making it responsive to the context of diverse environment; (2) Curriculum and Learning: the curriculum and learning systems anchored on the community and learner’s context and aspirations are collaboratively developed and continuously improved; (3) Accountability and Continuous Improvement: a clear, transparent, inclusive, and responsive accountability system in place, collaboratively developed by the school community, which monitors performance and acts appropriately on gaps and gains; and (4) Resource Management: resources are collectively organized, judiciously mobilized and manage with transparency, effectiveness, and efficiency to support targeted education outcomes (DepEd, 2020; Felices, 2018). </w:t>
      </w:r>
    </w:p>
    <w:p w14:paraId="022DAB7C" w14:textId="77777777" w:rsidR="00516544" w:rsidRDefault="00000000">
      <w:pPr>
        <w:spacing w:after="0" w:line="259" w:lineRule="auto"/>
        <w:ind w:left="0" w:right="0" w:firstLine="0"/>
        <w:jc w:val="left"/>
      </w:pPr>
      <w:r>
        <w:t xml:space="preserve"> </w:t>
      </w:r>
    </w:p>
    <w:p w14:paraId="2D185C6F" w14:textId="77777777" w:rsidR="00516544" w:rsidRDefault="00000000">
      <w:pPr>
        <w:ind w:left="-5" w:right="0"/>
      </w:pPr>
      <w:r>
        <w:t>In the context of SBM in other countries, in South Korea, a mixed-method, multisite assessment of a project that aimed to improve the management and governance of quality service of State Junior High School documented a positive impact on school-based management in public schools. It was also found that the effective implementation of SBM requires time management expertise and assistance from the government, educational experts, and foreign aid agencies (</w:t>
      </w:r>
      <w:proofErr w:type="spellStart"/>
      <w:r>
        <w:t>Tansiri</w:t>
      </w:r>
      <w:proofErr w:type="spellEnd"/>
      <w:r>
        <w:t xml:space="preserve"> &amp; Bong, 2019). Additionally, in Australia, SBM increased the productivity of students, increased the contribution of the councils in decision making, and increased the efficiency and the role of the teachers, while in Mexico, the extensive contribution of parents in managing the school include decreasing the rate of dropouts, equipping the infrastructures, resources and educational instruments and educational help to schools Moradi et al. (2016).  </w:t>
      </w:r>
    </w:p>
    <w:p w14:paraId="1A9EE47F" w14:textId="77777777" w:rsidR="00516544" w:rsidRDefault="00000000">
      <w:pPr>
        <w:spacing w:after="0" w:line="259" w:lineRule="auto"/>
        <w:ind w:left="0" w:right="0" w:firstLine="0"/>
        <w:jc w:val="left"/>
      </w:pPr>
      <w:r>
        <w:t xml:space="preserve"> </w:t>
      </w:r>
    </w:p>
    <w:p w14:paraId="5CB0A245" w14:textId="77777777" w:rsidR="00516544" w:rsidRDefault="00000000">
      <w:pPr>
        <w:ind w:left="-5" w:right="0"/>
      </w:pPr>
      <w:r>
        <w:t xml:space="preserve">Isa et al. (2020) mentioned that in Malaysia, decision-making in teacher assessment was entirely controlled by the school leader, while the teachers were in charge of student assessment. In the Philippines, SBM has resulted in improved school performance within three years (2006-2009) of implementation (World Bank, 2013). Further, SBM embraced participatory practices in almost all levels of decision-making that greatly facilitated innovative practices and recognized </w:t>
      </w:r>
      <w:proofErr w:type="spellStart"/>
      <w:r>
        <w:t>employeedriven</w:t>
      </w:r>
      <w:proofErr w:type="spellEnd"/>
      <w:r>
        <w:t xml:space="preserve"> innovation facilitated through the project, which allowed unprecedented access of employees to information in the organization, providing DepEd employees with wide access to </w:t>
      </w:r>
      <w:r>
        <w:lastRenderedPageBreak/>
        <w:t xml:space="preserve">materials like school building design, project proposal templates, and quality assurance framework (Maca, 2019). </w:t>
      </w:r>
    </w:p>
    <w:p w14:paraId="7F4E0B80" w14:textId="77777777" w:rsidR="00516544" w:rsidRDefault="00000000">
      <w:pPr>
        <w:spacing w:after="0" w:line="259" w:lineRule="auto"/>
        <w:ind w:left="0" w:right="0" w:firstLine="0"/>
        <w:jc w:val="left"/>
      </w:pPr>
      <w:r>
        <w:t xml:space="preserve"> </w:t>
      </w:r>
    </w:p>
    <w:p w14:paraId="701C36EA" w14:textId="77777777" w:rsidR="00516544" w:rsidRDefault="00000000">
      <w:pPr>
        <w:ind w:left="-5" w:right="0"/>
      </w:pPr>
      <w:r>
        <w:t xml:space="preserve">According to Panol et al. (2020), every school or cluster of schools is led by a school head who is prepared, monitored, and made accountable for organizing and leading an institutionalized school improvement process at the school level as mandated in the Republic Act No. 9155, Governance of Basic Education Act of 2001. By maximizing the skills and abilities of school heads to improve educational efficiency, in particular, the standard of teaching and learning through the practice of instructional supervision, these skills can be improved to build efficient human resources that can make a difference in the educational system. Thus, being guided by the four principles, the task of properly implementing SBM on the ground can be clearly achieved. Additionally, </w:t>
      </w:r>
      <w:proofErr w:type="spellStart"/>
      <w:r>
        <w:t>Latorilla</w:t>
      </w:r>
      <w:proofErr w:type="spellEnd"/>
      <w:r>
        <w:t xml:space="preserve"> (2012) mentioned that a clear picture of what a school could offer a child is reflected under SBM, which in turn motivates parents and other stakeholders to join school projects and programs and to have a feeling of ownership of the school’s goals and objectives. Since SBM includes a hundred percent downloading of funds, it is implicit that school heads should have an appropriate and intensive training as to the allocation and liquidation of operating expenses to specific needs. </w:t>
      </w:r>
    </w:p>
    <w:p w14:paraId="0573B44F" w14:textId="77777777" w:rsidR="00516544" w:rsidRDefault="00000000">
      <w:pPr>
        <w:spacing w:after="0" w:line="259" w:lineRule="auto"/>
        <w:ind w:left="0" w:right="0" w:firstLine="0"/>
        <w:jc w:val="left"/>
      </w:pPr>
      <w:r>
        <w:t xml:space="preserve"> </w:t>
      </w:r>
    </w:p>
    <w:p w14:paraId="42D8F392" w14:textId="77777777" w:rsidR="00516544" w:rsidRDefault="00000000">
      <w:pPr>
        <w:ind w:left="-5" w:right="0"/>
      </w:pPr>
      <w:r>
        <w:t xml:space="preserve">Moreover, results revealed on the four principles or dimensions in SBM, the dimension of leadership and governance in terms of the level of practice of school-based management is affected by the numbers teachers, the number of pupils, and the school category. Further, it implies that the level of implementation of school-based management affects the level of participation of stakeholders in the different school-initiated activities. The more the school administrators practiced SBM, the more participative the stakeholders were in the different </w:t>
      </w:r>
      <w:proofErr w:type="spellStart"/>
      <w:r>
        <w:t>schoolinitiated</w:t>
      </w:r>
      <w:proofErr w:type="spellEnd"/>
      <w:r>
        <w:t xml:space="preserve"> activities. In the curriculum and learning dimension, results revealed that the level of practice of school-based management is dependent on the number of teachers, number of pupils, school category, and level of school-based management implementation. Hence, affecting the level of SBM practice and implementation. In relation to accountability and continuous improvement, the level of practice of school-based management is affected by the number of teachers and the level of school-based management implementation. It means that it is a </w:t>
      </w:r>
      <w:proofErr w:type="spellStart"/>
      <w:r>
        <w:t>stepby</w:t>
      </w:r>
      <w:proofErr w:type="spellEnd"/>
      <w:r>
        <w:t xml:space="preserve">-step transfer to the institution’s level of power and accountability to decide on important problems in school operations, given a uniform framework of objectives and rules. Moreover, in terms of management of resources, school size and teacher population are potent factors affecting the management of resources. It implies that resource utilization is the main emphasis in school management and that the major problem confronting the school administrator is how to utilize the "available limited funds, manpower, equipment, buildings, and materials for effective impact on the students.  </w:t>
      </w:r>
    </w:p>
    <w:p w14:paraId="1804FCB6" w14:textId="77777777" w:rsidR="00516544" w:rsidRDefault="00000000">
      <w:pPr>
        <w:spacing w:after="0" w:line="259" w:lineRule="auto"/>
        <w:ind w:left="0" w:right="0" w:firstLine="0"/>
        <w:jc w:val="left"/>
      </w:pPr>
      <w:r>
        <w:t xml:space="preserve"> </w:t>
      </w:r>
    </w:p>
    <w:p w14:paraId="125F8F56" w14:textId="77777777" w:rsidR="00516544" w:rsidRDefault="00000000">
      <w:pPr>
        <w:ind w:left="-5" w:right="0"/>
      </w:pPr>
      <w:r>
        <w:t>Proper management and utilization of resources in an organization is as important as the achievement of goals and objectives. The quality and quantity of resources available to any education system provide a basis for the assessment of the managerial abilities of an education manager (</w:t>
      </w:r>
      <w:proofErr w:type="spellStart"/>
      <w:r>
        <w:t>Ballarta</w:t>
      </w:r>
      <w:proofErr w:type="spellEnd"/>
      <w:r>
        <w:t xml:space="preserve"> et al., 2022). Additionally, the higher the level of school management, the higher would also be the level of Secondary School Implementing Units (SSIUs) with respect to K to 12 program implementations (</w:t>
      </w:r>
      <w:proofErr w:type="spellStart"/>
      <w:r>
        <w:t>Tapayan</w:t>
      </w:r>
      <w:proofErr w:type="spellEnd"/>
      <w:r>
        <w:t xml:space="preserve"> et al., 2016). </w:t>
      </w:r>
    </w:p>
    <w:p w14:paraId="770A9913" w14:textId="77777777" w:rsidR="00516544" w:rsidRDefault="00000000">
      <w:pPr>
        <w:spacing w:after="0" w:line="259" w:lineRule="auto"/>
        <w:ind w:left="0" w:right="0" w:firstLine="0"/>
        <w:jc w:val="left"/>
      </w:pPr>
      <w:r>
        <w:t xml:space="preserve"> </w:t>
      </w:r>
    </w:p>
    <w:p w14:paraId="6C9F6F00" w14:textId="77777777" w:rsidR="00516544" w:rsidRDefault="00000000">
      <w:pPr>
        <w:ind w:left="-5" w:right="0"/>
      </w:pPr>
      <w:r>
        <w:t xml:space="preserve">Unfortunately, DepEd (2020) mentioned that in the case for Caraga, during the document, analysis, observation and discussion results revealed that crafting of enhance- school improvement plan (E-SIP) was not facilitated, initiated and communicated to the stakeholders, teacher-made contextualized materials/ learning resources were not quality assured but were </w:t>
      </w:r>
      <w:r>
        <w:lastRenderedPageBreak/>
        <w:t xml:space="preserve">benchmark already by other teachers, and most of the schools did not review and update their strategic plans,  most of the projects identified/ implemented by the schools were focused on physical plant improvement, documents or Means of Verification (MOVs)  of some schools were not organized according to SBM principles and that programs, activities and projects (PAPs) implemented were not found in the E-SIP/ AIP while in </w:t>
      </w:r>
      <w:proofErr w:type="spellStart"/>
      <w:r>
        <w:t>Mimaropa</w:t>
      </w:r>
      <w:proofErr w:type="spellEnd"/>
      <w:r>
        <w:t xml:space="preserve"> region, most schools failed to determine their status of SBM implementation (</w:t>
      </w:r>
      <w:proofErr w:type="spellStart"/>
      <w:r>
        <w:t>Ballarta</w:t>
      </w:r>
      <w:proofErr w:type="spellEnd"/>
      <w:r>
        <w:t xml:space="preserve"> et al., 2022). </w:t>
      </w:r>
    </w:p>
    <w:p w14:paraId="3B725201" w14:textId="77777777" w:rsidR="00516544" w:rsidRDefault="00000000">
      <w:pPr>
        <w:spacing w:after="0" w:line="259" w:lineRule="auto"/>
        <w:ind w:left="0" w:right="0" w:firstLine="0"/>
        <w:jc w:val="left"/>
      </w:pPr>
      <w:r>
        <w:t xml:space="preserve"> </w:t>
      </w:r>
    </w:p>
    <w:p w14:paraId="2BC0C5B5" w14:textId="77777777" w:rsidR="00516544" w:rsidRDefault="00000000">
      <w:pPr>
        <w:ind w:left="-5" w:right="0"/>
      </w:pPr>
      <w:proofErr w:type="spellStart"/>
      <w:r>
        <w:t>Tshiunza</w:t>
      </w:r>
      <w:proofErr w:type="spellEnd"/>
      <w:r>
        <w:t xml:space="preserve"> (2018) mentioned in her study the different challenges encountered in the implementation of SBM were time allotment, unrealistic expectations, insufficient human support of site councils- the bodies concerned with planning and decision making in most SBM structures, are often given extensive responsibilities, but lack the qualifications to carry out those responsibilities ( lack of knowledge of school operations, lack of group process skills, and lack of clarity about the role and mission). Further, insufficient resource management at the school level, insufficient decision-making and community control at the school level, insufficient delivery of education services to the local community, and insufficient central support provided to SBM bodies were also found.   </w:t>
      </w:r>
    </w:p>
    <w:p w14:paraId="1D6D8653" w14:textId="77777777" w:rsidR="00516544" w:rsidRDefault="00000000">
      <w:pPr>
        <w:spacing w:after="0" w:line="259" w:lineRule="auto"/>
        <w:ind w:left="0" w:right="0" w:firstLine="0"/>
        <w:jc w:val="left"/>
      </w:pPr>
      <w:r>
        <w:t xml:space="preserve"> </w:t>
      </w:r>
    </w:p>
    <w:p w14:paraId="0DC6E244" w14:textId="77777777" w:rsidR="00516544" w:rsidRDefault="00000000">
      <w:pPr>
        <w:ind w:left="-5" w:right="0"/>
      </w:pPr>
      <w:r>
        <w:t>In implementing SBM, the Department of Education is doing all it can to create an environment where all the people involved in the processes not only agree but also commit to making change happen under a decentralized set-up. This change is ultimately geared towards the school children’s enjoyment of their right to quality education and other equally important rights such as the right to be safe and healthy, to be protected from harm and abuse, to play and to have leisure, to express their views freely, and to participate in decision-making according to their evolving capacities (</w:t>
      </w:r>
      <w:proofErr w:type="spellStart"/>
      <w:r>
        <w:t>Ballarta</w:t>
      </w:r>
      <w:proofErr w:type="spellEnd"/>
      <w:r>
        <w:t xml:space="preserve"> et al., 2022). The implementation of SBM since 2001 has encountered various problems and challenges across the country, and the province of Bohol is no exception. Thus, this study is conducted. </w:t>
      </w:r>
    </w:p>
    <w:p w14:paraId="21E30274" w14:textId="77777777" w:rsidR="00516544" w:rsidRDefault="00000000">
      <w:pPr>
        <w:spacing w:after="0" w:line="259" w:lineRule="auto"/>
        <w:ind w:left="0" w:right="0" w:firstLine="0"/>
        <w:jc w:val="left"/>
      </w:pPr>
      <w:r>
        <w:t xml:space="preserve"> </w:t>
      </w:r>
    </w:p>
    <w:p w14:paraId="1CE1D503" w14:textId="77777777" w:rsidR="00516544" w:rsidRDefault="00000000">
      <w:pPr>
        <w:pStyle w:val="Heading1"/>
        <w:ind w:left="-5" w:right="0"/>
      </w:pPr>
      <w:r>
        <w:t xml:space="preserve">Statement of the Problem </w:t>
      </w:r>
    </w:p>
    <w:p w14:paraId="1EB5A8C3" w14:textId="77777777" w:rsidR="00516544" w:rsidRDefault="00000000">
      <w:pPr>
        <w:ind w:left="-5" w:right="0"/>
      </w:pPr>
      <w:r>
        <w:t xml:space="preserve">This research aimed to identify the school-based management level of practice and challenges of secondary schools within the second congressional district in the division of Bohol.  </w:t>
      </w:r>
    </w:p>
    <w:p w14:paraId="3A17FE0F" w14:textId="77777777" w:rsidR="00516544" w:rsidRDefault="00000000">
      <w:pPr>
        <w:spacing w:after="0" w:line="259" w:lineRule="auto"/>
        <w:ind w:left="0" w:right="0" w:firstLine="0"/>
        <w:jc w:val="left"/>
      </w:pPr>
      <w:r>
        <w:t xml:space="preserve"> </w:t>
      </w:r>
    </w:p>
    <w:p w14:paraId="457A4849" w14:textId="77777777" w:rsidR="00516544" w:rsidRDefault="00000000">
      <w:pPr>
        <w:ind w:left="-5" w:right="0"/>
      </w:pPr>
      <w:r>
        <w:t xml:space="preserve">Specifically, it aimed to answer the following questions: </w:t>
      </w:r>
    </w:p>
    <w:p w14:paraId="7F33F341" w14:textId="77777777" w:rsidR="00516544" w:rsidRDefault="00000000">
      <w:pPr>
        <w:numPr>
          <w:ilvl w:val="0"/>
          <w:numId w:val="1"/>
        </w:numPr>
        <w:ind w:right="0" w:hanging="360"/>
      </w:pPr>
      <w:r>
        <w:t xml:space="preserve">What is the profile of the participating schools in terms of school category, source of funding, and level of school-based management implementation? </w:t>
      </w:r>
    </w:p>
    <w:p w14:paraId="0708038C" w14:textId="77777777" w:rsidR="00516544" w:rsidRDefault="00000000">
      <w:pPr>
        <w:numPr>
          <w:ilvl w:val="0"/>
          <w:numId w:val="1"/>
        </w:numPr>
        <w:ind w:right="0" w:hanging="360"/>
      </w:pPr>
      <w:r>
        <w:t xml:space="preserve">What is the level of practice of the school-based management conceptual framework in terms of leadership and governance, curriculum and learning, accountability and continuous Improvement, and management of resources? </w:t>
      </w:r>
    </w:p>
    <w:p w14:paraId="597CB9F2" w14:textId="77777777" w:rsidR="00516544" w:rsidRDefault="00000000">
      <w:pPr>
        <w:numPr>
          <w:ilvl w:val="0"/>
          <w:numId w:val="1"/>
        </w:numPr>
        <w:ind w:right="0" w:hanging="360"/>
      </w:pPr>
      <w:r>
        <w:t xml:space="preserve">What are the challenges in the successful implementation of school-based management? </w:t>
      </w:r>
    </w:p>
    <w:p w14:paraId="20F65993" w14:textId="77777777" w:rsidR="00516544" w:rsidRDefault="00000000">
      <w:pPr>
        <w:numPr>
          <w:ilvl w:val="0"/>
          <w:numId w:val="1"/>
        </w:numPr>
        <w:ind w:right="0" w:hanging="360"/>
      </w:pPr>
      <w:r>
        <w:t xml:space="preserve">Is there a significant difference in the profile of the respondents and their level of practice, and the challenges of school-based management? </w:t>
      </w:r>
    </w:p>
    <w:p w14:paraId="25D71C05" w14:textId="77777777" w:rsidR="00516544" w:rsidRDefault="00000000">
      <w:pPr>
        <w:numPr>
          <w:ilvl w:val="0"/>
          <w:numId w:val="1"/>
        </w:numPr>
        <w:ind w:right="0" w:hanging="360"/>
      </w:pPr>
      <w:r>
        <w:t xml:space="preserve">Is there a significant relationship between the respondents’ level of practice of school-based management and the challenges in the successful implementation of school-based management? </w:t>
      </w:r>
    </w:p>
    <w:p w14:paraId="485AA776" w14:textId="77777777" w:rsidR="00516544" w:rsidRDefault="00000000">
      <w:pPr>
        <w:spacing w:after="0" w:line="259" w:lineRule="auto"/>
        <w:ind w:left="0" w:right="0" w:firstLine="0"/>
        <w:jc w:val="left"/>
      </w:pPr>
      <w:r>
        <w:t xml:space="preserve"> </w:t>
      </w:r>
    </w:p>
    <w:p w14:paraId="58D723D2" w14:textId="77777777" w:rsidR="00516544" w:rsidRDefault="00000000">
      <w:pPr>
        <w:pStyle w:val="Heading1"/>
        <w:ind w:left="-5" w:right="0"/>
      </w:pPr>
      <w:r>
        <w:t xml:space="preserve">Methodology Design </w:t>
      </w:r>
    </w:p>
    <w:p w14:paraId="508613D8" w14:textId="77777777" w:rsidR="00516544" w:rsidRDefault="00000000">
      <w:pPr>
        <w:ind w:left="-5" w:right="0"/>
      </w:pPr>
      <w:r>
        <w:t xml:space="preserve">To achieve the purpose of this research, the researcher utilized the descriptive method of research, applying a correlational approach. This approach is used to describe the variables and the relationships that occur naturally between and among the said variables. With this, it aims to </w:t>
      </w:r>
      <w:r>
        <w:lastRenderedPageBreak/>
        <w:t xml:space="preserve">identify the profile of the participating schools in terms of school category, source of funding, and level of school-based implementation. Specifically, the researcher used Chi-Square to test the relationship and difference within and among variables such as school profile and SBM dimensions, namely Leadership and Governance, Curriculum and Instruction, Accountability and Continuous Improvement, and Management of Resources in the second congressional district in the division of Bohol. </w:t>
      </w:r>
    </w:p>
    <w:p w14:paraId="42B4162B" w14:textId="77777777" w:rsidR="00516544" w:rsidRDefault="00000000">
      <w:pPr>
        <w:spacing w:after="0" w:line="259" w:lineRule="auto"/>
        <w:ind w:left="0" w:right="0" w:firstLine="0"/>
        <w:jc w:val="left"/>
      </w:pPr>
      <w:r>
        <w:t xml:space="preserve"> </w:t>
      </w:r>
    </w:p>
    <w:p w14:paraId="11C33B27" w14:textId="77777777" w:rsidR="00516544" w:rsidRDefault="00000000">
      <w:pPr>
        <w:pStyle w:val="Heading1"/>
        <w:ind w:left="-5" w:right="0"/>
      </w:pPr>
      <w:r>
        <w:t xml:space="preserve">Environment  </w:t>
      </w:r>
    </w:p>
    <w:p w14:paraId="09C0FE3E" w14:textId="77777777" w:rsidR="00516544" w:rsidRDefault="00000000">
      <w:pPr>
        <w:ind w:left="-5" w:right="0"/>
      </w:pPr>
      <w:r>
        <w:t xml:space="preserve">The research environment of the study was focused on the public secondary schools under the second congressional district in the division of Bohol, one of the three congressional districts of the Philippines in the province of Bohol consisting the northern municipalities of Bien </w:t>
      </w:r>
      <w:proofErr w:type="spellStart"/>
      <w:r>
        <w:t>Unido</w:t>
      </w:r>
      <w:proofErr w:type="spellEnd"/>
      <w:r>
        <w:t xml:space="preserve">, Buenavista, Clarin, Dagohoy, Danao, Getafe, </w:t>
      </w:r>
      <w:proofErr w:type="spellStart"/>
      <w:r>
        <w:t>Inabanga</w:t>
      </w:r>
      <w:proofErr w:type="spellEnd"/>
      <w:r>
        <w:t xml:space="preserve">, President Carlos P. Garcia, </w:t>
      </w:r>
      <w:proofErr w:type="spellStart"/>
      <w:proofErr w:type="gramStart"/>
      <w:r>
        <w:t>Sagbayan</w:t>
      </w:r>
      <w:proofErr w:type="spellEnd"/>
      <w:r>
        <w:t>(</w:t>
      </w:r>
      <w:proofErr w:type="gramEnd"/>
      <w:r>
        <w:t xml:space="preserve">Borja), San Isidro, San Miguel, </w:t>
      </w:r>
      <w:proofErr w:type="spellStart"/>
      <w:r>
        <w:t>Talibon</w:t>
      </w:r>
      <w:proofErr w:type="spellEnd"/>
      <w:r>
        <w:t xml:space="preserve">, Trinidad, and Ubay. </w:t>
      </w:r>
    </w:p>
    <w:p w14:paraId="4BE65768" w14:textId="77777777" w:rsidR="00516544" w:rsidRDefault="00000000">
      <w:pPr>
        <w:spacing w:after="0" w:line="259" w:lineRule="auto"/>
        <w:ind w:left="0" w:right="0" w:firstLine="0"/>
        <w:jc w:val="left"/>
      </w:pPr>
      <w:r>
        <w:t xml:space="preserve"> </w:t>
      </w:r>
    </w:p>
    <w:p w14:paraId="5EB4042D" w14:textId="77777777" w:rsidR="00516544" w:rsidRDefault="00000000">
      <w:pPr>
        <w:pStyle w:val="Heading1"/>
        <w:ind w:left="-5" w:right="0"/>
      </w:pPr>
      <w:r>
        <w:t xml:space="preserve">Respondents  </w:t>
      </w:r>
    </w:p>
    <w:p w14:paraId="3B11128E" w14:textId="77777777" w:rsidR="00516544" w:rsidRDefault="00000000">
      <w:pPr>
        <w:ind w:left="-5" w:right="0"/>
      </w:pPr>
      <w:r>
        <w:t xml:space="preserve">The respondents of the study were the school principals/designated school heads from the northern municipalities of Bohol. Four (4) from Bien </w:t>
      </w:r>
      <w:proofErr w:type="spellStart"/>
      <w:r>
        <w:t>Unido</w:t>
      </w:r>
      <w:proofErr w:type="spellEnd"/>
      <w:r>
        <w:t xml:space="preserve">, four (4) from Buenavista, three (3) from Clarin, two (2) from Dagohoy, four (4) from Danao, four (4) from Getafe, six (6) from </w:t>
      </w:r>
      <w:proofErr w:type="spellStart"/>
      <w:r>
        <w:t>Inabanga</w:t>
      </w:r>
      <w:proofErr w:type="spellEnd"/>
      <w:r>
        <w:t xml:space="preserve">, eight (8) from Pres. Carlos P. Garcia, six (6) from </w:t>
      </w:r>
      <w:proofErr w:type="spellStart"/>
      <w:r>
        <w:t>Sagbayan</w:t>
      </w:r>
      <w:proofErr w:type="spellEnd"/>
      <w:r>
        <w:t xml:space="preserve">, four (4) from San Isidro, four (4) from San Miguel, eleven (11) from </w:t>
      </w:r>
      <w:proofErr w:type="spellStart"/>
      <w:r>
        <w:t>Talibon</w:t>
      </w:r>
      <w:proofErr w:type="spellEnd"/>
      <w:r>
        <w:t xml:space="preserve">, six (6) from Trinidad, and thirteen (13) from Ubay. These consist of a total of seventy-nine (79) public secondary school principals/ designated school heads during the period when the study was conducted. In the selection of the respondents, the researcher applied purposive sampling and total enumeration; however, because of difficulty in communication and willingness of the target respondents to participate in the online survey, the researcher settled for the actual retrieval of online survey and resulted to 68 or 86.07% out of 79 public secondary school heads from the second congressional district in the division of Bohol. </w:t>
      </w:r>
    </w:p>
    <w:p w14:paraId="1901B41F" w14:textId="77777777" w:rsidR="00516544" w:rsidRDefault="00000000">
      <w:pPr>
        <w:spacing w:after="0" w:line="259" w:lineRule="auto"/>
        <w:ind w:left="0" w:right="0" w:firstLine="0"/>
        <w:jc w:val="left"/>
      </w:pPr>
      <w:r>
        <w:t xml:space="preserve"> </w:t>
      </w:r>
    </w:p>
    <w:p w14:paraId="7167B744" w14:textId="77777777" w:rsidR="00516544" w:rsidRDefault="00000000">
      <w:pPr>
        <w:pStyle w:val="Heading1"/>
        <w:ind w:left="-5" w:right="0"/>
      </w:pPr>
      <w:r>
        <w:t xml:space="preserve">Instruments </w:t>
      </w:r>
    </w:p>
    <w:p w14:paraId="32EE99C6" w14:textId="77777777" w:rsidR="00516544" w:rsidRDefault="00000000">
      <w:pPr>
        <w:ind w:left="-5" w:right="0"/>
      </w:pPr>
      <w:r>
        <w:t xml:space="preserve">To gather the needed information, the researcher used a three-part questionnaire. For the first part, the school profile in terms of school name, number of teachers, total number of students, school category, Source of fund and level of school-based management. The second part dealt with the level of practice of school-based management, wherein the respondents are given three options, namely “Advance”, “Maturing”, and “Developing” with the given scales of 3, 2, and 1, respectively, based on the SBM tool adopted. The third section of the questionnaire dealt with the problems/ challenges encountered in the practice of school-based management with the given options and scales of “Always (5)”, “Often (4)”, “Sometimes (3)”, “Seldom (2)”, and “Never (1)”. </w:t>
      </w:r>
    </w:p>
    <w:p w14:paraId="068E1454" w14:textId="77777777" w:rsidR="00516544" w:rsidRDefault="00000000">
      <w:pPr>
        <w:spacing w:after="0" w:line="259" w:lineRule="auto"/>
        <w:ind w:left="0" w:right="0" w:firstLine="0"/>
        <w:jc w:val="left"/>
      </w:pPr>
      <w:r>
        <w:t xml:space="preserve"> </w:t>
      </w:r>
    </w:p>
    <w:p w14:paraId="13AE945D" w14:textId="77777777" w:rsidR="00516544" w:rsidRDefault="00000000">
      <w:pPr>
        <w:ind w:left="-5" w:right="0"/>
      </w:pPr>
      <w:r>
        <w:t xml:space="preserve">To achieve the needed data in the study, the researcher adopted the revised school-based management assessment tool (Version 1 as of August 5, 2012). To be able to obtain the data for the problems/ challenges encountered in the practice of school-based management, the tool was adopted from a study entitled “School-Based Management Level of Practice in Selected Public Elementary Schools in </w:t>
      </w:r>
      <w:proofErr w:type="spellStart"/>
      <w:r>
        <w:t>Mimaropa</w:t>
      </w:r>
      <w:proofErr w:type="spellEnd"/>
      <w:r>
        <w:t xml:space="preserve"> Region, Philippines” by </w:t>
      </w:r>
      <w:proofErr w:type="spellStart"/>
      <w:r>
        <w:t>Ballarta</w:t>
      </w:r>
      <w:proofErr w:type="spellEnd"/>
      <w:r>
        <w:t xml:space="preserve"> et al. (2022). </w:t>
      </w:r>
    </w:p>
    <w:p w14:paraId="2B7E6FF4" w14:textId="77777777" w:rsidR="00516544" w:rsidRDefault="00000000">
      <w:pPr>
        <w:spacing w:after="0" w:line="259" w:lineRule="auto"/>
        <w:ind w:left="0" w:right="0" w:firstLine="0"/>
        <w:jc w:val="left"/>
      </w:pPr>
      <w:r>
        <w:t xml:space="preserve"> </w:t>
      </w:r>
    </w:p>
    <w:p w14:paraId="2C99B803" w14:textId="77777777" w:rsidR="00516544" w:rsidRDefault="00000000">
      <w:pPr>
        <w:pStyle w:val="Heading1"/>
        <w:ind w:left="-5" w:right="0"/>
      </w:pPr>
      <w:r>
        <w:t xml:space="preserve">Data Gathering Procedure </w:t>
      </w:r>
    </w:p>
    <w:p w14:paraId="203512CC" w14:textId="77777777" w:rsidR="00516544" w:rsidRDefault="00000000">
      <w:pPr>
        <w:ind w:left="-5" w:right="0"/>
      </w:pPr>
      <w:r>
        <w:t xml:space="preserve">The researcher sought permission from the Schools Division Superintendent, together with the endorsement letter from the Dean of the College of Advanced Studies of Bohol Island State University- Clarin Campus, for the conduct of the study. After the approval, the researcher created </w:t>
      </w:r>
      <w:r>
        <w:lastRenderedPageBreak/>
        <w:t xml:space="preserve">an electronic survey questionnaire through the aid of Google Forms and informed the respective public schools district supervisors of each district in the 2nd congressional district in the division of Bohol for the start of the conduct of the study. After the dissemination of the letter, the link to the survey questionnaire was forwarded to the respective respondents through email, messenger, and text message. Fifty-seven (57) respondents answered through online, while eleven (11) respondents who were not able to answer online were given hard copies of the survey questionnaire. The collection of data started in November and ended in January 2022, which lasted for almost three (3) months.  </w:t>
      </w:r>
    </w:p>
    <w:p w14:paraId="2F1EEF6E" w14:textId="77777777" w:rsidR="00516544" w:rsidRDefault="00000000">
      <w:pPr>
        <w:spacing w:after="0" w:line="259" w:lineRule="auto"/>
        <w:ind w:left="0" w:right="0" w:firstLine="0"/>
        <w:jc w:val="left"/>
      </w:pPr>
      <w:r>
        <w:t xml:space="preserve"> </w:t>
      </w:r>
    </w:p>
    <w:p w14:paraId="50D42833" w14:textId="77777777" w:rsidR="00516544" w:rsidRDefault="00000000">
      <w:pPr>
        <w:pStyle w:val="Heading1"/>
        <w:ind w:left="-5" w:right="0"/>
      </w:pPr>
      <w:r>
        <w:t xml:space="preserve">Statistical Treatment </w:t>
      </w:r>
    </w:p>
    <w:p w14:paraId="7617132D" w14:textId="77777777" w:rsidR="00516544" w:rsidRDefault="00000000">
      <w:pPr>
        <w:ind w:left="-5" w:right="0"/>
      </w:pPr>
      <w:r>
        <w:t xml:space="preserve">For the first part, to determine the profile of the respondents, frequency count and percentage were utilized. </w:t>
      </w:r>
    </w:p>
    <w:p w14:paraId="6E479FB4" w14:textId="77777777" w:rsidR="00516544" w:rsidRDefault="00000000">
      <w:pPr>
        <w:spacing w:after="0" w:line="259" w:lineRule="auto"/>
        <w:ind w:left="0" w:right="0" w:firstLine="0"/>
        <w:jc w:val="left"/>
      </w:pPr>
      <w:r>
        <w:t xml:space="preserve"> </w:t>
      </w:r>
    </w:p>
    <w:p w14:paraId="4CC6AE0E" w14:textId="77777777" w:rsidR="00516544" w:rsidRDefault="00000000">
      <w:pPr>
        <w:ind w:left="-5" w:right="0"/>
      </w:pPr>
      <w:r>
        <w:t xml:space="preserve">For the second part, which dealt with the respondents’ level of practice of school-based management, 3- Point Likert Scale was utilized. The obtained mean is interpreted using the following scale: 1.00 to 1.66, described as “Developing,” interpreted as “Developing structures and mechanisms are in place to demonstrate ACCESs.” 1.67 to 2.34 described as “Maturing” interpreted as “Planned practices and procedures are fully implemented and aligned to ACCESs.” and 2.35 to 3.00 described as “Advanced” interpreted as “Practices and procedures satisfy quality standards.” </w:t>
      </w:r>
    </w:p>
    <w:p w14:paraId="7D103E0D" w14:textId="77777777" w:rsidR="00516544" w:rsidRDefault="00000000">
      <w:pPr>
        <w:spacing w:after="0" w:line="259" w:lineRule="auto"/>
        <w:ind w:left="0" w:right="0" w:firstLine="0"/>
        <w:jc w:val="left"/>
      </w:pPr>
      <w:r>
        <w:t xml:space="preserve"> </w:t>
      </w:r>
    </w:p>
    <w:p w14:paraId="7329794C" w14:textId="77777777" w:rsidR="00516544" w:rsidRDefault="00000000">
      <w:pPr>
        <w:ind w:left="-5" w:right="0"/>
      </w:pPr>
      <w:r>
        <w:t xml:space="preserve">For the third part, 5- Point Likert Scale was applied. The obtained mean is interpreted using the following scale: 1.00 to 1.80, described as “Never,” interpreted as “The problems perceived did not affect the level of practice and the full implementation of SBM.” 1.81 to 2.60 described as “Seldom” interpreted as “The problems perceived rarely affect the level of practice and the full implementation of SBM.” 2.61 to 3.40 described as “Sometimes” interpreted as “The problems perceived occasionally affect the level of practice and the full implementation of SBM.” 3.41 to </w:t>
      </w:r>
    </w:p>
    <w:p w14:paraId="191F4D20" w14:textId="77777777" w:rsidR="00516544" w:rsidRDefault="00000000">
      <w:pPr>
        <w:ind w:left="-5" w:right="0"/>
      </w:pPr>
      <w:r>
        <w:t xml:space="preserve">4.20 described as “Often” interpreted as “The problems perceived repeatedly affect level of practice and the full implementation of SBM.” and 4.21 to 5:00 described as “Always” interpreted as </w:t>
      </w:r>
      <w:proofErr w:type="gramStart"/>
      <w:r>
        <w:t>“ The</w:t>
      </w:r>
      <w:proofErr w:type="gramEnd"/>
      <w:r>
        <w:t xml:space="preserve"> problems perceived constantly affect level of practice and the full implementation of SBM.” </w:t>
      </w:r>
    </w:p>
    <w:p w14:paraId="60DE897C" w14:textId="77777777" w:rsidR="00516544" w:rsidRDefault="00000000">
      <w:pPr>
        <w:spacing w:after="0" w:line="259" w:lineRule="auto"/>
        <w:ind w:left="0" w:right="0" w:firstLine="0"/>
        <w:jc w:val="left"/>
      </w:pPr>
      <w:r>
        <w:t xml:space="preserve"> </w:t>
      </w:r>
    </w:p>
    <w:p w14:paraId="544D311D" w14:textId="77777777" w:rsidR="00516544" w:rsidRDefault="00000000">
      <w:pPr>
        <w:ind w:left="-5" w:right="0"/>
      </w:pPr>
      <w:r>
        <w:t xml:space="preserve">For the fourth and fifth part which test the significant difference in the profile of the respondents and their level of practice, and the challenges of school-based management, and the significant relationship between the respondents’ level of practices of school-based management and the challenges in the successful implementation of school-based management, Chi-Square was used. </w:t>
      </w:r>
    </w:p>
    <w:p w14:paraId="306201EC" w14:textId="77777777" w:rsidR="00516544" w:rsidRDefault="00000000">
      <w:pPr>
        <w:spacing w:after="0" w:line="259" w:lineRule="auto"/>
        <w:ind w:left="0" w:right="0" w:firstLine="0"/>
        <w:jc w:val="left"/>
      </w:pPr>
      <w:r>
        <w:t xml:space="preserve"> </w:t>
      </w:r>
    </w:p>
    <w:p w14:paraId="3AF09327" w14:textId="77777777" w:rsidR="00516544" w:rsidRDefault="00000000">
      <w:pPr>
        <w:pStyle w:val="Heading1"/>
        <w:ind w:left="-5" w:right="0"/>
      </w:pPr>
      <w:r>
        <w:t xml:space="preserve">Results and Discussions </w:t>
      </w:r>
    </w:p>
    <w:p w14:paraId="3A49FF88" w14:textId="77777777" w:rsidR="00516544" w:rsidRDefault="00000000">
      <w:pPr>
        <w:ind w:left="-5" w:right="0"/>
      </w:pPr>
      <w:r>
        <w:t xml:space="preserve">This chapter presents the data gathering of the study and the interpretation of the results from the conducted online survey using Google Forms. </w:t>
      </w:r>
    </w:p>
    <w:p w14:paraId="43DCDF5F" w14:textId="77777777" w:rsidR="00516544" w:rsidRDefault="00000000">
      <w:pPr>
        <w:spacing w:after="0" w:line="259" w:lineRule="auto"/>
        <w:ind w:left="0" w:right="0" w:firstLine="0"/>
        <w:jc w:val="left"/>
      </w:pPr>
      <w:r>
        <w:t xml:space="preserve"> </w:t>
      </w:r>
    </w:p>
    <w:p w14:paraId="0B72069F" w14:textId="77777777" w:rsidR="00516544" w:rsidRDefault="00000000">
      <w:pPr>
        <w:pStyle w:val="Heading2"/>
        <w:ind w:left="-5" w:right="0"/>
      </w:pPr>
      <w:r>
        <w:t xml:space="preserve">Profile of Participating Schools in Terms of School Category </w:t>
      </w:r>
    </w:p>
    <w:p w14:paraId="3074C3B3" w14:textId="77777777" w:rsidR="00516544" w:rsidRDefault="00000000">
      <w:pPr>
        <w:ind w:left="-5" w:right="0"/>
      </w:pPr>
      <w:r>
        <w:t>This shows the profile of participating schools in terms of school category obtained from the online survey conducted with the sixty-eight (68) respondents, comprised of the public secondary school principals and designated school heads in the 2</w:t>
      </w:r>
      <w:r>
        <w:rPr>
          <w:vertAlign w:val="superscript"/>
        </w:rPr>
        <w:t>nd</w:t>
      </w:r>
      <w:r>
        <w:t xml:space="preserve"> congressional district in the division of Bohol. </w:t>
      </w:r>
    </w:p>
    <w:p w14:paraId="0A847DE0" w14:textId="77777777" w:rsidR="00516544" w:rsidRDefault="00000000">
      <w:pPr>
        <w:spacing w:after="0" w:line="259" w:lineRule="auto"/>
        <w:ind w:left="720" w:right="0" w:firstLine="0"/>
        <w:jc w:val="left"/>
      </w:pPr>
      <w:r>
        <w:rPr>
          <w:b/>
        </w:rPr>
        <w:t xml:space="preserve"> </w:t>
      </w:r>
    </w:p>
    <w:p w14:paraId="17DDB7AB" w14:textId="77777777" w:rsidR="00516544" w:rsidRDefault="00000000">
      <w:pPr>
        <w:pStyle w:val="Heading1"/>
        <w:ind w:left="-5" w:right="0"/>
      </w:pPr>
      <w:r>
        <w:lastRenderedPageBreak/>
        <w:t xml:space="preserve">Table 1 </w:t>
      </w:r>
    </w:p>
    <w:p w14:paraId="2FDBE4ED" w14:textId="77777777" w:rsidR="00516544" w:rsidRDefault="00000000">
      <w:pPr>
        <w:pStyle w:val="Heading2"/>
        <w:ind w:left="-5" w:right="0"/>
      </w:pPr>
      <w:r>
        <w:t xml:space="preserve">Profile of Participating School in Terms of School Category </w:t>
      </w:r>
    </w:p>
    <w:p w14:paraId="21EA2EB8" w14:textId="77777777" w:rsidR="00516544" w:rsidRDefault="00000000">
      <w:pPr>
        <w:spacing w:after="0" w:line="259" w:lineRule="auto"/>
        <w:ind w:left="0" w:right="0" w:firstLine="0"/>
        <w:jc w:val="left"/>
      </w:pPr>
      <w:r>
        <w:t xml:space="preserve"> </w:t>
      </w:r>
    </w:p>
    <w:tbl>
      <w:tblPr>
        <w:tblStyle w:val="TableGrid"/>
        <w:tblW w:w="9384" w:type="dxa"/>
        <w:tblInd w:w="-14" w:type="dxa"/>
        <w:tblCellMar>
          <w:top w:w="23" w:type="dxa"/>
          <w:left w:w="0" w:type="dxa"/>
          <w:bottom w:w="6" w:type="dxa"/>
          <w:right w:w="115" w:type="dxa"/>
        </w:tblCellMar>
        <w:tblLook w:val="04A0" w:firstRow="1" w:lastRow="0" w:firstColumn="1" w:lastColumn="0" w:noHBand="0" w:noVBand="1"/>
      </w:tblPr>
      <w:tblGrid>
        <w:gridCol w:w="3985"/>
        <w:gridCol w:w="3034"/>
        <w:gridCol w:w="2365"/>
      </w:tblGrid>
      <w:tr w:rsidR="00516544" w14:paraId="239A76C5" w14:textId="77777777">
        <w:trPr>
          <w:trHeight w:val="280"/>
        </w:trPr>
        <w:tc>
          <w:tcPr>
            <w:tcW w:w="3984" w:type="dxa"/>
            <w:tcBorders>
              <w:top w:val="single" w:sz="4" w:space="0" w:color="000000"/>
              <w:left w:val="nil"/>
              <w:bottom w:val="single" w:sz="4" w:space="0" w:color="000000"/>
              <w:right w:val="nil"/>
            </w:tcBorders>
          </w:tcPr>
          <w:p w14:paraId="300EFB6C" w14:textId="77777777" w:rsidR="00516544" w:rsidRDefault="00000000">
            <w:pPr>
              <w:spacing w:after="0" w:line="259" w:lineRule="auto"/>
              <w:ind w:left="950" w:right="0" w:firstLine="0"/>
              <w:jc w:val="left"/>
            </w:pPr>
            <w:r>
              <w:rPr>
                <w:b/>
              </w:rPr>
              <w:t xml:space="preserve">School Size </w:t>
            </w:r>
          </w:p>
        </w:tc>
        <w:tc>
          <w:tcPr>
            <w:tcW w:w="3034" w:type="dxa"/>
            <w:tcBorders>
              <w:top w:val="single" w:sz="4" w:space="0" w:color="000000"/>
              <w:left w:val="nil"/>
              <w:bottom w:val="single" w:sz="4" w:space="0" w:color="000000"/>
              <w:right w:val="nil"/>
            </w:tcBorders>
          </w:tcPr>
          <w:p w14:paraId="49D02903" w14:textId="77777777" w:rsidR="00516544" w:rsidRDefault="00000000">
            <w:pPr>
              <w:spacing w:after="0" w:line="259" w:lineRule="auto"/>
              <w:ind w:left="0" w:right="0" w:firstLine="0"/>
              <w:jc w:val="left"/>
            </w:pPr>
            <w:r>
              <w:rPr>
                <w:b/>
              </w:rPr>
              <w:t>Frequency (</w:t>
            </w:r>
            <w:r>
              <w:rPr>
                <w:b/>
                <w:i/>
              </w:rPr>
              <w:t>f</w:t>
            </w:r>
            <w:r>
              <w:rPr>
                <w:b/>
              </w:rPr>
              <w:t xml:space="preserve">) </w:t>
            </w:r>
          </w:p>
        </w:tc>
        <w:tc>
          <w:tcPr>
            <w:tcW w:w="2365" w:type="dxa"/>
            <w:tcBorders>
              <w:top w:val="single" w:sz="4" w:space="0" w:color="000000"/>
              <w:left w:val="nil"/>
              <w:bottom w:val="single" w:sz="4" w:space="0" w:color="000000"/>
              <w:right w:val="nil"/>
            </w:tcBorders>
          </w:tcPr>
          <w:p w14:paraId="51C23C91" w14:textId="77777777" w:rsidR="00516544" w:rsidRDefault="00000000">
            <w:pPr>
              <w:spacing w:after="0" w:line="259" w:lineRule="auto"/>
              <w:ind w:left="0" w:right="0" w:firstLine="0"/>
              <w:jc w:val="left"/>
            </w:pPr>
            <w:r>
              <w:rPr>
                <w:b/>
              </w:rPr>
              <w:t xml:space="preserve">Percentage (%) </w:t>
            </w:r>
          </w:p>
        </w:tc>
      </w:tr>
      <w:tr w:rsidR="00516544" w14:paraId="3A91436B" w14:textId="77777777">
        <w:trPr>
          <w:trHeight w:val="556"/>
        </w:trPr>
        <w:tc>
          <w:tcPr>
            <w:tcW w:w="3984" w:type="dxa"/>
            <w:tcBorders>
              <w:top w:val="single" w:sz="4" w:space="0" w:color="000000"/>
              <w:left w:val="nil"/>
              <w:bottom w:val="nil"/>
              <w:right w:val="nil"/>
            </w:tcBorders>
          </w:tcPr>
          <w:p w14:paraId="77CB3336" w14:textId="77777777" w:rsidR="00516544" w:rsidRDefault="00000000">
            <w:pPr>
              <w:tabs>
                <w:tab w:val="center" w:pos="1567"/>
                <w:tab w:val="center" w:pos="3229"/>
              </w:tabs>
              <w:spacing w:after="0" w:line="259" w:lineRule="auto"/>
              <w:ind w:left="0" w:right="0" w:firstLine="0"/>
              <w:jc w:val="left"/>
            </w:pPr>
            <w:r>
              <w:rPr>
                <w:rFonts w:ascii="Calibri" w:eastAsia="Calibri" w:hAnsi="Calibri" w:cs="Calibri"/>
              </w:rPr>
              <w:tab/>
            </w:r>
            <w:r>
              <w:t xml:space="preserve">Number of Teachers </w:t>
            </w:r>
            <w:r>
              <w:tab/>
              <w:t xml:space="preserve"> </w:t>
            </w:r>
          </w:p>
          <w:p w14:paraId="4978A20B" w14:textId="77777777" w:rsidR="00516544" w:rsidRDefault="00000000">
            <w:pPr>
              <w:spacing w:after="0" w:line="259" w:lineRule="auto"/>
              <w:ind w:left="1286" w:right="0" w:firstLine="0"/>
              <w:jc w:val="left"/>
            </w:pPr>
            <w:r>
              <w:t xml:space="preserve">67-79 </w:t>
            </w:r>
          </w:p>
        </w:tc>
        <w:tc>
          <w:tcPr>
            <w:tcW w:w="3034" w:type="dxa"/>
            <w:tcBorders>
              <w:top w:val="single" w:sz="4" w:space="0" w:color="000000"/>
              <w:left w:val="nil"/>
              <w:bottom w:val="nil"/>
              <w:right w:val="nil"/>
            </w:tcBorders>
          </w:tcPr>
          <w:p w14:paraId="33ED4A8D" w14:textId="77777777" w:rsidR="00516544" w:rsidRDefault="00000000">
            <w:pPr>
              <w:spacing w:after="0" w:line="259" w:lineRule="auto"/>
              <w:ind w:left="2369" w:right="0" w:firstLine="0"/>
              <w:jc w:val="left"/>
            </w:pPr>
            <w:r>
              <w:t xml:space="preserve"> </w:t>
            </w:r>
          </w:p>
          <w:p w14:paraId="3151D2CC" w14:textId="77777777" w:rsidR="00516544" w:rsidRDefault="00000000">
            <w:pPr>
              <w:spacing w:after="0" w:line="259" w:lineRule="auto"/>
              <w:ind w:left="636" w:right="0" w:firstLine="0"/>
              <w:jc w:val="left"/>
            </w:pPr>
            <w:r>
              <w:t xml:space="preserve">4 </w:t>
            </w:r>
          </w:p>
        </w:tc>
        <w:tc>
          <w:tcPr>
            <w:tcW w:w="2365" w:type="dxa"/>
            <w:tcBorders>
              <w:top w:val="single" w:sz="4" w:space="0" w:color="000000"/>
              <w:left w:val="nil"/>
              <w:bottom w:val="nil"/>
              <w:right w:val="nil"/>
            </w:tcBorders>
            <w:vAlign w:val="bottom"/>
          </w:tcPr>
          <w:p w14:paraId="2B10B234" w14:textId="77777777" w:rsidR="00516544" w:rsidRDefault="00000000">
            <w:pPr>
              <w:spacing w:after="0" w:line="259" w:lineRule="auto"/>
              <w:ind w:left="518" w:right="0" w:firstLine="0"/>
              <w:jc w:val="left"/>
            </w:pPr>
            <w:r>
              <w:t xml:space="preserve">  5.88  </w:t>
            </w:r>
          </w:p>
        </w:tc>
      </w:tr>
      <w:tr w:rsidR="00516544" w14:paraId="3BA98977" w14:textId="77777777">
        <w:trPr>
          <w:trHeight w:val="271"/>
        </w:trPr>
        <w:tc>
          <w:tcPr>
            <w:tcW w:w="3984" w:type="dxa"/>
            <w:tcBorders>
              <w:top w:val="nil"/>
              <w:left w:val="nil"/>
              <w:bottom w:val="nil"/>
              <w:right w:val="nil"/>
            </w:tcBorders>
          </w:tcPr>
          <w:p w14:paraId="71D42122" w14:textId="77777777" w:rsidR="00516544" w:rsidRDefault="00000000">
            <w:pPr>
              <w:spacing w:after="0" w:line="259" w:lineRule="auto"/>
              <w:ind w:left="1286" w:right="0" w:firstLine="0"/>
              <w:jc w:val="left"/>
            </w:pPr>
            <w:r>
              <w:t xml:space="preserve">54-66 </w:t>
            </w:r>
          </w:p>
        </w:tc>
        <w:tc>
          <w:tcPr>
            <w:tcW w:w="3034" w:type="dxa"/>
            <w:tcBorders>
              <w:top w:val="nil"/>
              <w:left w:val="nil"/>
              <w:bottom w:val="nil"/>
              <w:right w:val="nil"/>
            </w:tcBorders>
          </w:tcPr>
          <w:p w14:paraId="7207F735" w14:textId="77777777" w:rsidR="00516544" w:rsidRDefault="00000000">
            <w:pPr>
              <w:spacing w:after="0" w:line="259" w:lineRule="auto"/>
              <w:ind w:left="636" w:right="0" w:firstLine="0"/>
              <w:jc w:val="left"/>
            </w:pPr>
            <w:r>
              <w:t xml:space="preserve">4 </w:t>
            </w:r>
          </w:p>
        </w:tc>
        <w:tc>
          <w:tcPr>
            <w:tcW w:w="2365" w:type="dxa"/>
            <w:tcBorders>
              <w:top w:val="nil"/>
              <w:left w:val="nil"/>
              <w:bottom w:val="nil"/>
              <w:right w:val="nil"/>
            </w:tcBorders>
          </w:tcPr>
          <w:p w14:paraId="36A38EC9" w14:textId="77777777" w:rsidR="00516544" w:rsidRDefault="00000000">
            <w:pPr>
              <w:spacing w:after="0" w:line="259" w:lineRule="auto"/>
              <w:ind w:left="518" w:right="0" w:firstLine="0"/>
              <w:jc w:val="left"/>
            </w:pPr>
            <w:r>
              <w:t xml:space="preserve">  5.88  </w:t>
            </w:r>
          </w:p>
        </w:tc>
      </w:tr>
      <w:tr w:rsidR="00516544" w14:paraId="1A82C19D" w14:textId="77777777">
        <w:trPr>
          <w:trHeight w:val="271"/>
        </w:trPr>
        <w:tc>
          <w:tcPr>
            <w:tcW w:w="3984" w:type="dxa"/>
            <w:tcBorders>
              <w:top w:val="nil"/>
              <w:left w:val="nil"/>
              <w:bottom w:val="nil"/>
              <w:right w:val="nil"/>
            </w:tcBorders>
          </w:tcPr>
          <w:p w14:paraId="720B68E7" w14:textId="77777777" w:rsidR="00516544" w:rsidRDefault="00000000">
            <w:pPr>
              <w:spacing w:after="0" w:line="259" w:lineRule="auto"/>
              <w:ind w:left="1286" w:right="0" w:firstLine="0"/>
              <w:jc w:val="left"/>
            </w:pPr>
            <w:r>
              <w:t xml:space="preserve">41-53 </w:t>
            </w:r>
          </w:p>
        </w:tc>
        <w:tc>
          <w:tcPr>
            <w:tcW w:w="3034" w:type="dxa"/>
            <w:tcBorders>
              <w:top w:val="nil"/>
              <w:left w:val="nil"/>
              <w:bottom w:val="nil"/>
              <w:right w:val="nil"/>
            </w:tcBorders>
          </w:tcPr>
          <w:p w14:paraId="3AC45B7B" w14:textId="77777777" w:rsidR="00516544" w:rsidRDefault="00000000">
            <w:pPr>
              <w:spacing w:after="0" w:line="259" w:lineRule="auto"/>
              <w:ind w:left="636" w:right="0" w:firstLine="0"/>
              <w:jc w:val="left"/>
            </w:pPr>
            <w:r>
              <w:t xml:space="preserve">7 </w:t>
            </w:r>
          </w:p>
        </w:tc>
        <w:tc>
          <w:tcPr>
            <w:tcW w:w="2365" w:type="dxa"/>
            <w:tcBorders>
              <w:top w:val="nil"/>
              <w:left w:val="nil"/>
              <w:bottom w:val="nil"/>
              <w:right w:val="nil"/>
            </w:tcBorders>
          </w:tcPr>
          <w:p w14:paraId="19F65760" w14:textId="77777777" w:rsidR="00516544" w:rsidRDefault="00000000">
            <w:pPr>
              <w:spacing w:after="0" w:line="259" w:lineRule="auto"/>
              <w:ind w:left="520" w:right="0" w:firstLine="0"/>
              <w:jc w:val="left"/>
            </w:pPr>
            <w:r>
              <w:t xml:space="preserve">10.29  </w:t>
            </w:r>
          </w:p>
        </w:tc>
      </w:tr>
      <w:tr w:rsidR="00516544" w14:paraId="40F8DE3F" w14:textId="77777777">
        <w:trPr>
          <w:trHeight w:val="271"/>
        </w:trPr>
        <w:tc>
          <w:tcPr>
            <w:tcW w:w="3984" w:type="dxa"/>
            <w:tcBorders>
              <w:top w:val="nil"/>
              <w:left w:val="nil"/>
              <w:bottom w:val="nil"/>
              <w:right w:val="nil"/>
            </w:tcBorders>
          </w:tcPr>
          <w:p w14:paraId="254A5F4E" w14:textId="77777777" w:rsidR="00516544" w:rsidRDefault="00000000">
            <w:pPr>
              <w:spacing w:after="0" w:line="259" w:lineRule="auto"/>
              <w:ind w:left="1286" w:right="0" w:firstLine="0"/>
              <w:jc w:val="left"/>
            </w:pPr>
            <w:r>
              <w:t xml:space="preserve">28-40 </w:t>
            </w:r>
          </w:p>
        </w:tc>
        <w:tc>
          <w:tcPr>
            <w:tcW w:w="3034" w:type="dxa"/>
            <w:tcBorders>
              <w:top w:val="nil"/>
              <w:left w:val="nil"/>
              <w:bottom w:val="nil"/>
              <w:right w:val="nil"/>
            </w:tcBorders>
          </w:tcPr>
          <w:p w14:paraId="313700D0" w14:textId="77777777" w:rsidR="00516544" w:rsidRDefault="00000000">
            <w:pPr>
              <w:spacing w:after="0" w:line="259" w:lineRule="auto"/>
              <w:ind w:left="576" w:right="0" w:firstLine="0"/>
              <w:jc w:val="left"/>
            </w:pPr>
            <w:r>
              <w:t xml:space="preserve">12 </w:t>
            </w:r>
          </w:p>
        </w:tc>
        <w:tc>
          <w:tcPr>
            <w:tcW w:w="2365" w:type="dxa"/>
            <w:tcBorders>
              <w:top w:val="nil"/>
              <w:left w:val="nil"/>
              <w:bottom w:val="nil"/>
              <w:right w:val="nil"/>
            </w:tcBorders>
          </w:tcPr>
          <w:p w14:paraId="2626FE5C" w14:textId="77777777" w:rsidR="00516544" w:rsidRDefault="00000000">
            <w:pPr>
              <w:spacing w:after="0" w:line="259" w:lineRule="auto"/>
              <w:ind w:left="520" w:right="0" w:firstLine="0"/>
              <w:jc w:val="left"/>
            </w:pPr>
            <w:r>
              <w:t xml:space="preserve">17.65  </w:t>
            </w:r>
          </w:p>
        </w:tc>
      </w:tr>
      <w:tr w:rsidR="00516544" w14:paraId="14E90828" w14:textId="77777777">
        <w:trPr>
          <w:trHeight w:val="271"/>
        </w:trPr>
        <w:tc>
          <w:tcPr>
            <w:tcW w:w="3984" w:type="dxa"/>
            <w:tcBorders>
              <w:top w:val="nil"/>
              <w:left w:val="nil"/>
              <w:bottom w:val="nil"/>
              <w:right w:val="nil"/>
            </w:tcBorders>
          </w:tcPr>
          <w:p w14:paraId="2672F406" w14:textId="77777777" w:rsidR="00516544" w:rsidRDefault="00000000">
            <w:pPr>
              <w:spacing w:after="0" w:line="259" w:lineRule="auto"/>
              <w:ind w:left="1286" w:right="0" w:firstLine="0"/>
              <w:jc w:val="left"/>
            </w:pPr>
            <w:r>
              <w:t xml:space="preserve">15-27 </w:t>
            </w:r>
          </w:p>
        </w:tc>
        <w:tc>
          <w:tcPr>
            <w:tcW w:w="3034" w:type="dxa"/>
            <w:tcBorders>
              <w:top w:val="nil"/>
              <w:left w:val="nil"/>
              <w:bottom w:val="nil"/>
              <w:right w:val="nil"/>
            </w:tcBorders>
          </w:tcPr>
          <w:p w14:paraId="23085B8E" w14:textId="77777777" w:rsidR="00516544" w:rsidRDefault="00000000">
            <w:pPr>
              <w:spacing w:after="0" w:line="259" w:lineRule="auto"/>
              <w:ind w:left="576" w:right="0" w:firstLine="0"/>
              <w:jc w:val="left"/>
            </w:pPr>
            <w:r>
              <w:t xml:space="preserve">22 </w:t>
            </w:r>
          </w:p>
        </w:tc>
        <w:tc>
          <w:tcPr>
            <w:tcW w:w="2365" w:type="dxa"/>
            <w:tcBorders>
              <w:top w:val="nil"/>
              <w:left w:val="nil"/>
              <w:bottom w:val="nil"/>
              <w:right w:val="nil"/>
            </w:tcBorders>
          </w:tcPr>
          <w:p w14:paraId="12AD141B" w14:textId="77777777" w:rsidR="00516544" w:rsidRDefault="00000000">
            <w:pPr>
              <w:spacing w:after="0" w:line="259" w:lineRule="auto"/>
              <w:ind w:left="520" w:right="0" w:firstLine="0"/>
              <w:jc w:val="left"/>
            </w:pPr>
            <w:r>
              <w:t xml:space="preserve">32.35  </w:t>
            </w:r>
          </w:p>
        </w:tc>
      </w:tr>
      <w:tr w:rsidR="00516544" w14:paraId="07590B49" w14:textId="77777777">
        <w:trPr>
          <w:trHeight w:val="257"/>
        </w:trPr>
        <w:tc>
          <w:tcPr>
            <w:tcW w:w="3984" w:type="dxa"/>
            <w:tcBorders>
              <w:top w:val="nil"/>
              <w:left w:val="nil"/>
              <w:bottom w:val="nil"/>
              <w:right w:val="nil"/>
            </w:tcBorders>
          </w:tcPr>
          <w:p w14:paraId="4AEAB0C9" w14:textId="77777777" w:rsidR="00516544" w:rsidRDefault="00000000">
            <w:pPr>
              <w:spacing w:after="0" w:line="259" w:lineRule="auto"/>
              <w:ind w:left="1346" w:right="0" w:firstLine="0"/>
              <w:jc w:val="left"/>
            </w:pPr>
            <w:r>
              <w:t xml:space="preserve">2-14 </w:t>
            </w:r>
          </w:p>
        </w:tc>
        <w:tc>
          <w:tcPr>
            <w:tcW w:w="3034" w:type="dxa"/>
            <w:tcBorders>
              <w:top w:val="nil"/>
              <w:left w:val="nil"/>
              <w:bottom w:val="nil"/>
              <w:right w:val="nil"/>
            </w:tcBorders>
          </w:tcPr>
          <w:p w14:paraId="288CE916" w14:textId="77777777" w:rsidR="00516544" w:rsidRDefault="00000000">
            <w:pPr>
              <w:spacing w:after="0" w:line="259" w:lineRule="auto"/>
              <w:ind w:left="576" w:right="0" w:firstLine="0"/>
              <w:jc w:val="left"/>
            </w:pPr>
            <w:r>
              <w:t xml:space="preserve">19 </w:t>
            </w:r>
          </w:p>
        </w:tc>
        <w:tc>
          <w:tcPr>
            <w:tcW w:w="2365" w:type="dxa"/>
            <w:tcBorders>
              <w:top w:val="nil"/>
              <w:left w:val="nil"/>
              <w:bottom w:val="nil"/>
              <w:right w:val="nil"/>
            </w:tcBorders>
          </w:tcPr>
          <w:p w14:paraId="40D6B135" w14:textId="77777777" w:rsidR="00516544" w:rsidRDefault="00000000">
            <w:pPr>
              <w:spacing w:after="0" w:line="259" w:lineRule="auto"/>
              <w:ind w:left="520" w:right="0" w:firstLine="0"/>
              <w:jc w:val="left"/>
            </w:pPr>
            <w:r>
              <w:t xml:space="preserve">27.94  </w:t>
            </w:r>
          </w:p>
        </w:tc>
      </w:tr>
      <w:tr w:rsidR="00516544" w14:paraId="3B4E2895" w14:textId="77777777">
        <w:trPr>
          <w:trHeight w:val="543"/>
        </w:trPr>
        <w:tc>
          <w:tcPr>
            <w:tcW w:w="3984" w:type="dxa"/>
            <w:tcBorders>
              <w:top w:val="nil"/>
              <w:left w:val="nil"/>
              <w:bottom w:val="nil"/>
              <w:right w:val="nil"/>
            </w:tcBorders>
          </w:tcPr>
          <w:p w14:paraId="7E129880" w14:textId="77777777" w:rsidR="00516544" w:rsidRDefault="00000000">
            <w:pPr>
              <w:spacing w:after="0" w:line="259" w:lineRule="auto"/>
              <w:ind w:left="1040" w:right="214" w:hanging="452"/>
              <w:jc w:val="left"/>
            </w:pPr>
            <w:r>
              <w:t xml:space="preserve">Number of Learners 2186-2546 </w:t>
            </w:r>
          </w:p>
        </w:tc>
        <w:tc>
          <w:tcPr>
            <w:tcW w:w="3034" w:type="dxa"/>
            <w:tcBorders>
              <w:top w:val="nil"/>
              <w:left w:val="nil"/>
              <w:bottom w:val="nil"/>
              <w:right w:val="nil"/>
            </w:tcBorders>
          </w:tcPr>
          <w:p w14:paraId="2A71746A" w14:textId="77777777" w:rsidR="00516544" w:rsidRDefault="00000000">
            <w:pPr>
              <w:spacing w:after="0" w:line="259" w:lineRule="auto"/>
              <w:ind w:left="698" w:right="0" w:firstLine="0"/>
              <w:jc w:val="left"/>
            </w:pPr>
            <w:r>
              <w:t xml:space="preserve"> </w:t>
            </w:r>
          </w:p>
          <w:p w14:paraId="5D8BE18B" w14:textId="77777777" w:rsidR="00516544" w:rsidRDefault="00000000">
            <w:pPr>
              <w:spacing w:after="0" w:line="259" w:lineRule="auto"/>
              <w:ind w:left="636" w:right="0" w:firstLine="0"/>
              <w:jc w:val="left"/>
            </w:pPr>
            <w:r>
              <w:t xml:space="preserve">2 </w:t>
            </w:r>
          </w:p>
        </w:tc>
        <w:tc>
          <w:tcPr>
            <w:tcW w:w="2365" w:type="dxa"/>
            <w:tcBorders>
              <w:top w:val="nil"/>
              <w:left w:val="nil"/>
              <w:bottom w:val="nil"/>
              <w:right w:val="nil"/>
            </w:tcBorders>
          </w:tcPr>
          <w:p w14:paraId="5A5885EF" w14:textId="77777777" w:rsidR="00516544" w:rsidRDefault="00000000">
            <w:pPr>
              <w:spacing w:after="15" w:line="259" w:lineRule="auto"/>
              <w:ind w:left="794" w:right="0" w:firstLine="0"/>
              <w:jc w:val="left"/>
            </w:pPr>
            <w:r>
              <w:t xml:space="preserve"> </w:t>
            </w:r>
          </w:p>
          <w:p w14:paraId="11170602" w14:textId="77777777" w:rsidR="00516544" w:rsidRDefault="00000000">
            <w:pPr>
              <w:spacing w:after="0" w:line="259" w:lineRule="auto"/>
              <w:ind w:left="518" w:right="0" w:firstLine="0"/>
              <w:jc w:val="left"/>
            </w:pPr>
            <w:r>
              <w:t xml:space="preserve">  2.94  </w:t>
            </w:r>
          </w:p>
        </w:tc>
      </w:tr>
      <w:tr w:rsidR="00516544" w14:paraId="4F1FDA7A" w14:textId="77777777">
        <w:trPr>
          <w:trHeight w:val="271"/>
        </w:trPr>
        <w:tc>
          <w:tcPr>
            <w:tcW w:w="3984" w:type="dxa"/>
            <w:tcBorders>
              <w:top w:val="nil"/>
              <w:left w:val="nil"/>
              <w:bottom w:val="nil"/>
              <w:right w:val="nil"/>
            </w:tcBorders>
          </w:tcPr>
          <w:p w14:paraId="4077BC43" w14:textId="77777777" w:rsidR="00516544" w:rsidRDefault="00000000">
            <w:pPr>
              <w:spacing w:after="0" w:line="259" w:lineRule="auto"/>
              <w:ind w:left="1040" w:right="0" w:firstLine="0"/>
              <w:jc w:val="left"/>
            </w:pPr>
            <w:r>
              <w:t xml:space="preserve">1826-2185 </w:t>
            </w:r>
          </w:p>
        </w:tc>
        <w:tc>
          <w:tcPr>
            <w:tcW w:w="3034" w:type="dxa"/>
            <w:tcBorders>
              <w:top w:val="nil"/>
              <w:left w:val="nil"/>
              <w:bottom w:val="nil"/>
              <w:right w:val="nil"/>
            </w:tcBorders>
          </w:tcPr>
          <w:p w14:paraId="4C7E31E7" w14:textId="77777777" w:rsidR="00516544" w:rsidRDefault="00000000">
            <w:pPr>
              <w:spacing w:after="0" w:line="259" w:lineRule="auto"/>
              <w:ind w:left="636" w:right="0" w:firstLine="0"/>
              <w:jc w:val="left"/>
            </w:pPr>
            <w:r>
              <w:t xml:space="preserve">2 </w:t>
            </w:r>
          </w:p>
        </w:tc>
        <w:tc>
          <w:tcPr>
            <w:tcW w:w="2365" w:type="dxa"/>
            <w:tcBorders>
              <w:top w:val="nil"/>
              <w:left w:val="nil"/>
              <w:bottom w:val="nil"/>
              <w:right w:val="nil"/>
            </w:tcBorders>
          </w:tcPr>
          <w:p w14:paraId="204D4369" w14:textId="77777777" w:rsidR="00516544" w:rsidRDefault="00000000">
            <w:pPr>
              <w:spacing w:after="0" w:line="259" w:lineRule="auto"/>
              <w:ind w:left="518" w:right="0" w:firstLine="0"/>
              <w:jc w:val="left"/>
            </w:pPr>
            <w:r>
              <w:t xml:space="preserve">  2.94  </w:t>
            </w:r>
          </w:p>
        </w:tc>
      </w:tr>
      <w:tr w:rsidR="00516544" w14:paraId="6A0E604A" w14:textId="77777777">
        <w:trPr>
          <w:trHeight w:val="271"/>
        </w:trPr>
        <w:tc>
          <w:tcPr>
            <w:tcW w:w="3984" w:type="dxa"/>
            <w:tcBorders>
              <w:top w:val="nil"/>
              <w:left w:val="nil"/>
              <w:bottom w:val="nil"/>
              <w:right w:val="nil"/>
            </w:tcBorders>
          </w:tcPr>
          <w:p w14:paraId="140D512A" w14:textId="77777777" w:rsidR="00516544" w:rsidRDefault="00000000">
            <w:pPr>
              <w:spacing w:after="0" w:line="259" w:lineRule="auto"/>
              <w:ind w:left="1040" w:right="0" w:firstLine="0"/>
              <w:jc w:val="left"/>
            </w:pPr>
            <w:r>
              <w:t xml:space="preserve">1466-1825 </w:t>
            </w:r>
          </w:p>
        </w:tc>
        <w:tc>
          <w:tcPr>
            <w:tcW w:w="3034" w:type="dxa"/>
            <w:tcBorders>
              <w:top w:val="nil"/>
              <w:left w:val="nil"/>
              <w:bottom w:val="nil"/>
              <w:right w:val="nil"/>
            </w:tcBorders>
          </w:tcPr>
          <w:p w14:paraId="5DEF7FBD" w14:textId="77777777" w:rsidR="00516544" w:rsidRDefault="00000000">
            <w:pPr>
              <w:spacing w:after="0" w:line="259" w:lineRule="auto"/>
              <w:ind w:left="636" w:right="0" w:firstLine="0"/>
              <w:jc w:val="left"/>
            </w:pPr>
            <w:r>
              <w:t xml:space="preserve">2 </w:t>
            </w:r>
          </w:p>
        </w:tc>
        <w:tc>
          <w:tcPr>
            <w:tcW w:w="2365" w:type="dxa"/>
            <w:tcBorders>
              <w:top w:val="nil"/>
              <w:left w:val="nil"/>
              <w:bottom w:val="nil"/>
              <w:right w:val="nil"/>
            </w:tcBorders>
          </w:tcPr>
          <w:p w14:paraId="48045A70" w14:textId="77777777" w:rsidR="00516544" w:rsidRDefault="00000000">
            <w:pPr>
              <w:spacing w:after="0" w:line="259" w:lineRule="auto"/>
              <w:ind w:left="518" w:right="0" w:firstLine="0"/>
              <w:jc w:val="left"/>
            </w:pPr>
            <w:r>
              <w:t xml:space="preserve">  2.94  </w:t>
            </w:r>
          </w:p>
        </w:tc>
      </w:tr>
      <w:tr w:rsidR="00516544" w14:paraId="070DB6D9" w14:textId="77777777">
        <w:trPr>
          <w:trHeight w:val="271"/>
        </w:trPr>
        <w:tc>
          <w:tcPr>
            <w:tcW w:w="3984" w:type="dxa"/>
            <w:tcBorders>
              <w:top w:val="nil"/>
              <w:left w:val="nil"/>
              <w:bottom w:val="nil"/>
              <w:right w:val="nil"/>
            </w:tcBorders>
          </w:tcPr>
          <w:p w14:paraId="4490DC69" w14:textId="77777777" w:rsidR="00516544" w:rsidRDefault="00000000">
            <w:pPr>
              <w:spacing w:after="0" w:line="259" w:lineRule="auto"/>
              <w:ind w:left="1040" w:right="0" w:firstLine="0"/>
              <w:jc w:val="left"/>
            </w:pPr>
            <w:r>
              <w:t xml:space="preserve">1106-1465 </w:t>
            </w:r>
          </w:p>
        </w:tc>
        <w:tc>
          <w:tcPr>
            <w:tcW w:w="3034" w:type="dxa"/>
            <w:tcBorders>
              <w:top w:val="nil"/>
              <w:left w:val="nil"/>
              <w:bottom w:val="nil"/>
              <w:right w:val="nil"/>
            </w:tcBorders>
          </w:tcPr>
          <w:p w14:paraId="046486B5" w14:textId="77777777" w:rsidR="00516544" w:rsidRDefault="00000000">
            <w:pPr>
              <w:spacing w:after="0" w:line="259" w:lineRule="auto"/>
              <w:ind w:left="576" w:right="0" w:firstLine="0"/>
              <w:jc w:val="left"/>
            </w:pPr>
            <w:r>
              <w:t xml:space="preserve">10 </w:t>
            </w:r>
          </w:p>
        </w:tc>
        <w:tc>
          <w:tcPr>
            <w:tcW w:w="2365" w:type="dxa"/>
            <w:tcBorders>
              <w:top w:val="nil"/>
              <w:left w:val="nil"/>
              <w:bottom w:val="nil"/>
              <w:right w:val="nil"/>
            </w:tcBorders>
          </w:tcPr>
          <w:p w14:paraId="1F908A13" w14:textId="77777777" w:rsidR="00516544" w:rsidRDefault="00000000">
            <w:pPr>
              <w:spacing w:after="0" w:line="259" w:lineRule="auto"/>
              <w:ind w:left="520" w:right="0" w:firstLine="0"/>
              <w:jc w:val="left"/>
            </w:pPr>
            <w:r>
              <w:t xml:space="preserve">14.71  </w:t>
            </w:r>
          </w:p>
        </w:tc>
      </w:tr>
      <w:tr w:rsidR="00516544" w14:paraId="6547C395" w14:textId="77777777">
        <w:trPr>
          <w:trHeight w:val="257"/>
        </w:trPr>
        <w:tc>
          <w:tcPr>
            <w:tcW w:w="3984" w:type="dxa"/>
            <w:tcBorders>
              <w:top w:val="nil"/>
              <w:left w:val="nil"/>
              <w:bottom w:val="nil"/>
              <w:right w:val="nil"/>
            </w:tcBorders>
          </w:tcPr>
          <w:p w14:paraId="342C624C" w14:textId="77777777" w:rsidR="00516544" w:rsidRDefault="00000000">
            <w:pPr>
              <w:spacing w:after="0" w:line="259" w:lineRule="auto"/>
              <w:ind w:left="1102" w:right="0" w:firstLine="0"/>
              <w:jc w:val="left"/>
            </w:pPr>
            <w:r>
              <w:t xml:space="preserve">746-1105 </w:t>
            </w:r>
          </w:p>
        </w:tc>
        <w:tc>
          <w:tcPr>
            <w:tcW w:w="3034" w:type="dxa"/>
            <w:tcBorders>
              <w:top w:val="nil"/>
              <w:left w:val="nil"/>
              <w:bottom w:val="nil"/>
              <w:right w:val="nil"/>
            </w:tcBorders>
          </w:tcPr>
          <w:p w14:paraId="25C3D1AE" w14:textId="77777777" w:rsidR="00516544" w:rsidRDefault="00000000">
            <w:pPr>
              <w:spacing w:after="0" w:line="259" w:lineRule="auto"/>
              <w:ind w:left="636" w:right="0" w:firstLine="0"/>
              <w:jc w:val="left"/>
            </w:pPr>
            <w:r>
              <w:t xml:space="preserve">6 </w:t>
            </w:r>
          </w:p>
        </w:tc>
        <w:tc>
          <w:tcPr>
            <w:tcW w:w="2365" w:type="dxa"/>
            <w:tcBorders>
              <w:top w:val="nil"/>
              <w:left w:val="nil"/>
              <w:bottom w:val="nil"/>
              <w:right w:val="nil"/>
            </w:tcBorders>
          </w:tcPr>
          <w:p w14:paraId="644FD268" w14:textId="77777777" w:rsidR="00516544" w:rsidRDefault="00000000">
            <w:pPr>
              <w:spacing w:after="0" w:line="259" w:lineRule="auto"/>
              <w:ind w:left="518" w:right="0" w:firstLine="0"/>
              <w:jc w:val="left"/>
            </w:pPr>
            <w:r>
              <w:t xml:space="preserve">  8.82  </w:t>
            </w:r>
          </w:p>
        </w:tc>
      </w:tr>
      <w:tr w:rsidR="00516544" w14:paraId="0881B696" w14:textId="77777777">
        <w:trPr>
          <w:trHeight w:val="271"/>
        </w:trPr>
        <w:tc>
          <w:tcPr>
            <w:tcW w:w="3984" w:type="dxa"/>
            <w:tcBorders>
              <w:top w:val="nil"/>
              <w:left w:val="nil"/>
              <w:bottom w:val="nil"/>
              <w:right w:val="nil"/>
            </w:tcBorders>
          </w:tcPr>
          <w:p w14:paraId="0D27293D" w14:textId="77777777" w:rsidR="00516544" w:rsidRDefault="00000000">
            <w:pPr>
              <w:spacing w:after="0" w:line="259" w:lineRule="auto"/>
              <w:ind w:left="1162" w:right="0" w:firstLine="0"/>
              <w:jc w:val="left"/>
            </w:pPr>
            <w:r>
              <w:t xml:space="preserve">386-745 </w:t>
            </w:r>
          </w:p>
        </w:tc>
        <w:tc>
          <w:tcPr>
            <w:tcW w:w="3034" w:type="dxa"/>
            <w:tcBorders>
              <w:top w:val="nil"/>
              <w:left w:val="nil"/>
              <w:bottom w:val="nil"/>
              <w:right w:val="nil"/>
            </w:tcBorders>
          </w:tcPr>
          <w:p w14:paraId="3265B12C" w14:textId="77777777" w:rsidR="00516544" w:rsidRDefault="00000000">
            <w:pPr>
              <w:spacing w:after="0" w:line="259" w:lineRule="auto"/>
              <w:ind w:left="576" w:right="0" w:firstLine="0"/>
              <w:jc w:val="left"/>
            </w:pPr>
            <w:r>
              <w:t xml:space="preserve">18 </w:t>
            </w:r>
          </w:p>
        </w:tc>
        <w:tc>
          <w:tcPr>
            <w:tcW w:w="2365" w:type="dxa"/>
            <w:tcBorders>
              <w:top w:val="nil"/>
              <w:left w:val="nil"/>
              <w:bottom w:val="nil"/>
              <w:right w:val="nil"/>
            </w:tcBorders>
          </w:tcPr>
          <w:p w14:paraId="024ABEAD" w14:textId="77777777" w:rsidR="00516544" w:rsidRDefault="00000000">
            <w:pPr>
              <w:spacing w:after="0" w:line="259" w:lineRule="auto"/>
              <w:ind w:left="520" w:right="0" w:firstLine="0"/>
              <w:jc w:val="left"/>
            </w:pPr>
            <w:r>
              <w:t xml:space="preserve">26.47  </w:t>
            </w:r>
          </w:p>
        </w:tc>
      </w:tr>
      <w:tr w:rsidR="00516544" w14:paraId="46F907B9" w14:textId="77777777">
        <w:trPr>
          <w:trHeight w:val="271"/>
        </w:trPr>
        <w:tc>
          <w:tcPr>
            <w:tcW w:w="3984" w:type="dxa"/>
            <w:tcBorders>
              <w:top w:val="nil"/>
              <w:left w:val="nil"/>
              <w:bottom w:val="nil"/>
              <w:right w:val="nil"/>
            </w:tcBorders>
          </w:tcPr>
          <w:p w14:paraId="734653C3" w14:textId="77777777" w:rsidR="00516544" w:rsidRDefault="00000000">
            <w:pPr>
              <w:spacing w:after="0" w:line="259" w:lineRule="auto"/>
              <w:ind w:left="1224" w:right="0" w:firstLine="0"/>
              <w:jc w:val="left"/>
            </w:pPr>
            <w:r>
              <w:t xml:space="preserve">26-385 </w:t>
            </w:r>
          </w:p>
        </w:tc>
        <w:tc>
          <w:tcPr>
            <w:tcW w:w="3034" w:type="dxa"/>
            <w:tcBorders>
              <w:top w:val="nil"/>
              <w:left w:val="nil"/>
              <w:bottom w:val="nil"/>
              <w:right w:val="nil"/>
            </w:tcBorders>
          </w:tcPr>
          <w:p w14:paraId="6C08444F" w14:textId="77777777" w:rsidR="00516544" w:rsidRDefault="00000000">
            <w:pPr>
              <w:spacing w:after="0" w:line="259" w:lineRule="auto"/>
              <w:ind w:left="576" w:right="0" w:firstLine="0"/>
              <w:jc w:val="left"/>
            </w:pPr>
            <w:r>
              <w:t xml:space="preserve">28 </w:t>
            </w:r>
          </w:p>
        </w:tc>
        <w:tc>
          <w:tcPr>
            <w:tcW w:w="2365" w:type="dxa"/>
            <w:tcBorders>
              <w:top w:val="nil"/>
              <w:left w:val="nil"/>
              <w:bottom w:val="nil"/>
              <w:right w:val="nil"/>
            </w:tcBorders>
          </w:tcPr>
          <w:p w14:paraId="14316B96" w14:textId="77777777" w:rsidR="00516544" w:rsidRDefault="00000000">
            <w:pPr>
              <w:spacing w:after="0" w:line="259" w:lineRule="auto"/>
              <w:ind w:left="520" w:right="0" w:firstLine="0"/>
              <w:jc w:val="left"/>
            </w:pPr>
            <w:r>
              <w:t xml:space="preserve">41.18  </w:t>
            </w:r>
          </w:p>
        </w:tc>
      </w:tr>
      <w:tr w:rsidR="00516544" w14:paraId="29DA41A7" w14:textId="77777777">
        <w:trPr>
          <w:trHeight w:val="542"/>
        </w:trPr>
        <w:tc>
          <w:tcPr>
            <w:tcW w:w="3984" w:type="dxa"/>
            <w:tcBorders>
              <w:top w:val="nil"/>
              <w:left w:val="nil"/>
              <w:bottom w:val="nil"/>
              <w:right w:val="nil"/>
            </w:tcBorders>
          </w:tcPr>
          <w:p w14:paraId="5AAA20D1" w14:textId="77777777" w:rsidR="00516544" w:rsidRDefault="00000000">
            <w:pPr>
              <w:spacing w:after="0" w:line="259" w:lineRule="auto"/>
              <w:ind w:left="1292" w:right="879" w:hanging="538"/>
              <w:jc w:val="left"/>
            </w:pPr>
            <w:r>
              <w:t xml:space="preserve">School Category Small </w:t>
            </w:r>
          </w:p>
        </w:tc>
        <w:tc>
          <w:tcPr>
            <w:tcW w:w="3034" w:type="dxa"/>
            <w:tcBorders>
              <w:top w:val="nil"/>
              <w:left w:val="nil"/>
              <w:bottom w:val="nil"/>
              <w:right w:val="nil"/>
            </w:tcBorders>
          </w:tcPr>
          <w:p w14:paraId="4BB9DF3F" w14:textId="77777777" w:rsidR="00516544" w:rsidRDefault="00000000">
            <w:pPr>
              <w:spacing w:after="0" w:line="259" w:lineRule="auto"/>
              <w:ind w:left="698" w:right="0" w:firstLine="0"/>
              <w:jc w:val="left"/>
            </w:pPr>
            <w:r>
              <w:t xml:space="preserve"> </w:t>
            </w:r>
          </w:p>
          <w:p w14:paraId="34B64E40" w14:textId="77777777" w:rsidR="00516544" w:rsidRDefault="00000000">
            <w:pPr>
              <w:spacing w:after="0" w:line="259" w:lineRule="auto"/>
              <w:ind w:left="576" w:right="0" w:firstLine="0"/>
              <w:jc w:val="left"/>
            </w:pPr>
            <w:r>
              <w:t xml:space="preserve">19 </w:t>
            </w:r>
          </w:p>
        </w:tc>
        <w:tc>
          <w:tcPr>
            <w:tcW w:w="2365" w:type="dxa"/>
            <w:tcBorders>
              <w:top w:val="nil"/>
              <w:left w:val="nil"/>
              <w:bottom w:val="nil"/>
              <w:right w:val="nil"/>
            </w:tcBorders>
          </w:tcPr>
          <w:p w14:paraId="50E4C956" w14:textId="77777777" w:rsidR="00516544" w:rsidRDefault="00000000">
            <w:pPr>
              <w:spacing w:after="15" w:line="259" w:lineRule="auto"/>
              <w:ind w:left="794" w:right="0" w:firstLine="0"/>
              <w:jc w:val="left"/>
            </w:pPr>
            <w:r>
              <w:t xml:space="preserve"> </w:t>
            </w:r>
          </w:p>
          <w:p w14:paraId="740CCB25" w14:textId="77777777" w:rsidR="00516544" w:rsidRDefault="00000000">
            <w:pPr>
              <w:spacing w:after="0" w:line="259" w:lineRule="auto"/>
              <w:ind w:left="520" w:right="0" w:firstLine="0"/>
              <w:jc w:val="left"/>
            </w:pPr>
            <w:r>
              <w:t xml:space="preserve">27.94  </w:t>
            </w:r>
          </w:p>
        </w:tc>
      </w:tr>
      <w:tr w:rsidR="00516544" w14:paraId="269AFE54" w14:textId="77777777">
        <w:trPr>
          <w:trHeight w:val="271"/>
        </w:trPr>
        <w:tc>
          <w:tcPr>
            <w:tcW w:w="3984" w:type="dxa"/>
            <w:tcBorders>
              <w:top w:val="nil"/>
              <w:left w:val="nil"/>
              <w:bottom w:val="nil"/>
              <w:right w:val="nil"/>
            </w:tcBorders>
          </w:tcPr>
          <w:p w14:paraId="35157D35" w14:textId="77777777" w:rsidR="00516544" w:rsidRDefault="00000000">
            <w:pPr>
              <w:spacing w:after="0" w:line="259" w:lineRule="auto"/>
              <w:ind w:left="1176" w:right="0" w:firstLine="0"/>
              <w:jc w:val="left"/>
            </w:pPr>
            <w:r>
              <w:t xml:space="preserve">Medium </w:t>
            </w:r>
          </w:p>
        </w:tc>
        <w:tc>
          <w:tcPr>
            <w:tcW w:w="3034" w:type="dxa"/>
            <w:tcBorders>
              <w:top w:val="nil"/>
              <w:left w:val="nil"/>
              <w:bottom w:val="nil"/>
              <w:right w:val="nil"/>
            </w:tcBorders>
          </w:tcPr>
          <w:p w14:paraId="1471366B" w14:textId="77777777" w:rsidR="00516544" w:rsidRDefault="00000000">
            <w:pPr>
              <w:spacing w:after="0" w:line="259" w:lineRule="auto"/>
              <w:ind w:left="576" w:right="0" w:firstLine="0"/>
              <w:jc w:val="left"/>
            </w:pPr>
            <w:r>
              <w:t xml:space="preserve">30 </w:t>
            </w:r>
          </w:p>
        </w:tc>
        <w:tc>
          <w:tcPr>
            <w:tcW w:w="2365" w:type="dxa"/>
            <w:tcBorders>
              <w:top w:val="nil"/>
              <w:left w:val="nil"/>
              <w:bottom w:val="nil"/>
              <w:right w:val="nil"/>
            </w:tcBorders>
          </w:tcPr>
          <w:p w14:paraId="56416A61" w14:textId="77777777" w:rsidR="00516544" w:rsidRDefault="00000000">
            <w:pPr>
              <w:spacing w:after="0" w:line="259" w:lineRule="auto"/>
              <w:ind w:left="520" w:right="0" w:firstLine="0"/>
              <w:jc w:val="left"/>
            </w:pPr>
            <w:r>
              <w:t xml:space="preserve">44.12  </w:t>
            </w:r>
          </w:p>
        </w:tc>
      </w:tr>
      <w:tr w:rsidR="00516544" w14:paraId="3D2FE374" w14:textId="77777777">
        <w:trPr>
          <w:trHeight w:val="236"/>
        </w:trPr>
        <w:tc>
          <w:tcPr>
            <w:tcW w:w="3984" w:type="dxa"/>
            <w:tcBorders>
              <w:top w:val="nil"/>
              <w:left w:val="nil"/>
              <w:bottom w:val="single" w:sz="4" w:space="0" w:color="000000"/>
              <w:right w:val="nil"/>
            </w:tcBorders>
          </w:tcPr>
          <w:p w14:paraId="231BB65B" w14:textId="77777777" w:rsidR="00516544" w:rsidRDefault="00000000">
            <w:pPr>
              <w:spacing w:after="0" w:line="259" w:lineRule="auto"/>
              <w:ind w:left="1286" w:right="0" w:firstLine="0"/>
              <w:jc w:val="left"/>
            </w:pPr>
            <w:r>
              <w:t xml:space="preserve">Large </w:t>
            </w:r>
          </w:p>
        </w:tc>
        <w:tc>
          <w:tcPr>
            <w:tcW w:w="3034" w:type="dxa"/>
            <w:tcBorders>
              <w:top w:val="nil"/>
              <w:left w:val="nil"/>
              <w:bottom w:val="single" w:sz="4" w:space="0" w:color="000000"/>
              <w:right w:val="nil"/>
            </w:tcBorders>
          </w:tcPr>
          <w:p w14:paraId="792F92BA" w14:textId="77777777" w:rsidR="00516544" w:rsidRDefault="00000000">
            <w:pPr>
              <w:spacing w:after="0" w:line="259" w:lineRule="auto"/>
              <w:ind w:left="576" w:right="0" w:firstLine="0"/>
              <w:jc w:val="left"/>
            </w:pPr>
            <w:r>
              <w:t xml:space="preserve">19 </w:t>
            </w:r>
          </w:p>
        </w:tc>
        <w:tc>
          <w:tcPr>
            <w:tcW w:w="2365" w:type="dxa"/>
            <w:tcBorders>
              <w:top w:val="nil"/>
              <w:left w:val="nil"/>
              <w:bottom w:val="single" w:sz="4" w:space="0" w:color="000000"/>
              <w:right w:val="nil"/>
            </w:tcBorders>
          </w:tcPr>
          <w:p w14:paraId="311CE953" w14:textId="77777777" w:rsidR="00516544" w:rsidRDefault="00000000">
            <w:pPr>
              <w:spacing w:after="0" w:line="259" w:lineRule="auto"/>
              <w:ind w:left="520" w:right="0" w:firstLine="0"/>
              <w:jc w:val="left"/>
            </w:pPr>
            <w:r>
              <w:t xml:space="preserve">27.94  </w:t>
            </w:r>
          </w:p>
        </w:tc>
      </w:tr>
    </w:tbl>
    <w:p w14:paraId="7135ABDC" w14:textId="77777777" w:rsidR="00516544" w:rsidRDefault="00000000">
      <w:pPr>
        <w:ind w:left="-5" w:right="0"/>
      </w:pPr>
      <w:r>
        <w:t xml:space="preserve">Table 1 reveals that in terms of numbers of teachers, the majority of the participating schools have teaching personnel that range from 15-27, with the most frequency of 22 and percentage of 32.35%, followed by schools with 2-14 teaching personnel, with frequency of 19 and percentage of 27.94% from the total of 68 participating schools. The rest of the participating schools have frequencies of 12,7, 4, and 4 with percentages of 17.65%, 10.29%, 5.88%, respectively, having the number of teachers ranging from 28-40, 41-53, 54-66, and 67-89. The least number of teachers when this study was conducted in a school was two (2), while the greatest number of teaching personnel in a school reached 89 teachers.    </w:t>
      </w:r>
    </w:p>
    <w:p w14:paraId="330F0524" w14:textId="77777777" w:rsidR="00516544" w:rsidRDefault="00000000">
      <w:pPr>
        <w:spacing w:after="0" w:line="259" w:lineRule="auto"/>
        <w:ind w:left="0" w:right="0" w:firstLine="0"/>
        <w:jc w:val="left"/>
      </w:pPr>
      <w:r>
        <w:t xml:space="preserve"> </w:t>
      </w:r>
    </w:p>
    <w:p w14:paraId="62451769" w14:textId="77777777" w:rsidR="00516544" w:rsidRDefault="00000000">
      <w:pPr>
        <w:ind w:left="-5" w:right="0"/>
      </w:pPr>
      <w:r>
        <w:t xml:space="preserve">Further, Table 1 shows that the majority of the population of learners belongs to the range 26- 385 learners with a frequency of 28 or 41.18%, followed by learners ranging from 386- 745 with a frequency of 18 or 26.47%. A frequency of 10 or 14.71% is obtained by the numbers of learners ranging from 1106-1465, while the number of learners ranging from 746-1105 has a frequency of 6 or 8.82%.   Additionally, there are 6 participating schools with the numbers of learners from 1466-1825, 1826-2185, 2186-2546, having the same number of frequencies of 2 with equivalent percentage of 2.94.  </w:t>
      </w:r>
    </w:p>
    <w:p w14:paraId="0F9FEF1D" w14:textId="77777777" w:rsidR="00516544" w:rsidRDefault="00000000">
      <w:pPr>
        <w:spacing w:after="0" w:line="259" w:lineRule="auto"/>
        <w:ind w:left="0" w:right="0" w:firstLine="0"/>
        <w:jc w:val="left"/>
      </w:pPr>
      <w:r>
        <w:t xml:space="preserve"> </w:t>
      </w:r>
    </w:p>
    <w:p w14:paraId="05A4E875" w14:textId="77777777" w:rsidR="00516544" w:rsidRDefault="00000000">
      <w:pPr>
        <w:ind w:left="-5" w:right="0"/>
      </w:pPr>
      <w:r>
        <w:t xml:space="preserve">In terms of school category, the majority of the participating schools belong to the medium-sized school category, as seen in Table 1, with a frequency of 30, comprising 44.12% of the total population, while there are 19 participating schools categorized as small size school category and other 19 participating schools categorized as large size school category having the same percentage of 27.94%. The data implies that the number of teachers to the number of learners in </w:t>
      </w:r>
      <w:r>
        <w:lastRenderedPageBreak/>
        <w:t>a class is within the ideal class size as suggested in DepEd Order No. 21, s. 2006, which stated that the ideal class size shall range from a minimum of 15 learners to a maximum of 65 learners per class, with an ideal average class size of 50 learners. Further, mentoring of teachers can easily be done and facilitates closer supervision of the teachers’ instructional practices. In terms of learners, classroom management is manageable, which can lead to easier facilitation of the teaching learning process (</w:t>
      </w:r>
      <w:proofErr w:type="spellStart"/>
      <w:r>
        <w:t>Ballarta</w:t>
      </w:r>
      <w:proofErr w:type="spellEnd"/>
      <w:r>
        <w:t xml:space="preserve"> et al., 2022). </w:t>
      </w:r>
    </w:p>
    <w:p w14:paraId="22767778" w14:textId="77777777" w:rsidR="00516544" w:rsidRDefault="00000000">
      <w:pPr>
        <w:spacing w:after="0" w:line="259" w:lineRule="auto"/>
        <w:ind w:left="0" w:right="0" w:firstLine="0"/>
        <w:jc w:val="left"/>
      </w:pPr>
      <w:r>
        <w:t xml:space="preserve"> </w:t>
      </w:r>
    </w:p>
    <w:p w14:paraId="35D1FB74" w14:textId="77777777" w:rsidR="00516544" w:rsidRDefault="00000000">
      <w:pPr>
        <w:pStyle w:val="Heading2"/>
        <w:ind w:left="-5" w:right="0"/>
      </w:pPr>
      <w:r>
        <w:t xml:space="preserve">Profile of Participating School in Terms of School Fund </w:t>
      </w:r>
    </w:p>
    <w:p w14:paraId="53A86835" w14:textId="77777777" w:rsidR="00516544" w:rsidRDefault="00000000">
      <w:pPr>
        <w:ind w:left="-5" w:right="0"/>
      </w:pPr>
      <w:r>
        <w:t>This shows the profile of participating schools in terms of school funds obtained from the online survey conducted with the sixty- eight (68) respondents comprising the public secondary school principals and designated school heads in the 2</w:t>
      </w:r>
      <w:r>
        <w:rPr>
          <w:vertAlign w:val="superscript"/>
        </w:rPr>
        <w:t>nd</w:t>
      </w:r>
      <w:r>
        <w:t xml:space="preserve"> congressional district in the division of Bohol.</w:t>
      </w:r>
      <w:r>
        <w:rPr>
          <w:b/>
        </w:rPr>
        <w:t xml:space="preserve"> </w:t>
      </w:r>
    </w:p>
    <w:p w14:paraId="7EB295A3" w14:textId="77777777" w:rsidR="00516544" w:rsidRDefault="00000000">
      <w:pPr>
        <w:spacing w:after="0" w:line="259" w:lineRule="auto"/>
        <w:ind w:left="0" w:right="0" w:firstLine="0"/>
        <w:jc w:val="left"/>
      </w:pPr>
      <w:r>
        <w:rPr>
          <w:i/>
        </w:rPr>
        <w:t xml:space="preserve"> </w:t>
      </w:r>
    </w:p>
    <w:p w14:paraId="24238CFF" w14:textId="77777777" w:rsidR="00516544" w:rsidRDefault="00000000">
      <w:pPr>
        <w:ind w:left="-5" w:right="0"/>
      </w:pPr>
      <w:r>
        <w:t>Table 2 presents the profile of the participating school in terms of school funds. It shows that the public secondary school principals and or designated school heads in the 2</w:t>
      </w:r>
      <w:r>
        <w:rPr>
          <w:vertAlign w:val="superscript"/>
        </w:rPr>
        <w:t>nd</w:t>
      </w:r>
      <w:r>
        <w:t xml:space="preserve"> congressional district in the division of Bohol used funds from Maintenance and Other Operating Expenses (MOOE), Donations, Canteen Income, Parents Teachers Association (PTA), Income Generated Projects (IGP), Alumni, School Initiated Programs, </w:t>
      </w:r>
      <w:proofErr w:type="spellStart"/>
      <w:r>
        <w:t>Gulayan</w:t>
      </w:r>
      <w:proofErr w:type="spellEnd"/>
      <w:r>
        <w:t xml:space="preserve"> </w:t>
      </w:r>
      <w:proofErr w:type="spellStart"/>
      <w:r>
        <w:t>sa</w:t>
      </w:r>
      <w:proofErr w:type="spellEnd"/>
      <w:r>
        <w:t xml:space="preserve"> </w:t>
      </w:r>
      <w:proofErr w:type="spellStart"/>
      <w:r>
        <w:t>Paaralan</w:t>
      </w:r>
      <w:proofErr w:type="spellEnd"/>
      <w:r>
        <w:t xml:space="preserve">, Local Government Unit (LGU), Barangay Local Government Unit (BLGU), Other Local Funds, self, and personal fund to implement school-based management (SBM). </w:t>
      </w:r>
    </w:p>
    <w:p w14:paraId="02E4D301" w14:textId="77777777" w:rsidR="00516544" w:rsidRDefault="00000000">
      <w:pPr>
        <w:spacing w:after="0" w:line="259" w:lineRule="auto"/>
        <w:ind w:left="0" w:right="0" w:firstLine="0"/>
        <w:jc w:val="left"/>
      </w:pPr>
      <w:r>
        <w:rPr>
          <w:i/>
        </w:rPr>
        <w:t xml:space="preserve"> </w:t>
      </w:r>
    </w:p>
    <w:p w14:paraId="1F7F81F7" w14:textId="77777777" w:rsidR="00516544" w:rsidRDefault="00000000">
      <w:pPr>
        <w:ind w:left="-5" w:right="0"/>
      </w:pPr>
      <w:r>
        <w:t>It reveals that Maintenance and Other Operating Expenses (MOOE) is the most commonly used source of funds to implement school-based management, with 26.47% or 18 schools out of 68 schools in the 2</w:t>
      </w:r>
      <w:r>
        <w:rPr>
          <w:vertAlign w:val="superscript"/>
        </w:rPr>
        <w:t>nd</w:t>
      </w:r>
      <w:r>
        <w:t xml:space="preserve"> congressional district in the division of Bohol. It implies that the MOOE is the main source of funds to keep SBM running. In support, DepEd Order No. 8, s. 2019, the use of MOOE is subject to the availability of funds and prioritization of mandatory expense items and must be in accordance with the existing budgeting, accounting, procurement, and auditing rules and regulations to enhance the teaching and learning experience in school, improve school management and administrative process, and strengthen the resiliency of schools. Another main source of funds is still through MOOE, backed up by donations and canteen income (M/D/C), with a total percentage of 22.06 %, or 15 public secondary school principals and or designated school heads out of the 68 school principals or designated school heads who responded in the survey.  </w:t>
      </w:r>
    </w:p>
    <w:p w14:paraId="79A9A7D6" w14:textId="77777777" w:rsidR="00516544" w:rsidRDefault="00000000">
      <w:pPr>
        <w:spacing w:after="0" w:line="259" w:lineRule="auto"/>
        <w:ind w:left="0" w:right="0" w:firstLine="0"/>
        <w:jc w:val="left"/>
      </w:pPr>
      <w:r>
        <w:rPr>
          <w:i/>
        </w:rPr>
        <w:t xml:space="preserve"> </w:t>
      </w:r>
    </w:p>
    <w:p w14:paraId="7C98BC0B" w14:textId="77777777" w:rsidR="00516544" w:rsidRDefault="00000000">
      <w:pPr>
        <w:ind w:left="-5" w:right="0"/>
      </w:pPr>
      <w:r>
        <w:t xml:space="preserve">The third source of funds to keep SBM implemented is through MOOE funds combined with donations, with a total percentage of 19.12 %, or 13 respondents out of 68 respondents who answered the survey. Further, there are three (3) schools or 4.41% out of the total participating school who fused the funds from MOOE, donations, canteen income, and Income Generating Project to fuel their SBM operation. Additionally, another three (3) schools or 4.41% out of the total participating schools, which combined funds from MOOE, donations, canteen income, and PTA to conduct school-based management (SBM). On the other hand, MOOE and canteen income are combined funds used by two (2) participating schools, or 2.94% from the total population, to implement SBM. Another two (2) schools used combined funds from MOOE, donations, and PTA, while the other two (2) schools used funds from MOOE, with funds from PTA, with the same percentage of 2.49% from the total population.  </w:t>
      </w:r>
    </w:p>
    <w:p w14:paraId="0A72E337" w14:textId="77777777" w:rsidR="00516544" w:rsidRDefault="00000000">
      <w:pPr>
        <w:spacing w:after="0" w:line="259" w:lineRule="auto"/>
        <w:ind w:left="0" w:right="0" w:firstLine="0"/>
        <w:jc w:val="left"/>
      </w:pPr>
      <w:r>
        <w:rPr>
          <w:b/>
        </w:rPr>
        <w:t xml:space="preserve"> </w:t>
      </w:r>
    </w:p>
    <w:p w14:paraId="74837A23" w14:textId="77777777" w:rsidR="00516544" w:rsidRDefault="00000000">
      <w:pPr>
        <w:pStyle w:val="Heading1"/>
        <w:ind w:left="-5" w:right="0"/>
      </w:pPr>
      <w:r>
        <w:t xml:space="preserve">Table 2  </w:t>
      </w:r>
    </w:p>
    <w:p w14:paraId="72F183A7" w14:textId="77777777" w:rsidR="00516544" w:rsidRDefault="00000000">
      <w:pPr>
        <w:pStyle w:val="Heading2"/>
        <w:ind w:left="-5" w:right="0"/>
      </w:pPr>
      <w:r>
        <w:t xml:space="preserve">Profile of Participating School in Terms of School Fund </w:t>
      </w:r>
    </w:p>
    <w:p w14:paraId="36549016" w14:textId="77777777" w:rsidR="00516544" w:rsidRDefault="00000000">
      <w:pPr>
        <w:spacing w:after="0" w:line="259" w:lineRule="auto"/>
        <w:ind w:left="0" w:right="0" w:firstLine="0"/>
        <w:jc w:val="left"/>
      </w:pPr>
      <w:r>
        <w:t xml:space="preserve"> </w:t>
      </w:r>
    </w:p>
    <w:tbl>
      <w:tblPr>
        <w:tblStyle w:val="TableGrid"/>
        <w:tblW w:w="9466" w:type="dxa"/>
        <w:tblInd w:w="-14" w:type="dxa"/>
        <w:tblCellMar>
          <w:top w:w="23" w:type="dxa"/>
          <w:left w:w="0" w:type="dxa"/>
          <w:bottom w:w="0" w:type="dxa"/>
          <w:right w:w="115" w:type="dxa"/>
        </w:tblCellMar>
        <w:tblLook w:val="04A0" w:firstRow="1" w:lastRow="0" w:firstColumn="1" w:lastColumn="0" w:noHBand="0" w:noVBand="1"/>
      </w:tblPr>
      <w:tblGrid>
        <w:gridCol w:w="6434"/>
        <w:gridCol w:w="1628"/>
        <w:gridCol w:w="1404"/>
      </w:tblGrid>
      <w:tr w:rsidR="00516544" w14:paraId="3754A10A" w14:textId="77777777">
        <w:trPr>
          <w:trHeight w:val="516"/>
        </w:trPr>
        <w:tc>
          <w:tcPr>
            <w:tcW w:w="6433" w:type="dxa"/>
            <w:tcBorders>
              <w:top w:val="single" w:sz="4" w:space="0" w:color="000000"/>
              <w:left w:val="nil"/>
              <w:bottom w:val="single" w:sz="4" w:space="0" w:color="000000"/>
              <w:right w:val="nil"/>
            </w:tcBorders>
            <w:vAlign w:val="center"/>
          </w:tcPr>
          <w:p w14:paraId="65285D8D" w14:textId="77777777" w:rsidR="00516544" w:rsidRDefault="00000000">
            <w:pPr>
              <w:spacing w:after="0" w:line="259" w:lineRule="auto"/>
              <w:ind w:left="0" w:right="173" w:firstLine="0"/>
              <w:jc w:val="center"/>
            </w:pPr>
            <w:r>
              <w:rPr>
                <w:b/>
              </w:rPr>
              <w:lastRenderedPageBreak/>
              <w:t xml:space="preserve">Source of Fund </w:t>
            </w:r>
          </w:p>
        </w:tc>
        <w:tc>
          <w:tcPr>
            <w:tcW w:w="1628" w:type="dxa"/>
            <w:tcBorders>
              <w:top w:val="single" w:sz="4" w:space="0" w:color="000000"/>
              <w:left w:val="nil"/>
              <w:bottom w:val="single" w:sz="4" w:space="0" w:color="000000"/>
              <w:right w:val="nil"/>
            </w:tcBorders>
          </w:tcPr>
          <w:p w14:paraId="5899E7F3" w14:textId="77777777" w:rsidR="00516544" w:rsidRDefault="00000000">
            <w:pPr>
              <w:spacing w:after="0" w:line="259" w:lineRule="auto"/>
              <w:ind w:left="0" w:right="0" w:firstLine="0"/>
              <w:jc w:val="left"/>
            </w:pPr>
            <w:r>
              <w:rPr>
                <w:b/>
              </w:rPr>
              <w:t xml:space="preserve">Frequency </w:t>
            </w:r>
          </w:p>
          <w:p w14:paraId="23644D8A" w14:textId="77777777" w:rsidR="00516544" w:rsidRDefault="00000000">
            <w:pPr>
              <w:spacing w:after="0" w:line="259" w:lineRule="auto"/>
              <w:ind w:left="446" w:right="0" w:firstLine="0"/>
              <w:jc w:val="left"/>
            </w:pPr>
            <w:r>
              <w:rPr>
                <w:b/>
              </w:rPr>
              <w:t xml:space="preserve">(f) </w:t>
            </w:r>
          </w:p>
        </w:tc>
        <w:tc>
          <w:tcPr>
            <w:tcW w:w="1404" w:type="dxa"/>
            <w:tcBorders>
              <w:top w:val="single" w:sz="4" w:space="0" w:color="000000"/>
              <w:left w:val="nil"/>
              <w:bottom w:val="single" w:sz="4" w:space="0" w:color="000000"/>
              <w:right w:val="nil"/>
            </w:tcBorders>
          </w:tcPr>
          <w:p w14:paraId="59FF6F10" w14:textId="77777777" w:rsidR="00516544" w:rsidRDefault="00000000">
            <w:pPr>
              <w:spacing w:after="0" w:line="259" w:lineRule="auto"/>
              <w:ind w:left="422" w:right="0" w:hanging="422"/>
              <w:jc w:val="left"/>
            </w:pPr>
            <w:r>
              <w:rPr>
                <w:b/>
              </w:rPr>
              <w:t xml:space="preserve">Percentage (%) </w:t>
            </w:r>
          </w:p>
        </w:tc>
      </w:tr>
      <w:tr w:rsidR="00516544" w14:paraId="1C62C0E3" w14:textId="77777777">
        <w:trPr>
          <w:trHeight w:val="280"/>
        </w:trPr>
        <w:tc>
          <w:tcPr>
            <w:tcW w:w="6433" w:type="dxa"/>
            <w:tcBorders>
              <w:top w:val="single" w:sz="4" w:space="0" w:color="000000"/>
              <w:left w:val="nil"/>
              <w:bottom w:val="nil"/>
              <w:right w:val="nil"/>
            </w:tcBorders>
          </w:tcPr>
          <w:p w14:paraId="44B2C982" w14:textId="77777777" w:rsidR="00516544" w:rsidRDefault="00000000">
            <w:pPr>
              <w:spacing w:after="0" w:line="259" w:lineRule="auto"/>
              <w:ind w:left="122" w:right="0" w:firstLine="0"/>
              <w:jc w:val="left"/>
            </w:pPr>
            <w:r>
              <w:t xml:space="preserve">Donation/Canteen Income </w:t>
            </w:r>
          </w:p>
        </w:tc>
        <w:tc>
          <w:tcPr>
            <w:tcW w:w="1628" w:type="dxa"/>
            <w:tcBorders>
              <w:top w:val="single" w:sz="4" w:space="0" w:color="000000"/>
              <w:left w:val="nil"/>
              <w:bottom w:val="nil"/>
              <w:right w:val="nil"/>
            </w:tcBorders>
          </w:tcPr>
          <w:p w14:paraId="19E96801" w14:textId="77777777" w:rsidR="00516544" w:rsidRDefault="00000000">
            <w:pPr>
              <w:spacing w:after="0" w:line="259" w:lineRule="auto"/>
              <w:ind w:left="496" w:right="0" w:firstLine="0"/>
              <w:jc w:val="left"/>
            </w:pPr>
            <w:r>
              <w:t xml:space="preserve">1 </w:t>
            </w:r>
          </w:p>
        </w:tc>
        <w:tc>
          <w:tcPr>
            <w:tcW w:w="1404" w:type="dxa"/>
            <w:tcBorders>
              <w:top w:val="single" w:sz="4" w:space="0" w:color="000000"/>
              <w:left w:val="nil"/>
              <w:bottom w:val="nil"/>
              <w:right w:val="nil"/>
            </w:tcBorders>
          </w:tcPr>
          <w:p w14:paraId="2A47B7CB" w14:textId="77777777" w:rsidR="00516544" w:rsidRDefault="00000000">
            <w:pPr>
              <w:spacing w:after="0" w:line="259" w:lineRule="auto"/>
              <w:ind w:left="0" w:right="102" w:firstLine="0"/>
              <w:jc w:val="center"/>
            </w:pPr>
            <w:r>
              <w:t xml:space="preserve">  1.47  </w:t>
            </w:r>
          </w:p>
        </w:tc>
      </w:tr>
      <w:tr w:rsidR="00516544" w14:paraId="10B340A3" w14:textId="77777777">
        <w:trPr>
          <w:trHeight w:val="253"/>
        </w:trPr>
        <w:tc>
          <w:tcPr>
            <w:tcW w:w="6433" w:type="dxa"/>
            <w:tcBorders>
              <w:top w:val="nil"/>
              <w:left w:val="nil"/>
              <w:bottom w:val="nil"/>
              <w:right w:val="nil"/>
            </w:tcBorders>
          </w:tcPr>
          <w:p w14:paraId="138E8BA6" w14:textId="77777777" w:rsidR="00516544" w:rsidRDefault="00000000">
            <w:pPr>
              <w:spacing w:after="0" w:line="259" w:lineRule="auto"/>
              <w:ind w:left="122" w:right="0" w:firstLine="0"/>
              <w:jc w:val="left"/>
            </w:pPr>
            <w:r>
              <w:t xml:space="preserve">Donation /Self Fund </w:t>
            </w:r>
          </w:p>
        </w:tc>
        <w:tc>
          <w:tcPr>
            <w:tcW w:w="1628" w:type="dxa"/>
            <w:tcBorders>
              <w:top w:val="nil"/>
              <w:left w:val="nil"/>
              <w:bottom w:val="nil"/>
              <w:right w:val="nil"/>
            </w:tcBorders>
          </w:tcPr>
          <w:p w14:paraId="5E902835"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5B636F57" w14:textId="77777777" w:rsidR="00516544" w:rsidRDefault="00000000">
            <w:pPr>
              <w:spacing w:after="0" w:line="259" w:lineRule="auto"/>
              <w:ind w:left="0" w:right="102" w:firstLine="0"/>
              <w:jc w:val="center"/>
            </w:pPr>
            <w:r>
              <w:t xml:space="preserve">  1.47  </w:t>
            </w:r>
          </w:p>
        </w:tc>
      </w:tr>
      <w:tr w:rsidR="00516544" w14:paraId="1A3E09F4" w14:textId="77777777">
        <w:trPr>
          <w:trHeight w:val="253"/>
        </w:trPr>
        <w:tc>
          <w:tcPr>
            <w:tcW w:w="6433" w:type="dxa"/>
            <w:tcBorders>
              <w:top w:val="nil"/>
              <w:left w:val="nil"/>
              <w:bottom w:val="nil"/>
              <w:right w:val="nil"/>
            </w:tcBorders>
          </w:tcPr>
          <w:p w14:paraId="47C3737F" w14:textId="77777777" w:rsidR="00516544" w:rsidRDefault="00000000">
            <w:pPr>
              <w:spacing w:after="0" w:line="259" w:lineRule="auto"/>
              <w:ind w:left="122" w:right="0" w:firstLine="0"/>
              <w:jc w:val="left"/>
            </w:pPr>
            <w:r>
              <w:t xml:space="preserve">MOOE/ Canteen Income </w:t>
            </w:r>
          </w:p>
        </w:tc>
        <w:tc>
          <w:tcPr>
            <w:tcW w:w="1628" w:type="dxa"/>
            <w:tcBorders>
              <w:top w:val="nil"/>
              <w:left w:val="nil"/>
              <w:bottom w:val="nil"/>
              <w:right w:val="nil"/>
            </w:tcBorders>
          </w:tcPr>
          <w:p w14:paraId="3032B783" w14:textId="77777777" w:rsidR="00516544" w:rsidRDefault="00000000">
            <w:pPr>
              <w:spacing w:after="0" w:line="259" w:lineRule="auto"/>
              <w:ind w:left="496" w:right="0" w:firstLine="0"/>
              <w:jc w:val="left"/>
            </w:pPr>
            <w:r>
              <w:t xml:space="preserve">2 </w:t>
            </w:r>
          </w:p>
        </w:tc>
        <w:tc>
          <w:tcPr>
            <w:tcW w:w="1404" w:type="dxa"/>
            <w:tcBorders>
              <w:top w:val="nil"/>
              <w:left w:val="nil"/>
              <w:bottom w:val="nil"/>
              <w:right w:val="nil"/>
            </w:tcBorders>
          </w:tcPr>
          <w:p w14:paraId="24B6F768" w14:textId="77777777" w:rsidR="00516544" w:rsidRDefault="00000000">
            <w:pPr>
              <w:spacing w:after="0" w:line="259" w:lineRule="auto"/>
              <w:ind w:left="0" w:right="102" w:firstLine="0"/>
              <w:jc w:val="center"/>
            </w:pPr>
            <w:r>
              <w:t xml:space="preserve">  2.94  </w:t>
            </w:r>
          </w:p>
        </w:tc>
      </w:tr>
      <w:tr w:rsidR="00516544" w14:paraId="51AC46A0" w14:textId="77777777">
        <w:trPr>
          <w:trHeight w:val="253"/>
        </w:trPr>
        <w:tc>
          <w:tcPr>
            <w:tcW w:w="6433" w:type="dxa"/>
            <w:tcBorders>
              <w:top w:val="nil"/>
              <w:left w:val="nil"/>
              <w:bottom w:val="nil"/>
              <w:right w:val="nil"/>
            </w:tcBorders>
          </w:tcPr>
          <w:p w14:paraId="59109FD2" w14:textId="77777777" w:rsidR="00516544" w:rsidRDefault="00000000">
            <w:pPr>
              <w:spacing w:after="0" w:line="259" w:lineRule="auto"/>
              <w:ind w:left="122" w:right="0" w:firstLine="0"/>
              <w:jc w:val="left"/>
            </w:pPr>
            <w:r>
              <w:t xml:space="preserve">MOOE/ Canteen Income /PTA </w:t>
            </w:r>
          </w:p>
        </w:tc>
        <w:tc>
          <w:tcPr>
            <w:tcW w:w="1628" w:type="dxa"/>
            <w:tcBorders>
              <w:top w:val="nil"/>
              <w:left w:val="nil"/>
              <w:bottom w:val="nil"/>
              <w:right w:val="nil"/>
            </w:tcBorders>
          </w:tcPr>
          <w:p w14:paraId="6DD00E62"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61C4B04C" w14:textId="77777777" w:rsidR="00516544" w:rsidRDefault="00000000">
            <w:pPr>
              <w:spacing w:after="0" w:line="259" w:lineRule="auto"/>
              <w:ind w:left="0" w:right="102" w:firstLine="0"/>
              <w:jc w:val="center"/>
            </w:pPr>
            <w:r>
              <w:t xml:space="preserve">  1.47  </w:t>
            </w:r>
          </w:p>
        </w:tc>
      </w:tr>
      <w:tr w:rsidR="00516544" w14:paraId="77295A90" w14:textId="77777777">
        <w:trPr>
          <w:trHeight w:val="253"/>
        </w:trPr>
        <w:tc>
          <w:tcPr>
            <w:tcW w:w="6433" w:type="dxa"/>
            <w:tcBorders>
              <w:top w:val="nil"/>
              <w:left w:val="nil"/>
              <w:bottom w:val="nil"/>
              <w:right w:val="nil"/>
            </w:tcBorders>
          </w:tcPr>
          <w:p w14:paraId="591E3AFF" w14:textId="77777777" w:rsidR="00516544" w:rsidRDefault="00000000">
            <w:pPr>
              <w:spacing w:after="0" w:line="259" w:lineRule="auto"/>
              <w:ind w:left="122" w:right="0" w:firstLine="0"/>
              <w:jc w:val="left"/>
            </w:pPr>
            <w:r>
              <w:t xml:space="preserve">MOOE/Donation </w:t>
            </w:r>
          </w:p>
        </w:tc>
        <w:tc>
          <w:tcPr>
            <w:tcW w:w="1628" w:type="dxa"/>
            <w:tcBorders>
              <w:top w:val="nil"/>
              <w:left w:val="nil"/>
              <w:bottom w:val="nil"/>
              <w:right w:val="nil"/>
            </w:tcBorders>
          </w:tcPr>
          <w:p w14:paraId="77CA1E6D" w14:textId="77777777" w:rsidR="00516544" w:rsidRDefault="00000000">
            <w:pPr>
              <w:spacing w:after="0" w:line="259" w:lineRule="auto"/>
              <w:ind w:left="434" w:right="0" w:firstLine="0"/>
              <w:jc w:val="left"/>
            </w:pPr>
            <w:r>
              <w:t xml:space="preserve">13 </w:t>
            </w:r>
          </w:p>
        </w:tc>
        <w:tc>
          <w:tcPr>
            <w:tcW w:w="1404" w:type="dxa"/>
            <w:tcBorders>
              <w:top w:val="nil"/>
              <w:left w:val="nil"/>
              <w:bottom w:val="nil"/>
              <w:right w:val="nil"/>
            </w:tcBorders>
          </w:tcPr>
          <w:p w14:paraId="1FFE3AFA" w14:textId="77777777" w:rsidR="00516544" w:rsidRDefault="00000000">
            <w:pPr>
              <w:spacing w:after="0" w:line="259" w:lineRule="auto"/>
              <w:ind w:left="0" w:right="103" w:firstLine="0"/>
              <w:jc w:val="center"/>
            </w:pPr>
            <w:r>
              <w:t xml:space="preserve">19.12  </w:t>
            </w:r>
          </w:p>
        </w:tc>
      </w:tr>
      <w:tr w:rsidR="00516544" w14:paraId="2221D19A" w14:textId="77777777">
        <w:trPr>
          <w:trHeight w:val="253"/>
        </w:trPr>
        <w:tc>
          <w:tcPr>
            <w:tcW w:w="6433" w:type="dxa"/>
            <w:tcBorders>
              <w:top w:val="nil"/>
              <w:left w:val="nil"/>
              <w:bottom w:val="nil"/>
              <w:right w:val="nil"/>
            </w:tcBorders>
          </w:tcPr>
          <w:p w14:paraId="08844D0A" w14:textId="77777777" w:rsidR="00516544" w:rsidRDefault="00000000">
            <w:pPr>
              <w:spacing w:after="0" w:line="259" w:lineRule="auto"/>
              <w:ind w:left="122" w:right="0" w:firstLine="0"/>
              <w:jc w:val="left"/>
            </w:pPr>
            <w:r>
              <w:t xml:space="preserve">MOOE/Donation/Canteen Income </w:t>
            </w:r>
          </w:p>
        </w:tc>
        <w:tc>
          <w:tcPr>
            <w:tcW w:w="1628" w:type="dxa"/>
            <w:tcBorders>
              <w:top w:val="nil"/>
              <w:left w:val="nil"/>
              <w:bottom w:val="nil"/>
              <w:right w:val="nil"/>
            </w:tcBorders>
          </w:tcPr>
          <w:p w14:paraId="568C1C86" w14:textId="77777777" w:rsidR="00516544" w:rsidRDefault="00000000">
            <w:pPr>
              <w:spacing w:after="0" w:line="259" w:lineRule="auto"/>
              <w:ind w:left="434" w:right="0" w:firstLine="0"/>
              <w:jc w:val="left"/>
            </w:pPr>
            <w:r>
              <w:t xml:space="preserve">15 </w:t>
            </w:r>
          </w:p>
        </w:tc>
        <w:tc>
          <w:tcPr>
            <w:tcW w:w="1404" w:type="dxa"/>
            <w:tcBorders>
              <w:top w:val="nil"/>
              <w:left w:val="nil"/>
              <w:bottom w:val="nil"/>
              <w:right w:val="nil"/>
            </w:tcBorders>
          </w:tcPr>
          <w:p w14:paraId="582F1ABE" w14:textId="77777777" w:rsidR="00516544" w:rsidRDefault="00000000">
            <w:pPr>
              <w:spacing w:after="0" w:line="259" w:lineRule="auto"/>
              <w:ind w:left="0" w:right="103" w:firstLine="0"/>
              <w:jc w:val="center"/>
            </w:pPr>
            <w:r>
              <w:t xml:space="preserve">22.06  </w:t>
            </w:r>
          </w:p>
        </w:tc>
      </w:tr>
      <w:tr w:rsidR="00516544" w14:paraId="3D09F701" w14:textId="77777777">
        <w:trPr>
          <w:trHeight w:val="253"/>
        </w:trPr>
        <w:tc>
          <w:tcPr>
            <w:tcW w:w="6433" w:type="dxa"/>
            <w:tcBorders>
              <w:top w:val="nil"/>
              <w:left w:val="nil"/>
              <w:bottom w:val="nil"/>
              <w:right w:val="nil"/>
            </w:tcBorders>
          </w:tcPr>
          <w:p w14:paraId="0672CDFA" w14:textId="77777777" w:rsidR="00516544" w:rsidRDefault="00000000">
            <w:pPr>
              <w:spacing w:after="0" w:line="259" w:lineRule="auto"/>
              <w:ind w:left="122" w:right="0" w:firstLine="0"/>
              <w:jc w:val="left"/>
            </w:pPr>
            <w:r>
              <w:t xml:space="preserve">MOOE/Donation/Canteen Income/IGP </w:t>
            </w:r>
          </w:p>
        </w:tc>
        <w:tc>
          <w:tcPr>
            <w:tcW w:w="1628" w:type="dxa"/>
            <w:tcBorders>
              <w:top w:val="nil"/>
              <w:left w:val="nil"/>
              <w:bottom w:val="nil"/>
              <w:right w:val="nil"/>
            </w:tcBorders>
          </w:tcPr>
          <w:p w14:paraId="7D5498CD" w14:textId="77777777" w:rsidR="00516544" w:rsidRDefault="00000000">
            <w:pPr>
              <w:spacing w:after="0" w:line="259" w:lineRule="auto"/>
              <w:ind w:left="496" w:right="0" w:firstLine="0"/>
              <w:jc w:val="left"/>
            </w:pPr>
            <w:r>
              <w:t xml:space="preserve">3 </w:t>
            </w:r>
          </w:p>
        </w:tc>
        <w:tc>
          <w:tcPr>
            <w:tcW w:w="1404" w:type="dxa"/>
            <w:tcBorders>
              <w:top w:val="nil"/>
              <w:left w:val="nil"/>
              <w:bottom w:val="nil"/>
              <w:right w:val="nil"/>
            </w:tcBorders>
          </w:tcPr>
          <w:p w14:paraId="3176FE63" w14:textId="77777777" w:rsidR="00516544" w:rsidRDefault="00000000">
            <w:pPr>
              <w:spacing w:after="0" w:line="259" w:lineRule="auto"/>
              <w:ind w:left="0" w:right="102" w:firstLine="0"/>
              <w:jc w:val="center"/>
            </w:pPr>
            <w:r>
              <w:t xml:space="preserve">  4.41  </w:t>
            </w:r>
          </w:p>
        </w:tc>
      </w:tr>
      <w:tr w:rsidR="00516544" w14:paraId="522953C8" w14:textId="77777777">
        <w:trPr>
          <w:trHeight w:val="253"/>
        </w:trPr>
        <w:tc>
          <w:tcPr>
            <w:tcW w:w="6433" w:type="dxa"/>
            <w:tcBorders>
              <w:top w:val="nil"/>
              <w:left w:val="nil"/>
              <w:bottom w:val="nil"/>
              <w:right w:val="nil"/>
            </w:tcBorders>
          </w:tcPr>
          <w:p w14:paraId="4255AF70" w14:textId="77777777" w:rsidR="00516544" w:rsidRDefault="00000000">
            <w:pPr>
              <w:spacing w:after="0" w:line="259" w:lineRule="auto"/>
              <w:ind w:left="122" w:right="0" w:firstLine="0"/>
              <w:jc w:val="left"/>
            </w:pPr>
            <w:r>
              <w:t xml:space="preserve">MOOE/Donation/Canteen Income/Incentive from suppliers </w:t>
            </w:r>
          </w:p>
        </w:tc>
        <w:tc>
          <w:tcPr>
            <w:tcW w:w="1628" w:type="dxa"/>
            <w:tcBorders>
              <w:top w:val="nil"/>
              <w:left w:val="nil"/>
              <w:bottom w:val="nil"/>
              <w:right w:val="nil"/>
            </w:tcBorders>
          </w:tcPr>
          <w:p w14:paraId="6C383FDD"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44F6FBDE" w14:textId="77777777" w:rsidR="00516544" w:rsidRDefault="00000000">
            <w:pPr>
              <w:spacing w:after="0" w:line="259" w:lineRule="auto"/>
              <w:ind w:left="0" w:right="102" w:firstLine="0"/>
              <w:jc w:val="center"/>
            </w:pPr>
            <w:r>
              <w:t xml:space="preserve">  1.47  </w:t>
            </w:r>
          </w:p>
        </w:tc>
      </w:tr>
      <w:tr w:rsidR="00516544" w14:paraId="252087BF" w14:textId="77777777">
        <w:trPr>
          <w:trHeight w:val="253"/>
        </w:trPr>
        <w:tc>
          <w:tcPr>
            <w:tcW w:w="6433" w:type="dxa"/>
            <w:tcBorders>
              <w:top w:val="nil"/>
              <w:left w:val="nil"/>
              <w:bottom w:val="nil"/>
              <w:right w:val="nil"/>
            </w:tcBorders>
          </w:tcPr>
          <w:p w14:paraId="167FFB39" w14:textId="77777777" w:rsidR="00516544" w:rsidRDefault="00000000">
            <w:pPr>
              <w:spacing w:after="0" w:line="259" w:lineRule="auto"/>
              <w:ind w:left="122" w:right="0" w:firstLine="0"/>
              <w:jc w:val="left"/>
            </w:pPr>
            <w:r>
              <w:t>MOOE/Donation/ Canteen Income /</w:t>
            </w:r>
            <w:proofErr w:type="gramStart"/>
            <w:r>
              <w:t>Other</w:t>
            </w:r>
            <w:proofErr w:type="gramEnd"/>
            <w:r>
              <w:t xml:space="preserve"> local fund </w:t>
            </w:r>
          </w:p>
        </w:tc>
        <w:tc>
          <w:tcPr>
            <w:tcW w:w="1628" w:type="dxa"/>
            <w:tcBorders>
              <w:top w:val="nil"/>
              <w:left w:val="nil"/>
              <w:bottom w:val="nil"/>
              <w:right w:val="nil"/>
            </w:tcBorders>
          </w:tcPr>
          <w:p w14:paraId="46D56BD5"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0496B814" w14:textId="77777777" w:rsidR="00516544" w:rsidRDefault="00000000">
            <w:pPr>
              <w:spacing w:after="0" w:line="259" w:lineRule="auto"/>
              <w:ind w:left="0" w:right="102" w:firstLine="0"/>
              <w:jc w:val="center"/>
            </w:pPr>
            <w:r>
              <w:t xml:space="preserve">  1.47  </w:t>
            </w:r>
          </w:p>
        </w:tc>
      </w:tr>
      <w:tr w:rsidR="00516544" w14:paraId="05593EEE" w14:textId="77777777">
        <w:trPr>
          <w:trHeight w:val="253"/>
        </w:trPr>
        <w:tc>
          <w:tcPr>
            <w:tcW w:w="6433" w:type="dxa"/>
            <w:tcBorders>
              <w:top w:val="nil"/>
              <w:left w:val="nil"/>
              <w:bottom w:val="nil"/>
              <w:right w:val="nil"/>
            </w:tcBorders>
          </w:tcPr>
          <w:p w14:paraId="6C0471DE" w14:textId="77777777" w:rsidR="00516544" w:rsidRDefault="00000000">
            <w:pPr>
              <w:spacing w:after="0" w:line="259" w:lineRule="auto"/>
              <w:ind w:left="122" w:right="0" w:firstLine="0"/>
              <w:jc w:val="left"/>
            </w:pPr>
            <w:r>
              <w:t xml:space="preserve">MOOE/Donation/Canteen Income/Personal Funds </w:t>
            </w:r>
          </w:p>
        </w:tc>
        <w:tc>
          <w:tcPr>
            <w:tcW w:w="1628" w:type="dxa"/>
            <w:tcBorders>
              <w:top w:val="nil"/>
              <w:left w:val="nil"/>
              <w:bottom w:val="nil"/>
              <w:right w:val="nil"/>
            </w:tcBorders>
          </w:tcPr>
          <w:p w14:paraId="0191366E"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3AE1D947" w14:textId="77777777" w:rsidR="00516544" w:rsidRDefault="00000000">
            <w:pPr>
              <w:spacing w:after="0" w:line="259" w:lineRule="auto"/>
              <w:ind w:left="0" w:right="102" w:firstLine="0"/>
              <w:jc w:val="center"/>
            </w:pPr>
            <w:r>
              <w:t xml:space="preserve">  1.47  </w:t>
            </w:r>
          </w:p>
        </w:tc>
      </w:tr>
      <w:tr w:rsidR="00516544" w14:paraId="6D1E9FEF" w14:textId="77777777">
        <w:trPr>
          <w:trHeight w:val="253"/>
        </w:trPr>
        <w:tc>
          <w:tcPr>
            <w:tcW w:w="6433" w:type="dxa"/>
            <w:tcBorders>
              <w:top w:val="nil"/>
              <w:left w:val="nil"/>
              <w:bottom w:val="nil"/>
              <w:right w:val="nil"/>
            </w:tcBorders>
          </w:tcPr>
          <w:p w14:paraId="4BCFF000" w14:textId="77777777" w:rsidR="00516544" w:rsidRDefault="00000000">
            <w:pPr>
              <w:spacing w:after="0" w:line="259" w:lineRule="auto"/>
              <w:ind w:left="122" w:right="0" w:firstLine="0"/>
              <w:jc w:val="left"/>
            </w:pPr>
            <w:r>
              <w:t xml:space="preserve">MOOE/Donation/ Canteen Income /PTA </w:t>
            </w:r>
          </w:p>
        </w:tc>
        <w:tc>
          <w:tcPr>
            <w:tcW w:w="1628" w:type="dxa"/>
            <w:tcBorders>
              <w:top w:val="nil"/>
              <w:left w:val="nil"/>
              <w:bottom w:val="nil"/>
              <w:right w:val="nil"/>
            </w:tcBorders>
          </w:tcPr>
          <w:p w14:paraId="03370B0B" w14:textId="77777777" w:rsidR="00516544" w:rsidRDefault="00000000">
            <w:pPr>
              <w:spacing w:after="0" w:line="259" w:lineRule="auto"/>
              <w:ind w:left="496" w:right="0" w:firstLine="0"/>
              <w:jc w:val="left"/>
            </w:pPr>
            <w:r>
              <w:t xml:space="preserve">3 </w:t>
            </w:r>
          </w:p>
        </w:tc>
        <w:tc>
          <w:tcPr>
            <w:tcW w:w="1404" w:type="dxa"/>
            <w:tcBorders>
              <w:top w:val="nil"/>
              <w:left w:val="nil"/>
              <w:bottom w:val="nil"/>
              <w:right w:val="nil"/>
            </w:tcBorders>
          </w:tcPr>
          <w:p w14:paraId="71AF4CB5" w14:textId="77777777" w:rsidR="00516544" w:rsidRDefault="00000000">
            <w:pPr>
              <w:spacing w:after="0" w:line="259" w:lineRule="auto"/>
              <w:ind w:left="0" w:right="102" w:firstLine="0"/>
              <w:jc w:val="center"/>
            </w:pPr>
            <w:r>
              <w:t xml:space="preserve">  4.41  </w:t>
            </w:r>
          </w:p>
        </w:tc>
      </w:tr>
      <w:tr w:rsidR="00516544" w14:paraId="38FB48DB" w14:textId="77777777">
        <w:trPr>
          <w:trHeight w:val="253"/>
        </w:trPr>
        <w:tc>
          <w:tcPr>
            <w:tcW w:w="6433" w:type="dxa"/>
            <w:tcBorders>
              <w:top w:val="nil"/>
              <w:left w:val="nil"/>
              <w:bottom w:val="nil"/>
              <w:right w:val="nil"/>
            </w:tcBorders>
          </w:tcPr>
          <w:p w14:paraId="4AEA7F0C" w14:textId="77777777" w:rsidR="00516544" w:rsidRDefault="00000000">
            <w:pPr>
              <w:spacing w:after="0" w:line="259" w:lineRule="auto"/>
              <w:ind w:left="122" w:right="0" w:firstLine="0"/>
              <w:jc w:val="left"/>
            </w:pPr>
            <w:r>
              <w:t xml:space="preserve">MOOE/Donation/ Canteen Income/PTA/Alumni Funds </w:t>
            </w:r>
          </w:p>
        </w:tc>
        <w:tc>
          <w:tcPr>
            <w:tcW w:w="1628" w:type="dxa"/>
            <w:tcBorders>
              <w:top w:val="nil"/>
              <w:left w:val="nil"/>
              <w:bottom w:val="nil"/>
              <w:right w:val="nil"/>
            </w:tcBorders>
          </w:tcPr>
          <w:p w14:paraId="2118C681"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4E83FFDB" w14:textId="77777777" w:rsidR="00516544" w:rsidRDefault="00000000">
            <w:pPr>
              <w:spacing w:after="0" w:line="259" w:lineRule="auto"/>
              <w:ind w:left="0" w:right="102" w:firstLine="0"/>
              <w:jc w:val="center"/>
            </w:pPr>
            <w:r>
              <w:t xml:space="preserve">  1.47  </w:t>
            </w:r>
          </w:p>
        </w:tc>
      </w:tr>
      <w:tr w:rsidR="00516544" w14:paraId="674C18AA" w14:textId="77777777">
        <w:trPr>
          <w:trHeight w:val="253"/>
        </w:trPr>
        <w:tc>
          <w:tcPr>
            <w:tcW w:w="6433" w:type="dxa"/>
            <w:tcBorders>
              <w:top w:val="nil"/>
              <w:left w:val="nil"/>
              <w:bottom w:val="nil"/>
              <w:right w:val="nil"/>
            </w:tcBorders>
          </w:tcPr>
          <w:p w14:paraId="1B26BA4D" w14:textId="77777777" w:rsidR="00516544" w:rsidRDefault="00000000">
            <w:pPr>
              <w:spacing w:after="0" w:line="259" w:lineRule="auto"/>
              <w:ind w:left="122" w:right="0" w:firstLine="0"/>
              <w:jc w:val="left"/>
            </w:pPr>
            <w:r>
              <w:t>MOOE/Donation/</w:t>
            </w:r>
            <w:proofErr w:type="spellStart"/>
            <w:r>
              <w:t>Gulayan</w:t>
            </w:r>
            <w:proofErr w:type="spellEnd"/>
            <w:r>
              <w:t xml:space="preserve"> </w:t>
            </w:r>
            <w:proofErr w:type="spellStart"/>
            <w:r>
              <w:t>sa</w:t>
            </w:r>
            <w:proofErr w:type="spellEnd"/>
            <w:r>
              <w:t xml:space="preserve"> </w:t>
            </w:r>
            <w:proofErr w:type="spellStart"/>
            <w:r>
              <w:t>Paaralan</w:t>
            </w:r>
            <w:proofErr w:type="spellEnd"/>
            <w:r>
              <w:t xml:space="preserve"> </w:t>
            </w:r>
          </w:p>
        </w:tc>
        <w:tc>
          <w:tcPr>
            <w:tcW w:w="1628" w:type="dxa"/>
            <w:tcBorders>
              <w:top w:val="nil"/>
              <w:left w:val="nil"/>
              <w:bottom w:val="nil"/>
              <w:right w:val="nil"/>
            </w:tcBorders>
          </w:tcPr>
          <w:p w14:paraId="37C5CD0D"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3A584497" w14:textId="77777777" w:rsidR="00516544" w:rsidRDefault="00000000">
            <w:pPr>
              <w:spacing w:after="0" w:line="259" w:lineRule="auto"/>
              <w:ind w:left="0" w:right="102" w:firstLine="0"/>
              <w:jc w:val="center"/>
            </w:pPr>
            <w:r>
              <w:t xml:space="preserve">  1.47  </w:t>
            </w:r>
          </w:p>
        </w:tc>
      </w:tr>
      <w:tr w:rsidR="00516544" w14:paraId="5EDB9567" w14:textId="77777777">
        <w:trPr>
          <w:trHeight w:val="253"/>
        </w:trPr>
        <w:tc>
          <w:tcPr>
            <w:tcW w:w="6433" w:type="dxa"/>
            <w:tcBorders>
              <w:top w:val="nil"/>
              <w:left w:val="nil"/>
              <w:bottom w:val="nil"/>
              <w:right w:val="nil"/>
            </w:tcBorders>
          </w:tcPr>
          <w:p w14:paraId="6D5B1A5B" w14:textId="77777777" w:rsidR="00516544" w:rsidRDefault="00000000">
            <w:pPr>
              <w:spacing w:after="0" w:line="259" w:lineRule="auto"/>
              <w:ind w:left="122" w:right="0" w:firstLine="0"/>
              <w:jc w:val="left"/>
            </w:pPr>
            <w:r>
              <w:t xml:space="preserve">MOOE/Donation/PTA </w:t>
            </w:r>
          </w:p>
        </w:tc>
        <w:tc>
          <w:tcPr>
            <w:tcW w:w="1628" w:type="dxa"/>
            <w:tcBorders>
              <w:top w:val="nil"/>
              <w:left w:val="nil"/>
              <w:bottom w:val="nil"/>
              <w:right w:val="nil"/>
            </w:tcBorders>
          </w:tcPr>
          <w:p w14:paraId="5B0F04C6" w14:textId="77777777" w:rsidR="00516544" w:rsidRDefault="00000000">
            <w:pPr>
              <w:spacing w:after="0" w:line="259" w:lineRule="auto"/>
              <w:ind w:left="496" w:right="0" w:firstLine="0"/>
              <w:jc w:val="left"/>
            </w:pPr>
            <w:r>
              <w:t xml:space="preserve">2 </w:t>
            </w:r>
          </w:p>
        </w:tc>
        <w:tc>
          <w:tcPr>
            <w:tcW w:w="1404" w:type="dxa"/>
            <w:tcBorders>
              <w:top w:val="nil"/>
              <w:left w:val="nil"/>
              <w:bottom w:val="nil"/>
              <w:right w:val="nil"/>
            </w:tcBorders>
          </w:tcPr>
          <w:p w14:paraId="6A371989" w14:textId="77777777" w:rsidR="00516544" w:rsidRDefault="00000000">
            <w:pPr>
              <w:spacing w:after="0" w:line="259" w:lineRule="auto"/>
              <w:ind w:left="0" w:right="102" w:firstLine="0"/>
              <w:jc w:val="center"/>
            </w:pPr>
            <w:r>
              <w:t xml:space="preserve">  2.94  </w:t>
            </w:r>
          </w:p>
        </w:tc>
      </w:tr>
      <w:tr w:rsidR="00516544" w14:paraId="43F2ACCA" w14:textId="77777777">
        <w:trPr>
          <w:trHeight w:val="253"/>
        </w:trPr>
        <w:tc>
          <w:tcPr>
            <w:tcW w:w="6433" w:type="dxa"/>
            <w:tcBorders>
              <w:top w:val="nil"/>
              <w:left w:val="nil"/>
              <w:bottom w:val="nil"/>
              <w:right w:val="nil"/>
            </w:tcBorders>
          </w:tcPr>
          <w:p w14:paraId="28FF7B31" w14:textId="77777777" w:rsidR="00516544" w:rsidRDefault="00000000">
            <w:pPr>
              <w:spacing w:after="0" w:line="259" w:lineRule="auto"/>
              <w:ind w:left="122" w:right="0" w:firstLine="0"/>
              <w:jc w:val="left"/>
            </w:pPr>
            <w:r>
              <w:t xml:space="preserve">MOOE/Initiated School Programs </w:t>
            </w:r>
          </w:p>
        </w:tc>
        <w:tc>
          <w:tcPr>
            <w:tcW w:w="1628" w:type="dxa"/>
            <w:tcBorders>
              <w:top w:val="nil"/>
              <w:left w:val="nil"/>
              <w:bottom w:val="nil"/>
              <w:right w:val="nil"/>
            </w:tcBorders>
          </w:tcPr>
          <w:p w14:paraId="6C25DA6B"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03392FFD" w14:textId="77777777" w:rsidR="00516544" w:rsidRDefault="00000000">
            <w:pPr>
              <w:spacing w:after="0" w:line="259" w:lineRule="auto"/>
              <w:ind w:left="318" w:right="0" w:firstLine="0"/>
              <w:jc w:val="left"/>
            </w:pPr>
            <w:r>
              <w:t xml:space="preserve">  1.47 </w:t>
            </w:r>
          </w:p>
        </w:tc>
      </w:tr>
      <w:tr w:rsidR="00516544" w14:paraId="4496BF3E" w14:textId="77777777">
        <w:trPr>
          <w:trHeight w:val="253"/>
        </w:trPr>
        <w:tc>
          <w:tcPr>
            <w:tcW w:w="6433" w:type="dxa"/>
            <w:tcBorders>
              <w:top w:val="nil"/>
              <w:left w:val="nil"/>
              <w:bottom w:val="nil"/>
              <w:right w:val="nil"/>
            </w:tcBorders>
          </w:tcPr>
          <w:p w14:paraId="4FDB9DD9" w14:textId="77777777" w:rsidR="00516544" w:rsidRDefault="00000000">
            <w:pPr>
              <w:spacing w:after="0" w:line="259" w:lineRule="auto"/>
              <w:ind w:left="122" w:right="0" w:firstLine="0"/>
              <w:jc w:val="left"/>
            </w:pPr>
            <w:r>
              <w:t xml:space="preserve">MOOE/LGU and BLGU Funds </w:t>
            </w:r>
          </w:p>
        </w:tc>
        <w:tc>
          <w:tcPr>
            <w:tcW w:w="1628" w:type="dxa"/>
            <w:tcBorders>
              <w:top w:val="nil"/>
              <w:left w:val="nil"/>
              <w:bottom w:val="nil"/>
              <w:right w:val="nil"/>
            </w:tcBorders>
          </w:tcPr>
          <w:p w14:paraId="37435DDB" w14:textId="77777777" w:rsidR="00516544" w:rsidRDefault="00000000">
            <w:pPr>
              <w:spacing w:after="0" w:line="259" w:lineRule="auto"/>
              <w:ind w:left="496" w:right="0" w:firstLine="0"/>
              <w:jc w:val="left"/>
            </w:pPr>
            <w:r>
              <w:t xml:space="preserve">1 </w:t>
            </w:r>
          </w:p>
        </w:tc>
        <w:tc>
          <w:tcPr>
            <w:tcW w:w="1404" w:type="dxa"/>
            <w:tcBorders>
              <w:top w:val="nil"/>
              <w:left w:val="nil"/>
              <w:bottom w:val="nil"/>
              <w:right w:val="nil"/>
            </w:tcBorders>
          </w:tcPr>
          <w:p w14:paraId="2E747419" w14:textId="77777777" w:rsidR="00516544" w:rsidRDefault="00000000">
            <w:pPr>
              <w:spacing w:after="0" w:line="259" w:lineRule="auto"/>
              <w:ind w:left="0" w:right="102" w:firstLine="0"/>
              <w:jc w:val="center"/>
            </w:pPr>
            <w:r>
              <w:t xml:space="preserve">  1.47  </w:t>
            </w:r>
          </w:p>
        </w:tc>
      </w:tr>
      <w:tr w:rsidR="00516544" w14:paraId="466193CF" w14:textId="77777777">
        <w:trPr>
          <w:trHeight w:val="253"/>
        </w:trPr>
        <w:tc>
          <w:tcPr>
            <w:tcW w:w="6433" w:type="dxa"/>
            <w:tcBorders>
              <w:top w:val="nil"/>
              <w:left w:val="nil"/>
              <w:bottom w:val="nil"/>
              <w:right w:val="nil"/>
            </w:tcBorders>
          </w:tcPr>
          <w:p w14:paraId="66339765" w14:textId="77777777" w:rsidR="00516544" w:rsidRDefault="00000000">
            <w:pPr>
              <w:spacing w:after="0" w:line="259" w:lineRule="auto"/>
              <w:ind w:left="122" w:right="0" w:firstLine="0"/>
              <w:jc w:val="left"/>
            </w:pPr>
            <w:r>
              <w:t xml:space="preserve">MOOE/PTA </w:t>
            </w:r>
          </w:p>
        </w:tc>
        <w:tc>
          <w:tcPr>
            <w:tcW w:w="1628" w:type="dxa"/>
            <w:tcBorders>
              <w:top w:val="nil"/>
              <w:left w:val="nil"/>
              <w:bottom w:val="nil"/>
              <w:right w:val="nil"/>
            </w:tcBorders>
          </w:tcPr>
          <w:p w14:paraId="6443F0C8" w14:textId="77777777" w:rsidR="00516544" w:rsidRDefault="00000000">
            <w:pPr>
              <w:spacing w:after="0" w:line="259" w:lineRule="auto"/>
              <w:ind w:left="496" w:right="0" w:firstLine="0"/>
              <w:jc w:val="left"/>
            </w:pPr>
            <w:r>
              <w:t xml:space="preserve">2 </w:t>
            </w:r>
          </w:p>
        </w:tc>
        <w:tc>
          <w:tcPr>
            <w:tcW w:w="1404" w:type="dxa"/>
            <w:tcBorders>
              <w:top w:val="nil"/>
              <w:left w:val="nil"/>
              <w:bottom w:val="nil"/>
              <w:right w:val="nil"/>
            </w:tcBorders>
          </w:tcPr>
          <w:p w14:paraId="1D79027F" w14:textId="77777777" w:rsidR="00516544" w:rsidRDefault="00000000">
            <w:pPr>
              <w:spacing w:after="0" w:line="259" w:lineRule="auto"/>
              <w:ind w:left="0" w:right="102" w:firstLine="0"/>
              <w:jc w:val="center"/>
            </w:pPr>
            <w:r>
              <w:t xml:space="preserve">  2.94  </w:t>
            </w:r>
          </w:p>
        </w:tc>
      </w:tr>
      <w:tr w:rsidR="00516544" w14:paraId="758A88A7" w14:textId="77777777">
        <w:trPr>
          <w:trHeight w:val="253"/>
        </w:trPr>
        <w:tc>
          <w:tcPr>
            <w:tcW w:w="6433" w:type="dxa"/>
            <w:tcBorders>
              <w:top w:val="nil"/>
              <w:left w:val="nil"/>
              <w:bottom w:val="nil"/>
              <w:right w:val="nil"/>
            </w:tcBorders>
          </w:tcPr>
          <w:p w14:paraId="28704597" w14:textId="77777777" w:rsidR="00516544" w:rsidRDefault="00000000">
            <w:pPr>
              <w:spacing w:after="0" w:line="259" w:lineRule="auto"/>
              <w:ind w:left="122" w:right="0" w:firstLine="0"/>
              <w:jc w:val="left"/>
            </w:pPr>
            <w:r>
              <w:t xml:space="preserve">MOOE </w:t>
            </w:r>
          </w:p>
        </w:tc>
        <w:tc>
          <w:tcPr>
            <w:tcW w:w="1628" w:type="dxa"/>
            <w:tcBorders>
              <w:top w:val="nil"/>
              <w:left w:val="nil"/>
              <w:bottom w:val="nil"/>
              <w:right w:val="nil"/>
            </w:tcBorders>
          </w:tcPr>
          <w:p w14:paraId="762A8014" w14:textId="77777777" w:rsidR="00516544" w:rsidRDefault="00000000">
            <w:pPr>
              <w:spacing w:after="0" w:line="259" w:lineRule="auto"/>
              <w:ind w:left="434" w:right="0" w:firstLine="0"/>
              <w:jc w:val="left"/>
            </w:pPr>
            <w:r>
              <w:t xml:space="preserve">18 </w:t>
            </w:r>
          </w:p>
        </w:tc>
        <w:tc>
          <w:tcPr>
            <w:tcW w:w="1404" w:type="dxa"/>
            <w:tcBorders>
              <w:top w:val="nil"/>
              <w:left w:val="nil"/>
              <w:bottom w:val="nil"/>
              <w:right w:val="nil"/>
            </w:tcBorders>
          </w:tcPr>
          <w:p w14:paraId="57807161" w14:textId="77777777" w:rsidR="00516544" w:rsidRDefault="00000000">
            <w:pPr>
              <w:spacing w:after="0" w:line="259" w:lineRule="auto"/>
              <w:ind w:left="0" w:right="103" w:firstLine="0"/>
              <w:jc w:val="center"/>
            </w:pPr>
            <w:r>
              <w:t xml:space="preserve">26.47  </w:t>
            </w:r>
          </w:p>
        </w:tc>
      </w:tr>
      <w:tr w:rsidR="00516544" w14:paraId="10929FD7" w14:textId="77777777">
        <w:trPr>
          <w:trHeight w:val="235"/>
        </w:trPr>
        <w:tc>
          <w:tcPr>
            <w:tcW w:w="6433" w:type="dxa"/>
            <w:tcBorders>
              <w:top w:val="nil"/>
              <w:left w:val="nil"/>
              <w:bottom w:val="single" w:sz="4" w:space="0" w:color="000000"/>
              <w:right w:val="nil"/>
            </w:tcBorders>
          </w:tcPr>
          <w:p w14:paraId="5EA95684" w14:textId="77777777" w:rsidR="00516544" w:rsidRDefault="00000000">
            <w:pPr>
              <w:spacing w:after="0" w:line="259" w:lineRule="auto"/>
              <w:ind w:left="0" w:right="170" w:firstLine="0"/>
              <w:jc w:val="center"/>
            </w:pPr>
            <w:r>
              <w:rPr>
                <w:b/>
              </w:rPr>
              <w:t xml:space="preserve">Total </w:t>
            </w:r>
          </w:p>
        </w:tc>
        <w:tc>
          <w:tcPr>
            <w:tcW w:w="1628" w:type="dxa"/>
            <w:tcBorders>
              <w:top w:val="nil"/>
              <w:left w:val="nil"/>
              <w:bottom w:val="single" w:sz="4" w:space="0" w:color="000000"/>
              <w:right w:val="nil"/>
            </w:tcBorders>
          </w:tcPr>
          <w:p w14:paraId="2168FCDE" w14:textId="77777777" w:rsidR="00516544" w:rsidRDefault="00000000">
            <w:pPr>
              <w:spacing w:after="0" w:line="259" w:lineRule="auto"/>
              <w:ind w:left="434" w:right="0" w:firstLine="0"/>
              <w:jc w:val="left"/>
            </w:pPr>
            <w:r>
              <w:rPr>
                <w:b/>
              </w:rPr>
              <w:t xml:space="preserve">68 </w:t>
            </w:r>
          </w:p>
        </w:tc>
        <w:tc>
          <w:tcPr>
            <w:tcW w:w="1404" w:type="dxa"/>
            <w:tcBorders>
              <w:top w:val="nil"/>
              <w:left w:val="nil"/>
              <w:bottom w:val="single" w:sz="4" w:space="0" w:color="000000"/>
              <w:right w:val="nil"/>
            </w:tcBorders>
          </w:tcPr>
          <w:p w14:paraId="53B98E3D" w14:textId="77777777" w:rsidR="00516544" w:rsidRDefault="00000000">
            <w:pPr>
              <w:spacing w:after="0" w:line="259" w:lineRule="auto"/>
              <w:ind w:left="0" w:right="103" w:firstLine="0"/>
              <w:jc w:val="center"/>
            </w:pPr>
            <w:r>
              <w:rPr>
                <w:b/>
              </w:rPr>
              <w:t xml:space="preserve">100  </w:t>
            </w:r>
          </w:p>
        </w:tc>
      </w:tr>
    </w:tbl>
    <w:p w14:paraId="640AC13D" w14:textId="77777777" w:rsidR="00516544" w:rsidRDefault="00000000">
      <w:pPr>
        <w:spacing w:after="0" w:line="259" w:lineRule="auto"/>
        <w:ind w:left="0" w:right="0" w:firstLine="0"/>
        <w:jc w:val="left"/>
      </w:pPr>
      <w:r>
        <w:t xml:space="preserve"> </w:t>
      </w:r>
    </w:p>
    <w:p w14:paraId="0BA41B9A" w14:textId="77777777" w:rsidR="00516544" w:rsidRDefault="00000000">
      <w:pPr>
        <w:ind w:left="-5" w:right="0"/>
      </w:pPr>
      <w:r>
        <w:t xml:space="preserve">The remaining ten (10) participating schools each comprise 1.47% out of the total 68 respondents used combined funds from MOOE and canteen income; donation and Self fund; MOOE, canteen income, PTA; MOOE, donation, canteen income, and Incentives from supplier; MOOE, donation, canteen income and other local fund; MOOE, donation, canteen income and Personal; MOOE, donations canteen income, PTA and Alumni funds; MOOE, donation and </w:t>
      </w:r>
      <w:proofErr w:type="spellStart"/>
      <w:r>
        <w:t>Gulayan</w:t>
      </w:r>
      <w:proofErr w:type="spellEnd"/>
      <w:r>
        <w:t xml:space="preserve"> </w:t>
      </w:r>
      <w:proofErr w:type="spellStart"/>
      <w:r>
        <w:t>sa</w:t>
      </w:r>
      <w:proofErr w:type="spellEnd"/>
      <w:r>
        <w:t xml:space="preserve"> </w:t>
      </w:r>
      <w:proofErr w:type="spellStart"/>
      <w:r>
        <w:t>Paaralan</w:t>
      </w:r>
      <w:proofErr w:type="spellEnd"/>
      <w:r>
        <w:t xml:space="preserve">; MOOE and Initiated School Programs; and MLGU and BLGU funds respectively. </w:t>
      </w:r>
    </w:p>
    <w:p w14:paraId="31C39FA3" w14:textId="77777777" w:rsidR="00516544" w:rsidRDefault="00000000">
      <w:pPr>
        <w:spacing w:after="0" w:line="259" w:lineRule="auto"/>
        <w:ind w:left="0" w:right="0" w:firstLine="0"/>
        <w:jc w:val="left"/>
      </w:pPr>
      <w:r>
        <w:t xml:space="preserve"> </w:t>
      </w:r>
    </w:p>
    <w:p w14:paraId="38D00F00" w14:textId="77777777" w:rsidR="00516544" w:rsidRDefault="00000000">
      <w:pPr>
        <w:ind w:left="-5" w:right="0"/>
      </w:pPr>
      <w:r>
        <w:t xml:space="preserve">Generally, the data reveal that to implement school-based management, funds from Maintenance and Other Operating expenses (MOOE) are needed. However, the funds from MOOE alone are not enough, forcing the participating schools to initiate programs and activities to generate funds to supplement MOOE, which leads to creating income-generating projects and school-initiated activities, and building partnership to stakeholders within the community. In connection, </w:t>
      </w:r>
      <w:proofErr w:type="spellStart"/>
      <w:r>
        <w:t>Ballarta</w:t>
      </w:r>
      <w:proofErr w:type="spellEnd"/>
      <w:r>
        <w:t xml:space="preserve"> et al. (2022) also mentioned that Maintenance and Other Operating expenses (MOOE) are not enough to finance everything in school, hence creating partnerships to encourage support and donations is one of the most revealing resource mobilization platforms. </w:t>
      </w:r>
    </w:p>
    <w:p w14:paraId="20DC4439" w14:textId="77777777" w:rsidR="00516544" w:rsidRDefault="00000000">
      <w:pPr>
        <w:spacing w:after="0" w:line="259" w:lineRule="auto"/>
        <w:ind w:left="0" w:right="0" w:firstLine="0"/>
        <w:jc w:val="left"/>
      </w:pPr>
      <w:r>
        <w:t xml:space="preserve">  </w:t>
      </w:r>
    </w:p>
    <w:p w14:paraId="3D3214A6" w14:textId="77777777" w:rsidR="00516544" w:rsidRDefault="00000000">
      <w:pPr>
        <w:spacing w:after="0" w:line="259" w:lineRule="auto"/>
        <w:ind w:left="0" w:right="0" w:firstLine="0"/>
        <w:jc w:val="left"/>
      </w:pPr>
      <w:r>
        <w:t xml:space="preserve"> </w:t>
      </w:r>
    </w:p>
    <w:p w14:paraId="454F0B42" w14:textId="77777777" w:rsidR="00516544" w:rsidRDefault="00000000">
      <w:pPr>
        <w:pStyle w:val="Heading2"/>
        <w:ind w:left="-5" w:right="0"/>
      </w:pPr>
      <w:r>
        <w:t xml:space="preserve">Profile of Participating School in Terms of Implementation </w:t>
      </w:r>
    </w:p>
    <w:p w14:paraId="046FAC7C" w14:textId="77777777" w:rsidR="00516544" w:rsidRDefault="00000000">
      <w:pPr>
        <w:ind w:left="-5" w:right="0"/>
      </w:pPr>
      <w:r>
        <w:t>This shows the profile of the participating schools in terms of the level of school-based management implementation obtained from the online survey conducted with sixty-eight (68) respondents comprising the public secondary school principals and designated school heads in the 2</w:t>
      </w:r>
      <w:r>
        <w:rPr>
          <w:vertAlign w:val="superscript"/>
        </w:rPr>
        <w:t>nd</w:t>
      </w:r>
      <w:r>
        <w:t xml:space="preserve"> congressional district in the division of Bohol. </w:t>
      </w:r>
    </w:p>
    <w:p w14:paraId="4B38CBCA" w14:textId="77777777" w:rsidR="00516544" w:rsidRDefault="00000000">
      <w:pPr>
        <w:spacing w:after="0" w:line="259" w:lineRule="auto"/>
        <w:ind w:left="720" w:right="0" w:firstLine="0"/>
        <w:jc w:val="left"/>
      </w:pPr>
      <w:r>
        <w:rPr>
          <w:b/>
        </w:rPr>
        <w:t xml:space="preserve"> </w:t>
      </w:r>
    </w:p>
    <w:p w14:paraId="5CEEEDCE" w14:textId="77777777" w:rsidR="00516544" w:rsidRDefault="00000000">
      <w:pPr>
        <w:pStyle w:val="Heading1"/>
        <w:ind w:left="-5" w:right="0"/>
      </w:pPr>
      <w:r>
        <w:lastRenderedPageBreak/>
        <w:t xml:space="preserve">Table 3  </w:t>
      </w:r>
    </w:p>
    <w:p w14:paraId="5525E77A" w14:textId="77777777" w:rsidR="00516544" w:rsidRDefault="00000000">
      <w:pPr>
        <w:pStyle w:val="Heading2"/>
        <w:ind w:left="-5" w:right="0"/>
      </w:pPr>
      <w:r>
        <w:t xml:space="preserve">Profile of Participating Schools in Terms of Level of SBM Implementation </w:t>
      </w:r>
    </w:p>
    <w:p w14:paraId="2A2E25E3" w14:textId="77777777" w:rsidR="00516544" w:rsidRDefault="00000000">
      <w:pPr>
        <w:spacing w:after="0" w:line="259" w:lineRule="auto"/>
        <w:ind w:left="0" w:right="0" w:firstLine="0"/>
        <w:jc w:val="left"/>
      </w:pPr>
      <w:r>
        <w:t xml:space="preserve"> </w:t>
      </w:r>
    </w:p>
    <w:tbl>
      <w:tblPr>
        <w:tblStyle w:val="TableGrid"/>
        <w:tblW w:w="9366" w:type="dxa"/>
        <w:tblInd w:w="-14" w:type="dxa"/>
        <w:tblCellMar>
          <w:top w:w="23" w:type="dxa"/>
          <w:left w:w="0" w:type="dxa"/>
          <w:bottom w:w="0" w:type="dxa"/>
          <w:right w:w="115" w:type="dxa"/>
        </w:tblCellMar>
        <w:tblLook w:val="04A0" w:firstRow="1" w:lastRow="0" w:firstColumn="1" w:lastColumn="0" w:noHBand="0" w:noVBand="1"/>
      </w:tblPr>
      <w:tblGrid>
        <w:gridCol w:w="3992"/>
        <w:gridCol w:w="3019"/>
        <w:gridCol w:w="2355"/>
      </w:tblGrid>
      <w:tr w:rsidR="00516544" w14:paraId="342E2BF1" w14:textId="77777777">
        <w:trPr>
          <w:trHeight w:val="264"/>
        </w:trPr>
        <w:tc>
          <w:tcPr>
            <w:tcW w:w="3993" w:type="dxa"/>
            <w:tcBorders>
              <w:top w:val="single" w:sz="4" w:space="0" w:color="000000"/>
              <w:left w:val="nil"/>
              <w:bottom w:val="single" w:sz="4" w:space="0" w:color="000000"/>
              <w:right w:val="nil"/>
            </w:tcBorders>
          </w:tcPr>
          <w:p w14:paraId="477044E4" w14:textId="77777777" w:rsidR="00516544" w:rsidRDefault="00000000">
            <w:pPr>
              <w:spacing w:after="0" w:line="259" w:lineRule="auto"/>
              <w:ind w:left="392" w:right="0" w:firstLine="0"/>
              <w:jc w:val="left"/>
            </w:pPr>
            <w:r>
              <w:rPr>
                <w:b/>
              </w:rPr>
              <w:t xml:space="preserve">Level of School-Based </w:t>
            </w:r>
          </w:p>
        </w:tc>
        <w:tc>
          <w:tcPr>
            <w:tcW w:w="3019" w:type="dxa"/>
            <w:tcBorders>
              <w:top w:val="single" w:sz="4" w:space="0" w:color="000000"/>
              <w:left w:val="nil"/>
              <w:bottom w:val="single" w:sz="4" w:space="0" w:color="000000"/>
              <w:right w:val="nil"/>
            </w:tcBorders>
          </w:tcPr>
          <w:p w14:paraId="390FA6FC" w14:textId="77777777" w:rsidR="00516544" w:rsidRDefault="00000000">
            <w:pPr>
              <w:spacing w:after="0" w:line="259" w:lineRule="auto"/>
              <w:ind w:left="0" w:right="0" w:firstLine="0"/>
              <w:jc w:val="left"/>
            </w:pPr>
            <w:r>
              <w:rPr>
                <w:b/>
              </w:rPr>
              <w:t xml:space="preserve">Frequency (f) </w:t>
            </w:r>
          </w:p>
        </w:tc>
        <w:tc>
          <w:tcPr>
            <w:tcW w:w="2355" w:type="dxa"/>
            <w:tcBorders>
              <w:top w:val="single" w:sz="4" w:space="0" w:color="000000"/>
              <w:left w:val="nil"/>
              <w:bottom w:val="single" w:sz="4" w:space="0" w:color="000000"/>
              <w:right w:val="nil"/>
            </w:tcBorders>
          </w:tcPr>
          <w:p w14:paraId="2885E851" w14:textId="77777777" w:rsidR="00516544" w:rsidRDefault="00000000">
            <w:pPr>
              <w:spacing w:after="0" w:line="259" w:lineRule="auto"/>
              <w:ind w:left="0" w:right="0" w:firstLine="0"/>
              <w:jc w:val="left"/>
            </w:pPr>
            <w:r>
              <w:rPr>
                <w:b/>
              </w:rPr>
              <w:t xml:space="preserve">Percentage (%) </w:t>
            </w:r>
          </w:p>
        </w:tc>
      </w:tr>
      <w:tr w:rsidR="00516544" w14:paraId="421CDC7E" w14:textId="77777777">
        <w:trPr>
          <w:trHeight w:val="280"/>
        </w:trPr>
        <w:tc>
          <w:tcPr>
            <w:tcW w:w="3993" w:type="dxa"/>
            <w:tcBorders>
              <w:top w:val="single" w:sz="4" w:space="0" w:color="000000"/>
              <w:left w:val="nil"/>
              <w:bottom w:val="nil"/>
              <w:right w:val="nil"/>
            </w:tcBorders>
          </w:tcPr>
          <w:p w14:paraId="6A587F16" w14:textId="77777777" w:rsidR="00516544" w:rsidRDefault="00000000">
            <w:pPr>
              <w:spacing w:after="0" w:line="259" w:lineRule="auto"/>
              <w:ind w:left="1082" w:right="0" w:firstLine="0"/>
              <w:jc w:val="left"/>
            </w:pPr>
            <w:r>
              <w:t xml:space="preserve">Advanced </w:t>
            </w:r>
          </w:p>
        </w:tc>
        <w:tc>
          <w:tcPr>
            <w:tcW w:w="3019" w:type="dxa"/>
            <w:tcBorders>
              <w:top w:val="single" w:sz="4" w:space="0" w:color="000000"/>
              <w:left w:val="nil"/>
              <w:bottom w:val="nil"/>
              <w:right w:val="nil"/>
            </w:tcBorders>
          </w:tcPr>
          <w:p w14:paraId="60105438" w14:textId="77777777" w:rsidR="00516544" w:rsidRDefault="00000000">
            <w:pPr>
              <w:spacing w:after="0" w:line="259" w:lineRule="auto"/>
              <w:ind w:left="636" w:right="0" w:firstLine="0"/>
              <w:jc w:val="left"/>
            </w:pPr>
            <w:r>
              <w:t xml:space="preserve">4 </w:t>
            </w:r>
          </w:p>
        </w:tc>
        <w:tc>
          <w:tcPr>
            <w:tcW w:w="2355" w:type="dxa"/>
            <w:tcBorders>
              <w:top w:val="single" w:sz="4" w:space="0" w:color="000000"/>
              <w:left w:val="nil"/>
              <w:bottom w:val="nil"/>
              <w:right w:val="nil"/>
            </w:tcBorders>
          </w:tcPr>
          <w:p w14:paraId="6D7BD164" w14:textId="77777777" w:rsidR="00516544" w:rsidRDefault="00000000">
            <w:pPr>
              <w:spacing w:after="0" w:line="259" w:lineRule="auto"/>
              <w:ind w:left="518" w:right="0" w:firstLine="0"/>
              <w:jc w:val="left"/>
            </w:pPr>
            <w:r>
              <w:t xml:space="preserve">  5.88  </w:t>
            </w:r>
          </w:p>
        </w:tc>
      </w:tr>
      <w:tr w:rsidR="00516544" w14:paraId="72DE9CB9" w14:textId="77777777">
        <w:trPr>
          <w:trHeight w:val="253"/>
        </w:trPr>
        <w:tc>
          <w:tcPr>
            <w:tcW w:w="3993" w:type="dxa"/>
            <w:tcBorders>
              <w:top w:val="nil"/>
              <w:left w:val="nil"/>
              <w:bottom w:val="nil"/>
              <w:right w:val="nil"/>
            </w:tcBorders>
          </w:tcPr>
          <w:p w14:paraId="6843AEA7" w14:textId="77777777" w:rsidR="00516544" w:rsidRDefault="00000000">
            <w:pPr>
              <w:spacing w:after="0" w:line="259" w:lineRule="auto"/>
              <w:ind w:left="1144" w:right="0" w:firstLine="0"/>
              <w:jc w:val="left"/>
            </w:pPr>
            <w:r>
              <w:t xml:space="preserve">Maturing </w:t>
            </w:r>
          </w:p>
        </w:tc>
        <w:tc>
          <w:tcPr>
            <w:tcW w:w="3019" w:type="dxa"/>
            <w:tcBorders>
              <w:top w:val="nil"/>
              <w:left w:val="nil"/>
              <w:bottom w:val="nil"/>
              <w:right w:val="nil"/>
            </w:tcBorders>
          </w:tcPr>
          <w:p w14:paraId="0790378E" w14:textId="77777777" w:rsidR="00516544" w:rsidRDefault="00000000">
            <w:pPr>
              <w:spacing w:after="0" w:line="259" w:lineRule="auto"/>
              <w:ind w:left="574" w:right="0" w:firstLine="0"/>
              <w:jc w:val="left"/>
            </w:pPr>
            <w:r>
              <w:t xml:space="preserve">32 </w:t>
            </w:r>
          </w:p>
        </w:tc>
        <w:tc>
          <w:tcPr>
            <w:tcW w:w="2355" w:type="dxa"/>
            <w:tcBorders>
              <w:top w:val="nil"/>
              <w:left w:val="nil"/>
              <w:bottom w:val="nil"/>
              <w:right w:val="nil"/>
            </w:tcBorders>
          </w:tcPr>
          <w:p w14:paraId="42AFF1DE" w14:textId="77777777" w:rsidR="00516544" w:rsidRDefault="00000000">
            <w:pPr>
              <w:spacing w:after="0" w:line="259" w:lineRule="auto"/>
              <w:ind w:left="520" w:right="0" w:firstLine="0"/>
              <w:jc w:val="left"/>
            </w:pPr>
            <w:r>
              <w:t xml:space="preserve">47.06  </w:t>
            </w:r>
          </w:p>
        </w:tc>
      </w:tr>
      <w:tr w:rsidR="00516544" w14:paraId="39BE48F3" w14:textId="77777777">
        <w:trPr>
          <w:trHeight w:val="253"/>
        </w:trPr>
        <w:tc>
          <w:tcPr>
            <w:tcW w:w="3993" w:type="dxa"/>
            <w:tcBorders>
              <w:top w:val="nil"/>
              <w:left w:val="nil"/>
              <w:bottom w:val="nil"/>
              <w:right w:val="nil"/>
            </w:tcBorders>
          </w:tcPr>
          <w:p w14:paraId="612F658F" w14:textId="77777777" w:rsidR="00516544" w:rsidRDefault="00000000">
            <w:pPr>
              <w:spacing w:after="0" w:line="259" w:lineRule="auto"/>
              <w:ind w:left="1022" w:right="0" w:firstLine="0"/>
              <w:jc w:val="left"/>
            </w:pPr>
            <w:r>
              <w:t xml:space="preserve">Developing </w:t>
            </w:r>
          </w:p>
        </w:tc>
        <w:tc>
          <w:tcPr>
            <w:tcW w:w="3019" w:type="dxa"/>
            <w:tcBorders>
              <w:top w:val="nil"/>
              <w:left w:val="nil"/>
              <w:bottom w:val="nil"/>
              <w:right w:val="nil"/>
            </w:tcBorders>
          </w:tcPr>
          <w:p w14:paraId="7257FEA1" w14:textId="77777777" w:rsidR="00516544" w:rsidRDefault="00000000">
            <w:pPr>
              <w:spacing w:after="0" w:line="259" w:lineRule="auto"/>
              <w:ind w:left="574" w:right="0" w:firstLine="0"/>
              <w:jc w:val="left"/>
            </w:pPr>
            <w:r>
              <w:t xml:space="preserve">32 </w:t>
            </w:r>
          </w:p>
        </w:tc>
        <w:tc>
          <w:tcPr>
            <w:tcW w:w="2355" w:type="dxa"/>
            <w:tcBorders>
              <w:top w:val="nil"/>
              <w:left w:val="nil"/>
              <w:bottom w:val="nil"/>
              <w:right w:val="nil"/>
            </w:tcBorders>
          </w:tcPr>
          <w:p w14:paraId="34D064F8" w14:textId="77777777" w:rsidR="00516544" w:rsidRDefault="00000000">
            <w:pPr>
              <w:spacing w:after="0" w:line="259" w:lineRule="auto"/>
              <w:ind w:left="520" w:right="0" w:firstLine="0"/>
              <w:jc w:val="left"/>
            </w:pPr>
            <w:r>
              <w:t xml:space="preserve">47.06  </w:t>
            </w:r>
          </w:p>
        </w:tc>
      </w:tr>
      <w:tr w:rsidR="00516544" w14:paraId="09D30006" w14:textId="77777777">
        <w:trPr>
          <w:trHeight w:val="236"/>
        </w:trPr>
        <w:tc>
          <w:tcPr>
            <w:tcW w:w="3993" w:type="dxa"/>
            <w:tcBorders>
              <w:top w:val="nil"/>
              <w:left w:val="nil"/>
              <w:bottom w:val="single" w:sz="4" w:space="0" w:color="000000"/>
              <w:right w:val="nil"/>
            </w:tcBorders>
          </w:tcPr>
          <w:p w14:paraId="5401575C" w14:textId="77777777" w:rsidR="00516544" w:rsidRDefault="00000000">
            <w:pPr>
              <w:spacing w:after="0" w:line="259" w:lineRule="auto"/>
              <w:ind w:left="1326" w:right="0" w:firstLine="0"/>
              <w:jc w:val="left"/>
            </w:pPr>
            <w:r>
              <w:t xml:space="preserve">Total </w:t>
            </w:r>
          </w:p>
        </w:tc>
        <w:tc>
          <w:tcPr>
            <w:tcW w:w="3019" w:type="dxa"/>
            <w:tcBorders>
              <w:top w:val="nil"/>
              <w:left w:val="nil"/>
              <w:bottom w:val="single" w:sz="4" w:space="0" w:color="000000"/>
              <w:right w:val="nil"/>
            </w:tcBorders>
          </w:tcPr>
          <w:p w14:paraId="52815065" w14:textId="77777777" w:rsidR="00516544" w:rsidRDefault="00000000">
            <w:pPr>
              <w:spacing w:after="0" w:line="259" w:lineRule="auto"/>
              <w:ind w:left="574" w:right="0" w:firstLine="0"/>
              <w:jc w:val="left"/>
            </w:pPr>
            <w:r>
              <w:t xml:space="preserve">68 </w:t>
            </w:r>
          </w:p>
        </w:tc>
        <w:tc>
          <w:tcPr>
            <w:tcW w:w="2355" w:type="dxa"/>
            <w:tcBorders>
              <w:top w:val="nil"/>
              <w:left w:val="nil"/>
              <w:bottom w:val="single" w:sz="4" w:space="0" w:color="000000"/>
              <w:right w:val="nil"/>
            </w:tcBorders>
          </w:tcPr>
          <w:p w14:paraId="45F602B7" w14:textId="77777777" w:rsidR="00516544" w:rsidRDefault="00000000">
            <w:pPr>
              <w:spacing w:after="0" w:line="259" w:lineRule="auto"/>
              <w:ind w:left="612" w:right="0" w:firstLine="0"/>
              <w:jc w:val="left"/>
            </w:pPr>
            <w:r>
              <w:t xml:space="preserve">100  </w:t>
            </w:r>
          </w:p>
        </w:tc>
      </w:tr>
    </w:tbl>
    <w:p w14:paraId="7EB49BFA" w14:textId="77777777" w:rsidR="00516544" w:rsidRDefault="00000000">
      <w:pPr>
        <w:spacing w:after="0" w:line="259" w:lineRule="auto"/>
        <w:ind w:left="0" w:right="0" w:firstLine="0"/>
        <w:jc w:val="left"/>
      </w:pPr>
      <w:r>
        <w:t xml:space="preserve"> </w:t>
      </w:r>
    </w:p>
    <w:p w14:paraId="71D0AFB1" w14:textId="77777777" w:rsidR="00516544" w:rsidRDefault="00000000">
      <w:pPr>
        <w:ind w:left="-5" w:right="0"/>
      </w:pPr>
      <w:r>
        <w:t xml:space="preserve">Table 3 presents the profile of the participating school in terms of the level of School-Based Management Implementation. It shows that there are thirty-two (32) or 47.06% of the total population who are in the maturing level of school-based management (SBM) implementation, which means that the participating schools under this level planned practices and procedures that are fully implemented and aligned to ACCESs. Participating schools that are in the developing level have the same percentage of 47.06% as the schools in the maturing level, which implies that developing structures and mechanisms are in place to demonstrate ACCESs.  </w:t>
      </w:r>
    </w:p>
    <w:p w14:paraId="6DF10C77" w14:textId="77777777" w:rsidR="00516544" w:rsidRDefault="00000000">
      <w:pPr>
        <w:spacing w:after="0" w:line="259" w:lineRule="auto"/>
        <w:ind w:left="0" w:right="0" w:firstLine="0"/>
        <w:jc w:val="left"/>
      </w:pPr>
      <w:r>
        <w:t xml:space="preserve"> </w:t>
      </w:r>
    </w:p>
    <w:p w14:paraId="5378121D" w14:textId="77777777" w:rsidR="00516544" w:rsidRDefault="00000000">
      <w:pPr>
        <w:ind w:left="-5" w:right="0"/>
      </w:pPr>
      <w:r>
        <w:t xml:space="preserve">However, there are 4 out of 68 or 5.88% participating schools that are already in the advanced level of SBM implementation, implying that practices and procedures satisfy quality standards. The data reveals that the participating schools in the 2nd congressional district in the division of Bohol, in terms of SBM implementation in general, are still in the developing and maturing level and are challenged to attain the advanced level.  </w:t>
      </w:r>
    </w:p>
    <w:p w14:paraId="405BB721" w14:textId="77777777" w:rsidR="00516544" w:rsidRDefault="00000000">
      <w:pPr>
        <w:spacing w:after="0" w:line="259" w:lineRule="auto"/>
        <w:ind w:left="0" w:right="0" w:firstLine="0"/>
        <w:jc w:val="left"/>
      </w:pPr>
      <w:r>
        <w:t xml:space="preserve"> </w:t>
      </w:r>
    </w:p>
    <w:p w14:paraId="198D499A" w14:textId="77777777" w:rsidR="00516544" w:rsidRDefault="00000000">
      <w:pPr>
        <w:ind w:left="-5" w:right="0"/>
      </w:pPr>
      <w:r>
        <w:t xml:space="preserve">One factor that affects the level of SBM implementation in a certain school is that before being recognized as advanced level, the school will undergo three Document Analysis, Observation and Discussion (DOD) validation starting from the school level, division level and regional level plus a three-year surveillance which is conducted yearly for three years to check the sustainability of SBM practice of the school.  </w:t>
      </w:r>
    </w:p>
    <w:p w14:paraId="5C4D5FE7" w14:textId="77777777" w:rsidR="00516544" w:rsidRDefault="00000000">
      <w:pPr>
        <w:spacing w:after="0" w:line="259" w:lineRule="auto"/>
        <w:ind w:left="0" w:right="0" w:firstLine="0"/>
        <w:jc w:val="left"/>
      </w:pPr>
      <w:r>
        <w:t xml:space="preserve"> </w:t>
      </w:r>
    </w:p>
    <w:p w14:paraId="1F64FB49" w14:textId="77777777" w:rsidR="00516544" w:rsidRDefault="00000000">
      <w:pPr>
        <w:ind w:left="-5" w:right="0"/>
      </w:pPr>
      <w:r>
        <w:t xml:space="preserve">Further, failure of the part of the school to sustain the “Advanced Level” in any of the surveillances/ visits will automatically drop the school from the roster of recognized schools. In which case, the previously awarded Certificate of Recognition can no longer be used for ranking purposes (DepEd Order No. 7, s.2020). According to Lopez (2022), proper documentation is one of the keys to level up SBM practice. With proper documentation, schools can improve from level 1 to level 2, and from level 2 to level 3. </w:t>
      </w:r>
    </w:p>
    <w:p w14:paraId="0008D53F" w14:textId="77777777" w:rsidR="00516544" w:rsidRDefault="00000000">
      <w:pPr>
        <w:spacing w:after="0" w:line="259" w:lineRule="auto"/>
        <w:ind w:left="0" w:right="0" w:firstLine="0"/>
        <w:jc w:val="left"/>
      </w:pPr>
      <w:r>
        <w:t xml:space="preserve"> </w:t>
      </w:r>
    </w:p>
    <w:p w14:paraId="6DE98E6D" w14:textId="77777777" w:rsidR="00516544" w:rsidRDefault="00000000">
      <w:pPr>
        <w:pStyle w:val="Heading2"/>
        <w:ind w:left="-5" w:right="0"/>
      </w:pPr>
      <w:r>
        <w:t xml:space="preserve">Level of Practice of the School-Based Management  </w:t>
      </w:r>
    </w:p>
    <w:p w14:paraId="3409E2D0" w14:textId="77777777" w:rsidR="00516544" w:rsidRDefault="00000000">
      <w:pPr>
        <w:ind w:left="-5" w:right="0"/>
      </w:pPr>
      <w:r>
        <w:t xml:space="preserve">Table 4 presents the level of practice of School-Based Management (SBM) across the four dimensions. The data show that Leadership and Governance obtained a mean of 1.80 (SD = 0.61), described as Maturing. This result indicates that schools have established participatory leadership structures and decision-making mechanisms aligned with the principles of ACCESs. School heads and stakeholders demonstrate shared governance practices, and organizational systems are already functional. However, the rating also suggests that leadership structures require further strengthening in terms of sustained capacity building and institutionalization of leadership development programs. Literature emphasizes that SBM should promote participatory governance and decentralization under RA 9155 and DepEd Order No. 83, s. 2012. Panol et al. </w:t>
      </w:r>
    </w:p>
    <w:p w14:paraId="7A4F065F" w14:textId="77777777" w:rsidR="00516544" w:rsidRDefault="00000000">
      <w:pPr>
        <w:ind w:left="-5" w:right="0"/>
      </w:pPr>
      <w:r>
        <w:lastRenderedPageBreak/>
        <w:t xml:space="preserve">(2020) highlight that effective instructional leadership enhances school efficiency, while Abulencia (2012) stresses that meaningful stakeholder participation strengthens decentralized management. The present finding supports these discussions, as governance mechanisms are implemented but have not yet reached the quality standards expected at the Advanced level. </w:t>
      </w:r>
    </w:p>
    <w:p w14:paraId="44B46F49" w14:textId="77777777" w:rsidR="00516544" w:rsidRDefault="00000000">
      <w:pPr>
        <w:spacing w:after="0" w:line="259" w:lineRule="auto"/>
        <w:ind w:left="0" w:right="0" w:firstLine="0"/>
        <w:jc w:val="left"/>
      </w:pPr>
      <w:r>
        <w:t xml:space="preserve"> </w:t>
      </w:r>
    </w:p>
    <w:p w14:paraId="591E1843" w14:textId="77777777" w:rsidR="00516544" w:rsidRDefault="00000000">
      <w:pPr>
        <w:pStyle w:val="Heading1"/>
        <w:ind w:left="-5" w:right="0"/>
      </w:pPr>
      <w:r>
        <w:t xml:space="preserve">Table 4 </w:t>
      </w:r>
    </w:p>
    <w:p w14:paraId="7295ACE3" w14:textId="77777777" w:rsidR="00516544" w:rsidRDefault="00000000">
      <w:pPr>
        <w:pStyle w:val="Heading2"/>
        <w:ind w:left="-5" w:right="0"/>
      </w:pPr>
      <w:r>
        <w:t xml:space="preserve">Level of Practice of SBM </w:t>
      </w:r>
    </w:p>
    <w:p w14:paraId="7316658A" w14:textId="77777777" w:rsidR="00516544" w:rsidRDefault="00000000">
      <w:pPr>
        <w:spacing w:after="0" w:line="259" w:lineRule="auto"/>
        <w:ind w:left="0" w:right="0" w:firstLine="0"/>
        <w:jc w:val="left"/>
      </w:pPr>
      <w:r>
        <w:t xml:space="preserve"> </w:t>
      </w:r>
    </w:p>
    <w:p w14:paraId="3D4260AF" w14:textId="77777777" w:rsidR="00516544" w:rsidRDefault="00000000">
      <w:pPr>
        <w:tabs>
          <w:tab w:val="center" w:pos="7250"/>
          <w:tab w:val="right" w:pos="9370"/>
        </w:tabs>
        <w:spacing w:after="0" w:line="259" w:lineRule="auto"/>
        <w:ind w:left="0" w:right="0" w:firstLine="0"/>
        <w:jc w:val="left"/>
      </w:pPr>
      <w:r>
        <w:rPr>
          <w:rFonts w:ascii="Calibri" w:eastAsia="Calibri" w:hAnsi="Calibri" w:cs="Calibri"/>
          <w:noProof/>
        </w:rPr>
        <mc:AlternateContent>
          <mc:Choice Requires="wpg">
            <w:drawing>
              <wp:inline distT="0" distB="0" distL="0" distR="0" wp14:anchorId="6A586298" wp14:editId="5BCB5D26">
                <wp:extent cx="5912866" cy="218440"/>
                <wp:effectExtent l="0" t="0" r="0" b="0"/>
                <wp:docPr id="36986" name="Group 36986"/>
                <wp:cNvGraphicFramePr/>
                <a:graphic xmlns:a="http://schemas.openxmlformats.org/drawingml/2006/main">
                  <a:graphicData uri="http://schemas.microsoft.com/office/word/2010/wordprocessingGroup">
                    <wpg:wgp>
                      <wpg:cNvGrpSpPr/>
                      <wpg:grpSpPr>
                        <a:xfrm>
                          <a:off x="0" y="0"/>
                          <a:ext cx="5912866" cy="218440"/>
                          <a:chOff x="0" y="0"/>
                          <a:chExt cx="5912866" cy="218440"/>
                        </a:xfrm>
                      </wpg:grpSpPr>
                      <wps:wsp>
                        <wps:cNvPr id="2350" name="Rectangle 2350"/>
                        <wps:cNvSpPr/>
                        <wps:spPr>
                          <a:xfrm>
                            <a:off x="1494727" y="35327"/>
                            <a:ext cx="1052934" cy="174642"/>
                          </a:xfrm>
                          <a:prstGeom prst="rect">
                            <a:avLst/>
                          </a:prstGeom>
                          <a:ln>
                            <a:noFill/>
                          </a:ln>
                        </wps:spPr>
                        <wps:txbx>
                          <w:txbxContent>
                            <w:p w14:paraId="2548A727" w14:textId="77777777" w:rsidR="00516544" w:rsidRDefault="00000000">
                              <w:pPr>
                                <w:spacing w:after="160" w:line="259" w:lineRule="auto"/>
                                <w:ind w:left="0" w:right="0" w:firstLine="0"/>
                                <w:jc w:val="left"/>
                              </w:pPr>
                              <w:r>
                                <w:rPr>
                                  <w:b/>
                                </w:rPr>
                                <w:t>Dimensions</w:t>
                              </w:r>
                            </w:p>
                          </w:txbxContent>
                        </wps:txbx>
                        <wps:bodyPr horzOverflow="overflow" vert="horz" lIns="0" tIns="0" rIns="0" bIns="0" rtlCol="0">
                          <a:noAutofit/>
                        </wps:bodyPr>
                      </wps:wsp>
                      <wps:wsp>
                        <wps:cNvPr id="2351" name="Rectangle 2351"/>
                        <wps:cNvSpPr/>
                        <wps:spPr>
                          <a:xfrm>
                            <a:off x="2286318" y="35327"/>
                            <a:ext cx="51653" cy="174642"/>
                          </a:xfrm>
                          <a:prstGeom prst="rect">
                            <a:avLst/>
                          </a:prstGeom>
                          <a:ln>
                            <a:noFill/>
                          </a:ln>
                        </wps:spPr>
                        <wps:txbx>
                          <w:txbxContent>
                            <w:p w14:paraId="38D39053" w14:textId="77777777" w:rsidR="00516544"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3752" name="Shape 43752"/>
                        <wps:cNvSpPr/>
                        <wps:spPr>
                          <a:xfrm>
                            <a:off x="0" y="0"/>
                            <a:ext cx="3781425" cy="9144"/>
                          </a:xfrm>
                          <a:custGeom>
                            <a:avLst/>
                            <a:gdLst/>
                            <a:ahLst/>
                            <a:cxnLst/>
                            <a:rect l="0" t="0" r="0" b="0"/>
                            <a:pathLst>
                              <a:path w="3781425" h="9144">
                                <a:moveTo>
                                  <a:pt x="0" y="0"/>
                                </a:moveTo>
                                <a:lnTo>
                                  <a:pt x="3781425" y="0"/>
                                </a:lnTo>
                                <a:lnTo>
                                  <a:pt x="378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3" name="Shape 43753"/>
                        <wps:cNvSpPr/>
                        <wps:spPr>
                          <a:xfrm>
                            <a:off x="37813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4" name="Shape 43754"/>
                        <wps:cNvSpPr/>
                        <wps:spPr>
                          <a:xfrm>
                            <a:off x="3787712" y="0"/>
                            <a:ext cx="574040" cy="9144"/>
                          </a:xfrm>
                          <a:custGeom>
                            <a:avLst/>
                            <a:gdLst/>
                            <a:ahLst/>
                            <a:cxnLst/>
                            <a:rect l="0" t="0" r="0" b="0"/>
                            <a:pathLst>
                              <a:path w="574040" h="9144">
                                <a:moveTo>
                                  <a:pt x="0" y="0"/>
                                </a:moveTo>
                                <a:lnTo>
                                  <a:pt x="574040" y="0"/>
                                </a:lnTo>
                                <a:lnTo>
                                  <a:pt x="574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5" name="Shape 43755"/>
                        <wps:cNvSpPr/>
                        <wps:spPr>
                          <a:xfrm>
                            <a:off x="43618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6" name="Shape 43756"/>
                        <wps:cNvSpPr/>
                        <wps:spPr>
                          <a:xfrm>
                            <a:off x="4368229" y="0"/>
                            <a:ext cx="478790" cy="9144"/>
                          </a:xfrm>
                          <a:custGeom>
                            <a:avLst/>
                            <a:gdLst/>
                            <a:ahLst/>
                            <a:cxnLst/>
                            <a:rect l="0" t="0" r="0" b="0"/>
                            <a:pathLst>
                              <a:path w="478790" h="9144">
                                <a:moveTo>
                                  <a:pt x="0" y="0"/>
                                </a:moveTo>
                                <a:lnTo>
                                  <a:pt x="478790" y="0"/>
                                </a:lnTo>
                                <a:lnTo>
                                  <a:pt x="478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7" name="Shape 43757"/>
                        <wps:cNvSpPr/>
                        <wps:spPr>
                          <a:xfrm>
                            <a:off x="4847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8" name="Shape 43758"/>
                        <wps:cNvSpPr/>
                        <wps:spPr>
                          <a:xfrm>
                            <a:off x="4853369" y="0"/>
                            <a:ext cx="1059497" cy="9144"/>
                          </a:xfrm>
                          <a:custGeom>
                            <a:avLst/>
                            <a:gdLst/>
                            <a:ahLst/>
                            <a:cxnLst/>
                            <a:rect l="0" t="0" r="0" b="0"/>
                            <a:pathLst>
                              <a:path w="1059497" h="9144">
                                <a:moveTo>
                                  <a:pt x="0" y="0"/>
                                </a:moveTo>
                                <a:lnTo>
                                  <a:pt x="1059497" y="0"/>
                                </a:lnTo>
                                <a:lnTo>
                                  <a:pt x="1059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59" name="Shape 43759"/>
                        <wps:cNvSpPr/>
                        <wps:spPr>
                          <a:xfrm>
                            <a:off x="0" y="212090"/>
                            <a:ext cx="3781425" cy="9144"/>
                          </a:xfrm>
                          <a:custGeom>
                            <a:avLst/>
                            <a:gdLst/>
                            <a:ahLst/>
                            <a:cxnLst/>
                            <a:rect l="0" t="0" r="0" b="0"/>
                            <a:pathLst>
                              <a:path w="3781425" h="9144">
                                <a:moveTo>
                                  <a:pt x="0" y="0"/>
                                </a:moveTo>
                                <a:lnTo>
                                  <a:pt x="3781425" y="0"/>
                                </a:lnTo>
                                <a:lnTo>
                                  <a:pt x="37814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0" name="Shape 43760"/>
                        <wps:cNvSpPr/>
                        <wps:spPr>
                          <a:xfrm>
                            <a:off x="3781362" y="212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1" name="Shape 43761"/>
                        <wps:cNvSpPr/>
                        <wps:spPr>
                          <a:xfrm>
                            <a:off x="3787712" y="212090"/>
                            <a:ext cx="574040" cy="9144"/>
                          </a:xfrm>
                          <a:custGeom>
                            <a:avLst/>
                            <a:gdLst/>
                            <a:ahLst/>
                            <a:cxnLst/>
                            <a:rect l="0" t="0" r="0" b="0"/>
                            <a:pathLst>
                              <a:path w="574040" h="9144">
                                <a:moveTo>
                                  <a:pt x="0" y="0"/>
                                </a:moveTo>
                                <a:lnTo>
                                  <a:pt x="574040" y="0"/>
                                </a:lnTo>
                                <a:lnTo>
                                  <a:pt x="5740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2" name="Shape 43762"/>
                        <wps:cNvSpPr/>
                        <wps:spPr>
                          <a:xfrm>
                            <a:off x="4361879" y="212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3" name="Shape 43763"/>
                        <wps:cNvSpPr/>
                        <wps:spPr>
                          <a:xfrm>
                            <a:off x="4368229" y="212090"/>
                            <a:ext cx="478790" cy="9144"/>
                          </a:xfrm>
                          <a:custGeom>
                            <a:avLst/>
                            <a:gdLst/>
                            <a:ahLst/>
                            <a:cxnLst/>
                            <a:rect l="0" t="0" r="0" b="0"/>
                            <a:pathLst>
                              <a:path w="478790" h="9144">
                                <a:moveTo>
                                  <a:pt x="0" y="0"/>
                                </a:moveTo>
                                <a:lnTo>
                                  <a:pt x="478790" y="0"/>
                                </a:lnTo>
                                <a:lnTo>
                                  <a:pt x="478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4" name="Shape 43764"/>
                        <wps:cNvSpPr/>
                        <wps:spPr>
                          <a:xfrm>
                            <a:off x="4847019" y="2120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65" name="Shape 43765"/>
                        <wps:cNvSpPr/>
                        <wps:spPr>
                          <a:xfrm>
                            <a:off x="4853369" y="212090"/>
                            <a:ext cx="1059497" cy="9144"/>
                          </a:xfrm>
                          <a:custGeom>
                            <a:avLst/>
                            <a:gdLst/>
                            <a:ahLst/>
                            <a:cxnLst/>
                            <a:rect l="0" t="0" r="0" b="0"/>
                            <a:pathLst>
                              <a:path w="1059497" h="9144">
                                <a:moveTo>
                                  <a:pt x="0" y="0"/>
                                </a:moveTo>
                                <a:lnTo>
                                  <a:pt x="1059497" y="0"/>
                                </a:lnTo>
                                <a:lnTo>
                                  <a:pt x="10594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986" style="width:465.58pt;height:17.2pt;mso-position-horizontal-relative:char;mso-position-vertical-relative:line" coordsize="59128,2184">
                <v:rect id="Rectangle 2350" style="position:absolute;width:10529;height:1746;left:14947;top:353;" filled="f" stroked="f">
                  <v:textbox inset="0,0,0,0">
                    <w:txbxContent>
                      <w:p>
                        <w:pPr>
                          <w:spacing w:before="0" w:after="160" w:line="259" w:lineRule="auto"/>
                          <w:ind w:left="0" w:right="0" w:firstLine="0"/>
                          <w:jc w:val="left"/>
                        </w:pPr>
                        <w:r>
                          <w:rPr>
                            <w:rFonts w:cs="Arial" w:hAnsi="Arial" w:eastAsia="Arial" w:ascii="Arial"/>
                            <w:b w:val="1"/>
                          </w:rPr>
                          <w:t xml:space="preserve">Dimensions</w:t>
                        </w:r>
                      </w:p>
                    </w:txbxContent>
                  </v:textbox>
                </v:rect>
                <v:rect id="Rectangle 2351" style="position:absolute;width:516;height:1746;left:22863;top:353;"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43766" style="position:absolute;width:37814;height:91;left:0;top:0;" coordsize="3781425,9144" path="m0,0l3781425,0l3781425,9144l0,9144l0,0">
                  <v:stroke weight="0pt" endcap="flat" joinstyle="miter" miterlimit="10" on="false" color="#000000" opacity="0"/>
                  <v:fill on="true" color="#000000"/>
                </v:shape>
                <v:shape id="Shape 43767" style="position:absolute;width:91;height:91;left:37813;top:0;" coordsize="9144,9144" path="m0,0l9144,0l9144,9144l0,9144l0,0">
                  <v:stroke weight="0pt" endcap="flat" joinstyle="miter" miterlimit="10" on="false" color="#000000" opacity="0"/>
                  <v:fill on="true" color="#000000"/>
                </v:shape>
                <v:shape id="Shape 43768" style="position:absolute;width:5740;height:91;left:37877;top:0;" coordsize="574040,9144" path="m0,0l574040,0l574040,9144l0,9144l0,0">
                  <v:stroke weight="0pt" endcap="flat" joinstyle="miter" miterlimit="10" on="false" color="#000000" opacity="0"/>
                  <v:fill on="true" color="#000000"/>
                </v:shape>
                <v:shape id="Shape 43769" style="position:absolute;width:91;height:91;left:43618;top:0;" coordsize="9144,9144" path="m0,0l9144,0l9144,9144l0,9144l0,0">
                  <v:stroke weight="0pt" endcap="flat" joinstyle="miter" miterlimit="10" on="false" color="#000000" opacity="0"/>
                  <v:fill on="true" color="#000000"/>
                </v:shape>
                <v:shape id="Shape 43770" style="position:absolute;width:4787;height:91;left:43682;top:0;" coordsize="478790,9144" path="m0,0l478790,0l478790,9144l0,9144l0,0">
                  <v:stroke weight="0pt" endcap="flat" joinstyle="miter" miterlimit="10" on="false" color="#000000" opacity="0"/>
                  <v:fill on="true" color="#000000"/>
                </v:shape>
                <v:shape id="Shape 43771" style="position:absolute;width:91;height:91;left:48470;top:0;" coordsize="9144,9144" path="m0,0l9144,0l9144,9144l0,9144l0,0">
                  <v:stroke weight="0pt" endcap="flat" joinstyle="miter" miterlimit="10" on="false" color="#000000" opacity="0"/>
                  <v:fill on="true" color="#000000"/>
                </v:shape>
                <v:shape id="Shape 43772" style="position:absolute;width:10594;height:91;left:48533;top:0;" coordsize="1059497,9144" path="m0,0l1059497,0l1059497,9144l0,9144l0,0">
                  <v:stroke weight="0pt" endcap="flat" joinstyle="miter" miterlimit="10" on="false" color="#000000" opacity="0"/>
                  <v:fill on="true" color="#000000"/>
                </v:shape>
                <v:shape id="Shape 43773" style="position:absolute;width:37814;height:91;left:0;top:2120;" coordsize="3781425,9144" path="m0,0l3781425,0l3781425,9144l0,9144l0,0">
                  <v:stroke weight="0pt" endcap="flat" joinstyle="miter" miterlimit="10" on="false" color="#000000" opacity="0"/>
                  <v:fill on="true" color="#000000"/>
                </v:shape>
                <v:shape id="Shape 43774" style="position:absolute;width:91;height:91;left:37813;top:2120;" coordsize="9144,9144" path="m0,0l9144,0l9144,9144l0,9144l0,0">
                  <v:stroke weight="0pt" endcap="flat" joinstyle="miter" miterlimit="10" on="false" color="#000000" opacity="0"/>
                  <v:fill on="true" color="#000000"/>
                </v:shape>
                <v:shape id="Shape 43775" style="position:absolute;width:5740;height:91;left:37877;top:2120;" coordsize="574040,9144" path="m0,0l574040,0l574040,9144l0,9144l0,0">
                  <v:stroke weight="0pt" endcap="flat" joinstyle="miter" miterlimit="10" on="false" color="#000000" opacity="0"/>
                  <v:fill on="true" color="#000000"/>
                </v:shape>
                <v:shape id="Shape 43776" style="position:absolute;width:91;height:91;left:43618;top:2120;" coordsize="9144,9144" path="m0,0l9144,0l9144,9144l0,9144l0,0">
                  <v:stroke weight="0pt" endcap="flat" joinstyle="miter" miterlimit="10" on="false" color="#000000" opacity="0"/>
                  <v:fill on="true" color="#000000"/>
                </v:shape>
                <v:shape id="Shape 43777" style="position:absolute;width:4787;height:91;left:43682;top:2120;" coordsize="478790,9144" path="m0,0l478790,0l478790,9144l0,9144l0,0">
                  <v:stroke weight="0pt" endcap="flat" joinstyle="miter" miterlimit="10" on="false" color="#000000" opacity="0"/>
                  <v:fill on="true" color="#000000"/>
                </v:shape>
                <v:shape id="Shape 43778" style="position:absolute;width:91;height:91;left:48470;top:2120;" coordsize="9144,9144" path="m0,0l9144,0l9144,9144l0,9144l0,0">
                  <v:stroke weight="0pt" endcap="flat" joinstyle="miter" miterlimit="10" on="false" color="#000000" opacity="0"/>
                  <v:fill on="true" color="#000000"/>
                </v:shape>
                <v:shape id="Shape 43779" style="position:absolute;width:10594;height:91;left:48533;top:2120;" coordsize="1059497,9144" path="m0,0l1059497,0l1059497,9144l0,9144l0,0">
                  <v:stroke weight="0pt" endcap="flat" joinstyle="miter" miterlimit="10" on="false" color="#000000" opacity="0"/>
                  <v:fill on="true" color="#000000"/>
                </v:shape>
              </v:group>
            </w:pict>
          </mc:Fallback>
        </mc:AlternateContent>
      </w:r>
      <w:r>
        <w:rPr>
          <w:b/>
        </w:rPr>
        <w:t xml:space="preserve">Mean </w:t>
      </w:r>
      <w:r>
        <w:rPr>
          <w:b/>
        </w:rPr>
        <w:tab/>
        <w:t xml:space="preserve">SD </w:t>
      </w:r>
      <w:r>
        <w:rPr>
          <w:b/>
        </w:rPr>
        <w:tab/>
        <w:t xml:space="preserve">Descriptor </w:t>
      </w:r>
    </w:p>
    <w:tbl>
      <w:tblPr>
        <w:tblStyle w:val="TableGrid"/>
        <w:tblW w:w="8851" w:type="dxa"/>
        <w:tblInd w:w="108" w:type="dxa"/>
        <w:tblCellMar>
          <w:top w:w="0" w:type="dxa"/>
          <w:left w:w="0" w:type="dxa"/>
          <w:bottom w:w="0" w:type="dxa"/>
          <w:right w:w="0" w:type="dxa"/>
        </w:tblCellMar>
        <w:tblLook w:val="04A0" w:firstRow="1" w:lastRow="0" w:firstColumn="1" w:lastColumn="0" w:noHBand="0" w:noVBand="1"/>
      </w:tblPr>
      <w:tblGrid>
        <w:gridCol w:w="6021"/>
        <w:gridCol w:w="908"/>
        <w:gridCol w:w="882"/>
        <w:gridCol w:w="1040"/>
      </w:tblGrid>
      <w:tr w:rsidR="00516544" w14:paraId="1219CB2E" w14:textId="77777777">
        <w:trPr>
          <w:trHeight w:val="258"/>
        </w:trPr>
        <w:tc>
          <w:tcPr>
            <w:tcW w:w="6021" w:type="dxa"/>
            <w:tcBorders>
              <w:top w:val="nil"/>
              <w:left w:val="nil"/>
              <w:bottom w:val="nil"/>
              <w:right w:val="nil"/>
            </w:tcBorders>
          </w:tcPr>
          <w:p w14:paraId="3683F5A9" w14:textId="77777777" w:rsidR="00516544" w:rsidRDefault="00000000">
            <w:pPr>
              <w:spacing w:after="0" w:line="259" w:lineRule="auto"/>
              <w:ind w:left="0" w:right="0" w:firstLine="0"/>
              <w:jc w:val="left"/>
            </w:pPr>
            <w:r>
              <w:t xml:space="preserve">Leadership and Governance </w:t>
            </w:r>
          </w:p>
        </w:tc>
        <w:tc>
          <w:tcPr>
            <w:tcW w:w="908" w:type="dxa"/>
            <w:tcBorders>
              <w:top w:val="nil"/>
              <w:left w:val="nil"/>
              <w:bottom w:val="nil"/>
              <w:right w:val="nil"/>
            </w:tcBorders>
          </w:tcPr>
          <w:p w14:paraId="7F74374C" w14:textId="77777777" w:rsidR="00516544" w:rsidRDefault="00000000">
            <w:pPr>
              <w:spacing w:after="0" w:line="259" w:lineRule="auto"/>
              <w:ind w:left="66" w:right="0" w:firstLine="0"/>
              <w:jc w:val="left"/>
            </w:pPr>
            <w:r>
              <w:t xml:space="preserve">1.80 </w:t>
            </w:r>
          </w:p>
        </w:tc>
        <w:tc>
          <w:tcPr>
            <w:tcW w:w="882" w:type="dxa"/>
            <w:tcBorders>
              <w:top w:val="nil"/>
              <w:left w:val="nil"/>
              <w:bottom w:val="nil"/>
              <w:right w:val="nil"/>
            </w:tcBorders>
          </w:tcPr>
          <w:p w14:paraId="287A55D2" w14:textId="77777777" w:rsidR="00516544" w:rsidRDefault="00000000">
            <w:pPr>
              <w:spacing w:after="0" w:line="259" w:lineRule="auto"/>
              <w:ind w:left="0" w:right="0" w:firstLine="0"/>
              <w:jc w:val="left"/>
            </w:pPr>
            <w:r>
              <w:t xml:space="preserve">0.61 </w:t>
            </w:r>
          </w:p>
        </w:tc>
        <w:tc>
          <w:tcPr>
            <w:tcW w:w="1040" w:type="dxa"/>
            <w:tcBorders>
              <w:top w:val="nil"/>
              <w:left w:val="nil"/>
              <w:bottom w:val="nil"/>
              <w:right w:val="nil"/>
            </w:tcBorders>
          </w:tcPr>
          <w:p w14:paraId="783B32D3" w14:textId="77777777" w:rsidR="00516544" w:rsidRDefault="00000000">
            <w:pPr>
              <w:spacing w:after="0" w:line="259" w:lineRule="auto"/>
              <w:ind w:left="122" w:right="0" w:firstLine="0"/>
              <w:jc w:val="left"/>
            </w:pPr>
            <w:r>
              <w:t xml:space="preserve">Maturing </w:t>
            </w:r>
          </w:p>
        </w:tc>
      </w:tr>
      <w:tr w:rsidR="00516544" w14:paraId="03ABFCE4" w14:textId="77777777">
        <w:trPr>
          <w:trHeight w:val="317"/>
        </w:trPr>
        <w:tc>
          <w:tcPr>
            <w:tcW w:w="6021" w:type="dxa"/>
            <w:tcBorders>
              <w:top w:val="nil"/>
              <w:left w:val="nil"/>
              <w:bottom w:val="nil"/>
              <w:right w:val="nil"/>
            </w:tcBorders>
          </w:tcPr>
          <w:p w14:paraId="02946760" w14:textId="77777777" w:rsidR="00516544" w:rsidRDefault="00000000">
            <w:pPr>
              <w:spacing w:after="0" w:line="259" w:lineRule="auto"/>
              <w:ind w:left="0" w:right="0" w:firstLine="0"/>
              <w:jc w:val="left"/>
            </w:pPr>
            <w:r>
              <w:t xml:space="preserve">Curriculum and Instruction </w:t>
            </w:r>
          </w:p>
        </w:tc>
        <w:tc>
          <w:tcPr>
            <w:tcW w:w="908" w:type="dxa"/>
            <w:tcBorders>
              <w:top w:val="nil"/>
              <w:left w:val="nil"/>
              <w:bottom w:val="nil"/>
              <w:right w:val="nil"/>
            </w:tcBorders>
          </w:tcPr>
          <w:p w14:paraId="124E822E" w14:textId="77777777" w:rsidR="00516544" w:rsidRDefault="00000000">
            <w:pPr>
              <w:spacing w:after="0" w:line="259" w:lineRule="auto"/>
              <w:ind w:left="66" w:right="0" w:firstLine="0"/>
              <w:jc w:val="left"/>
            </w:pPr>
            <w:r>
              <w:t xml:space="preserve">1.85 </w:t>
            </w:r>
          </w:p>
        </w:tc>
        <w:tc>
          <w:tcPr>
            <w:tcW w:w="882" w:type="dxa"/>
            <w:tcBorders>
              <w:top w:val="nil"/>
              <w:left w:val="nil"/>
              <w:bottom w:val="nil"/>
              <w:right w:val="nil"/>
            </w:tcBorders>
          </w:tcPr>
          <w:p w14:paraId="68E4C9F2" w14:textId="77777777" w:rsidR="00516544" w:rsidRDefault="00000000">
            <w:pPr>
              <w:spacing w:after="0" w:line="259" w:lineRule="auto"/>
              <w:ind w:left="0" w:right="0" w:firstLine="0"/>
              <w:jc w:val="left"/>
            </w:pPr>
            <w:r>
              <w:t xml:space="preserve">0.64 </w:t>
            </w:r>
          </w:p>
        </w:tc>
        <w:tc>
          <w:tcPr>
            <w:tcW w:w="1040" w:type="dxa"/>
            <w:tcBorders>
              <w:top w:val="nil"/>
              <w:left w:val="nil"/>
              <w:bottom w:val="nil"/>
              <w:right w:val="nil"/>
            </w:tcBorders>
          </w:tcPr>
          <w:p w14:paraId="2C243257" w14:textId="77777777" w:rsidR="00516544" w:rsidRDefault="00000000">
            <w:pPr>
              <w:spacing w:after="0" w:line="259" w:lineRule="auto"/>
              <w:ind w:left="122" w:right="0" w:firstLine="0"/>
              <w:jc w:val="left"/>
            </w:pPr>
            <w:r>
              <w:t xml:space="preserve">Maturing </w:t>
            </w:r>
          </w:p>
        </w:tc>
      </w:tr>
      <w:tr w:rsidR="00516544" w14:paraId="32B85D39" w14:textId="77777777">
        <w:trPr>
          <w:trHeight w:val="265"/>
        </w:trPr>
        <w:tc>
          <w:tcPr>
            <w:tcW w:w="6021" w:type="dxa"/>
            <w:tcBorders>
              <w:top w:val="nil"/>
              <w:left w:val="nil"/>
              <w:bottom w:val="nil"/>
              <w:right w:val="nil"/>
            </w:tcBorders>
          </w:tcPr>
          <w:p w14:paraId="78115CAA" w14:textId="77777777" w:rsidR="00516544" w:rsidRDefault="00000000">
            <w:pPr>
              <w:spacing w:after="0" w:line="259" w:lineRule="auto"/>
              <w:ind w:left="0" w:right="0" w:firstLine="0"/>
              <w:jc w:val="left"/>
            </w:pPr>
            <w:r>
              <w:t xml:space="preserve">Accountability and Continuous Improvement </w:t>
            </w:r>
          </w:p>
        </w:tc>
        <w:tc>
          <w:tcPr>
            <w:tcW w:w="908" w:type="dxa"/>
            <w:tcBorders>
              <w:top w:val="nil"/>
              <w:left w:val="nil"/>
              <w:bottom w:val="nil"/>
              <w:right w:val="nil"/>
            </w:tcBorders>
          </w:tcPr>
          <w:p w14:paraId="4D1CDB8B" w14:textId="77777777" w:rsidR="00516544" w:rsidRDefault="00000000">
            <w:pPr>
              <w:spacing w:after="0" w:line="259" w:lineRule="auto"/>
              <w:ind w:left="66" w:right="0" w:firstLine="0"/>
              <w:jc w:val="left"/>
            </w:pPr>
            <w:r>
              <w:t xml:space="preserve">1.74 </w:t>
            </w:r>
          </w:p>
        </w:tc>
        <w:tc>
          <w:tcPr>
            <w:tcW w:w="882" w:type="dxa"/>
            <w:tcBorders>
              <w:top w:val="nil"/>
              <w:left w:val="nil"/>
              <w:bottom w:val="nil"/>
              <w:right w:val="nil"/>
            </w:tcBorders>
          </w:tcPr>
          <w:p w14:paraId="671F5203" w14:textId="77777777" w:rsidR="00516544" w:rsidRDefault="00000000">
            <w:pPr>
              <w:spacing w:after="0" w:line="259" w:lineRule="auto"/>
              <w:ind w:left="0" w:right="0" w:firstLine="0"/>
              <w:jc w:val="left"/>
            </w:pPr>
            <w:r>
              <w:t xml:space="preserve">0.66 </w:t>
            </w:r>
          </w:p>
        </w:tc>
        <w:tc>
          <w:tcPr>
            <w:tcW w:w="1040" w:type="dxa"/>
            <w:tcBorders>
              <w:top w:val="nil"/>
              <w:left w:val="nil"/>
              <w:bottom w:val="nil"/>
              <w:right w:val="nil"/>
            </w:tcBorders>
          </w:tcPr>
          <w:p w14:paraId="379A3A39" w14:textId="77777777" w:rsidR="00516544" w:rsidRDefault="00000000">
            <w:pPr>
              <w:spacing w:after="0" w:line="259" w:lineRule="auto"/>
              <w:ind w:left="122" w:right="0" w:firstLine="0"/>
              <w:jc w:val="left"/>
            </w:pPr>
            <w:r>
              <w:t xml:space="preserve">Maturing </w:t>
            </w:r>
          </w:p>
        </w:tc>
      </w:tr>
    </w:tbl>
    <w:tbl>
      <w:tblPr>
        <w:tblStyle w:val="TableGrid"/>
        <w:tblpPr w:vertAnchor="text" w:tblpX="-14" w:tblpY="283"/>
        <w:tblOverlap w:val="never"/>
        <w:tblW w:w="9326" w:type="dxa"/>
        <w:tblInd w:w="0" w:type="dxa"/>
        <w:tblCellMar>
          <w:top w:w="51" w:type="dxa"/>
          <w:left w:w="0" w:type="dxa"/>
          <w:bottom w:w="0" w:type="dxa"/>
          <w:right w:w="115" w:type="dxa"/>
        </w:tblCellMar>
        <w:tblLook w:val="04A0" w:firstRow="1" w:lastRow="0" w:firstColumn="1" w:lastColumn="0" w:noHBand="0" w:noVBand="1"/>
      </w:tblPr>
      <w:tblGrid>
        <w:gridCol w:w="6144"/>
        <w:gridCol w:w="908"/>
        <w:gridCol w:w="882"/>
        <w:gridCol w:w="1392"/>
      </w:tblGrid>
      <w:tr w:rsidR="00516544" w14:paraId="5159EDFA" w14:textId="77777777">
        <w:trPr>
          <w:trHeight w:val="321"/>
        </w:trPr>
        <w:tc>
          <w:tcPr>
            <w:tcW w:w="6143" w:type="dxa"/>
            <w:tcBorders>
              <w:top w:val="single" w:sz="4" w:space="0" w:color="000000"/>
              <w:left w:val="nil"/>
              <w:bottom w:val="single" w:sz="4" w:space="0" w:color="000000"/>
              <w:right w:val="nil"/>
            </w:tcBorders>
          </w:tcPr>
          <w:p w14:paraId="65DD163E" w14:textId="77777777" w:rsidR="00516544" w:rsidRDefault="00000000">
            <w:pPr>
              <w:spacing w:after="0" w:line="259" w:lineRule="auto"/>
              <w:ind w:left="0" w:right="47" w:firstLine="0"/>
              <w:jc w:val="center"/>
            </w:pPr>
            <w:r>
              <w:rPr>
                <w:b/>
              </w:rPr>
              <w:t xml:space="preserve">Composite Mean </w:t>
            </w:r>
          </w:p>
        </w:tc>
        <w:tc>
          <w:tcPr>
            <w:tcW w:w="908" w:type="dxa"/>
            <w:tcBorders>
              <w:top w:val="nil"/>
              <w:left w:val="nil"/>
              <w:bottom w:val="single" w:sz="4" w:space="0" w:color="000000"/>
              <w:right w:val="nil"/>
            </w:tcBorders>
          </w:tcPr>
          <w:p w14:paraId="6DAB2DC0" w14:textId="77777777" w:rsidR="00516544" w:rsidRDefault="00000000">
            <w:pPr>
              <w:spacing w:after="0" w:line="259" w:lineRule="auto"/>
              <w:ind w:left="66" w:right="0" w:firstLine="0"/>
              <w:jc w:val="left"/>
            </w:pPr>
            <w:r>
              <w:rPr>
                <w:b/>
              </w:rPr>
              <w:t xml:space="preserve">1.78 </w:t>
            </w:r>
          </w:p>
        </w:tc>
        <w:tc>
          <w:tcPr>
            <w:tcW w:w="882" w:type="dxa"/>
            <w:tcBorders>
              <w:top w:val="nil"/>
              <w:left w:val="nil"/>
              <w:bottom w:val="single" w:sz="4" w:space="0" w:color="000000"/>
              <w:right w:val="nil"/>
            </w:tcBorders>
          </w:tcPr>
          <w:p w14:paraId="5B0707CC" w14:textId="77777777" w:rsidR="00516544" w:rsidRDefault="00000000">
            <w:pPr>
              <w:spacing w:after="0" w:line="259" w:lineRule="auto"/>
              <w:ind w:left="0" w:right="0" w:firstLine="0"/>
              <w:jc w:val="left"/>
            </w:pPr>
            <w:r>
              <w:rPr>
                <w:b/>
              </w:rPr>
              <w:t>0.</w:t>
            </w:r>
          </w:p>
        </w:tc>
        <w:tc>
          <w:tcPr>
            <w:tcW w:w="1392" w:type="dxa"/>
            <w:tcBorders>
              <w:top w:val="single" w:sz="4" w:space="0" w:color="000000"/>
              <w:left w:val="nil"/>
              <w:bottom w:val="single" w:sz="4" w:space="0" w:color="000000"/>
              <w:right w:val="nil"/>
            </w:tcBorders>
          </w:tcPr>
          <w:p w14:paraId="37C3106D" w14:textId="77777777" w:rsidR="00516544" w:rsidRDefault="00000000">
            <w:pPr>
              <w:spacing w:after="0" w:line="259" w:lineRule="auto"/>
              <w:ind w:left="86" w:right="0" w:firstLine="0"/>
              <w:jc w:val="left"/>
            </w:pPr>
            <w:r>
              <w:rPr>
                <w:b/>
              </w:rPr>
              <w:t xml:space="preserve">Maturing </w:t>
            </w:r>
          </w:p>
        </w:tc>
      </w:tr>
    </w:tbl>
    <w:p w14:paraId="020B7B7F" w14:textId="77777777" w:rsidR="00516544" w:rsidRDefault="00000000">
      <w:pPr>
        <w:tabs>
          <w:tab w:val="center" w:pos="6409"/>
          <w:tab w:val="center" w:pos="7256"/>
          <w:tab w:val="center" w:pos="8469"/>
        </w:tabs>
        <w:spacing w:after="0" w:line="259" w:lineRule="auto"/>
        <w:ind w:left="0" w:right="0" w:firstLine="0"/>
        <w:jc w:val="left"/>
      </w:pPr>
      <w:r>
        <w:t xml:space="preserve">Management of Resources </w:t>
      </w:r>
      <w:r>
        <w:tab/>
        <w:t xml:space="preserve">1.74 </w:t>
      </w:r>
      <w:r>
        <w:tab/>
      </w:r>
      <w:r>
        <w:rPr>
          <w:noProof/>
        </w:rPr>
        <w:drawing>
          <wp:inline distT="0" distB="0" distL="0" distR="0" wp14:anchorId="23C16548" wp14:editId="4D5732E7">
            <wp:extent cx="484632" cy="143256"/>
            <wp:effectExtent l="0" t="0" r="0" b="0"/>
            <wp:docPr id="42483" name="Picture 42483"/>
            <wp:cNvGraphicFramePr/>
            <a:graphic xmlns:a="http://schemas.openxmlformats.org/drawingml/2006/main">
              <a:graphicData uri="http://schemas.openxmlformats.org/drawingml/2006/picture">
                <pic:pic xmlns:pic="http://schemas.openxmlformats.org/drawingml/2006/picture">
                  <pic:nvPicPr>
                    <pic:cNvPr id="42483" name="Picture 42483"/>
                    <pic:cNvPicPr/>
                  </pic:nvPicPr>
                  <pic:blipFill>
                    <a:blip r:embed="rId5"/>
                    <a:stretch>
                      <a:fillRect/>
                    </a:stretch>
                  </pic:blipFill>
                  <pic:spPr>
                    <a:xfrm>
                      <a:off x="0" y="0"/>
                      <a:ext cx="484632" cy="143256"/>
                    </a:xfrm>
                    <a:prstGeom prst="rect">
                      <a:avLst/>
                    </a:prstGeom>
                  </pic:spPr>
                </pic:pic>
              </a:graphicData>
            </a:graphic>
          </wp:inline>
        </w:drawing>
      </w:r>
      <w:r>
        <w:t>0.67</w:t>
      </w:r>
      <w:r>
        <w:tab/>
        <w:t xml:space="preserve">Maturing </w:t>
      </w:r>
    </w:p>
    <w:p w14:paraId="0D8D6B4A" w14:textId="77777777" w:rsidR="00516544" w:rsidRDefault="00000000">
      <w:pPr>
        <w:spacing w:after="41" w:line="259" w:lineRule="auto"/>
        <w:ind w:left="-5" w:right="0"/>
        <w:jc w:val="left"/>
      </w:pPr>
      <w:r>
        <w:rPr>
          <w:i/>
          <w:sz w:val="16"/>
        </w:rPr>
        <w:t xml:space="preserve">Legend: Advanced (2.35-4.00), Maturing (1.67-2.34), Developing (1.00-1.66) </w:t>
      </w:r>
    </w:p>
    <w:p w14:paraId="0559B98D" w14:textId="77777777" w:rsidR="00516544" w:rsidRDefault="00000000">
      <w:pPr>
        <w:spacing w:after="0" w:line="259" w:lineRule="auto"/>
        <w:ind w:left="0" w:right="0" w:firstLine="0"/>
        <w:jc w:val="left"/>
      </w:pPr>
      <w:r>
        <w:t xml:space="preserve"> </w:t>
      </w:r>
    </w:p>
    <w:p w14:paraId="5E2FFB29" w14:textId="77777777" w:rsidR="00516544" w:rsidRDefault="00000000">
      <w:pPr>
        <w:spacing w:after="0" w:line="259" w:lineRule="auto"/>
        <w:ind w:left="0" w:right="0" w:firstLine="0"/>
        <w:jc w:val="left"/>
      </w:pPr>
      <w:r>
        <w:t xml:space="preserve"> </w:t>
      </w:r>
    </w:p>
    <w:p w14:paraId="71C342C9" w14:textId="77777777" w:rsidR="00516544" w:rsidRDefault="00000000">
      <w:pPr>
        <w:ind w:left="-5" w:right="0"/>
      </w:pPr>
      <w:r>
        <w:t xml:space="preserve">Curriculum and Instruction recorded the highest mean of 1.85 (SD = 0.64), also described as Maturing. This finding shows that instructional systems are contextualized, learner-centered, and responsive to community needs. Schools implement curriculum practices that reflect inclusivity and relevance to learners’ ecological and social contexts. The result implies that schools prioritize instructional alignment and community-based learning; however, these schools still need to intensify assessment validation processes and learner accountability mechanisms to reach a higher level of quality assurance. The result explains that SBM should place learners at the center of reform and integrate curriculum within geographic, cultural, and socio-economic contexts (DepEd, 2012). Systems theory further supports the importance of aligning curriculum with environmental demands and maintaining effective feedback systems (Lai &amp; Lin, 2017). The finding affirms that schools operationalize these principles, yet continuous refinement remains necessary. </w:t>
      </w:r>
    </w:p>
    <w:p w14:paraId="6AE612A0" w14:textId="77777777" w:rsidR="00516544" w:rsidRDefault="00000000">
      <w:pPr>
        <w:spacing w:after="0" w:line="259" w:lineRule="auto"/>
        <w:ind w:left="0" w:right="0" w:firstLine="0"/>
        <w:jc w:val="left"/>
      </w:pPr>
      <w:r>
        <w:t xml:space="preserve"> </w:t>
      </w:r>
    </w:p>
    <w:p w14:paraId="17657CD6" w14:textId="77777777" w:rsidR="00516544" w:rsidRDefault="00000000">
      <w:pPr>
        <w:ind w:left="-5" w:right="0"/>
      </w:pPr>
      <w:r>
        <w:t>Accountability and Continuous Improvement obtained a mean of 1.74 (SD = 0.66), interpreted as Maturing. This rating indicates that accountability structures and monitoring systems are already in place, but they require enhancement to ensure stronger transparency and collaborative validation. Schools demonstrate defined roles and participatory monitoring; however, assessment tools and feedback mechanisms may not yet be fully inclusive or consistently refined. The result implies that while schools conduct monitoring and evaluation activities, these schools must strengthen systematic feedback loops and stakeholder engagement in performance assessment. This emphasizes that SBM requires a clear, transparent, and inclusive accountability system collaboratively developed by stakeholders (</w:t>
      </w:r>
      <w:proofErr w:type="spellStart"/>
      <w:r>
        <w:t>Ballarta</w:t>
      </w:r>
      <w:proofErr w:type="spellEnd"/>
      <w:r>
        <w:t xml:space="preserve"> et al., 2022). Systems theory likewise underscores the importance of feedback mechanisms in sustaining organizational equilibrium. The present finding aligns with these discussions and suggests that accountability practices are functional but still developing toward institutional maturity. </w:t>
      </w:r>
    </w:p>
    <w:p w14:paraId="2B72E932" w14:textId="77777777" w:rsidR="00516544" w:rsidRDefault="00000000">
      <w:pPr>
        <w:spacing w:after="0" w:line="259" w:lineRule="auto"/>
        <w:ind w:left="0" w:right="0" w:firstLine="0"/>
        <w:jc w:val="left"/>
      </w:pPr>
      <w:r>
        <w:t xml:space="preserve"> </w:t>
      </w:r>
    </w:p>
    <w:p w14:paraId="7268F9A1" w14:textId="77777777" w:rsidR="00516544" w:rsidRDefault="00000000">
      <w:pPr>
        <w:ind w:left="-5" w:right="0"/>
      </w:pPr>
      <w:r>
        <w:t xml:space="preserve">Management of Resources likewise obtained a mean of 1.74 (SD = 0.67), described as Maturing. This result indicates that schools mobilize and manage available resources through established procedures, including the use of MOOE and supplementary funding sources. The rating implies that resource allocation processes are operational but may still require improved efficiency, </w:t>
      </w:r>
      <w:r>
        <w:lastRenderedPageBreak/>
        <w:t>sustainability planning, and diversification of funding streams to reach higher standards. The Fiscal Federalism Theory explains that there is a need to decentralize financial responsibilities to improve efficiency and public service delivery. It also notes that MOOE funds alone are insufficient, prompting schools to build partnerships and income-generating initiatives (</w:t>
      </w:r>
      <w:proofErr w:type="spellStart"/>
      <w:r>
        <w:t>Ballarta</w:t>
      </w:r>
      <w:proofErr w:type="spellEnd"/>
      <w:r>
        <w:t xml:space="preserve"> et al., 2022). The finding reflects this reality, as schools demonstrate organized resource management but continue to rely on supplemental mechanisms to sustain operations. </w:t>
      </w:r>
    </w:p>
    <w:p w14:paraId="403D86DB" w14:textId="77777777" w:rsidR="00516544" w:rsidRDefault="00000000">
      <w:pPr>
        <w:spacing w:after="0" w:line="259" w:lineRule="auto"/>
        <w:ind w:left="0" w:right="0" w:firstLine="0"/>
        <w:jc w:val="left"/>
      </w:pPr>
      <w:r>
        <w:t xml:space="preserve"> </w:t>
      </w:r>
    </w:p>
    <w:p w14:paraId="136B52A8" w14:textId="77777777" w:rsidR="00516544" w:rsidRDefault="00000000">
      <w:pPr>
        <w:ind w:left="-5" w:right="0"/>
      </w:pPr>
      <w:r>
        <w:t xml:space="preserve">The composite mean of 1.78 (SD = 0.65) places the overall level of SBM practice in the Maturing category. This overall result indicates that planned practices and procedures are fully implemented and aligned with ACCESs. Schools in the second congressional district of Bohol have operationalized decentralization policies and participatory governance structures; however, they remain in a transitional stage toward the Advanced level. The literature in the document underscores that SBM reform under RA 9155 aims to empower schools, strengthen stakeholder engagement, and improve educational outcomes. Research cited in the study, including findings discussed in the document, shows that effective SBM implementation improves school performance when governance, curriculum, accountability, and resource management function cohesively. The present results confirm that these dimensions are already in place, yet further institutionalization of quality standards, documentation practices, and sustainability mechanisms is necessary to achieve advanced SBM implementation. </w:t>
      </w:r>
    </w:p>
    <w:p w14:paraId="174EBB5E" w14:textId="77777777" w:rsidR="00516544" w:rsidRDefault="00000000">
      <w:pPr>
        <w:spacing w:after="0" w:line="259" w:lineRule="auto"/>
        <w:ind w:left="0" w:right="0" w:firstLine="0"/>
        <w:jc w:val="left"/>
      </w:pPr>
      <w:r>
        <w:t xml:space="preserve"> </w:t>
      </w:r>
    </w:p>
    <w:p w14:paraId="4276D1CD" w14:textId="77777777" w:rsidR="00516544" w:rsidRDefault="00000000">
      <w:pPr>
        <w:pStyle w:val="Heading2"/>
        <w:ind w:left="-5" w:right="0"/>
      </w:pPr>
      <w:r>
        <w:t xml:space="preserve">Level of Challenges in the Implementation of the School-Based Management </w:t>
      </w:r>
    </w:p>
    <w:p w14:paraId="635B7857" w14:textId="77777777" w:rsidR="00516544" w:rsidRDefault="00000000">
      <w:pPr>
        <w:ind w:left="-5" w:right="0"/>
      </w:pPr>
      <w:r>
        <w:t>This shows the level of challenges in the successful implementation of School-Based Management obtained from the online survey conducted with the sixty- eight (68) respondents comprised by the public secondary school principals and designated school heads in the 2</w:t>
      </w:r>
      <w:r>
        <w:rPr>
          <w:vertAlign w:val="superscript"/>
        </w:rPr>
        <w:t>nd</w:t>
      </w:r>
      <w:r>
        <w:t xml:space="preserve"> congressional district in the division of Bohol. Table 3 reveals that among the 15 items, the item that states “Insufficient training for those in charge of SBM documentation,” got the highest weighted mean of 3.07 (SD= 1.19) interpreted as sometimes. Also, the participating schools considered that limited resources to install SBM structures as their second concern (Mean of 2.96, SD= 1.04). </w:t>
      </w:r>
    </w:p>
    <w:p w14:paraId="47249DC3" w14:textId="77777777" w:rsidR="00516544" w:rsidRDefault="00000000">
      <w:pPr>
        <w:spacing w:after="0" w:line="259" w:lineRule="auto"/>
        <w:ind w:left="0" w:right="0" w:firstLine="0"/>
        <w:jc w:val="left"/>
      </w:pPr>
      <w:r>
        <w:t xml:space="preserve"> </w:t>
      </w:r>
    </w:p>
    <w:p w14:paraId="62C51ADA" w14:textId="77777777" w:rsidR="00516544" w:rsidRDefault="00000000">
      <w:pPr>
        <w:ind w:left="-5" w:right="0"/>
      </w:pPr>
      <w:r>
        <w:t xml:space="preserve">The items “Insufficient provision of SBM related trainings to teachers and other stakeholders” and “Change in the SGC structure affecting continuity of SBM programs and projects” got the same weighted mean of 2.93 with (SD= 1.14) and SD= 1.19 respectively rank as the third concern in the continuous implementation of SBM. It implies that there is a need to create a continuous program of trainings for all SBM personnel even if there will be changes within each School Governing Council (SGC) of the participating schools.  </w:t>
      </w:r>
    </w:p>
    <w:p w14:paraId="3EA4154E" w14:textId="77777777" w:rsidR="00516544" w:rsidRDefault="00000000">
      <w:pPr>
        <w:spacing w:after="0" w:line="259" w:lineRule="auto"/>
        <w:ind w:left="0" w:right="0" w:firstLine="0"/>
        <w:jc w:val="left"/>
      </w:pPr>
      <w:r>
        <w:t xml:space="preserve"> </w:t>
      </w:r>
    </w:p>
    <w:p w14:paraId="37D231B2" w14:textId="77777777" w:rsidR="00516544" w:rsidRDefault="00000000">
      <w:pPr>
        <w:ind w:left="-5" w:right="0"/>
      </w:pPr>
      <w:r>
        <w:t xml:space="preserve">Another challenge that concerns the successful implementation of SBM is the poor community linkage for resource generation (Mean= 2.77, SD= 1.23). It implies that it is not a one-man job in conducting SBM. According to Cabardo J. (2016), school officials may strongly develop linkages with the parents in order to include them in planning, implementing and evaluating school activities directly associated to pupil’s learning activities. Collaborative efforts are proven to be a mover in the community. </w:t>
      </w:r>
    </w:p>
    <w:p w14:paraId="15C943C5" w14:textId="77777777" w:rsidR="00516544" w:rsidRDefault="00000000">
      <w:pPr>
        <w:spacing w:after="0" w:line="259" w:lineRule="auto"/>
        <w:ind w:left="0" w:right="0" w:firstLine="0"/>
        <w:jc w:val="left"/>
      </w:pPr>
      <w:r>
        <w:t xml:space="preserve"> </w:t>
      </w:r>
    </w:p>
    <w:p w14:paraId="6539A8B1" w14:textId="77777777" w:rsidR="00516544" w:rsidRDefault="00000000">
      <w:pPr>
        <w:ind w:left="-5" w:right="0"/>
      </w:pPr>
      <w:r>
        <w:t xml:space="preserve">Without proper understanding of the purpose of a certain program, lack of interest is evident. Table 3 further reveals that the “Lack of comprehensive understanding of the rationale of School Based Management among stakeholders” goes with the “Difficulty in convening all the members of the School Governing Council to discuss SBM issues and concerns” resulted to Poor documentation </w:t>
      </w:r>
      <w:r>
        <w:lastRenderedPageBreak/>
        <w:t xml:space="preserve">of SBM related activities (Mean=2.72, SD= 1.06), (Mean=2.71, SD= 1.19) and (Mean= 2.70, SD= 1.23) respectively interpreted as sometimes. It implies that the problems perceived occasionally affect the level of practice and the full implementation of SBM.  </w:t>
      </w:r>
    </w:p>
    <w:p w14:paraId="70097D1E" w14:textId="77777777" w:rsidR="00516544" w:rsidRDefault="00000000">
      <w:pPr>
        <w:spacing w:after="0" w:line="259" w:lineRule="auto"/>
        <w:ind w:left="0" w:right="0" w:firstLine="0"/>
        <w:jc w:val="left"/>
      </w:pPr>
      <w:r>
        <w:t xml:space="preserve"> </w:t>
      </w:r>
    </w:p>
    <w:p w14:paraId="3711DA8A" w14:textId="77777777" w:rsidR="00516544" w:rsidRDefault="00000000">
      <w:pPr>
        <w:pStyle w:val="Heading1"/>
        <w:ind w:left="-5" w:right="0"/>
      </w:pPr>
      <w:r>
        <w:t xml:space="preserve">Table 5 </w:t>
      </w:r>
    </w:p>
    <w:p w14:paraId="42F9B6AD" w14:textId="77777777" w:rsidR="00516544" w:rsidRDefault="00000000">
      <w:pPr>
        <w:spacing w:after="0" w:line="259" w:lineRule="auto"/>
        <w:ind w:left="0" w:right="0" w:firstLine="0"/>
        <w:jc w:val="left"/>
      </w:pPr>
      <w:r>
        <w:rPr>
          <w:b/>
          <w:i/>
        </w:rPr>
        <w:t xml:space="preserve">Level of Challenges in the Implementation of SBM </w:t>
      </w:r>
    </w:p>
    <w:p w14:paraId="00E1DCD3" w14:textId="77777777" w:rsidR="00516544" w:rsidRDefault="00000000">
      <w:pPr>
        <w:spacing w:after="0" w:line="259" w:lineRule="auto"/>
        <w:ind w:left="53" w:right="0" w:firstLine="0"/>
        <w:jc w:val="center"/>
      </w:pPr>
      <w:r>
        <w:t xml:space="preserve"> </w:t>
      </w:r>
    </w:p>
    <w:tbl>
      <w:tblPr>
        <w:tblStyle w:val="TableGrid"/>
        <w:tblW w:w="9336" w:type="dxa"/>
        <w:tblInd w:w="-14" w:type="dxa"/>
        <w:tblCellMar>
          <w:top w:w="42" w:type="dxa"/>
          <w:left w:w="0" w:type="dxa"/>
          <w:bottom w:w="42" w:type="dxa"/>
          <w:right w:w="117" w:type="dxa"/>
        </w:tblCellMar>
        <w:tblLook w:val="04A0" w:firstRow="1" w:lastRow="0" w:firstColumn="1" w:lastColumn="0" w:noHBand="0" w:noVBand="1"/>
      </w:tblPr>
      <w:tblGrid>
        <w:gridCol w:w="6152"/>
        <w:gridCol w:w="984"/>
        <w:gridCol w:w="848"/>
        <w:gridCol w:w="1352"/>
      </w:tblGrid>
      <w:tr w:rsidR="00516544" w14:paraId="56782DED" w14:textId="77777777">
        <w:trPr>
          <w:trHeight w:val="322"/>
        </w:trPr>
        <w:tc>
          <w:tcPr>
            <w:tcW w:w="6151" w:type="dxa"/>
            <w:tcBorders>
              <w:top w:val="single" w:sz="12" w:space="0" w:color="000000"/>
              <w:left w:val="nil"/>
              <w:bottom w:val="single" w:sz="12" w:space="0" w:color="000000"/>
              <w:right w:val="nil"/>
            </w:tcBorders>
          </w:tcPr>
          <w:p w14:paraId="73E13330" w14:textId="77777777" w:rsidR="00516544" w:rsidRDefault="00000000">
            <w:pPr>
              <w:spacing w:after="0" w:line="259" w:lineRule="auto"/>
              <w:ind w:left="0" w:right="48" w:firstLine="0"/>
              <w:jc w:val="center"/>
            </w:pPr>
            <w:r>
              <w:rPr>
                <w:b/>
              </w:rPr>
              <w:t xml:space="preserve">Statements </w:t>
            </w:r>
          </w:p>
        </w:tc>
        <w:tc>
          <w:tcPr>
            <w:tcW w:w="984" w:type="dxa"/>
            <w:tcBorders>
              <w:top w:val="single" w:sz="12" w:space="0" w:color="000000"/>
              <w:left w:val="nil"/>
              <w:bottom w:val="single" w:sz="12" w:space="0" w:color="000000"/>
              <w:right w:val="nil"/>
            </w:tcBorders>
          </w:tcPr>
          <w:p w14:paraId="21759C8C" w14:textId="77777777" w:rsidR="00516544" w:rsidRDefault="00000000">
            <w:pPr>
              <w:spacing w:after="0" w:line="259" w:lineRule="auto"/>
              <w:ind w:left="0" w:right="0" w:firstLine="0"/>
              <w:jc w:val="left"/>
            </w:pPr>
            <w:r>
              <w:rPr>
                <w:b/>
              </w:rPr>
              <w:t xml:space="preserve">Mean </w:t>
            </w:r>
          </w:p>
        </w:tc>
        <w:tc>
          <w:tcPr>
            <w:tcW w:w="848" w:type="dxa"/>
            <w:tcBorders>
              <w:top w:val="single" w:sz="12" w:space="0" w:color="000000"/>
              <w:left w:val="nil"/>
              <w:bottom w:val="single" w:sz="12" w:space="0" w:color="000000"/>
              <w:right w:val="nil"/>
            </w:tcBorders>
          </w:tcPr>
          <w:p w14:paraId="38035949" w14:textId="77777777" w:rsidR="00516544" w:rsidRDefault="00000000">
            <w:pPr>
              <w:spacing w:after="0" w:line="259" w:lineRule="auto"/>
              <w:ind w:left="62" w:right="0" w:firstLine="0"/>
              <w:jc w:val="left"/>
            </w:pPr>
            <w:r>
              <w:rPr>
                <w:b/>
              </w:rPr>
              <w:t xml:space="preserve">SD </w:t>
            </w:r>
          </w:p>
        </w:tc>
        <w:tc>
          <w:tcPr>
            <w:tcW w:w="1352" w:type="dxa"/>
            <w:tcBorders>
              <w:top w:val="single" w:sz="12" w:space="0" w:color="000000"/>
              <w:left w:val="nil"/>
              <w:bottom w:val="single" w:sz="12" w:space="0" w:color="000000"/>
              <w:right w:val="nil"/>
            </w:tcBorders>
          </w:tcPr>
          <w:p w14:paraId="738528B9" w14:textId="77777777" w:rsidR="00516544" w:rsidRDefault="00000000">
            <w:pPr>
              <w:spacing w:after="0" w:line="259" w:lineRule="auto"/>
              <w:ind w:left="38" w:right="0" w:firstLine="0"/>
              <w:jc w:val="left"/>
            </w:pPr>
            <w:r>
              <w:rPr>
                <w:b/>
              </w:rPr>
              <w:t xml:space="preserve">Descriptor </w:t>
            </w:r>
          </w:p>
        </w:tc>
      </w:tr>
      <w:tr w:rsidR="00516544" w14:paraId="4813C8F2" w14:textId="77777777">
        <w:trPr>
          <w:trHeight w:val="689"/>
        </w:trPr>
        <w:tc>
          <w:tcPr>
            <w:tcW w:w="6151" w:type="dxa"/>
            <w:tcBorders>
              <w:top w:val="single" w:sz="12" w:space="0" w:color="000000"/>
              <w:left w:val="nil"/>
              <w:bottom w:val="nil"/>
              <w:right w:val="nil"/>
            </w:tcBorders>
          </w:tcPr>
          <w:p w14:paraId="5B86CC84" w14:textId="77777777" w:rsidR="00516544" w:rsidRDefault="00000000">
            <w:pPr>
              <w:spacing w:after="0" w:line="259" w:lineRule="auto"/>
              <w:ind w:left="482" w:right="0" w:hanging="360"/>
            </w:pPr>
            <w:r>
              <w:t xml:space="preserve">1. Lack of comprehensive understanding of the rationale of School Based Management among stakeholders </w:t>
            </w:r>
          </w:p>
        </w:tc>
        <w:tc>
          <w:tcPr>
            <w:tcW w:w="984" w:type="dxa"/>
            <w:tcBorders>
              <w:top w:val="single" w:sz="12" w:space="0" w:color="000000"/>
              <w:left w:val="nil"/>
              <w:bottom w:val="nil"/>
              <w:right w:val="nil"/>
            </w:tcBorders>
          </w:tcPr>
          <w:p w14:paraId="5D60C19D" w14:textId="77777777" w:rsidR="00516544" w:rsidRDefault="00000000">
            <w:pPr>
              <w:spacing w:after="17" w:line="259" w:lineRule="auto"/>
              <w:ind w:left="282" w:right="0" w:firstLine="0"/>
              <w:jc w:val="left"/>
            </w:pPr>
            <w:r>
              <w:t xml:space="preserve"> </w:t>
            </w:r>
          </w:p>
          <w:p w14:paraId="63F07FD2" w14:textId="77777777" w:rsidR="00516544" w:rsidRDefault="00000000">
            <w:pPr>
              <w:spacing w:after="0" w:line="259" w:lineRule="auto"/>
              <w:ind w:left="68" w:right="0" w:firstLine="0"/>
              <w:jc w:val="left"/>
            </w:pPr>
            <w:r>
              <w:t xml:space="preserve">2.72 </w:t>
            </w:r>
          </w:p>
        </w:tc>
        <w:tc>
          <w:tcPr>
            <w:tcW w:w="848" w:type="dxa"/>
            <w:tcBorders>
              <w:top w:val="single" w:sz="12" w:space="0" w:color="000000"/>
              <w:left w:val="nil"/>
              <w:bottom w:val="nil"/>
              <w:right w:val="nil"/>
            </w:tcBorders>
          </w:tcPr>
          <w:p w14:paraId="1C6488B0" w14:textId="77777777" w:rsidR="00516544" w:rsidRDefault="00000000">
            <w:pPr>
              <w:spacing w:after="17" w:line="259" w:lineRule="auto"/>
              <w:ind w:left="214" w:right="0" w:firstLine="0"/>
              <w:jc w:val="left"/>
            </w:pPr>
            <w:r>
              <w:t xml:space="preserve"> </w:t>
            </w:r>
          </w:p>
          <w:p w14:paraId="57DC82E8" w14:textId="77777777" w:rsidR="00516544" w:rsidRDefault="00000000">
            <w:pPr>
              <w:spacing w:after="0" w:line="259" w:lineRule="auto"/>
              <w:ind w:left="0" w:right="0" w:firstLine="0"/>
              <w:jc w:val="left"/>
            </w:pPr>
            <w:r>
              <w:t xml:space="preserve">1.06 </w:t>
            </w:r>
          </w:p>
        </w:tc>
        <w:tc>
          <w:tcPr>
            <w:tcW w:w="1352" w:type="dxa"/>
            <w:tcBorders>
              <w:top w:val="single" w:sz="12" w:space="0" w:color="000000"/>
              <w:left w:val="nil"/>
              <w:bottom w:val="nil"/>
              <w:right w:val="nil"/>
            </w:tcBorders>
          </w:tcPr>
          <w:p w14:paraId="4196D63F" w14:textId="77777777" w:rsidR="00516544" w:rsidRDefault="00000000">
            <w:pPr>
              <w:spacing w:after="17" w:line="259" w:lineRule="auto"/>
              <w:ind w:left="2" w:right="0" w:firstLine="0"/>
              <w:jc w:val="center"/>
            </w:pPr>
            <w:r>
              <w:t xml:space="preserve"> </w:t>
            </w:r>
          </w:p>
          <w:p w14:paraId="52A6122A" w14:textId="77777777" w:rsidR="00516544" w:rsidRDefault="00000000">
            <w:pPr>
              <w:spacing w:after="0" w:line="259" w:lineRule="auto"/>
              <w:ind w:left="38" w:right="0" w:firstLine="0"/>
              <w:jc w:val="left"/>
            </w:pPr>
            <w:r>
              <w:t xml:space="preserve">Sometimes </w:t>
            </w:r>
          </w:p>
        </w:tc>
      </w:tr>
      <w:tr w:rsidR="00516544" w14:paraId="79F995DE" w14:textId="77777777">
        <w:trPr>
          <w:trHeight w:val="760"/>
        </w:trPr>
        <w:tc>
          <w:tcPr>
            <w:tcW w:w="6151" w:type="dxa"/>
            <w:tcBorders>
              <w:top w:val="nil"/>
              <w:left w:val="nil"/>
              <w:bottom w:val="nil"/>
              <w:right w:val="nil"/>
            </w:tcBorders>
            <w:vAlign w:val="center"/>
          </w:tcPr>
          <w:p w14:paraId="3A10D723" w14:textId="77777777" w:rsidR="00516544" w:rsidRDefault="00000000">
            <w:pPr>
              <w:spacing w:after="0" w:line="259" w:lineRule="auto"/>
              <w:ind w:left="482" w:right="0" w:hanging="360"/>
            </w:pPr>
            <w:r>
              <w:t xml:space="preserve">2. Difficulty in convening all the members of the School Governing Council to discuss SBM issues and concerns </w:t>
            </w:r>
          </w:p>
        </w:tc>
        <w:tc>
          <w:tcPr>
            <w:tcW w:w="984" w:type="dxa"/>
            <w:tcBorders>
              <w:top w:val="nil"/>
              <w:left w:val="nil"/>
              <w:bottom w:val="nil"/>
              <w:right w:val="nil"/>
            </w:tcBorders>
          </w:tcPr>
          <w:p w14:paraId="331A30C8" w14:textId="77777777" w:rsidR="00516544" w:rsidRDefault="00000000">
            <w:pPr>
              <w:spacing w:after="0" w:line="259" w:lineRule="auto"/>
              <w:ind w:left="68" w:right="0" w:firstLine="0"/>
              <w:jc w:val="left"/>
            </w:pPr>
            <w:r>
              <w:t xml:space="preserve">2.71 </w:t>
            </w:r>
          </w:p>
        </w:tc>
        <w:tc>
          <w:tcPr>
            <w:tcW w:w="848" w:type="dxa"/>
            <w:tcBorders>
              <w:top w:val="nil"/>
              <w:left w:val="nil"/>
              <w:bottom w:val="nil"/>
              <w:right w:val="nil"/>
            </w:tcBorders>
          </w:tcPr>
          <w:p w14:paraId="0ECE450C" w14:textId="77777777" w:rsidR="00516544" w:rsidRDefault="00000000">
            <w:pPr>
              <w:spacing w:after="0" w:line="259" w:lineRule="auto"/>
              <w:ind w:left="0" w:right="0" w:firstLine="0"/>
              <w:jc w:val="left"/>
            </w:pPr>
            <w:r>
              <w:t xml:space="preserve">1.19 </w:t>
            </w:r>
          </w:p>
        </w:tc>
        <w:tc>
          <w:tcPr>
            <w:tcW w:w="1352" w:type="dxa"/>
            <w:tcBorders>
              <w:top w:val="nil"/>
              <w:left w:val="nil"/>
              <w:bottom w:val="nil"/>
              <w:right w:val="nil"/>
            </w:tcBorders>
          </w:tcPr>
          <w:p w14:paraId="1A3B8F6A" w14:textId="77777777" w:rsidR="00516544" w:rsidRDefault="00000000">
            <w:pPr>
              <w:spacing w:after="0" w:line="259" w:lineRule="auto"/>
              <w:ind w:left="38" w:right="0" w:firstLine="0"/>
              <w:jc w:val="left"/>
            </w:pPr>
            <w:r>
              <w:t xml:space="preserve">Sometimes </w:t>
            </w:r>
          </w:p>
        </w:tc>
      </w:tr>
      <w:tr w:rsidR="00516544" w14:paraId="3AD4D482" w14:textId="77777777">
        <w:trPr>
          <w:trHeight w:val="481"/>
        </w:trPr>
        <w:tc>
          <w:tcPr>
            <w:tcW w:w="6151" w:type="dxa"/>
            <w:tcBorders>
              <w:top w:val="nil"/>
              <w:left w:val="nil"/>
              <w:bottom w:val="nil"/>
              <w:right w:val="nil"/>
            </w:tcBorders>
            <w:vAlign w:val="center"/>
          </w:tcPr>
          <w:p w14:paraId="76F766F9" w14:textId="77777777" w:rsidR="00516544" w:rsidRDefault="00000000">
            <w:pPr>
              <w:spacing w:after="0" w:line="259" w:lineRule="auto"/>
              <w:ind w:left="122" w:right="0" w:firstLine="0"/>
              <w:jc w:val="left"/>
            </w:pPr>
            <w:r>
              <w:t xml:space="preserve">3. Unstable or no SBM monitoring and evaluation scheme </w:t>
            </w:r>
          </w:p>
        </w:tc>
        <w:tc>
          <w:tcPr>
            <w:tcW w:w="984" w:type="dxa"/>
            <w:tcBorders>
              <w:top w:val="nil"/>
              <w:left w:val="nil"/>
              <w:bottom w:val="nil"/>
              <w:right w:val="nil"/>
            </w:tcBorders>
            <w:vAlign w:val="center"/>
          </w:tcPr>
          <w:p w14:paraId="0C364C15" w14:textId="77777777" w:rsidR="00516544" w:rsidRDefault="00000000">
            <w:pPr>
              <w:spacing w:after="0" w:line="259" w:lineRule="auto"/>
              <w:ind w:left="68" w:right="0" w:firstLine="0"/>
              <w:jc w:val="left"/>
            </w:pPr>
            <w:r>
              <w:t xml:space="preserve">2.54 </w:t>
            </w:r>
          </w:p>
        </w:tc>
        <w:tc>
          <w:tcPr>
            <w:tcW w:w="848" w:type="dxa"/>
            <w:tcBorders>
              <w:top w:val="nil"/>
              <w:left w:val="nil"/>
              <w:bottom w:val="nil"/>
              <w:right w:val="nil"/>
            </w:tcBorders>
            <w:vAlign w:val="center"/>
          </w:tcPr>
          <w:p w14:paraId="1A116B37" w14:textId="77777777" w:rsidR="00516544" w:rsidRDefault="00000000">
            <w:pPr>
              <w:spacing w:after="0" w:line="259" w:lineRule="auto"/>
              <w:ind w:left="0" w:right="0" w:firstLine="0"/>
              <w:jc w:val="left"/>
            </w:pPr>
            <w:r>
              <w:t xml:space="preserve">1.23 </w:t>
            </w:r>
          </w:p>
        </w:tc>
        <w:tc>
          <w:tcPr>
            <w:tcW w:w="1352" w:type="dxa"/>
            <w:tcBorders>
              <w:top w:val="nil"/>
              <w:left w:val="nil"/>
              <w:bottom w:val="nil"/>
              <w:right w:val="nil"/>
            </w:tcBorders>
            <w:vAlign w:val="center"/>
          </w:tcPr>
          <w:p w14:paraId="294AEF8E" w14:textId="77777777" w:rsidR="00516544" w:rsidRDefault="00000000">
            <w:pPr>
              <w:spacing w:after="0" w:line="259" w:lineRule="auto"/>
              <w:ind w:left="214" w:right="0" w:firstLine="0"/>
              <w:jc w:val="left"/>
            </w:pPr>
            <w:r>
              <w:t xml:space="preserve">Seldom </w:t>
            </w:r>
          </w:p>
        </w:tc>
      </w:tr>
      <w:tr w:rsidR="00516544" w14:paraId="795394F5" w14:textId="77777777">
        <w:trPr>
          <w:trHeight w:val="683"/>
        </w:trPr>
        <w:tc>
          <w:tcPr>
            <w:tcW w:w="6151" w:type="dxa"/>
            <w:tcBorders>
              <w:top w:val="nil"/>
              <w:left w:val="nil"/>
              <w:bottom w:val="nil"/>
              <w:right w:val="nil"/>
            </w:tcBorders>
            <w:vAlign w:val="bottom"/>
          </w:tcPr>
          <w:p w14:paraId="11E9425E" w14:textId="77777777" w:rsidR="00516544" w:rsidRDefault="00000000">
            <w:pPr>
              <w:spacing w:after="19" w:line="259" w:lineRule="auto"/>
              <w:ind w:left="122" w:right="0" w:firstLine="0"/>
              <w:jc w:val="left"/>
            </w:pPr>
            <w:r>
              <w:t xml:space="preserve">4. Poor information dissemination of the school’s status of </w:t>
            </w:r>
          </w:p>
          <w:p w14:paraId="3CA3BA09" w14:textId="77777777" w:rsidR="00516544" w:rsidRDefault="00000000">
            <w:pPr>
              <w:spacing w:after="0" w:line="259" w:lineRule="auto"/>
              <w:ind w:left="482" w:right="0" w:firstLine="0"/>
              <w:jc w:val="left"/>
            </w:pPr>
            <w:r>
              <w:t xml:space="preserve">SBM implementation </w:t>
            </w:r>
          </w:p>
        </w:tc>
        <w:tc>
          <w:tcPr>
            <w:tcW w:w="984" w:type="dxa"/>
            <w:tcBorders>
              <w:top w:val="nil"/>
              <w:left w:val="nil"/>
              <w:bottom w:val="nil"/>
              <w:right w:val="nil"/>
            </w:tcBorders>
          </w:tcPr>
          <w:p w14:paraId="7024B359" w14:textId="77777777" w:rsidR="00516544" w:rsidRDefault="00000000">
            <w:pPr>
              <w:spacing w:after="0" w:line="259" w:lineRule="auto"/>
              <w:ind w:left="68" w:right="0" w:firstLine="0"/>
              <w:jc w:val="left"/>
            </w:pPr>
            <w:r>
              <w:t xml:space="preserve">2.52 </w:t>
            </w:r>
          </w:p>
        </w:tc>
        <w:tc>
          <w:tcPr>
            <w:tcW w:w="848" w:type="dxa"/>
            <w:tcBorders>
              <w:top w:val="nil"/>
              <w:left w:val="nil"/>
              <w:bottom w:val="nil"/>
              <w:right w:val="nil"/>
            </w:tcBorders>
          </w:tcPr>
          <w:p w14:paraId="4B01537E" w14:textId="77777777" w:rsidR="00516544" w:rsidRDefault="00000000">
            <w:pPr>
              <w:spacing w:after="0" w:line="259" w:lineRule="auto"/>
              <w:ind w:left="0" w:right="0" w:firstLine="0"/>
              <w:jc w:val="left"/>
            </w:pPr>
            <w:r>
              <w:t xml:space="preserve">1.12 </w:t>
            </w:r>
          </w:p>
        </w:tc>
        <w:tc>
          <w:tcPr>
            <w:tcW w:w="1352" w:type="dxa"/>
            <w:tcBorders>
              <w:top w:val="nil"/>
              <w:left w:val="nil"/>
              <w:bottom w:val="nil"/>
              <w:right w:val="nil"/>
            </w:tcBorders>
          </w:tcPr>
          <w:p w14:paraId="0CECF3D9" w14:textId="77777777" w:rsidR="00516544" w:rsidRDefault="00000000">
            <w:pPr>
              <w:spacing w:after="0" w:line="259" w:lineRule="auto"/>
              <w:ind w:left="214" w:right="0" w:firstLine="0"/>
              <w:jc w:val="left"/>
            </w:pPr>
            <w:r>
              <w:t xml:space="preserve">Seldom </w:t>
            </w:r>
          </w:p>
        </w:tc>
      </w:tr>
      <w:tr w:rsidR="00516544" w14:paraId="5696AD4E" w14:textId="77777777">
        <w:trPr>
          <w:trHeight w:val="873"/>
        </w:trPr>
        <w:tc>
          <w:tcPr>
            <w:tcW w:w="6151" w:type="dxa"/>
            <w:tcBorders>
              <w:top w:val="nil"/>
              <w:left w:val="nil"/>
              <w:bottom w:val="nil"/>
              <w:right w:val="nil"/>
            </w:tcBorders>
          </w:tcPr>
          <w:p w14:paraId="16868600" w14:textId="77777777" w:rsidR="00516544" w:rsidRDefault="00000000">
            <w:pPr>
              <w:spacing w:after="0" w:line="259" w:lineRule="auto"/>
              <w:ind w:left="482" w:right="170" w:hanging="360"/>
            </w:pPr>
            <w:r>
              <w:t xml:space="preserve">5. School heads’ poor leadership skills in the mobilization of external stakeholders to support SBM and the implementation of the SIP. </w:t>
            </w:r>
          </w:p>
        </w:tc>
        <w:tc>
          <w:tcPr>
            <w:tcW w:w="984" w:type="dxa"/>
            <w:tcBorders>
              <w:top w:val="nil"/>
              <w:left w:val="nil"/>
              <w:bottom w:val="nil"/>
              <w:right w:val="nil"/>
            </w:tcBorders>
          </w:tcPr>
          <w:p w14:paraId="41CF5F61" w14:textId="77777777" w:rsidR="00516544" w:rsidRDefault="00000000">
            <w:pPr>
              <w:spacing w:after="0" w:line="259" w:lineRule="auto"/>
              <w:ind w:left="68" w:right="0" w:firstLine="0"/>
              <w:jc w:val="left"/>
            </w:pPr>
            <w:r>
              <w:t xml:space="preserve">2.23 </w:t>
            </w:r>
          </w:p>
        </w:tc>
        <w:tc>
          <w:tcPr>
            <w:tcW w:w="848" w:type="dxa"/>
            <w:tcBorders>
              <w:top w:val="nil"/>
              <w:left w:val="nil"/>
              <w:bottom w:val="nil"/>
              <w:right w:val="nil"/>
            </w:tcBorders>
          </w:tcPr>
          <w:p w14:paraId="4B8ADA9D" w14:textId="77777777" w:rsidR="00516544" w:rsidRDefault="00000000">
            <w:pPr>
              <w:spacing w:after="0" w:line="259" w:lineRule="auto"/>
              <w:ind w:left="0" w:right="0" w:firstLine="0"/>
              <w:jc w:val="left"/>
            </w:pPr>
            <w:r>
              <w:t xml:space="preserve">1.19 </w:t>
            </w:r>
          </w:p>
        </w:tc>
        <w:tc>
          <w:tcPr>
            <w:tcW w:w="1352" w:type="dxa"/>
            <w:tcBorders>
              <w:top w:val="nil"/>
              <w:left w:val="nil"/>
              <w:bottom w:val="nil"/>
              <w:right w:val="nil"/>
            </w:tcBorders>
          </w:tcPr>
          <w:p w14:paraId="28F192BA" w14:textId="77777777" w:rsidR="00516544" w:rsidRDefault="00000000">
            <w:pPr>
              <w:spacing w:after="0" w:line="259" w:lineRule="auto"/>
              <w:ind w:left="214" w:right="0" w:firstLine="0"/>
              <w:jc w:val="left"/>
            </w:pPr>
            <w:r>
              <w:t xml:space="preserve">Seldom </w:t>
            </w:r>
          </w:p>
        </w:tc>
      </w:tr>
      <w:tr w:rsidR="00516544" w14:paraId="2783B3BF" w14:textId="77777777">
        <w:trPr>
          <w:trHeight w:val="873"/>
        </w:trPr>
        <w:tc>
          <w:tcPr>
            <w:tcW w:w="6151" w:type="dxa"/>
            <w:tcBorders>
              <w:top w:val="nil"/>
              <w:left w:val="nil"/>
              <w:bottom w:val="nil"/>
              <w:right w:val="nil"/>
            </w:tcBorders>
          </w:tcPr>
          <w:p w14:paraId="6D836AF7" w14:textId="77777777" w:rsidR="00516544" w:rsidRDefault="00000000">
            <w:pPr>
              <w:spacing w:after="0" w:line="259" w:lineRule="auto"/>
              <w:ind w:left="482" w:right="168" w:hanging="360"/>
            </w:pPr>
            <w:r>
              <w:t xml:space="preserve">6. No definite Performance-based Incentives and Rewards System for pupils/students and teachers installed in school and supported by the SGC </w:t>
            </w:r>
          </w:p>
        </w:tc>
        <w:tc>
          <w:tcPr>
            <w:tcW w:w="984" w:type="dxa"/>
            <w:tcBorders>
              <w:top w:val="nil"/>
              <w:left w:val="nil"/>
              <w:bottom w:val="nil"/>
              <w:right w:val="nil"/>
            </w:tcBorders>
          </w:tcPr>
          <w:p w14:paraId="65AB7991" w14:textId="77777777" w:rsidR="00516544" w:rsidRDefault="00000000">
            <w:pPr>
              <w:spacing w:after="0" w:line="259" w:lineRule="auto"/>
              <w:ind w:left="68" w:right="0" w:firstLine="0"/>
              <w:jc w:val="left"/>
            </w:pPr>
            <w:r>
              <w:t xml:space="preserve">2.41 </w:t>
            </w:r>
          </w:p>
        </w:tc>
        <w:tc>
          <w:tcPr>
            <w:tcW w:w="848" w:type="dxa"/>
            <w:tcBorders>
              <w:top w:val="nil"/>
              <w:left w:val="nil"/>
              <w:bottom w:val="nil"/>
              <w:right w:val="nil"/>
            </w:tcBorders>
          </w:tcPr>
          <w:p w14:paraId="7E63A8FB" w14:textId="77777777" w:rsidR="00516544" w:rsidRDefault="00000000">
            <w:pPr>
              <w:spacing w:after="0" w:line="259" w:lineRule="auto"/>
              <w:ind w:left="0" w:right="0" w:firstLine="0"/>
              <w:jc w:val="left"/>
            </w:pPr>
            <w:r>
              <w:t xml:space="preserve">1.28 </w:t>
            </w:r>
          </w:p>
        </w:tc>
        <w:tc>
          <w:tcPr>
            <w:tcW w:w="1352" w:type="dxa"/>
            <w:tcBorders>
              <w:top w:val="nil"/>
              <w:left w:val="nil"/>
              <w:bottom w:val="nil"/>
              <w:right w:val="nil"/>
            </w:tcBorders>
          </w:tcPr>
          <w:p w14:paraId="5056A84F" w14:textId="77777777" w:rsidR="00516544" w:rsidRDefault="00000000">
            <w:pPr>
              <w:spacing w:after="0" w:line="259" w:lineRule="auto"/>
              <w:ind w:left="214" w:right="0" w:firstLine="0"/>
              <w:jc w:val="left"/>
            </w:pPr>
            <w:r>
              <w:t xml:space="preserve">Seldom </w:t>
            </w:r>
          </w:p>
        </w:tc>
      </w:tr>
      <w:tr w:rsidR="00516544" w14:paraId="0F83C2EC" w14:textId="77777777">
        <w:trPr>
          <w:trHeight w:val="582"/>
        </w:trPr>
        <w:tc>
          <w:tcPr>
            <w:tcW w:w="6151" w:type="dxa"/>
            <w:tcBorders>
              <w:top w:val="nil"/>
              <w:left w:val="nil"/>
              <w:bottom w:val="nil"/>
              <w:right w:val="nil"/>
            </w:tcBorders>
          </w:tcPr>
          <w:p w14:paraId="02936016" w14:textId="77777777" w:rsidR="00516544" w:rsidRDefault="00000000">
            <w:pPr>
              <w:spacing w:after="0" w:line="259" w:lineRule="auto"/>
              <w:ind w:left="482" w:right="0" w:hanging="360"/>
            </w:pPr>
            <w:r>
              <w:t xml:space="preserve">7. Insufficient provision of SBM related trainings to teachers and other stakeholders </w:t>
            </w:r>
          </w:p>
        </w:tc>
        <w:tc>
          <w:tcPr>
            <w:tcW w:w="984" w:type="dxa"/>
            <w:tcBorders>
              <w:top w:val="nil"/>
              <w:left w:val="nil"/>
              <w:bottom w:val="nil"/>
              <w:right w:val="nil"/>
            </w:tcBorders>
          </w:tcPr>
          <w:p w14:paraId="6AD9DA38" w14:textId="77777777" w:rsidR="00516544" w:rsidRDefault="00000000">
            <w:pPr>
              <w:spacing w:after="0" w:line="259" w:lineRule="auto"/>
              <w:ind w:left="68" w:right="0" w:firstLine="0"/>
              <w:jc w:val="left"/>
            </w:pPr>
            <w:r>
              <w:t xml:space="preserve">2.93 </w:t>
            </w:r>
          </w:p>
        </w:tc>
        <w:tc>
          <w:tcPr>
            <w:tcW w:w="848" w:type="dxa"/>
            <w:tcBorders>
              <w:top w:val="nil"/>
              <w:left w:val="nil"/>
              <w:bottom w:val="nil"/>
              <w:right w:val="nil"/>
            </w:tcBorders>
          </w:tcPr>
          <w:p w14:paraId="42959952" w14:textId="77777777" w:rsidR="00516544" w:rsidRDefault="00000000">
            <w:pPr>
              <w:spacing w:after="0" w:line="259" w:lineRule="auto"/>
              <w:ind w:left="0" w:right="0" w:firstLine="0"/>
              <w:jc w:val="left"/>
            </w:pPr>
            <w:r>
              <w:t xml:space="preserve">1.14 </w:t>
            </w:r>
          </w:p>
        </w:tc>
        <w:tc>
          <w:tcPr>
            <w:tcW w:w="1352" w:type="dxa"/>
            <w:tcBorders>
              <w:top w:val="nil"/>
              <w:left w:val="nil"/>
              <w:bottom w:val="nil"/>
              <w:right w:val="nil"/>
            </w:tcBorders>
          </w:tcPr>
          <w:p w14:paraId="0027BCD4" w14:textId="77777777" w:rsidR="00516544" w:rsidRDefault="00000000">
            <w:pPr>
              <w:spacing w:after="0" w:line="259" w:lineRule="auto"/>
              <w:ind w:left="38" w:right="0" w:firstLine="0"/>
              <w:jc w:val="left"/>
            </w:pPr>
            <w:r>
              <w:t xml:space="preserve">Sometimes </w:t>
            </w:r>
          </w:p>
        </w:tc>
      </w:tr>
      <w:tr w:rsidR="00516544" w14:paraId="0DE095F9" w14:textId="77777777">
        <w:trPr>
          <w:trHeight w:val="291"/>
        </w:trPr>
        <w:tc>
          <w:tcPr>
            <w:tcW w:w="6151" w:type="dxa"/>
            <w:tcBorders>
              <w:top w:val="nil"/>
              <w:left w:val="nil"/>
              <w:bottom w:val="nil"/>
              <w:right w:val="nil"/>
            </w:tcBorders>
          </w:tcPr>
          <w:p w14:paraId="4CD98A2A" w14:textId="77777777" w:rsidR="00516544" w:rsidRDefault="00000000">
            <w:pPr>
              <w:spacing w:after="0" w:line="259" w:lineRule="auto"/>
              <w:ind w:left="122" w:right="0" w:firstLine="0"/>
              <w:jc w:val="left"/>
            </w:pPr>
            <w:r>
              <w:t xml:space="preserve">8. Poor documentation of SBM related activities </w:t>
            </w:r>
          </w:p>
        </w:tc>
        <w:tc>
          <w:tcPr>
            <w:tcW w:w="984" w:type="dxa"/>
            <w:tcBorders>
              <w:top w:val="nil"/>
              <w:left w:val="nil"/>
              <w:bottom w:val="nil"/>
              <w:right w:val="nil"/>
            </w:tcBorders>
          </w:tcPr>
          <w:p w14:paraId="50963877" w14:textId="77777777" w:rsidR="00516544" w:rsidRDefault="00000000">
            <w:pPr>
              <w:spacing w:after="0" w:line="259" w:lineRule="auto"/>
              <w:ind w:left="68" w:right="0" w:firstLine="0"/>
              <w:jc w:val="left"/>
            </w:pPr>
            <w:r>
              <w:t xml:space="preserve">2.70 </w:t>
            </w:r>
          </w:p>
        </w:tc>
        <w:tc>
          <w:tcPr>
            <w:tcW w:w="848" w:type="dxa"/>
            <w:tcBorders>
              <w:top w:val="nil"/>
              <w:left w:val="nil"/>
              <w:bottom w:val="nil"/>
              <w:right w:val="nil"/>
            </w:tcBorders>
          </w:tcPr>
          <w:p w14:paraId="2E011D06" w14:textId="77777777" w:rsidR="00516544" w:rsidRDefault="00000000">
            <w:pPr>
              <w:spacing w:after="0" w:line="259" w:lineRule="auto"/>
              <w:ind w:left="0" w:right="0" w:firstLine="0"/>
              <w:jc w:val="left"/>
            </w:pPr>
            <w:r>
              <w:t xml:space="preserve">1.23 </w:t>
            </w:r>
          </w:p>
        </w:tc>
        <w:tc>
          <w:tcPr>
            <w:tcW w:w="1352" w:type="dxa"/>
            <w:tcBorders>
              <w:top w:val="nil"/>
              <w:left w:val="nil"/>
              <w:bottom w:val="nil"/>
              <w:right w:val="nil"/>
            </w:tcBorders>
          </w:tcPr>
          <w:p w14:paraId="7BC34951" w14:textId="77777777" w:rsidR="00516544" w:rsidRDefault="00000000">
            <w:pPr>
              <w:spacing w:after="0" w:line="259" w:lineRule="auto"/>
              <w:ind w:left="38" w:right="0" w:firstLine="0"/>
              <w:jc w:val="left"/>
            </w:pPr>
            <w:r>
              <w:t xml:space="preserve">Sometimes </w:t>
            </w:r>
          </w:p>
        </w:tc>
      </w:tr>
      <w:tr w:rsidR="00516544" w14:paraId="2EF3BCDF" w14:textId="77777777">
        <w:trPr>
          <w:trHeight w:val="291"/>
        </w:trPr>
        <w:tc>
          <w:tcPr>
            <w:tcW w:w="6151" w:type="dxa"/>
            <w:tcBorders>
              <w:top w:val="nil"/>
              <w:left w:val="nil"/>
              <w:bottom w:val="nil"/>
              <w:right w:val="nil"/>
            </w:tcBorders>
          </w:tcPr>
          <w:p w14:paraId="7BE63A82" w14:textId="77777777" w:rsidR="00516544" w:rsidRDefault="00000000">
            <w:pPr>
              <w:spacing w:after="0" w:line="259" w:lineRule="auto"/>
              <w:ind w:left="122" w:right="0" w:firstLine="0"/>
              <w:jc w:val="left"/>
            </w:pPr>
            <w:r>
              <w:t xml:space="preserve">9. Limited resources to install SBM structures </w:t>
            </w:r>
          </w:p>
        </w:tc>
        <w:tc>
          <w:tcPr>
            <w:tcW w:w="984" w:type="dxa"/>
            <w:tcBorders>
              <w:top w:val="nil"/>
              <w:left w:val="nil"/>
              <w:bottom w:val="nil"/>
              <w:right w:val="nil"/>
            </w:tcBorders>
          </w:tcPr>
          <w:p w14:paraId="4A5F9140" w14:textId="77777777" w:rsidR="00516544" w:rsidRDefault="00000000">
            <w:pPr>
              <w:spacing w:after="0" w:line="259" w:lineRule="auto"/>
              <w:ind w:left="68" w:right="0" w:firstLine="0"/>
              <w:jc w:val="left"/>
            </w:pPr>
            <w:r>
              <w:t xml:space="preserve">2.96 </w:t>
            </w:r>
          </w:p>
        </w:tc>
        <w:tc>
          <w:tcPr>
            <w:tcW w:w="848" w:type="dxa"/>
            <w:tcBorders>
              <w:top w:val="nil"/>
              <w:left w:val="nil"/>
              <w:bottom w:val="nil"/>
              <w:right w:val="nil"/>
            </w:tcBorders>
          </w:tcPr>
          <w:p w14:paraId="4F542030" w14:textId="77777777" w:rsidR="00516544" w:rsidRDefault="00000000">
            <w:pPr>
              <w:spacing w:after="0" w:line="259" w:lineRule="auto"/>
              <w:ind w:left="0" w:right="0" w:firstLine="0"/>
              <w:jc w:val="left"/>
            </w:pPr>
            <w:r>
              <w:t xml:space="preserve">1.04 </w:t>
            </w:r>
          </w:p>
        </w:tc>
        <w:tc>
          <w:tcPr>
            <w:tcW w:w="1352" w:type="dxa"/>
            <w:tcBorders>
              <w:top w:val="nil"/>
              <w:left w:val="nil"/>
              <w:bottom w:val="nil"/>
              <w:right w:val="nil"/>
            </w:tcBorders>
          </w:tcPr>
          <w:p w14:paraId="6963A667" w14:textId="77777777" w:rsidR="00516544" w:rsidRDefault="00000000">
            <w:pPr>
              <w:spacing w:after="0" w:line="259" w:lineRule="auto"/>
              <w:ind w:left="38" w:right="0" w:firstLine="0"/>
              <w:jc w:val="left"/>
            </w:pPr>
            <w:r>
              <w:t xml:space="preserve">Sometimes </w:t>
            </w:r>
          </w:p>
        </w:tc>
      </w:tr>
      <w:tr w:rsidR="00516544" w14:paraId="415C67E2" w14:textId="77777777">
        <w:trPr>
          <w:trHeight w:val="581"/>
        </w:trPr>
        <w:tc>
          <w:tcPr>
            <w:tcW w:w="6151" w:type="dxa"/>
            <w:tcBorders>
              <w:top w:val="nil"/>
              <w:left w:val="nil"/>
              <w:bottom w:val="nil"/>
              <w:right w:val="nil"/>
            </w:tcBorders>
          </w:tcPr>
          <w:p w14:paraId="57A18FBA" w14:textId="77777777" w:rsidR="00516544" w:rsidRDefault="00000000">
            <w:pPr>
              <w:spacing w:after="0" w:line="259" w:lineRule="auto"/>
              <w:ind w:left="482" w:right="0" w:hanging="360"/>
              <w:jc w:val="left"/>
            </w:pPr>
            <w:r>
              <w:t xml:space="preserve">10. Insufficient training for those in charge of SBM documentation </w:t>
            </w:r>
          </w:p>
        </w:tc>
        <w:tc>
          <w:tcPr>
            <w:tcW w:w="984" w:type="dxa"/>
            <w:tcBorders>
              <w:top w:val="nil"/>
              <w:left w:val="nil"/>
              <w:bottom w:val="nil"/>
              <w:right w:val="nil"/>
            </w:tcBorders>
          </w:tcPr>
          <w:p w14:paraId="6C13AECE" w14:textId="77777777" w:rsidR="00516544" w:rsidRDefault="00000000">
            <w:pPr>
              <w:spacing w:after="0" w:line="259" w:lineRule="auto"/>
              <w:ind w:left="68" w:right="0" w:firstLine="0"/>
              <w:jc w:val="left"/>
            </w:pPr>
            <w:r>
              <w:t xml:space="preserve">3.07 </w:t>
            </w:r>
          </w:p>
        </w:tc>
        <w:tc>
          <w:tcPr>
            <w:tcW w:w="848" w:type="dxa"/>
            <w:tcBorders>
              <w:top w:val="nil"/>
              <w:left w:val="nil"/>
              <w:bottom w:val="nil"/>
              <w:right w:val="nil"/>
            </w:tcBorders>
          </w:tcPr>
          <w:p w14:paraId="4A2605AD" w14:textId="77777777" w:rsidR="00516544" w:rsidRDefault="00000000">
            <w:pPr>
              <w:spacing w:after="0" w:line="259" w:lineRule="auto"/>
              <w:ind w:left="0" w:right="0" w:firstLine="0"/>
              <w:jc w:val="left"/>
            </w:pPr>
            <w:r>
              <w:t xml:space="preserve">1.19 </w:t>
            </w:r>
          </w:p>
        </w:tc>
        <w:tc>
          <w:tcPr>
            <w:tcW w:w="1352" w:type="dxa"/>
            <w:tcBorders>
              <w:top w:val="nil"/>
              <w:left w:val="nil"/>
              <w:bottom w:val="nil"/>
              <w:right w:val="nil"/>
            </w:tcBorders>
          </w:tcPr>
          <w:p w14:paraId="2FB4ACF8" w14:textId="77777777" w:rsidR="00516544" w:rsidRDefault="00000000">
            <w:pPr>
              <w:spacing w:after="0" w:line="259" w:lineRule="auto"/>
              <w:ind w:left="38" w:right="0" w:firstLine="0"/>
              <w:jc w:val="left"/>
            </w:pPr>
            <w:r>
              <w:t xml:space="preserve">Sometimes </w:t>
            </w:r>
          </w:p>
        </w:tc>
      </w:tr>
      <w:tr w:rsidR="00516544" w14:paraId="292A044D" w14:textId="77777777">
        <w:trPr>
          <w:trHeight w:val="582"/>
        </w:trPr>
        <w:tc>
          <w:tcPr>
            <w:tcW w:w="6151" w:type="dxa"/>
            <w:tcBorders>
              <w:top w:val="nil"/>
              <w:left w:val="nil"/>
              <w:bottom w:val="nil"/>
              <w:right w:val="nil"/>
            </w:tcBorders>
          </w:tcPr>
          <w:p w14:paraId="110A0F03" w14:textId="77777777" w:rsidR="00516544" w:rsidRDefault="00000000">
            <w:pPr>
              <w:spacing w:after="0" w:line="259" w:lineRule="auto"/>
              <w:ind w:left="482" w:right="0" w:hanging="360"/>
            </w:pPr>
            <w:r>
              <w:t xml:space="preserve">11. Change in the SGC structure affecting continuity of SBM programs and projects </w:t>
            </w:r>
          </w:p>
        </w:tc>
        <w:tc>
          <w:tcPr>
            <w:tcW w:w="984" w:type="dxa"/>
            <w:tcBorders>
              <w:top w:val="nil"/>
              <w:left w:val="nil"/>
              <w:bottom w:val="nil"/>
              <w:right w:val="nil"/>
            </w:tcBorders>
          </w:tcPr>
          <w:p w14:paraId="49EEAB9F" w14:textId="77777777" w:rsidR="00516544" w:rsidRDefault="00000000">
            <w:pPr>
              <w:spacing w:after="0" w:line="259" w:lineRule="auto"/>
              <w:ind w:left="68" w:right="0" w:firstLine="0"/>
              <w:jc w:val="left"/>
            </w:pPr>
            <w:r>
              <w:t xml:space="preserve">2.93 </w:t>
            </w:r>
          </w:p>
        </w:tc>
        <w:tc>
          <w:tcPr>
            <w:tcW w:w="848" w:type="dxa"/>
            <w:tcBorders>
              <w:top w:val="nil"/>
              <w:left w:val="nil"/>
              <w:bottom w:val="nil"/>
              <w:right w:val="nil"/>
            </w:tcBorders>
          </w:tcPr>
          <w:p w14:paraId="643AE22E" w14:textId="77777777" w:rsidR="00516544" w:rsidRDefault="00000000">
            <w:pPr>
              <w:spacing w:after="0" w:line="259" w:lineRule="auto"/>
              <w:ind w:left="0" w:right="0" w:firstLine="0"/>
              <w:jc w:val="left"/>
            </w:pPr>
            <w:r>
              <w:t xml:space="preserve">1.19 </w:t>
            </w:r>
          </w:p>
        </w:tc>
        <w:tc>
          <w:tcPr>
            <w:tcW w:w="1352" w:type="dxa"/>
            <w:tcBorders>
              <w:top w:val="nil"/>
              <w:left w:val="nil"/>
              <w:bottom w:val="nil"/>
              <w:right w:val="nil"/>
            </w:tcBorders>
          </w:tcPr>
          <w:p w14:paraId="4203DC5F" w14:textId="77777777" w:rsidR="00516544" w:rsidRDefault="00000000">
            <w:pPr>
              <w:spacing w:after="0" w:line="259" w:lineRule="auto"/>
              <w:ind w:left="38" w:right="0" w:firstLine="0"/>
              <w:jc w:val="left"/>
            </w:pPr>
            <w:r>
              <w:t xml:space="preserve">Sometimes </w:t>
            </w:r>
          </w:p>
        </w:tc>
      </w:tr>
      <w:tr w:rsidR="00516544" w14:paraId="208905F8" w14:textId="77777777">
        <w:trPr>
          <w:trHeight w:val="291"/>
        </w:trPr>
        <w:tc>
          <w:tcPr>
            <w:tcW w:w="6151" w:type="dxa"/>
            <w:tcBorders>
              <w:top w:val="nil"/>
              <w:left w:val="nil"/>
              <w:bottom w:val="nil"/>
              <w:right w:val="nil"/>
            </w:tcBorders>
          </w:tcPr>
          <w:p w14:paraId="4BF3C501" w14:textId="77777777" w:rsidR="00516544" w:rsidRDefault="00000000">
            <w:pPr>
              <w:spacing w:after="0" w:line="259" w:lineRule="auto"/>
              <w:ind w:left="122" w:right="0" w:firstLine="0"/>
              <w:jc w:val="left"/>
            </w:pPr>
            <w:r>
              <w:t xml:space="preserve">12. Poor community linkage for resource generation </w:t>
            </w:r>
          </w:p>
        </w:tc>
        <w:tc>
          <w:tcPr>
            <w:tcW w:w="984" w:type="dxa"/>
            <w:tcBorders>
              <w:top w:val="nil"/>
              <w:left w:val="nil"/>
              <w:bottom w:val="nil"/>
              <w:right w:val="nil"/>
            </w:tcBorders>
          </w:tcPr>
          <w:p w14:paraId="61D998B2" w14:textId="77777777" w:rsidR="00516544" w:rsidRDefault="00000000">
            <w:pPr>
              <w:spacing w:after="0" w:line="259" w:lineRule="auto"/>
              <w:ind w:left="68" w:right="0" w:firstLine="0"/>
              <w:jc w:val="left"/>
            </w:pPr>
            <w:r>
              <w:t xml:space="preserve">2.77 </w:t>
            </w:r>
          </w:p>
        </w:tc>
        <w:tc>
          <w:tcPr>
            <w:tcW w:w="848" w:type="dxa"/>
            <w:tcBorders>
              <w:top w:val="nil"/>
              <w:left w:val="nil"/>
              <w:bottom w:val="nil"/>
              <w:right w:val="nil"/>
            </w:tcBorders>
          </w:tcPr>
          <w:p w14:paraId="73C3BCA1" w14:textId="77777777" w:rsidR="00516544" w:rsidRDefault="00000000">
            <w:pPr>
              <w:spacing w:after="0" w:line="259" w:lineRule="auto"/>
              <w:ind w:left="0" w:right="0" w:firstLine="0"/>
              <w:jc w:val="left"/>
            </w:pPr>
            <w:r>
              <w:t xml:space="preserve">1.23 </w:t>
            </w:r>
          </w:p>
        </w:tc>
        <w:tc>
          <w:tcPr>
            <w:tcW w:w="1352" w:type="dxa"/>
            <w:tcBorders>
              <w:top w:val="nil"/>
              <w:left w:val="nil"/>
              <w:bottom w:val="nil"/>
              <w:right w:val="nil"/>
            </w:tcBorders>
          </w:tcPr>
          <w:p w14:paraId="37284FC5" w14:textId="77777777" w:rsidR="00516544" w:rsidRDefault="00000000">
            <w:pPr>
              <w:spacing w:after="0" w:line="259" w:lineRule="auto"/>
              <w:ind w:left="38" w:right="0" w:firstLine="0"/>
              <w:jc w:val="left"/>
            </w:pPr>
            <w:r>
              <w:t xml:space="preserve">Sometimes </w:t>
            </w:r>
          </w:p>
        </w:tc>
      </w:tr>
      <w:tr w:rsidR="00516544" w14:paraId="1E26FCE5" w14:textId="77777777">
        <w:trPr>
          <w:trHeight w:val="582"/>
        </w:trPr>
        <w:tc>
          <w:tcPr>
            <w:tcW w:w="6151" w:type="dxa"/>
            <w:tcBorders>
              <w:top w:val="nil"/>
              <w:left w:val="nil"/>
              <w:bottom w:val="nil"/>
              <w:right w:val="nil"/>
            </w:tcBorders>
          </w:tcPr>
          <w:p w14:paraId="43B6C6EC" w14:textId="77777777" w:rsidR="00516544" w:rsidRDefault="00000000">
            <w:pPr>
              <w:spacing w:after="0" w:line="259" w:lineRule="auto"/>
              <w:ind w:left="482" w:right="0" w:hanging="360"/>
            </w:pPr>
            <w:r>
              <w:t xml:space="preserve">13. Delay in the publication of MOOE allocation/ MOOE and drilled down to school in cash  </w:t>
            </w:r>
          </w:p>
        </w:tc>
        <w:tc>
          <w:tcPr>
            <w:tcW w:w="984" w:type="dxa"/>
            <w:tcBorders>
              <w:top w:val="nil"/>
              <w:left w:val="nil"/>
              <w:bottom w:val="nil"/>
              <w:right w:val="nil"/>
            </w:tcBorders>
          </w:tcPr>
          <w:p w14:paraId="55FA1EAE" w14:textId="77777777" w:rsidR="00516544" w:rsidRDefault="00000000">
            <w:pPr>
              <w:spacing w:after="0" w:line="259" w:lineRule="auto"/>
              <w:ind w:left="68" w:right="0" w:firstLine="0"/>
              <w:jc w:val="left"/>
            </w:pPr>
            <w:r>
              <w:t xml:space="preserve">2.49 </w:t>
            </w:r>
          </w:p>
        </w:tc>
        <w:tc>
          <w:tcPr>
            <w:tcW w:w="848" w:type="dxa"/>
            <w:tcBorders>
              <w:top w:val="nil"/>
              <w:left w:val="nil"/>
              <w:bottom w:val="nil"/>
              <w:right w:val="nil"/>
            </w:tcBorders>
          </w:tcPr>
          <w:p w14:paraId="7777D5F8" w14:textId="77777777" w:rsidR="00516544" w:rsidRDefault="00000000">
            <w:pPr>
              <w:spacing w:after="0" w:line="259" w:lineRule="auto"/>
              <w:ind w:left="0" w:right="0" w:firstLine="0"/>
              <w:jc w:val="left"/>
            </w:pPr>
            <w:r>
              <w:t xml:space="preserve">1.12 </w:t>
            </w:r>
          </w:p>
        </w:tc>
        <w:tc>
          <w:tcPr>
            <w:tcW w:w="1352" w:type="dxa"/>
            <w:tcBorders>
              <w:top w:val="nil"/>
              <w:left w:val="nil"/>
              <w:bottom w:val="nil"/>
              <w:right w:val="nil"/>
            </w:tcBorders>
          </w:tcPr>
          <w:p w14:paraId="4B58865A" w14:textId="77777777" w:rsidR="00516544" w:rsidRDefault="00000000">
            <w:pPr>
              <w:spacing w:after="0" w:line="259" w:lineRule="auto"/>
              <w:ind w:left="214" w:right="0" w:firstLine="0"/>
              <w:jc w:val="left"/>
            </w:pPr>
            <w:r>
              <w:t xml:space="preserve">Seldom </w:t>
            </w:r>
          </w:p>
        </w:tc>
      </w:tr>
      <w:tr w:rsidR="00516544" w14:paraId="7434DB1E" w14:textId="77777777">
        <w:trPr>
          <w:trHeight w:val="582"/>
        </w:trPr>
        <w:tc>
          <w:tcPr>
            <w:tcW w:w="6151" w:type="dxa"/>
            <w:tcBorders>
              <w:top w:val="nil"/>
              <w:left w:val="nil"/>
              <w:bottom w:val="nil"/>
              <w:right w:val="nil"/>
            </w:tcBorders>
          </w:tcPr>
          <w:p w14:paraId="58C09AA2" w14:textId="77777777" w:rsidR="00516544" w:rsidRDefault="00000000">
            <w:pPr>
              <w:spacing w:after="0" w:line="259" w:lineRule="auto"/>
              <w:ind w:left="482" w:right="0" w:hanging="360"/>
            </w:pPr>
            <w:r>
              <w:t xml:space="preserve">14. School’s failure to conduct assessment of SBM practices using assessment tool. </w:t>
            </w:r>
          </w:p>
        </w:tc>
        <w:tc>
          <w:tcPr>
            <w:tcW w:w="984" w:type="dxa"/>
            <w:tcBorders>
              <w:top w:val="nil"/>
              <w:left w:val="nil"/>
              <w:bottom w:val="nil"/>
              <w:right w:val="nil"/>
            </w:tcBorders>
          </w:tcPr>
          <w:p w14:paraId="6FF91097" w14:textId="77777777" w:rsidR="00516544" w:rsidRDefault="00000000">
            <w:pPr>
              <w:spacing w:after="0" w:line="259" w:lineRule="auto"/>
              <w:ind w:left="68" w:right="0" w:firstLine="0"/>
              <w:jc w:val="left"/>
            </w:pPr>
            <w:r>
              <w:t xml:space="preserve">2.57 </w:t>
            </w:r>
          </w:p>
        </w:tc>
        <w:tc>
          <w:tcPr>
            <w:tcW w:w="848" w:type="dxa"/>
            <w:tcBorders>
              <w:top w:val="nil"/>
              <w:left w:val="nil"/>
              <w:bottom w:val="nil"/>
              <w:right w:val="nil"/>
            </w:tcBorders>
          </w:tcPr>
          <w:p w14:paraId="40FE6598" w14:textId="77777777" w:rsidR="00516544" w:rsidRDefault="00000000">
            <w:pPr>
              <w:spacing w:after="0" w:line="259" w:lineRule="auto"/>
              <w:ind w:left="0" w:right="0" w:firstLine="0"/>
              <w:jc w:val="left"/>
            </w:pPr>
            <w:r>
              <w:t xml:space="preserve">1.06 </w:t>
            </w:r>
          </w:p>
        </w:tc>
        <w:tc>
          <w:tcPr>
            <w:tcW w:w="1352" w:type="dxa"/>
            <w:tcBorders>
              <w:top w:val="nil"/>
              <w:left w:val="nil"/>
              <w:bottom w:val="nil"/>
              <w:right w:val="nil"/>
            </w:tcBorders>
          </w:tcPr>
          <w:p w14:paraId="7A8C520E" w14:textId="77777777" w:rsidR="00516544" w:rsidRDefault="00000000">
            <w:pPr>
              <w:spacing w:after="0" w:line="259" w:lineRule="auto"/>
              <w:ind w:left="38" w:right="0" w:firstLine="0"/>
              <w:jc w:val="left"/>
            </w:pPr>
            <w:r>
              <w:t xml:space="preserve">Sometimes </w:t>
            </w:r>
          </w:p>
        </w:tc>
      </w:tr>
      <w:tr w:rsidR="00516544" w14:paraId="4C8C3AA7" w14:textId="77777777">
        <w:trPr>
          <w:trHeight w:val="293"/>
        </w:trPr>
        <w:tc>
          <w:tcPr>
            <w:tcW w:w="6151" w:type="dxa"/>
            <w:tcBorders>
              <w:top w:val="nil"/>
              <w:left w:val="nil"/>
              <w:bottom w:val="single" w:sz="4" w:space="0" w:color="000000"/>
              <w:right w:val="nil"/>
            </w:tcBorders>
          </w:tcPr>
          <w:p w14:paraId="2AC70DCD" w14:textId="77777777" w:rsidR="00516544" w:rsidRDefault="00000000">
            <w:pPr>
              <w:spacing w:after="0" w:line="259" w:lineRule="auto"/>
              <w:ind w:left="122" w:right="0" w:firstLine="0"/>
              <w:jc w:val="left"/>
            </w:pPr>
            <w:r>
              <w:t xml:space="preserve">15. School’s lack of monitoring mechanism  </w:t>
            </w:r>
          </w:p>
        </w:tc>
        <w:tc>
          <w:tcPr>
            <w:tcW w:w="984" w:type="dxa"/>
            <w:tcBorders>
              <w:top w:val="nil"/>
              <w:left w:val="nil"/>
              <w:bottom w:val="single" w:sz="4" w:space="0" w:color="000000"/>
              <w:right w:val="nil"/>
            </w:tcBorders>
          </w:tcPr>
          <w:p w14:paraId="31694DB6" w14:textId="77777777" w:rsidR="00516544" w:rsidRDefault="00000000">
            <w:pPr>
              <w:spacing w:after="0" w:line="259" w:lineRule="auto"/>
              <w:ind w:left="68" w:right="0" w:firstLine="0"/>
              <w:jc w:val="left"/>
            </w:pPr>
            <w:r>
              <w:t xml:space="preserve">2.65 </w:t>
            </w:r>
          </w:p>
        </w:tc>
        <w:tc>
          <w:tcPr>
            <w:tcW w:w="848" w:type="dxa"/>
            <w:tcBorders>
              <w:top w:val="nil"/>
              <w:left w:val="nil"/>
              <w:bottom w:val="single" w:sz="4" w:space="0" w:color="000000"/>
              <w:right w:val="nil"/>
            </w:tcBorders>
          </w:tcPr>
          <w:p w14:paraId="2FD70999" w14:textId="77777777" w:rsidR="00516544" w:rsidRDefault="00000000">
            <w:pPr>
              <w:spacing w:after="0" w:line="259" w:lineRule="auto"/>
              <w:ind w:left="0" w:right="0" w:firstLine="0"/>
              <w:jc w:val="left"/>
            </w:pPr>
            <w:r>
              <w:t xml:space="preserve">1.00 </w:t>
            </w:r>
          </w:p>
        </w:tc>
        <w:tc>
          <w:tcPr>
            <w:tcW w:w="1352" w:type="dxa"/>
            <w:tcBorders>
              <w:top w:val="nil"/>
              <w:left w:val="nil"/>
              <w:bottom w:val="single" w:sz="4" w:space="0" w:color="000000"/>
              <w:right w:val="nil"/>
            </w:tcBorders>
          </w:tcPr>
          <w:p w14:paraId="6797FB2F" w14:textId="77777777" w:rsidR="00516544" w:rsidRDefault="00000000">
            <w:pPr>
              <w:spacing w:after="0" w:line="259" w:lineRule="auto"/>
              <w:ind w:left="38" w:right="0" w:firstLine="0"/>
              <w:jc w:val="left"/>
            </w:pPr>
            <w:r>
              <w:t xml:space="preserve">Sometimes </w:t>
            </w:r>
          </w:p>
        </w:tc>
      </w:tr>
      <w:tr w:rsidR="00516544" w14:paraId="433E3B23" w14:textId="77777777">
        <w:trPr>
          <w:trHeight w:val="300"/>
        </w:trPr>
        <w:tc>
          <w:tcPr>
            <w:tcW w:w="6151" w:type="dxa"/>
            <w:tcBorders>
              <w:top w:val="single" w:sz="4" w:space="0" w:color="000000"/>
              <w:left w:val="nil"/>
              <w:bottom w:val="single" w:sz="4" w:space="0" w:color="000000"/>
              <w:right w:val="nil"/>
            </w:tcBorders>
          </w:tcPr>
          <w:p w14:paraId="3AB2E6D2" w14:textId="77777777" w:rsidR="00516544" w:rsidRDefault="00000000">
            <w:pPr>
              <w:spacing w:after="0" w:line="259" w:lineRule="auto"/>
              <w:ind w:left="0" w:right="45" w:firstLine="0"/>
              <w:jc w:val="center"/>
            </w:pPr>
            <w:r>
              <w:rPr>
                <w:b/>
              </w:rPr>
              <w:t xml:space="preserve">Composite Mean </w:t>
            </w:r>
          </w:p>
        </w:tc>
        <w:tc>
          <w:tcPr>
            <w:tcW w:w="984" w:type="dxa"/>
            <w:tcBorders>
              <w:top w:val="single" w:sz="4" w:space="0" w:color="000000"/>
              <w:left w:val="nil"/>
              <w:bottom w:val="single" w:sz="4" w:space="0" w:color="000000"/>
              <w:right w:val="nil"/>
            </w:tcBorders>
          </w:tcPr>
          <w:p w14:paraId="7C4DCB12" w14:textId="77777777" w:rsidR="00516544" w:rsidRDefault="00000000">
            <w:pPr>
              <w:spacing w:after="0" w:line="259" w:lineRule="auto"/>
              <w:ind w:left="68" w:right="0" w:firstLine="0"/>
              <w:jc w:val="left"/>
            </w:pPr>
            <w:r>
              <w:rPr>
                <w:b/>
              </w:rPr>
              <w:t xml:space="preserve">2.68 </w:t>
            </w:r>
          </w:p>
        </w:tc>
        <w:tc>
          <w:tcPr>
            <w:tcW w:w="848" w:type="dxa"/>
            <w:tcBorders>
              <w:top w:val="single" w:sz="4" w:space="0" w:color="000000"/>
              <w:left w:val="nil"/>
              <w:bottom w:val="single" w:sz="4" w:space="0" w:color="000000"/>
              <w:right w:val="nil"/>
            </w:tcBorders>
          </w:tcPr>
          <w:p w14:paraId="4F746800" w14:textId="77777777" w:rsidR="00516544" w:rsidRDefault="00000000">
            <w:pPr>
              <w:spacing w:after="0" w:line="259" w:lineRule="auto"/>
              <w:ind w:left="0" w:right="0" w:firstLine="0"/>
              <w:jc w:val="left"/>
            </w:pPr>
            <w:r>
              <w:rPr>
                <w:b/>
              </w:rPr>
              <w:t xml:space="preserve">1.15 </w:t>
            </w:r>
          </w:p>
        </w:tc>
        <w:tc>
          <w:tcPr>
            <w:tcW w:w="1352" w:type="dxa"/>
            <w:tcBorders>
              <w:top w:val="single" w:sz="4" w:space="0" w:color="000000"/>
              <w:left w:val="nil"/>
              <w:bottom w:val="single" w:sz="4" w:space="0" w:color="000000"/>
              <w:right w:val="nil"/>
            </w:tcBorders>
          </w:tcPr>
          <w:p w14:paraId="3FC6A895" w14:textId="77777777" w:rsidR="00516544" w:rsidRDefault="00000000">
            <w:pPr>
              <w:spacing w:after="0" w:line="259" w:lineRule="auto"/>
              <w:ind w:left="0" w:right="0" w:firstLine="0"/>
            </w:pPr>
            <w:r>
              <w:rPr>
                <w:b/>
              </w:rPr>
              <w:t xml:space="preserve">Sometimes </w:t>
            </w:r>
          </w:p>
        </w:tc>
      </w:tr>
    </w:tbl>
    <w:p w14:paraId="456F93D8" w14:textId="77777777" w:rsidR="00516544" w:rsidRDefault="00000000">
      <w:pPr>
        <w:spacing w:after="41" w:line="259" w:lineRule="auto"/>
        <w:ind w:left="-5" w:right="0"/>
        <w:jc w:val="left"/>
      </w:pPr>
      <w:r>
        <w:rPr>
          <w:i/>
          <w:sz w:val="16"/>
        </w:rPr>
        <w:t xml:space="preserve">Legend: Always (4.21-5:00), Often (3.41-4.20), Sometimes (2.61-3.40), Seldom (1.81-2.60), Never (1.00-1.80) </w:t>
      </w:r>
    </w:p>
    <w:p w14:paraId="64878F0C" w14:textId="77777777" w:rsidR="00516544" w:rsidRDefault="00000000">
      <w:pPr>
        <w:spacing w:after="0" w:line="259" w:lineRule="auto"/>
        <w:ind w:left="0" w:right="0" w:firstLine="0"/>
        <w:jc w:val="left"/>
      </w:pPr>
      <w:r>
        <w:rPr>
          <w:b/>
        </w:rPr>
        <w:lastRenderedPageBreak/>
        <w:t xml:space="preserve"> </w:t>
      </w:r>
    </w:p>
    <w:p w14:paraId="3F87A76F" w14:textId="77777777" w:rsidR="00516544" w:rsidRDefault="00000000">
      <w:pPr>
        <w:ind w:left="-5" w:right="0"/>
      </w:pPr>
      <w:r>
        <w:t xml:space="preserve">Additionally, school’s lack of monitoring mechanism affected SBM implementation (Mean= 2.65, SD= 1.00), while the item “School’s failure to conduct assessment of SBM practices using assessment tool.” got a weighted mean of 2.57 (SD= 1.06). </w:t>
      </w:r>
    </w:p>
    <w:p w14:paraId="522F32A0" w14:textId="77777777" w:rsidR="00516544" w:rsidRDefault="00000000">
      <w:pPr>
        <w:spacing w:after="0" w:line="259" w:lineRule="auto"/>
        <w:ind w:left="0" w:right="0" w:firstLine="0"/>
        <w:jc w:val="left"/>
      </w:pPr>
      <w:r>
        <w:rPr>
          <w:b/>
        </w:rPr>
        <w:t xml:space="preserve"> </w:t>
      </w:r>
    </w:p>
    <w:p w14:paraId="77B61424" w14:textId="77777777" w:rsidR="00516544" w:rsidRDefault="00000000">
      <w:pPr>
        <w:ind w:left="-5" w:right="0"/>
      </w:pPr>
      <w:r>
        <w:t xml:space="preserve">Interestingly, Table 3 also shows that among the fifteen statements, the items, “Unstable or no SBM monitoring and evaluation scheme” (Mean= 2.54, SD=1.23), “School heads’ poor leadership skills in the mobilization of external stakeholders to support SBM and the implementation of the SIP” (Mean= 2.23, SD= 1.19), “Delay in the publication of MOOE allocation/ MOOE and drilled down to school in cash” with (Mean= 2.49, SD= 1.12), “No definite Performance-based Incentives and Rewards System for pupils/students and teachers installed in school and supported by the SGC” (Mean= 2.41, SD= 1.28), and “Poor information dissemination of the school’s status of SBM implementation (Mean= 2.52, ,SD=1.12) are interpreted as seldom. </w:t>
      </w:r>
    </w:p>
    <w:p w14:paraId="1F2F9820" w14:textId="77777777" w:rsidR="00516544" w:rsidRDefault="00000000">
      <w:pPr>
        <w:spacing w:after="0" w:line="259" w:lineRule="auto"/>
        <w:ind w:left="0" w:right="0" w:firstLine="0"/>
        <w:jc w:val="left"/>
      </w:pPr>
      <w:r>
        <w:t xml:space="preserve"> </w:t>
      </w:r>
    </w:p>
    <w:p w14:paraId="7FEBBE97" w14:textId="77777777" w:rsidR="00516544" w:rsidRDefault="00000000">
      <w:pPr>
        <w:ind w:left="-5" w:right="0"/>
      </w:pPr>
      <w:r>
        <w:t xml:space="preserve">This means that problems perceived rarely affect level of practice and the full implementation of SBM. It further implies that there is already monitoring, and evaluation being performed by SBM in charge it’s just that awareness on SBM status is not clearly stressed out and privileges or incentives are awarded only to the schools who achieved advanced level leaving the other lower categories with no proper incentives given to the teachers and other stakeholders. Further, incentives significantly increase work performance when they are carefully implemented, and performance is measured before and during incentive programs. </w:t>
      </w:r>
    </w:p>
    <w:p w14:paraId="11FBA530" w14:textId="77777777" w:rsidR="00516544" w:rsidRDefault="00000000">
      <w:pPr>
        <w:spacing w:after="0" w:line="259" w:lineRule="auto"/>
        <w:ind w:left="0" w:right="0" w:firstLine="0"/>
        <w:jc w:val="left"/>
      </w:pPr>
      <w:r>
        <w:t xml:space="preserve"> </w:t>
      </w:r>
    </w:p>
    <w:p w14:paraId="7DFCDF80" w14:textId="77777777" w:rsidR="00516544" w:rsidRDefault="00000000">
      <w:pPr>
        <w:ind w:left="-5" w:right="0"/>
      </w:pPr>
      <w:r>
        <w:t>Workers are basically the most valuable part of any organization and proves the existence of a relationship between a company's productivity and employee satisfaction with rewards (</w:t>
      </w:r>
      <w:proofErr w:type="spellStart"/>
      <w:r>
        <w:t>Allahem</w:t>
      </w:r>
      <w:proofErr w:type="spellEnd"/>
      <w:r>
        <w:t xml:space="preserve">, M.S. 2013). </w:t>
      </w:r>
    </w:p>
    <w:p w14:paraId="69173320" w14:textId="77777777" w:rsidR="00516544" w:rsidRDefault="00000000">
      <w:pPr>
        <w:spacing w:after="0" w:line="259" w:lineRule="auto"/>
        <w:ind w:left="0" w:right="0" w:firstLine="0"/>
        <w:jc w:val="left"/>
      </w:pPr>
      <w:r>
        <w:t xml:space="preserve"> </w:t>
      </w:r>
    </w:p>
    <w:p w14:paraId="3A1135C1" w14:textId="77777777" w:rsidR="00516544" w:rsidRDefault="00000000">
      <w:pPr>
        <w:pStyle w:val="Heading2"/>
        <w:ind w:left="-5" w:right="0"/>
      </w:pPr>
      <w:r>
        <w:t xml:space="preserve">Difference in the Level of Practice and Challenges </w:t>
      </w:r>
    </w:p>
    <w:p w14:paraId="414812DE" w14:textId="77777777" w:rsidR="00516544" w:rsidRDefault="00000000">
      <w:pPr>
        <w:ind w:left="-5" w:right="0"/>
      </w:pPr>
      <w:r>
        <w:t>This shows the significant difference on the profile of the respondents and their level of practice, and the challenges of school-based management obtained from the online survey conducted with the sixty- eight (68) respondents comprised by the public secondary school principals and designated school heads in the 2</w:t>
      </w:r>
      <w:r>
        <w:rPr>
          <w:vertAlign w:val="superscript"/>
        </w:rPr>
        <w:t>nd</w:t>
      </w:r>
      <w:r>
        <w:t xml:space="preserve"> congressional district in the division of Bohol. </w:t>
      </w:r>
    </w:p>
    <w:p w14:paraId="05089BC1" w14:textId="77777777" w:rsidR="00516544" w:rsidRDefault="00000000">
      <w:pPr>
        <w:spacing w:after="0" w:line="259" w:lineRule="auto"/>
        <w:ind w:left="0" w:right="0" w:firstLine="0"/>
        <w:jc w:val="left"/>
      </w:pPr>
      <w:r>
        <w:t xml:space="preserve"> </w:t>
      </w:r>
    </w:p>
    <w:p w14:paraId="364BEB11" w14:textId="77777777" w:rsidR="00516544" w:rsidRDefault="00000000">
      <w:pPr>
        <w:pStyle w:val="Heading1"/>
        <w:ind w:left="-5" w:right="0"/>
      </w:pPr>
      <w:r>
        <w:t xml:space="preserve">Table 6 </w:t>
      </w:r>
    </w:p>
    <w:p w14:paraId="1985CE9C" w14:textId="77777777" w:rsidR="00516544" w:rsidRDefault="00000000">
      <w:pPr>
        <w:pStyle w:val="Heading2"/>
        <w:ind w:left="-5" w:right="0"/>
      </w:pPr>
      <w:r>
        <w:t xml:space="preserve">Difference in the Level of Practice and Challenges </w:t>
      </w:r>
    </w:p>
    <w:p w14:paraId="3D53EB92" w14:textId="77777777" w:rsidR="00516544" w:rsidRDefault="00000000">
      <w:pPr>
        <w:spacing w:after="0" w:line="259" w:lineRule="auto"/>
        <w:ind w:left="0" w:right="0" w:firstLine="0"/>
        <w:jc w:val="left"/>
      </w:pPr>
      <w:r>
        <w:rPr>
          <w:b/>
        </w:rPr>
        <w:t xml:space="preserve"> </w:t>
      </w:r>
    </w:p>
    <w:tbl>
      <w:tblPr>
        <w:tblStyle w:val="TableGrid"/>
        <w:tblW w:w="8742" w:type="dxa"/>
        <w:tblInd w:w="-14" w:type="dxa"/>
        <w:tblCellMar>
          <w:top w:w="31" w:type="dxa"/>
          <w:left w:w="0" w:type="dxa"/>
          <w:bottom w:w="0" w:type="dxa"/>
          <w:right w:w="101" w:type="dxa"/>
        </w:tblCellMar>
        <w:tblLook w:val="04A0" w:firstRow="1" w:lastRow="0" w:firstColumn="1" w:lastColumn="0" w:noHBand="0" w:noVBand="1"/>
      </w:tblPr>
      <w:tblGrid>
        <w:gridCol w:w="2066"/>
        <w:gridCol w:w="562"/>
        <w:gridCol w:w="725"/>
        <w:gridCol w:w="908"/>
        <w:gridCol w:w="1218"/>
        <w:gridCol w:w="1854"/>
        <w:gridCol w:w="1409"/>
      </w:tblGrid>
      <w:tr w:rsidR="00516544" w14:paraId="1D7C247C" w14:textId="77777777">
        <w:trPr>
          <w:trHeight w:val="386"/>
        </w:trPr>
        <w:tc>
          <w:tcPr>
            <w:tcW w:w="2066" w:type="dxa"/>
            <w:tcBorders>
              <w:top w:val="single" w:sz="12" w:space="0" w:color="000000"/>
              <w:left w:val="nil"/>
              <w:bottom w:val="single" w:sz="12" w:space="0" w:color="000000"/>
              <w:right w:val="nil"/>
            </w:tcBorders>
          </w:tcPr>
          <w:p w14:paraId="57812305" w14:textId="77777777" w:rsidR="00516544" w:rsidRDefault="00000000">
            <w:pPr>
              <w:spacing w:after="0" w:line="259" w:lineRule="auto"/>
              <w:ind w:left="446" w:right="0" w:firstLine="0"/>
              <w:jc w:val="left"/>
            </w:pPr>
            <w:r>
              <w:rPr>
                <w:b/>
              </w:rPr>
              <w:t xml:space="preserve">Practices </w:t>
            </w:r>
          </w:p>
        </w:tc>
        <w:tc>
          <w:tcPr>
            <w:tcW w:w="562" w:type="dxa"/>
            <w:tcBorders>
              <w:top w:val="single" w:sz="12" w:space="0" w:color="000000"/>
              <w:left w:val="nil"/>
              <w:bottom w:val="single" w:sz="12" w:space="0" w:color="000000"/>
              <w:right w:val="nil"/>
            </w:tcBorders>
          </w:tcPr>
          <w:p w14:paraId="10294EA3" w14:textId="77777777" w:rsidR="00516544" w:rsidRDefault="00000000">
            <w:pPr>
              <w:spacing w:after="0" w:line="259" w:lineRule="auto"/>
              <w:ind w:left="18" w:right="0" w:firstLine="0"/>
              <w:jc w:val="left"/>
            </w:pPr>
            <w:proofErr w:type="spellStart"/>
            <w:r>
              <w:rPr>
                <w:b/>
              </w:rPr>
              <w:t>df</w:t>
            </w:r>
            <w:proofErr w:type="spellEnd"/>
            <w:r>
              <w:rPr>
                <w:b/>
              </w:rPr>
              <w:t xml:space="preserve"> </w:t>
            </w:r>
          </w:p>
        </w:tc>
        <w:tc>
          <w:tcPr>
            <w:tcW w:w="725" w:type="dxa"/>
            <w:tcBorders>
              <w:top w:val="single" w:sz="12" w:space="0" w:color="000000"/>
              <w:left w:val="nil"/>
              <w:bottom w:val="single" w:sz="12" w:space="0" w:color="000000"/>
              <w:right w:val="nil"/>
            </w:tcBorders>
          </w:tcPr>
          <w:p w14:paraId="1BBA7233" w14:textId="77777777" w:rsidR="00516544" w:rsidRDefault="00000000">
            <w:pPr>
              <w:spacing w:after="0" w:line="259" w:lineRule="auto"/>
              <w:ind w:left="142" w:right="0" w:firstLine="0"/>
              <w:jc w:val="left"/>
            </w:pPr>
            <w:r>
              <w:rPr>
                <w:rFonts w:ascii="Cambria Math" w:eastAsia="Cambria Math" w:hAnsi="Cambria Math" w:cs="Cambria Math"/>
              </w:rPr>
              <w:t>𝜶</w:t>
            </w:r>
            <w:r>
              <w:rPr>
                <w:b/>
              </w:rPr>
              <w:t xml:space="preserve"> </w:t>
            </w:r>
          </w:p>
        </w:tc>
        <w:tc>
          <w:tcPr>
            <w:tcW w:w="908" w:type="dxa"/>
            <w:tcBorders>
              <w:top w:val="single" w:sz="12" w:space="0" w:color="000000"/>
              <w:left w:val="nil"/>
              <w:bottom w:val="single" w:sz="12" w:space="0" w:color="000000"/>
              <w:right w:val="nil"/>
            </w:tcBorders>
          </w:tcPr>
          <w:p w14:paraId="5ABBBDBB" w14:textId="77777777" w:rsidR="00516544" w:rsidRDefault="00000000">
            <w:pPr>
              <w:spacing w:after="0" w:line="259" w:lineRule="auto"/>
              <w:ind w:left="150" w:right="0" w:firstLine="0"/>
              <w:jc w:val="left"/>
            </w:pPr>
            <w:r>
              <w:rPr>
                <w:rFonts w:ascii="Cambria Math" w:eastAsia="Cambria Math" w:hAnsi="Cambria Math" w:cs="Cambria Math"/>
              </w:rPr>
              <w:t>𝝌</w:t>
            </w:r>
            <w:r>
              <w:rPr>
                <w:rFonts w:ascii="Cambria Math" w:eastAsia="Cambria Math" w:hAnsi="Cambria Math" w:cs="Cambria Math"/>
                <w:sz w:val="16"/>
              </w:rPr>
              <w:t>𝟐</w:t>
            </w:r>
            <w:r>
              <w:rPr>
                <w:b/>
              </w:rPr>
              <w:t xml:space="preserve"> </w:t>
            </w:r>
          </w:p>
        </w:tc>
        <w:tc>
          <w:tcPr>
            <w:tcW w:w="1218" w:type="dxa"/>
            <w:tcBorders>
              <w:top w:val="single" w:sz="12" w:space="0" w:color="000000"/>
              <w:left w:val="nil"/>
              <w:bottom w:val="single" w:sz="12" w:space="0" w:color="000000"/>
              <w:right w:val="nil"/>
            </w:tcBorders>
          </w:tcPr>
          <w:p w14:paraId="6F6A9967" w14:textId="77777777" w:rsidR="00516544" w:rsidRDefault="00000000">
            <w:pPr>
              <w:spacing w:after="0" w:line="259" w:lineRule="auto"/>
              <w:ind w:left="0" w:right="0" w:firstLine="0"/>
              <w:jc w:val="left"/>
            </w:pPr>
            <w:r>
              <w:rPr>
                <w:b/>
                <w:i/>
              </w:rPr>
              <w:t>p</w:t>
            </w:r>
            <w:r>
              <w:rPr>
                <w:b/>
              </w:rPr>
              <w:t xml:space="preserve">-value </w:t>
            </w:r>
          </w:p>
        </w:tc>
        <w:tc>
          <w:tcPr>
            <w:tcW w:w="1854" w:type="dxa"/>
            <w:tcBorders>
              <w:top w:val="single" w:sz="12" w:space="0" w:color="000000"/>
              <w:left w:val="nil"/>
              <w:bottom w:val="single" w:sz="12" w:space="0" w:color="000000"/>
              <w:right w:val="nil"/>
            </w:tcBorders>
          </w:tcPr>
          <w:p w14:paraId="678C08E4" w14:textId="77777777" w:rsidR="00516544" w:rsidRDefault="00000000">
            <w:pPr>
              <w:spacing w:after="0" w:line="259" w:lineRule="auto"/>
              <w:ind w:left="0" w:right="0" w:firstLine="0"/>
              <w:jc w:val="left"/>
            </w:pPr>
            <w:r>
              <w:rPr>
                <w:b/>
              </w:rPr>
              <w:t xml:space="preserve">Interpretation </w:t>
            </w:r>
          </w:p>
        </w:tc>
        <w:tc>
          <w:tcPr>
            <w:tcW w:w="1409" w:type="dxa"/>
            <w:tcBorders>
              <w:top w:val="single" w:sz="12" w:space="0" w:color="000000"/>
              <w:left w:val="nil"/>
              <w:bottom w:val="single" w:sz="12" w:space="0" w:color="000000"/>
              <w:right w:val="nil"/>
            </w:tcBorders>
          </w:tcPr>
          <w:p w14:paraId="023DF211" w14:textId="77777777" w:rsidR="00516544" w:rsidRDefault="00000000">
            <w:pPr>
              <w:spacing w:after="0" w:line="259" w:lineRule="auto"/>
              <w:ind w:left="166" w:right="0" w:firstLine="0"/>
              <w:jc w:val="left"/>
            </w:pPr>
            <w:r>
              <w:rPr>
                <w:b/>
              </w:rPr>
              <w:t xml:space="preserve">Decision </w:t>
            </w:r>
          </w:p>
        </w:tc>
      </w:tr>
      <w:tr w:rsidR="00516544" w14:paraId="4ABE5F92" w14:textId="77777777">
        <w:trPr>
          <w:trHeight w:val="552"/>
        </w:trPr>
        <w:tc>
          <w:tcPr>
            <w:tcW w:w="2066" w:type="dxa"/>
            <w:tcBorders>
              <w:top w:val="single" w:sz="12" w:space="0" w:color="000000"/>
              <w:left w:val="nil"/>
              <w:bottom w:val="nil"/>
              <w:right w:val="nil"/>
            </w:tcBorders>
          </w:tcPr>
          <w:p w14:paraId="3E906644" w14:textId="77777777" w:rsidR="00516544" w:rsidRDefault="00000000">
            <w:pPr>
              <w:spacing w:after="0" w:line="259" w:lineRule="auto"/>
              <w:ind w:left="458" w:right="0" w:firstLine="110"/>
              <w:jc w:val="left"/>
            </w:pPr>
            <w:r>
              <w:rPr>
                <w:b/>
              </w:rPr>
              <w:t xml:space="preserve">School Category </w:t>
            </w:r>
          </w:p>
        </w:tc>
        <w:tc>
          <w:tcPr>
            <w:tcW w:w="562" w:type="dxa"/>
            <w:tcBorders>
              <w:top w:val="single" w:sz="12" w:space="0" w:color="000000"/>
              <w:left w:val="nil"/>
              <w:bottom w:val="nil"/>
              <w:right w:val="nil"/>
            </w:tcBorders>
          </w:tcPr>
          <w:p w14:paraId="44B0188B" w14:textId="77777777" w:rsidR="00516544" w:rsidRDefault="00000000">
            <w:pPr>
              <w:spacing w:after="0" w:line="259" w:lineRule="auto"/>
              <w:ind w:left="60" w:right="0" w:firstLine="0"/>
              <w:jc w:val="left"/>
            </w:pPr>
            <w:r>
              <w:t xml:space="preserve">4 </w:t>
            </w:r>
          </w:p>
        </w:tc>
        <w:tc>
          <w:tcPr>
            <w:tcW w:w="725" w:type="dxa"/>
            <w:tcBorders>
              <w:top w:val="single" w:sz="12" w:space="0" w:color="000000"/>
              <w:left w:val="nil"/>
              <w:bottom w:val="nil"/>
              <w:right w:val="nil"/>
            </w:tcBorders>
          </w:tcPr>
          <w:p w14:paraId="32AA5E2B" w14:textId="77777777" w:rsidR="00516544" w:rsidRDefault="00000000">
            <w:pPr>
              <w:spacing w:after="0" w:line="259" w:lineRule="auto"/>
              <w:ind w:left="0" w:right="0" w:firstLine="0"/>
              <w:jc w:val="left"/>
            </w:pPr>
            <w:r>
              <w:t xml:space="preserve">0.05 </w:t>
            </w:r>
          </w:p>
        </w:tc>
        <w:tc>
          <w:tcPr>
            <w:tcW w:w="908" w:type="dxa"/>
            <w:tcBorders>
              <w:top w:val="single" w:sz="12" w:space="0" w:color="000000"/>
              <w:left w:val="nil"/>
              <w:bottom w:val="nil"/>
              <w:right w:val="nil"/>
            </w:tcBorders>
          </w:tcPr>
          <w:p w14:paraId="4CEB7103" w14:textId="77777777" w:rsidR="00516544" w:rsidRDefault="00000000">
            <w:pPr>
              <w:spacing w:after="0" w:line="259" w:lineRule="auto"/>
              <w:ind w:left="0" w:right="0" w:firstLine="0"/>
              <w:jc w:val="left"/>
            </w:pPr>
            <w:r>
              <w:t xml:space="preserve">24.69 </w:t>
            </w:r>
          </w:p>
        </w:tc>
        <w:tc>
          <w:tcPr>
            <w:tcW w:w="1218" w:type="dxa"/>
            <w:tcBorders>
              <w:top w:val="single" w:sz="12" w:space="0" w:color="000000"/>
              <w:left w:val="nil"/>
              <w:bottom w:val="nil"/>
              <w:right w:val="nil"/>
            </w:tcBorders>
          </w:tcPr>
          <w:p w14:paraId="7F5B4E50" w14:textId="77777777" w:rsidR="00516544" w:rsidRDefault="00000000">
            <w:pPr>
              <w:spacing w:after="0" w:line="259" w:lineRule="auto"/>
              <w:ind w:left="106" w:right="0" w:firstLine="0"/>
              <w:jc w:val="left"/>
            </w:pPr>
            <w:r>
              <w:t xml:space="preserve">&lt;.001 </w:t>
            </w:r>
          </w:p>
          <w:p w14:paraId="6CD8452D" w14:textId="77777777" w:rsidR="00516544" w:rsidRDefault="00000000">
            <w:pPr>
              <w:spacing w:after="0" w:line="259" w:lineRule="auto"/>
              <w:ind w:left="384" w:right="0" w:firstLine="0"/>
              <w:jc w:val="left"/>
            </w:pPr>
            <w:r>
              <w:t xml:space="preserve"> </w:t>
            </w:r>
          </w:p>
        </w:tc>
        <w:tc>
          <w:tcPr>
            <w:tcW w:w="1854" w:type="dxa"/>
            <w:tcBorders>
              <w:top w:val="single" w:sz="12" w:space="0" w:color="000000"/>
              <w:left w:val="nil"/>
              <w:bottom w:val="nil"/>
              <w:right w:val="nil"/>
            </w:tcBorders>
          </w:tcPr>
          <w:p w14:paraId="3FE2C1C3" w14:textId="77777777" w:rsidR="00516544" w:rsidRDefault="00000000">
            <w:pPr>
              <w:spacing w:after="0" w:line="259" w:lineRule="auto"/>
              <w:ind w:left="202" w:right="0" w:firstLine="0"/>
              <w:jc w:val="left"/>
            </w:pPr>
            <w:r>
              <w:t xml:space="preserve">Significant </w:t>
            </w:r>
          </w:p>
        </w:tc>
        <w:tc>
          <w:tcPr>
            <w:tcW w:w="1409" w:type="dxa"/>
            <w:tcBorders>
              <w:top w:val="single" w:sz="12" w:space="0" w:color="000000"/>
              <w:left w:val="nil"/>
              <w:bottom w:val="nil"/>
              <w:right w:val="nil"/>
            </w:tcBorders>
          </w:tcPr>
          <w:p w14:paraId="79303DC3" w14:textId="77777777" w:rsidR="00516544" w:rsidRDefault="00000000">
            <w:pPr>
              <w:spacing w:after="0" w:line="259" w:lineRule="auto"/>
              <w:ind w:left="162" w:right="0" w:firstLine="0"/>
              <w:jc w:val="left"/>
            </w:pPr>
            <w:r>
              <w:t>Reject H</w:t>
            </w:r>
            <w:r>
              <w:rPr>
                <w:vertAlign w:val="subscript"/>
              </w:rPr>
              <w:t>0</w:t>
            </w:r>
            <w:r>
              <w:t xml:space="preserve"> </w:t>
            </w:r>
          </w:p>
        </w:tc>
      </w:tr>
      <w:tr w:rsidR="00516544" w14:paraId="7A682BF3" w14:textId="77777777">
        <w:trPr>
          <w:trHeight w:val="528"/>
        </w:trPr>
        <w:tc>
          <w:tcPr>
            <w:tcW w:w="2066" w:type="dxa"/>
            <w:tcBorders>
              <w:top w:val="nil"/>
              <w:left w:val="nil"/>
              <w:bottom w:val="nil"/>
              <w:right w:val="nil"/>
            </w:tcBorders>
          </w:tcPr>
          <w:p w14:paraId="04653617" w14:textId="77777777" w:rsidR="00516544" w:rsidRDefault="00000000">
            <w:pPr>
              <w:spacing w:after="0" w:line="259" w:lineRule="auto"/>
              <w:ind w:left="128" w:right="0" w:firstLine="0"/>
              <w:jc w:val="left"/>
            </w:pPr>
            <w:r>
              <w:rPr>
                <w:b/>
              </w:rPr>
              <w:t xml:space="preserve">Source of Fund </w:t>
            </w:r>
          </w:p>
        </w:tc>
        <w:tc>
          <w:tcPr>
            <w:tcW w:w="562" w:type="dxa"/>
            <w:tcBorders>
              <w:top w:val="nil"/>
              <w:left w:val="nil"/>
              <w:bottom w:val="nil"/>
              <w:right w:val="nil"/>
            </w:tcBorders>
          </w:tcPr>
          <w:p w14:paraId="39D8BFDC" w14:textId="77777777" w:rsidR="00516544" w:rsidRDefault="00000000">
            <w:pPr>
              <w:spacing w:after="0" w:line="259" w:lineRule="auto"/>
              <w:ind w:left="0" w:right="0" w:firstLine="0"/>
              <w:jc w:val="left"/>
            </w:pPr>
            <w:r>
              <w:t xml:space="preserve">34 </w:t>
            </w:r>
          </w:p>
        </w:tc>
        <w:tc>
          <w:tcPr>
            <w:tcW w:w="725" w:type="dxa"/>
            <w:tcBorders>
              <w:top w:val="nil"/>
              <w:left w:val="nil"/>
              <w:bottom w:val="nil"/>
              <w:right w:val="nil"/>
            </w:tcBorders>
          </w:tcPr>
          <w:p w14:paraId="4B453AE8" w14:textId="77777777" w:rsidR="00516544" w:rsidRDefault="00000000">
            <w:pPr>
              <w:spacing w:after="0" w:line="259" w:lineRule="auto"/>
              <w:ind w:left="0" w:right="0" w:firstLine="0"/>
              <w:jc w:val="left"/>
            </w:pPr>
            <w:r>
              <w:t xml:space="preserve">0.05 </w:t>
            </w:r>
          </w:p>
        </w:tc>
        <w:tc>
          <w:tcPr>
            <w:tcW w:w="908" w:type="dxa"/>
            <w:tcBorders>
              <w:top w:val="nil"/>
              <w:left w:val="nil"/>
              <w:bottom w:val="nil"/>
              <w:right w:val="nil"/>
            </w:tcBorders>
          </w:tcPr>
          <w:p w14:paraId="39F1A3E8" w14:textId="77777777" w:rsidR="00516544" w:rsidRDefault="00000000">
            <w:pPr>
              <w:spacing w:after="0" w:line="259" w:lineRule="auto"/>
              <w:ind w:left="0" w:right="0" w:firstLine="0"/>
              <w:jc w:val="left"/>
            </w:pPr>
            <w:r>
              <w:t xml:space="preserve">36.28 </w:t>
            </w:r>
          </w:p>
        </w:tc>
        <w:tc>
          <w:tcPr>
            <w:tcW w:w="1218" w:type="dxa"/>
            <w:tcBorders>
              <w:top w:val="nil"/>
              <w:left w:val="nil"/>
              <w:bottom w:val="nil"/>
              <w:right w:val="nil"/>
            </w:tcBorders>
          </w:tcPr>
          <w:p w14:paraId="0629DC04" w14:textId="77777777" w:rsidR="00516544" w:rsidRDefault="00000000">
            <w:pPr>
              <w:spacing w:after="0" w:line="259" w:lineRule="auto"/>
              <w:ind w:left="110" w:right="0" w:firstLine="0"/>
              <w:jc w:val="left"/>
            </w:pPr>
            <w:r>
              <w:t xml:space="preserve">0.363 </w:t>
            </w:r>
          </w:p>
        </w:tc>
        <w:tc>
          <w:tcPr>
            <w:tcW w:w="1854" w:type="dxa"/>
            <w:tcBorders>
              <w:top w:val="nil"/>
              <w:left w:val="nil"/>
              <w:bottom w:val="nil"/>
              <w:right w:val="nil"/>
            </w:tcBorders>
          </w:tcPr>
          <w:p w14:paraId="0EEA4C0A" w14:textId="77777777" w:rsidR="00516544" w:rsidRDefault="00000000">
            <w:pPr>
              <w:spacing w:after="0" w:line="259" w:lineRule="auto"/>
              <w:ind w:left="128" w:right="0" w:firstLine="0"/>
              <w:jc w:val="left"/>
            </w:pPr>
            <w:r>
              <w:t xml:space="preserve">Insignificant </w:t>
            </w:r>
          </w:p>
        </w:tc>
        <w:tc>
          <w:tcPr>
            <w:tcW w:w="1409" w:type="dxa"/>
            <w:tcBorders>
              <w:top w:val="nil"/>
              <w:left w:val="nil"/>
              <w:bottom w:val="nil"/>
              <w:right w:val="nil"/>
            </w:tcBorders>
          </w:tcPr>
          <w:p w14:paraId="4D73D327" w14:textId="77777777" w:rsidR="00516544" w:rsidRDefault="00000000">
            <w:pPr>
              <w:spacing w:after="8" w:line="259" w:lineRule="auto"/>
              <w:ind w:left="0" w:right="0" w:firstLine="0"/>
              <w:jc w:val="left"/>
            </w:pPr>
            <w:r>
              <w:t xml:space="preserve">Do not reject </w:t>
            </w:r>
          </w:p>
          <w:p w14:paraId="6F786FDC" w14:textId="77777777" w:rsidR="00516544" w:rsidRDefault="00000000">
            <w:pPr>
              <w:spacing w:after="0" w:line="259" w:lineRule="auto"/>
              <w:ind w:left="0" w:right="60" w:firstLine="0"/>
              <w:jc w:val="center"/>
            </w:pPr>
            <w:r>
              <w:t>H</w:t>
            </w:r>
            <w:r>
              <w:rPr>
                <w:vertAlign w:val="subscript"/>
              </w:rPr>
              <w:t>0</w:t>
            </w:r>
            <w:r>
              <w:t xml:space="preserve"> </w:t>
            </w:r>
          </w:p>
        </w:tc>
      </w:tr>
      <w:tr w:rsidR="00516544" w14:paraId="4112D610" w14:textId="77777777">
        <w:trPr>
          <w:trHeight w:val="779"/>
        </w:trPr>
        <w:tc>
          <w:tcPr>
            <w:tcW w:w="2066" w:type="dxa"/>
            <w:tcBorders>
              <w:top w:val="nil"/>
              <w:left w:val="nil"/>
              <w:bottom w:val="single" w:sz="12" w:space="0" w:color="000000"/>
              <w:right w:val="nil"/>
            </w:tcBorders>
          </w:tcPr>
          <w:p w14:paraId="096B122D" w14:textId="77777777" w:rsidR="00516544" w:rsidRDefault="00000000">
            <w:pPr>
              <w:spacing w:after="3" w:line="239" w:lineRule="auto"/>
              <w:ind w:left="606" w:right="0" w:hanging="484"/>
              <w:jc w:val="left"/>
            </w:pPr>
            <w:r>
              <w:rPr>
                <w:b/>
              </w:rPr>
              <w:t xml:space="preserve">Level of School Based </w:t>
            </w:r>
          </w:p>
          <w:p w14:paraId="6BA4F66D" w14:textId="77777777" w:rsidR="00516544" w:rsidRDefault="00000000">
            <w:pPr>
              <w:spacing w:after="0" w:line="259" w:lineRule="auto"/>
              <w:ind w:left="122" w:right="0" w:firstLine="0"/>
              <w:jc w:val="left"/>
            </w:pPr>
            <w:r>
              <w:rPr>
                <w:b/>
              </w:rPr>
              <w:t xml:space="preserve">Implementation </w:t>
            </w:r>
          </w:p>
        </w:tc>
        <w:tc>
          <w:tcPr>
            <w:tcW w:w="562" w:type="dxa"/>
            <w:tcBorders>
              <w:top w:val="nil"/>
              <w:left w:val="nil"/>
              <w:bottom w:val="single" w:sz="12" w:space="0" w:color="000000"/>
              <w:right w:val="nil"/>
            </w:tcBorders>
          </w:tcPr>
          <w:p w14:paraId="328EA8A3" w14:textId="77777777" w:rsidR="00516544" w:rsidRDefault="00000000">
            <w:pPr>
              <w:spacing w:after="0" w:line="259" w:lineRule="auto"/>
              <w:ind w:left="60" w:right="0" w:firstLine="0"/>
              <w:jc w:val="left"/>
            </w:pPr>
            <w:r>
              <w:t xml:space="preserve">4 </w:t>
            </w:r>
          </w:p>
        </w:tc>
        <w:tc>
          <w:tcPr>
            <w:tcW w:w="725" w:type="dxa"/>
            <w:tcBorders>
              <w:top w:val="nil"/>
              <w:left w:val="nil"/>
              <w:bottom w:val="single" w:sz="12" w:space="0" w:color="000000"/>
              <w:right w:val="nil"/>
            </w:tcBorders>
          </w:tcPr>
          <w:p w14:paraId="25E84491" w14:textId="77777777" w:rsidR="00516544" w:rsidRDefault="00000000">
            <w:pPr>
              <w:spacing w:after="0" w:line="259" w:lineRule="auto"/>
              <w:ind w:left="0" w:right="0" w:firstLine="0"/>
              <w:jc w:val="left"/>
            </w:pPr>
            <w:r>
              <w:t xml:space="preserve">0.05 </w:t>
            </w:r>
          </w:p>
        </w:tc>
        <w:tc>
          <w:tcPr>
            <w:tcW w:w="908" w:type="dxa"/>
            <w:tcBorders>
              <w:top w:val="nil"/>
              <w:left w:val="nil"/>
              <w:bottom w:val="single" w:sz="12" w:space="0" w:color="000000"/>
              <w:right w:val="nil"/>
            </w:tcBorders>
          </w:tcPr>
          <w:p w14:paraId="5A9B2FDD" w14:textId="77777777" w:rsidR="00516544" w:rsidRDefault="00000000">
            <w:pPr>
              <w:spacing w:after="0" w:line="259" w:lineRule="auto"/>
              <w:ind w:left="0" w:right="0" w:firstLine="0"/>
              <w:jc w:val="left"/>
            </w:pPr>
            <w:r>
              <w:t xml:space="preserve">50.60 </w:t>
            </w:r>
          </w:p>
        </w:tc>
        <w:tc>
          <w:tcPr>
            <w:tcW w:w="1218" w:type="dxa"/>
            <w:tcBorders>
              <w:top w:val="nil"/>
              <w:left w:val="nil"/>
              <w:bottom w:val="single" w:sz="12" w:space="0" w:color="000000"/>
              <w:right w:val="nil"/>
            </w:tcBorders>
          </w:tcPr>
          <w:p w14:paraId="0E880C2D" w14:textId="77777777" w:rsidR="00516544" w:rsidRDefault="00000000">
            <w:pPr>
              <w:spacing w:after="0" w:line="259" w:lineRule="auto"/>
              <w:ind w:left="106" w:right="0" w:firstLine="0"/>
              <w:jc w:val="left"/>
            </w:pPr>
            <w:r>
              <w:t xml:space="preserve">&lt;.001 </w:t>
            </w:r>
          </w:p>
        </w:tc>
        <w:tc>
          <w:tcPr>
            <w:tcW w:w="1854" w:type="dxa"/>
            <w:tcBorders>
              <w:top w:val="nil"/>
              <w:left w:val="nil"/>
              <w:bottom w:val="single" w:sz="12" w:space="0" w:color="000000"/>
              <w:right w:val="nil"/>
            </w:tcBorders>
          </w:tcPr>
          <w:p w14:paraId="1447DA7D" w14:textId="77777777" w:rsidR="00516544" w:rsidRDefault="00000000">
            <w:pPr>
              <w:spacing w:after="0" w:line="259" w:lineRule="auto"/>
              <w:ind w:left="202" w:right="0" w:firstLine="0"/>
              <w:jc w:val="left"/>
            </w:pPr>
            <w:r>
              <w:t xml:space="preserve">Significant </w:t>
            </w:r>
          </w:p>
        </w:tc>
        <w:tc>
          <w:tcPr>
            <w:tcW w:w="1409" w:type="dxa"/>
            <w:tcBorders>
              <w:top w:val="nil"/>
              <w:left w:val="nil"/>
              <w:bottom w:val="single" w:sz="12" w:space="0" w:color="000000"/>
              <w:right w:val="nil"/>
            </w:tcBorders>
          </w:tcPr>
          <w:p w14:paraId="2395B378" w14:textId="77777777" w:rsidR="00516544" w:rsidRDefault="00000000">
            <w:pPr>
              <w:spacing w:after="0" w:line="259" w:lineRule="auto"/>
              <w:ind w:left="162" w:right="0" w:firstLine="0"/>
              <w:jc w:val="left"/>
            </w:pPr>
            <w:r>
              <w:t>Reject H</w:t>
            </w:r>
            <w:r>
              <w:rPr>
                <w:vertAlign w:val="subscript"/>
              </w:rPr>
              <w:t>0</w:t>
            </w:r>
            <w:r>
              <w:t xml:space="preserve"> </w:t>
            </w:r>
          </w:p>
        </w:tc>
      </w:tr>
      <w:tr w:rsidR="00516544" w14:paraId="41A3C17E" w14:textId="77777777">
        <w:trPr>
          <w:trHeight w:val="378"/>
        </w:trPr>
        <w:tc>
          <w:tcPr>
            <w:tcW w:w="2066" w:type="dxa"/>
            <w:tcBorders>
              <w:top w:val="single" w:sz="12" w:space="0" w:color="000000"/>
              <w:left w:val="nil"/>
              <w:bottom w:val="single" w:sz="12" w:space="0" w:color="000000"/>
              <w:right w:val="nil"/>
            </w:tcBorders>
          </w:tcPr>
          <w:p w14:paraId="0AAB0AFE" w14:textId="77777777" w:rsidR="00516544" w:rsidRDefault="00000000">
            <w:pPr>
              <w:spacing w:after="0" w:line="259" w:lineRule="auto"/>
              <w:ind w:left="348" w:right="0" w:firstLine="0"/>
              <w:jc w:val="left"/>
            </w:pPr>
            <w:r>
              <w:rPr>
                <w:b/>
              </w:rPr>
              <w:t xml:space="preserve">Challenges </w:t>
            </w:r>
          </w:p>
        </w:tc>
        <w:tc>
          <w:tcPr>
            <w:tcW w:w="562" w:type="dxa"/>
            <w:tcBorders>
              <w:top w:val="single" w:sz="12" w:space="0" w:color="000000"/>
              <w:left w:val="nil"/>
              <w:bottom w:val="single" w:sz="12" w:space="0" w:color="000000"/>
              <w:right w:val="nil"/>
            </w:tcBorders>
          </w:tcPr>
          <w:p w14:paraId="5ED16A51" w14:textId="77777777" w:rsidR="00516544" w:rsidRDefault="00000000">
            <w:pPr>
              <w:spacing w:after="0" w:line="259" w:lineRule="auto"/>
              <w:ind w:left="18" w:right="0" w:firstLine="0"/>
              <w:jc w:val="left"/>
            </w:pPr>
            <w:proofErr w:type="spellStart"/>
            <w:r>
              <w:rPr>
                <w:b/>
              </w:rPr>
              <w:t>df</w:t>
            </w:r>
            <w:proofErr w:type="spellEnd"/>
            <w:r>
              <w:rPr>
                <w:b/>
              </w:rPr>
              <w:t xml:space="preserve"> </w:t>
            </w:r>
          </w:p>
        </w:tc>
        <w:tc>
          <w:tcPr>
            <w:tcW w:w="725" w:type="dxa"/>
            <w:tcBorders>
              <w:top w:val="single" w:sz="12" w:space="0" w:color="000000"/>
              <w:left w:val="nil"/>
              <w:bottom w:val="single" w:sz="12" w:space="0" w:color="000000"/>
              <w:right w:val="nil"/>
            </w:tcBorders>
          </w:tcPr>
          <w:p w14:paraId="22E8A089" w14:textId="77777777" w:rsidR="00516544" w:rsidRDefault="00000000">
            <w:pPr>
              <w:spacing w:after="0" w:line="259" w:lineRule="auto"/>
              <w:ind w:left="142" w:right="0" w:firstLine="0"/>
              <w:jc w:val="left"/>
            </w:pPr>
            <w:r>
              <w:rPr>
                <w:rFonts w:ascii="Cambria Math" w:eastAsia="Cambria Math" w:hAnsi="Cambria Math" w:cs="Cambria Math"/>
              </w:rPr>
              <w:t>𝜶</w:t>
            </w:r>
            <w:r>
              <w:t xml:space="preserve"> </w:t>
            </w:r>
          </w:p>
        </w:tc>
        <w:tc>
          <w:tcPr>
            <w:tcW w:w="908" w:type="dxa"/>
            <w:tcBorders>
              <w:top w:val="single" w:sz="12" w:space="0" w:color="000000"/>
              <w:left w:val="nil"/>
              <w:bottom w:val="single" w:sz="12" w:space="0" w:color="000000"/>
              <w:right w:val="nil"/>
            </w:tcBorders>
          </w:tcPr>
          <w:p w14:paraId="51636BF4" w14:textId="77777777" w:rsidR="00516544" w:rsidRDefault="00000000">
            <w:pPr>
              <w:spacing w:after="0" w:line="259" w:lineRule="auto"/>
              <w:ind w:left="150" w:right="0" w:firstLine="0"/>
              <w:jc w:val="left"/>
            </w:pPr>
            <w:r>
              <w:rPr>
                <w:rFonts w:ascii="Cambria Math" w:eastAsia="Cambria Math" w:hAnsi="Cambria Math" w:cs="Cambria Math"/>
              </w:rPr>
              <w:t>𝝌</w:t>
            </w:r>
            <w:r>
              <w:rPr>
                <w:rFonts w:ascii="Cambria Math" w:eastAsia="Cambria Math" w:hAnsi="Cambria Math" w:cs="Cambria Math"/>
                <w:sz w:val="16"/>
              </w:rPr>
              <w:t>𝟐</w:t>
            </w:r>
            <w:r>
              <w:rPr>
                <w:b/>
                <w:i/>
              </w:rPr>
              <w:t xml:space="preserve"> </w:t>
            </w:r>
          </w:p>
        </w:tc>
        <w:tc>
          <w:tcPr>
            <w:tcW w:w="1218" w:type="dxa"/>
            <w:tcBorders>
              <w:top w:val="single" w:sz="12" w:space="0" w:color="000000"/>
              <w:left w:val="nil"/>
              <w:bottom w:val="single" w:sz="12" w:space="0" w:color="000000"/>
              <w:right w:val="nil"/>
            </w:tcBorders>
          </w:tcPr>
          <w:p w14:paraId="6E3154B7" w14:textId="77777777" w:rsidR="00516544" w:rsidRDefault="00000000">
            <w:pPr>
              <w:spacing w:after="0" w:line="259" w:lineRule="auto"/>
              <w:ind w:left="0" w:right="0" w:firstLine="0"/>
              <w:jc w:val="left"/>
            </w:pPr>
            <w:r>
              <w:rPr>
                <w:b/>
                <w:i/>
              </w:rPr>
              <w:t>p</w:t>
            </w:r>
            <w:r>
              <w:rPr>
                <w:b/>
              </w:rPr>
              <w:t xml:space="preserve">-value </w:t>
            </w:r>
          </w:p>
        </w:tc>
        <w:tc>
          <w:tcPr>
            <w:tcW w:w="1854" w:type="dxa"/>
            <w:tcBorders>
              <w:top w:val="single" w:sz="12" w:space="0" w:color="000000"/>
              <w:left w:val="nil"/>
              <w:bottom w:val="single" w:sz="12" w:space="0" w:color="000000"/>
              <w:right w:val="nil"/>
            </w:tcBorders>
          </w:tcPr>
          <w:p w14:paraId="758BF1F4" w14:textId="77777777" w:rsidR="00516544" w:rsidRDefault="00000000">
            <w:pPr>
              <w:spacing w:after="0" w:line="259" w:lineRule="auto"/>
              <w:ind w:left="0" w:right="0" w:firstLine="0"/>
              <w:jc w:val="left"/>
            </w:pPr>
            <w:r>
              <w:rPr>
                <w:b/>
              </w:rPr>
              <w:t>Interpretation</w:t>
            </w:r>
            <w:r>
              <w:t xml:space="preserve"> </w:t>
            </w:r>
          </w:p>
        </w:tc>
        <w:tc>
          <w:tcPr>
            <w:tcW w:w="1409" w:type="dxa"/>
            <w:tcBorders>
              <w:top w:val="single" w:sz="12" w:space="0" w:color="000000"/>
              <w:left w:val="nil"/>
              <w:bottom w:val="single" w:sz="12" w:space="0" w:color="000000"/>
              <w:right w:val="nil"/>
            </w:tcBorders>
          </w:tcPr>
          <w:p w14:paraId="14CE190D" w14:textId="77777777" w:rsidR="00516544" w:rsidRDefault="00000000">
            <w:pPr>
              <w:spacing w:after="0" w:line="259" w:lineRule="auto"/>
              <w:ind w:left="166" w:right="0" w:firstLine="0"/>
              <w:jc w:val="left"/>
            </w:pPr>
            <w:r>
              <w:rPr>
                <w:b/>
              </w:rPr>
              <w:t>Decision</w:t>
            </w:r>
            <w:r>
              <w:t xml:space="preserve"> </w:t>
            </w:r>
          </w:p>
        </w:tc>
      </w:tr>
      <w:tr w:rsidR="00516544" w14:paraId="6BBB837A" w14:textId="77777777">
        <w:trPr>
          <w:trHeight w:val="554"/>
        </w:trPr>
        <w:tc>
          <w:tcPr>
            <w:tcW w:w="2066" w:type="dxa"/>
            <w:tcBorders>
              <w:top w:val="single" w:sz="12" w:space="0" w:color="000000"/>
              <w:left w:val="nil"/>
              <w:bottom w:val="nil"/>
              <w:right w:val="nil"/>
            </w:tcBorders>
          </w:tcPr>
          <w:p w14:paraId="4242DA56" w14:textId="77777777" w:rsidR="00516544" w:rsidRDefault="00000000">
            <w:pPr>
              <w:spacing w:after="0" w:line="259" w:lineRule="auto"/>
              <w:ind w:left="458" w:right="0" w:firstLine="110"/>
              <w:jc w:val="left"/>
            </w:pPr>
            <w:r>
              <w:rPr>
                <w:b/>
              </w:rPr>
              <w:t xml:space="preserve">School Category </w:t>
            </w:r>
          </w:p>
        </w:tc>
        <w:tc>
          <w:tcPr>
            <w:tcW w:w="562" w:type="dxa"/>
            <w:tcBorders>
              <w:top w:val="single" w:sz="12" w:space="0" w:color="000000"/>
              <w:left w:val="nil"/>
              <w:bottom w:val="nil"/>
              <w:right w:val="nil"/>
            </w:tcBorders>
          </w:tcPr>
          <w:p w14:paraId="19BEEDBC" w14:textId="77777777" w:rsidR="00516544" w:rsidRDefault="00000000">
            <w:pPr>
              <w:spacing w:after="0" w:line="259" w:lineRule="auto"/>
              <w:ind w:left="122" w:right="0" w:firstLine="0"/>
              <w:jc w:val="left"/>
            </w:pPr>
            <w:r>
              <w:t xml:space="preserve"> </w:t>
            </w:r>
          </w:p>
          <w:p w14:paraId="4CB30CA1" w14:textId="77777777" w:rsidR="00516544" w:rsidRDefault="00000000">
            <w:pPr>
              <w:spacing w:after="0" w:line="259" w:lineRule="auto"/>
              <w:ind w:left="60" w:right="0" w:firstLine="0"/>
              <w:jc w:val="left"/>
            </w:pPr>
            <w:r>
              <w:t xml:space="preserve">8 </w:t>
            </w:r>
          </w:p>
        </w:tc>
        <w:tc>
          <w:tcPr>
            <w:tcW w:w="725" w:type="dxa"/>
            <w:tcBorders>
              <w:top w:val="single" w:sz="12" w:space="0" w:color="000000"/>
              <w:left w:val="nil"/>
              <w:bottom w:val="nil"/>
              <w:right w:val="nil"/>
            </w:tcBorders>
          </w:tcPr>
          <w:p w14:paraId="0BF85355" w14:textId="77777777" w:rsidR="00516544" w:rsidRDefault="00000000">
            <w:pPr>
              <w:spacing w:after="0" w:line="259" w:lineRule="auto"/>
              <w:ind w:left="215" w:right="0" w:firstLine="0"/>
              <w:jc w:val="left"/>
            </w:pPr>
            <w:r>
              <w:t xml:space="preserve"> </w:t>
            </w:r>
          </w:p>
          <w:p w14:paraId="50A1AB5C" w14:textId="77777777" w:rsidR="00516544" w:rsidRDefault="00000000">
            <w:pPr>
              <w:spacing w:after="0" w:line="259" w:lineRule="auto"/>
              <w:ind w:left="0" w:right="0" w:firstLine="0"/>
              <w:jc w:val="left"/>
            </w:pPr>
            <w:r>
              <w:t xml:space="preserve">0.05 </w:t>
            </w:r>
          </w:p>
        </w:tc>
        <w:tc>
          <w:tcPr>
            <w:tcW w:w="908" w:type="dxa"/>
            <w:tcBorders>
              <w:top w:val="single" w:sz="12" w:space="0" w:color="000000"/>
              <w:left w:val="nil"/>
              <w:bottom w:val="nil"/>
              <w:right w:val="nil"/>
            </w:tcBorders>
          </w:tcPr>
          <w:p w14:paraId="6537CD33" w14:textId="77777777" w:rsidR="00516544" w:rsidRDefault="00000000">
            <w:pPr>
              <w:spacing w:after="0" w:line="259" w:lineRule="auto"/>
              <w:ind w:left="276" w:right="0" w:firstLine="0"/>
              <w:jc w:val="left"/>
            </w:pPr>
            <w:r>
              <w:t xml:space="preserve"> </w:t>
            </w:r>
          </w:p>
          <w:p w14:paraId="28C80322" w14:textId="77777777" w:rsidR="00516544" w:rsidRDefault="00000000">
            <w:pPr>
              <w:spacing w:after="0" w:line="259" w:lineRule="auto"/>
              <w:ind w:left="0" w:right="0" w:firstLine="0"/>
              <w:jc w:val="left"/>
            </w:pPr>
            <w:r>
              <w:t xml:space="preserve">17.68 </w:t>
            </w:r>
          </w:p>
        </w:tc>
        <w:tc>
          <w:tcPr>
            <w:tcW w:w="1218" w:type="dxa"/>
            <w:tcBorders>
              <w:top w:val="single" w:sz="12" w:space="0" w:color="000000"/>
              <w:left w:val="nil"/>
              <w:bottom w:val="nil"/>
              <w:right w:val="nil"/>
            </w:tcBorders>
          </w:tcPr>
          <w:p w14:paraId="1C2CEE85" w14:textId="77777777" w:rsidR="00516544" w:rsidRDefault="00000000">
            <w:pPr>
              <w:spacing w:after="0" w:line="259" w:lineRule="auto"/>
              <w:ind w:left="384" w:right="0" w:firstLine="0"/>
              <w:jc w:val="left"/>
            </w:pPr>
            <w:r>
              <w:t xml:space="preserve"> </w:t>
            </w:r>
          </w:p>
          <w:p w14:paraId="02C71C84" w14:textId="77777777" w:rsidR="00516544" w:rsidRDefault="00000000">
            <w:pPr>
              <w:spacing w:after="0" w:line="259" w:lineRule="auto"/>
              <w:ind w:left="110" w:right="0" w:firstLine="0"/>
              <w:jc w:val="left"/>
            </w:pPr>
            <w:r>
              <w:t xml:space="preserve">0.024 </w:t>
            </w:r>
          </w:p>
        </w:tc>
        <w:tc>
          <w:tcPr>
            <w:tcW w:w="1854" w:type="dxa"/>
            <w:tcBorders>
              <w:top w:val="single" w:sz="12" w:space="0" w:color="000000"/>
              <w:left w:val="nil"/>
              <w:bottom w:val="nil"/>
              <w:right w:val="nil"/>
            </w:tcBorders>
          </w:tcPr>
          <w:p w14:paraId="2B9DB046" w14:textId="77777777" w:rsidR="00516544" w:rsidRDefault="00000000">
            <w:pPr>
              <w:spacing w:after="0" w:line="259" w:lineRule="auto"/>
              <w:ind w:left="711" w:right="0" w:firstLine="0"/>
              <w:jc w:val="left"/>
            </w:pPr>
            <w:r>
              <w:t xml:space="preserve"> </w:t>
            </w:r>
          </w:p>
          <w:p w14:paraId="5B802960" w14:textId="77777777" w:rsidR="00516544" w:rsidRDefault="00000000">
            <w:pPr>
              <w:spacing w:after="0" w:line="259" w:lineRule="auto"/>
              <w:ind w:left="202" w:right="0" w:firstLine="0"/>
              <w:jc w:val="left"/>
            </w:pPr>
            <w:r>
              <w:t xml:space="preserve">Significant </w:t>
            </w:r>
          </w:p>
        </w:tc>
        <w:tc>
          <w:tcPr>
            <w:tcW w:w="1409" w:type="dxa"/>
            <w:tcBorders>
              <w:top w:val="single" w:sz="12" w:space="0" w:color="000000"/>
              <w:left w:val="nil"/>
              <w:bottom w:val="nil"/>
              <w:right w:val="nil"/>
            </w:tcBorders>
          </w:tcPr>
          <w:p w14:paraId="5EC01E57" w14:textId="77777777" w:rsidR="00516544" w:rsidRDefault="00000000">
            <w:pPr>
              <w:spacing w:after="0" w:line="259" w:lineRule="auto"/>
              <w:ind w:left="1" w:right="0" w:firstLine="0"/>
              <w:jc w:val="center"/>
            </w:pPr>
            <w:r>
              <w:t xml:space="preserve"> </w:t>
            </w:r>
          </w:p>
          <w:p w14:paraId="0B58E0FA" w14:textId="77777777" w:rsidR="00516544" w:rsidRDefault="00000000">
            <w:pPr>
              <w:spacing w:after="0" w:line="259" w:lineRule="auto"/>
              <w:ind w:left="162" w:right="0" w:firstLine="0"/>
              <w:jc w:val="left"/>
            </w:pPr>
            <w:r>
              <w:t>Reject H</w:t>
            </w:r>
            <w:r>
              <w:rPr>
                <w:vertAlign w:val="subscript"/>
              </w:rPr>
              <w:t>0</w:t>
            </w:r>
            <w:r>
              <w:t xml:space="preserve"> </w:t>
            </w:r>
          </w:p>
        </w:tc>
      </w:tr>
      <w:tr w:rsidR="00516544" w14:paraId="44FFF985" w14:textId="77777777">
        <w:trPr>
          <w:trHeight w:val="526"/>
        </w:trPr>
        <w:tc>
          <w:tcPr>
            <w:tcW w:w="2066" w:type="dxa"/>
            <w:tcBorders>
              <w:top w:val="nil"/>
              <w:left w:val="nil"/>
              <w:bottom w:val="nil"/>
              <w:right w:val="nil"/>
            </w:tcBorders>
          </w:tcPr>
          <w:p w14:paraId="13AFC30E" w14:textId="77777777" w:rsidR="00516544" w:rsidRDefault="00000000">
            <w:pPr>
              <w:spacing w:after="0" w:line="259" w:lineRule="auto"/>
              <w:ind w:left="128" w:right="0" w:firstLine="0"/>
              <w:jc w:val="left"/>
            </w:pPr>
            <w:r>
              <w:rPr>
                <w:b/>
              </w:rPr>
              <w:lastRenderedPageBreak/>
              <w:t xml:space="preserve">Source of Fund </w:t>
            </w:r>
          </w:p>
        </w:tc>
        <w:tc>
          <w:tcPr>
            <w:tcW w:w="562" w:type="dxa"/>
            <w:tcBorders>
              <w:top w:val="nil"/>
              <w:left w:val="nil"/>
              <w:bottom w:val="nil"/>
              <w:right w:val="nil"/>
            </w:tcBorders>
          </w:tcPr>
          <w:p w14:paraId="58DA9A92" w14:textId="77777777" w:rsidR="00516544" w:rsidRDefault="00000000">
            <w:pPr>
              <w:spacing w:after="0" w:line="259" w:lineRule="auto"/>
              <w:ind w:left="60" w:right="0" w:firstLine="0"/>
              <w:jc w:val="left"/>
            </w:pPr>
            <w:r>
              <w:t xml:space="preserve">6 </w:t>
            </w:r>
          </w:p>
        </w:tc>
        <w:tc>
          <w:tcPr>
            <w:tcW w:w="725" w:type="dxa"/>
            <w:tcBorders>
              <w:top w:val="nil"/>
              <w:left w:val="nil"/>
              <w:bottom w:val="nil"/>
              <w:right w:val="nil"/>
            </w:tcBorders>
          </w:tcPr>
          <w:p w14:paraId="5568AC81" w14:textId="77777777" w:rsidR="00516544" w:rsidRDefault="00000000">
            <w:pPr>
              <w:spacing w:after="0" w:line="259" w:lineRule="auto"/>
              <w:ind w:left="0" w:right="0" w:firstLine="0"/>
              <w:jc w:val="left"/>
            </w:pPr>
            <w:r>
              <w:t xml:space="preserve">0.05 </w:t>
            </w:r>
          </w:p>
        </w:tc>
        <w:tc>
          <w:tcPr>
            <w:tcW w:w="908" w:type="dxa"/>
            <w:tcBorders>
              <w:top w:val="nil"/>
              <w:left w:val="nil"/>
              <w:bottom w:val="nil"/>
              <w:right w:val="nil"/>
            </w:tcBorders>
          </w:tcPr>
          <w:p w14:paraId="2BAEA60F" w14:textId="77777777" w:rsidR="00516544" w:rsidRDefault="00000000">
            <w:pPr>
              <w:spacing w:after="0" w:line="259" w:lineRule="auto"/>
              <w:ind w:left="0" w:right="0" w:firstLine="0"/>
              <w:jc w:val="left"/>
            </w:pPr>
            <w:r>
              <w:t xml:space="preserve">66.88 </w:t>
            </w:r>
          </w:p>
        </w:tc>
        <w:tc>
          <w:tcPr>
            <w:tcW w:w="1218" w:type="dxa"/>
            <w:tcBorders>
              <w:top w:val="nil"/>
              <w:left w:val="nil"/>
              <w:bottom w:val="nil"/>
              <w:right w:val="nil"/>
            </w:tcBorders>
          </w:tcPr>
          <w:p w14:paraId="66255514" w14:textId="77777777" w:rsidR="00516544" w:rsidRDefault="00000000">
            <w:pPr>
              <w:spacing w:after="0" w:line="259" w:lineRule="auto"/>
              <w:ind w:left="110" w:right="0" w:firstLine="0"/>
              <w:jc w:val="left"/>
            </w:pPr>
            <w:r>
              <w:t xml:space="preserve">0.516 </w:t>
            </w:r>
          </w:p>
        </w:tc>
        <w:tc>
          <w:tcPr>
            <w:tcW w:w="1854" w:type="dxa"/>
            <w:tcBorders>
              <w:top w:val="nil"/>
              <w:left w:val="nil"/>
              <w:bottom w:val="nil"/>
              <w:right w:val="nil"/>
            </w:tcBorders>
          </w:tcPr>
          <w:p w14:paraId="413DD2FB" w14:textId="77777777" w:rsidR="00516544" w:rsidRDefault="00000000">
            <w:pPr>
              <w:spacing w:after="0" w:line="259" w:lineRule="auto"/>
              <w:ind w:left="128" w:right="0" w:firstLine="0"/>
              <w:jc w:val="left"/>
            </w:pPr>
            <w:r>
              <w:t xml:space="preserve">Insignificant </w:t>
            </w:r>
          </w:p>
        </w:tc>
        <w:tc>
          <w:tcPr>
            <w:tcW w:w="1409" w:type="dxa"/>
            <w:tcBorders>
              <w:top w:val="nil"/>
              <w:left w:val="nil"/>
              <w:bottom w:val="nil"/>
              <w:right w:val="nil"/>
            </w:tcBorders>
          </w:tcPr>
          <w:p w14:paraId="7BD3C48A" w14:textId="77777777" w:rsidR="00516544" w:rsidRDefault="00000000">
            <w:pPr>
              <w:spacing w:after="8" w:line="259" w:lineRule="auto"/>
              <w:ind w:left="0" w:right="0" w:firstLine="0"/>
              <w:jc w:val="left"/>
            </w:pPr>
            <w:r>
              <w:t xml:space="preserve">Do not reject </w:t>
            </w:r>
          </w:p>
          <w:p w14:paraId="0627EEC7" w14:textId="77777777" w:rsidR="00516544" w:rsidRDefault="00000000">
            <w:pPr>
              <w:spacing w:after="0" w:line="259" w:lineRule="auto"/>
              <w:ind w:left="0" w:right="60" w:firstLine="0"/>
              <w:jc w:val="center"/>
            </w:pPr>
            <w:r>
              <w:t>H</w:t>
            </w:r>
            <w:r>
              <w:rPr>
                <w:vertAlign w:val="subscript"/>
              </w:rPr>
              <w:t>0</w:t>
            </w:r>
            <w:r>
              <w:t xml:space="preserve"> </w:t>
            </w:r>
          </w:p>
        </w:tc>
      </w:tr>
      <w:tr w:rsidR="00516544" w14:paraId="5D911F74" w14:textId="77777777">
        <w:trPr>
          <w:trHeight w:val="758"/>
        </w:trPr>
        <w:tc>
          <w:tcPr>
            <w:tcW w:w="2066" w:type="dxa"/>
            <w:tcBorders>
              <w:top w:val="nil"/>
              <w:left w:val="nil"/>
              <w:bottom w:val="single" w:sz="12" w:space="0" w:color="000000"/>
              <w:right w:val="nil"/>
            </w:tcBorders>
          </w:tcPr>
          <w:p w14:paraId="2B144A1F" w14:textId="77777777" w:rsidR="00516544" w:rsidRDefault="00000000">
            <w:pPr>
              <w:spacing w:after="2" w:line="239" w:lineRule="auto"/>
              <w:ind w:left="606" w:right="0" w:hanging="484"/>
              <w:jc w:val="left"/>
            </w:pPr>
            <w:r>
              <w:rPr>
                <w:b/>
              </w:rPr>
              <w:t xml:space="preserve">Level of School Based </w:t>
            </w:r>
          </w:p>
          <w:p w14:paraId="446C42D4" w14:textId="77777777" w:rsidR="00516544" w:rsidRDefault="00000000">
            <w:pPr>
              <w:spacing w:after="0" w:line="259" w:lineRule="auto"/>
              <w:ind w:left="122" w:right="0" w:firstLine="0"/>
              <w:jc w:val="left"/>
            </w:pPr>
            <w:r>
              <w:rPr>
                <w:b/>
              </w:rPr>
              <w:t xml:space="preserve">Implementation </w:t>
            </w:r>
          </w:p>
        </w:tc>
        <w:tc>
          <w:tcPr>
            <w:tcW w:w="562" w:type="dxa"/>
            <w:tcBorders>
              <w:top w:val="nil"/>
              <w:left w:val="nil"/>
              <w:bottom w:val="single" w:sz="12" w:space="0" w:color="000000"/>
              <w:right w:val="nil"/>
            </w:tcBorders>
          </w:tcPr>
          <w:p w14:paraId="084CA85E" w14:textId="77777777" w:rsidR="00516544" w:rsidRDefault="00000000">
            <w:pPr>
              <w:spacing w:after="0" w:line="259" w:lineRule="auto"/>
              <w:ind w:left="60" w:right="0" w:firstLine="0"/>
              <w:jc w:val="left"/>
            </w:pPr>
            <w:r>
              <w:t xml:space="preserve">8 </w:t>
            </w:r>
          </w:p>
        </w:tc>
        <w:tc>
          <w:tcPr>
            <w:tcW w:w="725" w:type="dxa"/>
            <w:tcBorders>
              <w:top w:val="nil"/>
              <w:left w:val="nil"/>
              <w:bottom w:val="single" w:sz="12" w:space="0" w:color="000000"/>
              <w:right w:val="nil"/>
            </w:tcBorders>
          </w:tcPr>
          <w:p w14:paraId="7FE3E075" w14:textId="77777777" w:rsidR="00516544" w:rsidRDefault="00000000">
            <w:pPr>
              <w:spacing w:after="0" w:line="259" w:lineRule="auto"/>
              <w:ind w:left="0" w:right="0" w:firstLine="0"/>
              <w:jc w:val="left"/>
            </w:pPr>
            <w:r>
              <w:t xml:space="preserve">0.05 </w:t>
            </w:r>
          </w:p>
        </w:tc>
        <w:tc>
          <w:tcPr>
            <w:tcW w:w="908" w:type="dxa"/>
            <w:tcBorders>
              <w:top w:val="nil"/>
              <w:left w:val="nil"/>
              <w:bottom w:val="single" w:sz="12" w:space="0" w:color="000000"/>
              <w:right w:val="nil"/>
            </w:tcBorders>
          </w:tcPr>
          <w:p w14:paraId="6426DF30" w14:textId="77777777" w:rsidR="00516544" w:rsidRDefault="00000000">
            <w:pPr>
              <w:spacing w:after="0" w:line="259" w:lineRule="auto"/>
              <w:ind w:left="0" w:right="0" w:firstLine="0"/>
              <w:jc w:val="left"/>
            </w:pPr>
            <w:r>
              <w:t xml:space="preserve">14.84 </w:t>
            </w:r>
          </w:p>
        </w:tc>
        <w:tc>
          <w:tcPr>
            <w:tcW w:w="1218" w:type="dxa"/>
            <w:tcBorders>
              <w:top w:val="nil"/>
              <w:left w:val="nil"/>
              <w:bottom w:val="single" w:sz="12" w:space="0" w:color="000000"/>
              <w:right w:val="nil"/>
            </w:tcBorders>
          </w:tcPr>
          <w:p w14:paraId="424D29DA" w14:textId="77777777" w:rsidR="00516544" w:rsidRDefault="00000000">
            <w:pPr>
              <w:spacing w:after="0" w:line="259" w:lineRule="auto"/>
              <w:ind w:left="110" w:right="0" w:firstLine="0"/>
              <w:jc w:val="left"/>
            </w:pPr>
            <w:r>
              <w:t xml:space="preserve">0.062 </w:t>
            </w:r>
          </w:p>
        </w:tc>
        <w:tc>
          <w:tcPr>
            <w:tcW w:w="1854" w:type="dxa"/>
            <w:tcBorders>
              <w:top w:val="nil"/>
              <w:left w:val="nil"/>
              <w:bottom w:val="single" w:sz="12" w:space="0" w:color="000000"/>
              <w:right w:val="nil"/>
            </w:tcBorders>
          </w:tcPr>
          <w:p w14:paraId="254B5BE0" w14:textId="77777777" w:rsidR="00516544" w:rsidRDefault="00000000">
            <w:pPr>
              <w:spacing w:after="0" w:line="259" w:lineRule="auto"/>
              <w:ind w:left="128" w:right="0" w:firstLine="0"/>
              <w:jc w:val="left"/>
            </w:pPr>
            <w:r>
              <w:t xml:space="preserve">Insignificant </w:t>
            </w:r>
          </w:p>
        </w:tc>
        <w:tc>
          <w:tcPr>
            <w:tcW w:w="1409" w:type="dxa"/>
            <w:tcBorders>
              <w:top w:val="nil"/>
              <w:left w:val="nil"/>
              <w:bottom w:val="single" w:sz="12" w:space="0" w:color="000000"/>
              <w:right w:val="nil"/>
            </w:tcBorders>
          </w:tcPr>
          <w:p w14:paraId="57106562" w14:textId="77777777" w:rsidR="00516544" w:rsidRDefault="00000000">
            <w:pPr>
              <w:spacing w:after="6" w:line="259" w:lineRule="auto"/>
              <w:ind w:left="0" w:right="0" w:firstLine="0"/>
              <w:jc w:val="left"/>
            </w:pPr>
            <w:r>
              <w:t xml:space="preserve">Do not reject </w:t>
            </w:r>
          </w:p>
          <w:p w14:paraId="2B0E459B" w14:textId="77777777" w:rsidR="00516544" w:rsidRDefault="00000000">
            <w:pPr>
              <w:spacing w:after="0" w:line="259" w:lineRule="auto"/>
              <w:ind w:left="0" w:right="60" w:firstLine="0"/>
              <w:jc w:val="center"/>
            </w:pPr>
            <w:r>
              <w:t>H</w:t>
            </w:r>
            <w:r>
              <w:rPr>
                <w:vertAlign w:val="subscript"/>
              </w:rPr>
              <w:t>0</w:t>
            </w:r>
            <w:r>
              <w:t xml:space="preserve"> </w:t>
            </w:r>
          </w:p>
        </w:tc>
      </w:tr>
    </w:tbl>
    <w:p w14:paraId="23707E4F" w14:textId="77777777" w:rsidR="00516544" w:rsidRDefault="00000000">
      <w:pPr>
        <w:spacing w:after="0" w:line="259" w:lineRule="auto"/>
        <w:ind w:left="720" w:right="0" w:firstLine="0"/>
        <w:jc w:val="left"/>
      </w:pPr>
      <w:r>
        <w:t xml:space="preserve"> </w:t>
      </w:r>
    </w:p>
    <w:p w14:paraId="2DAA5605" w14:textId="77777777" w:rsidR="00516544" w:rsidRDefault="00000000">
      <w:pPr>
        <w:spacing w:after="43"/>
        <w:ind w:left="-5" w:right="0"/>
      </w:pPr>
      <w:r>
        <w:t xml:space="preserve">In table 4, it can be gleaned that the level of practice of school-based management is not significantly related with source of fund, </w:t>
      </w:r>
      <w:r>
        <w:rPr>
          <w:b/>
          <w:i/>
        </w:rPr>
        <w:t xml:space="preserve"> </w:t>
      </w:r>
    </w:p>
    <w:p w14:paraId="7AB2D5EE" w14:textId="77777777" w:rsidR="00516544" w:rsidRDefault="00000000">
      <w:pPr>
        <w:ind w:left="-5" w:right="0"/>
      </w:pPr>
      <w:r>
        <w:rPr>
          <w:rFonts w:ascii="Cambria Math" w:eastAsia="Cambria Math" w:hAnsi="Cambria Math" w:cs="Cambria Math"/>
        </w:rPr>
        <w:t>𝝌</w:t>
      </w:r>
      <w:r>
        <w:rPr>
          <w:rFonts w:ascii="Cambria Math" w:eastAsia="Cambria Math" w:hAnsi="Cambria Math" w:cs="Cambria Math"/>
          <w:vertAlign w:val="superscript"/>
        </w:rPr>
        <w:t>𝟐</w:t>
      </w:r>
      <w:r>
        <w:rPr>
          <w:rFonts w:ascii="Cambria Math" w:eastAsia="Cambria Math" w:hAnsi="Cambria Math" w:cs="Cambria Math"/>
        </w:rPr>
        <w:t>(4) = 36.28</w:t>
      </w:r>
      <w:r>
        <w:t xml:space="preserve">, </w:t>
      </w:r>
      <w:r>
        <w:rPr>
          <w:rFonts w:ascii="Cambria Math" w:eastAsia="Cambria Math" w:hAnsi="Cambria Math" w:cs="Cambria Math"/>
        </w:rPr>
        <w:t>𝑝 =&lt; .363</w:t>
      </w:r>
      <w:r>
        <w:t xml:space="preserve">. Further, this failed to reject the null hypothesis stating that there is no significant difference on the profile of the respondents and their level of practices of school-based management except for school category </w:t>
      </w:r>
      <w:r>
        <w:rPr>
          <w:rFonts w:ascii="Cambria Math" w:eastAsia="Cambria Math" w:hAnsi="Cambria Math" w:cs="Cambria Math"/>
        </w:rPr>
        <w:t>𝝌</w:t>
      </w:r>
      <w:r>
        <w:rPr>
          <w:rFonts w:ascii="Cambria Math" w:eastAsia="Cambria Math" w:hAnsi="Cambria Math" w:cs="Cambria Math"/>
          <w:vertAlign w:val="superscript"/>
        </w:rPr>
        <w:t>𝟐</w:t>
      </w:r>
      <w:r>
        <w:rPr>
          <w:rFonts w:ascii="Cambria Math" w:eastAsia="Cambria Math" w:hAnsi="Cambria Math" w:cs="Cambria Math"/>
        </w:rPr>
        <w:t>(34) = 24.69</w:t>
      </w:r>
      <w:r>
        <w:t xml:space="preserve">, </w:t>
      </w:r>
      <w:r>
        <w:rPr>
          <w:rFonts w:ascii="Cambria Math" w:eastAsia="Cambria Math" w:hAnsi="Cambria Math" w:cs="Cambria Math"/>
        </w:rPr>
        <w:t>𝑝 =&lt; .001</w:t>
      </w:r>
      <w:r>
        <w:t xml:space="preserve"> and </w:t>
      </w:r>
      <w:r>
        <w:rPr>
          <w:rFonts w:ascii="Cambria Math" w:eastAsia="Cambria Math" w:hAnsi="Cambria Math" w:cs="Cambria Math"/>
        </w:rPr>
        <w:t>𝝌</w:t>
      </w:r>
      <w:r>
        <w:rPr>
          <w:rFonts w:ascii="Cambria Math" w:eastAsia="Cambria Math" w:hAnsi="Cambria Math" w:cs="Cambria Math"/>
          <w:vertAlign w:val="superscript"/>
        </w:rPr>
        <w:t>𝟐</w:t>
      </w:r>
      <w:r>
        <w:rPr>
          <w:rFonts w:ascii="Cambria Math" w:eastAsia="Cambria Math" w:hAnsi="Cambria Math" w:cs="Cambria Math"/>
        </w:rPr>
        <w:t>(4) = 50.60</w:t>
      </w:r>
      <w:r>
        <w:t xml:space="preserve">, </w:t>
      </w:r>
      <w:r>
        <w:rPr>
          <w:rFonts w:ascii="Cambria Math" w:eastAsia="Cambria Math" w:hAnsi="Cambria Math" w:cs="Cambria Math"/>
        </w:rPr>
        <w:t>𝑝 =</w:t>
      </w:r>
      <w:proofErr w:type="gramStart"/>
      <w:r>
        <w:rPr>
          <w:rFonts w:ascii="Cambria Math" w:eastAsia="Cambria Math" w:hAnsi="Cambria Math" w:cs="Cambria Math"/>
        </w:rPr>
        <w:t>&lt;  .</w:t>
      </w:r>
      <w:proofErr w:type="gramEnd"/>
      <w:r>
        <w:rPr>
          <w:rFonts w:ascii="Cambria Math" w:eastAsia="Cambria Math" w:hAnsi="Cambria Math" w:cs="Cambria Math"/>
        </w:rPr>
        <w:t>001.</w:t>
      </w:r>
      <w:r>
        <w:t xml:space="preserve"> This implies that the level of practices of school-based management conceptual framework in terms of Leadership and Governance; Curriculum and Instruction; Accountability and Continuous Improvement; and Management of Resources is dependent on school category and the level of school- based management implementation. </w:t>
      </w:r>
    </w:p>
    <w:p w14:paraId="39C5FCAE" w14:textId="77777777" w:rsidR="00516544" w:rsidRDefault="00000000">
      <w:pPr>
        <w:spacing w:after="0" w:line="259" w:lineRule="auto"/>
        <w:ind w:left="0" w:right="0" w:firstLine="0"/>
        <w:jc w:val="left"/>
      </w:pPr>
      <w:r>
        <w:t xml:space="preserve"> </w:t>
      </w:r>
    </w:p>
    <w:p w14:paraId="7B7B645E" w14:textId="77777777" w:rsidR="00516544" w:rsidRDefault="00000000">
      <w:pPr>
        <w:ind w:left="-5" w:right="0"/>
      </w:pPr>
      <w:r>
        <w:t>Additionally, the table likewise failed to accept the null hypothesis stating the there is no significant difference on the profile of the respondents and their level of practice of school-based management in the 2</w:t>
      </w:r>
      <w:r>
        <w:rPr>
          <w:vertAlign w:val="superscript"/>
        </w:rPr>
        <w:t>nd</w:t>
      </w:r>
      <w:r>
        <w:t xml:space="preserve"> congressional district in the division of Bohol. The result of this study is supported by </w:t>
      </w:r>
      <w:proofErr w:type="spellStart"/>
      <w:r>
        <w:t>Ballarta</w:t>
      </w:r>
      <w:proofErr w:type="spellEnd"/>
      <w:r>
        <w:t xml:space="preserve"> et al. (2022) which claimed that school category and level of school- based management implementation are potent factors affecting school- based management (SBM). </w:t>
      </w:r>
    </w:p>
    <w:p w14:paraId="47C65D17" w14:textId="77777777" w:rsidR="00516544" w:rsidRDefault="00000000">
      <w:pPr>
        <w:spacing w:after="0" w:line="259" w:lineRule="auto"/>
        <w:ind w:left="0" w:right="0" w:firstLine="0"/>
        <w:jc w:val="left"/>
      </w:pPr>
      <w:r>
        <w:t xml:space="preserve"> </w:t>
      </w:r>
    </w:p>
    <w:p w14:paraId="1FEE0769" w14:textId="77777777" w:rsidR="00516544" w:rsidRDefault="00000000">
      <w:pPr>
        <w:ind w:left="-5" w:right="0"/>
      </w:pPr>
      <w:r>
        <w:t xml:space="preserve">When it comes to challenges encountered in the successful implementation of school- based management, the table shows that source of fund, </w:t>
      </w:r>
      <w:r>
        <w:rPr>
          <w:rFonts w:ascii="Cambria Math" w:eastAsia="Cambria Math" w:hAnsi="Cambria Math" w:cs="Cambria Math"/>
        </w:rPr>
        <w:t>𝝌</w:t>
      </w:r>
      <w:r>
        <w:rPr>
          <w:rFonts w:ascii="Cambria Math" w:eastAsia="Cambria Math" w:hAnsi="Cambria Math" w:cs="Cambria Math"/>
          <w:vertAlign w:val="superscript"/>
        </w:rPr>
        <w:t>𝟐</w:t>
      </w:r>
      <w:r>
        <w:rPr>
          <w:rFonts w:ascii="Cambria Math" w:eastAsia="Cambria Math" w:hAnsi="Cambria Math" w:cs="Cambria Math"/>
        </w:rPr>
        <w:t>(6) = 66.88</w:t>
      </w:r>
      <w:r>
        <w:t xml:space="preserve">, </w:t>
      </w:r>
      <w:r>
        <w:rPr>
          <w:rFonts w:ascii="Cambria Math" w:eastAsia="Cambria Math" w:hAnsi="Cambria Math" w:cs="Cambria Math"/>
        </w:rPr>
        <w:t>𝑝 = .516</w:t>
      </w:r>
      <w:r>
        <w:t xml:space="preserve"> and level of </w:t>
      </w:r>
      <w:proofErr w:type="gramStart"/>
      <w:r>
        <w:t>school based</w:t>
      </w:r>
      <w:proofErr w:type="gramEnd"/>
      <w:r>
        <w:t xml:space="preserve"> implementation, </w:t>
      </w:r>
      <w:r>
        <w:rPr>
          <w:rFonts w:ascii="Cambria Math" w:eastAsia="Cambria Math" w:hAnsi="Cambria Math" w:cs="Cambria Math"/>
        </w:rPr>
        <w:t>𝝌</w:t>
      </w:r>
      <w:r>
        <w:rPr>
          <w:rFonts w:ascii="Cambria Math" w:eastAsia="Cambria Math" w:hAnsi="Cambria Math" w:cs="Cambria Math"/>
          <w:vertAlign w:val="superscript"/>
        </w:rPr>
        <w:t>𝟐</w:t>
      </w:r>
      <w:r>
        <w:rPr>
          <w:rFonts w:ascii="Cambria Math" w:eastAsia="Cambria Math" w:hAnsi="Cambria Math" w:cs="Cambria Math"/>
        </w:rPr>
        <w:t>(8) = 14.84</w:t>
      </w:r>
      <w:r>
        <w:t xml:space="preserve">, </w:t>
      </w:r>
      <w:r>
        <w:rPr>
          <w:rFonts w:ascii="Cambria Math" w:eastAsia="Cambria Math" w:hAnsi="Cambria Math" w:cs="Cambria Math"/>
        </w:rPr>
        <w:t>𝑝 = .062</w:t>
      </w:r>
      <w:r>
        <w:t xml:space="preserve"> do not have significant bearing on the challenges encountered in the implementation of SBM. However, school category, </w:t>
      </w:r>
      <w:r>
        <w:rPr>
          <w:rFonts w:ascii="Cambria Math" w:eastAsia="Cambria Math" w:hAnsi="Cambria Math" w:cs="Cambria Math"/>
        </w:rPr>
        <w:t>𝝌</w:t>
      </w:r>
      <w:r>
        <w:rPr>
          <w:rFonts w:ascii="Cambria Math" w:eastAsia="Cambria Math" w:hAnsi="Cambria Math" w:cs="Cambria Math"/>
          <w:vertAlign w:val="superscript"/>
        </w:rPr>
        <w:t>𝟐</w:t>
      </w:r>
      <w:r>
        <w:rPr>
          <w:rFonts w:ascii="Cambria Math" w:eastAsia="Cambria Math" w:hAnsi="Cambria Math" w:cs="Cambria Math"/>
        </w:rPr>
        <w:t>(8) = 17.68</w:t>
      </w:r>
      <w:r>
        <w:t xml:space="preserve">, </w:t>
      </w:r>
      <w:r>
        <w:rPr>
          <w:rFonts w:ascii="Cambria Math" w:eastAsia="Cambria Math" w:hAnsi="Cambria Math" w:cs="Cambria Math"/>
        </w:rPr>
        <w:t>𝑝 = .024</w:t>
      </w:r>
      <w:r>
        <w:t xml:space="preserve"> appears to be a factor that contributes to the challenges of school-based management implementation. It implies that the if the category of a school is big, the more documents are to be analyzed to support SBM implementation while medium and small categorized schools have lesser documents to gather in the 2</w:t>
      </w:r>
      <w:r>
        <w:rPr>
          <w:vertAlign w:val="superscript"/>
        </w:rPr>
        <w:t>nd</w:t>
      </w:r>
      <w:r>
        <w:t xml:space="preserve"> congressional district in the division of Bohol. </w:t>
      </w:r>
    </w:p>
    <w:p w14:paraId="099F08A3" w14:textId="77777777" w:rsidR="00516544" w:rsidRDefault="00000000">
      <w:pPr>
        <w:spacing w:after="0" w:line="259" w:lineRule="auto"/>
        <w:ind w:left="0" w:right="0" w:firstLine="0"/>
        <w:jc w:val="left"/>
      </w:pPr>
      <w:r>
        <w:t xml:space="preserve"> </w:t>
      </w:r>
    </w:p>
    <w:p w14:paraId="351AFF40" w14:textId="77777777" w:rsidR="00516544" w:rsidRDefault="00000000">
      <w:pPr>
        <w:pStyle w:val="Heading2"/>
        <w:ind w:left="-5" w:right="0"/>
      </w:pPr>
      <w:r>
        <w:t xml:space="preserve">Relationship Between the Level of Practice and Challenges </w:t>
      </w:r>
    </w:p>
    <w:p w14:paraId="67BF1044" w14:textId="77777777" w:rsidR="00516544" w:rsidRDefault="00000000">
      <w:pPr>
        <w:ind w:left="-5" w:right="0"/>
      </w:pPr>
      <w:r>
        <w:t>This shows the significant relationship between the respondents’ level of practice and the challenges in the successful implementation of school-based management obtained from the online survey conducted with the sixty- eight (68) respondents comprised by the public secondary school principals and designated school heads in the 2</w:t>
      </w:r>
      <w:r>
        <w:rPr>
          <w:vertAlign w:val="superscript"/>
        </w:rPr>
        <w:t>nd</w:t>
      </w:r>
      <w:r>
        <w:t xml:space="preserve"> congressional district in the division of Bohol. Table 5 reveals that the respondents’ level of practice and the challenges in the successful implementation of school-based management are significantly related, </w:t>
      </w:r>
      <w:proofErr w:type="gramStart"/>
      <w:r>
        <w:rPr>
          <w:rFonts w:ascii="Cambria Math" w:eastAsia="Cambria Math" w:hAnsi="Cambria Math" w:cs="Cambria Math"/>
        </w:rPr>
        <w:t>𝑟(</w:t>
      </w:r>
      <w:proofErr w:type="gramEnd"/>
      <w:r>
        <w:rPr>
          <w:rFonts w:ascii="Cambria Math" w:eastAsia="Cambria Math" w:hAnsi="Cambria Math" w:cs="Cambria Math"/>
        </w:rPr>
        <w:t>66) = −0.28, 𝑝 = 0.19.</w:t>
      </w:r>
      <w:r>
        <w:t xml:space="preserve"> Thus, it fails to accept the null hypothesis stating that there is no significant relationship between the respondents’ level of practice and the challenges in the successful implementation of </w:t>
      </w:r>
      <w:proofErr w:type="spellStart"/>
      <w:r>
        <w:t>schoolbased</w:t>
      </w:r>
      <w:proofErr w:type="spellEnd"/>
      <w:r>
        <w:t xml:space="preserve"> management.  </w:t>
      </w:r>
    </w:p>
    <w:p w14:paraId="27DFEEA0" w14:textId="77777777" w:rsidR="00516544" w:rsidRDefault="00000000">
      <w:pPr>
        <w:spacing w:after="0" w:line="259" w:lineRule="auto"/>
        <w:ind w:left="0" w:right="0" w:firstLine="0"/>
        <w:jc w:val="left"/>
      </w:pPr>
      <w:r>
        <w:t xml:space="preserve"> </w:t>
      </w:r>
    </w:p>
    <w:p w14:paraId="54D23582" w14:textId="77777777" w:rsidR="00516544" w:rsidRDefault="00000000">
      <w:pPr>
        <w:pStyle w:val="Heading1"/>
        <w:ind w:left="-5" w:right="0"/>
      </w:pPr>
      <w:r>
        <w:t xml:space="preserve">Table 7 </w:t>
      </w:r>
    </w:p>
    <w:p w14:paraId="1F5B9DB6" w14:textId="77777777" w:rsidR="00516544" w:rsidRDefault="00000000">
      <w:pPr>
        <w:pStyle w:val="Heading2"/>
        <w:ind w:left="-5" w:right="0"/>
      </w:pPr>
      <w:r>
        <w:t xml:space="preserve">Relationship Between the Level of Practice and Challenges </w:t>
      </w:r>
    </w:p>
    <w:p w14:paraId="18BE0EA9" w14:textId="77777777" w:rsidR="00516544" w:rsidRDefault="00000000">
      <w:pPr>
        <w:spacing w:after="0" w:line="259" w:lineRule="auto"/>
        <w:ind w:left="0" w:right="0" w:firstLine="0"/>
        <w:jc w:val="left"/>
      </w:pPr>
      <w:r>
        <w:t xml:space="preserve"> </w:t>
      </w:r>
    </w:p>
    <w:tbl>
      <w:tblPr>
        <w:tblStyle w:val="TableGrid"/>
        <w:tblW w:w="8692" w:type="dxa"/>
        <w:tblInd w:w="-14" w:type="dxa"/>
        <w:tblCellMar>
          <w:top w:w="57" w:type="dxa"/>
          <w:left w:w="0" w:type="dxa"/>
          <w:bottom w:w="0" w:type="dxa"/>
          <w:right w:w="115" w:type="dxa"/>
        </w:tblCellMar>
        <w:tblLook w:val="04A0" w:firstRow="1" w:lastRow="0" w:firstColumn="1" w:lastColumn="0" w:noHBand="0" w:noVBand="1"/>
      </w:tblPr>
      <w:tblGrid>
        <w:gridCol w:w="2014"/>
        <w:gridCol w:w="586"/>
        <w:gridCol w:w="720"/>
        <w:gridCol w:w="850"/>
        <w:gridCol w:w="1268"/>
        <w:gridCol w:w="2037"/>
        <w:gridCol w:w="1217"/>
      </w:tblGrid>
      <w:tr w:rsidR="00516544" w14:paraId="70FF2B77" w14:textId="77777777">
        <w:trPr>
          <w:trHeight w:val="288"/>
        </w:trPr>
        <w:tc>
          <w:tcPr>
            <w:tcW w:w="2014" w:type="dxa"/>
            <w:tcBorders>
              <w:top w:val="single" w:sz="12" w:space="0" w:color="000000"/>
              <w:left w:val="nil"/>
              <w:bottom w:val="single" w:sz="12" w:space="0" w:color="000000"/>
              <w:right w:val="nil"/>
            </w:tcBorders>
          </w:tcPr>
          <w:p w14:paraId="4E451E12" w14:textId="77777777" w:rsidR="00516544" w:rsidRDefault="00000000">
            <w:pPr>
              <w:spacing w:after="0" w:line="259" w:lineRule="auto"/>
              <w:ind w:left="414" w:right="0" w:firstLine="0"/>
              <w:jc w:val="left"/>
            </w:pPr>
            <w:r>
              <w:rPr>
                <w:b/>
              </w:rPr>
              <w:t xml:space="preserve">Variables </w:t>
            </w:r>
          </w:p>
        </w:tc>
        <w:tc>
          <w:tcPr>
            <w:tcW w:w="586" w:type="dxa"/>
            <w:tcBorders>
              <w:top w:val="single" w:sz="12" w:space="0" w:color="000000"/>
              <w:left w:val="nil"/>
              <w:bottom w:val="single" w:sz="12" w:space="0" w:color="000000"/>
              <w:right w:val="nil"/>
            </w:tcBorders>
          </w:tcPr>
          <w:p w14:paraId="4C9F669D" w14:textId="77777777" w:rsidR="00516544" w:rsidRDefault="00000000">
            <w:pPr>
              <w:spacing w:after="0" w:line="259" w:lineRule="auto"/>
              <w:ind w:left="18" w:right="0" w:firstLine="0"/>
              <w:jc w:val="left"/>
            </w:pPr>
            <w:proofErr w:type="spellStart"/>
            <w:r>
              <w:rPr>
                <w:b/>
              </w:rPr>
              <w:t>df</w:t>
            </w:r>
            <w:proofErr w:type="spellEnd"/>
            <w:r>
              <w:rPr>
                <w:b/>
              </w:rPr>
              <w:t xml:space="preserve"> </w:t>
            </w:r>
          </w:p>
        </w:tc>
        <w:tc>
          <w:tcPr>
            <w:tcW w:w="720" w:type="dxa"/>
            <w:tcBorders>
              <w:top w:val="single" w:sz="12" w:space="0" w:color="000000"/>
              <w:left w:val="nil"/>
              <w:bottom w:val="single" w:sz="12" w:space="0" w:color="000000"/>
              <w:right w:val="nil"/>
            </w:tcBorders>
          </w:tcPr>
          <w:p w14:paraId="1A307938" w14:textId="77777777" w:rsidR="00516544" w:rsidRDefault="00000000">
            <w:pPr>
              <w:spacing w:after="0" w:line="259" w:lineRule="auto"/>
              <w:ind w:left="142" w:right="0" w:firstLine="0"/>
              <w:jc w:val="left"/>
            </w:pPr>
            <w:r>
              <w:rPr>
                <w:rFonts w:ascii="Cambria Math" w:eastAsia="Cambria Math" w:hAnsi="Cambria Math" w:cs="Cambria Math"/>
              </w:rPr>
              <w:t>𝜶</w:t>
            </w:r>
            <w:r>
              <w:t xml:space="preserve"> </w:t>
            </w:r>
          </w:p>
        </w:tc>
        <w:tc>
          <w:tcPr>
            <w:tcW w:w="850" w:type="dxa"/>
            <w:tcBorders>
              <w:top w:val="single" w:sz="12" w:space="0" w:color="000000"/>
              <w:left w:val="nil"/>
              <w:bottom w:val="single" w:sz="12" w:space="0" w:color="000000"/>
              <w:right w:val="nil"/>
            </w:tcBorders>
          </w:tcPr>
          <w:p w14:paraId="50A70733" w14:textId="77777777" w:rsidR="00516544" w:rsidRDefault="00000000">
            <w:pPr>
              <w:spacing w:after="0" w:line="259" w:lineRule="auto"/>
              <w:ind w:left="208" w:right="0" w:firstLine="0"/>
              <w:jc w:val="left"/>
            </w:pPr>
            <w:r>
              <w:rPr>
                <w:b/>
                <w:i/>
              </w:rPr>
              <w:t xml:space="preserve">r </w:t>
            </w:r>
          </w:p>
        </w:tc>
        <w:tc>
          <w:tcPr>
            <w:tcW w:w="1268" w:type="dxa"/>
            <w:tcBorders>
              <w:top w:val="single" w:sz="12" w:space="0" w:color="000000"/>
              <w:left w:val="nil"/>
              <w:bottom w:val="single" w:sz="12" w:space="0" w:color="000000"/>
              <w:right w:val="nil"/>
            </w:tcBorders>
          </w:tcPr>
          <w:p w14:paraId="32CC0FA9" w14:textId="77777777" w:rsidR="00516544" w:rsidRDefault="00000000">
            <w:pPr>
              <w:spacing w:after="0" w:line="259" w:lineRule="auto"/>
              <w:ind w:left="0" w:right="0" w:firstLine="0"/>
              <w:jc w:val="left"/>
            </w:pPr>
            <w:r>
              <w:rPr>
                <w:b/>
                <w:i/>
              </w:rPr>
              <w:t>p</w:t>
            </w:r>
            <w:r>
              <w:rPr>
                <w:b/>
              </w:rPr>
              <w:t xml:space="preserve">-value </w:t>
            </w:r>
          </w:p>
        </w:tc>
        <w:tc>
          <w:tcPr>
            <w:tcW w:w="2037" w:type="dxa"/>
            <w:tcBorders>
              <w:top w:val="single" w:sz="12" w:space="0" w:color="000000"/>
              <w:left w:val="nil"/>
              <w:bottom w:val="single" w:sz="12" w:space="0" w:color="000000"/>
              <w:right w:val="nil"/>
            </w:tcBorders>
          </w:tcPr>
          <w:p w14:paraId="5981A1F5" w14:textId="77777777" w:rsidR="00516544" w:rsidRDefault="00000000">
            <w:pPr>
              <w:spacing w:after="0" w:line="259" w:lineRule="auto"/>
              <w:ind w:left="0" w:right="0" w:firstLine="0"/>
              <w:jc w:val="left"/>
            </w:pPr>
            <w:r>
              <w:rPr>
                <w:b/>
              </w:rPr>
              <w:t>Interpretation</w:t>
            </w:r>
            <w:r>
              <w:t xml:space="preserve"> </w:t>
            </w:r>
          </w:p>
        </w:tc>
        <w:tc>
          <w:tcPr>
            <w:tcW w:w="1217" w:type="dxa"/>
            <w:tcBorders>
              <w:top w:val="single" w:sz="12" w:space="0" w:color="000000"/>
              <w:left w:val="nil"/>
              <w:bottom w:val="single" w:sz="12" w:space="0" w:color="000000"/>
              <w:right w:val="nil"/>
            </w:tcBorders>
          </w:tcPr>
          <w:p w14:paraId="5D2F0C7E" w14:textId="77777777" w:rsidR="00516544" w:rsidRDefault="00000000">
            <w:pPr>
              <w:spacing w:after="0" w:line="259" w:lineRule="auto"/>
              <w:ind w:left="4" w:right="0" w:firstLine="0"/>
              <w:jc w:val="left"/>
            </w:pPr>
            <w:r>
              <w:rPr>
                <w:b/>
              </w:rPr>
              <w:t>Decision</w:t>
            </w:r>
            <w:r>
              <w:t xml:space="preserve"> </w:t>
            </w:r>
          </w:p>
        </w:tc>
      </w:tr>
      <w:tr w:rsidR="00516544" w14:paraId="2638B6BE" w14:textId="77777777">
        <w:trPr>
          <w:trHeight w:val="698"/>
        </w:trPr>
        <w:tc>
          <w:tcPr>
            <w:tcW w:w="2014" w:type="dxa"/>
            <w:tcBorders>
              <w:top w:val="single" w:sz="12" w:space="0" w:color="000000"/>
              <w:left w:val="nil"/>
              <w:bottom w:val="single" w:sz="12" w:space="0" w:color="000000"/>
              <w:right w:val="nil"/>
            </w:tcBorders>
          </w:tcPr>
          <w:p w14:paraId="08337170" w14:textId="77777777" w:rsidR="00516544" w:rsidRDefault="00000000">
            <w:pPr>
              <w:spacing w:after="0" w:line="259" w:lineRule="auto"/>
              <w:ind w:left="352" w:right="0" w:hanging="60"/>
              <w:jc w:val="left"/>
            </w:pPr>
            <w:r>
              <w:lastRenderedPageBreak/>
              <w:t xml:space="preserve">Practice and Challenges </w:t>
            </w:r>
          </w:p>
        </w:tc>
        <w:tc>
          <w:tcPr>
            <w:tcW w:w="586" w:type="dxa"/>
            <w:tcBorders>
              <w:top w:val="single" w:sz="12" w:space="0" w:color="000000"/>
              <w:left w:val="nil"/>
              <w:bottom w:val="single" w:sz="12" w:space="0" w:color="000000"/>
              <w:right w:val="nil"/>
            </w:tcBorders>
          </w:tcPr>
          <w:p w14:paraId="38939D3F" w14:textId="77777777" w:rsidR="00516544" w:rsidRDefault="00000000">
            <w:pPr>
              <w:spacing w:after="0" w:line="259" w:lineRule="auto"/>
              <w:ind w:left="0" w:right="0" w:firstLine="0"/>
              <w:jc w:val="left"/>
            </w:pPr>
            <w:r>
              <w:t xml:space="preserve">66 </w:t>
            </w:r>
          </w:p>
        </w:tc>
        <w:tc>
          <w:tcPr>
            <w:tcW w:w="720" w:type="dxa"/>
            <w:tcBorders>
              <w:top w:val="single" w:sz="12" w:space="0" w:color="000000"/>
              <w:left w:val="nil"/>
              <w:bottom w:val="single" w:sz="12" w:space="0" w:color="000000"/>
              <w:right w:val="nil"/>
            </w:tcBorders>
          </w:tcPr>
          <w:p w14:paraId="12043F46" w14:textId="77777777" w:rsidR="00516544" w:rsidRDefault="00000000">
            <w:pPr>
              <w:spacing w:after="0" w:line="259" w:lineRule="auto"/>
              <w:ind w:left="0" w:right="0" w:firstLine="0"/>
              <w:jc w:val="left"/>
            </w:pPr>
            <w:r>
              <w:t xml:space="preserve">0.05 </w:t>
            </w:r>
          </w:p>
        </w:tc>
        <w:tc>
          <w:tcPr>
            <w:tcW w:w="850" w:type="dxa"/>
            <w:tcBorders>
              <w:top w:val="single" w:sz="12" w:space="0" w:color="000000"/>
              <w:left w:val="nil"/>
              <w:bottom w:val="single" w:sz="12" w:space="0" w:color="000000"/>
              <w:right w:val="nil"/>
            </w:tcBorders>
          </w:tcPr>
          <w:p w14:paraId="47FC1B8C" w14:textId="77777777" w:rsidR="00516544" w:rsidRDefault="00000000">
            <w:pPr>
              <w:spacing w:after="0" w:line="259" w:lineRule="auto"/>
              <w:ind w:left="0" w:right="0" w:firstLine="0"/>
              <w:jc w:val="left"/>
            </w:pPr>
            <w:r>
              <w:t xml:space="preserve">-0.28 </w:t>
            </w:r>
          </w:p>
        </w:tc>
        <w:tc>
          <w:tcPr>
            <w:tcW w:w="1268" w:type="dxa"/>
            <w:tcBorders>
              <w:top w:val="single" w:sz="12" w:space="0" w:color="000000"/>
              <w:left w:val="nil"/>
              <w:bottom w:val="single" w:sz="12" w:space="0" w:color="000000"/>
              <w:right w:val="nil"/>
            </w:tcBorders>
          </w:tcPr>
          <w:p w14:paraId="2DB9AFC3" w14:textId="77777777" w:rsidR="00516544" w:rsidRDefault="00000000">
            <w:pPr>
              <w:spacing w:after="0" w:line="259" w:lineRule="auto"/>
              <w:ind w:left="40" w:right="0" w:firstLine="0"/>
              <w:jc w:val="left"/>
            </w:pPr>
            <w:r>
              <w:t xml:space="preserve">0.019 </w:t>
            </w:r>
          </w:p>
        </w:tc>
        <w:tc>
          <w:tcPr>
            <w:tcW w:w="2037" w:type="dxa"/>
            <w:tcBorders>
              <w:top w:val="single" w:sz="12" w:space="0" w:color="000000"/>
              <w:left w:val="nil"/>
              <w:bottom w:val="single" w:sz="12" w:space="0" w:color="000000"/>
              <w:right w:val="nil"/>
            </w:tcBorders>
          </w:tcPr>
          <w:p w14:paraId="4798A6E1" w14:textId="77777777" w:rsidR="00516544" w:rsidRDefault="00000000">
            <w:pPr>
              <w:spacing w:after="0" w:line="259" w:lineRule="auto"/>
              <w:ind w:left="132" w:right="0" w:firstLine="0"/>
              <w:jc w:val="left"/>
            </w:pPr>
            <w:r>
              <w:t xml:space="preserve">Significant </w:t>
            </w:r>
          </w:p>
        </w:tc>
        <w:tc>
          <w:tcPr>
            <w:tcW w:w="1217" w:type="dxa"/>
            <w:tcBorders>
              <w:top w:val="single" w:sz="12" w:space="0" w:color="000000"/>
              <w:left w:val="nil"/>
              <w:bottom w:val="single" w:sz="12" w:space="0" w:color="000000"/>
              <w:right w:val="nil"/>
            </w:tcBorders>
          </w:tcPr>
          <w:p w14:paraId="4646D3D0" w14:textId="77777777" w:rsidR="00516544" w:rsidRDefault="00000000">
            <w:pPr>
              <w:spacing w:after="0" w:line="259" w:lineRule="auto"/>
              <w:ind w:left="0" w:right="0" w:firstLine="0"/>
              <w:jc w:val="left"/>
            </w:pPr>
            <w:r>
              <w:t>Reject H</w:t>
            </w:r>
            <w:r>
              <w:rPr>
                <w:vertAlign w:val="subscript"/>
              </w:rPr>
              <w:t>0</w:t>
            </w:r>
            <w:r>
              <w:t xml:space="preserve"> </w:t>
            </w:r>
          </w:p>
        </w:tc>
      </w:tr>
    </w:tbl>
    <w:p w14:paraId="68C76B3E" w14:textId="77777777" w:rsidR="00516544" w:rsidRDefault="00000000">
      <w:pPr>
        <w:spacing w:after="3" w:line="259" w:lineRule="auto"/>
        <w:ind w:left="0" w:right="0" w:firstLine="0"/>
        <w:jc w:val="left"/>
      </w:pPr>
      <w:r>
        <w:t xml:space="preserve"> </w:t>
      </w:r>
    </w:p>
    <w:p w14:paraId="456A09A8" w14:textId="77777777" w:rsidR="00516544" w:rsidRDefault="00000000">
      <w:pPr>
        <w:ind w:left="-5" w:right="0"/>
      </w:pPr>
      <w:r>
        <w:t xml:space="preserve">The correlation coefficient of </w:t>
      </w:r>
      <w:r>
        <w:rPr>
          <w:rFonts w:ascii="Cambria Math" w:eastAsia="Cambria Math" w:hAnsi="Cambria Math" w:cs="Cambria Math"/>
        </w:rPr>
        <w:t>𝑟 = −0.28</w:t>
      </w:r>
      <w:r>
        <w:t xml:space="preserve"> indicates a negative relationship between the said two variables. It implies that the higher the SBM practice, the lesser challenges are being encountered by the schools in terms of Leadership and Governance; Curriculum and Instruction; Accountability and Continuous Improvement; and Management of Resources by the public secondary schools in the 2</w:t>
      </w:r>
      <w:r>
        <w:rPr>
          <w:vertAlign w:val="superscript"/>
        </w:rPr>
        <w:t>nd</w:t>
      </w:r>
      <w:r>
        <w:t xml:space="preserve"> congressional district in the division of Bohol. Schools are encouraged to come up with new approaches to improve their SBM level of practice by including both internal and external stakeholders through their efforts on the shared governance idea. With this, technical assistance is provided to further elevate the four SBM principles (Lopez, G. 2022). </w:t>
      </w:r>
    </w:p>
    <w:p w14:paraId="10014D99" w14:textId="77777777" w:rsidR="00516544" w:rsidRDefault="00000000">
      <w:pPr>
        <w:spacing w:after="0" w:line="259" w:lineRule="auto"/>
        <w:ind w:left="0" w:right="0" w:firstLine="0"/>
        <w:jc w:val="left"/>
      </w:pPr>
      <w:r>
        <w:t xml:space="preserve"> </w:t>
      </w:r>
    </w:p>
    <w:p w14:paraId="1D0A98B6" w14:textId="77777777" w:rsidR="00516544" w:rsidRDefault="00000000">
      <w:pPr>
        <w:ind w:left="-5" w:right="0"/>
      </w:pPr>
      <w:r>
        <w:t>There must be coordination among stakeholders for effective SBM implementation. Likewise, both teachers and school heads suggested the following in order to solve school-based management problems and challenges towards the realization of the school objectives: (a) initiate and conduct training about SBM to stakeholders; (b) encourage collaboration among teachers and participation among stakeholders; (c) there must be transparency in the allocation and utilization of MOOE, SEF, community contribution and supplemental budget; (d) de-politicize the school system or structure; (e) there must be a compulsory management course for school head; (f) the school head should discourage favoritism; (g) delegate powers for better decision-making; (h) regular monitoring and evaluation of school performance; and, (</w:t>
      </w:r>
      <w:proofErr w:type="spellStart"/>
      <w:r>
        <w:t>i</w:t>
      </w:r>
      <w:proofErr w:type="spellEnd"/>
      <w:r>
        <w:t>) democratic way of managing people. (</w:t>
      </w:r>
      <w:proofErr w:type="spellStart"/>
      <w:r>
        <w:t>Viggayan</w:t>
      </w:r>
      <w:proofErr w:type="spellEnd"/>
      <w:r>
        <w:t xml:space="preserve">, E. 2017). </w:t>
      </w:r>
    </w:p>
    <w:p w14:paraId="3A914573" w14:textId="77777777" w:rsidR="00516544" w:rsidRDefault="00000000">
      <w:pPr>
        <w:spacing w:after="0" w:line="259" w:lineRule="auto"/>
        <w:ind w:left="0" w:right="0" w:firstLine="0"/>
        <w:jc w:val="left"/>
      </w:pPr>
      <w:r>
        <w:t xml:space="preserve"> </w:t>
      </w:r>
    </w:p>
    <w:p w14:paraId="7222239E" w14:textId="77777777" w:rsidR="00516544" w:rsidRDefault="00000000">
      <w:pPr>
        <w:pStyle w:val="Heading1"/>
        <w:ind w:left="-5" w:right="0"/>
      </w:pPr>
      <w:r>
        <w:t xml:space="preserve">Conclusion </w:t>
      </w:r>
    </w:p>
    <w:p w14:paraId="22BD523F" w14:textId="77777777" w:rsidR="00516544" w:rsidRDefault="00000000">
      <w:pPr>
        <w:ind w:left="-5" w:right="0"/>
      </w:pPr>
      <w:r>
        <w:t xml:space="preserve">Majority of the schools are still in the developing and maturing level in SBM implementation and programs are aligned to A Child and Community-Centered Education Systems (ACCEs). School heads, teachers and stakeholders are working together to continuously improve SBM despite the challenges encountered during the process and more sources of funds is needed and should not be dependent on MOOE funds to continue SBM implementation. Furthermore, school category is a factor that contributes to the success of school- based management implementation, the bigger the school, more documents are to be retrieved and analyzed. Additionally, school category and the level of school- based implementation showed significant difference in relation to SBM level of practice while only school category showed significant difference in relation to SBM implementation challenges. Moreover, respondents’ level of practice and the challenges in the successful implementation of school-based management are correlated with each other implying that the higher the level of practice of SBM practice imposed in a school, the lesser challenges are encountered in the successful implementation of SBM.  </w:t>
      </w:r>
    </w:p>
    <w:p w14:paraId="5408F973" w14:textId="77777777" w:rsidR="00516544" w:rsidRDefault="00000000">
      <w:pPr>
        <w:spacing w:after="0" w:line="259" w:lineRule="auto"/>
        <w:ind w:left="0" w:right="0" w:firstLine="0"/>
        <w:jc w:val="left"/>
      </w:pPr>
      <w:r>
        <w:t xml:space="preserve"> </w:t>
      </w:r>
    </w:p>
    <w:p w14:paraId="7756A450" w14:textId="77777777" w:rsidR="00516544" w:rsidRDefault="00000000">
      <w:pPr>
        <w:pStyle w:val="Heading1"/>
        <w:ind w:left="-5" w:right="0"/>
      </w:pPr>
      <w:r>
        <w:t xml:space="preserve">Recommendations </w:t>
      </w:r>
    </w:p>
    <w:p w14:paraId="51EA94B6" w14:textId="77777777" w:rsidR="00516544" w:rsidRDefault="00000000">
      <w:pPr>
        <w:ind w:left="-5" w:right="0"/>
      </w:pPr>
      <w:r>
        <w:t xml:space="preserve">After the findings and conclusion, the researcher recommends the following: </w:t>
      </w:r>
    </w:p>
    <w:p w14:paraId="2F57E981" w14:textId="77777777" w:rsidR="00516544" w:rsidRDefault="00000000">
      <w:pPr>
        <w:numPr>
          <w:ilvl w:val="0"/>
          <w:numId w:val="2"/>
        </w:numPr>
        <w:ind w:right="0" w:hanging="360"/>
      </w:pPr>
      <w:r>
        <w:t xml:space="preserve">May conduct on boarding of new school heads and separate enrichment seminar- workshop and professional development programs may be developed if not revised for school SBM in charge (School heads, teachers, stakeholders) to better highlight each </w:t>
      </w:r>
      <w:proofErr w:type="gramStart"/>
      <w:r>
        <w:t>roles</w:t>
      </w:r>
      <w:proofErr w:type="gramEnd"/>
      <w:r>
        <w:t xml:space="preserve"> and responsibilities. </w:t>
      </w:r>
    </w:p>
    <w:p w14:paraId="5AA5B61B" w14:textId="77777777" w:rsidR="00516544" w:rsidRDefault="00000000">
      <w:pPr>
        <w:numPr>
          <w:ilvl w:val="0"/>
          <w:numId w:val="2"/>
        </w:numPr>
        <w:ind w:right="0" w:hanging="360"/>
      </w:pPr>
      <w:r>
        <w:t xml:space="preserve">May benchmark schools who have attained “Advanced Level” for best practices observed in the implementation of SBM in the second congressional district in the Division of Bohol. </w:t>
      </w:r>
    </w:p>
    <w:p w14:paraId="22480526" w14:textId="77777777" w:rsidR="00516544" w:rsidRDefault="00000000">
      <w:pPr>
        <w:numPr>
          <w:ilvl w:val="0"/>
          <w:numId w:val="2"/>
        </w:numPr>
        <w:ind w:right="0" w:hanging="360"/>
      </w:pPr>
      <w:r>
        <w:lastRenderedPageBreak/>
        <w:t xml:space="preserve">May conduct quarterly school level-initiated Document Analysis, Observation and Discussion (DOD) for easy compilation and retrieval of needed documents for SBM. </w:t>
      </w:r>
    </w:p>
    <w:p w14:paraId="3FFA4664" w14:textId="77777777" w:rsidR="00516544" w:rsidRDefault="00000000">
      <w:pPr>
        <w:numPr>
          <w:ilvl w:val="0"/>
          <w:numId w:val="2"/>
        </w:numPr>
        <w:ind w:right="0" w:hanging="360"/>
      </w:pPr>
      <w:r>
        <w:t xml:space="preserve">May devise a more rigid and systematic documentation/ records keeping system especially on the aspect of fund management particularly on resource generation from different sources incorporating each schools’ MIS for easy access and transparency of records. </w:t>
      </w:r>
    </w:p>
    <w:p w14:paraId="7F6B3E05" w14:textId="77777777" w:rsidR="00516544" w:rsidRDefault="00000000">
      <w:pPr>
        <w:numPr>
          <w:ilvl w:val="0"/>
          <w:numId w:val="2"/>
        </w:numPr>
        <w:ind w:right="0" w:hanging="360"/>
      </w:pPr>
      <w:r>
        <w:t xml:space="preserve">May include SBM progress and status every quarter and year- end reports to stakeholders meeting like Homeroom, BOD, and PTA meetings. </w:t>
      </w:r>
    </w:p>
    <w:p w14:paraId="503741E6" w14:textId="77777777" w:rsidR="00516544" w:rsidRDefault="00000000">
      <w:pPr>
        <w:numPr>
          <w:ilvl w:val="0"/>
          <w:numId w:val="2"/>
        </w:numPr>
        <w:ind w:right="0" w:hanging="360"/>
      </w:pPr>
      <w:r>
        <w:t xml:space="preserve">May develop a monitoring framework that will constantly check learners’ progress and performance aside from written tests. </w:t>
      </w:r>
    </w:p>
    <w:p w14:paraId="72E7E699" w14:textId="77777777" w:rsidR="00516544" w:rsidRDefault="00000000">
      <w:pPr>
        <w:numPr>
          <w:ilvl w:val="0"/>
          <w:numId w:val="2"/>
        </w:numPr>
        <w:ind w:right="0" w:hanging="360"/>
      </w:pPr>
      <w:r>
        <w:t xml:space="preserve">May craft new policies and guidelines that will enable schools to properly allocate funds/ resources for SBM operations. </w:t>
      </w:r>
    </w:p>
    <w:p w14:paraId="458677D0" w14:textId="77777777" w:rsidR="00516544" w:rsidRDefault="00000000">
      <w:pPr>
        <w:numPr>
          <w:ilvl w:val="0"/>
          <w:numId w:val="2"/>
        </w:numPr>
        <w:ind w:right="0" w:hanging="360"/>
      </w:pPr>
      <w:r>
        <w:t xml:space="preserve">Replication of this research to include public elementary schools can be made in the second congressional district in the division of Bohol.  </w:t>
      </w:r>
    </w:p>
    <w:p w14:paraId="52AF46B2" w14:textId="77777777" w:rsidR="00516544" w:rsidRDefault="00000000">
      <w:pPr>
        <w:spacing w:after="2" w:line="259" w:lineRule="auto"/>
        <w:ind w:left="0" w:right="0" w:firstLine="0"/>
        <w:jc w:val="left"/>
      </w:pPr>
      <w:r>
        <w:rPr>
          <w:b/>
        </w:rPr>
        <w:t xml:space="preserve"> </w:t>
      </w:r>
    </w:p>
    <w:p w14:paraId="2937F63A" w14:textId="77777777" w:rsidR="00516544" w:rsidRDefault="00000000">
      <w:pPr>
        <w:spacing w:after="0" w:line="259" w:lineRule="auto"/>
        <w:ind w:left="0" w:right="0" w:firstLine="0"/>
        <w:jc w:val="left"/>
      </w:pPr>
      <w:r>
        <w:rPr>
          <w:b/>
        </w:rPr>
        <w:t xml:space="preserve"> </w:t>
      </w:r>
      <w:r>
        <w:rPr>
          <w:b/>
        </w:rPr>
        <w:tab/>
        <w:t xml:space="preserve"> </w:t>
      </w:r>
    </w:p>
    <w:p w14:paraId="62EDE78F" w14:textId="77777777" w:rsidR="00516544" w:rsidRDefault="00000000">
      <w:pPr>
        <w:pStyle w:val="Heading1"/>
        <w:ind w:left="-5" w:right="0"/>
      </w:pPr>
      <w:r>
        <w:t xml:space="preserve">References </w:t>
      </w:r>
    </w:p>
    <w:p w14:paraId="5BD946A5" w14:textId="77777777" w:rsidR="00516544" w:rsidRDefault="00000000">
      <w:pPr>
        <w:spacing w:after="0" w:line="259" w:lineRule="auto"/>
        <w:ind w:left="360" w:right="0" w:firstLine="0"/>
        <w:jc w:val="left"/>
      </w:pPr>
      <w:r>
        <w:rPr>
          <w:b/>
        </w:rPr>
        <w:t xml:space="preserve"> </w:t>
      </w:r>
    </w:p>
    <w:p w14:paraId="3977FEC9" w14:textId="77777777" w:rsidR="00516544" w:rsidRDefault="00000000">
      <w:pPr>
        <w:ind w:left="-5" w:right="0"/>
      </w:pPr>
      <w:r>
        <w:t xml:space="preserve">Abulencia, A. (2012). School-based management: A structural reform intervention. The </w:t>
      </w:r>
    </w:p>
    <w:p w14:paraId="4B762C80" w14:textId="77777777" w:rsidR="00516544" w:rsidRDefault="00000000">
      <w:pPr>
        <w:tabs>
          <w:tab w:val="center" w:pos="1306"/>
          <w:tab w:val="center" w:pos="3203"/>
          <w:tab w:val="center" w:pos="4986"/>
          <w:tab w:val="center" w:pos="6512"/>
          <w:tab w:val="center" w:pos="7794"/>
          <w:tab w:val="right" w:pos="9370"/>
        </w:tabs>
        <w:ind w:left="0" w:right="0" w:firstLine="0"/>
        <w:jc w:val="left"/>
      </w:pPr>
      <w:r>
        <w:rPr>
          <w:rFonts w:ascii="Calibri" w:eastAsia="Calibri" w:hAnsi="Calibri" w:cs="Calibri"/>
        </w:rPr>
        <w:tab/>
      </w:r>
      <w:r>
        <w:t xml:space="preserve">Countryside </w:t>
      </w:r>
      <w:r>
        <w:tab/>
        <w:t xml:space="preserve">Development </w:t>
      </w:r>
      <w:r>
        <w:tab/>
        <w:t xml:space="preserve">Research </w:t>
      </w:r>
      <w:r>
        <w:tab/>
        <w:t xml:space="preserve">Journal, </w:t>
      </w:r>
      <w:r>
        <w:tab/>
        <w:t xml:space="preserve">7(1), </w:t>
      </w:r>
      <w:r>
        <w:tab/>
        <w:t xml:space="preserve">25–32. </w:t>
      </w:r>
    </w:p>
    <w:p w14:paraId="0F960F48" w14:textId="77777777" w:rsidR="00516544" w:rsidRDefault="00000000">
      <w:pPr>
        <w:ind w:right="0"/>
      </w:pPr>
      <w:r>
        <w:t xml:space="preserve">https://cdrj.ssu.edu.ph/index.php/CDRJ/article/view/169 </w:t>
      </w:r>
    </w:p>
    <w:p w14:paraId="0AD4FC66" w14:textId="77777777" w:rsidR="00516544" w:rsidRDefault="00000000">
      <w:pPr>
        <w:ind w:left="-5" w:right="0"/>
      </w:pPr>
      <w:proofErr w:type="spellStart"/>
      <w:r>
        <w:t>Algones</w:t>
      </w:r>
      <w:proofErr w:type="spellEnd"/>
      <w:r>
        <w:t xml:space="preserve">, B. (2019). Enabling role of the stakeholders in the school-based management process. </w:t>
      </w:r>
    </w:p>
    <w:p w14:paraId="27E39439" w14:textId="77777777" w:rsidR="00516544" w:rsidRDefault="00000000">
      <w:pPr>
        <w:tabs>
          <w:tab w:val="center" w:pos="909"/>
          <w:tab w:val="center" w:pos="2176"/>
          <w:tab w:val="center" w:pos="3902"/>
          <w:tab w:val="center" w:pos="5511"/>
          <w:tab w:val="center" w:pos="6862"/>
          <w:tab w:val="center" w:pos="7970"/>
          <w:tab w:val="right" w:pos="9370"/>
        </w:tabs>
        <w:ind w:left="0" w:right="0" w:firstLine="0"/>
        <w:jc w:val="left"/>
      </w:pPr>
      <w:r>
        <w:rPr>
          <w:rFonts w:ascii="Calibri" w:eastAsia="Calibri" w:hAnsi="Calibri" w:cs="Calibri"/>
        </w:rPr>
        <w:tab/>
      </w:r>
      <w:r>
        <w:t xml:space="preserve">The </w:t>
      </w:r>
      <w:r>
        <w:tab/>
        <w:t xml:space="preserve">Countryside </w:t>
      </w:r>
      <w:r>
        <w:tab/>
        <w:t xml:space="preserve">Development </w:t>
      </w:r>
      <w:r>
        <w:tab/>
        <w:t xml:space="preserve">Research </w:t>
      </w:r>
      <w:r>
        <w:tab/>
        <w:t xml:space="preserve">Journal, </w:t>
      </w:r>
      <w:r>
        <w:tab/>
        <w:t xml:space="preserve">7(1), </w:t>
      </w:r>
      <w:r>
        <w:tab/>
        <w:t xml:space="preserve">25–32. </w:t>
      </w:r>
    </w:p>
    <w:p w14:paraId="60BA06E7" w14:textId="77777777" w:rsidR="00516544" w:rsidRDefault="00000000">
      <w:pPr>
        <w:ind w:right="0"/>
      </w:pPr>
      <w:r>
        <w:t xml:space="preserve">https://cdrj.ssu.edu.ph/index.php/CDRJ/article/view/169/125 </w:t>
      </w:r>
    </w:p>
    <w:p w14:paraId="5BA7AE99" w14:textId="77777777" w:rsidR="00516544" w:rsidRDefault="00000000">
      <w:pPr>
        <w:ind w:left="705" w:right="0" w:hanging="720"/>
      </w:pPr>
      <w:proofErr w:type="spellStart"/>
      <w:r>
        <w:t>Allawan</w:t>
      </w:r>
      <w:proofErr w:type="spellEnd"/>
      <w:r>
        <w:t xml:space="preserve">, F. D. (2012). School’s community partnership practices and stakeholders’ involvement in </w:t>
      </w:r>
      <w:proofErr w:type="spellStart"/>
      <w:r>
        <w:t>Digos</w:t>
      </w:r>
      <w:proofErr w:type="spellEnd"/>
      <w:r>
        <w:t xml:space="preserve"> City Division (Unpublished master’s thesis). Southern Philippines </w:t>
      </w:r>
      <w:proofErr w:type="spellStart"/>
      <w:r>
        <w:t>AgriBusiness</w:t>
      </w:r>
      <w:proofErr w:type="spellEnd"/>
      <w:r>
        <w:t xml:space="preserve"> and Marine and Aquatic School of Technology, </w:t>
      </w:r>
      <w:proofErr w:type="spellStart"/>
      <w:r>
        <w:t>Digos</w:t>
      </w:r>
      <w:proofErr w:type="spellEnd"/>
      <w:r>
        <w:t xml:space="preserve"> City, Philippines. </w:t>
      </w:r>
    </w:p>
    <w:p w14:paraId="4AE205E3" w14:textId="77777777" w:rsidR="00516544" w:rsidRDefault="00000000">
      <w:pPr>
        <w:ind w:left="705" w:right="0" w:hanging="720"/>
      </w:pPr>
      <w:proofErr w:type="spellStart"/>
      <w:r>
        <w:t>Allahem</w:t>
      </w:r>
      <w:proofErr w:type="spellEnd"/>
      <w:r>
        <w:t xml:space="preserve">, M. S. (2013). The impact of monetary and non-monetary rewards on job satisfaction. https://www.eimj.org/uplode/images/photo/maemonah.pdf </w:t>
      </w:r>
    </w:p>
    <w:p w14:paraId="5C08BB4A" w14:textId="77777777" w:rsidR="00516544" w:rsidRDefault="00000000">
      <w:pPr>
        <w:ind w:left="705" w:right="0" w:hanging="720"/>
      </w:pPr>
      <w:proofErr w:type="spellStart"/>
      <w:r>
        <w:t>Ballarta</w:t>
      </w:r>
      <w:proofErr w:type="spellEnd"/>
      <w:r>
        <w:t xml:space="preserve">, L., Perez, D., &amp; </w:t>
      </w:r>
      <w:proofErr w:type="spellStart"/>
      <w:r>
        <w:t>Hamora</w:t>
      </w:r>
      <w:proofErr w:type="spellEnd"/>
      <w:r>
        <w:t xml:space="preserve">, L. (2022). School-based management level of practice in selected public elementary schools in </w:t>
      </w:r>
      <w:proofErr w:type="spellStart"/>
      <w:r>
        <w:t>Mimaropa</w:t>
      </w:r>
      <w:proofErr w:type="spellEnd"/>
      <w:r>
        <w:t xml:space="preserve"> Region, Philippines. Journal of </w:t>
      </w:r>
    </w:p>
    <w:p w14:paraId="56060051" w14:textId="77777777" w:rsidR="00516544" w:rsidRDefault="00000000">
      <w:pPr>
        <w:ind w:right="0"/>
      </w:pPr>
      <w:r>
        <w:t xml:space="preserve">Pedagogical </w:t>
      </w:r>
      <w:r>
        <w:tab/>
        <w:t xml:space="preserve">Inventions </w:t>
      </w:r>
      <w:r>
        <w:tab/>
        <w:t xml:space="preserve">and </w:t>
      </w:r>
      <w:r>
        <w:tab/>
        <w:t xml:space="preserve">Practices. https://zienjournals.com/index.php/jpip/article/view/1672 </w:t>
      </w:r>
    </w:p>
    <w:p w14:paraId="3F46F59F" w14:textId="77777777" w:rsidR="00516544" w:rsidRDefault="00000000">
      <w:pPr>
        <w:ind w:left="705" w:right="0" w:hanging="720"/>
      </w:pPr>
      <w:r>
        <w:t xml:space="preserve">Cabardo, J. (2016). Levels of participation of school stakeholders in school-initiated activities and the implementation of school-based management. Journal of Inquiry &amp; Action in Education, 8(1), 81–94. https://files.eric.ed.gov/fulltext/EJ1133596.pdf </w:t>
      </w:r>
    </w:p>
    <w:p w14:paraId="2049B892" w14:textId="77777777" w:rsidR="00516544" w:rsidRDefault="00000000">
      <w:pPr>
        <w:tabs>
          <w:tab w:val="center" w:pos="2719"/>
          <w:tab w:val="center" w:pos="4366"/>
          <w:tab w:val="center" w:pos="6117"/>
          <w:tab w:val="right" w:pos="9370"/>
        </w:tabs>
        <w:ind w:left="-15" w:right="0" w:firstLine="0"/>
        <w:jc w:val="left"/>
      </w:pPr>
      <w:r>
        <w:t xml:space="preserve">Decentralization </w:t>
      </w:r>
      <w:r>
        <w:tab/>
        <w:t xml:space="preserve">and </w:t>
      </w:r>
      <w:r>
        <w:tab/>
        <w:t xml:space="preserve">education. </w:t>
      </w:r>
      <w:r>
        <w:tab/>
        <w:t xml:space="preserve">(n.d.). </w:t>
      </w:r>
      <w:r>
        <w:tab/>
        <w:t xml:space="preserve">StateUniversity.com. </w:t>
      </w:r>
    </w:p>
    <w:p w14:paraId="473A6A6B" w14:textId="77777777" w:rsidR="00516544" w:rsidRDefault="00000000">
      <w:pPr>
        <w:ind w:right="0"/>
      </w:pPr>
      <w:r>
        <w:t xml:space="preserve">https://education.stateuniversity.com/pages/1903/DecentralizationEducation.html </w:t>
      </w:r>
    </w:p>
    <w:p w14:paraId="2711593F" w14:textId="77777777" w:rsidR="00516544" w:rsidRDefault="00000000">
      <w:pPr>
        <w:ind w:left="705" w:right="0" w:hanging="720"/>
      </w:pPr>
      <w:r>
        <w:t xml:space="preserve">Department of Education. (2006). DepEd Order No. 21, s. 2006: Guidelines for the organization of classes. https://www.deped.gov.ph/2006/05/26/do-21-s-2006-guidelines-for-theorganization-of-classes/ </w:t>
      </w:r>
    </w:p>
    <w:p w14:paraId="5F999F93" w14:textId="77777777" w:rsidR="00516544" w:rsidRDefault="00000000">
      <w:pPr>
        <w:ind w:left="705" w:right="0" w:hanging="720"/>
      </w:pPr>
      <w:r>
        <w:t xml:space="preserve">Department of Education. (2009). DepEd Order No. 34, s. 2009: Implementation of the Basic Education Sector Reform Agenda (BESRA). http://www.deped.gov.ph/wpcontent/uploads/2018/10/DO_s2009_34.pdf </w:t>
      </w:r>
    </w:p>
    <w:p w14:paraId="238BB481" w14:textId="77777777" w:rsidR="00516544" w:rsidRDefault="00000000">
      <w:pPr>
        <w:ind w:left="705" w:right="0" w:hanging="720"/>
      </w:pPr>
      <w:r>
        <w:t xml:space="preserve">Department of Education. (2012). DepEd Order No. 83, s. 2012: Implementing guidelines on the revised school-based management (SBM) framework, assessment process, and tools. </w:t>
      </w:r>
    </w:p>
    <w:p w14:paraId="41987422" w14:textId="77777777" w:rsidR="00516544" w:rsidRDefault="00000000">
      <w:pPr>
        <w:ind w:right="0"/>
      </w:pPr>
      <w:r>
        <w:t xml:space="preserve">https://echoesineducation.files.wordpress.com/2014/09/pasbe-sbm-order-dos2012083.pdf </w:t>
      </w:r>
    </w:p>
    <w:p w14:paraId="10AC09D5" w14:textId="77777777" w:rsidR="00516544" w:rsidRDefault="00000000">
      <w:pPr>
        <w:ind w:left="705" w:right="0" w:hanging="720"/>
      </w:pPr>
      <w:r>
        <w:lastRenderedPageBreak/>
        <w:t xml:space="preserve">Department of Education. (2015a). DepEd Order No. 44, s. 2015: Guidelines on the enhanced school improvement planning (SIP) process and the school report card (SRC). https://www.deped.gov.ph/wp-content/uploads/2015/09/DO_s2015_44_0.pdf </w:t>
      </w:r>
    </w:p>
    <w:p w14:paraId="3301DCD0" w14:textId="77777777" w:rsidR="00516544" w:rsidRDefault="00000000">
      <w:pPr>
        <w:ind w:left="705" w:right="0" w:hanging="720"/>
      </w:pPr>
      <w:r>
        <w:t xml:space="preserve">Department of Education. (2015b). DepEd Order No. 45, s. 2015: Guidelines on school-based management (SBM) grants for fiscal year 2014. https://www.deped.gov.ph/wpcontent/uploads/2015/09/DO_s2015_45-1.pdf </w:t>
      </w:r>
    </w:p>
    <w:p w14:paraId="6980E663" w14:textId="77777777" w:rsidR="00516544" w:rsidRDefault="00000000">
      <w:pPr>
        <w:ind w:left="705" w:right="0" w:hanging="720"/>
      </w:pPr>
      <w:r>
        <w:t xml:space="preserve">Department of Education. (2016). DepEd Order No. 35, s. 2016: The learning action cell as a K– 12 basic education program school-based continuing professional development strategy. https://www.deped.gov.ph/wp-content/uploads/2016/06/DO_s2016_035.pdf </w:t>
      </w:r>
    </w:p>
    <w:p w14:paraId="1113411B" w14:textId="77777777" w:rsidR="00516544" w:rsidRDefault="00000000">
      <w:pPr>
        <w:ind w:left="705" w:right="0" w:hanging="720"/>
      </w:pPr>
      <w:r>
        <w:t xml:space="preserve">Department of Education. (2019). DepEd Order No. 8, s. 2019: Revised implementing guidelines on the direct release, use, monitoring, and reporting of maintenance and other operating </w:t>
      </w:r>
    </w:p>
    <w:p w14:paraId="2AB553D2" w14:textId="77777777" w:rsidR="00516544" w:rsidRDefault="00000000">
      <w:pPr>
        <w:ind w:right="0"/>
      </w:pPr>
      <w:r>
        <w:t xml:space="preserve">expenses </w:t>
      </w:r>
      <w:r>
        <w:tab/>
        <w:t xml:space="preserve">allocation </w:t>
      </w:r>
      <w:r>
        <w:tab/>
        <w:t xml:space="preserve">of </w:t>
      </w:r>
      <w:r>
        <w:tab/>
        <w:t xml:space="preserve">schools. </w:t>
      </w:r>
      <w:r>
        <w:tab/>
        <w:t xml:space="preserve">https://www.deped.gov.ph/wpcontent/uploads/2019/05/DO_s2019_008rev.pdf </w:t>
      </w:r>
    </w:p>
    <w:p w14:paraId="095D5CCF" w14:textId="77777777" w:rsidR="00516544" w:rsidRDefault="00000000">
      <w:pPr>
        <w:ind w:left="705" w:right="0" w:hanging="720"/>
      </w:pPr>
      <w:r>
        <w:t xml:space="preserve">Department of Education. (2021). Division Memorandum No. 435, s. 2021: Revised school-based management level of practice assessment tool and validation form. https://www.depedbohol.org/?p=36862 </w:t>
      </w:r>
    </w:p>
    <w:p w14:paraId="5DBE298B" w14:textId="77777777" w:rsidR="00516544" w:rsidRDefault="00000000">
      <w:pPr>
        <w:ind w:left="-5" w:right="0"/>
      </w:pPr>
      <w:r>
        <w:t xml:space="preserve">Driessen, G., &amp; Hughes, J. (2020). Fiscal federalism: Theory and practice. Congressional </w:t>
      </w:r>
    </w:p>
    <w:p w14:paraId="634CAA1D" w14:textId="77777777" w:rsidR="00516544" w:rsidRDefault="00000000">
      <w:pPr>
        <w:ind w:right="0"/>
      </w:pPr>
      <w:r>
        <w:t xml:space="preserve">Research Service. https://crsreports.congress.gov/product/pdf/R/R46382 </w:t>
      </w:r>
    </w:p>
    <w:p w14:paraId="0F26F49A" w14:textId="77777777" w:rsidR="00516544" w:rsidRDefault="00000000">
      <w:pPr>
        <w:ind w:left="705" w:right="0" w:hanging="720"/>
      </w:pPr>
      <w:r>
        <w:t xml:space="preserve">Felices, L. (2018). School-based management practices among selected laboratory high schools in the National Capital Region: Basis for policy formulation. European Academic Research, 4(1), 345–363. https://www.euacademic.org/UploadArticle/3532.pdf </w:t>
      </w:r>
    </w:p>
    <w:p w14:paraId="64827828" w14:textId="77777777" w:rsidR="00516544" w:rsidRDefault="00000000">
      <w:pPr>
        <w:ind w:left="705" w:right="0" w:hanging="720"/>
      </w:pPr>
      <w:r>
        <w:t xml:space="preserve">Isa, A., </w:t>
      </w:r>
      <w:proofErr w:type="spellStart"/>
      <w:r>
        <w:t>Mydin</w:t>
      </w:r>
      <w:proofErr w:type="spellEnd"/>
      <w:r>
        <w:t xml:space="preserve">, A., &amp; Abdullah, A. (2020). School-based management practices in Malaysia: A systematic literature review. International Journal of Academic Research in Business and Social Sciences, 10(9), 822–838. https://doi.org/10.6007/IJARBSS/v10-i9/7870 </w:t>
      </w:r>
    </w:p>
    <w:p w14:paraId="7C4889EB" w14:textId="77777777" w:rsidR="00516544" w:rsidRDefault="00000000">
      <w:pPr>
        <w:ind w:left="705" w:right="0" w:hanging="720"/>
      </w:pPr>
      <w:r>
        <w:t xml:space="preserve">Kitana, A. (2016). Overview of managerial thoughts and theories: From classical to modern management theory. Indian Journal of Management Science, 4(1), 16–21. </w:t>
      </w:r>
    </w:p>
    <w:p w14:paraId="05DFF216" w14:textId="77777777" w:rsidR="00516544" w:rsidRDefault="00000000">
      <w:pPr>
        <w:ind w:left="705" w:right="0" w:hanging="720"/>
      </w:pPr>
      <w:r>
        <w:t xml:space="preserve">Komatsu, T. (2012). Decentralized school governance and social cohesion in a post-conflict society: School leaders’ participatory democratic accountability in Bosnia and Herzegovina (Doctoral dissertation, University of Minnesota). https://conservancy.umn.edu/handle/11299/126262 </w:t>
      </w:r>
    </w:p>
    <w:p w14:paraId="7B56F740" w14:textId="77777777" w:rsidR="00516544" w:rsidRDefault="00000000">
      <w:pPr>
        <w:ind w:left="705" w:right="0" w:hanging="720"/>
      </w:pPr>
      <w:proofErr w:type="spellStart"/>
      <w:r>
        <w:t>Lazwardi</w:t>
      </w:r>
      <w:proofErr w:type="spellEnd"/>
      <w:r>
        <w:t>, D. (2018). Implementation of school-based management. Al-</w:t>
      </w:r>
      <w:proofErr w:type="spellStart"/>
      <w:r>
        <w:t>Idarah</w:t>
      </w:r>
      <w:proofErr w:type="spellEnd"/>
      <w:r>
        <w:t xml:space="preserve">: </w:t>
      </w:r>
      <w:proofErr w:type="spellStart"/>
      <w:r>
        <w:t>Jurnal</w:t>
      </w:r>
      <w:proofErr w:type="spellEnd"/>
      <w:r>
        <w:t xml:space="preserve"> </w:t>
      </w:r>
      <w:proofErr w:type="spellStart"/>
      <w:r>
        <w:t>Kependidikan</w:t>
      </w:r>
      <w:proofErr w:type="spellEnd"/>
      <w:r>
        <w:t xml:space="preserve"> Islam, 8(1), 33–49. https://doi.org/10.24042/alidarah.v8i1.2973 </w:t>
      </w:r>
    </w:p>
    <w:p w14:paraId="52585A78" w14:textId="77777777" w:rsidR="00516544" w:rsidRDefault="00000000">
      <w:pPr>
        <w:ind w:left="705" w:right="0" w:hanging="720"/>
      </w:pPr>
      <w:r>
        <w:t xml:space="preserve">Lopez, G. (2022). School-based management: Challenges hindering improvement of school level of practice. International Journal of Research in Engineering, Science and Management, 5(11), 225–229. https://www.ijresm.com </w:t>
      </w:r>
    </w:p>
    <w:p w14:paraId="22939020" w14:textId="77777777" w:rsidR="00516544" w:rsidRDefault="00000000">
      <w:pPr>
        <w:ind w:left="705" w:right="0" w:hanging="720"/>
      </w:pPr>
      <w:r>
        <w:t xml:space="preserve">Maca, M. (2019). School-based management in the Philippines: Fostering innovations in the public school system. RSU Research Journal, 2(1), 35–59. https://ojs.rsu.edu.ph/index.php/rsurj/article/view/10 </w:t>
      </w:r>
    </w:p>
    <w:p w14:paraId="120CEFFF" w14:textId="77777777" w:rsidR="00516544" w:rsidRDefault="00000000">
      <w:pPr>
        <w:ind w:left="705" w:right="0" w:hanging="720"/>
      </w:pPr>
      <w:r>
        <w:t xml:space="preserve">Moradi, S., </w:t>
      </w:r>
      <w:proofErr w:type="spellStart"/>
      <w:r>
        <w:t>Beidokhti</w:t>
      </w:r>
      <w:proofErr w:type="spellEnd"/>
      <w:r>
        <w:t xml:space="preserve">, A., &amp; Fathi, K. (2016). Comparative comparison of implementing </w:t>
      </w:r>
      <w:proofErr w:type="spellStart"/>
      <w:r>
        <w:t>schoolbased</w:t>
      </w:r>
      <w:proofErr w:type="spellEnd"/>
      <w:r>
        <w:t xml:space="preserve"> management in developed countries: From theory to practice. International Education Studies, 9(9), 191–198. https://doi.org/10.5539/ies.v9n9p191 </w:t>
      </w:r>
    </w:p>
    <w:p w14:paraId="155FD159" w14:textId="77777777" w:rsidR="00516544" w:rsidRDefault="00000000">
      <w:pPr>
        <w:ind w:left="-5" w:right="0"/>
      </w:pPr>
      <w:r>
        <w:t xml:space="preserve">Philippine Congress. (2001). Republic Act No. 9155: Governance of Basic Education Act of 2001. </w:t>
      </w:r>
    </w:p>
    <w:p w14:paraId="17EEF04B" w14:textId="77777777" w:rsidR="00516544" w:rsidRDefault="00000000">
      <w:pPr>
        <w:ind w:right="0"/>
      </w:pPr>
      <w:r>
        <w:t>https://staging.psc.gov.ph/PSC%20Legal%20Mandate/IRR%20of%20RA%20No.%2091</w:t>
      </w:r>
    </w:p>
    <w:p w14:paraId="4485201F" w14:textId="77777777" w:rsidR="00516544" w:rsidRDefault="00000000">
      <w:pPr>
        <w:ind w:right="0"/>
      </w:pPr>
      <w:r>
        <w:t xml:space="preserve">55.pdf </w:t>
      </w:r>
    </w:p>
    <w:p w14:paraId="422E2BEA" w14:textId="77777777" w:rsidR="00516544" w:rsidRDefault="00000000">
      <w:pPr>
        <w:spacing w:after="0" w:line="259" w:lineRule="auto"/>
        <w:ind w:left="0" w:right="0" w:firstLine="0"/>
        <w:jc w:val="left"/>
      </w:pPr>
      <w:r>
        <w:t xml:space="preserve"> </w:t>
      </w:r>
    </w:p>
    <w:p w14:paraId="00578402" w14:textId="77777777" w:rsidR="00516544" w:rsidRDefault="00000000">
      <w:pPr>
        <w:ind w:left="705" w:right="0" w:hanging="720"/>
      </w:pPr>
      <w:r>
        <w:t xml:space="preserve">Salinas, P. (2014). The effect of decentralization on educational outcomes: Real autonomy matters! https://doi.org/10.2139/ssrn.2471061 </w:t>
      </w:r>
    </w:p>
    <w:p w14:paraId="386FE598" w14:textId="77777777" w:rsidR="00516544" w:rsidRDefault="00000000">
      <w:pPr>
        <w:ind w:left="705" w:right="0" w:hanging="720"/>
      </w:pPr>
      <w:proofErr w:type="spellStart"/>
      <w:r>
        <w:lastRenderedPageBreak/>
        <w:t>Tapayan</w:t>
      </w:r>
      <w:proofErr w:type="spellEnd"/>
      <w:r>
        <w:t xml:space="preserve">, H., Ebio, F., &amp; </w:t>
      </w:r>
      <w:proofErr w:type="spellStart"/>
      <w:r>
        <w:t>Bentor</w:t>
      </w:r>
      <w:proofErr w:type="spellEnd"/>
      <w:r>
        <w:t xml:space="preserve">, C. (2016). Impact of school-based management practices on K to 12 program </w:t>
      </w:r>
      <w:proofErr w:type="gramStart"/>
      <w:r>
        <w:t>implementation</w:t>
      </w:r>
      <w:proofErr w:type="gramEnd"/>
      <w:r>
        <w:t xml:space="preserve"> in Leyte Division, Philippines. International Journal of Engineering Sciences &amp; Research Technology, 5(5), 558–574. http://www.ijesrt.com </w:t>
      </w:r>
    </w:p>
    <w:p w14:paraId="37C7B9C9" w14:textId="77777777" w:rsidR="00516544" w:rsidRDefault="00000000">
      <w:pPr>
        <w:ind w:left="705" w:right="0" w:hanging="720"/>
      </w:pPr>
      <w:r>
        <w:t xml:space="preserve">Villanueva, J., &amp; Ortega-Dela Cruz, R. (2019). The praxis of school-based management on curriculum and learning in the Philippines. International Journal of Social Sciences &amp; Educational Studies, 6(2), 89–101. https://doi.org/10.23918/ijsses.v6i2p89 </w:t>
      </w:r>
    </w:p>
    <w:p w14:paraId="042F136A" w14:textId="77777777" w:rsidR="00516544" w:rsidRDefault="00000000">
      <w:pPr>
        <w:ind w:left="705" w:right="0" w:hanging="720"/>
      </w:pPr>
      <w:r>
        <w:t xml:space="preserve">World Bank. (2013). Republic of the Philippines basic education public expenditure review phase II: School-based management in the Philippines—An empirical investigation. </w:t>
      </w:r>
    </w:p>
    <w:p w14:paraId="1D087040" w14:textId="77777777" w:rsidR="00516544" w:rsidRDefault="00000000">
      <w:pPr>
        <w:ind w:right="0"/>
      </w:pPr>
      <w:r>
        <w:t xml:space="preserve">https://openknowledge.worldbank.org/handle/10986/16076 </w:t>
      </w:r>
    </w:p>
    <w:p w14:paraId="67C6F734" w14:textId="77777777" w:rsidR="00516544" w:rsidRDefault="00000000">
      <w:pPr>
        <w:spacing w:after="0" w:line="259" w:lineRule="auto"/>
        <w:ind w:left="0" w:right="0" w:firstLine="0"/>
        <w:jc w:val="left"/>
      </w:pPr>
      <w:r>
        <w:t xml:space="preserve"> </w:t>
      </w:r>
    </w:p>
    <w:sectPr w:rsidR="00516544">
      <w:pgSz w:w="12240" w:h="15840"/>
      <w:pgMar w:top="1486" w:right="1430" w:bottom="146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1564F"/>
    <w:multiLevelType w:val="hybridMultilevel"/>
    <w:tmpl w:val="B8508EAA"/>
    <w:lvl w:ilvl="0" w:tplc="82742C1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2CDB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74DC5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D630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2D4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C8E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DE8F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CB4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A88D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C57AF9"/>
    <w:multiLevelType w:val="hybridMultilevel"/>
    <w:tmpl w:val="ECA4E2E4"/>
    <w:lvl w:ilvl="0" w:tplc="F8C41B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D85B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E6F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416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48B9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56813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7457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EDA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50E7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93946244">
    <w:abstractNumId w:val="1"/>
  </w:num>
  <w:num w:numId="2" w16cid:durableId="147621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544"/>
    <w:rsid w:val="00516544"/>
    <w:rsid w:val="007E69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CF98"/>
  <w15:docId w15:val="{D251E3A8-D08E-4E1A-88C5-B96FC39B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PH" w:eastAsia="en-P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72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right="13"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line="249" w:lineRule="auto"/>
      <w:ind w:left="10" w:right="13" w:hanging="10"/>
      <w:outlineLvl w:val="1"/>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11006</Words>
  <Characters>62737</Characters>
  <Application>Microsoft Office Word</Application>
  <DocSecurity>0</DocSecurity>
  <Lines>522</Lines>
  <Paragraphs>147</Paragraphs>
  <ScaleCrop>false</ScaleCrop>
  <Company/>
  <LinksUpToDate>false</LinksUpToDate>
  <CharactersWithSpaces>73596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Enad</dc:creator>
  <cp:keywords/>
  <cp:lastModifiedBy>User</cp:lastModifiedBy>
  <cp:revision>2</cp:revision>
  <dcterms:created xsi:type="dcterms:W3CDTF">2026-06-09T06:03:00Z</dcterms:created>
  <dcterms:modified xsi:type="dcterms:W3CDTF">2026-06-09T06:03:00Z</dcterms:modified>
</cp:coreProperties>
</file>