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95E" w:rsidRPr="0004390E" w:rsidRDefault="00A6295E" w:rsidP="00A6295E">
      <w:pPr>
        <w:jc w:val="center"/>
        <w:rPr>
          <w:rFonts w:ascii="Times New Roman" w:hAnsi="Times New Roman" w:cs="Times New Roman"/>
          <w:b/>
        </w:rPr>
      </w:pPr>
      <w:proofErr w:type="spellStart"/>
      <w:r w:rsidRPr="0004390E">
        <w:rPr>
          <w:rFonts w:ascii="Times New Roman" w:hAnsi="Times New Roman" w:cs="Times New Roman"/>
          <w:b/>
        </w:rPr>
        <w:t>Bharata</w:t>
      </w:r>
      <w:proofErr w:type="spellEnd"/>
      <w:r w:rsidRPr="0004390E">
        <w:rPr>
          <w:rFonts w:ascii="Times New Roman" w:hAnsi="Times New Roman" w:cs="Times New Roman"/>
          <w:b/>
        </w:rPr>
        <w:t xml:space="preserve"> </w:t>
      </w:r>
      <w:proofErr w:type="spellStart"/>
      <w:r w:rsidRPr="0004390E">
        <w:rPr>
          <w:rFonts w:ascii="Times New Roman" w:hAnsi="Times New Roman" w:cs="Times New Roman"/>
          <w:b/>
        </w:rPr>
        <w:t>Natya</w:t>
      </w:r>
      <w:proofErr w:type="spellEnd"/>
      <w:r w:rsidRPr="0004390E">
        <w:rPr>
          <w:rFonts w:ascii="Times New Roman" w:hAnsi="Times New Roman" w:cs="Times New Roman"/>
          <w:b/>
        </w:rPr>
        <w:t xml:space="preserve"> </w:t>
      </w:r>
      <w:proofErr w:type="spellStart"/>
      <w:r w:rsidRPr="0004390E">
        <w:rPr>
          <w:rFonts w:ascii="Times New Roman" w:hAnsi="Times New Roman" w:cs="Times New Roman"/>
          <w:b/>
        </w:rPr>
        <w:t>Shastra</w:t>
      </w:r>
      <w:proofErr w:type="spellEnd"/>
      <w:r w:rsidRPr="0004390E">
        <w:rPr>
          <w:rFonts w:ascii="Times New Roman" w:hAnsi="Times New Roman" w:cs="Times New Roman"/>
          <w:b/>
        </w:rPr>
        <w:t xml:space="preserve"> and Its Contemporary Relevance in Performing Arts Education: A Review Study</w:t>
      </w:r>
    </w:p>
    <w:p w:rsidR="00A6295E" w:rsidRPr="0004390E" w:rsidRDefault="00DF7B64" w:rsidP="00A6295E">
      <w:pPr>
        <w:jc w:val="both"/>
        <w:rPr>
          <w:rFonts w:ascii="Times New Roman" w:hAnsi="Times New Roman" w:cs="Times New Roman"/>
          <w:b/>
        </w:rPr>
      </w:pPr>
      <w:r w:rsidRPr="0004390E">
        <w:rPr>
          <w:rFonts w:ascii="Times New Roman" w:hAnsi="Times New Roman" w:cs="Times New Roman"/>
          <w:b/>
        </w:rPr>
        <w:t xml:space="preserve">Dr. </w:t>
      </w:r>
      <w:proofErr w:type="spellStart"/>
      <w:r w:rsidRPr="0004390E">
        <w:rPr>
          <w:rFonts w:ascii="Times New Roman" w:hAnsi="Times New Roman" w:cs="Times New Roman"/>
          <w:b/>
        </w:rPr>
        <w:t>Asmat</w:t>
      </w:r>
      <w:proofErr w:type="spellEnd"/>
      <w:r w:rsidRPr="0004390E">
        <w:rPr>
          <w:rFonts w:ascii="Times New Roman" w:hAnsi="Times New Roman" w:cs="Times New Roman"/>
          <w:b/>
        </w:rPr>
        <w:t xml:space="preserve"> </w:t>
      </w:r>
      <w:proofErr w:type="spellStart"/>
      <w:r w:rsidRPr="0004390E">
        <w:rPr>
          <w:rFonts w:ascii="Times New Roman" w:hAnsi="Times New Roman" w:cs="Times New Roman"/>
          <w:b/>
        </w:rPr>
        <w:t>Ara</w:t>
      </w:r>
      <w:proofErr w:type="spellEnd"/>
    </w:p>
    <w:p w:rsidR="00A6295E" w:rsidRPr="0004390E" w:rsidRDefault="00DF7B64" w:rsidP="00A6295E">
      <w:pPr>
        <w:jc w:val="both"/>
        <w:rPr>
          <w:rFonts w:ascii="Times New Roman" w:hAnsi="Times New Roman" w:cs="Times New Roman"/>
          <w:b/>
        </w:rPr>
      </w:pPr>
      <w:r w:rsidRPr="0004390E">
        <w:rPr>
          <w:rFonts w:ascii="Times New Roman" w:hAnsi="Times New Roman" w:cs="Times New Roman"/>
          <w:b/>
        </w:rPr>
        <w:t>Associate Professor, Department Of Music</w:t>
      </w:r>
    </w:p>
    <w:p w:rsidR="00A6295E" w:rsidRPr="0004390E" w:rsidRDefault="00DF7B64" w:rsidP="00A6295E">
      <w:pPr>
        <w:jc w:val="both"/>
        <w:rPr>
          <w:rFonts w:ascii="Times New Roman" w:hAnsi="Times New Roman" w:cs="Times New Roman"/>
          <w:b/>
        </w:rPr>
      </w:pPr>
      <w:r w:rsidRPr="0004390E">
        <w:rPr>
          <w:rFonts w:ascii="Times New Roman" w:hAnsi="Times New Roman" w:cs="Times New Roman"/>
          <w:b/>
        </w:rPr>
        <w:t xml:space="preserve">Government College </w:t>
      </w:r>
      <w:proofErr w:type="gramStart"/>
      <w:r w:rsidRPr="0004390E">
        <w:rPr>
          <w:rFonts w:ascii="Times New Roman" w:hAnsi="Times New Roman" w:cs="Times New Roman"/>
          <w:b/>
        </w:rPr>
        <w:t>For</w:t>
      </w:r>
      <w:proofErr w:type="gramEnd"/>
      <w:r w:rsidRPr="0004390E">
        <w:rPr>
          <w:rFonts w:ascii="Times New Roman" w:hAnsi="Times New Roman" w:cs="Times New Roman"/>
          <w:b/>
        </w:rPr>
        <w:t xml:space="preserve"> Women, Nawakadal, Srinagar, Jammu &amp; Kashmir, India</w:t>
      </w:r>
    </w:p>
    <w:p w:rsidR="00A6295E" w:rsidRPr="0004390E" w:rsidRDefault="00DF7B64" w:rsidP="00A6295E">
      <w:pPr>
        <w:jc w:val="both"/>
        <w:rPr>
          <w:rFonts w:ascii="Times New Roman" w:hAnsi="Times New Roman" w:cs="Times New Roman"/>
          <w:b/>
        </w:rPr>
      </w:pPr>
      <w:r w:rsidRPr="0004390E">
        <w:rPr>
          <w:rFonts w:ascii="Times New Roman" w:hAnsi="Times New Roman" w:cs="Times New Roman"/>
          <w:b/>
        </w:rPr>
        <w:t xml:space="preserve"> Dr.Asmatara@Gmail.Com</w:t>
      </w:r>
    </w:p>
    <w:p w:rsidR="00A6295E" w:rsidRPr="0004390E" w:rsidRDefault="00A6295E" w:rsidP="00A6295E">
      <w:pPr>
        <w:jc w:val="both"/>
        <w:rPr>
          <w:rFonts w:ascii="Times New Roman" w:hAnsi="Times New Roman" w:cs="Times New Roman"/>
          <w:b/>
          <w:i/>
          <w:iCs/>
        </w:rPr>
      </w:pPr>
      <w:r w:rsidRPr="0004390E">
        <w:rPr>
          <w:rFonts w:ascii="Times New Roman" w:hAnsi="Times New Roman" w:cs="Times New Roman"/>
          <w:b/>
          <w:i/>
          <w:iCs/>
        </w:rPr>
        <w:t>Abstract</w:t>
      </w:r>
    </w:p>
    <w:p w:rsidR="00A6295E" w:rsidRPr="0004390E" w:rsidRDefault="00A6295E" w:rsidP="00A6295E">
      <w:pPr>
        <w:jc w:val="both"/>
        <w:rPr>
          <w:rFonts w:ascii="Times New Roman" w:hAnsi="Times New Roman" w:cs="Times New Roman"/>
          <w:i/>
          <w:iCs/>
        </w:rPr>
      </w:pPr>
      <w:r w:rsidRPr="0004390E">
        <w:rPr>
          <w:rFonts w:ascii="Times New Roman" w:hAnsi="Times New Roman" w:cs="Times New Roman"/>
          <w:i/>
          <w:iCs/>
        </w:rPr>
        <w:t xml:space="preserve">Indian performing arts have developed through a continuous interaction between theoretical knowledge and practical traditions. Among the ancient sources that contributed to this development, </w:t>
      </w:r>
      <w:proofErr w:type="spellStart"/>
      <w:r w:rsidRPr="0004390E">
        <w:rPr>
          <w:rFonts w:ascii="Times New Roman" w:hAnsi="Times New Roman" w:cs="Times New Roman"/>
          <w:i/>
          <w:iCs/>
        </w:rPr>
        <w:t>Bharata</w:t>
      </w:r>
      <w:proofErr w:type="spellEnd"/>
      <w:r w:rsidRPr="0004390E">
        <w:rPr>
          <w:rFonts w:ascii="Times New Roman" w:hAnsi="Times New Roman" w:cs="Times New Roman"/>
          <w:i/>
          <w:iCs/>
        </w:rPr>
        <w:t xml:space="preserve"> </w:t>
      </w:r>
      <w:proofErr w:type="spellStart"/>
      <w:r w:rsidRPr="0004390E">
        <w:rPr>
          <w:rFonts w:ascii="Times New Roman" w:hAnsi="Times New Roman" w:cs="Times New Roman"/>
          <w:i/>
          <w:iCs/>
        </w:rPr>
        <w:t>Natya</w:t>
      </w:r>
      <w:proofErr w:type="spellEnd"/>
      <w:r w:rsidRPr="0004390E">
        <w:rPr>
          <w:rFonts w:ascii="Times New Roman" w:hAnsi="Times New Roman" w:cs="Times New Roman"/>
          <w:i/>
          <w:iCs/>
        </w:rPr>
        <w:t xml:space="preserve"> </w:t>
      </w:r>
      <w:proofErr w:type="spellStart"/>
      <w:r w:rsidRPr="0004390E">
        <w:rPr>
          <w:rFonts w:ascii="Times New Roman" w:hAnsi="Times New Roman" w:cs="Times New Roman"/>
          <w:i/>
          <w:iCs/>
        </w:rPr>
        <w:t>Shastra</w:t>
      </w:r>
      <w:proofErr w:type="spellEnd"/>
      <w:r w:rsidRPr="0004390E">
        <w:rPr>
          <w:rFonts w:ascii="Times New Roman" w:hAnsi="Times New Roman" w:cs="Times New Roman"/>
          <w:i/>
          <w:iCs/>
        </w:rPr>
        <w:t xml:space="preserve"> occupies a central position. Traditionally attributed to </w:t>
      </w:r>
      <w:proofErr w:type="spellStart"/>
      <w:r w:rsidRPr="0004390E">
        <w:rPr>
          <w:rFonts w:ascii="Times New Roman" w:hAnsi="Times New Roman" w:cs="Times New Roman"/>
          <w:i/>
          <w:iCs/>
        </w:rPr>
        <w:t>Bharata</w:t>
      </w:r>
      <w:proofErr w:type="spellEnd"/>
      <w:r w:rsidRPr="0004390E">
        <w:rPr>
          <w:rFonts w:ascii="Times New Roman" w:hAnsi="Times New Roman" w:cs="Times New Roman"/>
          <w:i/>
          <w:iCs/>
        </w:rPr>
        <w:t xml:space="preserve"> Muni, this treatise provides a systematic understanding of drama, dance, music, aesthetics and stage presentation. Its concepts of rasa (aesthetic experience), </w:t>
      </w:r>
      <w:proofErr w:type="spellStart"/>
      <w:r w:rsidRPr="0004390E">
        <w:rPr>
          <w:rFonts w:ascii="Times New Roman" w:hAnsi="Times New Roman" w:cs="Times New Roman"/>
          <w:i/>
          <w:iCs/>
        </w:rPr>
        <w:t>bhava</w:t>
      </w:r>
      <w:proofErr w:type="spellEnd"/>
      <w:r w:rsidRPr="0004390E">
        <w:rPr>
          <w:rFonts w:ascii="Times New Roman" w:hAnsi="Times New Roman" w:cs="Times New Roman"/>
          <w:i/>
          <w:iCs/>
        </w:rPr>
        <w:t xml:space="preserve"> (emotional expression), </w:t>
      </w:r>
      <w:proofErr w:type="spellStart"/>
      <w:r w:rsidRPr="0004390E">
        <w:rPr>
          <w:rFonts w:ascii="Times New Roman" w:hAnsi="Times New Roman" w:cs="Times New Roman"/>
          <w:i/>
          <w:iCs/>
        </w:rPr>
        <w:t>abhinaya</w:t>
      </w:r>
      <w:proofErr w:type="spellEnd"/>
      <w:r w:rsidRPr="0004390E">
        <w:rPr>
          <w:rFonts w:ascii="Times New Roman" w:hAnsi="Times New Roman" w:cs="Times New Roman"/>
          <w:i/>
          <w:iCs/>
        </w:rPr>
        <w:t xml:space="preserve"> (artistic communication), body movements, gestures and musical elements have shaped Indian performing arts for centuries.</w:t>
      </w:r>
    </w:p>
    <w:p w:rsidR="00A6295E" w:rsidRPr="0004390E" w:rsidRDefault="00A6295E" w:rsidP="00A6295E">
      <w:pPr>
        <w:jc w:val="both"/>
        <w:rPr>
          <w:rFonts w:ascii="Times New Roman" w:hAnsi="Times New Roman" w:cs="Times New Roman"/>
          <w:i/>
          <w:iCs/>
        </w:rPr>
      </w:pPr>
      <w:r w:rsidRPr="0004390E">
        <w:rPr>
          <w:rFonts w:ascii="Times New Roman" w:hAnsi="Times New Roman" w:cs="Times New Roman"/>
          <w:i/>
          <w:iCs/>
        </w:rPr>
        <w:t xml:space="preserve">The present review study examines the significance of </w:t>
      </w:r>
      <w:proofErr w:type="spellStart"/>
      <w:r w:rsidRPr="0004390E">
        <w:rPr>
          <w:rFonts w:ascii="Times New Roman" w:hAnsi="Times New Roman" w:cs="Times New Roman"/>
          <w:i/>
          <w:iCs/>
        </w:rPr>
        <w:t>Bharata</w:t>
      </w:r>
      <w:proofErr w:type="spellEnd"/>
      <w:r w:rsidRPr="0004390E">
        <w:rPr>
          <w:rFonts w:ascii="Times New Roman" w:hAnsi="Times New Roman" w:cs="Times New Roman"/>
          <w:i/>
          <w:iCs/>
        </w:rPr>
        <w:t xml:space="preserve"> </w:t>
      </w:r>
      <w:proofErr w:type="spellStart"/>
      <w:r w:rsidRPr="0004390E">
        <w:rPr>
          <w:rFonts w:ascii="Times New Roman" w:hAnsi="Times New Roman" w:cs="Times New Roman"/>
          <w:i/>
          <w:iCs/>
        </w:rPr>
        <w:t>Natya</w:t>
      </w:r>
      <w:proofErr w:type="spellEnd"/>
      <w:r w:rsidRPr="0004390E">
        <w:rPr>
          <w:rFonts w:ascii="Times New Roman" w:hAnsi="Times New Roman" w:cs="Times New Roman"/>
          <w:i/>
          <w:iCs/>
        </w:rPr>
        <w:t xml:space="preserve"> </w:t>
      </w:r>
      <w:proofErr w:type="spellStart"/>
      <w:r w:rsidRPr="0004390E">
        <w:rPr>
          <w:rFonts w:ascii="Times New Roman" w:hAnsi="Times New Roman" w:cs="Times New Roman"/>
          <w:i/>
          <w:iCs/>
        </w:rPr>
        <w:t>Shastra</w:t>
      </w:r>
      <w:proofErr w:type="spellEnd"/>
      <w:r w:rsidRPr="0004390E">
        <w:rPr>
          <w:rFonts w:ascii="Times New Roman" w:hAnsi="Times New Roman" w:cs="Times New Roman"/>
          <w:i/>
          <w:iCs/>
        </w:rPr>
        <w:t xml:space="preserve"> in the contemporary system of performing arts education. It explores how its principles continue to influence music, dance and theatre training in modern institutions. The study highlights that the relevance of this ancient text lies not only in historical preservation but also in its ability to support creativity, cultural understanding and holistic learning among students.</w:t>
      </w:r>
    </w:p>
    <w:p w:rsidR="00A6295E" w:rsidRPr="0004390E" w:rsidRDefault="00A6295E" w:rsidP="00DF7B64">
      <w:pPr>
        <w:jc w:val="both"/>
        <w:rPr>
          <w:rFonts w:ascii="Times New Roman" w:hAnsi="Times New Roman" w:cs="Times New Roman"/>
          <w:i/>
          <w:iCs/>
        </w:rPr>
      </w:pPr>
      <w:r w:rsidRPr="0004390E">
        <w:rPr>
          <w:rFonts w:ascii="Times New Roman" w:hAnsi="Times New Roman" w:cs="Times New Roman"/>
          <w:i/>
          <w:iCs/>
        </w:rPr>
        <w:t xml:space="preserve">Keywords: </w:t>
      </w:r>
      <w:proofErr w:type="spellStart"/>
      <w:r w:rsidRPr="0004390E">
        <w:rPr>
          <w:rFonts w:ascii="Times New Roman" w:hAnsi="Times New Roman" w:cs="Times New Roman"/>
          <w:i/>
          <w:iCs/>
        </w:rPr>
        <w:t>Bharata</w:t>
      </w:r>
      <w:proofErr w:type="spellEnd"/>
      <w:r w:rsidRPr="0004390E">
        <w:rPr>
          <w:rFonts w:ascii="Times New Roman" w:hAnsi="Times New Roman" w:cs="Times New Roman"/>
          <w:i/>
          <w:iCs/>
        </w:rPr>
        <w:t xml:space="preserve"> </w:t>
      </w:r>
      <w:proofErr w:type="spellStart"/>
      <w:r w:rsidRPr="0004390E">
        <w:rPr>
          <w:rFonts w:ascii="Times New Roman" w:hAnsi="Times New Roman" w:cs="Times New Roman"/>
          <w:i/>
          <w:iCs/>
        </w:rPr>
        <w:t>Natya</w:t>
      </w:r>
      <w:proofErr w:type="spellEnd"/>
      <w:r w:rsidRPr="0004390E">
        <w:rPr>
          <w:rFonts w:ascii="Times New Roman" w:hAnsi="Times New Roman" w:cs="Times New Roman"/>
          <w:i/>
          <w:iCs/>
        </w:rPr>
        <w:t xml:space="preserve"> </w:t>
      </w:r>
      <w:proofErr w:type="spellStart"/>
      <w:r w:rsidRPr="0004390E">
        <w:rPr>
          <w:rFonts w:ascii="Times New Roman" w:hAnsi="Times New Roman" w:cs="Times New Roman"/>
          <w:i/>
          <w:iCs/>
        </w:rPr>
        <w:t>Shastra</w:t>
      </w:r>
      <w:proofErr w:type="spellEnd"/>
      <w:r w:rsidRPr="0004390E">
        <w:rPr>
          <w:rFonts w:ascii="Times New Roman" w:hAnsi="Times New Roman" w:cs="Times New Roman"/>
          <w:i/>
          <w:iCs/>
        </w:rPr>
        <w:t xml:space="preserve">, </w:t>
      </w:r>
      <w:proofErr w:type="spellStart"/>
      <w:r w:rsidRPr="0004390E">
        <w:rPr>
          <w:rFonts w:ascii="Times New Roman" w:hAnsi="Times New Roman" w:cs="Times New Roman"/>
          <w:i/>
          <w:iCs/>
        </w:rPr>
        <w:t>Bharata</w:t>
      </w:r>
      <w:proofErr w:type="spellEnd"/>
      <w:r w:rsidRPr="0004390E">
        <w:rPr>
          <w:rFonts w:ascii="Times New Roman" w:hAnsi="Times New Roman" w:cs="Times New Roman"/>
          <w:i/>
          <w:iCs/>
        </w:rPr>
        <w:t xml:space="preserve"> Muni, Performing Arts Education, Rasa Theory, </w:t>
      </w:r>
      <w:proofErr w:type="spellStart"/>
      <w:r w:rsidRPr="0004390E">
        <w:rPr>
          <w:rFonts w:ascii="Times New Roman" w:hAnsi="Times New Roman" w:cs="Times New Roman"/>
          <w:i/>
          <w:iCs/>
        </w:rPr>
        <w:t>Abhinaya</w:t>
      </w:r>
      <w:proofErr w:type="spellEnd"/>
      <w:r w:rsidRPr="0004390E">
        <w:rPr>
          <w:rFonts w:ascii="Times New Roman" w:hAnsi="Times New Roman" w:cs="Times New Roman"/>
          <w:i/>
          <w:iCs/>
        </w:rPr>
        <w:t xml:space="preserve">, Indian Aesthetics, Music and Dance </w:t>
      </w:r>
      <w:r w:rsidRPr="0004390E">
        <w:rPr>
          <w:rFonts w:ascii="Times New Roman" w:hAnsi="Times New Roman" w:cs="Times New Roman"/>
          <w:i/>
          <w:iCs/>
        </w:rPr>
        <w:tab/>
      </w:r>
    </w:p>
    <w:p w:rsidR="00A6295E" w:rsidRPr="0004390E" w:rsidRDefault="00DF7B64" w:rsidP="00A6295E">
      <w:pPr>
        <w:jc w:val="both"/>
        <w:rPr>
          <w:rFonts w:asciiTheme="majorBidi" w:hAnsiTheme="majorBidi" w:cstheme="majorBidi"/>
          <w:b/>
        </w:rPr>
      </w:pPr>
      <w:r w:rsidRPr="0004390E">
        <w:rPr>
          <w:rFonts w:asciiTheme="majorBidi" w:hAnsiTheme="majorBidi" w:cstheme="majorBidi"/>
          <w:b/>
        </w:rPr>
        <w:t>INTRODUCTION</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Indian knowledge traditions have always maintained a close relationship between artistic practice and theoretical understanding. Performing arts were not considered merely a form of entertainment but a medium for communication, education and aesthetic experience.</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The </w:t>
      </w:r>
      <w:proofErr w:type="spellStart"/>
      <w:r w:rsidRPr="0004390E">
        <w:rPr>
          <w:rFonts w:asciiTheme="majorBidi" w:hAnsiTheme="majorBidi" w:cstheme="majorBidi"/>
        </w:rPr>
        <w:t>Bharata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is one of the earliest systematic works dealing with performing arts. It presents a comprehensive approach towards drama, dance and music by explaining artistic expression, emotional communication, rhythm, </w:t>
      </w:r>
      <w:proofErr w:type="gramStart"/>
      <w:r w:rsidRPr="0004390E">
        <w:rPr>
          <w:rFonts w:asciiTheme="majorBidi" w:hAnsiTheme="majorBidi" w:cstheme="majorBidi"/>
        </w:rPr>
        <w:t>movement</w:t>
      </w:r>
      <w:proofErr w:type="gramEnd"/>
      <w:r w:rsidRPr="0004390E">
        <w:rPr>
          <w:rFonts w:asciiTheme="majorBidi" w:hAnsiTheme="majorBidi" w:cstheme="majorBidi"/>
        </w:rPr>
        <w:t xml:space="preserve"> and presentation techniques.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The text introduces the concept of rasa, which explains how an artistic presentation creates an aesthetic experience in the audience. Along with rasa, concepts like </w:t>
      </w:r>
      <w:proofErr w:type="spellStart"/>
      <w:r w:rsidRPr="0004390E">
        <w:rPr>
          <w:rFonts w:asciiTheme="majorBidi" w:hAnsiTheme="majorBidi" w:cstheme="majorBidi"/>
        </w:rPr>
        <w:t>bhava</w:t>
      </w:r>
      <w:proofErr w:type="spellEnd"/>
      <w:r w:rsidRPr="0004390E">
        <w:rPr>
          <w:rFonts w:asciiTheme="majorBidi" w:hAnsiTheme="majorBidi" w:cstheme="majorBidi"/>
        </w:rPr>
        <w:t xml:space="preserve"> and </w:t>
      </w:r>
      <w:proofErr w:type="spellStart"/>
      <w:r w:rsidRPr="0004390E">
        <w:rPr>
          <w:rFonts w:asciiTheme="majorBidi" w:hAnsiTheme="majorBidi" w:cstheme="majorBidi"/>
        </w:rPr>
        <w:t>abhinaya</w:t>
      </w:r>
      <w:proofErr w:type="spellEnd"/>
      <w:r w:rsidRPr="0004390E">
        <w:rPr>
          <w:rFonts w:asciiTheme="majorBidi" w:hAnsiTheme="majorBidi" w:cstheme="majorBidi"/>
        </w:rPr>
        <w:t xml:space="preserve"> provide a framework for understanding expression and interpretation.</w:t>
      </w:r>
    </w:p>
    <w:p w:rsidR="00A6295E" w:rsidRPr="0004390E" w:rsidRDefault="00A6295E" w:rsidP="0054582B">
      <w:pPr>
        <w:jc w:val="both"/>
        <w:rPr>
          <w:rFonts w:asciiTheme="majorBidi" w:hAnsiTheme="majorBidi" w:cstheme="majorBidi"/>
        </w:rPr>
      </w:pPr>
      <w:r w:rsidRPr="0004390E">
        <w:rPr>
          <w:rFonts w:asciiTheme="majorBidi" w:hAnsiTheme="majorBidi" w:cstheme="majorBidi"/>
        </w:rPr>
        <w:t xml:space="preserve">In the modern educational environment, where emphasis is given to skill-based learning, cultural studies and interdisciplinary approaches, the principles of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continue to provide valuable guidance for learners and practitioners.</w:t>
      </w:r>
    </w:p>
    <w:p w:rsidR="00A6295E" w:rsidRPr="0004390E" w:rsidRDefault="0054582B" w:rsidP="00A6295E">
      <w:pPr>
        <w:jc w:val="both"/>
        <w:rPr>
          <w:rFonts w:asciiTheme="majorBidi" w:hAnsiTheme="majorBidi" w:cstheme="majorBidi"/>
          <w:b/>
        </w:rPr>
      </w:pPr>
      <w:r w:rsidRPr="0004390E">
        <w:rPr>
          <w:rFonts w:asciiTheme="majorBidi" w:hAnsiTheme="majorBidi" w:cstheme="majorBidi"/>
          <w:b/>
        </w:rPr>
        <w:t>OBJECTIVES OF THE STUDY</w:t>
      </w:r>
    </w:p>
    <w:p w:rsidR="00A6295E" w:rsidRPr="0004390E" w:rsidRDefault="00A6295E" w:rsidP="00A6295E">
      <w:pPr>
        <w:jc w:val="both"/>
        <w:rPr>
          <w:rFonts w:asciiTheme="majorBidi" w:hAnsiTheme="majorBidi" w:cstheme="majorBidi"/>
          <w:b/>
        </w:rPr>
      </w:pPr>
      <w:r w:rsidRPr="0004390E">
        <w:rPr>
          <w:rFonts w:asciiTheme="majorBidi" w:hAnsiTheme="majorBidi" w:cstheme="majorBidi"/>
          <w:b/>
        </w:rPr>
        <w:lastRenderedPageBreak/>
        <w:t>The study aims: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1.</w:t>
      </w:r>
      <w:r w:rsidRPr="0004390E">
        <w:rPr>
          <w:rFonts w:asciiTheme="majorBidi" w:hAnsiTheme="majorBidi" w:cstheme="majorBidi"/>
        </w:rPr>
        <w:tab/>
        <w:t xml:space="preserve">To examine the contribution of </w:t>
      </w:r>
      <w:proofErr w:type="spellStart"/>
      <w:r w:rsidRPr="0004390E">
        <w:rPr>
          <w:rFonts w:asciiTheme="majorBidi" w:hAnsiTheme="majorBidi" w:cstheme="majorBidi"/>
        </w:rPr>
        <w:t>Bharata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to Indian performing arts traditions.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2.</w:t>
      </w:r>
      <w:r w:rsidRPr="0004390E">
        <w:rPr>
          <w:rFonts w:asciiTheme="majorBidi" w:hAnsiTheme="majorBidi" w:cstheme="majorBidi"/>
        </w:rPr>
        <w:tab/>
        <w:t>To understand the relevance of its aesthetic concepts in contemporary education.</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3.</w:t>
      </w:r>
      <w:r w:rsidRPr="0004390E">
        <w:rPr>
          <w:rFonts w:asciiTheme="majorBidi" w:hAnsiTheme="majorBidi" w:cstheme="majorBidi"/>
        </w:rPr>
        <w:tab/>
        <w:t xml:space="preserve">To </w:t>
      </w:r>
      <w:proofErr w:type="spellStart"/>
      <w:r w:rsidRPr="0004390E">
        <w:rPr>
          <w:rFonts w:asciiTheme="majorBidi" w:hAnsiTheme="majorBidi" w:cstheme="majorBidi"/>
        </w:rPr>
        <w:t>analyse</w:t>
      </w:r>
      <w:proofErr w:type="spellEnd"/>
      <w:r w:rsidRPr="0004390E">
        <w:rPr>
          <w:rFonts w:asciiTheme="majorBidi" w:hAnsiTheme="majorBidi" w:cstheme="majorBidi"/>
        </w:rPr>
        <w:t xml:space="preserve"> the implementation of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principles in music, dance and theatre training.</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4.</w:t>
      </w:r>
      <w:r w:rsidRPr="0004390E">
        <w:rPr>
          <w:rFonts w:asciiTheme="majorBidi" w:hAnsiTheme="majorBidi" w:cstheme="majorBidi"/>
        </w:rPr>
        <w:tab/>
        <w:t>To highlight the importance of ancient Indian texts in preserving artistic knowledge.</w:t>
      </w:r>
    </w:p>
    <w:p w:rsidR="00A6295E" w:rsidRPr="0004390E" w:rsidRDefault="00A6295E" w:rsidP="0054582B">
      <w:pPr>
        <w:jc w:val="both"/>
        <w:rPr>
          <w:rFonts w:asciiTheme="majorBidi" w:hAnsiTheme="majorBidi" w:cstheme="majorBidi"/>
        </w:rPr>
      </w:pPr>
      <w:r w:rsidRPr="0004390E">
        <w:rPr>
          <w:rFonts w:asciiTheme="majorBidi" w:hAnsiTheme="majorBidi" w:cstheme="majorBidi"/>
        </w:rPr>
        <w:t>5.</w:t>
      </w:r>
      <w:r w:rsidRPr="0004390E">
        <w:rPr>
          <w:rFonts w:asciiTheme="majorBidi" w:hAnsiTheme="majorBidi" w:cstheme="majorBidi"/>
        </w:rPr>
        <w:tab/>
        <w:t>To explore the possibilities of integrating traditional concepts with modern pedagogical practices.</w:t>
      </w:r>
    </w:p>
    <w:p w:rsidR="00A6295E" w:rsidRPr="0004390E" w:rsidRDefault="0054582B" w:rsidP="00A6295E">
      <w:pPr>
        <w:jc w:val="both"/>
        <w:rPr>
          <w:rFonts w:asciiTheme="majorBidi" w:hAnsiTheme="majorBidi" w:cstheme="majorBidi"/>
          <w:b/>
        </w:rPr>
      </w:pPr>
      <w:r w:rsidRPr="0004390E">
        <w:rPr>
          <w:rFonts w:asciiTheme="majorBidi" w:hAnsiTheme="majorBidi" w:cstheme="majorBidi"/>
          <w:b/>
        </w:rPr>
        <w:t>RESEARCH METHODOLOGY</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The present study is based on a qualitative review methodology. It involves analysis of available literature related to </w:t>
      </w:r>
      <w:proofErr w:type="spellStart"/>
      <w:r w:rsidRPr="0004390E">
        <w:rPr>
          <w:rFonts w:asciiTheme="majorBidi" w:hAnsiTheme="majorBidi" w:cstheme="majorBidi"/>
        </w:rPr>
        <w:t>Bharata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Indian aesthetics, music education and performing arts practices.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The study uses secondary sources including classical texts, scholarly interpretations, books and research publications to examine the relevance and application of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in the present education system. </w:t>
      </w:r>
    </w:p>
    <w:p w:rsidR="00A6295E" w:rsidRPr="0004390E" w:rsidRDefault="00A6295E" w:rsidP="00A6295E">
      <w:pPr>
        <w:jc w:val="both"/>
        <w:rPr>
          <w:rFonts w:asciiTheme="majorBidi" w:hAnsiTheme="majorBidi" w:cstheme="majorBidi"/>
          <w:b/>
        </w:rPr>
      </w:pPr>
      <w:r w:rsidRPr="0004390E">
        <w:rPr>
          <w:rFonts w:asciiTheme="majorBidi" w:hAnsiTheme="majorBidi" w:cstheme="majorBidi"/>
          <w:b/>
        </w:rPr>
        <w:t>Need and Importance of the Study</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The changing educational environment requires a balance between modern approaches and cultural foundations. The study of </w:t>
      </w:r>
      <w:proofErr w:type="spellStart"/>
      <w:r w:rsidRPr="0004390E">
        <w:rPr>
          <w:rFonts w:asciiTheme="majorBidi" w:hAnsiTheme="majorBidi" w:cstheme="majorBidi"/>
        </w:rPr>
        <w:t>Bharata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is important due to the following aspects: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1. </w:t>
      </w:r>
      <w:r w:rsidRPr="0004390E">
        <w:rPr>
          <w:rFonts w:asciiTheme="majorBidi" w:hAnsiTheme="majorBidi" w:cstheme="majorBidi"/>
          <w:b/>
        </w:rPr>
        <w:t>Preservation of Indian Artistic Knowledge</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The text serves as a valuable record of ancient artistic principles. Studying it helps maintain continuity between traditional practices and present generations.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2. </w:t>
      </w:r>
      <w:r w:rsidRPr="0004390E">
        <w:rPr>
          <w:rFonts w:asciiTheme="majorBidi" w:hAnsiTheme="majorBidi" w:cstheme="majorBidi"/>
          <w:b/>
        </w:rPr>
        <w:t>Understanding Artistic Expression</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The concepts of rasa, </w:t>
      </w:r>
      <w:proofErr w:type="spellStart"/>
      <w:r w:rsidRPr="0004390E">
        <w:rPr>
          <w:rFonts w:asciiTheme="majorBidi" w:hAnsiTheme="majorBidi" w:cstheme="majorBidi"/>
        </w:rPr>
        <w:t>bhava</w:t>
      </w:r>
      <w:proofErr w:type="spellEnd"/>
      <w:r w:rsidRPr="0004390E">
        <w:rPr>
          <w:rFonts w:asciiTheme="majorBidi" w:hAnsiTheme="majorBidi" w:cstheme="majorBidi"/>
        </w:rPr>
        <w:t xml:space="preserve"> and </w:t>
      </w:r>
      <w:proofErr w:type="spellStart"/>
      <w:r w:rsidRPr="0004390E">
        <w:rPr>
          <w:rFonts w:asciiTheme="majorBidi" w:hAnsiTheme="majorBidi" w:cstheme="majorBidi"/>
        </w:rPr>
        <w:t>abhinaya</w:t>
      </w:r>
      <w:proofErr w:type="spellEnd"/>
      <w:r w:rsidRPr="0004390E">
        <w:rPr>
          <w:rFonts w:asciiTheme="majorBidi" w:hAnsiTheme="majorBidi" w:cstheme="majorBidi"/>
        </w:rPr>
        <w:t xml:space="preserve"> explain how emotions are communicated through performance. These ideas remain important for students learning music, dance and theatre.</w:t>
      </w:r>
    </w:p>
    <w:p w:rsidR="00A6295E" w:rsidRPr="0004390E" w:rsidRDefault="00A6295E" w:rsidP="00A6295E">
      <w:pPr>
        <w:jc w:val="both"/>
        <w:rPr>
          <w:rFonts w:asciiTheme="majorBidi" w:hAnsiTheme="majorBidi" w:cstheme="majorBidi"/>
          <w:b/>
        </w:rPr>
      </w:pPr>
      <w:r w:rsidRPr="0004390E">
        <w:rPr>
          <w:rFonts w:asciiTheme="majorBidi" w:hAnsiTheme="majorBidi" w:cstheme="majorBidi"/>
        </w:rPr>
        <w:t xml:space="preserve">3. </w:t>
      </w:r>
      <w:r w:rsidRPr="0004390E">
        <w:rPr>
          <w:rFonts w:asciiTheme="majorBidi" w:hAnsiTheme="majorBidi" w:cstheme="majorBidi"/>
          <w:b/>
        </w:rPr>
        <w:t>Development of Creative and Analytical Skills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The principles described in the text encourage learners to understand both the technical and expressive aspects of art.</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4</w:t>
      </w:r>
      <w:r w:rsidRPr="0004390E">
        <w:rPr>
          <w:rFonts w:asciiTheme="majorBidi" w:hAnsiTheme="majorBidi" w:cstheme="majorBidi"/>
          <w:b/>
        </w:rPr>
        <w:t>. Support for Higher Education</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In universities and colleges, the study of classical texts develops research interest and strengthens theoretical foundations of performing arts.</w:t>
      </w:r>
    </w:p>
    <w:p w:rsidR="00A6295E" w:rsidRPr="0004390E" w:rsidRDefault="00A6295E" w:rsidP="00A6295E">
      <w:pPr>
        <w:jc w:val="both"/>
        <w:rPr>
          <w:rFonts w:asciiTheme="majorBidi" w:hAnsiTheme="majorBidi" w:cstheme="majorBidi"/>
          <w:b/>
        </w:rPr>
      </w:pPr>
      <w:r w:rsidRPr="0004390E">
        <w:rPr>
          <w:rFonts w:asciiTheme="majorBidi" w:hAnsiTheme="majorBidi" w:cstheme="majorBidi"/>
        </w:rPr>
        <w:t xml:space="preserve">5. </w:t>
      </w:r>
      <w:r w:rsidRPr="0004390E">
        <w:rPr>
          <w:rFonts w:asciiTheme="majorBidi" w:hAnsiTheme="majorBidi" w:cstheme="majorBidi"/>
          <w:b/>
        </w:rPr>
        <w:t>Cultural Awareness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Knowledge of traditional artistic systems helps students appreciate India's diverse cultural heritage.</w:t>
      </w:r>
    </w:p>
    <w:p w:rsidR="00A6295E" w:rsidRPr="0004390E" w:rsidRDefault="00A6295E" w:rsidP="00A6295E">
      <w:pPr>
        <w:jc w:val="both"/>
        <w:rPr>
          <w:rFonts w:asciiTheme="majorBidi" w:hAnsiTheme="majorBidi" w:cstheme="majorBidi"/>
          <w:b/>
        </w:rPr>
      </w:pPr>
      <w:r w:rsidRPr="0004390E">
        <w:rPr>
          <w:rFonts w:asciiTheme="majorBidi" w:hAnsiTheme="majorBidi" w:cstheme="majorBidi"/>
          <w:b/>
        </w:rPr>
        <w:t>Review of Related Literature</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lastRenderedPageBreak/>
        <w:t xml:space="preserve">Scholars have widely </w:t>
      </w:r>
      <w:proofErr w:type="spellStart"/>
      <w:r w:rsidRPr="0004390E">
        <w:rPr>
          <w:rFonts w:asciiTheme="majorBidi" w:hAnsiTheme="majorBidi" w:cstheme="majorBidi"/>
        </w:rPr>
        <w:t>recognised</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Bharata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as a foundational text of Indian aesthetics and performing arts. </w:t>
      </w:r>
      <w:proofErr w:type="spellStart"/>
      <w:r w:rsidRPr="0004390E">
        <w:rPr>
          <w:rFonts w:asciiTheme="majorBidi" w:hAnsiTheme="majorBidi" w:cstheme="majorBidi"/>
        </w:rPr>
        <w:t>Bharata</w:t>
      </w:r>
      <w:proofErr w:type="spellEnd"/>
      <w:r w:rsidRPr="0004390E">
        <w:rPr>
          <w:rFonts w:asciiTheme="majorBidi" w:hAnsiTheme="majorBidi" w:cstheme="majorBidi"/>
        </w:rPr>
        <w:t xml:space="preserve"> Muni’s discussion of rasa theory has remained one of the most influential contributions to aesthetic studies.</w:t>
      </w:r>
    </w:p>
    <w:p w:rsidR="00A6295E" w:rsidRPr="0004390E" w:rsidRDefault="00A6295E" w:rsidP="00A6295E">
      <w:pPr>
        <w:jc w:val="both"/>
        <w:rPr>
          <w:rFonts w:asciiTheme="majorBidi" w:hAnsiTheme="majorBidi" w:cstheme="majorBidi"/>
        </w:rPr>
      </w:pPr>
      <w:proofErr w:type="spellStart"/>
      <w:r w:rsidRPr="0004390E">
        <w:rPr>
          <w:rFonts w:asciiTheme="majorBidi" w:hAnsiTheme="majorBidi" w:cstheme="majorBidi"/>
        </w:rPr>
        <w:t>Abhinavagupta’s</w:t>
      </w:r>
      <w:proofErr w:type="spellEnd"/>
      <w:r w:rsidRPr="0004390E">
        <w:rPr>
          <w:rFonts w:asciiTheme="majorBidi" w:hAnsiTheme="majorBidi" w:cstheme="majorBidi"/>
        </w:rPr>
        <w:t xml:space="preserve"> interpretation of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expanded the understanding of rasa by explaining the relationship between artistic expression and audience experience. His contribution established a deeper philosophical understanding of performance.</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Studies on Indian classical dance traditions indicate that principles of </w:t>
      </w:r>
      <w:proofErr w:type="spellStart"/>
      <w:r w:rsidRPr="0004390E">
        <w:rPr>
          <w:rFonts w:asciiTheme="majorBidi" w:hAnsiTheme="majorBidi" w:cstheme="majorBidi"/>
        </w:rPr>
        <w:t>abhinaya</w:t>
      </w:r>
      <w:proofErr w:type="spellEnd"/>
      <w:r w:rsidRPr="0004390E">
        <w:rPr>
          <w:rFonts w:asciiTheme="majorBidi" w:hAnsiTheme="majorBidi" w:cstheme="majorBidi"/>
        </w:rPr>
        <w:t xml:space="preserve">, gestures, facial expressions and body movements described in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continue to guide various dance forms. The practical application of these concepts can be seen in classical dance training systems.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Research related to musicology highlights that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provides important information about ancient musical practices, instruments, rhythm and the relationship between music and dramatic presentation.</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Modern studies in performing arts education suggest that traditional texts can contribute to holistic learning by connecting history, theory, practice and creativity. However, there remains a need to explore more effective methods of incorporating ancient artistic knowledge into contemporary classrooms.</w:t>
      </w:r>
    </w:p>
    <w:p w:rsidR="00A6295E" w:rsidRPr="0004390E" w:rsidRDefault="00A6295E" w:rsidP="00A6295E">
      <w:pPr>
        <w:jc w:val="both"/>
        <w:rPr>
          <w:rFonts w:asciiTheme="majorBidi" w:hAnsiTheme="majorBidi" w:cstheme="majorBidi"/>
          <w:b/>
        </w:rPr>
      </w:pPr>
      <w:r w:rsidRPr="0004390E">
        <w:rPr>
          <w:rFonts w:asciiTheme="majorBidi" w:hAnsiTheme="majorBidi" w:cstheme="majorBidi"/>
          <w:b/>
        </w:rPr>
        <w:t>Implementation in the Present Education System</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The principles of </w:t>
      </w:r>
      <w:proofErr w:type="spellStart"/>
      <w:r w:rsidRPr="0004390E">
        <w:rPr>
          <w:rFonts w:asciiTheme="majorBidi" w:hAnsiTheme="majorBidi" w:cstheme="majorBidi"/>
        </w:rPr>
        <w:t>Bharata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are reflected in present-day education in various ways: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1. Performing Arts Curriculum</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Higher education institutions include Indian aesthetics, dance theory, theatre studies and music history where concepts from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are discussed.</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2. Practical Training</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Students of classical dance, music and theatre apply concepts related to expression, rhythm and presentation during performance training.</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3. Music Education</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The connection between musical expression and emotional communication described in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supports effective music teaching.</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4. Theatre and Communication Studies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Modern theatre education uses ideas related to character portrayal, emotions and stage presentation.</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5. Research and Documentation</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The text continues to serve as a reference for research in cultural studies, performing arts and Indian aesthetics.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6. Digital Learning</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lastRenderedPageBreak/>
        <w:t>Digital platforms, online teaching and recorded performances have created new possibilities for spreading traditional knowledge.</w:t>
      </w:r>
    </w:p>
    <w:p w:rsidR="00A6295E" w:rsidRPr="0004390E" w:rsidRDefault="00A6295E" w:rsidP="00A6295E">
      <w:pPr>
        <w:jc w:val="both"/>
        <w:rPr>
          <w:rFonts w:asciiTheme="majorBidi" w:hAnsiTheme="majorBidi" w:cstheme="majorBidi"/>
          <w:b/>
        </w:rPr>
      </w:pPr>
      <w:r w:rsidRPr="0004390E">
        <w:rPr>
          <w:rFonts w:asciiTheme="majorBidi" w:hAnsiTheme="majorBidi" w:cstheme="majorBidi"/>
          <w:b/>
        </w:rPr>
        <w:t>Findings and Discussion</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The review indicates that </w:t>
      </w:r>
      <w:proofErr w:type="spellStart"/>
      <w:r w:rsidRPr="0004390E">
        <w:rPr>
          <w:rFonts w:asciiTheme="majorBidi" w:hAnsiTheme="majorBidi" w:cstheme="majorBidi"/>
        </w:rPr>
        <w:t>Bharata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continues to maintain relevance because its principles are based on universal aspects of human expression and communication.</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Although performance styles have changed over time, the fundamental ideas of emotion, expression, rhythm and artistic discipline remain applicable. The text provides a foundation for understanding the relationship between performer, performance and audience.</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Its integration into education can strengthen both practical abilities and theoretical awareness among students.</w:t>
      </w:r>
    </w:p>
    <w:p w:rsidR="00A6295E" w:rsidRPr="0004390E" w:rsidRDefault="0054582B" w:rsidP="00A6295E">
      <w:pPr>
        <w:jc w:val="both"/>
        <w:rPr>
          <w:rFonts w:asciiTheme="majorBidi" w:hAnsiTheme="majorBidi" w:cstheme="majorBidi"/>
          <w:b/>
        </w:rPr>
      </w:pPr>
      <w:r w:rsidRPr="0004390E">
        <w:rPr>
          <w:rFonts w:asciiTheme="majorBidi" w:hAnsiTheme="majorBidi" w:cstheme="majorBidi"/>
          <w:b/>
        </w:rPr>
        <w:t>SUGGESTIONS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1.</w:t>
      </w:r>
      <w:r w:rsidRPr="0004390E">
        <w:rPr>
          <w:rFonts w:asciiTheme="majorBidi" w:hAnsiTheme="majorBidi" w:cstheme="majorBidi"/>
        </w:rPr>
        <w:tab/>
        <w:t xml:space="preserve">Classical texts like </w:t>
      </w:r>
      <w:proofErr w:type="spellStart"/>
      <w:r w:rsidRPr="0004390E">
        <w:rPr>
          <w:rFonts w:asciiTheme="majorBidi" w:hAnsiTheme="majorBidi" w:cstheme="majorBidi"/>
        </w:rPr>
        <w:t>Bharata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should be given greater attention in performing arts curricula.</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2.</w:t>
      </w:r>
      <w:r w:rsidRPr="0004390E">
        <w:rPr>
          <w:rFonts w:asciiTheme="majorBidi" w:hAnsiTheme="majorBidi" w:cstheme="majorBidi"/>
        </w:rPr>
        <w:tab/>
        <w:t>Students should be encouraged to study traditional concepts along with modern performance techniques.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3.</w:t>
      </w:r>
      <w:r w:rsidRPr="0004390E">
        <w:rPr>
          <w:rFonts w:asciiTheme="majorBidi" w:hAnsiTheme="majorBidi" w:cstheme="majorBidi"/>
        </w:rPr>
        <w:tab/>
        <w:t xml:space="preserve">Workshops and seminars should be </w:t>
      </w:r>
      <w:proofErr w:type="spellStart"/>
      <w:r w:rsidRPr="0004390E">
        <w:rPr>
          <w:rFonts w:asciiTheme="majorBidi" w:hAnsiTheme="majorBidi" w:cstheme="majorBidi"/>
        </w:rPr>
        <w:t>organised</w:t>
      </w:r>
      <w:proofErr w:type="spellEnd"/>
      <w:r w:rsidRPr="0004390E">
        <w:rPr>
          <w:rFonts w:asciiTheme="majorBidi" w:hAnsiTheme="majorBidi" w:cstheme="majorBidi"/>
        </w:rPr>
        <w:t xml:space="preserve"> to create awareness about Indian aesthetic theories.</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4.</w:t>
      </w:r>
      <w:r w:rsidRPr="0004390E">
        <w:rPr>
          <w:rFonts w:asciiTheme="majorBidi" w:hAnsiTheme="majorBidi" w:cstheme="majorBidi"/>
        </w:rPr>
        <w:tab/>
        <w:t>Digital resources on ancient performing arts texts should be developed.</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5.</w:t>
      </w:r>
      <w:r w:rsidRPr="0004390E">
        <w:rPr>
          <w:rFonts w:asciiTheme="majorBidi" w:hAnsiTheme="majorBidi" w:cstheme="majorBidi"/>
        </w:rPr>
        <w:tab/>
        <w:t>More interdisciplinary research should be encouraged linking music, dance, theatre and cultural studies.</w:t>
      </w:r>
    </w:p>
    <w:p w:rsidR="00A6295E" w:rsidRPr="0004390E" w:rsidRDefault="0054582B" w:rsidP="00A6295E">
      <w:pPr>
        <w:jc w:val="both"/>
        <w:rPr>
          <w:rFonts w:asciiTheme="majorBidi" w:hAnsiTheme="majorBidi" w:cstheme="majorBidi"/>
        </w:rPr>
      </w:pPr>
      <w:r w:rsidRPr="0004390E">
        <w:rPr>
          <w:rFonts w:asciiTheme="majorBidi" w:hAnsiTheme="majorBidi" w:cstheme="majorBidi"/>
        </w:rPr>
        <w:t xml:space="preserve"> </w:t>
      </w:r>
      <w:r w:rsidRPr="0004390E">
        <w:rPr>
          <w:rFonts w:asciiTheme="majorBidi" w:hAnsiTheme="majorBidi" w:cstheme="majorBidi"/>
          <w:b/>
        </w:rPr>
        <w:t>CONCLUSION</w:t>
      </w:r>
    </w:p>
    <w:p w:rsidR="00A6295E" w:rsidRPr="0004390E" w:rsidRDefault="00A6295E" w:rsidP="00A6295E">
      <w:pPr>
        <w:jc w:val="both"/>
        <w:rPr>
          <w:rFonts w:asciiTheme="majorBidi" w:hAnsiTheme="majorBidi" w:cstheme="majorBidi"/>
        </w:rPr>
      </w:pPr>
      <w:proofErr w:type="spellStart"/>
      <w:r w:rsidRPr="0004390E">
        <w:rPr>
          <w:rFonts w:asciiTheme="majorBidi" w:hAnsiTheme="majorBidi" w:cstheme="majorBidi"/>
        </w:rPr>
        <w:t>Bharata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Natya</w:t>
      </w:r>
      <w:proofErr w:type="spellEnd"/>
      <w:r w:rsidRPr="0004390E">
        <w:rPr>
          <w:rFonts w:asciiTheme="majorBidi" w:hAnsiTheme="majorBidi" w:cstheme="majorBidi"/>
        </w:rPr>
        <w:t xml:space="preserve"> </w:t>
      </w:r>
      <w:proofErr w:type="spellStart"/>
      <w:r w:rsidRPr="0004390E">
        <w:rPr>
          <w:rFonts w:asciiTheme="majorBidi" w:hAnsiTheme="majorBidi" w:cstheme="majorBidi"/>
        </w:rPr>
        <w:t>Shastra</w:t>
      </w:r>
      <w:proofErr w:type="spellEnd"/>
      <w:r w:rsidRPr="0004390E">
        <w:rPr>
          <w:rFonts w:asciiTheme="majorBidi" w:hAnsiTheme="majorBidi" w:cstheme="majorBidi"/>
        </w:rPr>
        <w:t xml:space="preserve"> continues to be a living source of knowledge in the field of Indian performing arts. Its concepts provide valuable insights into aesthetics, expression and artistic communication.</w:t>
      </w:r>
    </w:p>
    <w:p w:rsidR="00A6295E" w:rsidRPr="0004390E" w:rsidRDefault="00A6295E" w:rsidP="00A6295E">
      <w:pPr>
        <w:jc w:val="both"/>
        <w:rPr>
          <w:rFonts w:asciiTheme="majorBidi" w:hAnsiTheme="majorBidi" w:cstheme="majorBidi"/>
        </w:rPr>
      </w:pPr>
      <w:r w:rsidRPr="0004390E">
        <w:rPr>
          <w:rFonts w:asciiTheme="majorBidi" w:hAnsiTheme="majorBidi" w:cstheme="majorBidi"/>
        </w:rPr>
        <w:t xml:space="preserve">In the present education system, the text serves as a bridge between traditional wisdom and contemporary learning. Its study contributes not only to preservation of cultural heritage but also to creativity, research and excellence in performing arts education. </w:t>
      </w:r>
    </w:p>
    <w:p w:rsidR="00A6295E" w:rsidRPr="0004390E" w:rsidRDefault="0054582B" w:rsidP="0054582B">
      <w:pPr>
        <w:jc w:val="both"/>
        <w:rPr>
          <w:rFonts w:asciiTheme="majorBidi" w:hAnsiTheme="majorBidi" w:cstheme="majorBidi"/>
          <w:b/>
        </w:rPr>
      </w:pPr>
      <w:r w:rsidRPr="0004390E">
        <w:rPr>
          <w:rFonts w:asciiTheme="majorBidi" w:hAnsiTheme="majorBidi" w:cstheme="majorBidi"/>
          <w:b/>
        </w:rPr>
        <w:t xml:space="preserve">REFERENCES </w:t>
      </w:r>
    </w:p>
    <w:p w:rsidR="00A6295E" w:rsidRPr="0004390E" w:rsidRDefault="00A6295E" w:rsidP="00A6295E">
      <w:pPr>
        <w:pStyle w:val="ListParagraph"/>
        <w:numPr>
          <w:ilvl w:val="0"/>
          <w:numId w:val="3"/>
        </w:numPr>
        <w:spacing w:after="200" w:line="276" w:lineRule="auto"/>
        <w:jc w:val="both"/>
        <w:rPr>
          <w:rFonts w:asciiTheme="majorBidi" w:hAnsiTheme="majorBidi" w:cstheme="majorBidi"/>
          <w:sz w:val="22"/>
          <w:szCs w:val="22"/>
        </w:rPr>
      </w:pPr>
      <w:proofErr w:type="spellStart"/>
      <w:r w:rsidRPr="0004390E">
        <w:rPr>
          <w:rFonts w:asciiTheme="majorBidi" w:hAnsiTheme="majorBidi" w:cstheme="majorBidi"/>
          <w:sz w:val="22"/>
          <w:szCs w:val="22"/>
        </w:rPr>
        <w:t>Bharata</w:t>
      </w:r>
      <w:proofErr w:type="spellEnd"/>
      <w:r w:rsidRPr="0004390E">
        <w:rPr>
          <w:rFonts w:asciiTheme="majorBidi" w:hAnsiTheme="majorBidi" w:cstheme="majorBidi"/>
          <w:sz w:val="22"/>
          <w:szCs w:val="22"/>
        </w:rPr>
        <w:t xml:space="preserve"> Muni. (1956). </w:t>
      </w:r>
      <w:proofErr w:type="gramStart"/>
      <w:r w:rsidRPr="0004390E">
        <w:rPr>
          <w:rFonts w:asciiTheme="majorBidi" w:hAnsiTheme="majorBidi" w:cstheme="majorBidi"/>
          <w:sz w:val="22"/>
          <w:szCs w:val="22"/>
        </w:rPr>
        <w:t>The</w:t>
      </w:r>
      <w:proofErr w:type="gramEnd"/>
      <w:r w:rsidRPr="0004390E">
        <w:rPr>
          <w:rFonts w:asciiTheme="majorBidi" w:hAnsiTheme="majorBidi" w:cstheme="majorBidi"/>
          <w:sz w:val="22"/>
          <w:szCs w:val="22"/>
        </w:rPr>
        <w:t xml:space="preserve"> </w:t>
      </w:r>
      <w:proofErr w:type="spellStart"/>
      <w:r w:rsidRPr="0004390E">
        <w:rPr>
          <w:rFonts w:asciiTheme="majorBidi" w:hAnsiTheme="majorBidi" w:cstheme="majorBidi"/>
          <w:sz w:val="22"/>
          <w:szCs w:val="22"/>
        </w:rPr>
        <w:t>Natya</w:t>
      </w:r>
      <w:proofErr w:type="spellEnd"/>
      <w:r w:rsidRPr="0004390E">
        <w:rPr>
          <w:rFonts w:asciiTheme="majorBidi" w:hAnsiTheme="majorBidi" w:cstheme="majorBidi"/>
          <w:sz w:val="22"/>
          <w:szCs w:val="22"/>
        </w:rPr>
        <w:t xml:space="preserve"> </w:t>
      </w:r>
      <w:proofErr w:type="spellStart"/>
      <w:r w:rsidRPr="0004390E">
        <w:rPr>
          <w:rFonts w:asciiTheme="majorBidi" w:hAnsiTheme="majorBidi" w:cstheme="majorBidi"/>
          <w:sz w:val="22"/>
          <w:szCs w:val="22"/>
        </w:rPr>
        <w:t>Shastra</w:t>
      </w:r>
      <w:proofErr w:type="spellEnd"/>
      <w:r w:rsidRPr="0004390E">
        <w:rPr>
          <w:rFonts w:asciiTheme="majorBidi" w:hAnsiTheme="majorBidi" w:cstheme="majorBidi"/>
          <w:sz w:val="22"/>
          <w:szCs w:val="22"/>
        </w:rPr>
        <w:t xml:space="preserve"> (M. </w:t>
      </w:r>
      <w:proofErr w:type="spellStart"/>
      <w:r w:rsidRPr="0004390E">
        <w:rPr>
          <w:rFonts w:asciiTheme="majorBidi" w:hAnsiTheme="majorBidi" w:cstheme="majorBidi"/>
          <w:sz w:val="22"/>
          <w:szCs w:val="22"/>
        </w:rPr>
        <w:t>Ghosh</w:t>
      </w:r>
      <w:proofErr w:type="spellEnd"/>
      <w:r w:rsidRPr="0004390E">
        <w:rPr>
          <w:rFonts w:asciiTheme="majorBidi" w:hAnsiTheme="majorBidi" w:cstheme="majorBidi"/>
          <w:sz w:val="22"/>
          <w:szCs w:val="22"/>
        </w:rPr>
        <w:t>, Trans.). Asiatic Society.</w:t>
      </w:r>
    </w:p>
    <w:p w:rsidR="00A6295E" w:rsidRPr="0004390E" w:rsidRDefault="00A6295E" w:rsidP="00A6295E">
      <w:pPr>
        <w:pStyle w:val="ListParagraph"/>
        <w:numPr>
          <w:ilvl w:val="0"/>
          <w:numId w:val="3"/>
        </w:numPr>
        <w:spacing w:after="200" w:line="276" w:lineRule="auto"/>
        <w:jc w:val="both"/>
        <w:rPr>
          <w:rFonts w:asciiTheme="majorBidi" w:hAnsiTheme="majorBidi" w:cstheme="majorBidi"/>
          <w:sz w:val="22"/>
          <w:szCs w:val="22"/>
        </w:rPr>
      </w:pPr>
      <w:proofErr w:type="spellStart"/>
      <w:r w:rsidRPr="0004390E">
        <w:rPr>
          <w:rFonts w:asciiTheme="majorBidi" w:hAnsiTheme="majorBidi" w:cstheme="majorBidi"/>
          <w:sz w:val="22"/>
          <w:szCs w:val="22"/>
        </w:rPr>
        <w:t>Abhinavagupta</w:t>
      </w:r>
      <w:proofErr w:type="spellEnd"/>
      <w:r w:rsidRPr="0004390E">
        <w:rPr>
          <w:rFonts w:asciiTheme="majorBidi" w:hAnsiTheme="majorBidi" w:cstheme="majorBidi"/>
          <w:sz w:val="22"/>
          <w:szCs w:val="22"/>
        </w:rPr>
        <w:t xml:space="preserve">. (1992). </w:t>
      </w:r>
      <w:proofErr w:type="spellStart"/>
      <w:r w:rsidRPr="0004390E">
        <w:rPr>
          <w:rFonts w:asciiTheme="majorBidi" w:hAnsiTheme="majorBidi" w:cstheme="majorBidi"/>
          <w:sz w:val="22"/>
          <w:szCs w:val="22"/>
        </w:rPr>
        <w:t>Abhinavabharati</w:t>
      </w:r>
      <w:proofErr w:type="spellEnd"/>
      <w:r w:rsidRPr="0004390E">
        <w:rPr>
          <w:rFonts w:asciiTheme="majorBidi" w:hAnsiTheme="majorBidi" w:cstheme="majorBidi"/>
          <w:sz w:val="22"/>
          <w:szCs w:val="22"/>
        </w:rPr>
        <w:t xml:space="preserve">: Commentary on </w:t>
      </w:r>
      <w:proofErr w:type="spellStart"/>
      <w:r w:rsidRPr="0004390E">
        <w:rPr>
          <w:rFonts w:asciiTheme="majorBidi" w:hAnsiTheme="majorBidi" w:cstheme="majorBidi"/>
          <w:sz w:val="22"/>
          <w:szCs w:val="22"/>
        </w:rPr>
        <w:t>Natya</w:t>
      </w:r>
      <w:proofErr w:type="spellEnd"/>
      <w:r w:rsidRPr="0004390E">
        <w:rPr>
          <w:rFonts w:asciiTheme="majorBidi" w:hAnsiTheme="majorBidi" w:cstheme="majorBidi"/>
          <w:sz w:val="22"/>
          <w:szCs w:val="22"/>
        </w:rPr>
        <w:t xml:space="preserve"> </w:t>
      </w:r>
      <w:proofErr w:type="spellStart"/>
      <w:r w:rsidRPr="0004390E">
        <w:rPr>
          <w:rFonts w:asciiTheme="majorBidi" w:hAnsiTheme="majorBidi" w:cstheme="majorBidi"/>
          <w:sz w:val="22"/>
          <w:szCs w:val="22"/>
        </w:rPr>
        <w:t>Shastra</w:t>
      </w:r>
      <w:proofErr w:type="spellEnd"/>
      <w:r w:rsidRPr="0004390E">
        <w:rPr>
          <w:rFonts w:asciiTheme="majorBidi" w:hAnsiTheme="majorBidi" w:cstheme="majorBidi"/>
          <w:sz w:val="22"/>
          <w:szCs w:val="22"/>
        </w:rPr>
        <w:t xml:space="preserve">. </w:t>
      </w:r>
      <w:proofErr w:type="spellStart"/>
      <w:r w:rsidRPr="0004390E">
        <w:rPr>
          <w:rFonts w:asciiTheme="majorBidi" w:hAnsiTheme="majorBidi" w:cstheme="majorBidi"/>
          <w:sz w:val="22"/>
          <w:szCs w:val="22"/>
        </w:rPr>
        <w:t>Gaekwad</w:t>
      </w:r>
      <w:proofErr w:type="spellEnd"/>
      <w:r w:rsidRPr="0004390E">
        <w:rPr>
          <w:rFonts w:asciiTheme="majorBidi" w:hAnsiTheme="majorBidi" w:cstheme="majorBidi"/>
          <w:sz w:val="22"/>
          <w:szCs w:val="22"/>
        </w:rPr>
        <w:t xml:space="preserve"> Oriental Series.</w:t>
      </w:r>
    </w:p>
    <w:p w:rsidR="00A6295E" w:rsidRPr="0004390E" w:rsidRDefault="00A6295E" w:rsidP="00A6295E">
      <w:pPr>
        <w:pStyle w:val="ListParagraph"/>
        <w:numPr>
          <w:ilvl w:val="0"/>
          <w:numId w:val="3"/>
        </w:numPr>
        <w:spacing w:after="200" w:line="276" w:lineRule="auto"/>
        <w:jc w:val="both"/>
        <w:rPr>
          <w:rFonts w:asciiTheme="majorBidi" w:hAnsiTheme="majorBidi" w:cstheme="majorBidi"/>
          <w:sz w:val="22"/>
          <w:szCs w:val="22"/>
        </w:rPr>
      </w:pPr>
      <w:proofErr w:type="spellStart"/>
      <w:r w:rsidRPr="0004390E">
        <w:rPr>
          <w:rFonts w:asciiTheme="majorBidi" w:hAnsiTheme="majorBidi" w:cstheme="majorBidi"/>
          <w:sz w:val="22"/>
          <w:szCs w:val="22"/>
        </w:rPr>
        <w:t>Rangacharya</w:t>
      </w:r>
      <w:proofErr w:type="spellEnd"/>
      <w:r w:rsidRPr="0004390E">
        <w:rPr>
          <w:rFonts w:asciiTheme="majorBidi" w:hAnsiTheme="majorBidi" w:cstheme="majorBidi"/>
          <w:sz w:val="22"/>
          <w:szCs w:val="22"/>
        </w:rPr>
        <w:t xml:space="preserve">, A. (1996). The </w:t>
      </w:r>
      <w:proofErr w:type="spellStart"/>
      <w:r w:rsidRPr="0004390E">
        <w:rPr>
          <w:rFonts w:asciiTheme="majorBidi" w:hAnsiTheme="majorBidi" w:cstheme="majorBidi"/>
          <w:sz w:val="22"/>
          <w:szCs w:val="22"/>
        </w:rPr>
        <w:t>Natya</w:t>
      </w:r>
      <w:proofErr w:type="spellEnd"/>
      <w:r w:rsidRPr="0004390E">
        <w:rPr>
          <w:rFonts w:asciiTheme="majorBidi" w:hAnsiTheme="majorBidi" w:cstheme="majorBidi"/>
          <w:sz w:val="22"/>
          <w:szCs w:val="22"/>
        </w:rPr>
        <w:t xml:space="preserve"> </w:t>
      </w:r>
      <w:proofErr w:type="spellStart"/>
      <w:r w:rsidRPr="0004390E">
        <w:rPr>
          <w:rFonts w:asciiTheme="majorBidi" w:hAnsiTheme="majorBidi" w:cstheme="majorBidi"/>
          <w:sz w:val="22"/>
          <w:szCs w:val="22"/>
        </w:rPr>
        <w:t>Shastra</w:t>
      </w:r>
      <w:proofErr w:type="spellEnd"/>
      <w:r w:rsidRPr="0004390E">
        <w:rPr>
          <w:rFonts w:asciiTheme="majorBidi" w:hAnsiTheme="majorBidi" w:cstheme="majorBidi"/>
          <w:sz w:val="22"/>
          <w:szCs w:val="22"/>
        </w:rPr>
        <w:t xml:space="preserve">. </w:t>
      </w:r>
      <w:proofErr w:type="spellStart"/>
      <w:r w:rsidRPr="0004390E">
        <w:rPr>
          <w:rFonts w:asciiTheme="majorBidi" w:hAnsiTheme="majorBidi" w:cstheme="majorBidi"/>
          <w:sz w:val="22"/>
          <w:szCs w:val="22"/>
        </w:rPr>
        <w:t>Munshiram</w:t>
      </w:r>
      <w:proofErr w:type="spellEnd"/>
      <w:r w:rsidRPr="0004390E">
        <w:rPr>
          <w:rFonts w:asciiTheme="majorBidi" w:hAnsiTheme="majorBidi" w:cstheme="majorBidi"/>
          <w:sz w:val="22"/>
          <w:szCs w:val="22"/>
        </w:rPr>
        <w:t xml:space="preserve"> </w:t>
      </w:r>
      <w:proofErr w:type="spellStart"/>
      <w:r w:rsidRPr="0004390E">
        <w:rPr>
          <w:rFonts w:asciiTheme="majorBidi" w:hAnsiTheme="majorBidi" w:cstheme="majorBidi"/>
          <w:sz w:val="22"/>
          <w:szCs w:val="22"/>
        </w:rPr>
        <w:t>Manoharlal</w:t>
      </w:r>
      <w:proofErr w:type="spellEnd"/>
      <w:r w:rsidRPr="0004390E">
        <w:rPr>
          <w:rFonts w:asciiTheme="majorBidi" w:hAnsiTheme="majorBidi" w:cstheme="majorBidi"/>
          <w:sz w:val="22"/>
          <w:szCs w:val="22"/>
        </w:rPr>
        <w:t xml:space="preserve"> Publishers.</w:t>
      </w:r>
    </w:p>
    <w:p w:rsidR="00A6295E" w:rsidRPr="0004390E" w:rsidRDefault="00A6295E" w:rsidP="00A6295E">
      <w:pPr>
        <w:pStyle w:val="ListParagraph"/>
        <w:numPr>
          <w:ilvl w:val="0"/>
          <w:numId w:val="3"/>
        </w:numPr>
        <w:spacing w:after="200" w:line="276" w:lineRule="auto"/>
        <w:jc w:val="both"/>
        <w:rPr>
          <w:rFonts w:asciiTheme="majorBidi" w:hAnsiTheme="majorBidi" w:cstheme="majorBidi"/>
          <w:sz w:val="22"/>
          <w:szCs w:val="22"/>
        </w:rPr>
      </w:pPr>
      <w:proofErr w:type="spellStart"/>
      <w:r w:rsidRPr="0004390E">
        <w:rPr>
          <w:rFonts w:asciiTheme="majorBidi" w:hAnsiTheme="majorBidi" w:cstheme="majorBidi"/>
          <w:sz w:val="22"/>
          <w:szCs w:val="22"/>
        </w:rPr>
        <w:t>Vatsyayan</w:t>
      </w:r>
      <w:proofErr w:type="spellEnd"/>
      <w:r w:rsidRPr="0004390E">
        <w:rPr>
          <w:rFonts w:asciiTheme="majorBidi" w:hAnsiTheme="majorBidi" w:cstheme="majorBidi"/>
          <w:sz w:val="22"/>
          <w:szCs w:val="22"/>
        </w:rPr>
        <w:t xml:space="preserve">, K. (1996). The square and the circle of Indian arts. </w:t>
      </w:r>
      <w:proofErr w:type="spellStart"/>
      <w:r w:rsidRPr="0004390E">
        <w:rPr>
          <w:rFonts w:asciiTheme="majorBidi" w:hAnsiTheme="majorBidi" w:cstheme="majorBidi"/>
          <w:sz w:val="22"/>
          <w:szCs w:val="22"/>
        </w:rPr>
        <w:t>Abhinav</w:t>
      </w:r>
      <w:proofErr w:type="spellEnd"/>
      <w:r w:rsidRPr="0004390E">
        <w:rPr>
          <w:rFonts w:asciiTheme="majorBidi" w:hAnsiTheme="majorBidi" w:cstheme="majorBidi"/>
          <w:sz w:val="22"/>
          <w:szCs w:val="22"/>
        </w:rPr>
        <w:t xml:space="preserve"> Publications.</w:t>
      </w:r>
    </w:p>
    <w:p w:rsidR="00A6295E" w:rsidRPr="0004390E" w:rsidRDefault="00A6295E" w:rsidP="00A6295E">
      <w:pPr>
        <w:pStyle w:val="ListParagraph"/>
        <w:numPr>
          <w:ilvl w:val="0"/>
          <w:numId w:val="3"/>
        </w:numPr>
        <w:spacing w:after="200" w:line="276" w:lineRule="auto"/>
        <w:jc w:val="both"/>
        <w:rPr>
          <w:rFonts w:asciiTheme="majorBidi" w:hAnsiTheme="majorBidi" w:cstheme="majorBidi"/>
          <w:sz w:val="22"/>
          <w:szCs w:val="22"/>
        </w:rPr>
      </w:pPr>
      <w:r w:rsidRPr="0004390E">
        <w:rPr>
          <w:rFonts w:asciiTheme="majorBidi" w:hAnsiTheme="majorBidi" w:cstheme="majorBidi"/>
          <w:sz w:val="22"/>
          <w:szCs w:val="22"/>
        </w:rPr>
        <w:t xml:space="preserve">Kothari, S. (1989). </w:t>
      </w:r>
      <w:proofErr w:type="spellStart"/>
      <w:r w:rsidRPr="0004390E">
        <w:rPr>
          <w:rFonts w:asciiTheme="majorBidi" w:hAnsiTheme="majorBidi" w:cstheme="majorBidi"/>
          <w:sz w:val="22"/>
          <w:szCs w:val="22"/>
        </w:rPr>
        <w:t>Kathak</w:t>
      </w:r>
      <w:proofErr w:type="spellEnd"/>
      <w:r w:rsidRPr="0004390E">
        <w:rPr>
          <w:rFonts w:asciiTheme="majorBidi" w:hAnsiTheme="majorBidi" w:cstheme="majorBidi"/>
          <w:sz w:val="22"/>
          <w:szCs w:val="22"/>
        </w:rPr>
        <w:t xml:space="preserve">: Indian classical dance art. </w:t>
      </w:r>
      <w:proofErr w:type="spellStart"/>
      <w:r w:rsidRPr="0004390E">
        <w:rPr>
          <w:rFonts w:asciiTheme="majorBidi" w:hAnsiTheme="majorBidi" w:cstheme="majorBidi"/>
          <w:sz w:val="22"/>
          <w:szCs w:val="22"/>
        </w:rPr>
        <w:t>Abhinav</w:t>
      </w:r>
      <w:proofErr w:type="spellEnd"/>
      <w:r w:rsidRPr="0004390E">
        <w:rPr>
          <w:rFonts w:asciiTheme="majorBidi" w:hAnsiTheme="majorBidi" w:cstheme="majorBidi"/>
          <w:sz w:val="22"/>
          <w:szCs w:val="22"/>
        </w:rPr>
        <w:t xml:space="preserve"> Publications.</w:t>
      </w:r>
    </w:p>
    <w:p w:rsidR="00A6295E" w:rsidRPr="0004390E" w:rsidRDefault="00A6295E" w:rsidP="00A6295E">
      <w:pPr>
        <w:pStyle w:val="ListParagraph"/>
        <w:numPr>
          <w:ilvl w:val="0"/>
          <w:numId w:val="3"/>
        </w:numPr>
        <w:spacing w:after="200" w:line="276" w:lineRule="auto"/>
        <w:jc w:val="both"/>
        <w:rPr>
          <w:rFonts w:asciiTheme="majorBidi" w:hAnsiTheme="majorBidi" w:cstheme="majorBidi"/>
          <w:sz w:val="22"/>
          <w:szCs w:val="22"/>
        </w:rPr>
      </w:pPr>
      <w:proofErr w:type="spellStart"/>
      <w:r w:rsidRPr="0004390E">
        <w:rPr>
          <w:rFonts w:asciiTheme="majorBidi" w:hAnsiTheme="majorBidi" w:cstheme="majorBidi"/>
          <w:sz w:val="22"/>
          <w:szCs w:val="22"/>
        </w:rPr>
        <w:t>Raghavan</w:t>
      </w:r>
      <w:proofErr w:type="spellEnd"/>
      <w:r w:rsidRPr="0004390E">
        <w:rPr>
          <w:rFonts w:asciiTheme="majorBidi" w:hAnsiTheme="majorBidi" w:cstheme="majorBidi"/>
          <w:sz w:val="22"/>
          <w:szCs w:val="22"/>
        </w:rPr>
        <w:t xml:space="preserve">, V. (1978). The Indian heritage of music. </w:t>
      </w:r>
      <w:proofErr w:type="spellStart"/>
      <w:r w:rsidRPr="0004390E">
        <w:rPr>
          <w:rFonts w:asciiTheme="majorBidi" w:hAnsiTheme="majorBidi" w:cstheme="majorBidi"/>
          <w:sz w:val="22"/>
          <w:szCs w:val="22"/>
        </w:rPr>
        <w:t>Sangeet</w:t>
      </w:r>
      <w:proofErr w:type="spellEnd"/>
      <w:r w:rsidRPr="0004390E">
        <w:rPr>
          <w:rFonts w:asciiTheme="majorBidi" w:hAnsiTheme="majorBidi" w:cstheme="majorBidi"/>
          <w:sz w:val="22"/>
          <w:szCs w:val="22"/>
        </w:rPr>
        <w:t xml:space="preserve"> </w:t>
      </w:r>
      <w:proofErr w:type="spellStart"/>
      <w:r w:rsidRPr="0004390E">
        <w:rPr>
          <w:rFonts w:asciiTheme="majorBidi" w:hAnsiTheme="majorBidi" w:cstheme="majorBidi"/>
          <w:sz w:val="22"/>
          <w:szCs w:val="22"/>
        </w:rPr>
        <w:t>Natak</w:t>
      </w:r>
      <w:proofErr w:type="spellEnd"/>
      <w:r w:rsidRPr="0004390E">
        <w:rPr>
          <w:rFonts w:asciiTheme="majorBidi" w:hAnsiTheme="majorBidi" w:cstheme="majorBidi"/>
          <w:sz w:val="22"/>
          <w:szCs w:val="22"/>
        </w:rPr>
        <w:t xml:space="preserve"> </w:t>
      </w:r>
      <w:proofErr w:type="spellStart"/>
      <w:r w:rsidRPr="0004390E">
        <w:rPr>
          <w:rFonts w:asciiTheme="majorBidi" w:hAnsiTheme="majorBidi" w:cstheme="majorBidi"/>
          <w:sz w:val="22"/>
          <w:szCs w:val="22"/>
        </w:rPr>
        <w:t>Akademi</w:t>
      </w:r>
      <w:proofErr w:type="spellEnd"/>
      <w:r w:rsidRPr="0004390E">
        <w:rPr>
          <w:rFonts w:asciiTheme="majorBidi" w:hAnsiTheme="majorBidi" w:cstheme="majorBidi"/>
          <w:sz w:val="22"/>
          <w:szCs w:val="22"/>
        </w:rPr>
        <w:t>.</w:t>
      </w:r>
    </w:p>
    <w:p w:rsidR="00A65EF5" w:rsidRPr="0004390E" w:rsidRDefault="00A65EF5">
      <w:pPr>
        <w:rPr>
          <w:rFonts w:asciiTheme="majorBidi" w:hAnsiTheme="majorBidi" w:cstheme="majorBidi"/>
        </w:rPr>
      </w:pPr>
      <w:bookmarkStart w:id="0" w:name="_GoBack"/>
      <w:bookmarkEnd w:id="0"/>
    </w:p>
    <w:sectPr w:rsidR="00A65EF5" w:rsidRPr="0004390E" w:rsidSect="00DF40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014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29468C"/>
    <w:multiLevelType w:val="hybridMultilevel"/>
    <w:tmpl w:val="445E5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1A7B94"/>
    <w:multiLevelType w:val="multilevel"/>
    <w:tmpl w:val="51BA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87"/>
    <w:rsid w:val="0004390E"/>
    <w:rsid w:val="004C739F"/>
    <w:rsid w:val="004D69EF"/>
    <w:rsid w:val="0054582B"/>
    <w:rsid w:val="005F228D"/>
    <w:rsid w:val="00655352"/>
    <w:rsid w:val="008E435C"/>
    <w:rsid w:val="009A29BD"/>
    <w:rsid w:val="009D6F9F"/>
    <w:rsid w:val="00A3767D"/>
    <w:rsid w:val="00A6295E"/>
    <w:rsid w:val="00A65EF5"/>
    <w:rsid w:val="00A73BA1"/>
    <w:rsid w:val="00B6139A"/>
    <w:rsid w:val="00C26A02"/>
    <w:rsid w:val="00DF7B64"/>
    <w:rsid w:val="00E22487"/>
    <w:rsid w:val="00F6711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5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A02"/>
    <w:pPr>
      <w:spacing w:after="160" w:line="278" w:lineRule="auto"/>
      <w:ind w:left="720"/>
      <w:contextualSpacing/>
    </w:pPr>
    <w:rPr>
      <w:rFonts w:eastAsiaTheme="minorEastAsia"/>
      <w:kern w:val="2"/>
      <w:sz w:val="24"/>
      <w:szCs w:val="24"/>
      <w:lang w:eastAsia="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5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A02"/>
    <w:pPr>
      <w:spacing w:after="160" w:line="278" w:lineRule="auto"/>
      <w:ind w:left="720"/>
      <w:contextualSpacing/>
    </w:pPr>
    <w:rPr>
      <w:rFonts w:eastAsiaTheme="minorEastAsia"/>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902963">
      <w:bodyDiv w:val="1"/>
      <w:marLeft w:val="0"/>
      <w:marRight w:val="0"/>
      <w:marTop w:val="0"/>
      <w:marBottom w:val="0"/>
      <w:divBdr>
        <w:top w:val="none" w:sz="0" w:space="0" w:color="auto"/>
        <w:left w:val="none" w:sz="0" w:space="0" w:color="auto"/>
        <w:bottom w:val="none" w:sz="0" w:space="0" w:color="auto"/>
        <w:right w:val="none" w:sz="0" w:space="0" w:color="auto"/>
      </w:divBdr>
      <w:divsChild>
        <w:div w:id="945380184">
          <w:marLeft w:val="0"/>
          <w:marRight w:val="0"/>
          <w:marTop w:val="0"/>
          <w:marBottom w:val="0"/>
          <w:divBdr>
            <w:top w:val="none" w:sz="0" w:space="0" w:color="auto"/>
            <w:left w:val="none" w:sz="0" w:space="0" w:color="auto"/>
            <w:bottom w:val="none" w:sz="0" w:space="0" w:color="auto"/>
            <w:right w:val="none" w:sz="0" w:space="0" w:color="auto"/>
          </w:divBdr>
          <w:divsChild>
            <w:div w:id="1106651941">
              <w:marLeft w:val="0"/>
              <w:marRight w:val="0"/>
              <w:marTop w:val="0"/>
              <w:marBottom w:val="0"/>
              <w:divBdr>
                <w:top w:val="none" w:sz="0" w:space="0" w:color="auto"/>
                <w:left w:val="none" w:sz="0" w:space="0" w:color="auto"/>
                <w:bottom w:val="none" w:sz="0" w:space="0" w:color="auto"/>
                <w:right w:val="none" w:sz="0" w:space="0" w:color="auto"/>
              </w:divBdr>
              <w:divsChild>
                <w:div w:id="15812361">
                  <w:marLeft w:val="0"/>
                  <w:marRight w:val="0"/>
                  <w:marTop w:val="0"/>
                  <w:marBottom w:val="0"/>
                  <w:divBdr>
                    <w:top w:val="none" w:sz="0" w:space="0" w:color="auto"/>
                    <w:left w:val="none" w:sz="0" w:space="0" w:color="auto"/>
                    <w:bottom w:val="none" w:sz="0" w:space="0" w:color="auto"/>
                    <w:right w:val="none" w:sz="0" w:space="0" w:color="auto"/>
                  </w:divBdr>
                  <w:divsChild>
                    <w:div w:id="2096432999">
                      <w:marLeft w:val="0"/>
                      <w:marRight w:val="0"/>
                      <w:marTop w:val="0"/>
                      <w:marBottom w:val="0"/>
                      <w:divBdr>
                        <w:top w:val="none" w:sz="0" w:space="0" w:color="auto"/>
                        <w:left w:val="none" w:sz="0" w:space="0" w:color="auto"/>
                        <w:bottom w:val="none" w:sz="0" w:space="0" w:color="auto"/>
                        <w:right w:val="none" w:sz="0" w:space="0" w:color="auto"/>
                      </w:divBdr>
                      <w:divsChild>
                        <w:div w:id="827211093">
                          <w:marLeft w:val="0"/>
                          <w:marRight w:val="0"/>
                          <w:marTop w:val="0"/>
                          <w:marBottom w:val="0"/>
                          <w:divBdr>
                            <w:top w:val="none" w:sz="0" w:space="0" w:color="auto"/>
                            <w:left w:val="none" w:sz="0" w:space="0" w:color="auto"/>
                            <w:bottom w:val="none" w:sz="0" w:space="0" w:color="auto"/>
                            <w:right w:val="none" w:sz="0" w:space="0" w:color="auto"/>
                          </w:divBdr>
                          <w:divsChild>
                            <w:div w:id="695814207">
                              <w:marLeft w:val="0"/>
                              <w:marRight w:val="0"/>
                              <w:marTop w:val="0"/>
                              <w:marBottom w:val="0"/>
                              <w:divBdr>
                                <w:top w:val="none" w:sz="0" w:space="0" w:color="auto"/>
                                <w:left w:val="none" w:sz="0" w:space="0" w:color="auto"/>
                                <w:bottom w:val="none" w:sz="0" w:space="0" w:color="auto"/>
                                <w:right w:val="none" w:sz="0" w:space="0" w:color="auto"/>
                              </w:divBdr>
                              <w:divsChild>
                                <w:div w:id="434834124">
                                  <w:marLeft w:val="0"/>
                                  <w:marRight w:val="0"/>
                                  <w:marTop w:val="0"/>
                                  <w:marBottom w:val="0"/>
                                  <w:divBdr>
                                    <w:top w:val="none" w:sz="0" w:space="0" w:color="auto"/>
                                    <w:left w:val="none" w:sz="0" w:space="0" w:color="auto"/>
                                    <w:bottom w:val="none" w:sz="0" w:space="0" w:color="auto"/>
                                    <w:right w:val="none" w:sz="0" w:space="0" w:color="auto"/>
                                  </w:divBdr>
                                </w:div>
                                <w:div w:id="997460830">
                                  <w:marLeft w:val="0"/>
                                  <w:marRight w:val="0"/>
                                  <w:marTop w:val="0"/>
                                  <w:marBottom w:val="0"/>
                                  <w:divBdr>
                                    <w:top w:val="none" w:sz="0" w:space="0" w:color="auto"/>
                                    <w:left w:val="none" w:sz="0" w:space="0" w:color="auto"/>
                                    <w:bottom w:val="none" w:sz="0" w:space="0" w:color="auto"/>
                                    <w:right w:val="none" w:sz="0" w:space="0" w:color="auto"/>
                                  </w:divBdr>
                                  <w:divsChild>
                                    <w:div w:id="1068070337">
                                      <w:marLeft w:val="0"/>
                                      <w:marRight w:val="0"/>
                                      <w:marTop w:val="0"/>
                                      <w:marBottom w:val="0"/>
                                      <w:divBdr>
                                        <w:top w:val="none" w:sz="0" w:space="0" w:color="auto"/>
                                        <w:left w:val="none" w:sz="0" w:space="0" w:color="auto"/>
                                        <w:bottom w:val="none" w:sz="0" w:space="0" w:color="auto"/>
                                        <w:right w:val="none" w:sz="0" w:space="0" w:color="auto"/>
                                      </w:divBdr>
                                    </w:div>
                                    <w:div w:id="5254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536475">
          <w:marLeft w:val="-120"/>
          <w:marRight w:val="-300"/>
          <w:marTop w:val="0"/>
          <w:marBottom w:val="0"/>
          <w:divBdr>
            <w:top w:val="none" w:sz="0" w:space="0" w:color="auto"/>
            <w:left w:val="none" w:sz="0" w:space="0" w:color="auto"/>
            <w:bottom w:val="none" w:sz="0" w:space="0" w:color="auto"/>
            <w:right w:val="none" w:sz="0" w:space="0" w:color="auto"/>
          </w:divBdr>
          <w:divsChild>
            <w:div w:id="1491629057">
              <w:marLeft w:val="0"/>
              <w:marRight w:val="0"/>
              <w:marTop w:val="0"/>
              <w:marBottom w:val="0"/>
              <w:divBdr>
                <w:top w:val="none" w:sz="0" w:space="0" w:color="auto"/>
                <w:left w:val="none" w:sz="0" w:space="0" w:color="auto"/>
                <w:bottom w:val="none" w:sz="0" w:space="0" w:color="auto"/>
                <w:right w:val="none" w:sz="0" w:space="0" w:color="auto"/>
              </w:divBdr>
              <w:divsChild>
                <w:div w:id="18379202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13</cp:revision>
  <cp:lastPrinted>2026-07-07T06:04:00Z</cp:lastPrinted>
  <dcterms:created xsi:type="dcterms:W3CDTF">2025-08-19T05:47:00Z</dcterms:created>
  <dcterms:modified xsi:type="dcterms:W3CDTF">2026-07-08T08:11:00Z</dcterms:modified>
</cp:coreProperties>
</file>