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6C0B" w14:textId="77777777" w:rsidR="005A4515" w:rsidRPr="005417B7" w:rsidRDefault="005A4515" w:rsidP="003E0EED">
      <w:pPr>
        <w:jc w:val="center"/>
        <w:rPr>
          <w:b/>
          <w:bCs/>
        </w:rPr>
      </w:pPr>
      <w:r w:rsidRPr="005417B7">
        <w:rPr>
          <w:b/>
          <w:bCs/>
        </w:rPr>
        <w:t xml:space="preserve">Extent and Patterns of Outcomes-Based Education Implementation Across Seven Domains in Selected Philippine Engineering </w:t>
      </w:r>
      <w:proofErr w:type="spellStart"/>
      <w:r w:rsidRPr="005417B7">
        <w:rPr>
          <w:b/>
          <w:bCs/>
        </w:rPr>
        <w:t>Programmes</w:t>
      </w:r>
      <w:proofErr w:type="spellEnd"/>
    </w:p>
    <w:p w14:paraId="628E8526" w14:textId="77777777" w:rsidR="005417B7" w:rsidRDefault="005417B7" w:rsidP="005A4515">
      <w:pPr>
        <w:jc w:val="both"/>
      </w:pPr>
    </w:p>
    <w:p w14:paraId="7640BCBB" w14:textId="0BDB4941" w:rsidR="005A4515" w:rsidRDefault="00213E56" w:rsidP="005A4515">
      <w:pPr>
        <w:jc w:val="both"/>
        <w:rPr>
          <w:b/>
          <w:bCs/>
        </w:rPr>
      </w:pPr>
      <w:r>
        <w:rPr>
          <w:b/>
          <w:bCs/>
        </w:rPr>
        <w:t>ABSTRACT</w:t>
      </w:r>
    </w:p>
    <w:p w14:paraId="7319F5FF" w14:textId="77777777" w:rsidR="00213E56" w:rsidRPr="005417B7" w:rsidRDefault="00213E56" w:rsidP="005A4515">
      <w:pPr>
        <w:jc w:val="both"/>
        <w:rPr>
          <w:b/>
          <w:bCs/>
        </w:rPr>
      </w:pPr>
    </w:p>
    <w:p w14:paraId="2C9550DD" w14:textId="77777777" w:rsidR="005A4515" w:rsidRDefault="005A4515" w:rsidP="005A4515">
      <w:pPr>
        <w:jc w:val="both"/>
      </w:pPr>
      <w:r>
        <w:t xml:space="preserve">Outcomes-based education (OBE) has been a mandatory quality-assurance framework for Philippine engineering </w:t>
      </w:r>
      <w:proofErr w:type="spellStart"/>
      <w:r>
        <w:t>programmes</w:t>
      </w:r>
      <w:proofErr w:type="spellEnd"/>
      <w:r>
        <w:t xml:space="preserve"> since 2012, yet little evidence exists on how deeply the framework has reached actual classroom practice. This study examined the extent of OBE implementation across seven domains in selected board-regulated engineering </w:t>
      </w:r>
      <w:proofErr w:type="spellStart"/>
      <w:r>
        <w:t>programmes</w:t>
      </w:r>
      <w:proofErr w:type="spellEnd"/>
      <w:r>
        <w:t xml:space="preserve"> in the Philippines and used qualitative evidence to explain the resulting pattern, with the aim of informing institutional policy and quality-assurance mechanisms. Using a descriptive mixed-methods design, survey data were gathered from 186 engineering faculty, academic administrators, and quality-assurance personnel across 22 board-regulated engineering higher education institutions (HEIs), complemented by 435 open-ended responses </w:t>
      </w:r>
      <w:proofErr w:type="spellStart"/>
      <w:r>
        <w:t>analysed</w:t>
      </w:r>
      <w:proofErr w:type="spellEnd"/>
      <w:r>
        <w:t xml:space="preserve"> through reflexive thematic analysis. Implementation was moderate overall (overall weighted mean = 3.19 on a four-point scale). Only two of the seven domains reached the highly implemented threshold: Curriculum and </w:t>
      </w:r>
      <w:proofErr w:type="spellStart"/>
      <w:r>
        <w:t>Programme</w:t>
      </w:r>
      <w:proofErr w:type="spellEnd"/>
      <w:r>
        <w:t xml:space="preserve"> Outcome Alignment (3.35) and Teaching and Learning Strategies (3.32). In contrast, Institutional and Administrative Support recorded the lowest mean score at 3.02. The findings consistently show that while programs have put the basic structure of OBE in place by setting goals and mapping courses, they still need to work on deeply embedding it into actual teaching, testing, and school culture. The most frequently raised theme, a faculty training and professional-development need (31.5% of responses), together with reflections on OBE as compliance versus transformation (18.9%), suggests that the distance between formal adoption and operational practice is structural rather than attitudinal. These findings provide educational policymakers and institutional leaders with a clear view of where OBE implementation succeeds and where it needs support. To meaningfully improve classroom practice, institutions should prioritize targeted faculty development, protected time, competency-level curriculum alignment, and closed-loop quality assurance.</w:t>
      </w:r>
    </w:p>
    <w:p w14:paraId="0775EDCA" w14:textId="77777777" w:rsidR="005417B7" w:rsidRDefault="005417B7" w:rsidP="005A4515">
      <w:pPr>
        <w:jc w:val="both"/>
      </w:pPr>
    </w:p>
    <w:p w14:paraId="774BFCBB" w14:textId="77777777" w:rsidR="005A4515" w:rsidRDefault="005A4515" w:rsidP="005A4515">
      <w:pPr>
        <w:jc w:val="both"/>
      </w:pPr>
      <w:r w:rsidRPr="005417B7">
        <w:rPr>
          <w:b/>
          <w:bCs/>
        </w:rPr>
        <w:t>Keywords:</w:t>
      </w:r>
      <w:r>
        <w:t xml:space="preserve"> outcomes-based education; engineering education; educational policy; quality assurance; faculty development; </w:t>
      </w:r>
      <w:proofErr w:type="spellStart"/>
      <w:r>
        <w:t>programme</w:t>
      </w:r>
      <w:proofErr w:type="spellEnd"/>
      <w:r>
        <w:t xml:space="preserve"> implementation</w:t>
      </w:r>
    </w:p>
    <w:p w14:paraId="1827423C" w14:textId="77777777" w:rsidR="005417B7" w:rsidRDefault="005417B7" w:rsidP="005A4515">
      <w:pPr>
        <w:jc w:val="both"/>
      </w:pPr>
    </w:p>
    <w:p w14:paraId="392B98F5" w14:textId="292BD304" w:rsidR="005A4515" w:rsidRPr="005417B7" w:rsidRDefault="00213E56" w:rsidP="005417B7">
      <w:pPr>
        <w:spacing w:after="240"/>
        <w:jc w:val="both"/>
        <w:rPr>
          <w:b/>
          <w:bCs/>
        </w:rPr>
      </w:pPr>
      <w:r>
        <w:rPr>
          <w:b/>
          <w:bCs/>
        </w:rPr>
        <w:t>INTRODUCTION</w:t>
      </w:r>
    </w:p>
    <w:p w14:paraId="5897AEC4" w14:textId="77777777" w:rsidR="005A4515" w:rsidRDefault="005A4515" w:rsidP="005417B7">
      <w:pPr>
        <w:spacing w:after="240"/>
        <w:jc w:val="both"/>
      </w:pPr>
      <w:r>
        <w:t xml:space="preserve">Higher education systems worldwide have reoriented quality assurance around demonstrable learning outcomes, defining </w:t>
      </w:r>
      <w:proofErr w:type="spellStart"/>
      <w:r>
        <w:t>programme</w:t>
      </w:r>
      <w:proofErr w:type="spellEnd"/>
      <w:r>
        <w:t xml:space="preserve"> quality less by content delivered than by the competencies graduates can show (Biggs &amp; Tang, 2011; Rao, 2020). Recent research emphasizes that effective quality-assurance systems need to go beyond simply writing down learning outcomes. Institutions must have the capacity to measure and act on student achievement, making continuous improvement loops and data-driven practices standard expectations (Aithal, 2024; Kayyali, 2023). In the Philippines, the Commission on Higher Education (CHED) </w:t>
      </w:r>
      <w:proofErr w:type="spellStart"/>
      <w:r>
        <w:t>institutionalised</w:t>
      </w:r>
      <w:proofErr w:type="spellEnd"/>
      <w:r>
        <w:t xml:space="preserve"> this shift through Memorandum Orders No. 46 and No. 37, series of 2012 (CHED, 2012a, 2012b), the latter mandating outcomes-based education (OBE) for all engineering </w:t>
      </w:r>
      <w:proofErr w:type="spellStart"/>
      <w:r>
        <w:t>programmes</w:t>
      </w:r>
      <w:proofErr w:type="spellEnd"/>
      <w:r>
        <w:t xml:space="preserve"> beginning Academic Year 2012–2013. A recent policy review of CHED's Policies, Standards, and Guidelines (PSGs) issued before and after the K to 12 reforms found that, while the outcomes-based and typology-based architecture has matured, strategic clarity and </w:t>
      </w:r>
      <w:proofErr w:type="spellStart"/>
      <w:r>
        <w:t>organisational</w:t>
      </w:r>
      <w:proofErr w:type="spellEnd"/>
      <w:r>
        <w:t xml:space="preserve"> support are still needed for the quality-assurance cycle to function effectively (Orbeta &amp; </w:t>
      </w:r>
      <w:proofErr w:type="spellStart"/>
      <w:r>
        <w:t>Paqueo</w:t>
      </w:r>
      <w:proofErr w:type="spellEnd"/>
      <w:r>
        <w:t xml:space="preserve">, 2025). A decade after its </w:t>
      </w:r>
      <w:r>
        <w:lastRenderedPageBreak/>
        <w:t>introduction, the policy framework is now settled. For educational managers, the core issue is no longer about whether institutions have adopted OBE, but how deeply it has been integrated into actual day-to-day operations. The challenge now lies in determining which policy and leadership strategies successfully drive that integration.</w:t>
      </w:r>
    </w:p>
    <w:p w14:paraId="4E188525" w14:textId="77777777" w:rsidR="005A4515" w:rsidRDefault="005A4515" w:rsidP="005A4515">
      <w:pPr>
        <w:jc w:val="both"/>
      </w:pPr>
      <w:r>
        <w:t xml:space="preserve">This gap between formal adoption and actual practice matters most in regional, resource-constrained institutions. These schools are located far from metropolitan centers, where accreditation expertise and teacher-training resources are usually concentrated, making them the least studied segment of higher education. A common finding in the literature is that institutions often adopt OBE only on paper. While schools frequently update their syllabi, outcome statements, and curriculum maps, they often fail to change their actual teaching methods, assessment designs, or broader institutional culture (Custodio et al., 2019; </w:t>
      </w:r>
      <w:proofErr w:type="spellStart"/>
      <w:r>
        <w:t>Iringan</w:t>
      </w:r>
      <w:proofErr w:type="spellEnd"/>
      <w:r>
        <w:t xml:space="preserve"> &amp; </w:t>
      </w:r>
      <w:proofErr w:type="spellStart"/>
      <w:r>
        <w:t>Bansig</w:t>
      </w:r>
      <w:proofErr w:type="spellEnd"/>
      <w:r>
        <w:t xml:space="preserve">, 2022; Shaheen, 2019). Studies show that the biggest hurdle to real OBE progress is a lack of assessment literacy among faculty. Many instructors still struggle to create valid exams and use the results to guide their day-to-day teaching (Baartman &amp; Quinlan, 2023; </w:t>
      </w:r>
      <w:proofErr w:type="spellStart"/>
      <w:r>
        <w:t>Hapinat</w:t>
      </w:r>
      <w:proofErr w:type="spellEnd"/>
      <w:r>
        <w:t>, 2023). The challenge is sharpened in regional ASEAN contexts pursuing outcomes-based reform, where the alignment of curriculum, assessment, and quality-assurance practice with the constructive-alignment framework remains uneven (Pham &amp; Nguyen, 2024). Less common is work that measures, domain by domain, how far implementation has actually reached in such settings and then draws on practitioners' own accounts to explain the pattern in terms that institutional leaders and policymakers can act upon.</w:t>
      </w:r>
    </w:p>
    <w:p w14:paraId="1DB8C485" w14:textId="77777777" w:rsidR="005A4515" w:rsidRDefault="005A4515" w:rsidP="005A4515">
      <w:pPr>
        <w:jc w:val="both"/>
      </w:pPr>
      <w:r>
        <w:t xml:space="preserve">This study addresses that gap in selected board-regulated engineering </w:t>
      </w:r>
      <w:proofErr w:type="spellStart"/>
      <w:r>
        <w:t>programmes</w:t>
      </w:r>
      <w:proofErr w:type="spellEnd"/>
      <w:r>
        <w:t xml:space="preserve"> in the Philippines, drawn from 22 institutions that span state and private HEIs, multiple campuses, and a wide range of accreditation maturity. It asks a single, focused question with both a descriptive and an explanatory dimension: To what extent is OBE implemented across seven domains in these board-regulated engineering </w:t>
      </w:r>
      <w:proofErr w:type="spellStart"/>
      <w:r>
        <w:t>programmes</w:t>
      </w:r>
      <w:proofErr w:type="spellEnd"/>
      <w:r>
        <w:t xml:space="preserve">, and how do practitioners explain the resulting pattern? The seven domains examined are (a) Teacher Preparedness and Understanding of OBE; (b) Curriculum and </w:t>
      </w:r>
      <w:proofErr w:type="spellStart"/>
      <w:r>
        <w:t>Programme</w:t>
      </w:r>
      <w:proofErr w:type="spellEnd"/>
      <w:r>
        <w:t xml:space="preserve"> Outcome Alignment; (c) Teaching and Learning Strategies; (d) Assessment and Evaluation; (e) Faculty Competence and Development; (f) Institutional and Administrative Support; and (g) Student Engagement and Support.</w:t>
      </w:r>
    </w:p>
    <w:p w14:paraId="4C8E8819" w14:textId="77777777" w:rsidR="005417B7" w:rsidRDefault="005417B7" w:rsidP="005A4515">
      <w:pPr>
        <w:jc w:val="both"/>
      </w:pPr>
    </w:p>
    <w:p w14:paraId="5457E141" w14:textId="77777777" w:rsidR="005A4515" w:rsidRDefault="005A4515" w:rsidP="005A4515">
      <w:pPr>
        <w:jc w:val="both"/>
      </w:pPr>
      <w:r>
        <w:t xml:space="preserve">The contribution is twofold and policy-oriented. First, the study provides a domain-resolved implementation profile across a set of engineering </w:t>
      </w:r>
      <w:proofErr w:type="spellStart"/>
      <w:r>
        <w:t>programmes</w:t>
      </w:r>
      <w:proofErr w:type="spellEnd"/>
      <w:r>
        <w:t>, rather than a single aggregate score or a study of one or two institutions, making visible where in the OBE system implementation is strong and where it is still developing. Second, by integrating 435 open-ended practitioner responses with the quantitative profile, it advances a developmental interpretation—broad structural adoption alongside still-maturing operational depth—that reframes the familiar compliance-versus-transformation discussion in concrete, domain-specific, and actionable terms for quality-assurance bodies, institutional leaders, and faculty-development planners operating under comparable constraints.</w:t>
      </w:r>
    </w:p>
    <w:p w14:paraId="33E1BD60" w14:textId="77777777" w:rsidR="005417B7" w:rsidRDefault="005417B7" w:rsidP="005A4515">
      <w:pPr>
        <w:jc w:val="both"/>
      </w:pPr>
    </w:p>
    <w:p w14:paraId="4A696AA1" w14:textId="77777777" w:rsidR="005A4515" w:rsidRPr="005417B7" w:rsidRDefault="005A4515" w:rsidP="005417B7">
      <w:pPr>
        <w:spacing w:after="240"/>
        <w:jc w:val="both"/>
        <w:rPr>
          <w:b/>
          <w:bCs/>
        </w:rPr>
      </w:pPr>
      <w:r w:rsidRPr="005417B7">
        <w:rPr>
          <w:b/>
          <w:bCs/>
        </w:rPr>
        <w:t>Conceptual Framing</w:t>
      </w:r>
    </w:p>
    <w:p w14:paraId="492C9188" w14:textId="77777777" w:rsidR="005A4515" w:rsidRDefault="005A4515" w:rsidP="005417B7">
      <w:pPr>
        <w:spacing w:after="240"/>
        <w:jc w:val="both"/>
      </w:pPr>
      <w:r>
        <w:t xml:space="preserve">This analysis relies on three established frameworks to evaluate the broader implementation of OBE and its policy implications. Constructive alignment (Biggs, 1996; Biggs &amp; Tang, 2011) supplies the criterion against which implementation extent is judged: in a fully </w:t>
      </w:r>
      <w:proofErr w:type="spellStart"/>
      <w:r>
        <w:t>realised</w:t>
      </w:r>
      <w:proofErr w:type="spellEnd"/>
      <w:r>
        <w:t xml:space="preserve"> OBE system, intended outcomes, teaching and learning activities, and assessment tasks form a single coherent loop. Implementation can therefore remain incomplete even when learning outcomes are </w:t>
      </w:r>
      <w:r>
        <w:lastRenderedPageBreak/>
        <w:t>clearly defined. This usually happens because one part of the loop, typically the design or use of assessments, lags behind the rest of the framework.</w:t>
      </w:r>
    </w:p>
    <w:p w14:paraId="4DD7EF96" w14:textId="77777777" w:rsidR="005A4515" w:rsidRDefault="005A4515" w:rsidP="005A4515">
      <w:pPr>
        <w:jc w:val="both"/>
      </w:pPr>
      <w:r>
        <w:t xml:space="preserve">A </w:t>
      </w:r>
      <w:proofErr w:type="gramStart"/>
      <w:r>
        <w:t>systems</w:t>
      </w:r>
      <w:proofErr w:type="gramEnd"/>
      <w:r>
        <w:t xml:space="preserve"> (input–process–output) perspective (</w:t>
      </w:r>
      <w:proofErr w:type="spellStart"/>
      <w:r>
        <w:t>Bertalanffy</w:t>
      </w:r>
      <w:proofErr w:type="spellEnd"/>
      <w:r>
        <w:t xml:space="preserve">, 1968) frames OBE implementation as the process layer mediating between institutional inputs and educational </w:t>
      </w:r>
      <w:proofErr w:type="gramStart"/>
      <w:r>
        <w:t>outputs, and</w:t>
      </w:r>
      <w:proofErr w:type="gramEnd"/>
      <w:r>
        <w:t xml:space="preserve"> underscores that the seven domains are interdependent rather than separable: weakness in faculty development propagates into assessment and monitoring regardless of how complete curriculum documentation appears. A change-process lens (Lewin, 1951) provides the developmental vocabulary for interpreting a moderate profile: a system may have unfrozen traditional practice and be moving, with updated curricula and student-</w:t>
      </w:r>
      <w:proofErr w:type="spellStart"/>
      <w:r>
        <w:t>centred</w:t>
      </w:r>
      <w:proofErr w:type="spellEnd"/>
      <w:r>
        <w:t xml:space="preserve"> methods in place, without having refrozen OBE as a stable, evidence-driven institutional norm. On this reading, a moderate score is not a failure but the diagnostic signature of a system mid-transition (Harden et al., 1999), and the qualitative themes identify what is preventing refreezing. These constructs are used as structured guides for interpretation rather than as variables to be tested; the study's empirical object is the extent of implementation and its practitioner-grounded explanation.</w:t>
      </w:r>
    </w:p>
    <w:p w14:paraId="36C6F2C6" w14:textId="77777777" w:rsidR="005417B7" w:rsidRDefault="005417B7" w:rsidP="005A4515">
      <w:pPr>
        <w:jc w:val="both"/>
      </w:pPr>
    </w:p>
    <w:p w14:paraId="700F3DE2" w14:textId="30E75C26" w:rsidR="005A4515" w:rsidRPr="005417B7" w:rsidRDefault="005A4515" w:rsidP="005417B7">
      <w:pPr>
        <w:spacing w:after="240"/>
        <w:jc w:val="both"/>
        <w:rPr>
          <w:b/>
          <w:bCs/>
        </w:rPr>
      </w:pPr>
      <w:r w:rsidRPr="005417B7">
        <w:rPr>
          <w:b/>
          <w:bCs/>
        </w:rPr>
        <w:t>Methodology</w:t>
      </w:r>
    </w:p>
    <w:p w14:paraId="13C5F2A0" w14:textId="77777777" w:rsidR="005A4515" w:rsidRPr="005417B7" w:rsidRDefault="005A4515" w:rsidP="005417B7">
      <w:pPr>
        <w:spacing w:after="240"/>
        <w:jc w:val="both"/>
        <w:rPr>
          <w:i/>
          <w:iCs/>
        </w:rPr>
      </w:pPr>
      <w:r w:rsidRPr="005417B7">
        <w:rPr>
          <w:i/>
          <w:iCs/>
        </w:rPr>
        <w:t>Research Design</w:t>
      </w:r>
    </w:p>
    <w:p w14:paraId="2BF9B0C7" w14:textId="77777777" w:rsidR="005A4515" w:rsidRDefault="005A4515" w:rsidP="005A4515">
      <w:pPr>
        <w:jc w:val="both"/>
      </w:pPr>
      <w:r>
        <w:t xml:space="preserve">The study used a descriptive mixed-methods design with an explanatory-sequential logic (Creswell &amp; Plano Clark, 2018; Johnson &amp; Onwuegbuzie, 2004). A quantitative survey established the domain-level extent of implementation, after which qualitative thematic analysis of embedded open-ended responses was used to explain and </w:t>
      </w:r>
      <w:proofErr w:type="spellStart"/>
      <w:r>
        <w:t>contextualise</w:t>
      </w:r>
      <w:proofErr w:type="spellEnd"/>
      <w:r>
        <w:t xml:space="preserve"> the quantitative pattern. The integration point is interpretive: each quantitative domain result is read alongside the themes that account for it.</w:t>
      </w:r>
    </w:p>
    <w:p w14:paraId="40E29A5A" w14:textId="77777777" w:rsidR="005417B7" w:rsidRDefault="005417B7" w:rsidP="005A4515">
      <w:pPr>
        <w:jc w:val="both"/>
      </w:pPr>
    </w:p>
    <w:p w14:paraId="24FF952A" w14:textId="77777777" w:rsidR="005A4515" w:rsidRPr="005417B7" w:rsidRDefault="005A4515" w:rsidP="005417B7">
      <w:pPr>
        <w:spacing w:after="240"/>
        <w:jc w:val="both"/>
        <w:rPr>
          <w:i/>
          <w:iCs/>
        </w:rPr>
      </w:pPr>
      <w:r w:rsidRPr="005417B7">
        <w:rPr>
          <w:i/>
          <w:iCs/>
        </w:rPr>
        <w:t>Setting and Participants</w:t>
      </w:r>
    </w:p>
    <w:p w14:paraId="7C0A420C" w14:textId="77777777" w:rsidR="005A4515" w:rsidRDefault="005A4515" w:rsidP="005417B7">
      <w:pPr>
        <w:spacing w:after="240"/>
        <w:jc w:val="both"/>
      </w:pPr>
      <w:r>
        <w:t xml:space="preserve">The setting comprised 22 HEIs offering board-regulated (licensure-track) undergraduate engineering </w:t>
      </w:r>
      <w:proofErr w:type="spellStart"/>
      <w:r>
        <w:t>programmes</w:t>
      </w:r>
      <w:proofErr w:type="spellEnd"/>
      <w:r>
        <w:t xml:space="preserve"> within a defined Philippine higher-education context. Total enumeration of the eligible institutions in that context was used, eliminating institutional-level sampling error. Within each HEI, respondents were selected purposively for their direct involvement in planning, implementing, monitoring, or evaluating OBE: engineering faculty teaching major courses, academic administrators (deans and </w:t>
      </w:r>
      <w:proofErr w:type="spellStart"/>
      <w:r>
        <w:t>programme</w:t>
      </w:r>
      <w:proofErr w:type="spellEnd"/>
      <w:r>
        <w:t xml:space="preserve"> chairs), and quality-assurance personnel. The achieved sample was 186 respondents across the 22 institutions.</w:t>
      </w:r>
    </w:p>
    <w:p w14:paraId="3094C5BD" w14:textId="77777777" w:rsidR="005A4515" w:rsidRPr="005417B7" w:rsidRDefault="005A4515" w:rsidP="005417B7">
      <w:pPr>
        <w:spacing w:after="240"/>
        <w:jc w:val="both"/>
        <w:rPr>
          <w:i/>
          <w:iCs/>
        </w:rPr>
      </w:pPr>
      <w:r w:rsidRPr="005417B7">
        <w:rPr>
          <w:i/>
          <w:iCs/>
        </w:rPr>
        <w:t>Instrument</w:t>
      </w:r>
    </w:p>
    <w:p w14:paraId="5672B568" w14:textId="77777777" w:rsidR="005A4515" w:rsidRDefault="005A4515" w:rsidP="005A4515">
      <w:pPr>
        <w:jc w:val="both"/>
      </w:pPr>
      <w:r>
        <w:t xml:space="preserve">A researcher-developed survey questionnaire combined Likert-scale items with embedded open-ended prompts. The OBE-implementation section, which is the basis of this paper, measured the seven domains through descriptor statements rated on a four-point scale (4 = Highly Implemented; 3 = Moderately Implemented; 2 = Slightly Implemented; 1 = Not Implemented). A forced-choice four-point scale was adopted deliberately to avoid central-tendency bias and to require a definitive position, consistent with established practice in OBE implementation research. The instrument underwent expert content validation by a ten-member panel spanning engineering education, educational management, OBE research, quality assurance, and research methodology, assessed </w:t>
      </w:r>
      <w:r>
        <w:lastRenderedPageBreak/>
        <w:t xml:space="preserve">through an item-level content validity index, followed by a face-validity review with a three-member subgroup. It was then pilot-tested with 34 comparable respondents from non-board engineering </w:t>
      </w:r>
      <w:proofErr w:type="spellStart"/>
      <w:r>
        <w:t>programmes</w:t>
      </w:r>
      <w:proofErr w:type="spellEnd"/>
      <w:r>
        <w:t xml:space="preserve"> outside the study population; subscale reliability was assessed using Cronbach's alpha against the conventional 0.70 threshold.</w:t>
      </w:r>
    </w:p>
    <w:p w14:paraId="1847F525" w14:textId="77777777" w:rsidR="005417B7" w:rsidRDefault="005417B7" w:rsidP="005A4515">
      <w:pPr>
        <w:jc w:val="both"/>
      </w:pPr>
    </w:p>
    <w:p w14:paraId="09A63725" w14:textId="77777777" w:rsidR="005A4515" w:rsidRDefault="005A4515" w:rsidP="005A4515">
      <w:pPr>
        <w:jc w:val="both"/>
      </w:pPr>
      <w:r>
        <w:t xml:space="preserve">All seven subscales demonstrated high internal consistency, with Cronbach's alpha coefficients well above the 0.70 threshold: Teacher Preparedness and Understanding of OBE (α = 0.850), Curriculum and </w:t>
      </w:r>
      <w:proofErr w:type="spellStart"/>
      <w:r>
        <w:t>Programme</w:t>
      </w:r>
      <w:proofErr w:type="spellEnd"/>
      <w:r>
        <w:t xml:space="preserve"> Outcome Alignment (α = 0.909), Teaching and Learning Strategies (α = 0.942), Assessment and Evaluation (α = 0.974), Faculty Competence and Development (α = 0.936), Institutional and Administrative Support (α = 0.950), and Student Engagement and Support (α = 0.889).</w:t>
      </w:r>
    </w:p>
    <w:p w14:paraId="258F5C11" w14:textId="77777777" w:rsidR="005417B7" w:rsidRDefault="005417B7" w:rsidP="005A4515">
      <w:pPr>
        <w:jc w:val="both"/>
      </w:pPr>
    </w:p>
    <w:p w14:paraId="489E2A2F" w14:textId="77777777" w:rsidR="005A4515" w:rsidRDefault="005A4515" w:rsidP="005A4515">
      <w:pPr>
        <w:jc w:val="both"/>
      </w:pPr>
      <w:r>
        <w:t>The weighted-mean interpretation bands were: 3.25–4.00 = Highly Implemented; 2.50–3.24 = Moderately Implemented; 1.75–2.49 = Slightly Implemented; and 1.00–1.74 = Not Implemented.</w:t>
      </w:r>
    </w:p>
    <w:p w14:paraId="2C4B4E6B" w14:textId="77777777" w:rsidR="005417B7" w:rsidRDefault="005417B7" w:rsidP="005A4515">
      <w:pPr>
        <w:jc w:val="both"/>
      </w:pPr>
    </w:p>
    <w:p w14:paraId="76C51933" w14:textId="77777777" w:rsidR="005A4515" w:rsidRPr="005417B7" w:rsidRDefault="005A4515" w:rsidP="005417B7">
      <w:pPr>
        <w:spacing w:after="240"/>
        <w:jc w:val="both"/>
        <w:rPr>
          <w:i/>
          <w:iCs/>
        </w:rPr>
      </w:pPr>
      <w:r w:rsidRPr="005417B7">
        <w:rPr>
          <w:i/>
          <w:iCs/>
        </w:rPr>
        <w:t>Procedure</w:t>
      </w:r>
    </w:p>
    <w:p w14:paraId="0264A85A" w14:textId="77777777" w:rsidR="005A4515" w:rsidRDefault="005A4515" w:rsidP="005A4515">
      <w:pPr>
        <w:jc w:val="both"/>
      </w:pPr>
      <w:r>
        <w:t xml:space="preserve">Following the required institutional and regulatory </w:t>
      </w:r>
      <w:proofErr w:type="spellStart"/>
      <w:r>
        <w:t>authorisation</w:t>
      </w:r>
      <w:proofErr w:type="spellEnd"/>
      <w:r>
        <w:t>, the questionnaire was administered in person or via a secure online platform according to institutional preference, with a minimum two-week response window and one follow-up reminder. The three embedded open-ended prompts that cover the perceived implications of current OBE practices, areas needing further support, and recommendations for enhancing OBE have generated 435 substantive textual responses from the same 186 respondents.</w:t>
      </w:r>
    </w:p>
    <w:p w14:paraId="6EC3C260" w14:textId="77777777" w:rsidR="005417B7" w:rsidRDefault="005417B7" w:rsidP="005A4515">
      <w:pPr>
        <w:jc w:val="both"/>
      </w:pPr>
    </w:p>
    <w:p w14:paraId="6A9B2AAF" w14:textId="77777777" w:rsidR="005A4515" w:rsidRPr="005417B7" w:rsidRDefault="005A4515" w:rsidP="005417B7">
      <w:pPr>
        <w:spacing w:after="240"/>
        <w:jc w:val="both"/>
        <w:rPr>
          <w:i/>
          <w:iCs/>
        </w:rPr>
      </w:pPr>
      <w:r w:rsidRPr="005417B7">
        <w:rPr>
          <w:i/>
          <w:iCs/>
        </w:rPr>
        <w:t>Data Analysis</w:t>
      </w:r>
    </w:p>
    <w:p w14:paraId="5DC158F0" w14:textId="77777777" w:rsidR="005A4515" w:rsidRDefault="005A4515" w:rsidP="005A4515">
      <w:pPr>
        <w:jc w:val="both"/>
      </w:pPr>
      <w:r>
        <w:t xml:space="preserve">Quantitative data were screened and </w:t>
      </w:r>
      <w:proofErr w:type="spellStart"/>
      <w:r>
        <w:t>analysed</w:t>
      </w:r>
      <w:proofErr w:type="spellEnd"/>
      <w:r>
        <w:t xml:space="preserve"> using descriptive statistics (weighted means and standard deviations). Qualitative responses were </w:t>
      </w:r>
      <w:proofErr w:type="spellStart"/>
      <w:r>
        <w:t>analysed</w:t>
      </w:r>
      <w:proofErr w:type="spellEnd"/>
      <w:r>
        <w:t xml:space="preserve"> using Braun and Clarke's (2006, 2022) six-phase reflexive thematic analysis. All 435 responses were coded exhaustively.</w:t>
      </w:r>
    </w:p>
    <w:p w14:paraId="5D7DC61A" w14:textId="77777777" w:rsidR="005A4515" w:rsidRDefault="005A4515" w:rsidP="005A4515">
      <w:pPr>
        <w:jc w:val="both"/>
      </w:pPr>
      <w:r>
        <w:t>Consistent with emerging practice in AI-assisted qualitative inquiry (Christou, 2023; De Paoli, 2024; Morgan, 2023), a large language model was used in a formative role during codebook development: it was prompted to cluster the open-ended responses and to suggest candidate themes from the raw data. These machine-suggested candidates were not adopted as final. The researcher reviewed all candidate themes and developed the coding scheme through a two-round theme-review process in which nine initial candidate themes were refined into seven stable themes (with two candidates merged into a single interpretive theme and one vague-endorsement candidate dissolved), retaining final authority over the theme structure, definitions, and boundaries. While AI assisted with initial theme generation, all final analytical decisions and thematic reductions were made by the researcher and are fully documented in the audit trail.</w:t>
      </w:r>
    </w:p>
    <w:p w14:paraId="2209A792" w14:textId="77777777" w:rsidR="005417B7" w:rsidRDefault="005417B7" w:rsidP="005A4515">
      <w:pPr>
        <w:jc w:val="both"/>
      </w:pPr>
    </w:p>
    <w:p w14:paraId="3D25C842" w14:textId="77777777" w:rsidR="005A4515" w:rsidRDefault="005A4515" w:rsidP="005A4515">
      <w:pPr>
        <w:jc w:val="both"/>
      </w:pPr>
      <w:r>
        <w:t xml:space="preserve">After the codebook was </w:t>
      </w:r>
      <w:proofErr w:type="spellStart"/>
      <w:r>
        <w:t>finalised</w:t>
      </w:r>
      <w:proofErr w:type="spellEnd"/>
      <w:r>
        <w:t>, a post hoc consistency check was conducted to verify the stability of the coding scheme. The final codebook was independently re-applied by an AI tool to a reproducible random 25% subset of the codable responses (n = 76), and the resulting codes were compared with the researcher's coding. This check is distinct from, and later than, the formative development use described above: in development the AI suggested candidate themes from raw data, whereas here it applied an already-fixed codebook so that concordance could be assessed.</w:t>
      </w:r>
    </w:p>
    <w:p w14:paraId="6D806CA2" w14:textId="676E5757" w:rsidR="005A4515" w:rsidRDefault="005A4515" w:rsidP="005A4515">
      <w:pPr>
        <w:jc w:val="both"/>
      </w:pPr>
      <w:r>
        <w:lastRenderedPageBreak/>
        <w:t xml:space="preserve">Independent application of the codebook to the subset yielded high concordance on the concrete, descriptive themes and lower concordance on the interpretive theme. The tool and the researcher agreed on at least one assigned theme for 88.2% of subset responses, with exact theme-set agreement of 51.3% (multiple themes per response were permitted, which lowers exact-set agreement by design). Per-theme presence agreement was highest for Faculty Training (T1, 73%), Curriculum–Board Alignment (T5, 72%), and Resource Constraints (T4, 67%), and lowest for the interpretive theme, OBE as transformation versus compliance (T7, 28%), and for Quality Assurance and Monitoring (T2, 32%). Divergence clustered almost entirely on the T2–T7 boundary, </w:t>
      </w:r>
      <w:proofErr w:type="gramStart"/>
      <w:r>
        <w:t>where</w:t>
      </w:r>
      <w:proofErr w:type="gramEnd"/>
      <w:r>
        <w:t xml:space="preserve"> responses about monitoring and continuous improvement shade into judgements about compliance versus genuine transformation. This distinction represents a recognized interpretive boundary instead of a coding error. In these instances, the final decision relied entirely on the researcher's reflexive judgment rather than mechanical matching</w:t>
      </w:r>
      <w:r w:rsidR="005417B7">
        <w:t>.</w:t>
      </w:r>
    </w:p>
    <w:p w14:paraId="633C68BE" w14:textId="77777777" w:rsidR="005417B7" w:rsidRDefault="005417B7" w:rsidP="005A4515">
      <w:pPr>
        <w:jc w:val="both"/>
      </w:pPr>
    </w:p>
    <w:p w14:paraId="72D468D4" w14:textId="77777777" w:rsidR="005A4515" w:rsidRDefault="005A4515" w:rsidP="005A4515">
      <w:pPr>
        <w:jc w:val="both"/>
      </w:pPr>
      <w:r>
        <w:t>This procedure is reported as a single-coder dependability check on the consistency and communicability of the codebook, not as a formal inter-rater reliability statistic; because the scheme permits multiple themes per response, percentage agreement on theme presence rather than a chance-corrected coefficient (e.g., Cohen's kappa) is the appropriate measure. Trustworthiness was further supported through reflexive memos, an audit trail, thick description with verbatim quotation, and triangulation with the quantitative findings (Lincoln &amp; Guba, 1985; Nowell et al., 2017).</w:t>
      </w:r>
    </w:p>
    <w:p w14:paraId="3B2FCCCE" w14:textId="77777777" w:rsidR="005417B7" w:rsidRDefault="005417B7" w:rsidP="005A4515">
      <w:pPr>
        <w:jc w:val="both"/>
      </w:pPr>
    </w:p>
    <w:p w14:paraId="59C66F18" w14:textId="77777777" w:rsidR="005A4515" w:rsidRDefault="005A4515" w:rsidP="005A4515">
      <w:pPr>
        <w:jc w:val="both"/>
      </w:pPr>
      <w:r>
        <w:t xml:space="preserve">AI-use disclosure. The author used </w:t>
      </w:r>
      <w:proofErr w:type="spellStart"/>
      <w:r>
        <w:t>Anthropic's</w:t>
      </w:r>
      <w:proofErr w:type="spellEnd"/>
      <w:r>
        <w:t xml:space="preserve"> Claude (a large language model) in the qualitative analysis to assist with codebook development—specifically, to cluster open-ended responses and suggest candidate themes from the raw data—and, during manuscript preparation, to independently re-apply the </w:t>
      </w:r>
      <w:proofErr w:type="spellStart"/>
      <w:r>
        <w:t>finalised</w:t>
      </w:r>
      <w:proofErr w:type="spellEnd"/>
      <w:r>
        <w:t xml:space="preserve"> codebook to a random subset of responses as a consistency check. The researcher reviewed and refined all AI-generated outputs, retained final authority over every code, theme, and interpretation, and is fully responsible for the integrity of the analysis and the content of this article. The AI tool did not meet authorship criteria and is not listed as an author.</w:t>
      </w:r>
    </w:p>
    <w:p w14:paraId="6C8D2D40" w14:textId="77777777" w:rsidR="005417B7" w:rsidRDefault="005417B7" w:rsidP="005A4515">
      <w:pPr>
        <w:jc w:val="both"/>
      </w:pPr>
    </w:p>
    <w:p w14:paraId="2CA0E315" w14:textId="33D0CE75" w:rsidR="005A4515" w:rsidRDefault="005A4515" w:rsidP="005A4515">
      <w:pPr>
        <w:jc w:val="both"/>
      </w:pPr>
      <w:r>
        <w:t>Ethical approval followed the Philippine National Ethical Guidelines for Health and Health-Related Research; participation was voluntary, with informed consent and data-privacy safeguards observed throughout.</w:t>
      </w:r>
    </w:p>
    <w:p w14:paraId="54418A4C" w14:textId="77777777" w:rsidR="005417B7" w:rsidRDefault="005417B7" w:rsidP="005A4515">
      <w:pPr>
        <w:jc w:val="both"/>
      </w:pPr>
    </w:p>
    <w:p w14:paraId="33345DAB" w14:textId="77777777" w:rsidR="005A4515" w:rsidRPr="005417B7" w:rsidRDefault="005A4515" w:rsidP="005417B7">
      <w:pPr>
        <w:spacing w:after="240"/>
        <w:jc w:val="both"/>
        <w:rPr>
          <w:b/>
          <w:bCs/>
        </w:rPr>
      </w:pPr>
      <w:r w:rsidRPr="005417B7">
        <w:rPr>
          <w:b/>
          <w:bCs/>
        </w:rPr>
        <w:t>Results and Discussion</w:t>
      </w:r>
    </w:p>
    <w:p w14:paraId="7AFA3612" w14:textId="77777777" w:rsidR="005A4515" w:rsidRPr="007566AC" w:rsidRDefault="005A4515" w:rsidP="007566AC">
      <w:pPr>
        <w:spacing w:after="240"/>
        <w:jc w:val="both"/>
        <w:rPr>
          <w:i/>
          <w:iCs/>
        </w:rPr>
      </w:pPr>
      <w:r w:rsidRPr="007566AC">
        <w:rPr>
          <w:i/>
          <w:iCs/>
        </w:rPr>
        <w:t>Overall Extent of Implementation</w:t>
      </w:r>
    </w:p>
    <w:p w14:paraId="6BF93F48" w14:textId="77777777" w:rsidR="005A4515" w:rsidRDefault="005A4515" w:rsidP="007566AC">
      <w:pPr>
        <w:spacing w:after="240"/>
        <w:jc w:val="both"/>
      </w:pPr>
      <w:r>
        <w:t>Across the seven domains, OBE implementation was moderate overall (overall weighted mean = 3.19). Two domains reached the highly implemented band and five fell within the moderately implemented band (Table 1). The pattern is consistent: domains closest to individual, course-level, documentable practice score highest, while domains requiring coordinated institutional investment score lowest.</w:t>
      </w:r>
    </w:p>
    <w:p w14:paraId="1F760132" w14:textId="77777777" w:rsidR="007566AC" w:rsidRDefault="007566AC" w:rsidP="005A4515">
      <w:pPr>
        <w:jc w:val="both"/>
      </w:pPr>
    </w:p>
    <w:p w14:paraId="07913FF9" w14:textId="77777777" w:rsidR="007566AC" w:rsidRDefault="007566AC" w:rsidP="005A4515">
      <w:pPr>
        <w:jc w:val="both"/>
      </w:pPr>
    </w:p>
    <w:p w14:paraId="14334954" w14:textId="77777777" w:rsidR="007566AC" w:rsidRDefault="007566AC" w:rsidP="005A4515">
      <w:pPr>
        <w:jc w:val="both"/>
      </w:pPr>
    </w:p>
    <w:p w14:paraId="67E84F56" w14:textId="77777777" w:rsidR="007566AC" w:rsidRDefault="007566AC" w:rsidP="005A4515">
      <w:pPr>
        <w:jc w:val="both"/>
      </w:pPr>
    </w:p>
    <w:p w14:paraId="16B68A07" w14:textId="77777777" w:rsidR="007566AC" w:rsidRDefault="007566AC" w:rsidP="00776642">
      <w:pPr>
        <w:spacing w:before="60" w:after="60"/>
      </w:pPr>
      <w:r>
        <w:rPr>
          <w:b/>
          <w:bCs/>
        </w:rPr>
        <w:lastRenderedPageBreak/>
        <w:t>Table 1</w:t>
      </w:r>
    </w:p>
    <w:p w14:paraId="73D9F306" w14:textId="77777777" w:rsidR="007566AC" w:rsidRDefault="007566AC" w:rsidP="007566AC">
      <w:pPr>
        <w:spacing w:after="100"/>
      </w:pPr>
      <w:r>
        <w:rPr>
          <w:i/>
          <w:iCs/>
        </w:rPr>
        <w:t>Extent of OBE Implementation Across the Seven Domains (N = 186)</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
        <w:gridCol w:w="4360"/>
        <w:gridCol w:w="1300"/>
        <w:gridCol w:w="900"/>
        <w:gridCol w:w="1900"/>
      </w:tblGrid>
      <w:tr w:rsidR="007566AC" w14:paraId="58A0308E" w14:textId="77777777" w:rsidTr="00776642">
        <w:trPr>
          <w:tblHeader/>
        </w:trPr>
        <w:tc>
          <w:tcPr>
            <w:tcW w:w="9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7136B1E1" w14:textId="77777777" w:rsidR="007566AC" w:rsidRDefault="007566AC" w:rsidP="00776642">
            <w:pPr>
              <w:jc w:val="center"/>
            </w:pPr>
            <w:r>
              <w:rPr>
                <w:b/>
                <w:bCs/>
                <w:sz w:val="22"/>
                <w:szCs w:val="22"/>
              </w:rPr>
              <w:t>Rank</w:t>
            </w:r>
          </w:p>
        </w:tc>
        <w:tc>
          <w:tcPr>
            <w:tcW w:w="436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5A52E924" w14:textId="77777777" w:rsidR="007566AC" w:rsidRDefault="007566AC" w:rsidP="00776642">
            <w:r>
              <w:rPr>
                <w:b/>
                <w:bCs/>
                <w:sz w:val="22"/>
                <w:szCs w:val="22"/>
              </w:rPr>
              <w:t>Domain</w:t>
            </w:r>
          </w:p>
        </w:tc>
        <w:tc>
          <w:tcPr>
            <w:tcW w:w="13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39C6F334" w14:textId="77777777" w:rsidR="007566AC" w:rsidRDefault="007566AC" w:rsidP="00776642">
            <w:pPr>
              <w:jc w:val="center"/>
            </w:pPr>
            <w:r>
              <w:rPr>
                <w:b/>
                <w:bCs/>
                <w:sz w:val="22"/>
                <w:szCs w:val="22"/>
              </w:rPr>
              <w:t>Weighted Mean</w:t>
            </w:r>
          </w:p>
        </w:tc>
        <w:tc>
          <w:tcPr>
            <w:tcW w:w="9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06CE5AA" w14:textId="77777777" w:rsidR="007566AC" w:rsidRDefault="007566AC" w:rsidP="00776642">
            <w:pPr>
              <w:jc w:val="center"/>
            </w:pPr>
            <w:r>
              <w:rPr>
                <w:b/>
                <w:bCs/>
                <w:sz w:val="22"/>
                <w:szCs w:val="22"/>
              </w:rPr>
              <w:t>SD</w:t>
            </w:r>
          </w:p>
        </w:tc>
        <w:tc>
          <w:tcPr>
            <w:tcW w:w="19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0CB36116" w14:textId="77777777" w:rsidR="007566AC" w:rsidRDefault="007566AC" w:rsidP="00776642">
            <w:r>
              <w:rPr>
                <w:b/>
                <w:bCs/>
                <w:sz w:val="22"/>
                <w:szCs w:val="22"/>
              </w:rPr>
              <w:t>Descriptive Equivalent</w:t>
            </w:r>
          </w:p>
        </w:tc>
      </w:tr>
      <w:tr w:rsidR="007566AC" w14:paraId="1D0F1768"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4738DD5" w14:textId="77777777" w:rsidR="007566AC" w:rsidRDefault="007566AC" w:rsidP="00776642">
            <w:pPr>
              <w:jc w:val="center"/>
            </w:pPr>
            <w:r>
              <w:rPr>
                <w:sz w:val="22"/>
                <w:szCs w:val="22"/>
              </w:rPr>
              <w:t>1</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14DA7A" w14:textId="77777777" w:rsidR="007566AC" w:rsidRDefault="007566AC" w:rsidP="00776642">
            <w:r>
              <w:rPr>
                <w:sz w:val="22"/>
                <w:szCs w:val="22"/>
              </w:rPr>
              <w:t xml:space="preserve">Curriculum and </w:t>
            </w:r>
            <w:proofErr w:type="spellStart"/>
            <w:r>
              <w:rPr>
                <w:sz w:val="22"/>
                <w:szCs w:val="22"/>
              </w:rPr>
              <w:t>Programme</w:t>
            </w:r>
            <w:proofErr w:type="spellEnd"/>
            <w:r>
              <w:rPr>
                <w:sz w:val="22"/>
                <w:szCs w:val="22"/>
              </w:rPr>
              <w:t xml:space="preserve"> Outcome Alignment</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0E59B5" w14:textId="77777777" w:rsidR="007566AC" w:rsidRDefault="007566AC" w:rsidP="00776642">
            <w:pPr>
              <w:jc w:val="center"/>
            </w:pPr>
            <w:r>
              <w:rPr>
                <w:sz w:val="22"/>
                <w:szCs w:val="22"/>
              </w:rPr>
              <w:t>3.35</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9430FF" w14:textId="77777777" w:rsidR="007566AC" w:rsidRDefault="007566AC" w:rsidP="00776642">
            <w:pPr>
              <w:jc w:val="center"/>
            </w:pPr>
            <w:r>
              <w:rPr>
                <w:sz w:val="22"/>
                <w:szCs w:val="22"/>
              </w:rPr>
              <w:t>0.64</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2881FA" w14:textId="77777777" w:rsidR="007566AC" w:rsidRDefault="007566AC" w:rsidP="00776642">
            <w:r>
              <w:rPr>
                <w:sz w:val="22"/>
                <w:szCs w:val="22"/>
              </w:rPr>
              <w:t>Highly Implemented</w:t>
            </w:r>
          </w:p>
        </w:tc>
      </w:tr>
      <w:tr w:rsidR="007566AC" w14:paraId="71279F9D"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701C479" w14:textId="77777777" w:rsidR="007566AC" w:rsidRDefault="007566AC" w:rsidP="00776642">
            <w:pPr>
              <w:jc w:val="center"/>
            </w:pPr>
            <w:r>
              <w:rPr>
                <w:sz w:val="22"/>
                <w:szCs w:val="22"/>
              </w:rPr>
              <w:t>2</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9DB520A" w14:textId="77777777" w:rsidR="007566AC" w:rsidRDefault="007566AC" w:rsidP="00776642">
            <w:r>
              <w:rPr>
                <w:sz w:val="22"/>
                <w:szCs w:val="22"/>
              </w:rPr>
              <w:t>Teaching and Learning Strategies</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DE71BAD" w14:textId="77777777" w:rsidR="007566AC" w:rsidRDefault="007566AC" w:rsidP="00776642">
            <w:pPr>
              <w:jc w:val="center"/>
            </w:pPr>
            <w:r>
              <w:rPr>
                <w:sz w:val="22"/>
                <w:szCs w:val="22"/>
              </w:rPr>
              <w:t>3.32</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1DB815" w14:textId="77777777" w:rsidR="007566AC" w:rsidRDefault="007566AC" w:rsidP="00776642">
            <w:pPr>
              <w:jc w:val="center"/>
            </w:pPr>
            <w:r>
              <w:rPr>
                <w:sz w:val="22"/>
                <w:szCs w:val="22"/>
              </w:rPr>
              <w:t>0.62</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2BB766" w14:textId="77777777" w:rsidR="007566AC" w:rsidRDefault="007566AC" w:rsidP="00776642">
            <w:r>
              <w:rPr>
                <w:sz w:val="22"/>
                <w:szCs w:val="22"/>
              </w:rPr>
              <w:t>Highly Implemented</w:t>
            </w:r>
          </w:p>
        </w:tc>
      </w:tr>
      <w:tr w:rsidR="007566AC" w14:paraId="02729E89"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2348E4" w14:textId="77777777" w:rsidR="007566AC" w:rsidRDefault="007566AC" w:rsidP="00776642">
            <w:pPr>
              <w:jc w:val="center"/>
            </w:pPr>
            <w:r>
              <w:rPr>
                <w:sz w:val="22"/>
                <w:szCs w:val="22"/>
              </w:rPr>
              <w:t>3</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B01A3D" w14:textId="77777777" w:rsidR="007566AC" w:rsidRDefault="007566AC" w:rsidP="00776642">
            <w:r>
              <w:rPr>
                <w:sz w:val="22"/>
                <w:szCs w:val="22"/>
              </w:rPr>
              <w:t>Teacher Preparedness and Understanding of OBE</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EB4D9C" w14:textId="77777777" w:rsidR="007566AC" w:rsidRDefault="007566AC" w:rsidP="00776642">
            <w:pPr>
              <w:jc w:val="center"/>
            </w:pPr>
            <w:r>
              <w:rPr>
                <w:sz w:val="22"/>
                <w:szCs w:val="22"/>
              </w:rPr>
              <w:t>3.18</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0D1D09" w14:textId="77777777" w:rsidR="007566AC" w:rsidRDefault="007566AC" w:rsidP="00776642">
            <w:pPr>
              <w:jc w:val="center"/>
            </w:pPr>
            <w:r>
              <w:rPr>
                <w:sz w:val="22"/>
                <w:szCs w:val="22"/>
              </w:rPr>
              <w:t>0.68</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1FA110" w14:textId="77777777" w:rsidR="007566AC" w:rsidRDefault="007566AC" w:rsidP="00776642">
            <w:r>
              <w:rPr>
                <w:sz w:val="22"/>
                <w:szCs w:val="22"/>
              </w:rPr>
              <w:t>Moderately Implemented</w:t>
            </w:r>
          </w:p>
        </w:tc>
      </w:tr>
      <w:tr w:rsidR="007566AC" w14:paraId="6A1E9BEB"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389855" w14:textId="77777777" w:rsidR="007566AC" w:rsidRDefault="007566AC" w:rsidP="00776642">
            <w:pPr>
              <w:jc w:val="center"/>
            </w:pPr>
            <w:r>
              <w:rPr>
                <w:sz w:val="22"/>
                <w:szCs w:val="22"/>
              </w:rPr>
              <w:t>4</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38AEF3" w14:textId="77777777" w:rsidR="007566AC" w:rsidRDefault="007566AC" w:rsidP="00776642">
            <w:r>
              <w:rPr>
                <w:sz w:val="22"/>
                <w:szCs w:val="22"/>
              </w:rPr>
              <w:t>Student Engagement and Support</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9C885A" w14:textId="77777777" w:rsidR="007566AC" w:rsidRDefault="007566AC" w:rsidP="00776642">
            <w:pPr>
              <w:jc w:val="center"/>
            </w:pPr>
            <w:r>
              <w:rPr>
                <w:sz w:val="22"/>
                <w:szCs w:val="22"/>
              </w:rPr>
              <w:t>3.16</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279BFD" w14:textId="77777777" w:rsidR="007566AC" w:rsidRDefault="007566AC" w:rsidP="00776642">
            <w:pPr>
              <w:jc w:val="center"/>
            </w:pPr>
            <w:r>
              <w:rPr>
                <w:sz w:val="22"/>
                <w:szCs w:val="22"/>
              </w:rPr>
              <w:t>0.70</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983B10" w14:textId="77777777" w:rsidR="007566AC" w:rsidRDefault="007566AC" w:rsidP="00776642">
            <w:r>
              <w:rPr>
                <w:sz w:val="22"/>
                <w:szCs w:val="22"/>
              </w:rPr>
              <w:t>Moderately Implemented</w:t>
            </w:r>
          </w:p>
        </w:tc>
      </w:tr>
      <w:tr w:rsidR="007566AC" w14:paraId="153BFFE3"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506EAC" w14:textId="77777777" w:rsidR="007566AC" w:rsidRDefault="007566AC" w:rsidP="00776642">
            <w:pPr>
              <w:jc w:val="center"/>
            </w:pPr>
            <w:r>
              <w:rPr>
                <w:sz w:val="22"/>
                <w:szCs w:val="22"/>
              </w:rPr>
              <w:t>5</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B29055" w14:textId="77777777" w:rsidR="007566AC" w:rsidRDefault="007566AC" w:rsidP="00776642">
            <w:r>
              <w:rPr>
                <w:sz w:val="22"/>
                <w:szCs w:val="22"/>
              </w:rPr>
              <w:t>Faculty Competence and Development</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57CA2B" w14:textId="77777777" w:rsidR="007566AC" w:rsidRDefault="007566AC" w:rsidP="00776642">
            <w:pPr>
              <w:jc w:val="center"/>
            </w:pPr>
            <w:r>
              <w:rPr>
                <w:sz w:val="22"/>
                <w:szCs w:val="22"/>
              </w:rPr>
              <w:t>3.14</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F3C3C9" w14:textId="77777777" w:rsidR="007566AC" w:rsidRDefault="007566AC" w:rsidP="00776642">
            <w:pPr>
              <w:jc w:val="center"/>
            </w:pPr>
            <w:r>
              <w:rPr>
                <w:sz w:val="22"/>
                <w:szCs w:val="22"/>
              </w:rPr>
              <w:t>0.69</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CAAF314" w14:textId="77777777" w:rsidR="007566AC" w:rsidRDefault="007566AC" w:rsidP="00776642">
            <w:r>
              <w:rPr>
                <w:sz w:val="22"/>
                <w:szCs w:val="22"/>
              </w:rPr>
              <w:t>Moderately Implemented</w:t>
            </w:r>
          </w:p>
        </w:tc>
      </w:tr>
      <w:tr w:rsidR="007566AC" w14:paraId="0DF45878"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D47517" w14:textId="77777777" w:rsidR="007566AC" w:rsidRDefault="007566AC" w:rsidP="00776642">
            <w:pPr>
              <w:jc w:val="center"/>
            </w:pPr>
            <w:r>
              <w:rPr>
                <w:sz w:val="22"/>
                <w:szCs w:val="22"/>
              </w:rPr>
              <w:t>6</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9CD417" w14:textId="77777777" w:rsidR="007566AC" w:rsidRDefault="007566AC" w:rsidP="00776642">
            <w:r>
              <w:rPr>
                <w:sz w:val="22"/>
                <w:szCs w:val="22"/>
              </w:rPr>
              <w:t>Assessment and Evaluation</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813CF0" w14:textId="77777777" w:rsidR="007566AC" w:rsidRDefault="007566AC" w:rsidP="00776642">
            <w:pPr>
              <w:jc w:val="center"/>
            </w:pPr>
            <w:r>
              <w:rPr>
                <w:sz w:val="22"/>
                <w:szCs w:val="22"/>
              </w:rPr>
              <w:t>3.13</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0BA113" w14:textId="77777777" w:rsidR="007566AC" w:rsidRDefault="007566AC" w:rsidP="00776642">
            <w:pPr>
              <w:jc w:val="center"/>
            </w:pPr>
            <w:r>
              <w:rPr>
                <w:sz w:val="22"/>
                <w:szCs w:val="22"/>
              </w:rPr>
              <w:t>0.70</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F2F203B" w14:textId="77777777" w:rsidR="007566AC" w:rsidRDefault="007566AC" w:rsidP="00776642">
            <w:r>
              <w:rPr>
                <w:sz w:val="22"/>
                <w:szCs w:val="22"/>
              </w:rPr>
              <w:t>Moderately Implemented</w:t>
            </w:r>
          </w:p>
        </w:tc>
      </w:tr>
      <w:tr w:rsidR="007566AC" w14:paraId="372A371D"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F2AFAF" w14:textId="77777777" w:rsidR="007566AC" w:rsidRDefault="007566AC" w:rsidP="00776642">
            <w:pPr>
              <w:jc w:val="center"/>
            </w:pPr>
            <w:r>
              <w:rPr>
                <w:sz w:val="22"/>
                <w:szCs w:val="22"/>
              </w:rPr>
              <w:t>7</w:t>
            </w:r>
          </w:p>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4AC058" w14:textId="77777777" w:rsidR="007566AC" w:rsidRDefault="007566AC" w:rsidP="00776642">
            <w:r>
              <w:rPr>
                <w:sz w:val="22"/>
                <w:szCs w:val="22"/>
              </w:rPr>
              <w:t>Institutional and Administrative Support</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C19581" w14:textId="77777777" w:rsidR="007566AC" w:rsidRDefault="007566AC" w:rsidP="00776642">
            <w:pPr>
              <w:jc w:val="center"/>
            </w:pPr>
            <w:r>
              <w:rPr>
                <w:sz w:val="22"/>
                <w:szCs w:val="22"/>
              </w:rPr>
              <w:t>3.02</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917624" w14:textId="77777777" w:rsidR="007566AC" w:rsidRDefault="007566AC" w:rsidP="00776642">
            <w:pPr>
              <w:jc w:val="center"/>
            </w:pPr>
            <w:r>
              <w:rPr>
                <w:sz w:val="22"/>
                <w:szCs w:val="22"/>
              </w:rPr>
              <w:t>0.75</w:t>
            </w:r>
          </w:p>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6E1BB8" w14:textId="77777777" w:rsidR="007566AC" w:rsidRDefault="007566AC" w:rsidP="00776642">
            <w:r>
              <w:rPr>
                <w:sz w:val="22"/>
                <w:szCs w:val="22"/>
              </w:rPr>
              <w:t>Moderately Implemented</w:t>
            </w:r>
          </w:p>
        </w:tc>
      </w:tr>
      <w:tr w:rsidR="007566AC" w14:paraId="6FB0ACCD" w14:textId="77777777" w:rsidTr="00776642">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912222" w14:textId="77777777" w:rsidR="007566AC" w:rsidRDefault="007566AC" w:rsidP="00776642"/>
        </w:tc>
        <w:tc>
          <w:tcPr>
            <w:tcW w:w="4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D760F1" w14:textId="77777777" w:rsidR="007566AC" w:rsidRDefault="007566AC" w:rsidP="00776642">
            <w:r>
              <w:rPr>
                <w:b/>
                <w:bCs/>
                <w:sz w:val="22"/>
                <w:szCs w:val="22"/>
              </w:rPr>
              <w:t>Overall</w:t>
            </w:r>
          </w:p>
        </w:tc>
        <w:tc>
          <w:tcPr>
            <w:tcW w:w="13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AF01A7" w14:textId="77777777" w:rsidR="007566AC" w:rsidRDefault="007566AC" w:rsidP="00776642">
            <w:pPr>
              <w:jc w:val="center"/>
            </w:pPr>
            <w:r>
              <w:rPr>
                <w:b/>
                <w:bCs/>
                <w:sz w:val="22"/>
                <w:szCs w:val="22"/>
              </w:rPr>
              <w:t>3.19</w:t>
            </w:r>
          </w:p>
        </w:tc>
        <w:tc>
          <w:tcPr>
            <w:tcW w:w="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DF2023" w14:textId="77777777" w:rsidR="007566AC" w:rsidRDefault="007566AC" w:rsidP="00776642"/>
        </w:tc>
        <w:tc>
          <w:tcPr>
            <w:tcW w:w="19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E0A898" w14:textId="77777777" w:rsidR="007566AC" w:rsidRDefault="007566AC" w:rsidP="00776642">
            <w:r>
              <w:rPr>
                <w:b/>
                <w:bCs/>
                <w:sz w:val="22"/>
                <w:szCs w:val="22"/>
              </w:rPr>
              <w:t>Moderately Implemented</w:t>
            </w:r>
          </w:p>
        </w:tc>
      </w:tr>
    </w:tbl>
    <w:p w14:paraId="49EDE85B" w14:textId="27B5FA2F" w:rsidR="005A4515" w:rsidRPr="007566AC" w:rsidRDefault="005A4515" w:rsidP="005A4515">
      <w:pPr>
        <w:jc w:val="both"/>
        <w:rPr>
          <w:i/>
          <w:iCs/>
        </w:rPr>
      </w:pPr>
      <w:r w:rsidRPr="007566AC">
        <w:rPr>
          <w:i/>
          <w:iCs/>
        </w:rPr>
        <w:t>Note. Four-point scale; 3.25–4.00 = Highly Implemented, 2.50–3.24 = Moderately Implemented.</w:t>
      </w:r>
    </w:p>
    <w:p w14:paraId="7CF29017" w14:textId="77777777" w:rsidR="007566AC" w:rsidRDefault="007566AC" w:rsidP="005A4515">
      <w:pPr>
        <w:jc w:val="both"/>
      </w:pPr>
    </w:p>
    <w:p w14:paraId="46F7D0F6" w14:textId="6B9CE463" w:rsidR="005A4515" w:rsidRDefault="005A4515" w:rsidP="005A4515">
      <w:pPr>
        <w:jc w:val="both"/>
      </w:pPr>
      <w:r>
        <w:t xml:space="preserve">The two highest-scoring domains both concern what an individual </w:t>
      </w:r>
      <w:proofErr w:type="spellStart"/>
      <w:r>
        <w:t>programme</w:t>
      </w:r>
      <w:proofErr w:type="spellEnd"/>
      <w:r>
        <w:t xml:space="preserve"> can document, and an individual instructor can enact. The lowest, Institutional and Administrative Support, concerns what only the institution can provide. This ordering is the central quantitative finding and frames the interpretation that follows.</w:t>
      </w:r>
    </w:p>
    <w:p w14:paraId="2C184868" w14:textId="77777777" w:rsidR="005A4515" w:rsidRDefault="005A4515" w:rsidP="005A4515">
      <w:pPr>
        <w:jc w:val="both"/>
      </w:pPr>
    </w:p>
    <w:p w14:paraId="6F6834BC" w14:textId="77777777" w:rsidR="005A4515" w:rsidRPr="007566AC" w:rsidRDefault="005A4515" w:rsidP="007566AC">
      <w:pPr>
        <w:spacing w:after="240"/>
        <w:jc w:val="both"/>
        <w:rPr>
          <w:i/>
          <w:iCs/>
        </w:rPr>
      </w:pPr>
      <w:r w:rsidRPr="007566AC">
        <w:rPr>
          <w:i/>
          <w:iCs/>
        </w:rPr>
        <w:t>Domain-Level Findings</w:t>
      </w:r>
    </w:p>
    <w:p w14:paraId="0BBC0AE2" w14:textId="77777777" w:rsidR="005A4515" w:rsidRDefault="005A4515" w:rsidP="005A4515">
      <w:pPr>
        <w:jc w:val="both"/>
      </w:pPr>
      <w:r>
        <w:t xml:space="preserve">Curriculum and </w:t>
      </w:r>
      <w:proofErr w:type="spellStart"/>
      <w:r>
        <w:t>Programme</w:t>
      </w:r>
      <w:proofErr w:type="spellEnd"/>
      <w:r>
        <w:t xml:space="preserve"> Outcome Alignment (3.35, rank 1) was strongest. The leading indicator was the clear statement of course outcomes in all syllabi (3.55), and the alignment of </w:t>
      </w:r>
      <w:proofErr w:type="spellStart"/>
      <w:r>
        <w:t>programme</w:t>
      </w:r>
      <w:proofErr w:type="spellEnd"/>
      <w:r>
        <w:t xml:space="preserve"> outcomes with CHED standards and the Philippine Qualifications Framework was also high. The weakest indicator within this otherwise high-scoring domain was stakeholder consultation in defining or reviewing </w:t>
      </w:r>
      <w:proofErr w:type="spellStart"/>
      <w:r>
        <w:t>programme</w:t>
      </w:r>
      <w:proofErr w:type="spellEnd"/>
      <w:r>
        <w:t xml:space="preserve"> outcomes (3.11): the documentary dimension of alignment is well established while the participatory-governance dimension lags.</w:t>
      </w:r>
    </w:p>
    <w:p w14:paraId="2802A112" w14:textId="77777777" w:rsidR="007566AC" w:rsidRDefault="007566AC" w:rsidP="005A4515">
      <w:pPr>
        <w:jc w:val="both"/>
      </w:pPr>
    </w:p>
    <w:p w14:paraId="47FA39DF" w14:textId="6F298C92" w:rsidR="005A4515" w:rsidRDefault="005A4515" w:rsidP="005A4515">
      <w:pPr>
        <w:jc w:val="both"/>
      </w:pPr>
      <w:r>
        <w:t>Teaching and Learning Strategies (3.32, rank 2) showed the alignment of teaching methods with intended learning outcomes scoring highest (3.44) and the documentation and monitoring of teaching for OBE compliance scoring lowest (3.17). Classroom-level pedagogy is broadly outcome-aligned; the accountability-oriented function of monitoring that pedagogy lags.</w:t>
      </w:r>
    </w:p>
    <w:p w14:paraId="358B4189" w14:textId="77777777" w:rsidR="007566AC" w:rsidRDefault="007566AC" w:rsidP="005A4515">
      <w:pPr>
        <w:jc w:val="both"/>
      </w:pPr>
    </w:p>
    <w:p w14:paraId="658AFB92" w14:textId="07E9F5E7" w:rsidR="005A4515" w:rsidRDefault="005A4515" w:rsidP="005A4515">
      <w:pPr>
        <w:jc w:val="both"/>
      </w:pPr>
      <w:r>
        <w:t xml:space="preserve">While "Teacher Preparedness and Understanding of OBE" ranked third overall with a mean score of 3.18, this score reflects a gap between theory and preparation. Faculty demonstrated high conceptual awareness of fundamental OBE principles (3.28) but scored lowest on items regarding </w:t>
      </w:r>
      <w:r>
        <w:lastRenderedPageBreak/>
        <w:t>formal orientation and structured training (3.09). This indicates that conceptual understanding currently exceeds formal training.</w:t>
      </w:r>
    </w:p>
    <w:p w14:paraId="4284BDC7" w14:textId="77777777" w:rsidR="007566AC" w:rsidRDefault="007566AC" w:rsidP="005A4515">
      <w:pPr>
        <w:jc w:val="both"/>
      </w:pPr>
    </w:p>
    <w:p w14:paraId="1FE20EE5" w14:textId="3A5DFB76" w:rsidR="005A4515" w:rsidRDefault="005A4515" w:rsidP="005A4515">
      <w:pPr>
        <w:jc w:val="both"/>
      </w:pPr>
      <w:r>
        <w:t xml:space="preserve">Student Engagement and Support (3.16, rank 4) clustered tightly across its four indicators (3.15–3.18), indicating consistent but not deep implementation of student-facing practices, with room to </w:t>
      </w:r>
      <w:proofErr w:type="spellStart"/>
      <w:r>
        <w:t>systematise</w:t>
      </w:r>
      <w:proofErr w:type="spellEnd"/>
      <w:r>
        <w:t xml:space="preserve"> advising and student involvement in evaluation around outcome attainment.</w:t>
      </w:r>
    </w:p>
    <w:p w14:paraId="3E622E86" w14:textId="77777777" w:rsidR="005A4515" w:rsidRDefault="005A4515" w:rsidP="005A4515">
      <w:pPr>
        <w:jc w:val="both"/>
      </w:pPr>
      <w:r>
        <w:t>Faculty Competence and Development (3.14, rank 5) again showed conceptual items scoring higher than procedural ones; the lowest indicator was faculty confidence in using OBE software or documentation templates (2.94). Procedural and data-handling competence trails conceptual understanding.</w:t>
      </w:r>
    </w:p>
    <w:p w14:paraId="08FBEC22" w14:textId="77777777" w:rsidR="007566AC" w:rsidRDefault="007566AC" w:rsidP="005A4515">
      <w:pPr>
        <w:jc w:val="both"/>
      </w:pPr>
    </w:p>
    <w:p w14:paraId="579FA185" w14:textId="797141F2" w:rsidR="005A4515" w:rsidRDefault="005A4515" w:rsidP="005A4515">
      <w:pPr>
        <w:jc w:val="both"/>
      </w:pPr>
      <w:r>
        <w:t>Assessment and Evaluation (3.13, rank 6) showed the clearest internal weakness. Faculty training in developing valid (3.02) and reliable (3.03) assessment instruments ranked among the lowest indicators, alongside the systematic collection (3.13) and analysis (3.11) of assessment data and the preparation of attainment reports (3.07). Assessment literacy—the capacity to design instruments and act on the evidence they produce—is the weakest link in the implementation chain, echoing findings that assessment capability is the most persistent proximate constraint on OBE success (</w:t>
      </w:r>
      <w:proofErr w:type="spellStart"/>
      <w:r>
        <w:t>Mistamiruddin</w:t>
      </w:r>
      <w:proofErr w:type="spellEnd"/>
      <w:r>
        <w:t xml:space="preserve"> &amp; Mohamad Nasri, 2024; Rashid, 2013).</w:t>
      </w:r>
    </w:p>
    <w:p w14:paraId="36A20119" w14:textId="77777777" w:rsidR="007566AC" w:rsidRDefault="007566AC" w:rsidP="005A4515">
      <w:pPr>
        <w:jc w:val="both"/>
      </w:pPr>
    </w:p>
    <w:p w14:paraId="2204592A" w14:textId="439E9AB6" w:rsidR="005A4515" w:rsidRDefault="005A4515" w:rsidP="005A4515">
      <w:pPr>
        <w:jc w:val="both"/>
      </w:pPr>
      <w:r>
        <w:t xml:space="preserve">Institutional and Administrative Support (3.02, rank 7) was the lowest-scoring domain. The recognition or reward of faculty OBE efforts was the single lowest indicator across the domain (2.87), and the </w:t>
      </w:r>
      <w:proofErr w:type="spellStart"/>
      <w:r>
        <w:t>organisation</w:t>
      </w:r>
      <w:proofErr w:type="spellEnd"/>
      <w:r>
        <w:t xml:space="preserve"> of documentation and reporting systems (2.99) was also low. Institutions endorse OBE in policy but have not </w:t>
      </w:r>
      <w:proofErr w:type="spellStart"/>
      <w:r>
        <w:t>operationalised</w:t>
      </w:r>
      <w:proofErr w:type="spellEnd"/>
      <w:r>
        <w:t xml:space="preserve"> the incentive and support structures that sustain it.</w:t>
      </w:r>
    </w:p>
    <w:p w14:paraId="253E75D7" w14:textId="77777777" w:rsidR="007566AC" w:rsidRDefault="007566AC" w:rsidP="005A4515">
      <w:pPr>
        <w:jc w:val="both"/>
      </w:pPr>
    </w:p>
    <w:p w14:paraId="1BDD5EAD" w14:textId="0010F2C7" w:rsidR="005A4515" w:rsidRPr="007566AC" w:rsidRDefault="005A4515" w:rsidP="007566AC">
      <w:pPr>
        <w:spacing w:after="240"/>
        <w:jc w:val="both"/>
        <w:rPr>
          <w:i/>
          <w:iCs/>
        </w:rPr>
      </w:pPr>
      <w:r w:rsidRPr="007566AC">
        <w:rPr>
          <w:i/>
          <w:iCs/>
        </w:rPr>
        <w:t>The Qualitative Pattern: Seven Themes</w:t>
      </w:r>
    </w:p>
    <w:p w14:paraId="1685D217" w14:textId="77777777" w:rsidR="005A4515" w:rsidRDefault="005A4515" w:rsidP="005A4515">
      <w:pPr>
        <w:jc w:val="both"/>
      </w:pPr>
      <w:r>
        <w:t>Thematic analysis of the 435 open-ended responses produced seven themes (Table 2). Each theme maps onto a specific feature of the quantitative profile, and together they explain why the profile takes the shape it does.</w:t>
      </w:r>
    </w:p>
    <w:p w14:paraId="5A86D1E9" w14:textId="77777777" w:rsidR="007566AC" w:rsidRDefault="007566AC" w:rsidP="005A4515">
      <w:pPr>
        <w:jc w:val="both"/>
      </w:pPr>
    </w:p>
    <w:p w14:paraId="09541190" w14:textId="77777777" w:rsidR="007566AC" w:rsidRDefault="007566AC" w:rsidP="007566AC">
      <w:pPr>
        <w:spacing w:before="60" w:after="60"/>
      </w:pPr>
      <w:r>
        <w:rPr>
          <w:b/>
          <w:bCs/>
        </w:rPr>
        <w:t>Table 2</w:t>
      </w:r>
    </w:p>
    <w:p w14:paraId="79328592" w14:textId="77777777" w:rsidR="007566AC" w:rsidRDefault="007566AC" w:rsidP="007566AC">
      <w:pPr>
        <w:spacing w:after="100"/>
      </w:pPr>
      <w:r>
        <w:rPr>
          <w:i/>
          <w:iCs/>
        </w:rPr>
        <w:t>Themes From Open-Ended Responses (435 Responses; Multiple Themes per Response Permitted)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7566AC" w14:paraId="770C340C" w14:textId="77777777" w:rsidTr="00776642">
        <w:trPr>
          <w:tblHeader/>
        </w:trPr>
        <w:tc>
          <w:tcPr>
            <w:tcW w:w="636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223B1E16" w14:textId="77777777" w:rsidR="007566AC" w:rsidRDefault="007566AC" w:rsidP="00776642">
            <w:r>
              <w:rPr>
                <w:b/>
                <w:bCs/>
                <w:sz w:val="22"/>
                <w:szCs w:val="22"/>
              </w:rPr>
              <w:t>Theme</w:t>
            </w:r>
          </w:p>
        </w:tc>
        <w:tc>
          <w:tcPr>
            <w:tcW w:w="15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50FE0922" w14:textId="77777777" w:rsidR="007566AC" w:rsidRDefault="007566AC" w:rsidP="00776642">
            <w:pPr>
              <w:jc w:val="center"/>
            </w:pPr>
            <w:r>
              <w:rPr>
                <w:b/>
                <w:bCs/>
                <w:sz w:val="22"/>
                <w:szCs w:val="22"/>
              </w:rPr>
              <w:t>n</w:t>
            </w:r>
          </w:p>
        </w:tc>
        <w:tc>
          <w:tcPr>
            <w:tcW w:w="1500" w:type="dxa"/>
            <w:tcBorders>
              <w:top w:val="single" w:sz="1" w:space="0" w:color="999999"/>
              <w:left w:val="single" w:sz="1" w:space="0" w:color="999999"/>
              <w:bottom w:val="single" w:sz="1" w:space="0" w:color="999999"/>
              <w:right w:val="single" w:sz="1" w:space="0" w:color="999999"/>
            </w:tcBorders>
            <w:shd w:val="clear" w:color="auto" w:fill="D9E2F3"/>
            <w:tcMar>
              <w:top w:w="60" w:type="dxa"/>
              <w:left w:w="100" w:type="dxa"/>
              <w:bottom w:w="60" w:type="dxa"/>
              <w:right w:w="100" w:type="dxa"/>
            </w:tcMar>
          </w:tcPr>
          <w:p w14:paraId="3CB140B5" w14:textId="77777777" w:rsidR="007566AC" w:rsidRDefault="007566AC" w:rsidP="00776642">
            <w:pPr>
              <w:jc w:val="center"/>
            </w:pPr>
            <w:r>
              <w:rPr>
                <w:b/>
                <w:bCs/>
                <w:sz w:val="22"/>
                <w:szCs w:val="22"/>
              </w:rPr>
              <w:t>% of 435</w:t>
            </w:r>
          </w:p>
        </w:tc>
      </w:tr>
      <w:tr w:rsidR="007566AC" w14:paraId="10FD3A7D"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359776" w14:textId="77777777" w:rsidR="007566AC" w:rsidRDefault="007566AC" w:rsidP="00776642">
            <w:r>
              <w:rPr>
                <w:sz w:val="22"/>
                <w:szCs w:val="22"/>
              </w:rPr>
              <w:t>T1 — Faculty Training and Professional Development Gap</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00614E" w14:textId="77777777" w:rsidR="007566AC" w:rsidRDefault="007566AC" w:rsidP="00776642">
            <w:pPr>
              <w:jc w:val="center"/>
            </w:pPr>
            <w:r>
              <w:rPr>
                <w:sz w:val="22"/>
                <w:szCs w:val="22"/>
              </w:rPr>
              <w:t>137</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A1EC90" w14:textId="77777777" w:rsidR="007566AC" w:rsidRDefault="007566AC" w:rsidP="00776642">
            <w:pPr>
              <w:jc w:val="center"/>
            </w:pPr>
            <w:r>
              <w:rPr>
                <w:sz w:val="22"/>
                <w:szCs w:val="22"/>
              </w:rPr>
              <w:t>31.5</w:t>
            </w:r>
          </w:p>
        </w:tc>
      </w:tr>
      <w:tr w:rsidR="007566AC" w14:paraId="0050CFFC"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B98FA5" w14:textId="77777777" w:rsidR="007566AC" w:rsidRDefault="007566AC" w:rsidP="00776642">
            <w:r>
              <w:rPr>
                <w:sz w:val="22"/>
                <w:szCs w:val="22"/>
              </w:rPr>
              <w:t>T2 — Quality Assurance, Monitoring, and Continuous Improvement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2C89CA9" w14:textId="77777777" w:rsidR="007566AC" w:rsidRDefault="007566AC" w:rsidP="00776642">
            <w:pPr>
              <w:jc w:val="center"/>
            </w:pPr>
            <w:r>
              <w:rPr>
                <w:sz w:val="22"/>
                <w:szCs w:val="22"/>
              </w:rPr>
              <w:t>89</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2ED290" w14:textId="77777777" w:rsidR="007566AC" w:rsidRDefault="007566AC" w:rsidP="00776642">
            <w:pPr>
              <w:jc w:val="center"/>
            </w:pPr>
            <w:r>
              <w:rPr>
                <w:sz w:val="22"/>
                <w:szCs w:val="22"/>
              </w:rPr>
              <w:t>20.5</w:t>
            </w:r>
          </w:p>
        </w:tc>
      </w:tr>
      <w:tr w:rsidR="007566AC" w14:paraId="5AA5C60C"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4798B7" w14:textId="77777777" w:rsidR="007566AC" w:rsidRDefault="007566AC" w:rsidP="00776642">
            <w:r>
              <w:rPr>
                <w:sz w:val="22"/>
                <w:szCs w:val="22"/>
              </w:rPr>
              <w:t>T3 — Assessment Practices, Rubrics, and Outcome-Aligned Tools</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BA77BA" w14:textId="77777777" w:rsidR="007566AC" w:rsidRDefault="007566AC" w:rsidP="00776642">
            <w:pPr>
              <w:jc w:val="center"/>
            </w:pPr>
            <w:r>
              <w:rPr>
                <w:sz w:val="22"/>
                <w:szCs w:val="22"/>
              </w:rPr>
              <w:t>88</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C8FFB3B" w14:textId="77777777" w:rsidR="007566AC" w:rsidRDefault="007566AC" w:rsidP="00776642">
            <w:pPr>
              <w:jc w:val="center"/>
            </w:pPr>
            <w:r>
              <w:rPr>
                <w:sz w:val="22"/>
                <w:szCs w:val="22"/>
              </w:rPr>
              <w:t>20.2</w:t>
            </w:r>
          </w:p>
        </w:tc>
      </w:tr>
      <w:tr w:rsidR="007566AC" w14:paraId="0AD61EB4"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AB9C5E" w14:textId="77777777" w:rsidR="007566AC" w:rsidRDefault="007566AC" w:rsidP="00776642">
            <w:r>
              <w:rPr>
                <w:sz w:val="22"/>
                <w:szCs w:val="22"/>
              </w:rPr>
              <w:t>T4 — Resource, Facility, and Technology Constraints</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69A8C1A" w14:textId="77777777" w:rsidR="007566AC" w:rsidRDefault="007566AC" w:rsidP="00776642">
            <w:pPr>
              <w:jc w:val="center"/>
            </w:pPr>
            <w:r>
              <w:rPr>
                <w:sz w:val="22"/>
                <w:szCs w:val="22"/>
              </w:rPr>
              <w:t>86</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FDA600" w14:textId="77777777" w:rsidR="007566AC" w:rsidRDefault="007566AC" w:rsidP="00776642">
            <w:pPr>
              <w:jc w:val="center"/>
            </w:pPr>
            <w:r>
              <w:rPr>
                <w:sz w:val="22"/>
                <w:szCs w:val="22"/>
              </w:rPr>
              <w:t>19.8</w:t>
            </w:r>
          </w:p>
        </w:tc>
      </w:tr>
      <w:tr w:rsidR="007566AC" w14:paraId="08EBB336"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64848E" w14:textId="77777777" w:rsidR="007566AC" w:rsidRDefault="007566AC" w:rsidP="00776642">
            <w:r>
              <w:rPr>
                <w:sz w:val="22"/>
                <w:szCs w:val="22"/>
              </w:rPr>
              <w:t>T7 — OBE as Transformative Practice vs. Compliance Checklist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3E1905" w14:textId="77777777" w:rsidR="007566AC" w:rsidRDefault="007566AC" w:rsidP="00776642">
            <w:pPr>
              <w:jc w:val="center"/>
            </w:pPr>
            <w:r>
              <w:rPr>
                <w:sz w:val="22"/>
                <w:szCs w:val="22"/>
              </w:rPr>
              <w:t>82</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52C210" w14:textId="77777777" w:rsidR="007566AC" w:rsidRDefault="007566AC" w:rsidP="00776642">
            <w:pPr>
              <w:jc w:val="center"/>
            </w:pPr>
            <w:r>
              <w:rPr>
                <w:sz w:val="22"/>
                <w:szCs w:val="22"/>
              </w:rPr>
              <w:t>18.9</w:t>
            </w:r>
          </w:p>
        </w:tc>
      </w:tr>
      <w:tr w:rsidR="007566AC" w14:paraId="36D0B74E"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546D876" w14:textId="77777777" w:rsidR="007566AC" w:rsidRDefault="007566AC" w:rsidP="00776642">
            <w:r>
              <w:rPr>
                <w:sz w:val="22"/>
                <w:szCs w:val="22"/>
              </w:rPr>
              <w:t>T5 — Curriculum–Outcome–Board-Examination Alignment</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EB0967" w14:textId="77777777" w:rsidR="007566AC" w:rsidRDefault="007566AC" w:rsidP="00776642">
            <w:pPr>
              <w:jc w:val="center"/>
            </w:pPr>
            <w:r>
              <w:rPr>
                <w:sz w:val="22"/>
                <w:szCs w:val="22"/>
              </w:rPr>
              <w:t>71</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8D4626C" w14:textId="77777777" w:rsidR="007566AC" w:rsidRDefault="007566AC" w:rsidP="00776642">
            <w:pPr>
              <w:jc w:val="center"/>
            </w:pPr>
            <w:r>
              <w:rPr>
                <w:sz w:val="22"/>
                <w:szCs w:val="22"/>
              </w:rPr>
              <w:t>16.3</w:t>
            </w:r>
          </w:p>
        </w:tc>
      </w:tr>
      <w:tr w:rsidR="007566AC" w14:paraId="03C9497B" w14:textId="77777777" w:rsidTr="00776642">
        <w:tc>
          <w:tcPr>
            <w:tcW w:w="63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14FEA9" w14:textId="77777777" w:rsidR="007566AC" w:rsidRDefault="007566AC" w:rsidP="00776642">
            <w:r>
              <w:rPr>
                <w:sz w:val="22"/>
                <w:szCs w:val="22"/>
              </w:rPr>
              <w:t>T6 — Documentation Burden and Faculty Workload</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07A4C45" w14:textId="77777777" w:rsidR="007566AC" w:rsidRDefault="007566AC" w:rsidP="00776642">
            <w:pPr>
              <w:jc w:val="center"/>
            </w:pPr>
            <w:r>
              <w:rPr>
                <w:sz w:val="22"/>
                <w:szCs w:val="22"/>
              </w:rPr>
              <w:t>68</w:t>
            </w:r>
          </w:p>
        </w:tc>
        <w:tc>
          <w:tcPr>
            <w:tcW w:w="1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ECCD9B9" w14:textId="77777777" w:rsidR="007566AC" w:rsidRDefault="007566AC" w:rsidP="00776642">
            <w:pPr>
              <w:jc w:val="center"/>
            </w:pPr>
            <w:r>
              <w:rPr>
                <w:sz w:val="22"/>
                <w:szCs w:val="22"/>
              </w:rPr>
              <w:t>15.6</w:t>
            </w:r>
          </w:p>
        </w:tc>
      </w:tr>
    </w:tbl>
    <w:p w14:paraId="5C149ACB" w14:textId="77777777" w:rsidR="007566AC" w:rsidRDefault="007566AC" w:rsidP="007566AC">
      <w:pPr>
        <w:spacing w:before="60" w:after="160"/>
      </w:pPr>
      <w:r>
        <w:rPr>
          <w:i/>
          <w:iCs/>
          <w:sz w:val="20"/>
          <w:szCs w:val="20"/>
        </w:rPr>
        <w:lastRenderedPageBreak/>
        <w:t>Note. T7 integrates two related codes (compliance/superficial OBE and institutional-support adequacy), which respondents consistently described together.</w:t>
      </w:r>
    </w:p>
    <w:p w14:paraId="2C17BADF" w14:textId="6148CDF5" w:rsidR="005A4515" w:rsidRDefault="005A4515" w:rsidP="005A4515">
      <w:pPr>
        <w:jc w:val="both"/>
      </w:pPr>
      <w:r>
        <w:t>The faculty training and professional-development gap (T1, 31.5%), the dominant theme, explains why Teacher Preparedness (3.18) and Faculty Competence (3.14) trail the two high-band domains despite high conceptual awareness. Respondents described holding the ideas of OBE while needing proper orientation, and noted that outcomes are sometimes stated in syllabi for compliance rather than as an operational guide. Conceptual awareness has spread faster than trained, operational capability.</w:t>
      </w:r>
    </w:p>
    <w:p w14:paraId="30F45083" w14:textId="77777777" w:rsidR="00700E32" w:rsidRDefault="00700E32" w:rsidP="005A4515">
      <w:pPr>
        <w:jc w:val="both"/>
      </w:pPr>
    </w:p>
    <w:p w14:paraId="2568B74C" w14:textId="35CA6793" w:rsidR="005A4515" w:rsidRDefault="005A4515" w:rsidP="005A4515">
      <w:pPr>
        <w:jc w:val="both"/>
      </w:pPr>
      <w:r>
        <w:t>Assessment practices (T3, 20.2%) and documentation burden and workload (T6, 15.6%) jointly explain why Assessment and Evaluation (3.13) ranks among the lowest implemented domains. Respondents viewed assessment primarily as a bureaucratic exercise rather than a tool for professional growth. They noted that the heavy focus on paperwork creates an administrative burden, leaving little time for actual classroom improvement. These low assessment-literacy indicators should not be viewed as isolated issues. Instead, they are direct consequences of an institutional culture focused on compliance and high workloads.</w:t>
      </w:r>
    </w:p>
    <w:p w14:paraId="47DDC352" w14:textId="77777777" w:rsidR="00700E32" w:rsidRDefault="00700E32" w:rsidP="005A4515">
      <w:pPr>
        <w:jc w:val="both"/>
      </w:pPr>
    </w:p>
    <w:p w14:paraId="3D4CB557" w14:textId="27C190D3" w:rsidR="005A4515" w:rsidRDefault="005A4515" w:rsidP="005A4515">
      <w:pPr>
        <w:jc w:val="both"/>
      </w:pPr>
      <w:r>
        <w:t xml:space="preserve">Quality assurance, monitoring, and continuous improvement (T2, 20.5%) accounts directly for the lowest domain mean, Institutional and Administrative Support (3.02). Respondents acknowledged that QA systems have strengthened documentation but flagged a persistent gap between collecting assessment data and using it. Where QA functioned as a continuous-improvement loop rather than a compliance checklist, respondents linked it to stronger </w:t>
      </w:r>
      <w:proofErr w:type="spellStart"/>
      <w:r>
        <w:t>programme</w:t>
      </w:r>
      <w:proofErr w:type="spellEnd"/>
      <w:r>
        <w:t xml:space="preserve"> outcomes, but most described the former rather than the latter. Resource, facility, and technology constraints (T4, 19.8%) reinforce the same low-support pattern, with respondents from less-resourced </w:t>
      </w:r>
      <w:proofErr w:type="spellStart"/>
      <w:r>
        <w:t>programmes</w:t>
      </w:r>
      <w:proofErr w:type="spellEnd"/>
      <w:r>
        <w:t xml:space="preserve"> citing inadequate laboratory equipment and weak digital infrastructure as material limits on </w:t>
      </w:r>
      <w:proofErr w:type="spellStart"/>
      <w:r>
        <w:t>operationalising</w:t>
      </w:r>
      <w:proofErr w:type="spellEnd"/>
      <w:r>
        <w:t xml:space="preserve"> OBE at depth.</w:t>
      </w:r>
    </w:p>
    <w:p w14:paraId="53037359" w14:textId="77777777" w:rsidR="00700E32" w:rsidRDefault="00700E32" w:rsidP="005A4515">
      <w:pPr>
        <w:jc w:val="both"/>
      </w:pPr>
    </w:p>
    <w:p w14:paraId="42D59AD1" w14:textId="219B045F" w:rsidR="005A4515" w:rsidRDefault="005A4515" w:rsidP="005A4515">
      <w:pPr>
        <w:jc w:val="both"/>
      </w:pPr>
      <w:r>
        <w:t xml:space="preserve">Curriculum–outcome–board-examination alignment (T5, 16.3%) qualifies the highest-scoring domain. Even as respondents </w:t>
      </w:r>
      <w:proofErr w:type="spellStart"/>
      <w:r>
        <w:t>recognised</w:t>
      </w:r>
      <w:proofErr w:type="spellEnd"/>
      <w:r>
        <w:t xml:space="preserve"> that documentary curriculum mapping is substantially complete, they urged that outcomes be aligned with actual competency content rather than general learning outcomes. The high Curriculum Alignment score (3.35) therefore reflects formal, documentary mapping more than competency-level alignment—a caveat the quantitative score alone would conceal.</w:t>
      </w:r>
    </w:p>
    <w:p w14:paraId="5D75A31A" w14:textId="77777777" w:rsidR="00700E32" w:rsidRDefault="00700E32" w:rsidP="005A4515">
      <w:pPr>
        <w:jc w:val="both"/>
      </w:pPr>
    </w:p>
    <w:p w14:paraId="17A11BBF" w14:textId="466CF812" w:rsidR="005A4515" w:rsidRDefault="005A4515" w:rsidP="005A4515">
      <w:pPr>
        <w:jc w:val="both"/>
      </w:pPr>
      <w:r>
        <w:t xml:space="preserve">The </w:t>
      </w:r>
      <w:proofErr w:type="spellStart"/>
      <w:r>
        <w:t>characterisation</w:t>
      </w:r>
      <w:proofErr w:type="spellEnd"/>
      <w:r>
        <w:t xml:space="preserve"> of OBE as transformative practice versus compliance checklist (T7, 18.9%), the cross-cutting theme, accounts for the gap between the overall mean (3.19) and the highly implemented threshold. Respondents repeatedly described OBE as having completed the documentary and structural layer while the deeper instructional, assessment, and cultural shifts the framework envisions are still developing, with one observing that OBE exists from the perspective of administration but is felt less by its implementers. This theme integrates the other six and expresses, in practitioners' own terms, the developmental pattern of broad adoption with still-maturing depth.</w:t>
      </w:r>
    </w:p>
    <w:p w14:paraId="484031E4" w14:textId="77777777" w:rsidR="00700E32" w:rsidRDefault="00700E32" w:rsidP="005A4515">
      <w:pPr>
        <w:jc w:val="both"/>
      </w:pPr>
    </w:p>
    <w:p w14:paraId="67D27E7B" w14:textId="77777777" w:rsidR="00700E32" w:rsidRDefault="00700E32" w:rsidP="00700E32">
      <w:pPr>
        <w:spacing w:after="240"/>
        <w:jc w:val="both"/>
        <w:rPr>
          <w:i/>
          <w:iCs/>
        </w:rPr>
      </w:pPr>
    </w:p>
    <w:p w14:paraId="0BFC885E" w14:textId="77777777" w:rsidR="00700E32" w:rsidRDefault="00700E32" w:rsidP="00700E32">
      <w:pPr>
        <w:spacing w:after="240"/>
        <w:jc w:val="both"/>
        <w:rPr>
          <w:i/>
          <w:iCs/>
        </w:rPr>
      </w:pPr>
    </w:p>
    <w:p w14:paraId="1AB21D5F" w14:textId="114B2CA6" w:rsidR="005A4515" w:rsidRPr="00700E32" w:rsidRDefault="005A4515" w:rsidP="00700E32">
      <w:pPr>
        <w:spacing w:after="240"/>
        <w:jc w:val="both"/>
        <w:rPr>
          <w:i/>
          <w:iCs/>
        </w:rPr>
      </w:pPr>
      <w:r w:rsidRPr="00700E32">
        <w:rPr>
          <w:i/>
          <w:iCs/>
        </w:rPr>
        <w:lastRenderedPageBreak/>
        <w:t>Discussion: Broad Adoption, Still-Maturing Depth</w:t>
      </w:r>
    </w:p>
    <w:p w14:paraId="7714802E" w14:textId="77777777" w:rsidR="007C0DF4" w:rsidRPr="007C0DF4" w:rsidRDefault="007C0DF4" w:rsidP="007C0DF4">
      <w:pPr>
        <w:jc w:val="both"/>
      </w:pPr>
      <w:r w:rsidRPr="007C0DF4">
        <w:t xml:space="preserve">The findings suggest that Outcome-Based Education (OBE) implementation in the participating engineering </w:t>
      </w:r>
      <w:proofErr w:type="spellStart"/>
      <w:r w:rsidRPr="007C0DF4">
        <w:t>programmes</w:t>
      </w:r>
      <w:proofErr w:type="spellEnd"/>
      <w:r w:rsidRPr="007C0DF4">
        <w:t xml:space="preserve"> has progressed beyond initial adoption but has not yet reached institutional maturity. Although the overall implementation was moderate, the distribution of domain scores reveals an important pattern. The highest levels of implementation were observed in curriculum alignment and teaching practices—activities largely under the direct control of individual faculty members—whereas institutional support and assessment practices received comparatively lower ratings. Rather than indicating uneven implementation alone, this pattern reflects different stages in the institutionalization of OBE, where instructional practices have evolved more rapidly than the organizational systems required to sustain them.</w:t>
      </w:r>
    </w:p>
    <w:p w14:paraId="63FD7FD5" w14:textId="77777777" w:rsidR="007C0DF4" w:rsidRPr="007C0DF4" w:rsidRDefault="007C0DF4" w:rsidP="007C0DF4">
      <w:pPr>
        <w:jc w:val="both"/>
      </w:pPr>
    </w:p>
    <w:p w14:paraId="688658FF" w14:textId="4775D796" w:rsidR="007C0DF4" w:rsidRPr="007C0DF4" w:rsidRDefault="007C0DF4" w:rsidP="007C0DF4">
      <w:pPr>
        <w:jc w:val="both"/>
      </w:pPr>
      <w:r w:rsidRPr="007C0DF4">
        <w:t>This distinction is consistent with the original conception of OBE proposed by William G. Spady, who argued that OBE extends beyond writing measurable learning outcomes and requires institutions to organize curriculum, instruction, assessment, and resource allocation around demonstrated student achievement</w:t>
      </w:r>
      <w:r>
        <w:t xml:space="preserve"> (Syeed, et al., 2022)</w:t>
      </w:r>
      <w:r w:rsidRPr="007C0DF4">
        <w:t>. Similarly, constructive alignment theory developed by John Biggs emphasizes that intended learning outcomes, teaching strategies, and assessment must operate as an integrated system rather than as isolated instructional components</w:t>
      </w:r>
      <w:r>
        <w:t xml:space="preserve"> (Biggs, 1996 as cited by Loughlin, et al., 2020)</w:t>
      </w:r>
      <w:r w:rsidRPr="007C0DF4">
        <w:t>. The present findings indicate that alignment has largely been achieved at the curriculum level, but institutional mechanisms that support continuous evidence-based improvement remain comparatively less developed. This partially aligned system may explain why overall implementation remained within the moderate range despite high ratings in curriculum alignment and teaching strategies.</w:t>
      </w:r>
    </w:p>
    <w:p w14:paraId="7799AE3C" w14:textId="77777777" w:rsidR="007C0DF4" w:rsidRPr="007C0DF4" w:rsidRDefault="007C0DF4" w:rsidP="007C0DF4">
      <w:pPr>
        <w:jc w:val="both"/>
      </w:pPr>
    </w:p>
    <w:p w14:paraId="05112B3F" w14:textId="77777777" w:rsidR="007C0DF4" w:rsidRPr="007C0DF4" w:rsidRDefault="007C0DF4" w:rsidP="007C0DF4">
      <w:pPr>
        <w:jc w:val="both"/>
      </w:pPr>
      <w:r w:rsidRPr="007C0DF4">
        <w:t xml:space="preserve">The prominence of curriculum and </w:t>
      </w:r>
      <w:proofErr w:type="spellStart"/>
      <w:r w:rsidRPr="007C0DF4">
        <w:t>programme</w:t>
      </w:r>
      <w:proofErr w:type="spellEnd"/>
      <w:r w:rsidRPr="007C0DF4">
        <w:t xml:space="preserve"> outcome alignment also reflects the influence of external quality assurance mechanisms in Philippine higher education. Over the past decade, engineering </w:t>
      </w:r>
      <w:proofErr w:type="spellStart"/>
      <w:r w:rsidRPr="007C0DF4">
        <w:t>programmes</w:t>
      </w:r>
      <w:proofErr w:type="spellEnd"/>
      <w:r w:rsidRPr="007C0DF4">
        <w:t xml:space="preserve"> have increasingly aligned their curricula with the requirements of the Commission on Higher Education, the Philippine Qualifications Framework, and accreditation bodies. Similar patterns have been reported in engineering education across Southeast Asia, where curriculum mapping is frequently the earliest and most visible outcome of OBE implementation because it represents an explicit accreditation requirement (</w:t>
      </w:r>
      <w:proofErr w:type="spellStart"/>
      <w:r w:rsidRPr="007C0DF4">
        <w:t>Mistamiruddin</w:t>
      </w:r>
      <w:proofErr w:type="spellEnd"/>
      <w:r w:rsidRPr="007C0DF4">
        <w:t xml:space="preserve"> &amp; Mohamad Nasri, 2024). Nevertheless, the relatively lower ratings for stakeholder consultation suggest that curriculum alignment remains driven primarily by regulatory compliance rather than continuous engagement with industry partners, alumni, and employers. This observation supports previous arguments that meaningful OBE requires </w:t>
      </w:r>
      <w:proofErr w:type="spellStart"/>
      <w:r w:rsidRPr="007C0DF4">
        <w:t>programme</w:t>
      </w:r>
      <w:proofErr w:type="spellEnd"/>
      <w:r w:rsidRPr="007C0DF4">
        <w:t xml:space="preserve"> outcomes to remain responsive to evolving professional competencies rather than merely satisfying documentary standards.</w:t>
      </w:r>
    </w:p>
    <w:p w14:paraId="35520D85" w14:textId="77777777" w:rsidR="007C0DF4" w:rsidRPr="007C0DF4" w:rsidRDefault="007C0DF4" w:rsidP="007C0DF4">
      <w:pPr>
        <w:jc w:val="both"/>
      </w:pPr>
    </w:p>
    <w:p w14:paraId="7EB4C5FB" w14:textId="77777777" w:rsidR="007C0DF4" w:rsidRPr="007C0DF4" w:rsidRDefault="007C0DF4" w:rsidP="007C0DF4">
      <w:pPr>
        <w:jc w:val="both"/>
      </w:pPr>
      <w:r w:rsidRPr="007C0DF4">
        <w:t xml:space="preserve">The comparatively lower ratings for teacher preparedness, faculty competence, and assessment practices point to a different dimension of implementation. Although respondents demonstrated a sound conceptual understanding of OBE, both the quantitative and qualitative findings indicate that many faculty members continue to experience challenges in operationalizing the framework through authentic assessment, attainment analysis, and continuous improvement. Similar observations have been reported by Rashid (2013), who identified assessment literacy as one of the most persistent barriers to effective OBE implementation in engineering education. More recently, </w:t>
      </w:r>
      <w:proofErr w:type="spellStart"/>
      <w:r w:rsidRPr="007C0DF4">
        <w:t>Mistamiruddin</w:t>
      </w:r>
      <w:proofErr w:type="spellEnd"/>
      <w:r w:rsidRPr="007C0DF4">
        <w:t xml:space="preserve"> and Mohamad Nasri (2024) likewise concluded that while faculty generally understand OBE principles, they frequently require sustained professional development in developing valid assessment instruments, interpreting learning evidence, and using assessment </w:t>
      </w:r>
      <w:r w:rsidRPr="007C0DF4">
        <w:lastRenderedPageBreak/>
        <w:t>data to improve instructional practice. The present findings reinforce this distinction between understanding OBE conceptually and implementing it systematically.</w:t>
      </w:r>
    </w:p>
    <w:p w14:paraId="6E48A67C" w14:textId="77777777" w:rsidR="007C0DF4" w:rsidRPr="007C0DF4" w:rsidRDefault="007C0DF4" w:rsidP="007C0DF4">
      <w:pPr>
        <w:jc w:val="both"/>
      </w:pPr>
    </w:p>
    <w:p w14:paraId="781C33ED" w14:textId="603ED891" w:rsidR="007C0DF4" w:rsidRPr="007C0DF4" w:rsidRDefault="007C0DF4" w:rsidP="007C0DF4">
      <w:pPr>
        <w:jc w:val="both"/>
      </w:pPr>
      <w:r w:rsidRPr="007C0DF4">
        <w:t>The qualitative themes provide further insight into why these domains remain comparatively weak. Faculty repeatedly described professional development as insufficiently sustained, with training often limited to introductory orientations rather than continuous mentoring or communities of practice. This finding aligns with the broader literature on educational change, which emphasizes that reforms become sustainable only when professional learning is continuous, collaborative, and embedded within institutional practice rather than delivered through isolated workshops</w:t>
      </w:r>
      <w:r>
        <w:t xml:space="preserve"> (De Jong, et al.,2025; </w:t>
      </w:r>
      <w:proofErr w:type="spellStart"/>
      <w:r>
        <w:t>Meesuk</w:t>
      </w:r>
      <w:proofErr w:type="spellEnd"/>
      <w:r>
        <w:t>, et al., 2021)</w:t>
      </w:r>
      <w:r w:rsidRPr="007C0DF4">
        <w:t>. Consequently, the faculty training gap identified in this study should not be interpreted merely as an issue of technical competence but as an indicator of institutional readiness to sustain educational innovation.</w:t>
      </w:r>
    </w:p>
    <w:p w14:paraId="5E6F6DC2" w14:textId="77777777" w:rsidR="007C0DF4" w:rsidRPr="007C0DF4" w:rsidRDefault="007C0DF4" w:rsidP="007C0DF4">
      <w:pPr>
        <w:jc w:val="both"/>
      </w:pPr>
    </w:p>
    <w:p w14:paraId="6D011424" w14:textId="77777777" w:rsidR="007C0DF4" w:rsidRPr="007C0DF4" w:rsidRDefault="007C0DF4" w:rsidP="007C0DF4">
      <w:pPr>
        <w:jc w:val="both"/>
      </w:pPr>
      <w:r w:rsidRPr="007C0DF4">
        <w:t xml:space="preserve">Assessment and evaluation emerged as another critical area requiring attention. Respondents consistently associated assessment with documentation, reporting requirements, and accreditation compliance rather than with improving teaching and learning. This perception is particularly significant because assessment constitutes the central feedback mechanism within the OBE framework. As argued by Biggs and Tang (2011), assessment should provide evidence that informs curriculum review, instructional refinement, and </w:t>
      </w:r>
      <w:proofErr w:type="spellStart"/>
      <w:r w:rsidRPr="007C0DF4">
        <w:t>programme</w:t>
      </w:r>
      <w:proofErr w:type="spellEnd"/>
      <w:r w:rsidRPr="007C0DF4">
        <w:t xml:space="preserve"> enhancement. When assessment becomes disconnected from decision-making and is viewed primarily as an administrative obligation, the continuous improvement cycle central to OBE cannot function effectively. The convergence of the quantitative findings and the qualitative themes therefore </w:t>
      </w:r>
      <w:proofErr w:type="gramStart"/>
      <w:r w:rsidRPr="007C0DF4">
        <w:t>suggests</w:t>
      </w:r>
      <w:proofErr w:type="gramEnd"/>
      <w:r w:rsidRPr="007C0DF4">
        <w:t xml:space="preserve"> that strengthening assessment literacy may represent the single most important strategy for advancing OBE implementation beyond procedural compliance.</w:t>
      </w:r>
    </w:p>
    <w:p w14:paraId="5894A105" w14:textId="77777777" w:rsidR="007C0DF4" w:rsidRPr="007C0DF4" w:rsidRDefault="007C0DF4" w:rsidP="007C0DF4">
      <w:pPr>
        <w:jc w:val="both"/>
      </w:pPr>
    </w:p>
    <w:p w14:paraId="5D6E8B75" w14:textId="77777777" w:rsidR="007C0DF4" w:rsidRPr="007C0DF4" w:rsidRDefault="007C0DF4" w:rsidP="007C0DF4">
      <w:pPr>
        <w:jc w:val="both"/>
      </w:pPr>
      <w:r w:rsidRPr="007C0DF4">
        <w:t>Institutional and administrative support, the lowest-ranked domain, further illustrates the organizational challenges associated with educational reform. Respondents identified limited recognition for OBE-related work, inadequate laboratory facilities, fragmented documentation systems, and insufficient technological infrastructure as major constraints. These concerns are consistent with organizational change theory, which argues that educational innovations cannot be sustained through individual commitment alone but require supportive leadership, adequate resources, and organizational structures that reinforce new practices. The absence of such enabling conditions often results in implementation that depends largely on faculty initiative, making institutional quality vulnerable to variations in experience, workload, and motivation.</w:t>
      </w:r>
    </w:p>
    <w:p w14:paraId="000031C1" w14:textId="77777777" w:rsidR="007C0DF4" w:rsidRPr="007C0DF4" w:rsidRDefault="007C0DF4" w:rsidP="007C0DF4">
      <w:pPr>
        <w:jc w:val="both"/>
      </w:pPr>
    </w:p>
    <w:p w14:paraId="74E8F45F" w14:textId="77777777" w:rsidR="007C0DF4" w:rsidRPr="007C0DF4" w:rsidRDefault="007C0DF4" w:rsidP="007C0DF4">
      <w:pPr>
        <w:jc w:val="both"/>
      </w:pPr>
      <w:r w:rsidRPr="007C0DF4">
        <w:t xml:space="preserve">Perhaps the most important contribution of the qualitative findings is the distinction respondents made between doing OBE and living OBE. Across several themes, faculty acknowledged that learning outcomes, curriculum maps, and assessment reports had become routine institutional requirements, yet many questioned whether these practices had fully transformed classroom teaching or student learning. This distinction reflects what has increasingly been described in the higher education literature as the difference between compliance-oriented implementation and improvement-oriented implementation. In the former, documentation satisfies external accountability requirements; in the latter, evidence generated through assessment continuously informs pedagogical and curricular improvement. The findings suggest that the participating engineering </w:t>
      </w:r>
      <w:proofErr w:type="spellStart"/>
      <w:r w:rsidRPr="007C0DF4">
        <w:t>programmes</w:t>
      </w:r>
      <w:proofErr w:type="spellEnd"/>
      <w:r w:rsidRPr="007C0DF4">
        <w:t xml:space="preserve"> are transitioning between these two stages, having established the </w:t>
      </w:r>
      <w:r w:rsidRPr="007C0DF4">
        <w:lastRenderedPageBreak/>
        <w:t>structural architecture of OBE while continuing to strengthen the institutional culture necessary for continuous improvement.</w:t>
      </w:r>
    </w:p>
    <w:p w14:paraId="14319F31" w14:textId="77777777" w:rsidR="00700E32" w:rsidRDefault="00700E32" w:rsidP="005A4515">
      <w:pPr>
        <w:jc w:val="both"/>
      </w:pPr>
    </w:p>
    <w:p w14:paraId="0560C0C1" w14:textId="7DC54694" w:rsidR="005A4515" w:rsidRPr="00700E32" w:rsidRDefault="005A4515" w:rsidP="00700E32">
      <w:pPr>
        <w:spacing w:after="240"/>
        <w:jc w:val="both"/>
        <w:rPr>
          <w:i/>
          <w:iCs/>
        </w:rPr>
      </w:pPr>
      <w:r w:rsidRPr="00700E32">
        <w:rPr>
          <w:i/>
          <w:iCs/>
        </w:rPr>
        <w:t>Implications for Policy and Educational Management</w:t>
      </w:r>
    </w:p>
    <w:p w14:paraId="6BCF64FB" w14:textId="77777777" w:rsidR="005A4515" w:rsidRDefault="005A4515" w:rsidP="005A4515">
      <w:pPr>
        <w:jc w:val="both"/>
      </w:pPr>
      <w:r>
        <w:t>For institutional leaders and quality-assurance bodies operating under similar constraints, a domain-resolved profile serves as a practical diagnostic tool. It highlights exactly where interventions can achieve the greatest impact based on three key insights. First, the critical hurdle is faculty assessment literacy rather than curriculum documentation. Refining outcome statements and curriculum maps yields little benefit since these are already the strongest domains. Instead, institutions should redirect their efforts toward helping faculty design valid tests and use student data effectively. Second, monitoring and accreditation processes must separate actual competency-level alignment from superficial paperwork. High alignment scores can easily mask a purely formal mapping process. Evaluators need to audit whether mapped outcomes match the competencies graduates demonstrate. Third, meaningful progress depends on institutional support rather than individual effort. The lowest-scoring areas require coordinated commitments such as faculty recognition, protected time, and proper resourcing. Consequently, sustained improvement comes from department- and university-level policy shifts rather than from urging faculty to do more. The compliance-driven mindset reported by respondents is simply a practical response to a system that rewards documentation over professional growth. To change this behavior, institutions must change what they reward.</w:t>
      </w:r>
    </w:p>
    <w:p w14:paraId="0CCFA3A3" w14:textId="77777777" w:rsidR="00700E32" w:rsidRDefault="00700E32" w:rsidP="005A4515">
      <w:pPr>
        <w:jc w:val="both"/>
      </w:pPr>
    </w:p>
    <w:p w14:paraId="0E61EC38" w14:textId="77777777" w:rsidR="005A4515" w:rsidRDefault="005A4515" w:rsidP="005A4515">
      <w:pPr>
        <w:jc w:val="both"/>
      </w:pPr>
      <w:r>
        <w:t>Beyond the specific cases studied, this research offers a practical diagnostic framework for evaluating OBE implementation. By resolving OBE implementation into seven domains and reading each quantitative result against the themes that explain it, the analysis makes the familiar compliance-versus-transformation distinction empirically concrete and domain-specific (Shaheen, 2019; Syeed et al., 2022). This developmental framework shows that an institution can achieve broad adoption while its implementation depth continues to mature. For other universities and quality-assurance systems operating in resource-constrained settings (Danga, 2025; Keo et al., 2023), this perspective offers a practical approach to identify exactly where their own OBE practices can be strengthened.</w:t>
      </w:r>
    </w:p>
    <w:p w14:paraId="5E4BBB12" w14:textId="77777777" w:rsidR="007C0DF4" w:rsidRDefault="007C0DF4" w:rsidP="005A4515">
      <w:pPr>
        <w:jc w:val="both"/>
      </w:pPr>
    </w:p>
    <w:p w14:paraId="5DAFDDB5" w14:textId="77777777" w:rsidR="005A4515" w:rsidRPr="00700E32" w:rsidRDefault="005A4515" w:rsidP="00700E32">
      <w:pPr>
        <w:spacing w:after="240"/>
        <w:jc w:val="both"/>
        <w:rPr>
          <w:i/>
          <w:iCs/>
        </w:rPr>
      </w:pPr>
      <w:r w:rsidRPr="00700E32">
        <w:rPr>
          <w:i/>
          <w:iCs/>
        </w:rPr>
        <w:t>Limitations</w:t>
      </w:r>
    </w:p>
    <w:p w14:paraId="3ED95FE4" w14:textId="77777777" w:rsidR="005A4515" w:rsidRDefault="005A4515" w:rsidP="005A4515">
      <w:pPr>
        <w:jc w:val="both"/>
      </w:pPr>
      <w:r>
        <w:t xml:space="preserve">Several limitations bound the findings. The data are self-reported perceptions of implementation, which may diverge from observed practice; the four-point forced-choice scale, chosen to reduce central-tendency bias, removes a neutral option and may compress variance. The study is cross-sectional and confined to a single set of institutions in one Philippine higher-education context, so the profile is a snapshot of a system mid-transition and is not claimed to </w:t>
      </w:r>
      <w:proofErr w:type="spellStart"/>
      <w:r>
        <w:t>generalise</w:t>
      </w:r>
      <w:proofErr w:type="spellEnd"/>
      <w:r>
        <w:t xml:space="preserve"> beyond comparable contexts. The qualitative analysis was conducted by a single researcher within a reflexive thematic-analysis tradition; the AI-assisted consistency check supports dependability but does not constitute independent human co-coding. Finally, this paper deliberately brackets the related analyses of institutional readiness and board-examination outcomes, which are reported separately; the profile here is a focused account of the extent of implementation rather than of cause or effect.</w:t>
      </w:r>
    </w:p>
    <w:p w14:paraId="71323970" w14:textId="77777777" w:rsidR="00700E32" w:rsidRDefault="00700E32" w:rsidP="005A4515">
      <w:pPr>
        <w:jc w:val="both"/>
      </w:pPr>
    </w:p>
    <w:p w14:paraId="34408053" w14:textId="77777777" w:rsidR="005A4515" w:rsidRPr="00700E32" w:rsidRDefault="005A4515" w:rsidP="00700E32">
      <w:pPr>
        <w:spacing w:after="240"/>
        <w:jc w:val="both"/>
        <w:rPr>
          <w:i/>
          <w:iCs/>
        </w:rPr>
      </w:pPr>
      <w:r w:rsidRPr="00700E32">
        <w:rPr>
          <w:i/>
          <w:iCs/>
        </w:rPr>
        <w:t>Positionality and Declarations</w:t>
      </w:r>
    </w:p>
    <w:p w14:paraId="2987C978" w14:textId="77777777" w:rsidR="005A4515" w:rsidRDefault="005A4515" w:rsidP="005A4515">
      <w:pPr>
        <w:jc w:val="both"/>
      </w:pPr>
      <w:r>
        <w:lastRenderedPageBreak/>
        <w:t>The author serves in a quality-assurance role within the Philippine higher education system, which includes professional engagement with institutions of the type studied. This study was conducted as independent doctoral research with the knowledge and support of the author's office and was carried out so that findings reflect the data rather than any institutional position. To protect participating institutions, individual HEIs are not named, and results are reported only in aggregate. The study observed the Philippine National Ethical Guidelines for Health and Health-Related Research, with voluntary informed consent and data-privacy safeguards.</w:t>
      </w:r>
    </w:p>
    <w:p w14:paraId="47A28F3D" w14:textId="77777777" w:rsidR="00700E32" w:rsidRDefault="00700E32" w:rsidP="005A4515">
      <w:pPr>
        <w:jc w:val="both"/>
      </w:pPr>
    </w:p>
    <w:p w14:paraId="5948C7D9" w14:textId="77777777" w:rsidR="005A4515" w:rsidRPr="00700E32" w:rsidRDefault="005A4515" w:rsidP="00700E32">
      <w:pPr>
        <w:spacing w:after="240"/>
        <w:jc w:val="both"/>
        <w:rPr>
          <w:i/>
          <w:iCs/>
        </w:rPr>
      </w:pPr>
      <w:r w:rsidRPr="00700E32">
        <w:rPr>
          <w:i/>
          <w:iCs/>
        </w:rPr>
        <w:t>Conclusion</w:t>
      </w:r>
    </w:p>
    <w:p w14:paraId="5827C611" w14:textId="77777777" w:rsidR="005A4515" w:rsidRDefault="005A4515" w:rsidP="005A4515">
      <w:pPr>
        <w:jc w:val="both"/>
      </w:pPr>
      <w:r>
        <w:t xml:space="preserve">More than a decade after OBE became mandatory for Philippine engineering </w:t>
      </w:r>
      <w:proofErr w:type="spellStart"/>
      <w:r>
        <w:t>programmes</w:t>
      </w:r>
      <w:proofErr w:type="spellEnd"/>
      <w:r>
        <w:t xml:space="preserve">, the </w:t>
      </w:r>
      <w:proofErr w:type="spellStart"/>
      <w:r>
        <w:t>programmes</w:t>
      </w:r>
      <w:proofErr w:type="spellEnd"/>
      <w:r>
        <w:t xml:space="preserve"> studied show broad adoption with still-maturing depth: a moderate overall profile (3.19) in which curriculum alignment and teaching strategies reach the highly implemented band, while assessment capability and institutional support are still developing. Practitioners' own accounts explain the pattern in developmental terms—the structural elements of OBE are in place, while the trained capability, protected time, usable assessment evidence, recognition, and resources needed to operate OBE as a continuously improving system are still being built. For policymakers and institutional leaders, the practical message is constructive and specific: the next gains in OBE quality will come less from additional documentation and more from faculty assessment development, competency-level rather than merely documentary alignment, and the institutional structures that help deepen practice.</w:t>
      </w:r>
    </w:p>
    <w:p w14:paraId="6A81AF63" w14:textId="77777777" w:rsidR="00700E32" w:rsidRDefault="00700E32" w:rsidP="005A4515">
      <w:pPr>
        <w:jc w:val="both"/>
      </w:pPr>
    </w:p>
    <w:p w14:paraId="08E66C25" w14:textId="77777777" w:rsidR="005A4515" w:rsidRPr="00700E32" w:rsidRDefault="005A4515" w:rsidP="00700E32">
      <w:pPr>
        <w:spacing w:after="240"/>
        <w:jc w:val="both"/>
        <w:rPr>
          <w:i/>
          <w:iCs/>
        </w:rPr>
      </w:pPr>
      <w:r w:rsidRPr="00700E32">
        <w:rPr>
          <w:i/>
          <w:iCs/>
        </w:rPr>
        <w:t>Acknowledgements</w:t>
      </w:r>
    </w:p>
    <w:p w14:paraId="0ACF857C" w14:textId="7EA58337" w:rsidR="005A4515" w:rsidRDefault="005A4515" w:rsidP="005A4515">
      <w:pPr>
        <w:jc w:val="both"/>
      </w:pPr>
      <w:r>
        <w:t xml:space="preserve">The author thanks the participating engineering </w:t>
      </w:r>
      <w:proofErr w:type="spellStart"/>
      <w:r>
        <w:t>programmes</w:t>
      </w:r>
      <w:proofErr w:type="spellEnd"/>
      <w:r>
        <w:t xml:space="preserve"> and the faculty, academic administrators, and quality-assurance personnel who contributed their time and reflections to this study; the dissertation panel</w:t>
      </w:r>
      <w:r w:rsidR="00E51D24">
        <w:t xml:space="preserve"> and adviser</w:t>
      </w:r>
      <w:r>
        <w:t xml:space="preserve"> for their guidance; and the content-validation panel for their expert review of the instrument.</w:t>
      </w:r>
    </w:p>
    <w:p w14:paraId="3D762F15" w14:textId="77777777" w:rsidR="00700E32" w:rsidRDefault="00700E32" w:rsidP="005A4515">
      <w:pPr>
        <w:jc w:val="both"/>
      </w:pPr>
    </w:p>
    <w:p w14:paraId="637FD4AD" w14:textId="77777777" w:rsidR="00700E32" w:rsidRDefault="00700E32" w:rsidP="005A4515">
      <w:pPr>
        <w:jc w:val="both"/>
      </w:pPr>
    </w:p>
    <w:p w14:paraId="695C5BBD" w14:textId="77777777" w:rsidR="00700E32" w:rsidRDefault="00700E32" w:rsidP="005A4515">
      <w:pPr>
        <w:jc w:val="both"/>
      </w:pPr>
    </w:p>
    <w:p w14:paraId="5640A8CF" w14:textId="77777777" w:rsidR="005A4515" w:rsidRPr="00700E32" w:rsidRDefault="005A4515" w:rsidP="005A3ACD">
      <w:pPr>
        <w:spacing w:after="240"/>
        <w:jc w:val="both"/>
        <w:rPr>
          <w:b/>
          <w:bCs/>
        </w:rPr>
      </w:pPr>
      <w:r w:rsidRPr="00700E32">
        <w:rPr>
          <w:b/>
          <w:bCs/>
        </w:rPr>
        <w:t>References</w:t>
      </w:r>
    </w:p>
    <w:p w14:paraId="0998E0F9" w14:textId="77777777" w:rsidR="005A4515" w:rsidRDefault="005A4515" w:rsidP="00A22CF8">
      <w:pPr>
        <w:ind w:left="720" w:hanging="720"/>
        <w:jc w:val="both"/>
      </w:pPr>
      <w:proofErr w:type="spellStart"/>
      <w:r>
        <w:t>Absolor</w:t>
      </w:r>
      <w:proofErr w:type="spellEnd"/>
      <w:r>
        <w:t>, J. L. (2025). Attainment of outcomes-based education in the advanced higher education. Lex Localis – Journal of Local Self-Government, 23(S6), 941–961.</w:t>
      </w:r>
    </w:p>
    <w:p w14:paraId="1AD8F4E2" w14:textId="77777777" w:rsidR="005A3ACD" w:rsidRDefault="005A3ACD" w:rsidP="005A4515">
      <w:pPr>
        <w:jc w:val="both"/>
      </w:pPr>
    </w:p>
    <w:p w14:paraId="48FB66C8" w14:textId="20C0ADD1" w:rsidR="005A4515" w:rsidRDefault="005A4515" w:rsidP="00A22CF8">
      <w:pPr>
        <w:ind w:left="720" w:hanging="720"/>
        <w:jc w:val="both"/>
      </w:pPr>
      <w:r>
        <w:t>Aithal, P. S. (2024). Quality assurance and accreditation in higher education in the digital era: A review. International Journal of Management, Technology, and Social Sciences, 9(2), 145–170.</w:t>
      </w:r>
    </w:p>
    <w:p w14:paraId="32AA4DF2" w14:textId="77777777" w:rsidR="005A3ACD" w:rsidRDefault="005A3ACD" w:rsidP="005A4515">
      <w:pPr>
        <w:jc w:val="both"/>
      </w:pPr>
    </w:p>
    <w:p w14:paraId="6FA2D494" w14:textId="1037404C" w:rsidR="005A4515" w:rsidRDefault="005A4515" w:rsidP="00A22CF8">
      <w:pPr>
        <w:ind w:left="720" w:hanging="720"/>
        <w:jc w:val="both"/>
      </w:pPr>
      <w:r>
        <w:t xml:space="preserve">Asim, H. M., Vaz, A., Ahmed, A., &amp; Sadiq, S. (2021). A review on </w:t>
      </w:r>
      <w:proofErr w:type="gramStart"/>
      <w:r>
        <w:t>outcome based</w:t>
      </w:r>
      <w:proofErr w:type="gramEnd"/>
      <w:r>
        <w:t xml:space="preserve"> education and factors that impact student learning outcomes in tertiary education system. International Education Studies, 14(2), 1–11.</w:t>
      </w:r>
    </w:p>
    <w:p w14:paraId="39B9B47D" w14:textId="77777777" w:rsidR="005A3ACD" w:rsidRDefault="005A3ACD" w:rsidP="005A4515">
      <w:pPr>
        <w:jc w:val="both"/>
      </w:pPr>
    </w:p>
    <w:p w14:paraId="54C22E5F" w14:textId="4A7D0871" w:rsidR="005A4515" w:rsidRDefault="005A4515" w:rsidP="00A22CF8">
      <w:pPr>
        <w:ind w:left="720" w:hanging="720"/>
        <w:jc w:val="both"/>
      </w:pPr>
      <w:r>
        <w:t>Baartman, L. K. J., &amp; Quinlan, K. M. (2023). Assessment and feedback practices that promote learning: A review and synthesis of evidence in higher education. Higher Education Research &amp; Development, 42(8), 1759–1775.</w:t>
      </w:r>
    </w:p>
    <w:p w14:paraId="5B889EA4" w14:textId="77777777" w:rsidR="005A3ACD" w:rsidRDefault="005A3ACD" w:rsidP="005A4515">
      <w:pPr>
        <w:jc w:val="both"/>
      </w:pPr>
    </w:p>
    <w:p w14:paraId="3879CF0D" w14:textId="244DE64B" w:rsidR="005A4515" w:rsidRDefault="005A4515" w:rsidP="00A22CF8">
      <w:pPr>
        <w:ind w:left="720" w:hanging="720"/>
        <w:jc w:val="both"/>
      </w:pPr>
      <w:proofErr w:type="spellStart"/>
      <w:r>
        <w:t>Bertalanffy</w:t>
      </w:r>
      <w:proofErr w:type="spellEnd"/>
      <w:r>
        <w:t>, L. von. (1968). General system theory: Foundations, development, applications. George Braziller.</w:t>
      </w:r>
    </w:p>
    <w:p w14:paraId="23C1D68D" w14:textId="77777777" w:rsidR="005A3ACD" w:rsidRDefault="005A3ACD" w:rsidP="005A4515">
      <w:pPr>
        <w:jc w:val="both"/>
      </w:pPr>
    </w:p>
    <w:p w14:paraId="3408E5B6" w14:textId="233AD9CA" w:rsidR="005A4515" w:rsidRDefault="005A4515" w:rsidP="00A22CF8">
      <w:pPr>
        <w:ind w:left="720" w:hanging="720"/>
        <w:jc w:val="both"/>
      </w:pPr>
      <w:r>
        <w:t xml:space="preserve">Bhat, R., Kamath, C. R., Mathias, K. A., &amp; </w:t>
      </w:r>
      <w:proofErr w:type="spellStart"/>
      <w:r>
        <w:t>Mulimani</w:t>
      </w:r>
      <w:proofErr w:type="spellEnd"/>
      <w:r>
        <w:t xml:space="preserve">, P. (2022). Practical implementation of outcome-based education practices in the Indian engineering institutes – An objective </w:t>
      </w:r>
      <w:proofErr w:type="gramStart"/>
      <w:r>
        <w:t>approach based</w:t>
      </w:r>
      <w:proofErr w:type="gramEnd"/>
      <w:r>
        <w:t xml:space="preserve"> investigation. Journal of Engineering Education Transformations, 26–32.</w:t>
      </w:r>
    </w:p>
    <w:p w14:paraId="590695ED" w14:textId="77777777" w:rsidR="005A3ACD" w:rsidRDefault="005A3ACD" w:rsidP="005A4515">
      <w:pPr>
        <w:jc w:val="both"/>
      </w:pPr>
    </w:p>
    <w:p w14:paraId="5461559A" w14:textId="5E50B397" w:rsidR="005A4515" w:rsidRDefault="005A4515" w:rsidP="00A22CF8">
      <w:pPr>
        <w:ind w:left="720" w:hanging="720"/>
        <w:jc w:val="both"/>
      </w:pPr>
      <w:r>
        <w:t>Biggs, J. (1996). Enhancing teaching through constructive alignment. Higher Education, 32(3), 347–364.</w:t>
      </w:r>
    </w:p>
    <w:p w14:paraId="15C27A1D" w14:textId="77777777" w:rsidR="005A3ACD" w:rsidRDefault="005A3ACD" w:rsidP="005A4515">
      <w:pPr>
        <w:jc w:val="both"/>
      </w:pPr>
    </w:p>
    <w:p w14:paraId="351DD0A9" w14:textId="6CB2786A" w:rsidR="005A4515" w:rsidRDefault="005A4515" w:rsidP="00A22CF8">
      <w:pPr>
        <w:ind w:left="720" w:hanging="720"/>
        <w:jc w:val="both"/>
      </w:pPr>
      <w:r>
        <w:t>Biggs, J., &amp; Tang, C. (2011). Teaching for quality learning at university: What the student does (4th ed.). Open University Press.</w:t>
      </w:r>
    </w:p>
    <w:p w14:paraId="29B8D485" w14:textId="77777777" w:rsidR="005A3ACD" w:rsidRDefault="005A3ACD" w:rsidP="005A4515">
      <w:pPr>
        <w:jc w:val="both"/>
      </w:pPr>
    </w:p>
    <w:p w14:paraId="53DAA375" w14:textId="0106B277" w:rsidR="005A4515" w:rsidRDefault="005A4515" w:rsidP="00A22CF8">
      <w:pPr>
        <w:ind w:left="720" w:hanging="720"/>
        <w:jc w:val="both"/>
      </w:pPr>
      <w:proofErr w:type="spellStart"/>
      <w:r>
        <w:t>Borsoto</w:t>
      </w:r>
      <w:proofErr w:type="spellEnd"/>
      <w:r>
        <w:t xml:space="preserve">, L. D., Lescano, J. D., </w:t>
      </w:r>
      <w:proofErr w:type="spellStart"/>
      <w:r>
        <w:t>Maquimot</w:t>
      </w:r>
      <w:proofErr w:type="spellEnd"/>
      <w:r>
        <w:t xml:space="preserve">, N. I., </w:t>
      </w:r>
      <w:proofErr w:type="spellStart"/>
      <w:r>
        <w:t>Santorce</w:t>
      </w:r>
      <w:proofErr w:type="spellEnd"/>
      <w:r>
        <w:t xml:space="preserve">, M. J. N., Simbulan, A. F., </w:t>
      </w:r>
      <w:proofErr w:type="gramStart"/>
      <w:r>
        <w:t xml:space="preserve">&amp; </w:t>
      </w:r>
      <w:r w:rsidR="005A3ACD">
        <w:t xml:space="preserve"> </w:t>
      </w:r>
      <w:proofErr w:type="spellStart"/>
      <w:r>
        <w:t>Pagcaliwagan</w:t>
      </w:r>
      <w:proofErr w:type="spellEnd"/>
      <w:proofErr w:type="gramEnd"/>
      <w:r>
        <w:t>, A. M. (2014). Status of implementation and usefulness of outcomes-based education in the engineering department of an Asian university. International Journal of Multidisciplinary Academic Research, 2(4), 14–25.</w:t>
      </w:r>
    </w:p>
    <w:p w14:paraId="0A12A754" w14:textId="77777777" w:rsidR="005A3ACD" w:rsidRDefault="005A3ACD" w:rsidP="005A4515">
      <w:pPr>
        <w:jc w:val="both"/>
      </w:pPr>
    </w:p>
    <w:p w14:paraId="05BDA4F6" w14:textId="78F92BCF" w:rsidR="005A4515" w:rsidRDefault="005A4515" w:rsidP="00A22CF8">
      <w:pPr>
        <w:ind w:left="720" w:hanging="720"/>
        <w:jc w:val="both"/>
      </w:pPr>
      <w:r>
        <w:t>Braun, V., &amp; Clarke, V. (2006). Using thematic analysis in psychology. Qualitative Research in Psychology, 3(2), 77–101.</w:t>
      </w:r>
    </w:p>
    <w:p w14:paraId="7C257A90" w14:textId="77777777" w:rsidR="005A3ACD" w:rsidRDefault="005A3ACD" w:rsidP="005A4515">
      <w:pPr>
        <w:jc w:val="both"/>
      </w:pPr>
    </w:p>
    <w:p w14:paraId="576E2298" w14:textId="08A9FB97" w:rsidR="005A4515" w:rsidRDefault="005A4515" w:rsidP="005A4515">
      <w:pPr>
        <w:jc w:val="both"/>
      </w:pPr>
      <w:r>
        <w:t>Braun, V., &amp; Clarke, V. (2022). Thematic analysis: A practical guide. SAGE Publications.</w:t>
      </w:r>
    </w:p>
    <w:p w14:paraId="407B067B" w14:textId="77777777" w:rsidR="005A3ACD" w:rsidRDefault="005A3ACD" w:rsidP="005A4515">
      <w:pPr>
        <w:jc w:val="both"/>
      </w:pPr>
    </w:p>
    <w:p w14:paraId="37320805" w14:textId="44DBD4AF" w:rsidR="005A4515" w:rsidRDefault="005A4515" w:rsidP="005A4515">
      <w:pPr>
        <w:jc w:val="both"/>
      </w:pPr>
      <w:r>
        <w:t>Bruner, J. (1960). The process of education. Harvard University Press.</w:t>
      </w:r>
    </w:p>
    <w:p w14:paraId="06AFB5D0" w14:textId="77777777" w:rsidR="005A3ACD" w:rsidRDefault="005A3ACD" w:rsidP="005A4515">
      <w:pPr>
        <w:jc w:val="both"/>
      </w:pPr>
    </w:p>
    <w:p w14:paraId="156A89C0" w14:textId="4AB46C68" w:rsidR="005A4515" w:rsidRDefault="005A4515" w:rsidP="00A22CF8">
      <w:pPr>
        <w:ind w:left="720" w:hanging="720"/>
        <w:jc w:val="both"/>
      </w:pPr>
      <w:r>
        <w:t>Camello, N. C. (2014). Factors affecting the engineering students' performance in the OBE assessment examination in mathematics. International Journal of Academic Research in Progressive Education and Development, 3(2), 87–103.</w:t>
      </w:r>
    </w:p>
    <w:p w14:paraId="037FF0D9" w14:textId="77777777" w:rsidR="005A3ACD" w:rsidRDefault="005A3ACD" w:rsidP="005A4515">
      <w:pPr>
        <w:jc w:val="both"/>
      </w:pPr>
    </w:p>
    <w:p w14:paraId="33334DBD" w14:textId="1DDEB2D9" w:rsidR="005A4515" w:rsidRDefault="005A4515" w:rsidP="00A22CF8">
      <w:pPr>
        <w:ind w:left="720" w:hanging="720"/>
        <w:jc w:val="both"/>
      </w:pPr>
      <w:r>
        <w:t>Canini, N. D., &amp; Dalis, I. M. (2016). Extent of implementation and influence of outcomes-based education to civil engineering students in Misamis University, Philippines. Journal of Multidisciplinary Studies, 5(1), 102–124.</w:t>
      </w:r>
    </w:p>
    <w:p w14:paraId="749ECEB0" w14:textId="77777777" w:rsidR="005A3ACD" w:rsidRDefault="005A3ACD" w:rsidP="005A4515">
      <w:pPr>
        <w:jc w:val="both"/>
      </w:pPr>
    </w:p>
    <w:p w14:paraId="523A0DF9" w14:textId="5E476948" w:rsidR="005A4515" w:rsidRDefault="005A4515" w:rsidP="00A22CF8">
      <w:pPr>
        <w:ind w:left="720" w:hanging="720"/>
        <w:jc w:val="both"/>
      </w:pPr>
      <w:r>
        <w:t>Cayot, M. D. (2019). The implementation of outcome-based education in a state university. Philippine Innovative Education Journal, 1(1), 10–36.</w:t>
      </w:r>
    </w:p>
    <w:p w14:paraId="4F0D0FEE" w14:textId="77777777" w:rsidR="005A3ACD" w:rsidRDefault="005A3ACD" w:rsidP="005A4515">
      <w:pPr>
        <w:jc w:val="both"/>
      </w:pPr>
    </w:p>
    <w:p w14:paraId="1836D9C8" w14:textId="0B6C267C" w:rsidR="005A4515" w:rsidRDefault="005A4515" w:rsidP="00A22CF8">
      <w:pPr>
        <w:ind w:left="720" w:hanging="720"/>
        <w:jc w:val="both"/>
      </w:pPr>
      <w:r>
        <w:t>Christou, P. A. (2023). How to use artificial intelligence (AI) as a resource, methodological and analysis tool in qualitative research? The Qualitative Report, 28(7), 1968–1980. https://doi.org/10.46743/2160-3715/2023.6406</w:t>
      </w:r>
    </w:p>
    <w:p w14:paraId="1481C3B6" w14:textId="77777777" w:rsidR="005A3ACD" w:rsidRDefault="005A3ACD" w:rsidP="005A4515">
      <w:pPr>
        <w:jc w:val="both"/>
      </w:pPr>
    </w:p>
    <w:p w14:paraId="0B4D9CB6" w14:textId="4328EFBB" w:rsidR="005A4515" w:rsidRDefault="005A4515" w:rsidP="00A22CF8">
      <w:pPr>
        <w:ind w:left="720" w:hanging="720"/>
        <w:jc w:val="both"/>
      </w:pPr>
      <w:r>
        <w:t>Commission on Higher Education. (2012a). Memorandum Order No. 37, series of 2012: Policies, standards, and guidelines for Bachelor of Science in Engineering programs. CHED.</w:t>
      </w:r>
    </w:p>
    <w:p w14:paraId="4A8993A0" w14:textId="77777777" w:rsidR="005A3ACD" w:rsidRDefault="005A3ACD" w:rsidP="005A4515">
      <w:pPr>
        <w:jc w:val="both"/>
      </w:pPr>
    </w:p>
    <w:p w14:paraId="3B81976F" w14:textId="513DCA60" w:rsidR="005A4515" w:rsidRDefault="005A4515" w:rsidP="00A22CF8">
      <w:pPr>
        <w:ind w:left="720" w:hanging="720"/>
        <w:jc w:val="both"/>
      </w:pPr>
      <w:r>
        <w:lastRenderedPageBreak/>
        <w:t>Commission on Higher Education. (2012b). Memorandum Order No. 46, series of 2012: Policy-standard to enhance quality assurance (QA) in Philippine higher education through an outcomes-based and typology-based QA. CHED.</w:t>
      </w:r>
    </w:p>
    <w:p w14:paraId="32E30DBE" w14:textId="77777777" w:rsidR="005A3ACD" w:rsidRDefault="005A3ACD" w:rsidP="005A4515">
      <w:pPr>
        <w:jc w:val="both"/>
      </w:pPr>
    </w:p>
    <w:p w14:paraId="759B4255" w14:textId="1AF1374C" w:rsidR="005A4515" w:rsidRDefault="005A4515" w:rsidP="00A22CF8">
      <w:pPr>
        <w:ind w:left="720" w:hanging="720"/>
        <w:jc w:val="both"/>
      </w:pPr>
      <w:r>
        <w:t xml:space="preserve">Creswell, J. W., &amp; Creswell, J. D. (2023). Research design: Qualitative, quantitative, and mixed methods </w:t>
      </w:r>
      <w:proofErr w:type="gramStart"/>
      <w:r>
        <w:t>approaches</w:t>
      </w:r>
      <w:proofErr w:type="gramEnd"/>
      <w:r>
        <w:t xml:space="preserve"> (6th ed.). SAGE Publications.</w:t>
      </w:r>
    </w:p>
    <w:p w14:paraId="5EEE007D" w14:textId="77777777" w:rsidR="005A3ACD" w:rsidRDefault="005A3ACD" w:rsidP="005A4515">
      <w:pPr>
        <w:jc w:val="both"/>
      </w:pPr>
    </w:p>
    <w:p w14:paraId="604C9BE1" w14:textId="4B92EF2A" w:rsidR="005A4515" w:rsidRDefault="005A4515" w:rsidP="00A22CF8">
      <w:pPr>
        <w:ind w:left="720" w:hanging="720"/>
        <w:jc w:val="both"/>
      </w:pPr>
      <w:r>
        <w:t>Creswell, J. W., &amp; Plano Clark, V. L. (2018). Designing and conducting mixed methods research (3rd ed.). SAGE Publications.</w:t>
      </w:r>
    </w:p>
    <w:p w14:paraId="654C2141" w14:textId="77777777" w:rsidR="005A3ACD" w:rsidRDefault="005A3ACD" w:rsidP="005A4515">
      <w:pPr>
        <w:jc w:val="both"/>
      </w:pPr>
    </w:p>
    <w:p w14:paraId="7605013E" w14:textId="6B959A44" w:rsidR="005A4515" w:rsidRDefault="005A4515" w:rsidP="00A22CF8">
      <w:pPr>
        <w:ind w:left="720" w:hanging="720"/>
        <w:jc w:val="both"/>
      </w:pPr>
      <w:r>
        <w:t>Custodio, P. C., Espita, G. N., &amp; Siy, L. C. (2019). The implementation of outcome-based education at a Philippine university. Asia Pacific Journal of Multidisciplinary Research, 7(4, Part III), 37–49.</w:t>
      </w:r>
    </w:p>
    <w:p w14:paraId="2D6F034F" w14:textId="77777777" w:rsidR="005A3ACD" w:rsidRDefault="005A3ACD" w:rsidP="005A4515">
      <w:pPr>
        <w:jc w:val="both"/>
      </w:pPr>
    </w:p>
    <w:p w14:paraId="23C4B07D" w14:textId="1410F8FC" w:rsidR="005A3ACD" w:rsidRDefault="0011375B" w:rsidP="0011375B">
      <w:pPr>
        <w:ind w:left="720" w:hanging="720"/>
        <w:jc w:val="both"/>
      </w:pPr>
      <w:r w:rsidRPr="0011375B">
        <w:t>Danga, R. G. (2025). Toward international engineering standards: An empirical study on the initiatives and challenges of HEIs pursuing ABET accreditation. ISRG Journal of Engineering and Technology, 1(4), 43–49. https://doi.org/10.5281/zenodo.17863516</w:t>
      </w:r>
    </w:p>
    <w:p w14:paraId="5FAD502A" w14:textId="77777777" w:rsidR="0011375B" w:rsidRDefault="0011375B" w:rsidP="005A4515">
      <w:pPr>
        <w:jc w:val="both"/>
      </w:pPr>
    </w:p>
    <w:p w14:paraId="7801F430" w14:textId="7E01BD36" w:rsidR="005A3ACD" w:rsidRDefault="005A4515" w:rsidP="005A4515">
      <w:pPr>
        <w:jc w:val="both"/>
      </w:pPr>
      <w:r>
        <w:t xml:space="preserve">De Guzman, M. F., </w:t>
      </w:r>
      <w:proofErr w:type="spellStart"/>
      <w:r>
        <w:t>Edaño</w:t>
      </w:r>
      <w:proofErr w:type="spellEnd"/>
      <w:r>
        <w:t xml:space="preserve">, D. C., &amp; </w:t>
      </w:r>
      <w:proofErr w:type="spellStart"/>
      <w:r>
        <w:t>Umayan</w:t>
      </w:r>
      <w:proofErr w:type="spellEnd"/>
      <w:r>
        <w:t xml:space="preserve">, Z. D. (2017). Understanding the essence of </w:t>
      </w:r>
    </w:p>
    <w:p w14:paraId="5BCE7D8E" w14:textId="16DEAF90" w:rsidR="005A4515" w:rsidRDefault="005A4515" w:rsidP="00184007">
      <w:pPr>
        <w:ind w:left="720" w:hanging="720"/>
        <w:jc w:val="both"/>
      </w:pPr>
      <w:r>
        <w:t>outcomes-based education (OBE) and knowledge of its implementation in a technological university in the Philippines. Asia Pacific Journal of Multidisciplinary Research, 5(4), 64–71.</w:t>
      </w:r>
    </w:p>
    <w:p w14:paraId="5AA10770" w14:textId="77777777" w:rsidR="007C0DF4" w:rsidRDefault="007C0DF4" w:rsidP="00184007">
      <w:pPr>
        <w:ind w:left="720" w:hanging="720"/>
        <w:jc w:val="both"/>
      </w:pPr>
    </w:p>
    <w:p w14:paraId="22F13305" w14:textId="4103FC3D" w:rsidR="007C0DF4" w:rsidRDefault="007C0DF4" w:rsidP="00184007">
      <w:pPr>
        <w:ind w:left="720" w:hanging="720"/>
        <w:jc w:val="both"/>
      </w:pPr>
      <w:r w:rsidRPr="007C0DF4">
        <w:t>De Jong, L., Vaessen, A., Admiraal, W., &amp; Schenke, W. (2025). The sustainable development of schools as professional learning communities: educators’ views. </w:t>
      </w:r>
      <w:r w:rsidRPr="007C0DF4">
        <w:rPr>
          <w:i/>
          <w:iCs/>
        </w:rPr>
        <w:t>Educational Research, 67</w:t>
      </w:r>
      <w:r w:rsidRPr="007C0DF4">
        <w:t xml:space="preserve">, 309 - 328. </w:t>
      </w:r>
      <w:hyperlink r:id="rId7" w:history="1">
        <w:r w:rsidRPr="00C5783F">
          <w:rPr>
            <w:rStyle w:val="Hyperlink"/>
          </w:rPr>
          <w:t>https://doi.org/10.1080/00131881.2025.2519579</w:t>
        </w:r>
      </w:hyperlink>
    </w:p>
    <w:p w14:paraId="3C65AF77" w14:textId="77777777" w:rsidR="005A3ACD" w:rsidRDefault="005A3ACD" w:rsidP="005A4515">
      <w:pPr>
        <w:jc w:val="both"/>
      </w:pPr>
    </w:p>
    <w:p w14:paraId="1BB396A4" w14:textId="4BB3663A" w:rsidR="005A4515" w:rsidRDefault="005A4515" w:rsidP="00184007">
      <w:pPr>
        <w:ind w:left="720" w:hanging="720"/>
        <w:jc w:val="both"/>
      </w:pPr>
      <w:r>
        <w:t>De Paoli, S. (2024). Performing an inductive thematic analysis of semi-structured interviews with a large language model. Social Science Computer Review, 42(4), 997–1019. https://doi.org/10.1177/08944393231220483</w:t>
      </w:r>
    </w:p>
    <w:p w14:paraId="0F1F21E8" w14:textId="77777777" w:rsidR="005A3ACD" w:rsidRDefault="005A3ACD" w:rsidP="005A4515">
      <w:pPr>
        <w:jc w:val="both"/>
      </w:pPr>
    </w:p>
    <w:p w14:paraId="53A6D430" w14:textId="24092D64" w:rsidR="005A4515" w:rsidRDefault="005A4515" w:rsidP="00184007">
      <w:pPr>
        <w:ind w:left="720" w:hanging="720"/>
        <w:jc w:val="both"/>
      </w:pPr>
      <w:r>
        <w:t>Drost, D. N. (2011). Validity and reliability in social science research. Education Research and Perspectives, 38(1), 105–124.</w:t>
      </w:r>
    </w:p>
    <w:p w14:paraId="04891DFE" w14:textId="77777777" w:rsidR="005A3ACD" w:rsidRDefault="005A3ACD" w:rsidP="005A4515">
      <w:pPr>
        <w:jc w:val="both"/>
      </w:pPr>
    </w:p>
    <w:p w14:paraId="422721A2" w14:textId="38648D2F" w:rsidR="005A4515" w:rsidRDefault="005A4515" w:rsidP="00184007">
      <w:pPr>
        <w:ind w:left="720" w:hanging="720"/>
        <w:jc w:val="both"/>
      </w:pPr>
      <w:r>
        <w:t>Fernando, J. (2021). Compliance of higher education institutions to outcome-based education for the 21st century learners. IOER International Multidisciplinary Research Journal, 3(2).</w:t>
      </w:r>
    </w:p>
    <w:p w14:paraId="724228C7" w14:textId="77777777" w:rsidR="005A4515" w:rsidRDefault="005A4515" w:rsidP="00184007">
      <w:pPr>
        <w:ind w:left="720" w:hanging="720"/>
        <w:jc w:val="both"/>
      </w:pPr>
      <w:proofErr w:type="spellStart"/>
      <w:r>
        <w:t>Hapinat</w:t>
      </w:r>
      <w:proofErr w:type="spellEnd"/>
      <w:r>
        <w:t>, H. L. (2023). Practices on the outcomes-based education (OBE) implementation in select HEI graduate school programs in the Philippines as input to institutionalizing mandatory accreditation. International Journal of Advanced and Applied Sciences, 10(3), 167–182.</w:t>
      </w:r>
    </w:p>
    <w:p w14:paraId="726F357D" w14:textId="77777777" w:rsidR="005A3ACD" w:rsidRDefault="005A3ACD" w:rsidP="005A4515">
      <w:pPr>
        <w:jc w:val="both"/>
      </w:pPr>
    </w:p>
    <w:p w14:paraId="6F234DD4" w14:textId="1B504B8E" w:rsidR="005A4515" w:rsidRDefault="005A4515" w:rsidP="00184007">
      <w:pPr>
        <w:ind w:left="720" w:hanging="720"/>
        <w:jc w:val="both"/>
      </w:pPr>
      <w:r>
        <w:t>Harden, R. M., Crosby, J. R., &amp; Davis, M. H. (1999). AMEE Guide No. 14: Outcome-based education: Part 1 – An introduction to outcome-based education. Medical Teacher, 21(1), 7–14.</w:t>
      </w:r>
    </w:p>
    <w:p w14:paraId="282FB82F" w14:textId="77777777" w:rsidR="005A3ACD" w:rsidRDefault="005A3ACD" w:rsidP="005A4515">
      <w:pPr>
        <w:jc w:val="both"/>
      </w:pPr>
    </w:p>
    <w:p w14:paraId="386DC1D1" w14:textId="2F63F160" w:rsidR="005A4515" w:rsidRDefault="005A4515" w:rsidP="00184007">
      <w:pPr>
        <w:ind w:left="720" w:hanging="720"/>
        <w:jc w:val="both"/>
      </w:pPr>
      <w:proofErr w:type="spellStart"/>
      <w:r>
        <w:lastRenderedPageBreak/>
        <w:t>Iringan</w:t>
      </w:r>
      <w:proofErr w:type="spellEnd"/>
      <w:r>
        <w:t xml:space="preserve">, E. M., &amp; </w:t>
      </w:r>
      <w:proofErr w:type="spellStart"/>
      <w:r>
        <w:t>Bansig</w:t>
      </w:r>
      <w:proofErr w:type="spellEnd"/>
      <w:r>
        <w:t>, I. C. (2022). Implementation of outcomes-based education in the graduate school level at St. Paul University Philippines. World Journal of Educational Research, 9(2), 1–12.</w:t>
      </w:r>
    </w:p>
    <w:p w14:paraId="71723E24" w14:textId="77777777" w:rsidR="005A3ACD" w:rsidRDefault="005A3ACD" w:rsidP="005A4515">
      <w:pPr>
        <w:jc w:val="both"/>
      </w:pPr>
    </w:p>
    <w:p w14:paraId="65B135E2" w14:textId="49B9A16A" w:rsidR="005A4515" w:rsidRDefault="005A4515" w:rsidP="00184007">
      <w:pPr>
        <w:ind w:left="720" w:hanging="720"/>
        <w:jc w:val="both"/>
      </w:pPr>
      <w:r>
        <w:t>Johnson, R. B., &amp; Onwuegbuzie, A. J. (2004). Mixed methods research: A research paradigm whose time has come. Educational Researcher, 33(7), 14–26.</w:t>
      </w:r>
    </w:p>
    <w:p w14:paraId="54DBC1E7" w14:textId="77777777" w:rsidR="005A3ACD" w:rsidRDefault="005A3ACD" w:rsidP="005A4515">
      <w:pPr>
        <w:jc w:val="both"/>
      </w:pPr>
    </w:p>
    <w:p w14:paraId="5A6CF977" w14:textId="46C6D4BA" w:rsidR="005A4515" w:rsidRDefault="005A4515" w:rsidP="00184007">
      <w:pPr>
        <w:ind w:left="720" w:hanging="720"/>
        <w:jc w:val="both"/>
      </w:pPr>
      <w:r>
        <w:t>Kavitha, K., &amp; Karthika, K. (2023). Implementation challenges and opportunities in the outcome-based education (OBE) for teaching engineering courses: A case study. International Journal of Engineering and Advanced Technology, 12(5), 7–11.</w:t>
      </w:r>
    </w:p>
    <w:p w14:paraId="680A9AC1" w14:textId="77777777" w:rsidR="005A3ACD" w:rsidRDefault="005A3ACD" w:rsidP="005A4515">
      <w:pPr>
        <w:jc w:val="both"/>
      </w:pPr>
    </w:p>
    <w:p w14:paraId="21AB2652" w14:textId="0DAAAF0F" w:rsidR="005A4515" w:rsidRDefault="005A4515" w:rsidP="00184007">
      <w:pPr>
        <w:ind w:left="720" w:hanging="720"/>
        <w:jc w:val="both"/>
      </w:pPr>
      <w:r>
        <w:t>Kayyali, M. (2023). An overview of quality assurance in higher education: Concepts and frameworks. International Journal of Management, Sciences, Innovation, and Technology, 4(2), 1–10.</w:t>
      </w:r>
    </w:p>
    <w:p w14:paraId="1841AA90" w14:textId="77777777" w:rsidR="005A3ACD" w:rsidRDefault="005A3ACD" w:rsidP="005A4515">
      <w:pPr>
        <w:jc w:val="both"/>
      </w:pPr>
    </w:p>
    <w:p w14:paraId="3DE9D455" w14:textId="79DFC2D0" w:rsidR="005A4515" w:rsidRDefault="005A4515" w:rsidP="00184007">
      <w:pPr>
        <w:ind w:left="720" w:hanging="720"/>
        <w:jc w:val="both"/>
      </w:pPr>
      <w:r>
        <w:t xml:space="preserve">Keo, V., Hak, C., Lan, B., Khong, R., Neang, S., &amp; </w:t>
      </w:r>
      <w:proofErr w:type="spellStart"/>
      <w:r>
        <w:t>Hoeurn</w:t>
      </w:r>
      <w:proofErr w:type="spellEnd"/>
      <w:r>
        <w:t>, S. (2023). Implementing outcome-based education in higher education: Challenges and benefits. International Journal of Education and Policy Studies, 3(5), 511–520.</w:t>
      </w:r>
    </w:p>
    <w:p w14:paraId="6B9AC0A3" w14:textId="77777777" w:rsidR="005A3ACD" w:rsidRDefault="005A3ACD" w:rsidP="005A4515">
      <w:pPr>
        <w:jc w:val="both"/>
      </w:pPr>
    </w:p>
    <w:p w14:paraId="7DA0A79A" w14:textId="77777777" w:rsidR="005A3ACD" w:rsidRDefault="005A4515" w:rsidP="00184007">
      <w:pPr>
        <w:ind w:left="720" w:hanging="720"/>
        <w:jc w:val="both"/>
      </w:pPr>
      <w:r>
        <w:t xml:space="preserve">Khan, M. S. H., </w:t>
      </w:r>
      <w:proofErr w:type="spellStart"/>
      <w:r>
        <w:t>Salele</w:t>
      </w:r>
      <w:proofErr w:type="spellEnd"/>
      <w:r>
        <w:t xml:space="preserve">, N., Hasan, M., &amp; Abdou, B. O. (2023). Factors affecting student readiness towards OBE implementation in engineering education: Evidence from a developing country. </w:t>
      </w:r>
    </w:p>
    <w:p w14:paraId="2B9C2F12" w14:textId="77777777" w:rsidR="005A3ACD" w:rsidRDefault="005A3ACD" w:rsidP="005A4515">
      <w:pPr>
        <w:jc w:val="both"/>
      </w:pPr>
    </w:p>
    <w:p w14:paraId="4E8391BA" w14:textId="174ACCB6" w:rsidR="005A4515" w:rsidRDefault="005A4515" w:rsidP="00184007">
      <w:pPr>
        <w:ind w:left="720" w:hanging="720"/>
        <w:jc w:val="both"/>
      </w:pPr>
      <w:proofErr w:type="spellStart"/>
      <w:r>
        <w:t>Heliyon</w:t>
      </w:r>
      <w:proofErr w:type="spellEnd"/>
      <w:r>
        <w:t>, 9(10), e20905. https://doi.org/10.1016/j.heliyon.2023.e20905</w:t>
      </w:r>
    </w:p>
    <w:p w14:paraId="593F5C0B" w14:textId="77777777" w:rsidR="005A3ACD" w:rsidRDefault="005A3ACD" w:rsidP="005A4515">
      <w:pPr>
        <w:jc w:val="both"/>
      </w:pPr>
    </w:p>
    <w:p w14:paraId="287A6609" w14:textId="21C68DEC" w:rsidR="005A4515" w:rsidRDefault="005A4515" w:rsidP="005A4515">
      <w:pPr>
        <w:jc w:val="both"/>
      </w:pPr>
      <w:r>
        <w:t>Lewin, K. (1951). Field theory in social science. Harper &amp; Row.</w:t>
      </w:r>
    </w:p>
    <w:p w14:paraId="14102141" w14:textId="77777777" w:rsidR="005A3ACD" w:rsidRDefault="005A3ACD" w:rsidP="005A4515">
      <w:pPr>
        <w:jc w:val="both"/>
      </w:pPr>
    </w:p>
    <w:p w14:paraId="7AA93C76" w14:textId="6EBAEC82" w:rsidR="005A4515" w:rsidRDefault="005A4515" w:rsidP="005A4515">
      <w:pPr>
        <w:jc w:val="both"/>
      </w:pPr>
      <w:r>
        <w:t>Lincoln, Y. S., &amp; Guba, E. G. (1985). Naturalistic inquiry. SAGE Publications.</w:t>
      </w:r>
    </w:p>
    <w:p w14:paraId="3794197A" w14:textId="77777777" w:rsidR="007C0DF4" w:rsidRDefault="007C0DF4" w:rsidP="005A4515">
      <w:pPr>
        <w:jc w:val="both"/>
      </w:pPr>
    </w:p>
    <w:p w14:paraId="345EDAC0" w14:textId="3190A9BA" w:rsidR="007C0DF4" w:rsidRDefault="007C0DF4" w:rsidP="007C0DF4">
      <w:pPr>
        <w:ind w:left="709" w:hanging="709"/>
        <w:jc w:val="both"/>
      </w:pPr>
      <w:r w:rsidRPr="007C0DF4">
        <w:t>Loughlin, C., Lygo-Baker, S., &amp; Lindberg-Sand, Å. (2020). Reclaiming constructive alignment. </w:t>
      </w:r>
      <w:r w:rsidRPr="007C0DF4">
        <w:rPr>
          <w:i/>
          <w:iCs/>
        </w:rPr>
        <w:t>European Journal of Higher Education, 11</w:t>
      </w:r>
      <w:r w:rsidRPr="007C0DF4">
        <w:t xml:space="preserve">, 119 - 136. </w:t>
      </w:r>
      <w:hyperlink r:id="rId8" w:history="1">
        <w:r w:rsidRPr="00C5783F">
          <w:rPr>
            <w:rStyle w:val="Hyperlink"/>
          </w:rPr>
          <w:t>https://doi.org/10.1080/21568235.2020.1816197</w:t>
        </w:r>
      </w:hyperlink>
      <w:r>
        <w:t xml:space="preserve">. </w:t>
      </w:r>
    </w:p>
    <w:p w14:paraId="0F26B87B" w14:textId="77777777" w:rsidR="005A3ACD" w:rsidRDefault="005A3ACD" w:rsidP="005A4515">
      <w:pPr>
        <w:jc w:val="both"/>
      </w:pPr>
    </w:p>
    <w:p w14:paraId="498168DD" w14:textId="49D86EFD" w:rsidR="005A4515" w:rsidRDefault="005A4515" w:rsidP="00184007">
      <w:pPr>
        <w:ind w:left="720" w:hanging="720"/>
        <w:jc w:val="both"/>
      </w:pPr>
      <w:r>
        <w:t xml:space="preserve">Mercado, C., &amp; </w:t>
      </w:r>
      <w:proofErr w:type="spellStart"/>
      <w:r>
        <w:t>Lagto</w:t>
      </w:r>
      <w:proofErr w:type="spellEnd"/>
      <w:r>
        <w:t>, H. (2018). Understanding the readiness of implementing outcome-based education among selected higher education institutions in Philippines. AU E-Journal of Interdisciplinary Research, 3(1), 40–50.</w:t>
      </w:r>
    </w:p>
    <w:p w14:paraId="567AF8FE" w14:textId="77777777" w:rsidR="007C0DF4" w:rsidRDefault="007C0DF4" w:rsidP="00184007">
      <w:pPr>
        <w:ind w:left="720" w:hanging="720"/>
        <w:jc w:val="both"/>
      </w:pPr>
    </w:p>
    <w:p w14:paraId="42DFA4FC" w14:textId="17D9D0CC" w:rsidR="007C0DF4" w:rsidRDefault="007C0DF4" w:rsidP="00184007">
      <w:pPr>
        <w:ind w:left="720" w:hanging="720"/>
        <w:jc w:val="both"/>
      </w:pPr>
      <w:proofErr w:type="spellStart"/>
      <w:r w:rsidRPr="007C0DF4">
        <w:t>Meesuk</w:t>
      </w:r>
      <w:proofErr w:type="spellEnd"/>
      <w:r w:rsidRPr="007C0DF4">
        <w:t xml:space="preserve">, P., </w:t>
      </w:r>
      <w:proofErr w:type="spellStart"/>
      <w:r w:rsidRPr="007C0DF4">
        <w:t>Wongrugsa</w:t>
      </w:r>
      <w:proofErr w:type="spellEnd"/>
      <w:r w:rsidRPr="007C0DF4">
        <w:t xml:space="preserve">, A., &amp; </w:t>
      </w:r>
      <w:proofErr w:type="spellStart"/>
      <w:r w:rsidRPr="007C0DF4">
        <w:t>Wangkaewhiran</w:t>
      </w:r>
      <w:proofErr w:type="spellEnd"/>
      <w:r w:rsidRPr="007C0DF4">
        <w:t>, T. (2021). Sustainable Teacher Professional Development Through Professional Learning Community: PLC. </w:t>
      </w:r>
      <w:r w:rsidRPr="007C0DF4">
        <w:rPr>
          <w:i/>
          <w:iCs/>
        </w:rPr>
        <w:t>Journal of Teacher Education for Sustainability, 23</w:t>
      </w:r>
      <w:r w:rsidRPr="007C0DF4">
        <w:t>, 30 - 44. https://doi.org/10.2478/jtes-2021-0015</w:t>
      </w:r>
    </w:p>
    <w:p w14:paraId="55F21C7B" w14:textId="77777777" w:rsidR="005A3ACD" w:rsidRDefault="005A3ACD" w:rsidP="005A4515">
      <w:pPr>
        <w:jc w:val="both"/>
      </w:pPr>
    </w:p>
    <w:p w14:paraId="04A0B2A4" w14:textId="5EB44DF4" w:rsidR="005A4515" w:rsidRDefault="005A4515" w:rsidP="00184007">
      <w:pPr>
        <w:ind w:left="720" w:hanging="720"/>
        <w:jc w:val="both"/>
      </w:pPr>
      <w:proofErr w:type="spellStart"/>
      <w:r>
        <w:t>Mistamiruddin</w:t>
      </w:r>
      <w:proofErr w:type="spellEnd"/>
      <w:r>
        <w:t>, E., &amp; Mohamad Nasri, N. (2024). Challenges in integrating outcome-based education (OBE) in higher education institutions: A systematic literature review. International Journal of Academic Research in Progressive Education and Development, 13(4), 1135–1150.</w:t>
      </w:r>
    </w:p>
    <w:p w14:paraId="71E6695E" w14:textId="77777777" w:rsidR="005A3ACD" w:rsidRDefault="005A3ACD" w:rsidP="005A4515">
      <w:pPr>
        <w:jc w:val="both"/>
      </w:pPr>
    </w:p>
    <w:p w14:paraId="23F1F494" w14:textId="06547A59" w:rsidR="005A4515" w:rsidRDefault="005A4515" w:rsidP="00184007">
      <w:pPr>
        <w:ind w:left="720" w:hanging="720"/>
        <w:jc w:val="both"/>
      </w:pPr>
      <w:r>
        <w:lastRenderedPageBreak/>
        <w:t>Morgan, D. L. (2023). Exploring the use of artificial intelligence for qualitative data analysis: The case of ChatGPT. International Journal of Qualitative Methods, 22, 1–10. https://doi.org/10.1177/16094069231211248</w:t>
      </w:r>
    </w:p>
    <w:p w14:paraId="65080F67" w14:textId="77777777" w:rsidR="00184007" w:rsidRDefault="00184007" w:rsidP="005A4515">
      <w:pPr>
        <w:jc w:val="both"/>
      </w:pPr>
    </w:p>
    <w:p w14:paraId="144091AF" w14:textId="048B09EA" w:rsidR="005A4515" w:rsidRDefault="005A4515" w:rsidP="00184007">
      <w:pPr>
        <w:ind w:left="720" w:hanging="720"/>
        <w:jc w:val="both"/>
      </w:pPr>
      <w:r>
        <w:t>Nowell, L. S., Norris, J. M., White, D. E., &amp; Moules, N. J. (2017). Thematic analysis: Striving to meet the trustworthiness criteria. International Journal of Qualitative Methods, 16(1), 1–13. https://doi.org/10.1177/1609406917733847</w:t>
      </w:r>
    </w:p>
    <w:p w14:paraId="57B453AF" w14:textId="77777777" w:rsidR="005A3ACD" w:rsidRDefault="005A3ACD" w:rsidP="005A4515">
      <w:pPr>
        <w:jc w:val="both"/>
      </w:pPr>
    </w:p>
    <w:p w14:paraId="0C2197BB" w14:textId="2F652E77" w:rsidR="005A4515" w:rsidRDefault="005A4515" w:rsidP="005A4515">
      <w:pPr>
        <w:jc w:val="both"/>
      </w:pPr>
      <w:r>
        <w:t>Nunnally, J. C., &amp; Bernstein, I. H. (1994). Psychometric theory (3rd ed.). McGraw-Hill.</w:t>
      </w:r>
    </w:p>
    <w:p w14:paraId="33B43B60" w14:textId="77777777" w:rsidR="005A3ACD" w:rsidRDefault="005A3ACD" w:rsidP="005A4515">
      <w:pPr>
        <w:jc w:val="both"/>
      </w:pPr>
    </w:p>
    <w:p w14:paraId="7FC69A66" w14:textId="3BFB5337" w:rsidR="005A4515" w:rsidRDefault="005A4515" w:rsidP="00184007">
      <w:pPr>
        <w:ind w:left="720" w:hanging="720"/>
        <w:jc w:val="both"/>
      </w:pPr>
      <w:r>
        <w:t xml:space="preserve">Orbeta, A. C., Jr., &amp; </w:t>
      </w:r>
      <w:proofErr w:type="spellStart"/>
      <w:r>
        <w:t>Paqueo</w:t>
      </w:r>
      <w:proofErr w:type="spellEnd"/>
      <w:r>
        <w:t>, V. B. (2025). Review of CHED policies, standards, and guidelines (PSGs) pre- and post-K to 12 reforms (PIDS Discussion Paper Series No. 2025-13). Philippine Institute for Development Studies.</w:t>
      </w:r>
    </w:p>
    <w:p w14:paraId="28C1E2CA" w14:textId="77777777" w:rsidR="005A3ACD" w:rsidRDefault="005A3ACD" w:rsidP="005A4515">
      <w:pPr>
        <w:jc w:val="both"/>
      </w:pPr>
    </w:p>
    <w:p w14:paraId="011E4779" w14:textId="245695E9" w:rsidR="005A4515" w:rsidRDefault="005A4515" w:rsidP="00184007">
      <w:pPr>
        <w:ind w:left="720" w:hanging="720"/>
        <w:jc w:val="both"/>
      </w:pPr>
      <w:r>
        <w:t>Pepito, T. F. (2019). Perspectives on outcome-based education among faculty in the Philippines. The Palawan Scientist, 11.</w:t>
      </w:r>
    </w:p>
    <w:p w14:paraId="1E1B632C" w14:textId="77777777" w:rsidR="005A3ACD" w:rsidRDefault="005A3ACD" w:rsidP="005A4515">
      <w:pPr>
        <w:jc w:val="both"/>
      </w:pPr>
    </w:p>
    <w:p w14:paraId="01A8AFB9" w14:textId="31261C60" w:rsidR="005A4515" w:rsidRDefault="005A4515" w:rsidP="00184007">
      <w:pPr>
        <w:ind w:left="720" w:hanging="720"/>
        <w:jc w:val="both"/>
      </w:pPr>
      <w:r>
        <w:t>Pham, H. T., &amp; Nguyen, P. V. (2024). ASEAN quality assurance scheme and Vietnamese higher education: A shift to outcomes-based education? Quality in Higher Education, 30(2), 285–312.</w:t>
      </w:r>
    </w:p>
    <w:p w14:paraId="6BB82BCB" w14:textId="77777777" w:rsidR="005A3ACD" w:rsidRDefault="005A3ACD" w:rsidP="005A4515">
      <w:pPr>
        <w:jc w:val="both"/>
      </w:pPr>
    </w:p>
    <w:p w14:paraId="08D743A7" w14:textId="454B102B" w:rsidR="005A3ACD" w:rsidRDefault="005A4515" w:rsidP="00184007">
      <w:pPr>
        <w:ind w:left="720" w:hanging="720"/>
        <w:jc w:val="both"/>
      </w:pPr>
      <w:r>
        <w:t xml:space="preserve">Rao, N. J. (2020). Outcome-based education: An outline. Higher Education for the Future, 7(1), </w:t>
      </w:r>
    </w:p>
    <w:p w14:paraId="3F69F99D" w14:textId="1BB84FBA" w:rsidR="005A4515" w:rsidRDefault="005A4515" w:rsidP="00184007">
      <w:pPr>
        <w:ind w:firstLine="720"/>
        <w:jc w:val="both"/>
      </w:pPr>
      <w:r>
        <w:t>5–21.</w:t>
      </w:r>
    </w:p>
    <w:p w14:paraId="08A866B1" w14:textId="77777777" w:rsidR="005A3ACD" w:rsidRDefault="005A3ACD" w:rsidP="005A4515">
      <w:pPr>
        <w:jc w:val="both"/>
      </w:pPr>
    </w:p>
    <w:p w14:paraId="5F99E438" w14:textId="1374F359" w:rsidR="005A4515" w:rsidRDefault="005A4515" w:rsidP="00184007">
      <w:pPr>
        <w:ind w:left="720" w:hanging="720"/>
        <w:jc w:val="both"/>
      </w:pPr>
      <w:r>
        <w:t>Rashid, M. H. (2013, August). The process of outcome-based education – Implementation, assessment and evaluations [Conference paper]. ASEE International Forum, Atlanta, GA, United States.</w:t>
      </w:r>
    </w:p>
    <w:p w14:paraId="03669A7B" w14:textId="77777777" w:rsidR="005A3ACD" w:rsidRDefault="005A3ACD" w:rsidP="005A4515">
      <w:pPr>
        <w:jc w:val="both"/>
      </w:pPr>
    </w:p>
    <w:p w14:paraId="2DD52451" w14:textId="3F78411C" w:rsidR="005A4515" w:rsidRDefault="005A4515" w:rsidP="00184007">
      <w:pPr>
        <w:ind w:left="720" w:hanging="720"/>
        <w:jc w:val="both"/>
      </w:pPr>
      <w:r>
        <w:t>Shaheen, S. (2019). Theoretical perspectives and current challenges of outcome-based education framework. International Journal of Engineering Education.</w:t>
      </w:r>
    </w:p>
    <w:p w14:paraId="63173870" w14:textId="77777777" w:rsidR="005A3ACD" w:rsidRDefault="005A3ACD" w:rsidP="005A4515">
      <w:pPr>
        <w:jc w:val="both"/>
      </w:pPr>
    </w:p>
    <w:p w14:paraId="64DF0773" w14:textId="124102DB" w:rsidR="005A4515" w:rsidRDefault="005A4515" w:rsidP="00184007">
      <w:pPr>
        <w:ind w:left="720" w:hanging="720"/>
        <w:jc w:val="both"/>
      </w:pPr>
      <w:r>
        <w:t xml:space="preserve">Sumathi, R., </w:t>
      </w:r>
      <w:proofErr w:type="spellStart"/>
      <w:r>
        <w:t>Savithramma</w:t>
      </w:r>
      <w:proofErr w:type="spellEnd"/>
      <w:r>
        <w:t>, R. M., &amp; Ashwini, B. P. (2025). A systematic framework for designing and implementing outcome-based curriculum in engineering education: A comprehensive approach. Journal of Engineering Education Transformations, 37, 216–224.</w:t>
      </w:r>
    </w:p>
    <w:p w14:paraId="19214991" w14:textId="77777777" w:rsidR="005A3ACD" w:rsidRDefault="005A3ACD" w:rsidP="005A4515">
      <w:pPr>
        <w:jc w:val="both"/>
      </w:pPr>
    </w:p>
    <w:p w14:paraId="5B2DA051" w14:textId="76CD79DB" w:rsidR="005A4515" w:rsidRDefault="005A4515" w:rsidP="00184007">
      <w:pPr>
        <w:ind w:left="720" w:hanging="720"/>
        <w:jc w:val="both"/>
      </w:pPr>
      <w:r>
        <w:t xml:space="preserve">Syeed, M. M., </w:t>
      </w:r>
      <w:proofErr w:type="spellStart"/>
      <w:r>
        <w:t>Shihavuddin</w:t>
      </w:r>
      <w:proofErr w:type="spellEnd"/>
      <w:r>
        <w:t>, A., Uddin, M. F., Hasan, M., &amp; Khan, R. H. (202</w:t>
      </w:r>
      <w:r w:rsidR="007C0DF4">
        <w:t>4</w:t>
      </w:r>
      <w:r>
        <w:t>). Outcome based education (OBE): Defining the process and practice for engineering education. IEEE Access, 10, 119170–119192.</w:t>
      </w:r>
    </w:p>
    <w:p w14:paraId="57015B93" w14:textId="77777777" w:rsidR="005A3ACD" w:rsidRDefault="005A3ACD" w:rsidP="005A4515">
      <w:pPr>
        <w:jc w:val="both"/>
      </w:pPr>
    </w:p>
    <w:p w14:paraId="006C1F97" w14:textId="2D0FECEF" w:rsidR="005A4515" w:rsidRDefault="005A4515" w:rsidP="00184007">
      <w:pPr>
        <w:ind w:left="720" w:hanging="720"/>
        <w:jc w:val="both"/>
      </w:pPr>
      <w:r>
        <w:t>Vygotsky, L. (1978). Mind in society: The development of higher psychological processes. Harvard University Press.</w:t>
      </w:r>
    </w:p>
    <w:p w14:paraId="58DA7288" w14:textId="77777777" w:rsidR="005A3ACD" w:rsidRDefault="005A3ACD" w:rsidP="005A4515">
      <w:pPr>
        <w:jc w:val="both"/>
      </w:pPr>
    </w:p>
    <w:p w14:paraId="73BA5D7C" w14:textId="6A22EC91" w:rsidR="001A1A25" w:rsidRPr="005A4515" w:rsidRDefault="005A4515" w:rsidP="00184007">
      <w:pPr>
        <w:ind w:left="720" w:hanging="720"/>
        <w:jc w:val="both"/>
      </w:pPr>
      <w:r>
        <w:t>Zamir, M. Z., Abid, M. I., Fazal, M. R., Qazi, M. A. A. R., &amp; Kamran, M. (2022). Switching to outcome-based education (OBE) system: A paradigm shift in engineering education. IEEE Transactions on Education, 65(4), 695–702.</w:t>
      </w:r>
    </w:p>
    <w:sectPr w:rsidR="001A1A25" w:rsidRPr="005A4515">
      <w:footerReference w:type="default" r:id="rId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7918" w14:textId="77777777" w:rsidR="000F7C44" w:rsidRDefault="000F7C44">
      <w:r>
        <w:separator/>
      </w:r>
    </w:p>
  </w:endnote>
  <w:endnote w:type="continuationSeparator" w:id="0">
    <w:p w14:paraId="7E34559C" w14:textId="77777777" w:rsidR="000F7C44" w:rsidRDefault="000F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9518" w14:textId="77777777" w:rsidR="001A1A25" w:rsidRDefault="00000000">
    <w:pPr>
      <w:jc w:val="right"/>
    </w:pPr>
    <w:r>
      <w:rPr>
        <w:sz w:val="20"/>
        <w:szCs w:val="20"/>
      </w:rPr>
      <w:fldChar w:fldCharType="begin"/>
    </w:r>
    <w:r>
      <w:rPr>
        <w:sz w:val="20"/>
        <w:szCs w:val="20"/>
      </w:rPr>
      <w:instrText>PAGE</w:instrText>
    </w:r>
    <w:r>
      <w:rPr>
        <w:sz w:val="20"/>
        <w:szCs w:val="20"/>
      </w:rPr>
      <w:fldChar w:fldCharType="separate"/>
    </w:r>
    <w:r w:rsidR="00BC424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21367" w14:textId="77777777" w:rsidR="000F7C44" w:rsidRDefault="000F7C44">
      <w:r>
        <w:separator/>
      </w:r>
    </w:p>
  </w:footnote>
  <w:footnote w:type="continuationSeparator" w:id="0">
    <w:p w14:paraId="1C4BF4CD" w14:textId="77777777" w:rsidR="000F7C44" w:rsidRDefault="000F7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42033"/>
    <w:multiLevelType w:val="hybridMultilevel"/>
    <w:tmpl w:val="FD88E832"/>
    <w:lvl w:ilvl="0" w:tplc="43E41552">
      <w:start w:val="1"/>
      <w:numFmt w:val="bullet"/>
      <w:lvlText w:val="●"/>
      <w:lvlJc w:val="left"/>
      <w:pPr>
        <w:ind w:left="720" w:hanging="360"/>
      </w:pPr>
    </w:lvl>
    <w:lvl w:ilvl="1" w:tplc="2794D502">
      <w:start w:val="1"/>
      <w:numFmt w:val="bullet"/>
      <w:lvlText w:val="○"/>
      <w:lvlJc w:val="left"/>
      <w:pPr>
        <w:ind w:left="1440" w:hanging="360"/>
      </w:pPr>
    </w:lvl>
    <w:lvl w:ilvl="2" w:tplc="4080BB02">
      <w:start w:val="1"/>
      <w:numFmt w:val="bullet"/>
      <w:lvlText w:val="■"/>
      <w:lvlJc w:val="left"/>
      <w:pPr>
        <w:ind w:left="2160" w:hanging="360"/>
      </w:pPr>
    </w:lvl>
    <w:lvl w:ilvl="3" w:tplc="F656C252">
      <w:start w:val="1"/>
      <w:numFmt w:val="bullet"/>
      <w:lvlText w:val="●"/>
      <w:lvlJc w:val="left"/>
      <w:pPr>
        <w:ind w:left="2880" w:hanging="360"/>
      </w:pPr>
    </w:lvl>
    <w:lvl w:ilvl="4" w:tplc="68B69066">
      <w:start w:val="1"/>
      <w:numFmt w:val="bullet"/>
      <w:lvlText w:val="○"/>
      <w:lvlJc w:val="left"/>
      <w:pPr>
        <w:ind w:left="3600" w:hanging="360"/>
      </w:pPr>
    </w:lvl>
    <w:lvl w:ilvl="5" w:tplc="3AFC28F2">
      <w:start w:val="1"/>
      <w:numFmt w:val="bullet"/>
      <w:lvlText w:val="■"/>
      <w:lvlJc w:val="left"/>
      <w:pPr>
        <w:ind w:left="4320" w:hanging="360"/>
      </w:pPr>
    </w:lvl>
    <w:lvl w:ilvl="6" w:tplc="1674D346">
      <w:start w:val="1"/>
      <w:numFmt w:val="bullet"/>
      <w:lvlText w:val="●"/>
      <w:lvlJc w:val="left"/>
      <w:pPr>
        <w:ind w:left="5040" w:hanging="360"/>
      </w:pPr>
    </w:lvl>
    <w:lvl w:ilvl="7" w:tplc="BD329A18">
      <w:start w:val="1"/>
      <w:numFmt w:val="bullet"/>
      <w:lvlText w:val="●"/>
      <w:lvlJc w:val="left"/>
      <w:pPr>
        <w:ind w:left="5760" w:hanging="360"/>
      </w:pPr>
    </w:lvl>
    <w:lvl w:ilvl="8" w:tplc="F2A674CE">
      <w:start w:val="1"/>
      <w:numFmt w:val="bullet"/>
      <w:lvlText w:val="●"/>
      <w:lvlJc w:val="left"/>
      <w:pPr>
        <w:ind w:left="6480" w:hanging="360"/>
      </w:pPr>
    </w:lvl>
  </w:abstractNum>
  <w:num w:numId="1" w16cid:durableId="86017143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A25"/>
    <w:rsid w:val="000512A6"/>
    <w:rsid w:val="000956A5"/>
    <w:rsid w:val="000F7C44"/>
    <w:rsid w:val="0011375B"/>
    <w:rsid w:val="00115B3C"/>
    <w:rsid w:val="00154FC9"/>
    <w:rsid w:val="00184007"/>
    <w:rsid w:val="001A1A25"/>
    <w:rsid w:val="00213E56"/>
    <w:rsid w:val="002200D6"/>
    <w:rsid w:val="002252D5"/>
    <w:rsid w:val="002C7028"/>
    <w:rsid w:val="003329CE"/>
    <w:rsid w:val="003825B4"/>
    <w:rsid w:val="003E0EED"/>
    <w:rsid w:val="004C4E54"/>
    <w:rsid w:val="004D17B2"/>
    <w:rsid w:val="00505A3D"/>
    <w:rsid w:val="005417B7"/>
    <w:rsid w:val="005A3ACD"/>
    <w:rsid w:val="005A4515"/>
    <w:rsid w:val="00634C36"/>
    <w:rsid w:val="00650D1C"/>
    <w:rsid w:val="00700E32"/>
    <w:rsid w:val="00745C63"/>
    <w:rsid w:val="007566AC"/>
    <w:rsid w:val="007C0DF4"/>
    <w:rsid w:val="008422ED"/>
    <w:rsid w:val="00857354"/>
    <w:rsid w:val="008778D4"/>
    <w:rsid w:val="00A13D79"/>
    <w:rsid w:val="00A22CF8"/>
    <w:rsid w:val="00AA2EAC"/>
    <w:rsid w:val="00B146BA"/>
    <w:rsid w:val="00B74286"/>
    <w:rsid w:val="00BA660C"/>
    <w:rsid w:val="00BC4243"/>
    <w:rsid w:val="00C2697B"/>
    <w:rsid w:val="00D15CFE"/>
    <w:rsid w:val="00D30F0E"/>
    <w:rsid w:val="00D4010F"/>
    <w:rsid w:val="00E07642"/>
    <w:rsid w:val="00E51D24"/>
    <w:rsid w:val="00E61260"/>
    <w:rsid w:val="00EA2DA7"/>
    <w:rsid w:val="00EC4755"/>
    <w:rsid w:val="00F7481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AA0BA"/>
  <w15:docId w15:val="{FB14F11A-86D5-4C5F-82D0-A6DFC38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1137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080/21568235.2020.1816197" TargetMode="External"/><Relationship Id="rId3" Type="http://schemas.openxmlformats.org/officeDocument/2006/relationships/settings" Target="settings.xml"/><Relationship Id="rId7" Type="http://schemas.openxmlformats.org/officeDocument/2006/relationships/hyperlink" Target="https://doi.org/10.1080/00131881.2025.2519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16</Pages>
  <Words>7201</Words>
  <Characters>41052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Acer</cp:lastModifiedBy>
  <cp:revision>30</cp:revision>
  <dcterms:created xsi:type="dcterms:W3CDTF">2026-06-01T05:51:00Z</dcterms:created>
  <dcterms:modified xsi:type="dcterms:W3CDTF">2026-07-01T04:30:00Z</dcterms:modified>
</cp:coreProperties>
</file>