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0B6888" w14:textId="25B1B18C" w:rsidR="008E4243" w:rsidRPr="005E1DF4" w:rsidRDefault="00000000" w:rsidP="0080467F">
      <w:pPr>
        <w:spacing w:after="200"/>
        <w:jc w:val="center"/>
      </w:pPr>
      <w:r w:rsidRPr="005E1DF4">
        <w:rPr>
          <w:b/>
          <w:bCs/>
          <w:sz w:val="36"/>
          <w:szCs w:val="36"/>
        </w:rPr>
        <w:t>AI</w:t>
      </w:r>
      <w:r w:rsidR="0080467F" w:rsidRPr="005E1DF4">
        <w:rPr>
          <w:b/>
          <w:bCs/>
          <w:sz w:val="36"/>
          <w:szCs w:val="36"/>
        </w:rPr>
        <w:t>-</w:t>
      </w:r>
      <w:r w:rsidRPr="005E1DF4">
        <w:rPr>
          <w:b/>
          <w:bCs/>
          <w:sz w:val="36"/>
          <w:szCs w:val="36"/>
        </w:rPr>
        <w:t xml:space="preserve">Enabled Cloud ERP Systems </w:t>
      </w:r>
      <w:r w:rsidR="00DA5639">
        <w:rPr>
          <w:b/>
          <w:bCs/>
          <w:sz w:val="36"/>
          <w:szCs w:val="36"/>
        </w:rPr>
        <w:t>a</w:t>
      </w:r>
      <w:r w:rsidR="0080467F" w:rsidRPr="005E1DF4">
        <w:rPr>
          <w:b/>
          <w:bCs/>
          <w:sz w:val="36"/>
          <w:szCs w:val="36"/>
        </w:rPr>
        <w:t xml:space="preserve">nd </w:t>
      </w:r>
      <w:r w:rsidR="0080467F">
        <w:rPr>
          <w:b/>
          <w:bCs/>
          <w:sz w:val="36"/>
          <w:szCs w:val="36"/>
        </w:rPr>
        <w:t>Organizational</w:t>
      </w:r>
      <w:r w:rsidRPr="005E1DF4">
        <w:rPr>
          <w:b/>
          <w:bCs/>
          <w:sz w:val="36"/>
          <w:szCs w:val="36"/>
        </w:rPr>
        <w:t xml:space="preserve"> Agility</w:t>
      </w:r>
      <w:r w:rsidR="0080467F" w:rsidRPr="005E1DF4">
        <w:rPr>
          <w:b/>
          <w:bCs/>
          <w:sz w:val="36"/>
          <w:szCs w:val="36"/>
        </w:rPr>
        <w:t xml:space="preserve">: </w:t>
      </w:r>
      <w:r w:rsidRPr="005E1DF4">
        <w:rPr>
          <w:b/>
          <w:bCs/>
          <w:sz w:val="36"/>
          <w:szCs w:val="36"/>
        </w:rPr>
        <w:t>Integrating Real</w:t>
      </w:r>
      <w:r w:rsidR="0080467F" w:rsidRPr="005E1DF4">
        <w:rPr>
          <w:b/>
          <w:bCs/>
          <w:sz w:val="36"/>
          <w:szCs w:val="36"/>
        </w:rPr>
        <w:t>-</w:t>
      </w:r>
      <w:r w:rsidRPr="005E1DF4">
        <w:rPr>
          <w:b/>
          <w:bCs/>
          <w:sz w:val="36"/>
          <w:szCs w:val="36"/>
        </w:rPr>
        <w:t>Time Analytics</w:t>
      </w:r>
      <w:r w:rsidR="0080467F" w:rsidRPr="005E1DF4">
        <w:rPr>
          <w:b/>
          <w:bCs/>
          <w:sz w:val="36"/>
          <w:szCs w:val="36"/>
        </w:rPr>
        <w:t xml:space="preserve">, </w:t>
      </w:r>
      <w:r w:rsidRPr="005E1DF4">
        <w:rPr>
          <w:b/>
          <w:bCs/>
          <w:sz w:val="36"/>
          <w:szCs w:val="36"/>
        </w:rPr>
        <w:t>Automation</w:t>
      </w:r>
      <w:r w:rsidR="0080467F">
        <w:rPr>
          <w:b/>
          <w:bCs/>
          <w:sz w:val="36"/>
          <w:szCs w:val="36"/>
        </w:rPr>
        <w:t xml:space="preserve"> a</w:t>
      </w:r>
      <w:r w:rsidR="0080467F" w:rsidRPr="005E1DF4">
        <w:rPr>
          <w:b/>
          <w:bCs/>
          <w:sz w:val="36"/>
          <w:szCs w:val="36"/>
        </w:rPr>
        <w:t xml:space="preserve">nd </w:t>
      </w:r>
      <w:r w:rsidRPr="005E1DF4">
        <w:rPr>
          <w:b/>
          <w:bCs/>
          <w:sz w:val="36"/>
          <w:szCs w:val="36"/>
        </w:rPr>
        <w:t xml:space="preserve">Governance </w:t>
      </w:r>
      <w:r w:rsidR="00DA5639" w:rsidRPr="005E1DF4">
        <w:rPr>
          <w:b/>
          <w:bCs/>
          <w:sz w:val="36"/>
          <w:szCs w:val="36"/>
        </w:rPr>
        <w:t>in</w:t>
      </w:r>
      <w:r w:rsidR="0080467F" w:rsidRPr="005E1DF4">
        <w:rPr>
          <w:b/>
          <w:bCs/>
          <w:sz w:val="36"/>
          <w:szCs w:val="36"/>
        </w:rPr>
        <w:t xml:space="preserve"> </w:t>
      </w:r>
      <w:r w:rsidRPr="005E1DF4">
        <w:rPr>
          <w:b/>
          <w:bCs/>
          <w:sz w:val="36"/>
          <w:szCs w:val="36"/>
        </w:rPr>
        <w:t>Digital Enterprise</w:t>
      </w:r>
    </w:p>
    <w:p w14:paraId="2FB6093E" w14:textId="77777777" w:rsidR="008E4243" w:rsidRPr="005E1DF4" w:rsidRDefault="00000000" w:rsidP="0080467F">
      <w:pPr>
        <w:pBdr>
          <w:top w:val="nil"/>
          <w:left w:val="nil"/>
          <w:bottom w:val="nil"/>
          <w:right w:val="nil"/>
          <w:between w:val="nil"/>
        </w:pBdr>
        <w:ind w:left="284" w:right="284"/>
        <w:jc w:val="center"/>
        <w:rPr>
          <w:color w:val="000000"/>
        </w:rPr>
      </w:pPr>
      <w:r w:rsidRPr="005E1DF4">
        <w:rPr>
          <w:b/>
          <w:bCs/>
          <w:color w:val="000000"/>
        </w:rPr>
        <w:t/>
      </w:r>
      <w:r w:rsidRPr="005E1DF4">
        <w:rPr>
          <w:b/>
          <w:bCs/>
          <w:color w:val="000000"/>
          <w:vertAlign w:val="superscript"/>
        </w:rPr>
        <w:t/>
      </w:r>
      <w:r w:rsidRPr="005E1DF4">
        <w:rPr>
          <w:b/>
          <w:bCs/>
          <w:color w:val="000000"/>
        </w:rPr>
        <w:t/>
      </w:r>
      <w:r w:rsidRPr="005E1DF4">
        <w:rPr>
          <w:b/>
          <w:bCs/>
          <w:color w:val="000000"/>
          <w:vertAlign w:val="superscript"/>
        </w:rPr>
        <w:t/>
      </w:r>
      <w:r w:rsidRPr="005E1DF4">
        <w:rPr>
          <w:b/>
          <w:bCs/>
          <w:color w:val="000000"/>
        </w:rPr>
        <w:t/>
      </w:r>
      <w:r w:rsidRPr="005E1DF4">
        <w:rPr>
          <w:b/>
          <w:bCs/>
          <w:color w:val="000000"/>
          <w:vertAlign w:val="superscript"/>
        </w:rPr>
        <w:t/>
      </w:r>
      <w:r w:rsidRPr="005E1DF4">
        <w:rPr>
          <w:b/>
          <w:bCs/>
          <w:color w:val="000000"/>
        </w:rPr>
        <w:t/>
      </w:r>
      <w:r w:rsidRPr="005E1DF4">
        <w:rPr>
          <w:b/>
          <w:bCs/>
          <w:color w:val="000000"/>
          <w:vertAlign w:val="superscript"/>
        </w:rPr>
        <w:t/>
      </w:r>
    </w:p>
    <w:p w14:paraId="758D4F49" w14:textId="77777777" w:rsidR="008E4243" w:rsidRPr="005E1DF4" w:rsidRDefault="00000000" w:rsidP="0080467F">
      <w:pPr>
        <w:pBdr>
          <w:top w:val="nil"/>
          <w:left w:val="nil"/>
          <w:bottom w:val="nil"/>
          <w:right w:val="nil"/>
          <w:between w:val="nil"/>
        </w:pBdr>
        <w:ind w:left="284" w:right="284"/>
        <w:jc w:val="center"/>
        <w:rPr>
          <w:color w:val="000000"/>
          <w:sz w:val="20"/>
          <w:szCs w:val="20"/>
        </w:rPr>
      </w:pPr>
      <w:r w:rsidRPr="005E1DF4">
        <w:rPr>
          <w:color w:val="000000"/>
          <w:sz w:val="20"/>
          <w:szCs w:val="20"/>
          <w:vertAlign w:val="superscript"/>
        </w:rPr>
        <w:t xml:space="preserve"/>
      </w:r>
      <w:r w:rsidRPr="005E1DF4">
        <w:rPr>
          <w:color w:val="000000"/>
          <w:sz w:val="20"/>
          <w:szCs w:val="20"/>
        </w:rPr>
        <w:t xml:space="preserve"/>
      </w:r>
      <w:proofErr w:type="spellStart"/>
      <w:r w:rsidRPr="005E1DF4">
        <w:rPr>
          <w:color w:val="000000"/>
          <w:sz w:val="20"/>
          <w:szCs w:val="20"/>
        </w:rPr>
        <w:t/>
      </w:r>
      <w:proofErr w:type="spellEnd"/>
      <w:r w:rsidRPr="005E1DF4">
        <w:rPr>
          <w:color w:val="000000"/>
          <w:sz w:val="20"/>
          <w:szCs w:val="20"/>
        </w:rPr>
        <w:t xml:space="preserve"/>
      </w:r>
    </w:p>
    <w:p w14:paraId="49279376" w14:textId="77777777" w:rsidR="008E4243" w:rsidRPr="005E1DF4" w:rsidRDefault="00000000" w:rsidP="0080467F">
      <w:pPr>
        <w:spacing w:after="240"/>
        <w:jc w:val="center"/>
      </w:pPr>
      <w:r w:rsidRPr="005E1DF4">
        <w:rPr>
          <w:color w:val="000000"/>
          <w:sz w:val="20"/>
          <w:szCs w:val="20"/>
        </w:rPr>
        <w:t xml:space="preserve"/>
      </w:r>
      <w:hyperlink r:id="rId8">
        <w:r w:rsidR="008E4243" w:rsidRPr="005E1DF4">
          <w:rPr>
            <w:color w:val="0563C1"/>
            <w:sz w:val="20"/>
            <w:szCs w:val="20"/>
            <w:u w:val="single"/>
            <w:vertAlign w:val="superscript"/>
          </w:rPr>
          <w:t/>
        </w:r>
      </w:hyperlink>
      <w:hyperlink r:id="rId9">
        <w:r w:rsidR="008E4243" w:rsidRPr="005E1DF4">
          <w:rPr>
            <w:color w:val="0563C1"/>
            <w:sz w:val="20"/>
            <w:szCs w:val="20"/>
            <w:u w:val="single"/>
          </w:rPr>
          <w:t/>
        </w:r>
      </w:hyperlink>
      <w:r w:rsidRPr="005E1DF4">
        <w:rPr>
          <w:color w:val="000000"/>
          <w:sz w:val="20"/>
          <w:szCs w:val="20"/>
        </w:rPr>
        <w:t xml:space="preserve"/>
      </w:r>
      <w:hyperlink r:id="rId10">
        <w:r w:rsidR="008E4243" w:rsidRPr="005E1DF4">
          <w:rPr>
            <w:color w:val="0563C1"/>
            <w:sz w:val="20"/>
            <w:szCs w:val="20"/>
            <w:u w:val="single"/>
            <w:vertAlign w:val="superscript"/>
          </w:rPr>
          <w:t/>
        </w:r>
      </w:hyperlink>
      <w:hyperlink r:id="rId11">
        <w:r w:rsidR="008E4243" w:rsidRPr="005E1DF4">
          <w:rPr>
            <w:color w:val="0563C1"/>
            <w:sz w:val="20"/>
            <w:szCs w:val="20"/>
            <w:u w:val="single"/>
          </w:rPr>
          <w:t/>
        </w:r>
      </w:hyperlink>
      <w:r w:rsidRPr="005E1DF4">
        <w:rPr>
          <w:color w:val="000000"/>
          <w:sz w:val="20"/>
          <w:szCs w:val="20"/>
        </w:rPr>
        <w:t xml:space="preserve"/>
      </w:r>
      <w:hyperlink r:id="rId12">
        <w:r w:rsidR="008E4243" w:rsidRPr="005E1DF4">
          <w:rPr>
            <w:color w:val="0563C1"/>
            <w:sz w:val="20"/>
            <w:szCs w:val="20"/>
            <w:u w:val="single"/>
            <w:vertAlign w:val="superscript"/>
          </w:rPr>
          <w:t/>
        </w:r>
      </w:hyperlink>
      <w:hyperlink r:id="rId13">
        <w:r w:rsidR="008E4243" w:rsidRPr="005E1DF4">
          <w:rPr>
            <w:color w:val="0563C1"/>
            <w:sz w:val="20"/>
            <w:szCs w:val="20"/>
            <w:u w:val="single"/>
          </w:rPr>
          <w:t/>
        </w:r>
      </w:hyperlink>
      <w:r w:rsidRPr="005E1DF4">
        <w:rPr>
          <w:color w:val="000000"/>
          <w:sz w:val="20"/>
          <w:szCs w:val="20"/>
        </w:rPr>
        <w:t xml:space="preserve"/>
      </w:r>
      <w:hyperlink r:id="rId14">
        <w:r w:rsidR="008E4243" w:rsidRPr="005E1DF4">
          <w:rPr>
            <w:color w:val="0563C1"/>
            <w:sz w:val="20"/>
            <w:szCs w:val="20"/>
            <w:u w:val="single"/>
            <w:vertAlign w:val="superscript"/>
          </w:rPr>
          <w:t/>
        </w:r>
      </w:hyperlink>
      <w:hyperlink r:id="rId15">
        <w:r w:rsidR="008E4243" w:rsidRPr="005E1DF4">
          <w:rPr>
            <w:color w:val="0563C1"/>
            <w:sz w:val="20"/>
            <w:szCs w:val="20"/>
            <w:u w:val="single"/>
          </w:rPr>
          <w:t/>
        </w:r>
      </w:hyperlink>
    </w:p>
    <w:p w14:paraId="0E50FE19" w14:textId="77777777" w:rsidR="008E4243" w:rsidRPr="005E1DF4" w:rsidRDefault="00000000" w:rsidP="008348CF">
      <w:pPr>
        <w:pStyle w:val="Heading1"/>
        <w:jc w:val="both"/>
      </w:pPr>
      <w:r w:rsidRPr="005E1DF4">
        <w:t>ABSTRACT</w:t>
      </w:r>
    </w:p>
    <w:p w14:paraId="5430AB98" w14:textId="36073DEF" w:rsidR="008E4243" w:rsidRPr="005E1DF4" w:rsidRDefault="00000000" w:rsidP="008348CF">
      <w:pPr>
        <w:spacing w:before="120" w:after="240"/>
        <w:jc w:val="both"/>
      </w:pPr>
      <w:r w:rsidRPr="005E1DF4">
        <w:t xml:space="preserve">Although ERP has progressed from a closed, transactional records management platform to an open, intelligent system that </w:t>
      </w:r>
      <w:proofErr w:type="gramStart"/>
      <w:r w:rsidRPr="005E1DF4">
        <w:t>learns</w:t>
      </w:r>
      <w:proofErr w:type="gramEnd"/>
      <w:r w:rsidRPr="005E1DF4">
        <w:t xml:space="preserve">, recommends and to an increasing degree acts, </w:t>
      </w:r>
      <w:r w:rsidR="00AB793B" w:rsidRPr="00AB793B">
        <w:t>the conditions under which embedded AI capabilities translate into organizational agility remain insufficiently understood.</w:t>
      </w:r>
      <w:r w:rsidR="00AB793B">
        <w:t xml:space="preserve"> </w:t>
      </w:r>
      <w:r w:rsidRPr="005E1DF4">
        <w:t>The paper presents a</w:t>
      </w:r>
      <w:r w:rsidR="00AB793B">
        <w:t xml:space="preserve"> </w:t>
      </w:r>
      <w:r w:rsidRPr="005E1DF4">
        <w:t xml:space="preserve"> theoretical synthesis on how changes in </w:t>
      </w:r>
      <w:proofErr w:type="gramStart"/>
      <w:r w:rsidRPr="005E1DF4">
        <w:t>the financial</w:t>
      </w:r>
      <w:proofErr w:type="gramEnd"/>
      <w:r w:rsidRPr="005E1DF4">
        <w:t xml:space="preserve"> responsiveness, the operational adaptiveness, and the governance posture of digital enterprises are transformed by AI-enabled cloud ERP, by drawing from a systematic analysis of a curated Scopus-indexed corpus. The review is organized around four established lenses, the Resource-Based View, Dynamic Capabilities Theory, Socio-Technical Systems Theory and the Technology Organization Environment framework. Merging these perspectives, the study provides a common conceptualization of a closed-loop and five stage decision </w:t>
      </w:r>
      <w:proofErr w:type="gramStart"/>
      <w:r w:rsidRPr="005E1DF4">
        <w:t>pipeline</w:t>
      </w:r>
      <w:proofErr w:type="gramEnd"/>
      <w:r w:rsidRPr="005E1DF4">
        <w:t xml:space="preserve"> with a </w:t>
      </w:r>
      <w:proofErr w:type="gramStart"/>
      <w:r w:rsidRPr="005E1DF4">
        <w:t>five level</w:t>
      </w:r>
      <w:proofErr w:type="gramEnd"/>
      <w:r w:rsidRPr="005E1DF4">
        <w:t xml:space="preserve"> ERP-AI maturity model. Three recurring themes can be seen in the literature. Embedded learning is linked to faster cycles towards financial close, improved responsive demand and risk planning, and a decreasing number of manual activities, but the degree of improvement is dependent on data quality, modular architecture, and governance maturity. Second, Enterprise platforms are </w:t>
      </w:r>
      <w:r w:rsidR="00AB793B">
        <w:t xml:space="preserve">among the </w:t>
      </w:r>
      <w:r w:rsidRPr="005E1DF4">
        <w:t xml:space="preserve">strongest when they reflect different philosophies of architecture and not "veto points" for anything. Third, agility value is concentrated in companies that already have digital capabilities that they can leverage through their customer, cloud and </w:t>
      </w:r>
      <w:proofErr w:type="gramStart"/>
      <w:r w:rsidRPr="005E1DF4">
        <w:t>commercially-available</w:t>
      </w:r>
      <w:proofErr w:type="gramEnd"/>
      <w:r w:rsidRPr="005E1DF4">
        <w:t xml:space="preserve"> digital platforms, indicating that AI ERP is an add-on to a digital architecture, not a replacement. It provides theoretical research contributions within the domain of dynamic capability in the digital context, as well as a managerial diagnostic based on clean-core design, layered governance and maturity-aligned sequencing, and ends with 7 concrete directions for further research.</w:t>
      </w:r>
    </w:p>
    <w:p w14:paraId="6A33CDFE" w14:textId="77777777" w:rsidR="008E4243" w:rsidRPr="005E1DF4" w:rsidRDefault="00000000" w:rsidP="008348CF">
      <w:pPr>
        <w:spacing w:before="120" w:after="240"/>
        <w:jc w:val="both"/>
      </w:pPr>
      <w:r w:rsidRPr="005E1DF4">
        <w:rPr>
          <w:b/>
          <w:bCs/>
        </w:rPr>
        <w:t xml:space="preserve">Keywords: </w:t>
      </w:r>
      <w:r w:rsidRPr="005E1DF4">
        <w:t>AI-enabled ERP; cloud architecture; organizational agility; real-time analytics; AI governance</w:t>
      </w:r>
    </w:p>
    <w:p w14:paraId="60727911" w14:textId="77777777" w:rsidR="008E4243" w:rsidRPr="005E1DF4" w:rsidRDefault="00000000" w:rsidP="008348CF">
      <w:pPr>
        <w:pStyle w:val="Heading1"/>
        <w:jc w:val="both"/>
      </w:pPr>
      <w:r w:rsidRPr="005E1DF4">
        <w:t>INTRODUCTION</w:t>
      </w:r>
    </w:p>
    <w:p w14:paraId="229B5B51" w14:textId="09FA6E23" w:rsidR="008E4243" w:rsidRPr="005E1DF4" w:rsidRDefault="00000000" w:rsidP="008348CF">
      <w:pPr>
        <w:pStyle w:val="Heading2"/>
        <w:jc w:val="both"/>
        <w:rPr>
          <w:b w:val="0"/>
          <w:bCs w:val="0"/>
        </w:rPr>
      </w:pPr>
      <w:r w:rsidRPr="005E1DF4">
        <w:rPr>
          <w:b w:val="0"/>
          <w:bCs w:val="0"/>
        </w:rPr>
        <w:t xml:space="preserve">Enterprise Resource Planning (ERP) systems have been instrumental in powering modern businesses for a long time, </w:t>
      </w:r>
      <w:proofErr w:type="spellStart"/>
      <w:r w:rsidRPr="005E1DF4">
        <w:rPr>
          <w:b w:val="0"/>
          <w:bCs w:val="0"/>
        </w:rPr>
        <w:t>centralising</w:t>
      </w:r>
      <w:proofErr w:type="spellEnd"/>
      <w:r w:rsidRPr="005E1DF4">
        <w:rPr>
          <w:b w:val="0"/>
          <w:bCs w:val="0"/>
        </w:rPr>
        <w:t xml:space="preserve"> information such as financial, human resources, supply chain, and manufacturing data, collating, and storing them in a single record of transactions (Godbole, 2023). These systems began as material and manufacturing planning systems in the 1970s and 1980s and have grown into wide-spread integrated multi-departmental systems in the 1990s (Abazi </w:t>
      </w:r>
      <w:proofErr w:type="spellStart"/>
      <w:r w:rsidRPr="005E1DF4">
        <w:rPr>
          <w:b w:val="0"/>
          <w:bCs w:val="0"/>
        </w:rPr>
        <w:t>Chaushi</w:t>
      </w:r>
      <w:proofErr w:type="spellEnd"/>
      <w:r w:rsidRPr="005E1DF4">
        <w:rPr>
          <w:b w:val="0"/>
          <w:bCs w:val="0"/>
        </w:rPr>
        <w:t xml:space="preserve"> &amp; </w:t>
      </w:r>
      <w:proofErr w:type="spellStart"/>
      <w:r w:rsidRPr="005E1DF4">
        <w:rPr>
          <w:b w:val="0"/>
          <w:bCs w:val="0"/>
        </w:rPr>
        <w:t>Chaushi</w:t>
      </w:r>
      <w:proofErr w:type="spellEnd"/>
      <w:r w:rsidRPr="005E1DF4">
        <w:rPr>
          <w:b w:val="0"/>
          <w:bCs w:val="0"/>
        </w:rPr>
        <w:t xml:space="preserve">, 2025). The key goal of this new architectural approach was to </w:t>
      </w:r>
      <w:r w:rsidR="00AB793B">
        <w:rPr>
          <w:b w:val="0"/>
          <w:bCs w:val="0"/>
        </w:rPr>
        <w:t xml:space="preserve">maintain a single, definitive version of the organisational </w:t>
      </w:r>
      <w:r w:rsidRPr="005E1DF4">
        <w:rPr>
          <w:b w:val="0"/>
          <w:bCs w:val="0"/>
        </w:rPr>
        <w:t xml:space="preserve">truth that would overcome a multitude of departmental records. As a result, legacy infrastructures were perceived as monolithic, mainly focused on logging transactions and not future analysis (Lee et al., 2024). Though they work well in stable processes, these same rigid structures are considered technical debt in today's uncertain global market (Mahmood et al., 2020). The traditional analytical approach, based on handling the future after studying the past, is not consistent with the movement of markets where future is predicted beforehand instead of postponed to afterwards (Khurram et al., 2025). </w:t>
      </w:r>
    </w:p>
    <w:p w14:paraId="3D0AF99C" w14:textId="77777777" w:rsidR="008E4243" w:rsidRPr="005E1DF4" w:rsidRDefault="00000000" w:rsidP="008348CF">
      <w:pPr>
        <w:pStyle w:val="Heading2"/>
        <w:jc w:val="both"/>
        <w:rPr>
          <w:b w:val="0"/>
          <w:bCs w:val="0"/>
        </w:rPr>
      </w:pPr>
      <w:r w:rsidRPr="005E1DF4">
        <w:rPr>
          <w:b w:val="0"/>
          <w:bCs w:val="0"/>
        </w:rPr>
        <w:t xml:space="preserve">Two transformations are complementary to remedy these drawbacks: one for the domain. Cloud-native delivery has lowered the costs and friction of transporting core workloads off-premises, and AI is no longer simply an application installed as an afterthought or an additional analytical layer atop ERP (Christiansen et al., 2021; Govinda et al., 2025). New platforms are now more intelligence </w:t>
      </w:r>
      <w:proofErr w:type="spellStart"/>
      <w:r w:rsidRPr="005E1DF4">
        <w:rPr>
          <w:b w:val="0"/>
          <w:bCs w:val="0"/>
        </w:rPr>
        <w:t>centres</w:t>
      </w:r>
      <w:proofErr w:type="spellEnd"/>
      <w:r w:rsidRPr="005E1DF4">
        <w:rPr>
          <w:b w:val="0"/>
          <w:bCs w:val="0"/>
        </w:rPr>
        <w:t xml:space="preserve"> than mere ledgers, absorbing and reporting on in-flowing information; they generate increasingly important insights without the need for human intervention (</w:t>
      </w:r>
      <w:proofErr w:type="spellStart"/>
      <w:r w:rsidRPr="005E1DF4">
        <w:rPr>
          <w:b w:val="0"/>
          <w:bCs w:val="0"/>
        </w:rPr>
        <w:t>Dziembek</w:t>
      </w:r>
      <w:proofErr w:type="spellEnd"/>
      <w:r w:rsidRPr="005E1DF4">
        <w:rPr>
          <w:b w:val="0"/>
          <w:bCs w:val="0"/>
        </w:rPr>
        <w:t xml:space="preserve"> &amp; Turek, 2025; </w:t>
      </w:r>
      <w:proofErr w:type="spellStart"/>
      <w:r w:rsidRPr="005E1DF4">
        <w:rPr>
          <w:b w:val="0"/>
          <w:bCs w:val="0"/>
        </w:rPr>
        <w:t>Julakanti</w:t>
      </w:r>
      <w:proofErr w:type="spellEnd"/>
      <w:r w:rsidRPr="005E1DF4">
        <w:rPr>
          <w:b w:val="0"/>
          <w:bCs w:val="0"/>
        </w:rPr>
        <w:t xml:space="preserve"> et al., 2025). Even though the positive effects of AI-driven </w:t>
      </w:r>
      <w:r w:rsidRPr="005E1DF4">
        <w:rPr>
          <w:b w:val="0"/>
          <w:bCs w:val="0"/>
        </w:rPr>
        <w:lastRenderedPageBreak/>
        <w:t xml:space="preserve">cloud ERP on organisational agility are repeatedly mentioned in the literature of the ERP industry vendors, efforts to synthesize the academic literature show high rates of ERP failures (Mahmood et al., 2020; </w:t>
      </w:r>
      <w:proofErr w:type="spellStart"/>
      <w:r w:rsidRPr="005E1DF4">
        <w:rPr>
          <w:b w:val="0"/>
          <w:bCs w:val="0"/>
        </w:rPr>
        <w:t>Lawendatu</w:t>
      </w:r>
      <w:proofErr w:type="spellEnd"/>
      <w:r w:rsidRPr="005E1DF4">
        <w:rPr>
          <w:b w:val="0"/>
          <w:bCs w:val="0"/>
        </w:rPr>
        <w:t xml:space="preserve"> et al., 2026). A key question, therefore, is exactly how embedded capabilities become embedded. How they become embedded within agility. </w:t>
      </w:r>
    </w:p>
    <w:p w14:paraId="69169E93" w14:textId="77777777" w:rsidR="008E4243" w:rsidRPr="005E1DF4" w:rsidRDefault="00000000" w:rsidP="008348CF">
      <w:pPr>
        <w:pStyle w:val="Heading2"/>
        <w:jc w:val="both"/>
      </w:pPr>
      <w:r w:rsidRPr="005E1DF4">
        <w:t xml:space="preserve">Background of </w:t>
      </w:r>
      <w:proofErr w:type="gramStart"/>
      <w:r w:rsidRPr="005E1DF4">
        <w:t>the study</w:t>
      </w:r>
      <w:proofErr w:type="gramEnd"/>
    </w:p>
    <w:p w14:paraId="23CE637E" w14:textId="77777777" w:rsidR="008E4243" w:rsidRPr="005E1DF4" w:rsidRDefault="00000000" w:rsidP="008348CF">
      <w:pPr>
        <w:pStyle w:val="Heading2"/>
        <w:jc w:val="both"/>
        <w:rPr>
          <w:b w:val="0"/>
          <w:bCs w:val="0"/>
        </w:rPr>
      </w:pPr>
      <w:r w:rsidRPr="005E1DF4">
        <w:rPr>
          <w:b w:val="0"/>
          <w:bCs w:val="0"/>
        </w:rPr>
        <w:t xml:space="preserve">Outgrown monolithic architectures are unable to cope with all the demands vying for the enterprise data, which is growing at a rate faster than the analytical power of the systems generating it (Mahmood et al., 2020). Investment trends show a clear migration to cloud-native, AI-driven platforms. These are backed by in-memory processing, continuous innovation from vendors, and a surge in investment activity. Investment trends demonstrate the transition to cloud-based, AI-powered platforms, with in-memory processing, recurrent vendor innovation, and a growing body of investment activity. In today's strategic management literature, the term organisational agility" has emerged as a multifaceted concept that entails a blend of senses, foresight, and swift response to </w:t>
      </w:r>
      <w:proofErr w:type="spellStart"/>
      <w:r w:rsidRPr="005E1DF4">
        <w:rPr>
          <w:b w:val="0"/>
          <w:bCs w:val="0"/>
        </w:rPr>
        <w:t>reorganise</w:t>
      </w:r>
      <w:proofErr w:type="spellEnd"/>
      <w:r w:rsidRPr="005E1DF4">
        <w:rPr>
          <w:b w:val="0"/>
          <w:bCs w:val="0"/>
        </w:rPr>
        <w:t xml:space="preserve"> operations, thus securing the </w:t>
      </w:r>
      <w:proofErr w:type="spellStart"/>
      <w:r w:rsidRPr="005E1DF4">
        <w:rPr>
          <w:b w:val="0"/>
          <w:bCs w:val="0"/>
        </w:rPr>
        <w:t>organisation's</w:t>
      </w:r>
      <w:proofErr w:type="spellEnd"/>
      <w:r w:rsidRPr="005E1DF4">
        <w:rPr>
          <w:b w:val="0"/>
          <w:bCs w:val="0"/>
        </w:rPr>
        <w:t xml:space="preserve"> competitive survival in dynamic environments (</w:t>
      </w:r>
      <w:proofErr w:type="spellStart"/>
      <w:r w:rsidRPr="005E1DF4">
        <w:rPr>
          <w:b w:val="0"/>
          <w:bCs w:val="0"/>
        </w:rPr>
        <w:t>Koundal</w:t>
      </w:r>
      <w:proofErr w:type="spellEnd"/>
      <w:r w:rsidRPr="005E1DF4">
        <w:rPr>
          <w:b w:val="0"/>
          <w:bCs w:val="0"/>
        </w:rPr>
        <w:t xml:space="preserve"> et al., 2024; </w:t>
      </w:r>
      <w:proofErr w:type="spellStart"/>
      <w:r w:rsidRPr="005E1DF4">
        <w:rPr>
          <w:b w:val="0"/>
          <w:bCs w:val="0"/>
        </w:rPr>
        <w:t>AlMahadin</w:t>
      </w:r>
      <w:proofErr w:type="spellEnd"/>
      <w:r w:rsidRPr="005E1DF4">
        <w:rPr>
          <w:b w:val="0"/>
          <w:bCs w:val="0"/>
        </w:rPr>
        <w:t xml:space="preserve">, 2025). In manufacturing, retail, and financial services, companies are leveraging AI-powered analytics to </w:t>
      </w:r>
      <w:proofErr w:type="spellStart"/>
      <w:r w:rsidRPr="005E1DF4">
        <w:rPr>
          <w:b w:val="0"/>
          <w:bCs w:val="0"/>
        </w:rPr>
        <w:t>optimise</w:t>
      </w:r>
      <w:proofErr w:type="spellEnd"/>
      <w:r w:rsidRPr="005E1DF4">
        <w:rPr>
          <w:b w:val="0"/>
          <w:bCs w:val="0"/>
        </w:rPr>
        <w:t xml:space="preserve"> their inventories, automate reconciliation, and divert resources in the face of uncertainty (Liu et al., 2025; Modgil et al., 2022).</w:t>
      </w:r>
    </w:p>
    <w:p w14:paraId="3FCB9671" w14:textId="77777777" w:rsidR="008E4243" w:rsidRPr="005E1DF4" w:rsidRDefault="00000000" w:rsidP="008348CF">
      <w:pPr>
        <w:pStyle w:val="Heading2"/>
        <w:jc w:val="both"/>
      </w:pPr>
      <w:r w:rsidRPr="005E1DF4">
        <w:t>Industry context and the agility imperative</w:t>
      </w:r>
    </w:p>
    <w:p w14:paraId="00573356" w14:textId="77777777" w:rsidR="008E4243" w:rsidRPr="005E1DF4" w:rsidRDefault="00000000" w:rsidP="008348CF">
      <w:pPr>
        <w:pStyle w:val="Heading2"/>
        <w:jc w:val="both"/>
        <w:rPr>
          <w:b w:val="0"/>
          <w:bCs w:val="0"/>
        </w:rPr>
      </w:pPr>
      <w:r w:rsidRPr="005E1DF4">
        <w:rPr>
          <w:b w:val="0"/>
          <w:bCs w:val="0"/>
        </w:rPr>
        <w:t xml:space="preserve">In this sense, strategic advantage is not specific to a technology but is rather a consequence of the integration of complementary capabilities such as the cloud, customer-facing systems and commercially valuable data, which makes the implementation of advanced analytics cheaper (Tudor, 2026). ERP combines these characteristics. It records the transactional record, it facilitates customer and supplier relationships, and it enables data pipelines for machine learning. Initial empirical research on European firms suggests that the existence of complementary capabilities is correlated with high levels of AI adoption, and that the level of AI adoption varies by company size but is not determined by it (Tudor, 2026). The agility benefits that can be </w:t>
      </w:r>
      <w:proofErr w:type="spellStart"/>
      <w:r w:rsidRPr="005E1DF4">
        <w:rPr>
          <w:b w:val="0"/>
          <w:bCs w:val="0"/>
        </w:rPr>
        <w:t>realised</w:t>
      </w:r>
      <w:proofErr w:type="spellEnd"/>
      <w:r w:rsidRPr="005E1DF4">
        <w:rPr>
          <w:b w:val="0"/>
          <w:bCs w:val="0"/>
        </w:rPr>
        <w:t xml:space="preserve"> through the deployment of AI-powered cloud ERP should not be viewed as a platform benefit per se, but rather as a representation of a greater capacity configuration, as discussed throughout the study.</w:t>
      </w:r>
    </w:p>
    <w:p w14:paraId="2C592C41" w14:textId="77777777" w:rsidR="008E4243" w:rsidRPr="005E1DF4" w:rsidRDefault="00000000" w:rsidP="008348CF">
      <w:pPr>
        <w:pStyle w:val="Heading2"/>
        <w:jc w:val="both"/>
      </w:pPr>
      <w:r w:rsidRPr="005E1DF4">
        <w:t>Problem statement</w:t>
      </w:r>
    </w:p>
    <w:p w14:paraId="7403946D" w14:textId="77777777" w:rsidR="008E4243" w:rsidRPr="005E1DF4" w:rsidRDefault="00000000" w:rsidP="008348CF">
      <w:pPr>
        <w:spacing w:before="240" w:after="240"/>
        <w:jc w:val="both"/>
      </w:pPr>
      <w:r w:rsidRPr="005E1DF4">
        <w:t xml:space="preserve">This record is not consistent in case of execution of AI integrated cloud ERPs. Legacy </w:t>
      </w:r>
      <w:proofErr w:type="spellStart"/>
      <w:r w:rsidRPr="005E1DF4">
        <w:t>modernisation</w:t>
      </w:r>
      <w:proofErr w:type="spellEnd"/>
      <w:r w:rsidRPr="005E1DF4">
        <w:t xml:space="preserve"> attempts are inherently risky to execution and fraught with socio-technical tensions that can only be addressed through technical means (Lee et al., 2024; Olsen et al., 2022; </w:t>
      </w:r>
      <w:proofErr w:type="spellStart"/>
      <w:r w:rsidRPr="005E1DF4">
        <w:t>Cepureanu</w:t>
      </w:r>
      <w:proofErr w:type="spellEnd"/>
      <w:r w:rsidRPr="005E1DF4">
        <w:t xml:space="preserve"> &amp; </w:t>
      </w:r>
      <w:proofErr w:type="spellStart"/>
      <w:r w:rsidRPr="005E1DF4">
        <w:t>Cepureanu</w:t>
      </w:r>
      <w:proofErr w:type="spellEnd"/>
      <w:r w:rsidRPr="005E1DF4">
        <w:t>, 2015). The use of AI brings with itself specific issues such model drift, opacity in decision making and increased security risks (Singh &amp; Dutta, 2026; Agarwal &amp; Gupta, 2024). Adoption structures do not fit the AI-related aspects of modern platforms (</w:t>
      </w:r>
      <w:proofErr w:type="spellStart"/>
      <w:r w:rsidRPr="005E1DF4">
        <w:t>Panggabean</w:t>
      </w:r>
      <w:proofErr w:type="spellEnd"/>
      <w:r w:rsidRPr="005E1DF4">
        <w:t xml:space="preserve"> et al., 2025) and the analytical model deployed in platforms are only as good as the data they are trained on (</w:t>
      </w:r>
      <w:proofErr w:type="spellStart"/>
      <w:r w:rsidRPr="005E1DF4">
        <w:t>Elbadri</w:t>
      </w:r>
      <w:proofErr w:type="spellEnd"/>
      <w:r w:rsidRPr="005E1DF4">
        <w:t xml:space="preserve"> et al., 2024; More &amp; </w:t>
      </w:r>
      <w:proofErr w:type="spellStart"/>
      <w:r w:rsidRPr="005E1DF4">
        <w:t>Mucherla</w:t>
      </w:r>
      <w:proofErr w:type="spellEnd"/>
      <w:r w:rsidRPr="005E1DF4">
        <w:t xml:space="preserve">, 2025). There is still a big failure despite all the efforts. Therefore, it is still required to </w:t>
      </w:r>
      <w:proofErr w:type="spellStart"/>
      <w:r w:rsidRPr="005E1DF4">
        <w:t>analyse</w:t>
      </w:r>
      <w:proofErr w:type="spellEnd"/>
      <w:r w:rsidRPr="005E1DF4">
        <w:t xml:space="preserve"> more accurately when and under which conditions AI-powered cloud ERP enhances agility.</w:t>
      </w:r>
    </w:p>
    <w:p w14:paraId="48620784" w14:textId="77777777" w:rsidR="008E4243" w:rsidRPr="005E1DF4" w:rsidRDefault="00000000" w:rsidP="008348CF">
      <w:pPr>
        <w:pStyle w:val="Heading2"/>
        <w:jc w:val="both"/>
      </w:pPr>
      <w:r w:rsidRPr="005E1DF4">
        <w:t>Research objectives</w:t>
      </w:r>
    </w:p>
    <w:p w14:paraId="73C73EC6" w14:textId="77777777" w:rsidR="008E4243" w:rsidRPr="005E1DF4" w:rsidRDefault="00000000" w:rsidP="008348CF">
      <w:pPr>
        <w:spacing w:before="240" w:after="240"/>
        <w:jc w:val="both"/>
      </w:pPr>
      <w:r w:rsidRPr="005E1DF4">
        <w:t>Four objectives frame the inquiry:</w:t>
      </w:r>
    </w:p>
    <w:p w14:paraId="3DC01A61" w14:textId="77777777" w:rsidR="008E4243" w:rsidRPr="005E1DF4" w:rsidRDefault="00000000" w:rsidP="008348CF">
      <w:pPr>
        <w:numPr>
          <w:ilvl w:val="0"/>
          <w:numId w:val="1"/>
        </w:numPr>
        <w:pBdr>
          <w:top w:val="nil"/>
          <w:left w:val="nil"/>
          <w:bottom w:val="nil"/>
          <w:right w:val="nil"/>
          <w:between w:val="nil"/>
        </w:pBdr>
        <w:spacing w:before="60" w:after="60"/>
        <w:jc w:val="both"/>
      </w:pPr>
      <w:proofErr w:type="spellStart"/>
      <w:r w:rsidRPr="005E1DF4">
        <w:rPr>
          <w:color w:val="000000"/>
        </w:rPr>
        <w:t>Analyse</w:t>
      </w:r>
      <w:proofErr w:type="spellEnd"/>
      <w:r w:rsidRPr="005E1DF4">
        <w:rPr>
          <w:color w:val="000000"/>
        </w:rPr>
        <w:t xml:space="preserve"> the impact of AI-driven cloud ERP, as demonstrated by prominent corporate platforms, on financial and organisational agility.</w:t>
      </w:r>
    </w:p>
    <w:p w14:paraId="0DC0DD2C" w14:textId="77777777" w:rsidR="008E4243" w:rsidRPr="005E1DF4" w:rsidRDefault="00000000" w:rsidP="008348CF">
      <w:pPr>
        <w:numPr>
          <w:ilvl w:val="0"/>
          <w:numId w:val="1"/>
        </w:numPr>
        <w:pBdr>
          <w:top w:val="nil"/>
          <w:left w:val="nil"/>
          <w:bottom w:val="nil"/>
          <w:right w:val="nil"/>
          <w:between w:val="nil"/>
        </w:pBdr>
        <w:spacing w:before="60" w:after="60"/>
        <w:jc w:val="both"/>
      </w:pPr>
      <w:r w:rsidRPr="005E1DF4">
        <w:rPr>
          <w:color w:val="000000"/>
        </w:rPr>
        <w:t>Examine how integrated real-time analytics, machine-learning algorithms, and intelligent automation expedite decision-making processes and diminish operational delays.</w:t>
      </w:r>
    </w:p>
    <w:p w14:paraId="3AF1A3F9" w14:textId="77777777" w:rsidR="008E4243" w:rsidRPr="005E1DF4" w:rsidRDefault="008E4243" w:rsidP="008348CF">
      <w:pPr>
        <w:pBdr>
          <w:top w:val="nil"/>
          <w:left w:val="nil"/>
          <w:bottom w:val="nil"/>
          <w:right w:val="nil"/>
          <w:between w:val="nil"/>
        </w:pBdr>
        <w:spacing w:before="60" w:after="60"/>
        <w:ind w:left="720"/>
        <w:jc w:val="both"/>
        <w:rPr>
          <w:color w:val="000000"/>
        </w:rPr>
      </w:pPr>
    </w:p>
    <w:p w14:paraId="632C49C4" w14:textId="77777777" w:rsidR="008E4243" w:rsidRPr="005E1DF4" w:rsidRDefault="00000000" w:rsidP="008348CF">
      <w:pPr>
        <w:numPr>
          <w:ilvl w:val="0"/>
          <w:numId w:val="1"/>
        </w:numPr>
        <w:pBdr>
          <w:top w:val="nil"/>
          <w:left w:val="nil"/>
          <w:bottom w:val="nil"/>
          <w:right w:val="nil"/>
          <w:between w:val="nil"/>
        </w:pBdr>
        <w:spacing w:before="60" w:after="60"/>
        <w:jc w:val="both"/>
        <w:rPr>
          <w:b/>
          <w:bCs/>
          <w:color w:val="000000"/>
        </w:rPr>
      </w:pPr>
      <w:r w:rsidRPr="005E1DF4">
        <w:rPr>
          <w:color w:val="000000"/>
        </w:rPr>
        <w:t>Examine how integrated real-time analytics, machine-learning algorithms, and intelligent automation expedite decision-making processes and diminish operational delays.</w:t>
      </w:r>
    </w:p>
    <w:p w14:paraId="3516DAE4" w14:textId="77777777" w:rsidR="008E4243" w:rsidRPr="005E1DF4" w:rsidRDefault="008E4243" w:rsidP="008348CF">
      <w:pPr>
        <w:pBdr>
          <w:top w:val="nil"/>
          <w:left w:val="nil"/>
          <w:bottom w:val="nil"/>
          <w:right w:val="nil"/>
          <w:between w:val="nil"/>
        </w:pBdr>
        <w:spacing w:before="60" w:after="60"/>
        <w:ind w:left="720"/>
        <w:jc w:val="both"/>
        <w:rPr>
          <w:b/>
          <w:bCs/>
          <w:color w:val="000000"/>
        </w:rPr>
      </w:pPr>
    </w:p>
    <w:p w14:paraId="48D82BE1" w14:textId="77777777" w:rsidR="008E4243" w:rsidRPr="005E1DF4" w:rsidRDefault="00000000" w:rsidP="008348CF">
      <w:pPr>
        <w:numPr>
          <w:ilvl w:val="0"/>
          <w:numId w:val="1"/>
        </w:numPr>
        <w:pBdr>
          <w:top w:val="nil"/>
          <w:left w:val="nil"/>
          <w:bottom w:val="nil"/>
          <w:right w:val="nil"/>
          <w:between w:val="nil"/>
        </w:pBdr>
        <w:spacing w:before="60" w:after="60"/>
        <w:jc w:val="both"/>
      </w:pPr>
      <w:r w:rsidRPr="005E1DF4">
        <w:rPr>
          <w:color w:val="000000"/>
        </w:rPr>
        <w:lastRenderedPageBreak/>
        <w:t>Establish a cohesive conceptual framework that integrates corporate maturity with a systematic, closed-loop decision-making process.</w:t>
      </w:r>
    </w:p>
    <w:p w14:paraId="2818226B" w14:textId="77777777" w:rsidR="008E4243" w:rsidRPr="005E1DF4" w:rsidRDefault="00000000" w:rsidP="008348CF">
      <w:pPr>
        <w:pStyle w:val="Heading2"/>
        <w:jc w:val="both"/>
      </w:pPr>
      <w:r w:rsidRPr="005E1DF4">
        <w:t>Research questions</w:t>
      </w:r>
    </w:p>
    <w:p w14:paraId="40ED27E1" w14:textId="77777777" w:rsidR="008E4243" w:rsidRPr="005E1DF4" w:rsidRDefault="00000000" w:rsidP="008348CF">
      <w:pPr>
        <w:spacing w:before="240" w:after="240"/>
        <w:jc w:val="both"/>
      </w:pPr>
      <w:r w:rsidRPr="005E1DF4">
        <w:t xml:space="preserve">The objectives are </w:t>
      </w:r>
      <w:proofErr w:type="spellStart"/>
      <w:r w:rsidRPr="005E1DF4">
        <w:t>operationalised</w:t>
      </w:r>
      <w:proofErr w:type="spellEnd"/>
      <w:r w:rsidRPr="005E1DF4">
        <w:t xml:space="preserve"> through four research questions:</w:t>
      </w:r>
    </w:p>
    <w:p w14:paraId="651FC7BD" w14:textId="77777777" w:rsidR="008E4243" w:rsidRPr="005E1DF4" w:rsidRDefault="00000000" w:rsidP="008348CF">
      <w:pPr>
        <w:spacing w:before="240" w:after="240"/>
        <w:jc w:val="both"/>
      </w:pPr>
      <w:r w:rsidRPr="005E1DF4">
        <w:rPr>
          <w:b/>
          <w:bCs/>
        </w:rPr>
        <w:t xml:space="preserve">RQ1. </w:t>
      </w:r>
      <w:r w:rsidRPr="005E1DF4">
        <w:t>In what ways do AI-enabled cloud ERP platforms variably affect financial agility, scenario planning, and operational responsiveness in mid-market versus large enterprises?</w:t>
      </w:r>
    </w:p>
    <w:p w14:paraId="0F3E982C" w14:textId="77777777" w:rsidR="008E4243" w:rsidRPr="005E1DF4" w:rsidRDefault="00000000" w:rsidP="008348CF">
      <w:pPr>
        <w:spacing w:before="240" w:after="240"/>
        <w:jc w:val="both"/>
      </w:pPr>
      <w:r w:rsidRPr="005E1DF4">
        <w:rPr>
          <w:b/>
          <w:bCs/>
        </w:rPr>
        <w:t xml:space="preserve">RQ2. </w:t>
      </w:r>
      <w:r w:rsidRPr="005E1DF4">
        <w:t>In what ways do AI-enabled cloud ERP platforms variably affect financial agility, scenario planning, and operational responsiveness in mid-market versus large enterprises?</w:t>
      </w:r>
    </w:p>
    <w:p w14:paraId="6F6082C8" w14:textId="77777777" w:rsidR="008E4243" w:rsidRPr="005E1DF4" w:rsidRDefault="00000000" w:rsidP="008348CF">
      <w:pPr>
        <w:spacing w:before="240" w:after="240"/>
        <w:jc w:val="both"/>
      </w:pPr>
      <w:r w:rsidRPr="005E1DF4">
        <w:rPr>
          <w:b/>
          <w:bCs/>
        </w:rPr>
        <w:t xml:space="preserve">RQ3. </w:t>
      </w:r>
      <w:r w:rsidRPr="005E1DF4">
        <w:t>What qualitative and quantitative effects do embedded machine-learning models have on process automation, transaction-processing duration, mistake rate, and forecasting precision?</w:t>
      </w:r>
    </w:p>
    <w:p w14:paraId="648638B3" w14:textId="77777777" w:rsidR="008E4243" w:rsidRPr="005E1DF4" w:rsidRDefault="00000000" w:rsidP="008348CF">
      <w:pPr>
        <w:spacing w:before="240" w:after="240"/>
        <w:jc w:val="both"/>
      </w:pPr>
      <w:r w:rsidRPr="005E1DF4">
        <w:rPr>
          <w:b/>
          <w:bCs/>
        </w:rPr>
        <w:t xml:space="preserve">RQ4. </w:t>
      </w:r>
      <w:r w:rsidRPr="005E1DF4">
        <w:t>Which maturity stages, technical baselines, and socio-technical restrictions delineate an organization's path toward autonomous ERP operations?</w:t>
      </w:r>
    </w:p>
    <w:p w14:paraId="0C3A2996" w14:textId="77777777" w:rsidR="008E4243" w:rsidRPr="005E1DF4" w:rsidRDefault="00000000" w:rsidP="008348CF">
      <w:pPr>
        <w:pStyle w:val="Heading2"/>
        <w:jc w:val="both"/>
      </w:pPr>
      <w:r w:rsidRPr="005E1DF4">
        <w:t>Significance of the study</w:t>
      </w:r>
    </w:p>
    <w:p w14:paraId="2E5A0AF4" w14:textId="0FB44251" w:rsidR="008E4243" w:rsidRPr="005E1DF4" w:rsidRDefault="00000000" w:rsidP="008348CF">
      <w:pPr>
        <w:pStyle w:val="Heading2"/>
        <w:jc w:val="both"/>
        <w:rPr>
          <w:b w:val="0"/>
          <w:bCs w:val="0"/>
        </w:rPr>
      </w:pPr>
      <w:r w:rsidRPr="005E1DF4">
        <w:rPr>
          <w:b w:val="0"/>
          <w:bCs w:val="0"/>
        </w:rPr>
        <w:t xml:space="preserve">The paper covers the academic association of the dynamic capabilities framework and the embedded </w:t>
      </w:r>
      <w:r w:rsidR="00AB793B">
        <w:rPr>
          <w:b w:val="0"/>
          <w:bCs w:val="0"/>
        </w:rPr>
        <w:t xml:space="preserve">AI </w:t>
      </w:r>
      <w:r w:rsidRPr="005E1DF4">
        <w:rPr>
          <w:b w:val="0"/>
          <w:bCs w:val="0"/>
        </w:rPr>
        <w:t xml:space="preserve">of the core ERP systems, rather than studying different AI stand-alone applications separately (Mamone, 2025; </w:t>
      </w:r>
      <w:proofErr w:type="spellStart"/>
      <w:r w:rsidRPr="005E1DF4">
        <w:rPr>
          <w:b w:val="0"/>
          <w:bCs w:val="0"/>
        </w:rPr>
        <w:t>Sarferaz</w:t>
      </w:r>
      <w:proofErr w:type="spellEnd"/>
      <w:r w:rsidRPr="005E1DF4">
        <w:rPr>
          <w:b w:val="0"/>
          <w:bCs w:val="0"/>
        </w:rPr>
        <w:t>, 2025). This framework gives a maturity aware reference for the chief financial officers, chief information officers and enterprise architects, which can be used to have a structured comparison between platform archetypes and as guidance on implementing a governance driven strategy which reduces the cost of failed migrations (Khurram et al., 2025; Ranasinghe &amp; Gide, 2025). Both contributions focus on potential contemporary requirements for more operational/repeatable descriptions of the formation of digital capabilities, which are mostly inadequately addressed by most of the adoption literature through opaque descriptions (Tudor, 2026).</w:t>
      </w:r>
    </w:p>
    <w:p w14:paraId="4F62F39A" w14:textId="77777777" w:rsidR="008E4243" w:rsidRPr="005E1DF4" w:rsidRDefault="00000000" w:rsidP="008348CF">
      <w:pPr>
        <w:pStyle w:val="Heading2"/>
        <w:jc w:val="both"/>
      </w:pPr>
      <w:r w:rsidRPr="005E1DF4">
        <w:t>Structure of the paper</w:t>
      </w:r>
    </w:p>
    <w:p w14:paraId="2228474B" w14:textId="77777777" w:rsidR="008E4243" w:rsidRPr="005E1DF4" w:rsidRDefault="00000000" w:rsidP="008348CF">
      <w:pPr>
        <w:pStyle w:val="Heading1"/>
        <w:jc w:val="both"/>
        <w:rPr>
          <w:b w:val="0"/>
          <w:bCs w:val="0"/>
          <w:sz w:val="24"/>
          <w:szCs w:val="24"/>
        </w:rPr>
      </w:pPr>
      <w:r w:rsidRPr="005E1DF4">
        <w:rPr>
          <w:b w:val="0"/>
          <w:bCs w:val="0"/>
          <w:sz w:val="24"/>
          <w:szCs w:val="24"/>
        </w:rPr>
        <w:t xml:space="preserve">The paper is structured in five different movements, as follows. A thematic literature review gives a conceptual framework, a timeline, the key arguments and gaps in the study. The theoretical frameworks section outlines the four viewpoints from which the evidence is </w:t>
      </w:r>
      <w:proofErr w:type="spellStart"/>
      <w:r w:rsidRPr="005E1DF4">
        <w:rPr>
          <w:b w:val="0"/>
          <w:bCs w:val="0"/>
          <w:sz w:val="24"/>
          <w:szCs w:val="24"/>
        </w:rPr>
        <w:t>analysed</w:t>
      </w:r>
      <w:proofErr w:type="spellEnd"/>
      <w:r w:rsidRPr="005E1DF4">
        <w:rPr>
          <w:b w:val="0"/>
          <w:bCs w:val="0"/>
          <w:sz w:val="24"/>
          <w:szCs w:val="24"/>
        </w:rPr>
        <w:t>. The rationale and processes of the conceptual-review design are explained in the methodology section. Then, a comparative study and a strategy to combine them in a conceptual framework are presented. The latter sections deal with future implications, obstacles found, seven directions for further research and a concluding perspective on why and when AI-enabled cloud ERP supports agility.</w:t>
      </w:r>
    </w:p>
    <w:p w14:paraId="7E43D4BF" w14:textId="77777777" w:rsidR="008E4243" w:rsidRPr="005E1DF4" w:rsidRDefault="00000000" w:rsidP="008348CF">
      <w:pPr>
        <w:pStyle w:val="Heading1"/>
        <w:jc w:val="both"/>
      </w:pPr>
      <w:r w:rsidRPr="005E1DF4">
        <w:t>LITERATURE REVIEW</w:t>
      </w:r>
    </w:p>
    <w:p w14:paraId="0B458EB0" w14:textId="77777777" w:rsidR="008E4243" w:rsidRPr="005E1DF4" w:rsidRDefault="00000000" w:rsidP="008348CF">
      <w:pPr>
        <w:spacing w:before="240" w:after="240"/>
        <w:jc w:val="both"/>
      </w:pPr>
      <w:r w:rsidRPr="005E1DF4">
        <w:t xml:space="preserve">The review of the literature reveals that </w:t>
      </w:r>
      <w:proofErr w:type="gramStart"/>
      <w:r w:rsidRPr="005E1DF4">
        <w:t>scholarship</w:t>
      </w:r>
      <w:proofErr w:type="gramEnd"/>
      <w:r w:rsidRPr="005E1DF4">
        <w:t xml:space="preserve"> on AI-enabled cloud ERP </w:t>
      </w:r>
      <w:proofErr w:type="gramStart"/>
      <w:r w:rsidRPr="005E1DF4">
        <w:t>is</w:t>
      </w:r>
      <w:proofErr w:type="gramEnd"/>
      <w:r w:rsidRPr="005E1DF4">
        <w:t xml:space="preserve"> positioned at the intersection of three bodies of work. There </w:t>
      </w:r>
      <w:proofErr w:type="gramStart"/>
      <w:r w:rsidRPr="005E1DF4">
        <w:t>are</w:t>
      </w:r>
      <w:proofErr w:type="gramEnd"/>
      <w:r w:rsidRPr="005E1DF4">
        <w:t xml:space="preserve"> the evolution of enterprise systems, the cloud and AI adoption traditions, and the strategic management literature on agility and dynamic capability. The review is structured conceptually across various streams. It outlines the evolution of the discipline, reveals the analytical lines along which AI integration is </w:t>
      </w:r>
      <w:proofErr w:type="spellStart"/>
      <w:r w:rsidRPr="005E1DF4">
        <w:t>theorised</w:t>
      </w:r>
      <w:proofErr w:type="spellEnd"/>
      <w:r w:rsidRPr="005E1DF4">
        <w:t>, separates the important issues, and indicates the gaps this work addresses.</w:t>
      </w:r>
    </w:p>
    <w:p w14:paraId="067FAD9D" w14:textId="77777777" w:rsidR="008E4243" w:rsidRPr="005E1DF4" w:rsidRDefault="00000000" w:rsidP="008348CF">
      <w:pPr>
        <w:pStyle w:val="Heading2"/>
        <w:jc w:val="both"/>
      </w:pPr>
      <w:r w:rsidRPr="005E1DF4">
        <w:t>Conceptual foundations and definitions</w:t>
      </w:r>
    </w:p>
    <w:p w14:paraId="6B3411EF" w14:textId="77777777" w:rsidR="008E4243" w:rsidRPr="005E1DF4" w:rsidRDefault="00000000" w:rsidP="008348CF">
      <w:pPr>
        <w:spacing w:before="240" w:after="240"/>
        <w:jc w:val="both"/>
      </w:pPr>
      <w:r w:rsidRPr="005E1DF4">
        <w:rPr>
          <w:b/>
          <w:bCs/>
        </w:rPr>
        <w:t xml:space="preserve">AI-enabled ERP systems. </w:t>
      </w:r>
      <w:r w:rsidRPr="005E1DF4">
        <w:t xml:space="preserve">AI-powered ERP systems. The difference between an AI-enabled ERP and transactional database is the direct integration of computational technologies, supervised and unsupervised machine learning, natural language processing, and neural architectures inside the data and application layers (Govinda et al., 2025; </w:t>
      </w:r>
      <w:proofErr w:type="spellStart"/>
      <w:r w:rsidRPr="005E1DF4">
        <w:t>Julakanti</w:t>
      </w:r>
      <w:proofErr w:type="spellEnd"/>
      <w:r w:rsidRPr="005E1DF4">
        <w:t xml:space="preserve"> et al., 2025). </w:t>
      </w:r>
      <w:proofErr w:type="gramStart"/>
      <w:r w:rsidRPr="005E1DF4">
        <w:t>The technology</w:t>
      </w:r>
      <w:proofErr w:type="gramEnd"/>
      <w:r w:rsidRPr="005E1DF4">
        <w:t xml:space="preserve"> can assess historical and streaming data, </w:t>
      </w:r>
      <w:proofErr w:type="spellStart"/>
      <w:r w:rsidRPr="005E1DF4">
        <w:t>recognise</w:t>
      </w:r>
      <w:proofErr w:type="spellEnd"/>
      <w:r w:rsidRPr="005E1DF4">
        <w:t xml:space="preserve"> </w:t>
      </w:r>
      <w:proofErr w:type="spellStart"/>
      <w:r w:rsidRPr="005E1DF4">
        <w:lastRenderedPageBreak/>
        <w:t>behavioural</w:t>
      </w:r>
      <w:proofErr w:type="spellEnd"/>
      <w:r w:rsidRPr="005E1DF4">
        <w:t xml:space="preserve"> trends, automate cognitive processes and give predictive and prescriptive recommendations across corporate functions. The distinction between an AI tool as a free-standing add-on to an ERP and an ERP with intelligence integrated into its core is important for both architecture and outcome, and the blending of the two has been found to cause inconsistency in the empirical literature (Mamone, 2025; </w:t>
      </w:r>
      <w:proofErr w:type="spellStart"/>
      <w:r w:rsidRPr="005E1DF4">
        <w:t>Panggabean</w:t>
      </w:r>
      <w:proofErr w:type="spellEnd"/>
      <w:r w:rsidRPr="005E1DF4">
        <w:t xml:space="preserve"> et al., 2025).</w:t>
      </w:r>
    </w:p>
    <w:p w14:paraId="47A0FCFA" w14:textId="77777777" w:rsidR="008E4243" w:rsidRPr="005E1DF4" w:rsidRDefault="00000000" w:rsidP="008348CF">
      <w:pPr>
        <w:spacing w:before="240" w:after="240"/>
        <w:jc w:val="both"/>
      </w:pPr>
      <w:r w:rsidRPr="005E1DF4">
        <w:rPr>
          <w:b/>
          <w:bCs/>
        </w:rPr>
        <w:t xml:space="preserve">Cloud ERP architecture. </w:t>
      </w:r>
      <w:r w:rsidRPr="005E1DF4">
        <w:t xml:space="preserve">Cloud ERP is defined as implementation on subscription-based, scalable cloud-native or hybrid infrastructure that is managed by external providers (Bhatia, 2025; Srivastava et al., 2026). These deployments are </w:t>
      </w:r>
      <w:proofErr w:type="spellStart"/>
      <w:r w:rsidRPr="005E1DF4">
        <w:t>characterised</w:t>
      </w:r>
      <w:proofErr w:type="spellEnd"/>
      <w:r w:rsidRPr="005E1DF4">
        <w:t xml:space="preserve"> by in-memory database technologies, APIs-focused configurations, and microservices, differentiating them from hard on-premises installations and enabling dynamic capacity scaling and continuous absorption of vendor innovation without manual upgrade cycles (Jain et al., 2022; Shivarudra &amp; Kumar, 2025).</w:t>
      </w:r>
    </w:p>
    <w:p w14:paraId="0615E61B" w14:textId="77777777" w:rsidR="008E4243" w:rsidRPr="005E1DF4" w:rsidRDefault="00000000" w:rsidP="008348CF">
      <w:pPr>
        <w:spacing w:before="240" w:after="240"/>
        <w:jc w:val="both"/>
      </w:pPr>
      <w:r w:rsidRPr="005E1DF4">
        <w:rPr>
          <w:b/>
          <w:bCs/>
        </w:rPr>
        <w:t xml:space="preserve">Organizational agility. </w:t>
      </w:r>
    </w:p>
    <w:p w14:paraId="112940C6" w14:textId="77777777" w:rsidR="008E4243" w:rsidRPr="005E1DF4" w:rsidRDefault="00000000" w:rsidP="008348CF">
      <w:pPr>
        <w:spacing w:before="240" w:after="240"/>
        <w:jc w:val="both"/>
      </w:pPr>
      <w:r w:rsidRPr="005E1DF4">
        <w:t>Diverse approaches exist in the field of digital enterprise research, but organisational agility can be considered the multifaceted capacity to sense market changes, the ability to anticipate disturbance and the capacity to quickly and accurately reconfigure operations (</w:t>
      </w:r>
      <w:proofErr w:type="spellStart"/>
      <w:r w:rsidRPr="005E1DF4">
        <w:t>Koundal</w:t>
      </w:r>
      <w:proofErr w:type="spellEnd"/>
      <w:r w:rsidRPr="005E1DF4">
        <w:t xml:space="preserve"> et al., 2024; </w:t>
      </w:r>
      <w:proofErr w:type="spellStart"/>
      <w:r w:rsidRPr="005E1DF4">
        <w:t>AlMahadin</w:t>
      </w:r>
      <w:proofErr w:type="spellEnd"/>
      <w:r w:rsidRPr="005E1DF4">
        <w:t xml:space="preserve">, 2025). It can be effectively broken down into three categories. There </w:t>
      </w:r>
      <w:proofErr w:type="gramStart"/>
      <w:r w:rsidRPr="005E1DF4">
        <w:t>are</w:t>
      </w:r>
      <w:proofErr w:type="gramEnd"/>
      <w:r w:rsidRPr="005E1DF4">
        <w:t xml:space="preserve"> financial agility (quick adjustment in budgeting, projection and capital allocation), operational agility (dynamic </w:t>
      </w:r>
      <w:proofErr w:type="spellStart"/>
      <w:r w:rsidRPr="005E1DF4">
        <w:t>optimisation</w:t>
      </w:r>
      <w:proofErr w:type="spellEnd"/>
      <w:r w:rsidRPr="005E1DF4">
        <w:t xml:space="preserve"> of production, inventories, etc.) and strategic agility (the capability to reconfigure business models to reap opportunities/options).</w:t>
      </w:r>
    </w:p>
    <w:p w14:paraId="76A6B0C9" w14:textId="77777777" w:rsidR="008E4243" w:rsidRPr="005E1DF4" w:rsidRDefault="00000000" w:rsidP="008348CF">
      <w:pPr>
        <w:spacing w:before="240" w:after="240"/>
        <w:jc w:val="both"/>
      </w:pPr>
      <w:r w:rsidRPr="005E1DF4">
        <w:rPr>
          <w:b/>
          <w:bCs/>
        </w:rPr>
        <w:t xml:space="preserve">Real-time analytics. </w:t>
      </w:r>
    </w:p>
    <w:p w14:paraId="73D90C72" w14:textId="77777777" w:rsidR="008E4243" w:rsidRPr="005E1DF4" w:rsidRDefault="00000000" w:rsidP="008348CF">
      <w:pPr>
        <w:spacing w:before="240" w:after="240"/>
        <w:jc w:val="both"/>
      </w:pPr>
      <w:r w:rsidRPr="005E1DF4">
        <w:t>Real-time analytics is the constant, speedy utilization and analysis of the streaming operational data, which is not transferred to a separate warehouse (Upadhyaya &amp; Koka, 2026; Aanand et al., 2025). The functionality is based on high-performance in-memory databases for immediate query execution and role-based interactive dashboards.</w:t>
      </w:r>
    </w:p>
    <w:p w14:paraId="68BF7450" w14:textId="77777777" w:rsidR="008E4243" w:rsidRPr="005E1DF4" w:rsidRDefault="00000000" w:rsidP="008348CF">
      <w:pPr>
        <w:spacing w:before="240" w:after="240"/>
        <w:jc w:val="both"/>
        <w:rPr>
          <w:b/>
          <w:bCs/>
        </w:rPr>
      </w:pPr>
      <w:r w:rsidRPr="005E1DF4">
        <w:rPr>
          <w:b/>
          <w:bCs/>
        </w:rPr>
        <w:t xml:space="preserve">Governance. </w:t>
      </w:r>
    </w:p>
    <w:p w14:paraId="13DE077E" w14:textId="77777777" w:rsidR="008E4243" w:rsidRPr="005E1DF4" w:rsidRDefault="00000000" w:rsidP="008348CF">
      <w:pPr>
        <w:pStyle w:val="Heading2"/>
        <w:jc w:val="both"/>
        <w:rPr>
          <w:b w:val="0"/>
          <w:bCs w:val="0"/>
        </w:rPr>
      </w:pPr>
      <w:r w:rsidRPr="005E1DF4">
        <w:rPr>
          <w:b w:val="0"/>
          <w:bCs w:val="0"/>
        </w:rPr>
        <w:t>Governance in intelligent enterprise environments involves the establishment of policies, controls, and security protocols to maintain data integrity, reliability, and adherence to regulations and standards (Singh &amp; Dutta, 2026; Kumar &amp; Jaya, 2026). The increased integration of AI Trust, Risk and Security Management (</w:t>
      </w:r>
      <w:proofErr w:type="spellStart"/>
      <w:r w:rsidRPr="005E1DF4">
        <w:rPr>
          <w:b w:val="0"/>
          <w:bCs w:val="0"/>
        </w:rPr>
        <w:t>TRiSM</w:t>
      </w:r>
      <w:proofErr w:type="spellEnd"/>
      <w:r w:rsidRPr="005E1DF4">
        <w:rPr>
          <w:b w:val="0"/>
          <w:bCs w:val="0"/>
        </w:rPr>
        <w:t xml:space="preserve">) beyond the usual data governance features </w:t>
      </w:r>
      <w:proofErr w:type="gramStart"/>
      <w:r w:rsidRPr="005E1DF4">
        <w:rPr>
          <w:b w:val="0"/>
          <w:bCs w:val="0"/>
        </w:rPr>
        <w:t>includes</w:t>
      </w:r>
      <w:proofErr w:type="gramEnd"/>
      <w:r w:rsidRPr="005E1DF4">
        <w:rPr>
          <w:b w:val="0"/>
          <w:bCs w:val="0"/>
        </w:rPr>
        <w:t xml:space="preserve"> anomaly detection, continuous model monitoring, audit logging, data residency enforcement and explainability (Sharma et al., 2026; Leon, 2026). You will notice that the word 'governance' appears repeatedly in this piece, not necessarily as a separate notion, but as the required context that enables the safe autonomy of AI-powered cloud ERP.</w:t>
      </w:r>
    </w:p>
    <w:p w14:paraId="47D22BDD" w14:textId="77777777" w:rsidR="008E4243" w:rsidRPr="005E1DF4" w:rsidRDefault="00000000" w:rsidP="008348CF">
      <w:pPr>
        <w:pStyle w:val="Heading2"/>
        <w:jc w:val="both"/>
      </w:pPr>
      <w:r w:rsidRPr="005E1DF4">
        <w:t>Evolution of ERP scholarship</w:t>
      </w:r>
    </w:p>
    <w:p w14:paraId="64E994E0" w14:textId="77777777" w:rsidR="008E4243" w:rsidRPr="005E1DF4" w:rsidRDefault="00000000" w:rsidP="008348CF">
      <w:pPr>
        <w:shd w:val="clear" w:color="auto" w:fill="FFFFFF"/>
        <w:spacing w:after="160"/>
        <w:jc w:val="both"/>
      </w:pPr>
      <w:r w:rsidRPr="005E1DF4">
        <w:t>Intelligent enterprise environments include more than policies, rules, and security measures that are crucial to data integrity, model reliability, and regulatory adherence (Kumar &amp; Jaya, 2026; Singh &amp; Dutta, 2026). It adds on top of traditional data governance AI Trust, Risk, and Security Management (</w:t>
      </w:r>
      <w:proofErr w:type="spellStart"/>
      <w:r w:rsidRPr="005E1DF4">
        <w:t>TRiSM</w:t>
      </w:r>
      <w:proofErr w:type="spellEnd"/>
      <w:r w:rsidRPr="005E1DF4">
        <w:t xml:space="preserve">), including anomaly detection, continuous model monitoring, audit logging, data residency enforcement, and explainability (Sharma et al., 2026; Leon, 2026). Going back to the title, governance is a major theme throughout this article and not just a standalone problem, but a prerequisite and condition to the safe operation of AI-powered cloud ERP gaining autonomy. </w:t>
      </w:r>
    </w:p>
    <w:p w14:paraId="70013C2D" w14:textId="77777777" w:rsidR="008E4243" w:rsidRPr="005E1DF4" w:rsidRDefault="00000000" w:rsidP="008348CF">
      <w:pPr>
        <w:shd w:val="clear" w:color="auto" w:fill="FFFFFF"/>
        <w:spacing w:after="160"/>
        <w:jc w:val="both"/>
      </w:pPr>
      <w:r w:rsidRPr="005E1DF4">
        <w:t xml:space="preserve">Early ERP studies defined the system as a process-focused information technology for the integration of database systems, emphasizing the avoidance of dual data-entry, process optimization and reduced administration (Watson and Schwarz, 2023). At that time, implementation studies documented the automation of repetitive transactional processes such as accounting in general ledger and material tracking, but they also started to show a structural challenge: that traditional on-premises deployments were effective static, retrospective stores with limited analytical depth (Abazi </w:t>
      </w:r>
      <w:proofErr w:type="spellStart"/>
      <w:r w:rsidRPr="005E1DF4">
        <w:t>Chaushi</w:t>
      </w:r>
      <w:proofErr w:type="spellEnd"/>
      <w:r w:rsidRPr="005E1DF4">
        <w:t xml:space="preserve"> &amp; </w:t>
      </w:r>
      <w:proofErr w:type="spellStart"/>
      <w:r w:rsidRPr="005E1DF4">
        <w:t>Chaushi</w:t>
      </w:r>
      <w:proofErr w:type="spellEnd"/>
      <w:r w:rsidRPr="005E1DF4">
        <w:t>, 2025).</w:t>
      </w:r>
    </w:p>
    <w:p w14:paraId="6C6245A9" w14:textId="77777777" w:rsidR="00EA516C" w:rsidRPr="005E1DF4" w:rsidRDefault="00EA516C" w:rsidP="008348CF">
      <w:pPr>
        <w:shd w:val="clear" w:color="auto" w:fill="FFFFFF"/>
        <w:spacing w:after="160"/>
        <w:jc w:val="both"/>
        <w:rPr>
          <w:color w:val="000000"/>
        </w:rPr>
      </w:pPr>
    </w:p>
    <w:p w14:paraId="7A6E6C47" w14:textId="77777777" w:rsidR="008E4243" w:rsidRPr="005E1DF4" w:rsidRDefault="00000000" w:rsidP="008348CF">
      <w:pPr>
        <w:pStyle w:val="Heading2"/>
        <w:jc w:val="both"/>
      </w:pPr>
      <w:r w:rsidRPr="005E1DF4">
        <w:lastRenderedPageBreak/>
        <w:t>Adoption determinants and the SME perspective</w:t>
      </w:r>
    </w:p>
    <w:p w14:paraId="793CC937" w14:textId="77777777" w:rsidR="008E4243" w:rsidRPr="005E1DF4" w:rsidRDefault="00000000" w:rsidP="008348CF">
      <w:pPr>
        <w:spacing w:before="240" w:after="240"/>
        <w:jc w:val="both"/>
      </w:pPr>
      <w:r w:rsidRPr="005E1DF4">
        <w:rPr>
          <w:highlight w:val="white"/>
        </w:rPr>
        <w:t xml:space="preserve">The known inflection point of cloud computing was embedded AI. From migration problems to the strategic impacts of smart ERPs, there was a shift and subsequent studies highlighted how cloud architectures overcame monolithic and inflexible legacy databases by offering scalable, accessible, and adaptable software ecosystems (Lee et al., 2024; Mamone, 2025). The next step is adding machine learning which transformed ERP into a decision support solution. AI technology applications have been used to process real-time transactional data and proactively identify and resolve financial discrepancies, thereby shifting management accounting from a reactive to a real-time, proactive approach (Oliveira &amp; Ribeiro, 2022; </w:t>
      </w:r>
      <w:proofErr w:type="spellStart"/>
      <w:r w:rsidRPr="005E1DF4">
        <w:rPr>
          <w:highlight w:val="white"/>
        </w:rPr>
        <w:t>Thanasas</w:t>
      </w:r>
      <w:proofErr w:type="spellEnd"/>
      <w:r w:rsidRPr="005E1DF4">
        <w:rPr>
          <w:highlight w:val="white"/>
        </w:rPr>
        <w:t xml:space="preserve"> et al., 2026), and continuously learning algorithms that adapt to economic fluctuations to improve budget accuracy and cost management in the long term (Zhang, 2026).</w:t>
      </w:r>
      <w:r w:rsidRPr="005E1DF4">
        <w:t xml:space="preserve"> </w:t>
      </w:r>
    </w:p>
    <w:p w14:paraId="2C0032B3" w14:textId="77777777" w:rsidR="008E4243" w:rsidRPr="005E1DF4" w:rsidRDefault="00000000" w:rsidP="008348CF">
      <w:pPr>
        <w:pStyle w:val="Heading2"/>
        <w:jc w:val="both"/>
        <w:rPr>
          <w:b w:val="0"/>
          <w:bCs w:val="0"/>
        </w:rPr>
      </w:pPr>
      <w:r w:rsidRPr="005E1DF4">
        <w:rPr>
          <w:b w:val="0"/>
          <w:bCs w:val="0"/>
          <w:highlight w:val="white"/>
        </w:rPr>
        <w:t xml:space="preserve">The operational perspective is gained from focus group meetings with small and medium-sized companies. According to </w:t>
      </w:r>
      <w:proofErr w:type="spellStart"/>
      <w:r w:rsidRPr="005E1DF4">
        <w:rPr>
          <w:b w:val="0"/>
          <w:bCs w:val="0"/>
          <w:highlight w:val="white"/>
        </w:rPr>
        <w:t>Achargui</w:t>
      </w:r>
      <w:proofErr w:type="spellEnd"/>
      <w:r w:rsidRPr="005E1DF4">
        <w:rPr>
          <w:b w:val="0"/>
          <w:bCs w:val="0"/>
          <w:highlight w:val="white"/>
        </w:rPr>
        <w:t xml:space="preserve"> and </w:t>
      </w:r>
      <w:proofErr w:type="spellStart"/>
      <w:r w:rsidRPr="005E1DF4">
        <w:rPr>
          <w:b w:val="0"/>
          <w:bCs w:val="0"/>
          <w:highlight w:val="white"/>
        </w:rPr>
        <w:t>Zaouia</w:t>
      </w:r>
      <w:proofErr w:type="spellEnd"/>
      <w:r w:rsidRPr="005E1DF4">
        <w:rPr>
          <w:b w:val="0"/>
          <w:bCs w:val="0"/>
          <w:highlight w:val="white"/>
        </w:rPr>
        <w:t xml:space="preserve"> (2016), these three deployment models are at times confounded in both the academic and practitioner worlds, and the authors have made an effort to differentiate these models, suggesting that the software as a service deployment model reduces the total cost of ownership and increases focus on the core business, at the same time limiting the degree of </w:t>
      </w:r>
      <w:proofErr w:type="spellStart"/>
      <w:r w:rsidRPr="005E1DF4">
        <w:rPr>
          <w:b w:val="0"/>
          <w:bCs w:val="0"/>
          <w:highlight w:val="white"/>
        </w:rPr>
        <w:t>customisation</w:t>
      </w:r>
      <w:proofErr w:type="spellEnd"/>
      <w:r w:rsidRPr="005E1DF4">
        <w:rPr>
          <w:b w:val="0"/>
          <w:bCs w:val="0"/>
          <w:highlight w:val="white"/>
        </w:rPr>
        <w:t xml:space="preserve">. It observes that smaller enterprises never use authentic cloud scalability and that both off-premises options have failed to reduce reliance on </w:t>
      </w:r>
      <w:proofErr w:type="gramStart"/>
      <w:r w:rsidRPr="005E1DF4">
        <w:rPr>
          <w:b w:val="0"/>
          <w:bCs w:val="0"/>
          <w:highlight w:val="white"/>
        </w:rPr>
        <w:t>connection</w:t>
      </w:r>
      <w:proofErr w:type="gramEnd"/>
      <w:r w:rsidRPr="005E1DF4">
        <w:rPr>
          <w:b w:val="0"/>
          <w:bCs w:val="0"/>
          <w:highlight w:val="white"/>
        </w:rPr>
        <w:t xml:space="preserve">. Recent syntheses focused on SMEs also conclude similar findings in that readiness, complementary resources, and organisational context play crucial roles for adopting ERP with artificial intelligence (AI) (Ranasinghe &amp; Gide, 2025; </w:t>
      </w:r>
      <w:proofErr w:type="spellStart"/>
      <w:r w:rsidRPr="005E1DF4">
        <w:rPr>
          <w:b w:val="0"/>
          <w:bCs w:val="0"/>
          <w:highlight w:val="white"/>
        </w:rPr>
        <w:t>Lawendatu</w:t>
      </w:r>
      <w:proofErr w:type="spellEnd"/>
      <w:r w:rsidRPr="005E1DF4">
        <w:rPr>
          <w:b w:val="0"/>
          <w:bCs w:val="0"/>
          <w:highlight w:val="white"/>
        </w:rPr>
        <w:t xml:space="preserve"> et al., 2026).</w:t>
      </w:r>
      <w:r w:rsidRPr="005E1DF4">
        <w:rPr>
          <w:b w:val="0"/>
          <w:bCs w:val="0"/>
        </w:rPr>
        <w:t xml:space="preserve"> </w:t>
      </w:r>
    </w:p>
    <w:p w14:paraId="1EA5D046" w14:textId="77777777" w:rsidR="008E4243" w:rsidRPr="005E1DF4" w:rsidRDefault="00000000" w:rsidP="008348CF">
      <w:pPr>
        <w:pStyle w:val="Heading2"/>
        <w:jc w:val="both"/>
      </w:pPr>
      <w:r w:rsidRPr="005E1DF4">
        <w:t>Comparative profiles of leading enterprise platforms</w:t>
      </w:r>
    </w:p>
    <w:p w14:paraId="5A33DFB3" w14:textId="77777777" w:rsidR="008E4243" w:rsidRPr="005E1DF4" w:rsidRDefault="00000000" w:rsidP="008348CF">
      <w:pPr>
        <w:spacing w:before="240" w:after="240"/>
        <w:jc w:val="both"/>
      </w:pPr>
      <w:r w:rsidRPr="005E1DF4">
        <w:t xml:space="preserve">However, not all literature is considered foundational here, but illuminative to platform comparison. There are a few notable enterprise platforms, each of which is designed in a different way, represented by the likes of SAP S/4HANA Cloud, Workday, and NetSuite, each with its unique criterion of agility in mind (Sharma et al., 2025; Alkhatib, 2026; Karthikeyan et al., 2024). Applying a collective analysis of them is useful because the differences between each platform come to light and signal the compromises in AI-enabled cloud ERP architectures, as opposed to highlighting any single platform as the topic of the paper. Table 1 </w:t>
      </w:r>
      <w:proofErr w:type="spellStart"/>
      <w:r w:rsidRPr="005E1DF4">
        <w:t>summarises</w:t>
      </w:r>
      <w:proofErr w:type="spellEnd"/>
      <w:r w:rsidRPr="005E1DF4">
        <w:t xml:space="preserve"> the comparative evaluations based on the literature inspected: the entries are qualitative descriptions that are understood as such throughout the discussion.</w:t>
      </w:r>
    </w:p>
    <w:p w14:paraId="1319C0CE" w14:textId="77777777" w:rsidR="008E4243" w:rsidRPr="005E1DF4" w:rsidRDefault="00000000" w:rsidP="008348CF">
      <w:pPr>
        <w:spacing w:before="120" w:after="120"/>
        <w:jc w:val="both"/>
      </w:pPr>
      <w:r w:rsidRPr="005E1DF4">
        <w:rPr>
          <w:b/>
          <w:bCs/>
        </w:rPr>
        <w:t>Table 1. Illustrative comparison of leading cloud ERP platform archetypes across agility dimensions.</w:t>
      </w:r>
    </w:p>
    <w:tbl>
      <w:tblPr>
        <w:tblStyle w:val="a"/>
        <w:tblW w:w="107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5"/>
        <w:gridCol w:w="2880"/>
        <w:gridCol w:w="2055"/>
        <w:gridCol w:w="3705"/>
      </w:tblGrid>
      <w:tr w:rsidR="008E4243" w:rsidRPr="005E1DF4" w14:paraId="3A75DE62" w14:textId="77777777" w:rsidTr="00AD59FE">
        <w:trPr>
          <w:tblHeader/>
          <w:jc w:val="center"/>
        </w:trPr>
        <w:tc>
          <w:tcPr>
            <w:tcW w:w="2065" w:type="dxa"/>
            <w:tcBorders>
              <w:top w:val="single" w:sz="4" w:space="0" w:color="999999"/>
              <w:left w:val="single" w:sz="4" w:space="0" w:color="999999"/>
              <w:bottom w:val="single" w:sz="4" w:space="0" w:color="999999"/>
              <w:right w:val="single" w:sz="4" w:space="0" w:color="999999"/>
            </w:tcBorders>
            <w:shd w:val="clear" w:color="auto" w:fill="FFFFFF" w:themeFill="background1"/>
            <w:tcMar>
              <w:top w:w="60" w:type="dxa"/>
              <w:left w:w="100" w:type="dxa"/>
              <w:bottom w:w="60" w:type="dxa"/>
              <w:right w:w="100" w:type="dxa"/>
            </w:tcMar>
          </w:tcPr>
          <w:p w14:paraId="5E064C17" w14:textId="77777777" w:rsidR="008E4243" w:rsidRPr="00AD59FE" w:rsidRDefault="00000000" w:rsidP="00AD59FE">
            <w:pPr>
              <w:spacing w:before="20" w:after="20"/>
              <w:jc w:val="center"/>
              <w:rPr>
                <w:sz w:val="20"/>
                <w:szCs w:val="20"/>
              </w:rPr>
            </w:pPr>
            <w:r w:rsidRPr="00AD59FE">
              <w:rPr>
                <w:b/>
                <w:bCs/>
                <w:sz w:val="20"/>
                <w:szCs w:val="20"/>
              </w:rPr>
              <w:t>Evaluation parameter</w:t>
            </w:r>
          </w:p>
        </w:tc>
        <w:tc>
          <w:tcPr>
            <w:tcW w:w="2880" w:type="dxa"/>
            <w:tcBorders>
              <w:top w:val="single" w:sz="4" w:space="0" w:color="999999"/>
              <w:left w:val="single" w:sz="4" w:space="0" w:color="999999"/>
              <w:bottom w:val="single" w:sz="4" w:space="0" w:color="999999"/>
              <w:right w:val="single" w:sz="4" w:space="0" w:color="999999"/>
            </w:tcBorders>
            <w:shd w:val="clear" w:color="auto" w:fill="FFFFFF" w:themeFill="background1"/>
            <w:tcMar>
              <w:top w:w="60" w:type="dxa"/>
              <w:left w:w="100" w:type="dxa"/>
              <w:bottom w:w="60" w:type="dxa"/>
              <w:right w:w="100" w:type="dxa"/>
            </w:tcMar>
          </w:tcPr>
          <w:p w14:paraId="2C4C9E32" w14:textId="743871F4" w:rsidR="00AD59FE" w:rsidRPr="00AD59FE" w:rsidRDefault="00000000" w:rsidP="00AD59FE">
            <w:pPr>
              <w:spacing w:before="20" w:after="20"/>
              <w:jc w:val="center"/>
              <w:rPr>
                <w:b/>
                <w:bCs/>
                <w:sz w:val="20"/>
                <w:szCs w:val="20"/>
              </w:rPr>
            </w:pPr>
            <w:r w:rsidRPr="00AD59FE">
              <w:rPr>
                <w:b/>
                <w:bCs/>
                <w:sz w:val="20"/>
                <w:szCs w:val="20"/>
              </w:rPr>
              <w:t>Workforce-integrated archetype</w:t>
            </w:r>
          </w:p>
          <w:p w14:paraId="32A20378" w14:textId="2AD79A71" w:rsidR="008E4243" w:rsidRPr="00AD59FE" w:rsidRDefault="00000000" w:rsidP="00AD59FE">
            <w:pPr>
              <w:spacing w:before="20" w:after="20"/>
              <w:jc w:val="center"/>
              <w:rPr>
                <w:sz w:val="20"/>
                <w:szCs w:val="20"/>
              </w:rPr>
            </w:pPr>
            <w:r w:rsidRPr="00AD59FE">
              <w:rPr>
                <w:b/>
                <w:bCs/>
                <w:sz w:val="20"/>
                <w:szCs w:val="20"/>
              </w:rPr>
              <w:t>(e.g. Workday)</w:t>
            </w:r>
          </w:p>
        </w:tc>
        <w:tc>
          <w:tcPr>
            <w:tcW w:w="2055" w:type="dxa"/>
            <w:tcBorders>
              <w:top w:val="single" w:sz="4" w:space="0" w:color="999999"/>
              <w:left w:val="single" w:sz="4" w:space="0" w:color="999999"/>
              <w:bottom w:val="single" w:sz="4" w:space="0" w:color="999999"/>
              <w:right w:val="single" w:sz="4" w:space="0" w:color="999999"/>
            </w:tcBorders>
            <w:shd w:val="clear" w:color="auto" w:fill="FFFFFF" w:themeFill="background1"/>
            <w:tcMar>
              <w:top w:w="60" w:type="dxa"/>
              <w:left w:w="100" w:type="dxa"/>
              <w:bottom w:w="60" w:type="dxa"/>
              <w:right w:w="100" w:type="dxa"/>
            </w:tcMar>
          </w:tcPr>
          <w:p w14:paraId="0C6BE8C4" w14:textId="77777777" w:rsidR="008E4243" w:rsidRPr="00AD59FE" w:rsidRDefault="00000000" w:rsidP="00AD59FE">
            <w:pPr>
              <w:spacing w:before="20" w:after="20"/>
              <w:jc w:val="center"/>
              <w:rPr>
                <w:sz w:val="20"/>
                <w:szCs w:val="20"/>
              </w:rPr>
            </w:pPr>
            <w:r w:rsidRPr="00AD59FE">
              <w:rPr>
                <w:b/>
                <w:bCs/>
                <w:sz w:val="20"/>
                <w:szCs w:val="20"/>
              </w:rPr>
              <w:t>Mid-market multi-entity archetype (e.g. NetSuite)</w:t>
            </w:r>
          </w:p>
        </w:tc>
        <w:tc>
          <w:tcPr>
            <w:tcW w:w="3705" w:type="dxa"/>
            <w:tcBorders>
              <w:top w:val="single" w:sz="4" w:space="0" w:color="999999"/>
              <w:left w:val="single" w:sz="4" w:space="0" w:color="999999"/>
              <w:bottom w:val="single" w:sz="4" w:space="0" w:color="999999"/>
              <w:right w:val="single" w:sz="4" w:space="0" w:color="999999"/>
            </w:tcBorders>
            <w:shd w:val="clear" w:color="auto" w:fill="FFFFFF" w:themeFill="background1"/>
            <w:tcMar>
              <w:top w:w="60" w:type="dxa"/>
              <w:left w:w="100" w:type="dxa"/>
              <w:bottom w:w="60" w:type="dxa"/>
              <w:right w:w="100" w:type="dxa"/>
            </w:tcMar>
          </w:tcPr>
          <w:p w14:paraId="22CD5656" w14:textId="7544D28A" w:rsidR="008E4243" w:rsidRPr="00AD59FE" w:rsidRDefault="00000000" w:rsidP="00AD59FE">
            <w:pPr>
              <w:spacing w:before="20" w:after="20"/>
              <w:jc w:val="center"/>
              <w:rPr>
                <w:sz w:val="20"/>
                <w:szCs w:val="20"/>
              </w:rPr>
            </w:pPr>
            <w:r w:rsidRPr="00AD59FE">
              <w:rPr>
                <w:b/>
                <w:bCs/>
                <w:sz w:val="20"/>
                <w:szCs w:val="20"/>
              </w:rPr>
              <w:t>Enterprise-scale</w:t>
            </w:r>
            <w:r w:rsidR="00EA516C" w:rsidRPr="00AD59FE">
              <w:rPr>
                <w:b/>
                <w:bCs/>
                <w:sz w:val="20"/>
                <w:szCs w:val="20"/>
              </w:rPr>
              <w:t xml:space="preserve"> </w:t>
            </w:r>
            <w:r w:rsidRPr="00AD59FE">
              <w:rPr>
                <w:b/>
                <w:bCs/>
                <w:sz w:val="20"/>
                <w:szCs w:val="20"/>
              </w:rPr>
              <w:t>analytical archetype (e.g. SAP S/4HANA Cloud)</w:t>
            </w:r>
          </w:p>
        </w:tc>
      </w:tr>
      <w:tr w:rsidR="008E4243" w:rsidRPr="005E1DF4" w14:paraId="4D40BA47" w14:textId="77777777" w:rsidTr="00AD59FE">
        <w:trPr>
          <w:jc w:val="center"/>
        </w:trPr>
        <w:tc>
          <w:tcPr>
            <w:tcW w:w="2065"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56E137D5" w14:textId="77777777" w:rsidR="008E4243" w:rsidRPr="00AD59FE" w:rsidRDefault="00000000" w:rsidP="00AD59FE">
            <w:pPr>
              <w:spacing w:before="20" w:after="20"/>
              <w:jc w:val="center"/>
              <w:rPr>
                <w:sz w:val="20"/>
                <w:szCs w:val="20"/>
              </w:rPr>
            </w:pPr>
            <w:r w:rsidRPr="00AD59FE">
              <w:rPr>
                <w:sz w:val="20"/>
                <w:szCs w:val="20"/>
              </w:rPr>
              <w:t>Primary target market</w:t>
            </w:r>
          </w:p>
        </w:tc>
        <w:tc>
          <w:tcPr>
            <w:tcW w:w="288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1927C53E" w14:textId="77777777" w:rsidR="008E4243" w:rsidRPr="00AD59FE" w:rsidRDefault="00000000" w:rsidP="00AD59FE">
            <w:pPr>
              <w:spacing w:before="20" w:after="20"/>
              <w:jc w:val="center"/>
              <w:rPr>
                <w:sz w:val="20"/>
                <w:szCs w:val="20"/>
              </w:rPr>
            </w:pPr>
            <w:r w:rsidRPr="00AD59FE">
              <w:rPr>
                <w:sz w:val="20"/>
                <w:szCs w:val="20"/>
              </w:rPr>
              <w:t>Mid-market to large service enterprises</w:t>
            </w:r>
          </w:p>
        </w:tc>
        <w:tc>
          <w:tcPr>
            <w:tcW w:w="2055"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25C68D5A" w14:textId="77777777" w:rsidR="008E4243" w:rsidRPr="00AD59FE" w:rsidRDefault="00000000" w:rsidP="00AD59FE">
            <w:pPr>
              <w:spacing w:before="20" w:after="20"/>
              <w:jc w:val="center"/>
              <w:rPr>
                <w:sz w:val="20"/>
                <w:szCs w:val="20"/>
              </w:rPr>
            </w:pPr>
            <w:r w:rsidRPr="00AD59FE">
              <w:rPr>
                <w:sz w:val="20"/>
                <w:szCs w:val="20"/>
              </w:rPr>
              <w:t>Growing mid-market and multi-entity firms</w:t>
            </w:r>
          </w:p>
        </w:tc>
        <w:tc>
          <w:tcPr>
            <w:tcW w:w="3705"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4D298784" w14:textId="77777777" w:rsidR="008E4243" w:rsidRPr="00AD59FE" w:rsidRDefault="00000000" w:rsidP="00AD59FE">
            <w:pPr>
              <w:spacing w:before="20" w:after="20"/>
              <w:jc w:val="center"/>
              <w:rPr>
                <w:sz w:val="20"/>
                <w:szCs w:val="20"/>
              </w:rPr>
            </w:pPr>
            <w:r w:rsidRPr="00AD59FE">
              <w:rPr>
                <w:sz w:val="20"/>
                <w:szCs w:val="20"/>
              </w:rPr>
              <w:t>Large global conglomerates and manufacturers</w:t>
            </w:r>
          </w:p>
        </w:tc>
      </w:tr>
      <w:tr w:rsidR="008E4243" w:rsidRPr="005E1DF4" w14:paraId="46020C19" w14:textId="77777777" w:rsidTr="00AD59FE">
        <w:trPr>
          <w:jc w:val="center"/>
        </w:trPr>
        <w:tc>
          <w:tcPr>
            <w:tcW w:w="2065"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47372224" w14:textId="77777777" w:rsidR="008E4243" w:rsidRPr="00AD59FE" w:rsidRDefault="00000000" w:rsidP="00AD59FE">
            <w:pPr>
              <w:spacing w:before="20" w:after="20"/>
              <w:jc w:val="center"/>
              <w:rPr>
                <w:sz w:val="20"/>
                <w:szCs w:val="20"/>
              </w:rPr>
            </w:pPr>
            <w:r w:rsidRPr="00AD59FE">
              <w:rPr>
                <w:sz w:val="20"/>
                <w:szCs w:val="20"/>
              </w:rPr>
              <w:t>Close-cycle speed</w:t>
            </w:r>
          </w:p>
        </w:tc>
        <w:tc>
          <w:tcPr>
            <w:tcW w:w="288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29258B95" w14:textId="77777777" w:rsidR="008E4243" w:rsidRPr="00AD59FE" w:rsidRDefault="00000000" w:rsidP="00AD59FE">
            <w:pPr>
              <w:spacing w:before="20" w:after="20"/>
              <w:jc w:val="center"/>
              <w:rPr>
                <w:sz w:val="20"/>
                <w:szCs w:val="20"/>
              </w:rPr>
            </w:pPr>
            <w:r w:rsidRPr="00AD59FE">
              <w:rPr>
                <w:sz w:val="20"/>
                <w:szCs w:val="20"/>
              </w:rPr>
              <w:t>High (core ledger automation)</w:t>
            </w:r>
          </w:p>
        </w:tc>
        <w:tc>
          <w:tcPr>
            <w:tcW w:w="2055"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20689811" w14:textId="77777777" w:rsidR="008E4243" w:rsidRPr="00AD59FE" w:rsidRDefault="00000000" w:rsidP="00AD59FE">
            <w:pPr>
              <w:spacing w:before="20" w:after="20"/>
              <w:jc w:val="center"/>
              <w:rPr>
                <w:sz w:val="20"/>
                <w:szCs w:val="20"/>
              </w:rPr>
            </w:pPr>
            <w:r w:rsidRPr="00AD59FE">
              <w:rPr>
                <w:sz w:val="20"/>
                <w:szCs w:val="20"/>
              </w:rPr>
              <w:t>Moderate (flexible multi-currency reporting)</w:t>
            </w:r>
          </w:p>
        </w:tc>
        <w:tc>
          <w:tcPr>
            <w:tcW w:w="3705"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679E7BD8" w14:textId="77777777" w:rsidR="008E4243" w:rsidRPr="00AD59FE" w:rsidRDefault="00000000" w:rsidP="00AD59FE">
            <w:pPr>
              <w:spacing w:before="20" w:after="20"/>
              <w:jc w:val="center"/>
              <w:rPr>
                <w:sz w:val="20"/>
                <w:szCs w:val="20"/>
              </w:rPr>
            </w:pPr>
            <w:r w:rsidRPr="00AD59FE">
              <w:rPr>
                <w:sz w:val="20"/>
                <w:szCs w:val="20"/>
              </w:rPr>
              <w:t>High (in-memory processing, automated roll-ups)</w:t>
            </w:r>
          </w:p>
        </w:tc>
      </w:tr>
      <w:tr w:rsidR="008E4243" w:rsidRPr="005E1DF4" w14:paraId="35D17034" w14:textId="77777777" w:rsidTr="00AD59FE">
        <w:trPr>
          <w:jc w:val="center"/>
        </w:trPr>
        <w:tc>
          <w:tcPr>
            <w:tcW w:w="2065"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5796F3DF" w14:textId="77777777" w:rsidR="008E4243" w:rsidRPr="00AD59FE" w:rsidRDefault="00000000" w:rsidP="00AD59FE">
            <w:pPr>
              <w:spacing w:before="20" w:after="20"/>
              <w:jc w:val="center"/>
              <w:rPr>
                <w:sz w:val="20"/>
                <w:szCs w:val="20"/>
              </w:rPr>
            </w:pPr>
            <w:r w:rsidRPr="00AD59FE">
              <w:rPr>
                <w:sz w:val="20"/>
                <w:szCs w:val="20"/>
              </w:rPr>
              <w:t>Forecast accuracy</w:t>
            </w:r>
          </w:p>
        </w:tc>
        <w:tc>
          <w:tcPr>
            <w:tcW w:w="288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55169537" w14:textId="77777777" w:rsidR="008E4243" w:rsidRPr="00AD59FE" w:rsidRDefault="00000000" w:rsidP="00AD59FE">
            <w:pPr>
              <w:spacing w:before="20" w:after="20"/>
              <w:jc w:val="center"/>
              <w:rPr>
                <w:sz w:val="20"/>
                <w:szCs w:val="20"/>
              </w:rPr>
            </w:pPr>
            <w:r w:rsidRPr="00AD59FE">
              <w:rPr>
                <w:sz w:val="20"/>
                <w:szCs w:val="20"/>
              </w:rPr>
              <w:t>High (workforce–finance alignment)</w:t>
            </w:r>
          </w:p>
        </w:tc>
        <w:tc>
          <w:tcPr>
            <w:tcW w:w="2055"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5E674BB3" w14:textId="77777777" w:rsidR="008E4243" w:rsidRPr="00AD59FE" w:rsidRDefault="00000000" w:rsidP="00AD59FE">
            <w:pPr>
              <w:spacing w:before="20" w:after="20"/>
              <w:jc w:val="center"/>
              <w:rPr>
                <w:sz w:val="20"/>
                <w:szCs w:val="20"/>
              </w:rPr>
            </w:pPr>
            <w:r w:rsidRPr="00AD59FE">
              <w:rPr>
                <w:sz w:val="20"/>
                <w:szCs w:val="20"/>
              </w:rPr>
              <w:t>Moderate (often requires add-ons)</w:t>
            </w:r>
          </w:p>
        </w:tc>
        <w:tc>
          <w:tcPr>
            <w:tcW w:w="3705"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3BD0015F" w14:textId="77777777" w:rsidR="008E4243" w:rsidRPr="00AD59FE" w:rsidRDefault="00000000" w:rsidP="00AD59FE">
            <w:pPr>
              <w:spacing w:before="20" w:after="20"/>
              <w:jc w:val="center"/>
              <w:rPr>
                <w:sz w:val="20"/>
                <w:szCs w:val="20"/>
              </w:rPr>
            </w:pPr>
            <w:r w:rsidRPr="00AD59FE">
              <w:rPr>
                <w:sz w:val="20"/>
                <w:szCs w:val="20"/>
              </w:rPr>
              <w:t>Very high (embedded ML models)</w:t>
            </w:r>
          </w:p>
        </w:tc>
      </w:tr>
      <w:tr w:rsidR="008E4243" w:rsidRPr="005E1DF4" w14:paraId="61649CFE" w14:textId="77777777" w:rsidTr="00AD59FE">
        <w:trPr>
          <w:jc w:val="center"/>
        </w:trPr>
        <w:tc>
          <w:tcPr>
            <w:tcW w:w="2065"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3ECA5ACD" w14:textId="77777777" w:rsidR="008E4243" w:rsidRPr="00AD59FE" w:rsidRDefault="00000000" w:rsidP="00AD59FE">
            <w:pPr>
              <w:spacing w:before="20" w:after="20"/>
              <w:jc w:val="center"/>
              <w:rPr>
                <w:sz w:val="20"/>
                <w:szCs w:val="20"/>
              </w:rPr>
            </w:pPr>
            <w:r w:rsidRPr="00AD59FE">
              <w:rPr>
                <w:sz w:val="20"/>
                <w:szCs w:val="20"/>
              </w:rPr>
              <w:t>Multi-entity support</w:t>
            </w:r>
          </w:p>
        </w:tc>
        <w:tc>
          <w:tcPr>
            <w:tcW w:w="288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740A3121" w14:textId="77777777" w:rsidR="008E4243" w:rsidRPr="00AD59FE" w:rsidRDefault="00000000" w:rsidP="00AD59FE">
            <w:pPr>
              <w:spacing w:before="20" w:after="20"/>
              <w:jc w:val="center"/>
              <w:rPr>
                <w:sz w:val="20"/>
                <w:szCs w:val="20"/>
              </w:rPr>
            </w:pPr>
            <w:r w:rsidRPr="00AD59FE">
              <w:rPr>
                <w:sz w:val="20"/>
                <w:szCs w:val="20"/>
              </w:rPr>
              <w:t>Moderate (regional service firms)</w:t>
            </w:r>
          </w:p>
        </w:tc>
        <w:tc>
          <w:tcPr>
            <w:tcW w:w="2055"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460BA3D7" w14:textId="77777777" w:rsidR="008E4243" w:rsidRPr="00AD59FE" w:rsidRDefault="00000000" w:rsidP="00AD59FE">
            <w:pPr>
              <w:spacing w:before="20" w:after="20"/>
              <w:jc w:val="center"/>
              <w:rPr>
                <w:sz w:val="20"/>
                <w:szCs w:val="20"/>
              </w:rPr>
            </w:pPr>
            <w:r w:rsidRPr="00AD59FE">
              <w:rPr>
                <w:sz w:val="20"/>
                <w:szCs w:val="20"/>
              </w:rPr>
              <w:t>High (cross-currency consolidation)</w:t>
            </w:r>
          </w:p>
        </w:tc>
        <w:tc>
          <w:tcPr>
            <w:tcW w:w="3705"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47995BD4" w14:textId="77777777" w:rsidR="008E4243" w:rsidRPr="00AD59FE" w:rsidRDefault="00000000" w:rsidP="00AD59FE">
            <w:pPr>
              <w:spacing w:before="20" w:after="20"/>
              <w:jc w:val="center"/>
              <w:rPr>
                <w:sz w:val="20"/>
                <w:szCs w:val="20"/>
              </w:rPr>
            </w:pPr>
            <w:r w:rsidRPr="00AD59FE">
              <w:rPr>
                <w:sz w:val="20"/>
                <w:szCs w:val="20"/>
              </w:rPr>
              <w:t>Very high (complex parent–subsidiary structures)</w:t>
            </w:r>
          </w:p>
        </w:tc>
      </w:tr>
      <w:tr w:rsidR="008E4243" w:rsidRPr="005E1DF4" w14:paraId="1B36EECE" w14:textId="77777777" w:rsidTr="00AD59FE">
        <w:trPr>
          <w:jc w:val="center"/>
        </w:trPr>
        <w:tc>
          <w:tcPr>
            <w:tcW w:w="2065"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6BE7B954" w14:textId="77777777" w:rsidR="008E4243" w:rsidRPr="00AD59FE" w:rsidRDefault="00000000" w:rsidP="00AD59FE">
            <w:pPr>
              <w:spacing w:before="20" w:after="20"/>
              <w:jc w:val="center"/>
              <w:rPr>
                <w:sz w:val="20"/>
                <w:szCs w:val="20"/>
              </w:rPr>
            </w:pPr>
            <w:r w:rsidRPr="00AD59FE">
              <w:rPr>
                <w:sz w:val="20"/>
                <w:szCs w:val="20"/>
              </w:rPr>
              <w:t>Scenario planning</w:t>
            </w:r>
          </w:p>
        </w:tc>
        <w:tc>
          <w:tcPr>
            <w:tcW w:w="288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33BDAB6D" w14:textId="77777777" w:rsidR="008E4243" w:rsidRPr="00AD59FE" w:rsidRDefault="00000000" w:rsidP="00AD59FE">
            <w:pPr>
              <w:spacing w:before="20" w:after="20"/>
              <w:jc w:val="center"/>
              <w:rPr>
                <w:sz w:val="20"/>
                <w:szCs w:val="20"/>
              </w:rPr>
            </w:pPr>
            <w:r w:rsidRPr="00AD59FE">
              <w:rPr>
                <w:sz w:val="20"/>
                <w:szCs w:val="20"/>
              </w:rPr>
              <w:t>Moderate (headcount and operating budgets)</w:t>
            </w:r>
          </w:p>
        </w:tc>
        <w:tc>
          <w:tcPr>
            <w:tcW w:w="2055"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0E663B42" w14:textId="77777777" w:rsidR="008E4243" w:rsidRPr="00AD59FE" w:rsidRDefault="00000000" w:rsidP="00AD59FE">
            <w:pPr>
              <w:spacing w:before="20" w:after="20"/>
              <w:jc w:val="center"/>
              <w:rPr>
                <w:sz w:val="20"/>
                <w:szCs w:val="20"/>
              </w:rPr>
            </w:pPr>
            <w:r w:rsidRPr="00AD59FE">
              <w:rPr>
                <w:sz w:val="20"/>
                <w:szCs w:val="20"/>
              </w:rPr>
              <w:t>Moderate (basic what-if tools)</w:t>
            </w:r>
          </w:p>
        </w:tc>
        <w:tc>
          <w:tcPr>
            <w:tcW w:w="3705"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02FC1179" w14:textId="77777777" w:rsidR="008E4243" w:rsidRPr="00AD59FE" w:rsidRDefault="00000000" w:rsidP="00AD59FE">
            <w:pPr>
              <w:spacing w:before="20" w:after="20"/>
              <w:jc w:val="center"/>
              <w:rPr>
                <w:sz w:val="20"/>
                <w:szCs w:val="20"/>
              </w:rPr>
            </w:pPr>
            <w:r w:rsidRPr="00AD59FE">
              <w:rPr>
                <w:sz w:val="20"/>
                <w:szCs w:val="20"/>
              </w:rPr>
              <w:t>High (predictive simulation, stress tests)</w:t>
            </w:r>
          </w:p>
        </w:tc>
      </w:tr>
      <w:tr w:rsidR="008E4243" w:rsidRPr="005E1DF4" w14:paraId="27634E67" w14:textId="77777777" w:rsidTr="00AD59FE">
        <w:trPr>
          <w:jc w:val="center"/>
        </w:trPr>
        <w:tc>
          <w:tcPr>
            <w:tcW w:w="2065"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25740FE2" w14:textId="77777777" w:rsidR="008E4243" w:rsidRPr="00AD59FE" w:rsidRDefault="00000000" w:rsidP="00AD59FE">
            <w:pPr>
              <w:spacing w:before="20" w:after="20"/>
              <w:jc w:val="center"/>
              <w:rPr>
                <w:sz w:val="20"/>
                <w:szCs w:val="20"/>
              </w:rPr>
            </w:pPr>
            <w:r w:rsidRPr="00AD59FE">
              <w:rPr>
                <w:sz w:val="20"/>
                <w:szCs w:val="20"/>
              </w:rPr>
              <w:t>Real-time analytics</w:t>
            </w:r>
          </w:p>
        </w:tc>
        <w:tc>
          <w:tcPr>
            <w:tcW w:w="288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709220AC" w14:textId="77777777" w:rsidR="008E4243" w:rsidRPr="00AD59FE" w:rsidRDefault="00000000" w:rsidP="00AD59FE">
            <w:pPr>
              <w:spacing w:before="20" w:after="20"/>
              <w:jc w:val="center"/>
              <w:rPr>
                <w:sz w:val="20"/>
                <w:szCs w:val="20"/>
              </w:rPr>
            </w:pPr>
            <w:r w:rsidRPr="00AD59FE">
              <w:rPr>
                <w:sz w:val="20"/>
                <w:szCs w:val="20"/>
              </w:rPr>
              <w:t>High (workforce-centric dashboards)</w:t>
            </w:r>
          </w:p>
        </w:tc>
        <w:tc>
          <w:tcPr>
            <w:tcW w:w="2055"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30FC62F1" w14:textId="77777777" w:rsidR="008E4243" w:rsidRPr="00AD59FE" w:rsidRDefault="00000000" w:rsidP="00AD59FE">
            <w:pPr>
              <w:spacing w:before="20" w:after="20"/>
              <w:jc w:val="center"/>
              <w:rPr>
                <w:sz w:val="20"/>
                <w:szCs w:val="20"/>
              </w:rPr>
            </w:pPr>
            <w:r w:rsidRPr="00AD59FE">
              <w:rPr>
                <w:sz w:val="20"/>
                <w:szCs w:val="20"/>
              </w:rPr>
              <w:t>Moderate (</w:t>
            </w:r>
            <w:proofErr w:type="spellStart"/>
            <w:r w:rsidRPr="00AD59FE">
              <w:rPr>
                <w:sz w:val="20"/>
                <w:szCs w:val="20"/>
              </w:rPr>
              <w:t>customisable</w:t>
            </w:r>
            <w:proofErr w:type="spellEnd"/>
            <w:r w:rsidRPr="00AD59FE">
              <w:rPr>
                <w:sz w:val="20"/>
                <w:szCs w:val="20"/>
              </w:rPr>
              <w:t xml:space="preserve"> dashboards)</w:t>
            </w:r>
          </w:p>
        </w:tc>
        <w:tc>
          <w:tcPr>
            <w:tcW w:w="3705"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5D6C8626" w14:textId="77777777" w:rsidR="008E4243" w:rsidRPr="00AD59FE" w:rsidRDefault="00000000" w:rsidP="00AD59FE">
            <w:pPr>
              <w:spacing w:before="20" w:after="20"/>
              <w:jc w:val="center"/>
              <w:rPr>
                <w:sz w:val="20"/>
                <w:szCs w:val="20"/>
              </w:rPr>
            </w:pPr>
            <w:r w:rsidRPr="00AD59FE">
              <w:rPr>
                <w:sz w:val="20"/>
                <w:szCs w:val="20"/>
              </w:rPr>
              <w:t>Very high (in-memory real-time engine)</w:t>
            </w:r>
          </w:p>
        </w:tc>
      </w:tr>
      <w:tr w:rsidR="008E4243" w:rsidRPr="005E1DF4" w14:paraId="1C59E3D8" w14:textId="77777777" w:rsidTr="00AD59FE">
        <w:trPr>
          <w:jc w:val="center"/>
        </w:trPr>
        <w:tc>
          <w:tcPr>
            <w:tcW w:w="2065"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27C37CCB" w14:textId="77777777" w:rsidR="008E4243" w:rsidRPr="00AD59FE" w:rsidRDefault="00000000" w:rsidP="00AD59FE">
            <w:pPr>
              <w:spacing w:before="20" w:after="20"/>
              <w:jc w:val="center"/>
              <w:rPr>
                <w:sz w:val="20"/>
                <w:szCs w:val="20"/>
              </w:rPr>
            </w:pPr>
            <w:r w:rsidRPr="00AD59FE">
              <w:rPr>
                <w:sz w:val="20"/>
                <w:szCs w:val="20"/>
              </w:rPr>
              <w:t>Core operational strength</w:t>
            </w:r>
          </w:p>
        </w:tc>
        <w:tc>
          <w:tcPr>
            <w:tcW w:w="288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11973424" w14:textId="77777777" w:rsidR="008E4243" w:rsidRPr="00AD59FE" w:rsidRDefault="00000000" w:rsidP="00AD59FE">
            <w:pPr>
              <w:spacing w:before="20" w:after="20"/>
              <w:jc w:val="center"/>
              <w:rPr>
                <w:sz w:val="20"/>
                <w:szCs w:val="20"/>
              </w:rPr>
            </w:pPr>
            <w:r w:rsidRPr="00AD59FE">
              <w:rPr>
                <w:sz w:val="20"/>
                <w:szCs w:val="20"/>
              </w:rPr>
              <w:t>Workforce–finance cost integration</w:t>
            </w:r>
          </w:p>
        </w:tc>
        <w:tc>
          <w:tcPr>
            <w:tcW w:w="2055"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70B80BFD" w14:textId="77777777" w:rsidR="008E4243" w:rsidRPr="00AD59FE" w:rsidRDefault="00000000" w:rsidP="00AD59FE">
            <w:pPr>
              <w:spacing w:before="20" w:after="20"/>
              <w:jc w:val="center"/>
              <w:rPr>
                <w:sz w:val="20"/>
                <w:szCs w:val="20"/>
              </w:rPr>
            </w:pPr>
            <w:r w:rsidRPr="00AD59FE">
              <w:rPr>
                <w:sz w:val="20"/>
                <w:szCs w:val="20"/>
              </w:rPr>
              <w:t>Flexible multi-entity growth</w:t>
            </w:r>
          </w:p>
        </w:tc>
        <w:tc>
          <w:tcPr>
            <w:tcW w:w="3705"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5FB0CA9D" w14:textId="77777777" w:rsidR="008E4243" w:rsidRPr="00AD59FE" w:rsidRDefault="00000000" w:rsidP="00AD59FE">
            <w:pPr>
              <w:spacing w:before="20" w:after="20"/>
              <w:jc w:val="center"/>
              <w:rPr>
                <w:sz w:val="20"/>
                <w:szCs w:val="20"/>
              </w:rPr>
            </w:pPr>
            <w:r w:rsidRPr="00AD59FE">
              <w:rPr>
                <w:sz w:val="20"/>
                <w:szCs w:val="20"/>
              </w:rPr>
              <w:t>Enterprise supply-chain and manufacturing control</w:t>
            </w:r>
          </w:p>
        </w:tc>
      </w:tr>
    </w:tbl>
    <w:p w14:paraId="3F86A425" w14:textId="77777777" w:rsidR="008E4243" w:rsidRPr="005E1DF4" w:rsidRDefault="008E4243" w:rsidP="008348CF">
      <w:pPr>
        <w:pStyle w:val="Heading2"/>
        <w:jc w:val="both"/>
      </w:pPr>
    </w:p>
    <w:p w14:paraId="2B53EEA4" w14:textId="77777777" w:rsidR="008E4243" w:rsidRPr="005E1DF4" w:rsidRDefault="008E4243" w:rsidP="008348CF">
      <w:pPr>
        <w:pStyle w:val="Heading2"/>
        <w:jc w:val="both"/>
      </w:pPr>
    </w:p>
    <w:p w14:paraId="4DF6E331" w14:textId="77777777" w:rsidR="008E4243" w:rsidRPr="005E1DF4" w:rsidRDefault="00000000" w:rsidP="008348CF">
      <w:pPr>
        <w:pStyle w:val="Heading2"/>
        <w:jc w:val="both"/>
      </w:pPr>
      <w:r w:rsidRPr="005E1DF4">
        <w:t>Critical debates and contradictions</w:t>
      </w:r>
    </w:p>
    <w:p w14:paraId="1376B1EF" w14:textId="77777777" w:rsidR="008E4243" w:rsidRPr="005E1DF4" w:rsidRDefault="00000000" w:rsidP="008348CF">
      <w:pPr>
        <w:pStyle w:val="Heading2"/>
        <w:jc w:val="both"/>
        <w:rPr>
          <w:b w:val="0"/>
          <w:bCs w:val="0"/>
        </w:rPr>
      </w:pPr>
      <w:r w:rsidRPr="005E1DF4">
        <w:rPr>
          <w:b w:val="0"/>
          <w:bCs w:val="0"/>
          <w:highlight w:val="white"/>
        </w:rPr>
        <w:t xml:space="preserve">There are three forms of tensions that define the field. The </w:t>
      </w:r>
      <w:proofErr w:type="spellStart"/>
      <w:r w:rsidRPr="005E1DF4">
        <w:rPr>
          <w:b w:val="0"/>
          <w:bCs w:val="0"/>
          <w:highlight w:val="white"/>
        </w:rPr>
        <w:t>standardisation</w:t>
      </w:r>
      <w:proofErr w:type="spellEnd"/>
      <w:r w:rsidRPr="005E1DF4">
        <w:rPr>
          <w:b w:val="0"/>
          <w:bCs w:val="0"/>
          <w:highlight w:val="white"/>
        </w:rPr>
        <w:t xml:space="preserve"> debate also has two opposing aspects. One is that there is a need to maintain stability by not building code into the platform, and, instead, maintain a culture of continuously innovating with vendors (Mahmood et al., 2020) and the other is that instead, the best solution is to avoid imposing specialized processes on standard templates and risk losing competitive advantage (Olsen et al., 2022). The resolution is not generalizable. In case a process really has advantages, then in that context, the modification can be done by some external extra extension for the standard interfaces.</w:t>
      </w:r>
      <w:r w:rsidRPr="005E1DF4">
        <w:rPr>
          <w:b w:val="0"/>
          <w:bCs w:val="0"/>
        </w:rPr>
        <w:t xml:space="preserve"> </w:t>
      </w:r>
    </w:p>
    <w:p w14:paraId="4B94DD37" w14:textId="77777777" w:rsidR="008E4243" w:rsidRPr="005E1DF4" w:rsidRDefault="00000000" w:rsidP="008348CF">
      <w:pPr>
        <w:pStyle w:val="Heading2"/>
        <w:jc w:val="both"/>
        <w:rPr>
          <w:b w:val="0"/>
          <w:bCs w:val="0"/>
        </w:rPr>
      </w:pPr>
      <w:r w:rsidRPr="005E1DF4">
        <w:rPr>
          <w:b w:val="0"/>
          <w:bCs w:val="0"/>
          <w:highlight w:val="white"/>
        </w:rPr>
        <w:t xml:space="preserve">The domain is split between three tensions. One is the so-called clean core doctrine (often called the </w:t>
      </w:r>
      <w:proofErr w:type="spellStart"/>
      <w:r w:rsidRPr="005E1DF4">
        <w:rPr>
          <w:b w:val="0"/>
          <w:bCs w:val="0"/>
          <w:highlight w:val="white"/>
        </w:rPr>
        <w:t>standardisation</w:t>
      </w:r>
      <w:proofErr w:type="spellEnd"/>
      <w:r w:rsidRPr="005E1DF4">
        <w:rPr>
          <w:b w:val="0"/>
          <w:bCs w:val="0"/>
          <w:highlight w:val="white"/>
        </w:rPr>
        <w:t xml:space="preserve"> debate). That helps preserve stability while enabling vendors to repeatedly provide new innovations </w:t>
      </w:r>
      <w:proofErr w:type="gramStart"/>
      <w:r w:rsidRPr="005E1DF4">
        <w:rPr>
          <w:b w:val="0"/>
          <w:bCs w:val="0"/>
          <w:highlight w:val="white"/>
        </w:rPr>
        <w:t>as long as</w:t>
      </w:r>
      <w:proofErr w:type="gramEnd"/>
      <w:r w:rsidRPr="005E1DF4">
        <w:rPr>
          <w:b w:val="0"/>
          <w:bCs w:val="0"/>
          <w:highlight w:val="white"/>
        </w:rPr>
        <w:t xml:space="preserve"> they eliminate most of the custom code (Mahmood et al., 2020). The other is the concern that specialized processes can, by reducing the competitively valuable uniqueness once imposed into standard templates, reduce the competitive advantage of proprietary processes through their use (Olsen et al., 2022). But the solution is conditional and not universal. If the process is truly giving a benefit, the benefit will be kept and outsourced as an external extension on a </w:t>
      </w:r>
      <w:proofErr w:type="spellStart"/>
      <w:r w:rsidRPr="005E1DF4">
        <w:rPr>
          <w:b w:val="0"/>
          <w:bCs w:val="0"/>
          <w:highlight w:val="white"/>
        </w:rPr>
        <w:t>standardised</w:t>
      </w:r>
      <w:proofErr w:type="spellEnd"/>
      <w:r w:rsidRPr="005E1DF4">
        <w:rPr>
          <w:b w:val="0"/>
          <w:bCs w:val="0"/>
          <w:highlight w:val="white"/>
        </w:rPr>
        <w:t xml:space="preserve"> API. If it is purely idiosyncratic, then a standard is the best answer.</w:t>
      </w:r>
    </w:p>
    <w:p w14:paraId="28F75415" w14:textId="77777777" w:rsidR="008E4243" w:rsidRPr="005E1DF4" w:rsidRDefault="00000000" w:rsidP="008348CF">
      <w:pPr>
        <w:pStyle w:val="Heading2"/>
        <w:jc w:val="both"/>
        <w:rPr>
          <w:b w:val="0"/>
          <w:bCs w:val="0"/>
        </w:rPr>
      </w:pPr>
      <w:r w:rsidRPr="005E1DF4">
        <w:rPr>
          <w:b w:val="0"/>
          <w:bCs w:val="0"/>
          <w:highlight w:val="white"/>
        </w:rPr>
        <w:t xml:space="preserve">The optimism gap has characterized the performance gap between the vendors' and practitioners' narratives of large, stable performance gains and searches from academia showing fragility, high failure rates, and underachievement (Godbole, 2023; Mahmood et al., 2020; </w:t>
      </w:r>
      <w:proofErr w:type="spellStart"/>
      <w:r w:rsidRPr="005E1DF4">
        <w:rPr>
          <w:b w:val="0"/>
          <w:bCs w:val="0"/>
          <w:highlight w:val="white"/>
        </w:rPr>
        <w:t>Lawendatu</w:t>
      </w:r>
      <w:proofErr w:type="spellEnd"/>
      <w:r w:rsidRPr="005E1DF4">
        <w:rPr>
          <w:b w:val="0"/>
          <w:bCs w:val="0"/>
          <w:highlight w:val="white"/>
        </w:rPr>
        <w:t xml:space="preserve"> et al., 2026). </w:t>
      </w:r>
      <w:proofErr w:type="gramStart"/>
      <w:r w:rsidRPr="005E1DF4">
        <w:rPr>
          <w:b w:val="0"/>
          <w:bCs w:val="0"/>
          <w:highlight w:val="white"/>
        </w:rPr>
        <w:t>Both of these</w:t>
      </w:r>
      <w:proofErr w:type="gramEnd"/>
      <w:r w:rsidRPr="005E1DF4">
        <w:rPr>
          <w:b w:val="0"/>
          <w:bCs w:val="0"/>
          <w:highlight w:val="white"/>
        </w:rPr>
        <w:t xml:space="preserve"> are possible, depending on the nature of the data and the governance environment in which the technology has been deployed, as explained in the discussion.</w:t>
      </w:r>
      <w:r w:rsidRPr="005E1DF4">
        <w:rPr>
          <w:b w:val="0"/>
          <w:bCs w:val="0"/>
        </w:rPr>
        <w:t xml:space="preserve"> </w:t>
      </w:r>
    </w:p>
    <w:p w14:paraId="33617FF3" w14:textId="77777777" w:rsidR="008E4243" w:rsidRPr="005E1DF4" w:rsidRDefault="00000000" w:rsidP="008348CF">
      <w:pPr>
        <w:pStyle w:val="Heading2"/>
        <w:jc w:val="both"/>
      </w:pPr>
      <w:r w:rsidRPr="005E1DF4">
        <w:t>A synthesis matrix of the core evidence base</w:t>
      </w:r>
    </w:p>
    <w:p w14:paraId="3E764A58" w14:textId="77777777" w:rsidR="008E4243" w:rsidRPr="005E1DF4" w:rsidRDefault="00000000" w:rsidP="008348CF">
      <w:pPr>
        <w:spacing w:before="120" w:after="120"/>
        <w:jc w:val="both"/>
      </w:pPr>
      <w:r w:rsidRPr="005E1DF4">
        <w:rPr>
          <w:highlight w:val="white"/>
        </w:rPr>
        <w:t xml:space="preserve">The thematic strands described above can be grouped together as one cohesive approach to analysis. Instead of </w:t>
      </w:r>
      <w:proofErr w:type="spellStart"/>
      <w:r w:rsidRPr="005E1DF4">
        <w:rPr>
          <w:highlight w:val="white"/>
        </w:rPr>
        <w:t>categorising</w:t>
      </w:r>
      <w:proofErr w:type="spellEnd"/>
      <w:r w:rsidRPr="005E1DF4">
        <w:rPr>
          <w:highlight w:val="white"/>
        </w:rPr>
        <w:t xml:space="preserve"> the reviewed corpus, Table 2 </w:t>
      </w:r>
      <w:proofErr w:type="spellStart"/>
      <w:r w:rsidRPr="005E1DF4">
        <w:rPr>
          <w:highlight w:val="white"/>
        </w:rPr>
        <w:t>synthesises</w:t>
      </w:r>
      <w:proofErr w:type="spellEnd"/>
      <w:r w:rsidRPr="005E1DF4">
        <w:rPr>
          <w:highlight w:val="white"/>
        </w:rPr>
        <w:t xml:space="preserve"> a representative cross-section of which each study contains the dimension of AI-enabled cloud ERP investigated, the substantive finding, and, most significantly for the argument of this paper, implications of the study for organizational agility and for governance, and the question it does not resolve. The goal is interpretive consolidation rather than enumeration. Existing studies are read against a common set of analytical columns, where the same works are read serially, resulting in regularities that are invisible without these columns, and it is those regularities, rather than the </w:t>
      </w:r>
      <w:proofErr w:type="gramStart"/>
      <w:r w:rsidRPr="005E1DF4">
        <w:rPr>
          <w:highlight w:val="white"/>
        </w:rPr>
        <w:t>particular entries</w:t>
      </w:r>
      <w:proofErr w:type="gramEnd"/>
      <w:r w:rsidRPr="005E1DF4">
        <w:rPr>
          <w:highlight w:val="white"/>
        </w:rPr>
        <w:t>, that inspire the gap analysis presented in the following subsection.</w:t>
      </w:r>
      <w:r w:rsidRPr="005E1DF4">
        <w:t xml:space="preserve"> </w:t>
      </w:r>
    </w:p>
    <w:p w14:paraId="5B0EED3B" w14:textId="77777777" w:rsidR="008E4243" w:rsidRPr="005E1DF4" w:rsidRDefault="00000000" w:rsidP="008348CF">
      <w:pPr>
        <w:spacing w:before="160" w:after="60"/>
        <w:jc w:val="both"/>
      </w:pPr>
      <w:r w:rsidRPr="005E1DF4">
        <w:rPr>
          <w:b/>
          <w:bCs/>
        </w:rPr>
        <w:t>Table 2. Synthesis matrix of representative studies in the AI-enabled cloud ERP corpus.</w:t>
      </w:r>
    </w:p>
    <w:tbl>
      <w:tblPr>
        <w:tblStyle w:val="a0"/>
        <w:tblW w:w="107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5"/>
        <w:gridCol w:w="1350"/>
        <w:gridCol w:w="1890"/>
        <w:gridCol w:w="1980"/>
        <w:gridCol w:w="1710"/>
        <w:gridCol w:w="2250"/>
      </w:tblGrid>
      <w:tr w:rsidR="008E4243" w:rsidRPr="005E1DF4" w14:paraId="4C09385C" w14:textId="77777777" w:rsidTr="00AD59FE">
        <w:trPr>
          <w:tblHeader/>
          <w:jc w:val="center"/>
        </w:trPr>
        <w:tc>
          <w:tcPr>
            <w:tcW w:w="1525" w:type="dxa"/>
            <w:tcBorders>
              <w:top w:val="single" w:sz="4" w:space="0" w:color="999999"/>
              <w:left w:val="single" w:sz="4" w:space="0" w:color="999999"/>
              <w:bottom w:val="single" w:sz="4" w:space="0" w:color="999999"/>
              <w:right w:val="single" w:sz="4" w:space="0" w:color="999999"/>
            </w:tcBorders>
            <w:shd w:val="clear" w:color="auto" w:fill="FFFFFF" w:themeFill="background1"/>
            <w:tcMar>
              <w:top w:w="60" w:type="dxa"/>
              <w:left w:w="100" w:type="dxa"/>
              <w:bottom w:w="60" w:type="dxa"/>
              <w:right w:w="100" w:type="dxa"/>
            </w:tcMar>
          </w:tcPr>
          <w:p w14:paraId="66AFD369" w14:textId="77777777" w:rsidR="008E4243" w:rsidRPr="00AD59FE" w:rsidRDefault="00000000" w:rsidP="00AD59FE">
            <w:pPr>
              <w:spacing w:before="20" w:after="20"/>
              <w:jc w:val="center"/>
              <w:rPr>
                <w:sz w:val="20"/>
                <w:szCs w:val="20"/>
              </w:rPr>
            </w:pPr>
            <w:r w:rsidRPr="00AD59FE">
              <w:rPr>
                <w:b/>
                <w:bCs/>
                <w:sz w:val="20"/>
                <w:szCs w:val="20"/>
              </w:rPr>
              <w:t>Representative study</w:t>
            </w:r>
          </w:p>
        </w:tc>
        <w:tc>
          <w:tcPr>
            <w:tcW w:w="1350" w:type="dxa"/>
            <w:tcBorders>
              <w:top w:val="single" w:sz="4" w:space="0" w:color="999999"/>
              <w:left w:val="single" w:sz="4" w:space="0" w:color="999999"/>
              <w:bottom w:val="single" w:sz="4" w:space="0" w:color="999999"/>
              <w:right w:val="single" w:sz="4" w:space="0" w:color="999999"/>
            </w:tcBorders>
            <w:shd w:val="clear" w:color="auto" w:fill="FFFFFF" w:themeFill="background1"/>
            <w:tcMar>
              <w:top w:w="60" w:type="dxa"/>
              <w:left w:w="100" w:type="dxa"/>
              <w:bottom w:w="60" w:type="dxa"/>
              <w:right w:w="100" w:type="dxa"/>
            </w:tcMar>
          </w:tcPr>
          <w:p w14:paraId="024E6154" w14:textId="77777777" w:rsidR="008E4243" w:rsidRPr="00AD59FE" w:rsidRDefault="00000000" w:rsidP="00AD59FE">
            <w:pPr>
              <w:spacing w:before="20" w:after="20"/>
              <w:jc w:val="center"/>
              <w:rPr>
                <w:sz w:val="20"/>
                <w:szCs w:val="20"/>
              </w:rPr>
            </w:pPr>
            <w:r w:rsidRPr="00AD59FE">
              <w:rPr>
                <w:b/>
                <w:bCs/>
                <w:sz w:val="20"/>
                <w:szCs w:val="20"/>
              </w:rPr>
              <w:t>AI / ERP dimension</w:t>
            </w:r>
          </w:p>
        </w:tc>
        <w:tc>
          <w:tcPr>
            <w:tcW w:w="1890" w:type="dxa"/>
            <w:tcBorders>
              <w:top w:val="single" w:sz="4" w:space="0" w:color="999999"/>
              <w:left w:val="single" w:sz="4" w:space="0" w:color="999999"/>
              <w:bottom w:val="single" w:sz="4" w:space="0" w:color="999999"/>
              <w:right w:val="single" w:sz="4" w:space="0" w:color="999999"/>
            </w:tcBorders>
            <w:shd w:val="clear" w:color="auto" w:fill="FFFFFF" w:themeFill="background1"/>
            <w:tcMar>
              <w:top w:w="60" w:type="dxa"/>
              <w:left w:w="100" w:type="dxa"/>
              <w:bottom w:w="60" w:type="dxa"/>
              <w:right w:w="100" w:type="dxa"/>
            </w:tcMar>
          </w:tcPr>
          <w:p w14:paraId="13F88280" w14:textId="77777777" w:rsidR="008E4243" w:rsidRPr="00AD59FE" w:rsidRDefault="00000000" w:rsidP="00AD59FE">
            <w:pPr>
              <w:spacing w:before="20" w:after="20"/>
              <w:jc w:val="center"/>
              <w:rPr>
                <w:sz w:val="20"/>
                <w:szCs w:val="20"/>
              </w:rPr>
            </w:pPr>
            <w:r w:rsidRPr="00AD59FE">
              <w:rPr>
                <w:b/>
                <w:bCs/>
                <w:sz w:val="20"/>
                <w:szCs w:val="20"/>
              </w:rPr>
              <w:t>Principal finding</w:t>
            </w:r>
          </w:p>
        </w:tc>
        <w:tc>
          <w:tcPr>
            <w:tcW w:w="1980" w:type="dxa"/>
            <w:tcBorders>
              <w:top w:val="single" w:sz="4" w:space="0" w:color="999999"/>
              <w:left w:val="single" w:sz="4" w:space="0" w:color="999999"/>
              <w:bottom w:val="single" w:sz="4" w:space="0" w:color="999999"/>
              <w:right w:val="single" w:sz="4" w:space="0" w:color="999999"/>
            </w:tcBorders>
            <w:shd w:val="clear" w:color="auto" w:fill="FFFFFF" w:themeFill="background1"/>
            <w:tcMar>
              <w:top w:w="60" w:type="dxa"/>
              <w:left w:w="100" w:type="dxa"/>
              <w:bottom w:w="60" w:type="dxa"/>
              <w:right w:w="100" w:type="dxa"/>
            </w:tcMar>
          </w:tcPr>
          <w:p w14:paraId="3FB317B5" w14:textId="77777777" w:rsidR="008E4243" w:rsidRPr="00AD59FE" w:rsidRDefault="00000000" w:rsidP="00AD59FE">
            <w:pPr>
              <w:spacing w:before="20" w:after="20"/>
              <w:jc w:val="center"/>
              <w:rPr>
                <w:sz w:val="20"/>
                <w:szCs w:val="20"/>
              </w:rPr>
            </w:pPr>
            <w:r w:rsidRPr="00AD59FE">
              <w:rPr>
                <w:b/>
                <w:bCs/>
                <w:sz w:val="20"/>
                <w:szCs w:val="20"/>
              </w:rPr>
              <w:t>Organizational-agility implication</w:t>
            </w:r>
          </w:p>
        </w:tc>
        <w:tc>
          <w:tcPr>
            <w:tcW w:w="1710" w:type="dxa"/>
            <w:tcBorders>
              <w:top w:val="single" w:sz="4" w:space="0" w:color="999999"/>
              <w:left w:val="single" w:sz="4" w:space="0" w:color="999999"/>
              <w:bottom w:val="single" w:sz="4" w:space="0" w:color="999999"/>
              <w:right w:val="single" w:sz="4" w:space="0" w:color="999999"/>
            </w:tcBorders>
            <w:shd w:val="clear" w:color="auto" w:fill="FFFFFF" w:themeFill="background1"/>
            <w:tcMar>
              <w:top w:w="60" w:type="dxa"/>
              <w:left w:w="100" w:type="dxa"/>
              <w:bottom w:w="60" w:type="dxa"/>
              <w:right w:w="100" w:type="dxa"/>
            </w:tcMar>
          </w:tcPr>
          <w:p w14:paraId="54A155DE" w14:textId="77777777" w:rsidR="008E4243" w:rsidRPr="00AD59FE" w:rsidRDefault="00000000" w:rsidP="00AD59FE">
            <w:pPr>
              <w:spacing w:before="20" w:after="20"/>
              <w:jc w:val="center"/>
              <w:rPr>
                <w:sz w:val="20"/>
                <w:szCs w:val="20"/>
              </w:rPr>
            </w:pPr>
            <w:r w:rsidRPr="00AD59FE">
              <w:rPr>
                <w:b/>
                <w:bCs/>
                <w:sz w:val="20"/>
                <w:szCs w:val="20"/>
              </w:rPr>
              <w:t>Governance implication</w:t>
            </w:r>
          </w:p>
        </w:tc>
        <w:tc>
          <w:tcPr>
            <w:tcW w:w="2250" w:type="dxa"/>
            <w:tcBorders>
              <w:top w:val="single" w:sz="4" w:space="0" w:color="999999"/>
              <w:left w:val="single" w:sz="4" w:space="0" w:color="999999"/>
              <w:bottom w:val="single" w:sz="4" w:space="0" w:color="999999"/>
              <w:right w:val="single" w:sz="4" w:space="0" w:color="999999"/>
            </w:tcBorders>
            <w:shd w:val="clear" w:color="auto" w:fill="FFFFFF" w:themeFill="background1"/>
            <w:tcMar>
              <w:top w:w="60" w:type="dxa"/>
              <w:left w:w="100" w:type="dxa"/>
              <w:bottom w:w="60" w:type="dxa"/>
              <w:right w:w="100" w:type="dxa"/>
            </w:tcMar>
          </w:tcPr>
          <w:p w14:paraId="4C67FAB1" w14:textId="77777777" w:rsidR="008E4243" w:rsidRPr="00AD59FE" w:rsidRDefault="00000000" w:rsidP="00AD59FE">
            <w:pPr>
              <w:spacing w:before="20" w:after="20"/>
              <w:jc w:val="center"/>
              <w:rPr>
                <w:sz w:val="20"/>
                <w:szCs w:val="20"/>
              </w:rPr>
            </w:pPr>
            <w:r w:rsidRPr="00AD59FE">
              <w:rPr>
                <w:b/>
                <w:bCs/>
                <w:sz w:val="20"/>
                <w:szCs w:val="20"/>
              </w:rPr>
              <w:t>Open question</w:t>
            </w:r>
          </w:p>
        </w:tc>
      </w:tr>
      <w:tr w:rsidR="008E4243" w:rsidRPr="005E1DF4" w14:paraId="193F76FB" w14:textId="77777777" w:rsidTr="00AD59FE">
        <w:trPr>
          <w:jc w:val="center"/>
        </w:trPr>
        <w:tc>
          <w:tcPr>
            <w:tcW w:w="1525"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18C3F605" w14:textId="77777777" w:rsidR="008E4243" w:rsidRPr="00AD59FE" w:rsidRDefault="00000000" w:rsidP="00AD59FE">
            <w:pPr>
              <w:spacing w:before="20" w:after="20"/>
              <w:jc w:val="center"/>
              <w:rPr>
                <w:sz w:val="20"/>
                <w:szCs w:val="20"/>
              </w:rPr>
            </w:pPr>
            <w:r w:rsidRPr="00AD59FE">
              <w:rPr>
                <w:sz w:val="20"/>
                <w:szCs w:val="20"/>
              </w:rPr>
              <w:t>Godbole (2023)</w:t>
            </w:r>
          </w:p>
        </w:tc>
        <w:tc>
          <w:tcPr>
            <w:tcW w:w="135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30C1D411" w14:textId="77777777" w:rsidR="008E4243" w:rsidRPr="00AD59FE" w:rsidRDefault="00000000" w:rsidP="00AD59FE">
            <w:pPr>
              <w:spacing w:before="20" w:after="20"/>
              <w:jc w:val="center"/>
              <w:rPr>
                <w:sz w:val="20"/>
                <w:szCs w:val="20"/>
              </w:rPr>
            </w:pPr>
            <w:r w:rsidRPr="00AD59FE">
              <w:rPr>
                <w:sz w:val="20"/>
                <w:szCs w:val="20"/>
              </w:rPr>
              <w:t>Embedded AI across ERP functions</w:t>
            </w:r>
          </w:p>
        </w:tc>
        <w:tc>
          <w:tcPr>
            <w:tcW w:w="189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16F15723" w14:textId="77777777" w:rsidR="008E4243" w:rsidRPr="00AD59FE" w:rsidRDefault="00000000" w:rsidP="00AD59FE">
            <w:pPr>
              <w:spacing w:before="20" w:after="20"/>
              <w:jc w:val="center"/>
              <w:rPr>
                <w:sz w:val="20"/>
                <w:szCs w:val="20"/>
              </w:rPr>
            </w:pPr>
            <w:r w:rsidRPr="00AD59FE">
              <w:rPr>
                <w:sz w:val="20"/>
                <w:szCs w:val="20"/>
              </w:rPr>
              <w:t>Reports marked reductions in task-processing time and gains in accuracy after integration</w:t>
            </w:r>
          </w:p>
        </w:tc>
        <w:tc>
          <w:tcPr>
            <w:tcW w:w="198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43A88DB7" w14:textId="77777777" w:rsidR="008E4243" w:rsidRPr="00AD59FE" w:rsidRDefault="00000000" w:rsidP="00AD59FE">
            <w:pPr>
              <w:spacing w:before="20" w:after="20"/>
              <w:jc w:val="center"/>
              <w:rPr>
                <w:sz w:val="20"/>
                <w:szCs w:val="20"/>
              </w:rPr>
            </w:pPr>
            <w:r w:rsidRPr="00AD59FE">
              <w:rPr>
                <w:sz w:val="20"/>
                <w:szCs w:val="20"/>
              </w:rPr>
              <w:t>Faster operational response where the data foundation is sound</w:t>
            </w:r>
          </w:p>
        </w:tc>
        <w:tc>
          <w:tcPr>
            <w:tcW w:w="171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34518192" w14:textId="77777777" w:rsidR="008E4243" w:rsidRPr="00AD59FE" w:rsidRDefault="00000000" w:rsidP="00AD59FE">
            <w:pPr>
              <w:spacing w:before="20" w:after="20"/>
              <w:jc w:val="center"/>
              <w:rPr>
                <w:sz w:val="20"/>
                <w:szCs w:val="20"/>
              </w:rPr>
            </w:pPr>
            <w:r w:rsidRPr="00AD59FE">
              <w:rPr>
                <w:sz w:val="20"/>
                <w:szCs w:val="20"/>
              </w:rPr>
              <w:t>Reported gains presuppose governed, high-quality inputs</w:t>
            </w:r>
          </w:p>
        </w:tc>
        <w:tc>
          <w:tcPr>
            <w:tcW w:w="225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35E47A95" w14:textId="77777777" w:rsidR="008E4243" w:rsidRPr="00AD59FE" w:rsidRDefault="00000000" w:rsidP="00AD59FE">
            <w:pPr>
              <w:spacing w:before="20" w:after="20"/>
              <w:jc w:val="center"/>
              <w:rPr>
                <w:sz w:val="20"/>
                <w:szCs w:val="20"/>
              </w:rPr>
            </w:pPr>
            <w:r w:rsidRPr="00AD59FE">
              <w:rPr>
                <w:sz w:val="20"/>
                <w:szCs w:val="20"/>
              </w:rPr>
              <w:t>Single-study magnitudes; no cross-firm replication</w:t>
            </w:r>
          </w:p>
        </w:tc>
      </w:tr>
      <w:tr w:rsidR="008E4243" w:rsidRPr="005E1DF4" w14:paraId="77908FDD" w14:textId="77777777" w:rsidTr="00AD59FE">
        <w:trPr>
          <w:jc w:val="center"/>
        </w:trPr>
        <w:tc>
          <w:tcPr>
            <w:tcW w:w="1525"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32C42E49" w14:textId="77777777" w:rsidR="008E4243" w:rsidRPr="00AD59FE" w:rsidRDefault="00000000" w:rsidP="00AD59FE">
            <w:pPr>
              <w:spacing w:before="20" w:after="20"/>
              <w:jc w:val="center"/>
              <w:rPr>
                <w:sz w:val="20"/>
                <w:szCs w:val="20"/>
              </w:rPr>
            </w:pPr>
            <w:r w:rsidRPr="00AD59FE">
              <w:rPr>
                <w:sz w:val="20"/>
                <w:szCs w:val="20"/>
              </w:rPr>
              <w:t>Tudor (2026)</w:t>
            </w:r>
          </w:p>
        </w:tc>
        <w:tc>
          <w:tcPr>
            <w:tcW w:w="135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2B307BB7" w14:textId="77777777" w:rsidR="008E4243" w:rsidRPr="00AD59FE" w:rsidRDefault="00000000" w:rsidP="00AD59FE">
            <w:pPr>
              <w:spacing w:before="20" w:after="20"/>
              <w:jc w:val="center"/>
              <w:rPr>
                <w:sz w:val="20"/>
                <w:szCs w:val="20"/>
              </w:rPr>
            </w:pPr>
            <w:r w:rsidRPr="00AD59FE">
              <w:rPr>
                <w:sz w:val="20"/>
                <w:szCs w:val="20"/>
              </w:rPr>
              <w:t>Determinants of enterprise AI adoption</w:t>
            </w:r>
          </w:p>
        </w:tc>
        <w:tc>
          <w:tcPr>
            <w:tcW w:w="189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7E06E31C" w14:textId="77777777" w:rsidR="008E4243" w:rsidRPr="00AD59FE" w:rsidRDefault="00000000" w:rsidP="00AD59FE">
            <w:pPr>
              <w:spacing w:before="20" w:after="20"/>
              <w:jc w:val="center"/>
              <w:rPr>
                <w:sz w:val="20"/>
                <w:szCs w:val="20"/>
              </w:rPr>
            </w:pPr>
            <w:r w:rsidRPr="00AD59FE">
              <w:rPr>
                <w:sz w:val="20"/>
                <w:szCs w:val="20"/>
              </w:rPr>
              <w:t>Uptake clusters with cloud sophistication and digital-sales capability</w:t>
            </w:r>
          </w:p>
        </w:tc>
        <w:tc>
          <w:tcPr>
            <w:tcW w:w="198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69439BE3" w14:textId="77777777" w:rsidR="008E4243" w:rsidRPr="00AD59FE" w:rsidRDefault="00000000" w:rsidP="00AD59FE">
            <w:pPr>
              <w:spacing w:before="20" w:after="20"/>
              <w:jc w:val="center"/>
              <w:rPr>
                <w:sz w:val="20"/>
                <w:szCs w:val="20"/>
              </w:rPr>
            </w:pPr>
            <w:r w:rsidRPr="00AD59FE">
              <w:rPr>
                <w:sz w:val="20"/>
                <w:szCs w:val="20"/>
              </w:rPr>
              <w:t>Agility is a configuration effect, not a platform effect</w:t>
            </w:r>
          </w:p>
        </w:tc>
        <w:tc>
          <w:tcPr>
            <w:tcW w:w="171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61C030E6" w14:textId="77777777" w:rsidR="008E4243" w:rsidRPr="00AD59FE" w:rsidRDefault="00000000" w:rsidP="00AD59FE">
            <w:pPr>
              <w:spacing w:before="20" w:after="20"/>
              <w:jc w:val="center"/>
              <w:rPr>
                <w:sz w:val="20"/>
                <w:szCs w:val="20"/>
              </w:rPr>
            </w:pPr>
            <w:r w:rsidRPr="00AD59FE">
              <w:rPr>
                <w:sz w:val="20"/>
                <w:szCs w:val="20"/>
              </w:rPr>
              <w:t>Capability gaps enlarge compliance and oversight exposure</w:t>
            </w:r>
          </w:p>
        </w:tc>
        <w:tc>
          <w:tcPr>
            <w:tcW w:w="225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2520D4CD" w14:textId="77777777" w:rsidR="008E4243" w:rsidRPr="00AD59FE" w:rsidRDefault="00000000" w:rsidP="00AD59FE">
            <w:pPr>
              <w:spacing w:before="20" w:after="20"/>
              <w:jc w:val="center"/>
              <w:rPr>
                <w:sz w:val="20"/>
                <w:szCs w:val="20"/>
              </w:rPr>
            </w:pPr>
            <w:r w:rsidRPr="00AD59FE">
              <w:rPr>
                <w:sz w:val="20"/>
                <w:szCs w:val="20"/>
              </w:rPr>
              <w:t>Causal weight of each capability remains untested</w:t>
            </w:r>
          </w:p>
        </w:tc>
      </w:tr>
      <w:tr w:rsidR="008E4243" w:rsidRPr="005E1DF4" w14:paraId="0E8BF1F4" w14:textId="77777777" w:rsidTr="00AD59FE">
        <w:trPr>
          <w:jc w:val="center"/>
        </w:trPr>
        <w:tc>
          <w:tcPr>
            <w:tcW w:w="1525"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7FEC17DA" w14:textId="77777777" w:rsidR="008E4243" w:rsidRPr="00AD59FE" w:rsidRDefault="00000000" w:rsidP="00AD59FE">
            <w:pPr>
              <w:spacing w:before="20" w:after="20"/>
              <w:jc w:val="center"/>
              <w:rPr>
                <w:sz w:val="20"/>
                <w:szCs w:val="20"/>
              </w:rPr>
            </w:pPr>
            <w:r w:rsidRPr="00AD59FE">
              <w:rPr>
                <w:sz w:val="20"/>
                <w:szCs w:val="20"/>
              </w:rPr>
              <w:t>Lee et al. (2024)</w:t>
            </w:r>
          </w:p>
        </w:tc>
        <w:tc>
          <w:tcPr>
            <w:tcW w:w="135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1F5C0F17" w14:textId="77777777" w:rsidR="008E4243" w:rsidRPr="00AD59FE" w:rsidRDefault="00000000" w:rsidP="00AD59FE">
            <w:pPr>
              <w:spacing w:before="20" w:after="20"/>
              <w:jc w:val="center"/>
              <w:rPr>
                <w:sz w:val="20"/>
                <w:szCs w:val="20"/>
              </w:rPr>
            </w:pPr>
            <w:r w:rsidRPr="00AD59FE">
              <w:rPr>
                <w:sz w:val="20"/>
                <w:szCs w:val="20"/>
              </w:rPr>
              <w:t>Cloud-ERP architecture; microservices and MSPs</w:t>
            </w:r>
          </w:p>
        </w:tc>
        <w:tc>
          <w:tcPr>
            <w:tcW w:w="189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29BBB9CD" w14:textId="77777777" w:rsidR="008E4243" w:rsidRPr="00AD59FE" w:rsidRDefault="00000000" w:rsidP="00AD59FE">
            <w:pPr>
              <w:spacing w:before="20" w:after="20"/>
              <w:jc w:val="center"/>
              <w:rPr>
                <w:sz w:val="20"/>
                <w:szCs w:val="20"/>
              </w:rPr>
            </w:pPr>
            <w:r w:rsidRPr="00AD59FE">
              <w:rPr>
                <w:sz w:val="20"/>
                <w:szCs w:val="20"/>
              </w:rPr>
              <w:t>Microservice migration restores resilience and agility lost to monoliths</w:t>
            </w:r>
          </w:p>
        </w:tc>
        <w:tc>
          <w:tcPr>
            <w:tcW w:w="198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21D3BC26" w14:textId="77777777" w:rsidR="008E4243" w:rsidRPr="00AD59FE" w:rsidRDefault="00000000" w:rsidP="00AD59FE">
            <w:pPr>
              <w:spacing w:before="20" w:after="20"/>
              <w:jc w:val="center"/>
              <w:rPr>
                <w:sz w:val="20"/>
                <w:szCs w:val="20"/>
              </w:rPr>
            </w:pPr>
            <w:r w:rsidRPr="00AD59FE">
              <w:rPr>
                <w:sz w:val="20"/>
                <w:szCs w:val="20"/>
              </w:rPr>
              <w:t>Modular architecture underpins operational adaptiveness</w:t>
            </w:r>
          </w:p>
        </w:tc>
        <w:tc>
          <w:tcPr>
            <w:tcW w:w="171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52E5CD01" w14:textId="77777777" w:rsidR="008E4243" w:rsidRPr="00AD59FE" w:rsidRDefault="00000000" w:rsidP="00AD59FE">
            <w:pPr>
              <w:spacing w:before="20" w:after="20"/>
              <w:jc w:val="center"/>
              <w:rPr>
                <w:sz w:val="20"/>
                <w:szCs w:val="20"/>
              </w:rPr>
            </w:pPr>
            <w:r w:rsidRPr="00AD59FE">
              <w:rPr>
                <w:sz w:val="20"/>
                <w:szCs w:val="20"/>
              </w:rPr>
              <w:t>Distributed design widens the security and control surface</w:t>
            </w:r>
          </w:p>
        </w:tc>
        <w:tc>
          <w:tcPr>
            <w:tcW w:w="225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54F678FA" w14:textId="77777777" w:rsidR="008E4243" w:rsidRPr="00AD59FE" w:rsidRDefault="00000000" w:rsidP="00AD59FE">
            <w:pPr>
              <w:spacing w:before="20" w:after="20"/>
              <w:jc w:val="center"/>
              <w:rPr>
                <w:sz w:val="20"/>
                <w:szCs w:val="20"/>
              </w:rPr>
            </w:pPr>
            <w:r w:rsidRPr="00AD59FE">
              <w:rPr>
                <w:sz w:val="20"/>
                <w:szCs w:val="20"/>
              </w:rPr>
              <w:t>Long-run resilience outcomes not yet measured</w:t>
            </w:r>
          </w:p>
        </w:tc>
      </w:tr>
      <w:tr w:rsidR="008E4243" w:rsidRPr="005E1DF4" w14:paraId="794E2CBB" w14:textId="77777777" w:rsidTr="00AD59FE">
        <w:trPr>
          <w:jc w:val="center"/>
        </w:trPr>
        <w:tc>
          <w:tcPr>
            <w:tcW w:w="1525"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29CDDD08" w14:textId="77777777" w:rsidR="008E4243" w:rsidRPr="00AD59FE" w:rsidRDefault="00000000" w:rsidP="00AD59FE">
            <w:pPr>
              <w:spacing w:before="20" w:after="20"/>
              <w:jc w:val="center"/>
              <w:rPr>
                <w:sz w:val="20"/>
                <w:szCs w:val="20"/>
              </w:rPr>
            </w:pPr>
            <w:r w:rsidRPr="00AD59FE">
              <w:rPr>
                <w:sz w:val="20"/>
                <w:szCs w:val="20"/>
              </w:rPr>
              <w:lastRenderedPageBreak/>
              <w:t>Singh &amp; Dutta (2026)</w:t>
            </w:r>
          </w:p>
        </w:tc>
        <w:tc>
          <w:tcPr>
            <w:tcW w:w="135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59A54902" w14:textId="77777777" w:rsidR="008E4243" w:rsidRPr="00AD59FE" w:rsidRDefault="00000000" w:rsidP="00AD59FE">
            <w:pPr>
              <w:spacing w:before="20" w:after="20"/>
              <w:jc w:val="center"/>
              <w:rPr>
                <w:sz w:val="20"/>
                <w:szCs w:val="20"/>
              </w:rPr>
            </w:pPr>
            <w:r w:rsidRPr="00AD59FE">
              <w:rPr>
                <w:sz w:val="20"/>
                <w:szCs w:val="20"/>
              </w:rPr>
              <w:t>Cloud-native engineering; security and compliance</w:t>
            </w:r>
          </w:p>
        </w:tc>
        <w:tc>
          <w:tcPr>
            <w:tcW w:w="189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34EEA80C" w14:textId="77777777" w:rsidR="008E4243" w:rsidRPr="00AD59FE" w:rsidRDefault="00000000" w:rsidP="00AD59FE">
            <w:pPr>
              <w:spacing w:before="20" w:after="20"/>
              <w:jc w:val="center"/>
              <w:rPr>
                <w:sz w:val="20"/>
                <w:szCs w:val="20"/>
              </w:rPr>
            </w:pPr>
            <w:r w:rsidRPr="00AD59FE">
              <w:rPr>
                <w:sz w:val="20"/>
                <w:szCs w:val="20"/>
              </w:rPr>
              <w:t>Security, compliance, and privacy are engineering preconditions, not add-ons</w:t>
            </w:r>
          </w:p>
        </w:tc>
        <w:tc>
          <w:tcPr>
            <w:tcW w:w="198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42B1916D" w14:textId="77777777" w:rsidR="008E4243" w:rsidRPr="00AD59FE" w:rsidRDefault="00000000" w:rsidP="00AD59FE">
            <w:pPr>
              <w:spacing w:before="20" w:after="20"/>
              <w:jc w:val="center"/>
              <w:rPr>
                <w:sz w:val="20"/>
                <w:szCs w:val="20"/>
              </w:rPr>
            </w:pPr>
            <w:r w:rsidRPr="00AD59FE">
              <w:rPr>
                <w:sz w:val="20"/>
                <w:szCs w:val="20"/>
              </w:rPr>
              <w:t>Governance maturity gates safe progression toward autonomy</w:t>
            </w:r>
          </w:p>
        </w:tc>
        <w:tc>
          <w:tcPr>
            <w:tcW w:w="171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3124DDDD" w14:textId="77777777" w:rsidR="008E4243" w:rsidRPr="00AD59FE" w:rsidRDefault="00000000" w:rsidP="00AD59FE">
            <w:pPr>
              <w:spacing w:before="20" w:after="20"/>
              <w:jc w:val="center"/>
              <w:rPr>
                <w:sz w:val="20"/>
                <w:szCs w:val="20"/>
              </w:rPr>
            </w:pPr>
            <w:r w:rsidRPr="00AD59FE">
              <w:rPr>
                <w:sz w:val="20"/>
                <w:szCs w:val="20"/>
              </w:rPr>
              <w:t xml:space="preserve">Defines the </w:t>
            </w:r>
            <w:proofErr w:type="spellStart"/>
            <w:r w:rsidRPr="00AD59FE">
              <w:rPr>
                <w:sz w:val="20"/>
                <w:szCs w:val="20"/>
              </w:rPr>
              <w:t>MLOps</w:t>
            </w:r>
            <w:proofErr w:type="spellEnd"/>
            <w:r w:rsidRPr="00AD59FE">
              <w:rPr>
                <w:sz w:val="20"/>
                <w:szCs w:val="20"/>
              </w:rPr>
              <w:t>-governance agenda specific to ERP</w:t>
            </w:r>
          </w:p>
        </w:tc>
        <w:tc>
          <w:tcPr>
            <w:tcW w:w="225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6E6023E6" w14:textId="77777777" w:rsidR="008E4243" w:rsidRPr="00AD59FE" w:rsidRDefault="00000000" w:rsidP="00AD59FE">
            <w:pPr>
              <w:spacing w:before="20" w:after="20"/>
              <w:jc w:val="center"/>
              <w:rPr>
                <w:sz w:val="20"/>
                <w:szCs w:val="20"/>
              </w:rPr>
            </w:pPr>
            <w:r w:rsidRPr="00AD59FE">
              <w:rPr>
                <w:sz w:val="20"/>
                <w:szCs w:val="20"/>
              </w:rPr>
              <w:t>Effectiveness of controls unevaluated in practice</w:t>
            </w:r>
          </w:p>
        </w:tc>
      </w:tr>
      <w:tr w:rsidR="008E4243" w:rsidRPr="005E1DF4" w14:paraId="3E86E761" w14:textId="77777777" w:rsidTr="00AD59FE">
        <w:trPr>
          <w:jc w:val="center"/>
        </w:trPr>
        <w:tc>
          <w:tcPr>
            <w:tcW w:w="1525"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4716FDA4" w14:textId="77777777" w:rsidR="008E4243" w:rsidRPr="00AD59FE" w:rsidRDefault="00000000" w:rsidP="00AD59FE">
            <w:pPr>
              <w:spacing w:before="20" w:after="20"/>
              <w:jc w:val="center"/>
              <w:rPr>
                <w:sz w:val="20"/>
                <w:szCs w:val="20"/>
              </w:rPr>
            </w:pPr>
            <w:proofErr w:type="spellStart"/>
            <w:r w:rsidRPr="00AD59FE">
              <w:rPr>
                <w:sz w:val="20"/>
                <w:szCs w:val="20"/>
              </w:rPr>
              <w:t>Sarferaz</w:t>
            </w:r>
            <w:proofErr w:type="spellEnd"/>
            <w:r w:rsidRPr="00AD59FE">
              <w:rPr>
                <w:sz w:val="20"/>
                <w:szCs w:val="20"/>
              </w:rPr>
              <w:t xml:space="preserve"> (2025)</w:t>
            </w:r>
          </w:p>
        </w:tc>
        <w:tc>
          <w:tcPr>
            <w:tcW w:w="135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580D5238" w14:textId="77777777" w:rsidR="008E4243" w:rsidRPr="00AD59FE" w:rsidRDefault="00000000" w:rsidP="00AD59FE">
            <w:pPr>
              <w:spacing w:before="20" w:after="20"/>
              <w:jc w:val="center"/>
              <w:rPr>
                <w:sz w:val="20"/>
                <w:szCs w:val="20"/>
              </w:rPr>
            </w:pPr>
            <w:r w:rsidRPr="00AD59FE">
              <w:rPr>
                <w:sz w:val="20"/>
                <w:szCs w:val="20"/>
              </w:rPr>
              <w:t>Agentic AI in ERP</w:t>
            </w:r>
          </w:p>
        </w:tc>
        <w:tc>
          <w:tcPr>
            <w:tcW w:w="189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12181FCA" w14:textId="77777777" w:rsidR="008E4243" w:rsidRPr="00AD59FE" w:rsidRDefault="00000000" w:rsidP="00AD59FE">
            <w:pPr>
              <w:spacing w:before="20" w:after="20"/>
              <w:jc w:val="center"/>
              <w:rPr>
                <w:sz w:val="20"/>
                <w:szCs w:val="20"/>
              </w:rPr>
            </w:pPr>
            <w:r w:rsidRPr="00AD59FE">
              <w:rPr>
                <w:sz w:val="20"/>
                <w:szCs w:val="20"/>
              </w:rPr>
              <w:t>Autonomous agents are technically implementable within ERP</w:t>
            </w:r>
          </w:p>
        </w:tc>
        <w:tc>
          <w:tcPr>
            <w:tcW w:w="198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42883C02" w14:textId="77777777" w:rsidR="008E4243" w:rsidRPr="00AD59FE" w:rsidRDefault="00000000" w:rsidP="00AD59FE">
            <w:pPr>
              <w:spacing w:before="20" w:after="20"/>
              <w:jc w:val="center"/>
              <w:rPr>
                <w:sz w:val="20"/>
                <w:szCs w:val="20"/>
              </w:rPr>
            </w:pPr>
            <w:r w:rsidRPr="00AD59FE">
              <w:rPr>
                <w:sz w:val="20"/>
                <w:szCs w:val="20"/>
              </w:rPr>
              <w:t>Represents the highest-order seizing and transforming capacity</w:t>
            </w:r>
          </w:p>
        </w:tc>
        <w:tc>
          <w:tcPr>
            <w:tcW w:w="171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7F72F855" w14:textId="77777777" w:rsidR="008E4243" w:rsidRPr="00AD59FE" w:rsidRDefault="00000000" w:rsidP="00AD59FE">
            <w:pPr>
              <w:spacing w:before="20" w:after="20"/>
              <w:jc w:val="center"/>
              <w:rPr>
                <w:sz w:val="20"/>
                <w:szCs w:val="20"/>
              </w:rPr>
            </w:pPr>
            <w:r w:rsidRPr="00AD59FE">
              <w:rPr>
                <w:sz w:val="20"/>
                <w:szCs w:val="20"/>
              </w:rPr>
              <w:t>Accountability and oversight burdens rise sharply with autonomy</w:t>
            </w:r>
          </w:p>
        </w:tc>
        <w:tc>
          <w:tcPr>
            <w:tcW w:w="225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78ADCC63" w14:textId="77777777" w:rsidR="008E4243" w:rsidRPr="00AD59FE" w:rsidRDefault="00000000" w:rsidP="00AD59FE">
            <w:pPr>
              <w:spacing w:before="20" w:after="20"/>
              <w:jc w:val="center"/>
              <w:rPr>
                <w:sz w:val="20"/>
                <w:szCs w:val="20"/>
              </w:rPr>
            </w:pPr>
            <w:r w:rsidRPr="00AD59FE">
              <w:rPr>
                <w:sz w:val="20"/>
                <w:szCs w:val="20"/>
              </w:rPr>
              <w:t>Governance for agentic operation underspecified</w:t>
            </w:r>
          </w:p>
        </w:tc>
      </w:tr>
      <w:tr w:rsidR="008E4243" w:rsidRPr="005E1DF4" w14:paraId="5A80CB29" w14:textId="77777777" w:rsidTr="00AD59FE">
        <w:trPr>
          <w:jc w:val="center"/>
        </w:trPr>
        <w:tc>
          <w:tcPr>
            <w:tcW w:w="1525"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58673FFD" w14:textId="77777777" w:rsidR="008E4243" w:rsidRPr="00AD59FE" w:rsidRDefault="00000000" w:rsidP="00AD59FE">
            <w:pPr>
              <w:spacing w:before="20" w:after="20"/>
              <w:jc w:val="center"/>
              <w:rPr>
                <w:sz w:val="20"/>
                <w:szCs w:val="20"/>
              </w:rPr>
            </w:pPr>
            <w:r w:rsidRPr="00AD59FE">
              <w:rPr>
                <w:sz w:val="20"/>
                <w:szCs w:val="20"/>
              </w:rPr>
              <w:t>Liu et al. (2025)</w:t>
            </w:r>
          </w:p>
        </w:tc>
        <w:tc>
          <w:tcPr>
            <w:tcW w:w="135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0C0EBF41" w14:textId="77777777" w:rsidR="008E4243" w:rsidRPr="00AD59FE" w:rsidRDefault="00000000" w:rsidP="00AD59FE">
            <w:pPr>
              <w:spacing w:before="20" w:after="20"/>
              <w:jc w:val="center"/>
              <w:rPr>
                <w:sz w:val="20"/>
                <w:szCs w:val="20"/>
              </w:rPr>
            </w:pPr>
            <w:r w:rsidRPr="00AD59FE">
              <w:rPr>
                <w:sz w:val="20"/>
                <w:szCs w:val="20"/>
              </w:rPr>
              <w:t>Supply-chain forecasting and anomaly detection</w:t>
            </w:r>
          </w:p>
        </w:tc>
        <w:tc>
          <w:tcPr>
            <w:tcW w:w="189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2CCBDB22" w14:textId="77777777" w:rsidR="008E4243" w:rsidRPr="00AD59FE" w:rsidRDefault="00000000" w:rsidP="00AD59FE">
            <w:pPr>
              <w:spacing w:before="20" w:after="20"/>
              <w:jc w:val="center"/>
              <w:rPr>
                <w:sz w:val="20"/>
                <w:szCs w:val="20"/>
              </w:rPr>
            </w:pPr>
            <w:r w:rsidRPr="00AD59FE">
              <w:rPr>
                <w:sz w:val="20"/>
                <w:szCs w:val="20"/>
              </w:rPr>
              <w:t xml:space="preserve">Integrated forecasting and </w:t>
            </w:r>
            <w:proofErr w:type="spellStart"/>
            <w:r w:rsidRPr="00AD59FE">
              <w:rPr>
                <w:sz w:val="20"/>
                <w:szCs w:val="20"/>
              </w:rPr>
              <w:t>optimisation</w:t>
            </w:r>
            <w:proofErr w:type="spellEnd"/>
            <w:r w:rsidRPr="00AD59FE">
              <w:rPr>
                <w:sz w:val="20"/>
                <w:szCs w:val="20"/>
              </w:rPr>
              <w:t xml:space="preserve"> improve resilience under shock</w:t>
            </w:r>
          </w:p>
        </w:tc>
        <w:tc>
          <w:tcPr>
            <w:tcW w:w="198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23A27BDF" w14:textId="77777777" w:rsidR="008E4243" w:rsidRPr="00AD59FE" w:rsidRDefault="00000000" w:rsidP="00AD59FE">
            <w:pPr>
              <w:spacing w:before="20" w:after="20"/>
              <w:jc w:val="center"/>
              <w:rPr>
                <w:sz w:val="20"/>
                <w:szCs w:val="20"/>
              </w:rPr>
            </w:pPr>
            <w:r w:rsidRPr="00AD59FE">
              <w:rPr>
                <w:sz w:val="20"/>
                <w:szCs w:val="20"/>
              </w:rPr>
              <w:t>Operational sensing and rapid reconfiguration</w:t>
            </w:r>
          </w:p>
        </w:tc>
        <w:tc>
          <w:tcPr>
            <w:tcW w:w="171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2B76EFA8" w14:textId="77777777" w:rsidR="008E4243" w:rsidRPr="00AD59FE" w:rsidRDefault="00000000" w:rsidP="00AD59FE">
            <w:pPr>
              <w:spacing w:before="20" w:after="20"/>
              <w:jc w:val="center"/>
              <w:rPr>
                <w:sz w:val="20"/>
                <w:szCs w:val="20"/>
              </w:rPr>
            </w:pPr>
            <w:r w:rsidRPr="00AD59FE">
              <w:rPr>
                <w:sz w:val="20"/>
                <w:szCs w:val="20"/>
              </w:rPr>
              <w:t>Model drift under disruption is a live governance risk</w:t>
            </w:r>
          </w:p>
        </w:tc>
        <w:tc>
          <w:tcPr>
            <w:tcW w:w="225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0CD4CB1D" w14:textId="77777777" w:rsidR="008E4243" w:rsidRPr="00AD59FE" w:rsidRDefault="00000000" w:rsidP="00AD59FE">
            <w:pPr>
              <w:spacing w:before="20" w:after="20"/>
              <w:jc w:val="center"/>
              <w:rPr>
                <w:sz w:val="20"/>
                <w:szCs w:val="20"/>
              </w:rPr>
            </w:pPr>
            <w:proofErr w:type="spellStart"/>
            <w:r w:rsidRPr="00AD59FE">
              <w:rPr>
                <w:sz w:val="20"/>
                <w:szCs w:val="20"/>
              </w:rPr>
              <w:t>Generalisability</w:t>
            </w:r>
            <w:proofErr w:type="spellEnd"/>
            <w:r w:rsidRPr="00AD59FE">
              <w:rPr>
                <w:sz w:val="20"/>
                <w:szCs w:val="20"/>
              </w:rPr>
              <w:t xml:space="preserve"> beyond modelled settings unclear</w:t>
            </w:r>
          </w:p>
        </w:tc>
      </w:tr>
      <w:tr w:rsidR="008E4243" w:rsidRPr="005E1DF4" w14:paraId="17C61B80" w14:textId="77777777" w:rsidTr="00AD59FE">
        <w:trPr>
          <w:jc w:val="center"/>
        </w:trPr>
        <w:tc>
          <w:tcPr>
            <w:tcW w:w="1525"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19FEC381" w14:textId="77777777" w:rsidR="008E4243" w:rsidRPr="00AD59FE" w:rsidRDefault="00000000" w:rsidP="00AD59FE">
            <w:pPr>
              <w:spacing w:before="20" w:after="20"/>
              <w:jc w:val="center"/>
              <w:rPr>
                <w:sz w:val="20"/>
                <w:szCs w:val="20"/>
              </w:rPr>
            </w:pPr>
            <w:r w:rsidRPr="00AD59FE">
              <w:rPr>
                <w:sz w:val="20"/>
                <w:szCs w:val="20"/>
              </w:rPr>
              <w:t>Olsen et al. (2022)</w:t>
            </w:r>
          </w:p>
        </w:tc>
        <w:tc>
          <w:tcPr>
            <w:tcW w:w="135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5D9EFD02" w14:textId="77777777" w:rsidR="008E4243" w:rsidRPr="00AD59FE" w:rsidRDefault="00000000" w:rsidP="00AD59FE">
            <w:pPr>
              <w:spacing w:before="20" w:after="20"/>
              <w:jc w:val="center"/>
              <w:rPr>
                <w:sz w:val="20"/>
                <w:szCs w:val="20"/>
              </w:rPr>
            </w:pPr>
            <w:r w:rsidRPr="00AD59FE">
              <w:rPr>
                <w:sz w:val="20"/>
                <w:szCs w:val="20"/>
              </w:rPr>
              <w:t>Change management in ERP (SME context)</w:t>
            </w:r>
          </w:p>
        </w:tc>
        <w:tc>
          <w:tcPr>
            <w:tcW w:w="189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375D2B11" w14:textId="77777777" w:rsidR="008E4243" w:rsidRPr="00AD59FE" w:rsidRDefault="00000000" w:rsidP="00AD59FE">
            <w:pPr>
              <w:spacing w:before="20" w:after="20"/>
              <w:jc w:val="center"/>
              <w:rPr>
                <w:sz w:val="20"/>
                <w:szCs w:val="20"/>
              </w:rPr>
            </w:pPr>
            <w:r w:rsidRPr="00AD59FE">
              <w:rPr>
                <w:sz w:val="20"/>
                <w:szCs w:val="20"/>
              </w:rPr>
              <w:t>Socio-technical alignment, not technology, decides success</w:t>
            </w:r>
          </w:p>
        </w:tc>
        <w:tc>
          <w:tcPr>
            <w:tcW w:w="198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0C49EFE3" w14:textId="77777777" w:rsidR="008E4243" w:rsidRPr="00AD59FE" w:rsidRDefault="00000000" w:rsidP="00AD59FE">
            <w:pPr>
              <w:spacing w:before="20" w:after="20"/>
              <w:jc w:val="center"/>
              <w:rPr>
                <w:sz w:val="20"/>
                <w:szCs w:val="20"/>
              </w:rPr>
            </w:pPr>
            <w:r w:rsidRPr="00AD59FE">
              <w:rPr>
                <w:sz w:val="20"/>
                <w:szCs w:val="20"/>
              </w:rPr>
              <w:t xml:space="preserve">Workforce readiness conditions every </w:t>
            </w:r>
            <w:proofErr w:type="spellStart"/>
            <w:r w:rsidRPr="00AD59FE">
              <w:rPr>
                <w:sz w:val="20"/>
                <w:szCs w:val="20"/>
              </w:rPr>
              <w:t>realised</w:t>
            </w:r>
            <w:proofErr w:type="spellEnd"/>
            <w:r w:rsidRPr="00AD59FE">
              <w:rPr>
                <w:sz w:val="20"/>
                <w:szCs w:val="20"/>
              </w:rPr>
              <w:t xml:space="preserve"> agility gain</w:t>
            </w:r>
          </w:p>
        </w:tc>
        <w:tc>
          <w:tcPr>
            <w:tcW w:w="171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0B84A099" w14:textId="77777777" w:rsidR="008E4243" w:rsidRPr="00AD59FE" w:rsidRDefault="00000000" w:rsidP="00AD59FE">
            <w:pPr>
              <w:spacing w:before="20" w:after="20"/>
              <w:jc w:val="center"/>
              <w:rPr>
                <w:sz w:val="20"/>
                <w:szCs w:val="20"/>
              </w:rPr>
            </w:pPr>
            <w:r w:rsidRPr="00AD59FE">
              <w:rPr>
                <w:sz w:val="20"/>
                <w:szCs w:val="20"/>
              </w:rPr>
              <w:t>Cultural fit shapes acceptance of opaque decisions</w:t>
            </w:r>
          </w:p>
        </w:tc>
        <w:tc>
          <w:tcPr>
            <w:tcW w:w="225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7A11CBD8" w14:textId="77777777" w:rsidR="008E4243" w:rsidRPr="00AD59FE" w:rsidRDefault="00000000" w:rsidP="00AD59FE">
            <w:pPr>
              <w:spacing w:before="20" w:after="20"/>
              <w:jc w:val="center"/>
              <w:rPr>
                <w:sz w:val="20"/>
                <w:szCs w:val="20"/>
              </w:rPr>
            </w:pPr>
            <w:r w:rsidRPr="00AD59FE">
              <w:rPr>
                <w:sz w:val="20"/>
                <w:szCs w:val="20"/>
              </w:rPr>
              <w:t xml:space="preserve">Mechanisms of AI-specific resistance </w:t>
            </w:r>
            <w:proofErr w:type="gramStart"/>
            <w:r w:rsidRPr="00AD59FE">
              <w:rPr>
                <w:sz w:val="20"/>
                <w:szCs w:val="20"/>
              </w:rPr>
              <w:t>not</w:t>
            </w:r>
            <w:proofErr w:type="gramEnd"/>
            <w:r w:rsidRPr="00AD59FE">
              <w:rPr>
                <w:sz w:val="20"/>
                <w:szCs w:val="20"/>
              </w:rPr>
              <w:t xml:space="preserve"> yet isolated</w:t>
            </w:r>
          </w:p>
        </w:tc>
      </w:tr>
      <w:tr w:rsidR="008E4243" w:rsidRPr="005E1DF4" w14:paraId="47BB9A0E" w14:textId="77777777" w:rsidTr="00AD59FE">
        <w:trPr>
          <w:jc w:val="center"/>
        </w:trPr>
        <w:tc>
          <w:tcPr>
            <w:tcW w:w="1525"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2619C50F" w14:textId="77777777" w:rsidR="008E4243" w:rsidRPr="00AD59FE" w:rsidRDefault="00000000" w:rsidP="00AD59FE">
            <w:pPr>
              <w:spacing w:before="20" w:after="20"/>
              <w:jc w:val="center"/>
              <w:rPr>
                <w:sz w:val="20"/>
                <w:szCs w:val="20"/>
              </w:rPr>
            </w:pPr>
            <w:r w:rsidRPr="00AD59FE">
              <w:rPr>
                <w:sz w:val="20"/>
                <w:szCs w:val="20"/>
              </w:rPr>
              <w:t>Mahmood et al. (2020)</w:t>
            </w:r>
          </w:p>
        </w:tc>
        <w:tc>
          <w:tcPr>
            <w:tcW w:w="135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45A995D5" w14:textId="77777777" w:rsidR="008E4243" w:rsidRPr="00AD59FE" w:rsidRDefault="00000000" w:rsidP="00AD59FE">
            <w:pPr>
              <w:spacing w:before="20" w:after="20"/>
              <w:jc w:val="center"/>
              <w:rPr>
                <w:sz w:val="20"/>
                <w:szCs w:val="20"/>
              </w:rPr>
            </w:pPr>
            <w:r w:rsidRPr="00AD59FE">
              <w:rPr>
                <w:sz w:val="20"/>
                <w:szCs w:val="20"/>
              </w:rPr>
              <w:t>Synthesis of ERP issues and challenges</w:t>
            </w:r>
          </w:p>
        </w:tc>
        <w:tc>
          <w:tcPr>
            <w:tcW w:w="189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15E5EDDD" w14:textId="77777777" w:rsidR="008E4243" w:rsidRPr="00AD59FE" w:rsidRDefault="00000000" w:rsidP="00AD59FE">
            <w:pPr>
              <w:spacing w:before="20" w:after="20"/>
              <w:jc w:val="center"/>
              <w:rPr>
                <w:sz w:val="20"/>
                <w:szCs w:val="20"/>
              </w:rPr>
            </w:pPr>
            <w:r w:rsidRPr="00AD59FE">
              <w:rPr>
                <w:sz w:val="20"/>
                <w:szCs w:val="20"/>
              </w:rPr>
              <w:t>High investment coexists with persistent implementation failure</w:t>
            </w:r>
          </w:p>
        </w:tc>
        <w:tc>
          <w:tcPr>
            <w:tcW w:w="198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30E2F6D3" w14:textId="77777777" w:rsidR="008E4243" w:rsidRPr="00AD59FE" w:rsidRDefault="00000000" w:rsidP="00AD59FE">
            <w:pPr>
              <w:spacing w:before="20" w:after="20"/>
              <w:jc w:val="center"/>
              <w:rPr>
                <w:sz w:val="20"/>
                <w:szCs w:val="20"/>
              </w:rPr>
            </w:pPr>
            <w:r w:rsidRPr="00AD59FE">
              <w:rPr>
                <w:sz w:val="20"/>
                <w:szCs w:val="20"/>
              </w:rPr>
              <w:t>Agility benefits are fragile and strongly conditional</w:t>
            </w:r>
          </w:p>
        </w:tc>
        <w:tc>
          <w:tcPr>
            <w:tcW w:w="171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0E23D7B2" w14:textId="77777777" w:rsidR="008E4243" w:rsidRPr="00AD59FE" w:rsidRDefault="00000000" w:rsidP="00AD59FE">
            <w:pPr>
              <w:spacing w:before="20" w:after="20"/>
              <w:jc w:val="center"/>
              <w:rPr>
                <w:sz w:val="20"/>
                <w:szCs w:val="20"/>
              </w:rPr>
            </w:pPr>
            <w:r w:rsidRPr="00AD59FE">
              <w:rPr>
                <w:sz w:val="20"/>
                <w:szCs w:val="20"/>
              </w:rPr>
              <w:t>Weak data and governance foundations drive failure</w:t>
            </w:r>
          </w:p>
        </w:tc>
        <w:tc>
          <w:tcPr>
            <w:tcW w:w="225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10166F61" w14:textId="77777777" w:rsidR="008E4243" w:rsidRPr="00AD59FE" w:rsidRDefault="00000000" w:rsidP="00AD59FE">
            <w:pPr>
              <w:spacing w:before="20" w:after="20"/>
              <w:jc w:val="center"/>
              <w:rPr>
                <w:sz w:val="20"/>
                <w:szCs w:val="20"/>
              </w:rPr>
            </w:pPr>
            <w:r w:rsidRPr="00AD59FE">
              <w:rPr>
                <w:sz w:val="20"/>
                <w:szCs w:val="20"/>
              </w:rPr>
              <w:t>Conditions separating success from failure under-</w:t>
            </w:r>
            <w:proofErr w:type="spellStart"/>
            <w:r w:rsidRPr="00AD59FE">
              <w:rPr>
                <w:sz w:val="20"/>
                <w:szCs w:val="20"/>
              </w:rPr>
              <w:t>theorised</w:t>
            </w:r>
            <w:proofErr w:type="spellEnd"/>
          </w:p>
        </w:tc>
      </w:tr>
      <w:tr w:rsidR="008E4243" w:rsidRPr="005E1DF4" w14:paraId="3323D60E" w14:textId="77777777" w:rsidTr="00AD59FE">
        <w:trPr>
          <w:jc w:val="center"/>
        </w:trPr>
        <w:tc>
          <w:tcPr>
            <w:tcW w:w="1525"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0311DF4F" w14:textId="77777777" w:rsidR="008E4243" w:rsidRPr="00AD59FE" w:rsidRDefault="00000000" w:rsidP="00AD59FE">
            <w:pPr>
              <w:spacing w:before="20" w:after="20"/>
              <w:jc w:val="center"/>
              <w:rPr>
                <w:sz w:val="20"/>
                <w:szCs w:val="20"/>
              </w:rPr>
            </w:pPr>
            <w:proofErr w:type="spellStart"/>
            <w:r w:rsidRPr="00AD59FE">
              <w:rPr>
                <w:sz w:val="20"/>
                <w:szCs w:val="20"/>
              </w:rPr>
              <w:t>Elbadri</w:t>
            </w:r>
            <w:proofErr w:type="spellEnd"/>
            <w:r w:rsidRPr="00AD59FE">
              <w:rPr>
                <w:sz w:val="20"/>
                <w:szCs w:val="20"/>
              </w:rPr>
              <w:t xml:space="preserve"> et al. (2024)</w:t>
            </w:r>
          </w:p>
        </w:tc>
        <w:tc>
          <w:tcPr>
            <w:tcW w:w="135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5FB09378" w14:textId="77777777" w:rsidR="008E4243" w:rsidRPr="00AD59FE" w:rsidRDefault="00000000" w:rsidP="00AD59FE">
            <w:pPr>
              <w:spacing w:before="20" w:after="20"/>
              <w:jc w:val="center"/>
              <w:rPr>
                <w:sz w:val="20"/>
                <w:szCs w:val="20"/>
              </w:rPr>
            </w:pPr>
            <w:r w:rsidRPr="00AD59FE">
              <w:rPr>
                <w:sz w:val="20"/>
                <w:szCs w:val="20"/>
              </w:rPr>
              <w:t>Data quality for ERP implementation</w:t>
            </w:r>
          </w:p>
        </w:tc>
        <w:tc>
          <w:tcPr>
            <w:tcW w:w="189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14163E29" w14:textId="77777777" w:rsidR="008E4243" w:rsidRPr="00AD59FE" w:rsidRDefault="00000000" w:rsidP="00AD59FE">
            <w:pPr>
              <w:spacing w:before="20" w:after="20"/>
              <w:jc w:val="center"/>
              <w:rPr>
                <w:sz w:val="20"/>
                <w:szCs w:val="20"/>
              </w:rPr>
            </w:pPr>
            <w:r w:rsidRPr="00AD59FE">
              <w:rPr>
                <w:sz w:val="20"/>
                <w:szCs w:val="20"/>
              </w:rPr>
              <w:t>Output reliability inherits the quality of input data</w:t>
            </w:r>
          </w:p>
        </w:tc>
        <w:tc>
          <w:tcPr>
            <w:tcW w:w="198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345B7407" w14:textId="77777777" w:rsidR="008E4243" w:rsidRPr="00AD59FE" w:rsidRDefault="00000000" w:rsidP="00AD59FE">
            <w:pPr>
              <w:spacing w:before="20" w:after="20"/>
              <w:jc w:val="center"/>
              <w:rPr>
                <w:sz w:val="20"/>
                <w:szCs w:val="20"/>
              </w:rPr>
            </w:pPr>
            <w:r w:rsidRPr="00AD59FE">
              <w:rPr>
                <w:sz w:val="20"/>
                <w:szCs w:val="20"/>
              </w:rPr>
              <w:t>The data foundation is the binding constraint on agility</w:t>
            </w:r>
          </w:p>
        </w:tc>
        <w:tc>
          <w:tcPr>
            <w:tcW w:w="171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337EEECF" w14:textId="77777777" w:rsidR="008E4243" w:rsidRPr="00AD59FE" w:rsidRDefault="00000000" w:rsidP="00AD59FE">
            <w:pPr>
              <w:spacing w:before="20" w:after="20"/>
              <w:jc w:val="center"/>
              <w:rPr>
                <w:sz w:val="20"/>
                <w:szCs w:val="20"/>
              </w:rPr>
            </w:pPr>
            <w:r w:rsidRPr="00AD59FE">
              <w:rPr>
                <w:sz w:val="20"/>
                <w:szCs w:val="20"/>
              </w:rPr>
              <w:t>Data stewardship is a governance prerequisite</w:t>
            </w:r>
          </w:p>
        </w:tc>
        <w:tc>
          <w:tcPr>
            <w:tcW w:w="225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279C52DE" w14:textId="77777777" w:rsidR="008E4243" w:rsidRPr="00AD59FE" w:rsidRDefault="00000000" w:rsidP="00AD59FE">
            <w:pPr>
              <w:spacing w:before="20" w:after="20"/>
              <w:jc w:val="center"/>
              <w:rPr>
                <w:sz w:val="20"/>
                <w:szCs w:val="20"/>
              </w:rPr>
            </w:pPr>
            <w:r w:rsidRPr="00AD59FE">
              <w:rPr>
                <w:sz w:val="20"/>
                <w:szCs w:val="20"/>
              </w:rPr>
              <w:t>Quantified data-quality thresholds remain absent</w:t>
            </w:r>
          </w:p>
        </w:tc>
      </w:tr>
      <w:tr w:rsidR="008E4243" w:rsidRPr="005E1DF4" w14:paraId="3EFEA68B" w14:textId="77777777" w:rsidTr="00AD59FE">
        <w:trPr>
          <w:jc w:val="center"/>
        </w:trPr>
        <w:tc>
          <w:tcPr>
            <w:tcW w:w="1525"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00D7B4E6" w14:textId="77777777" w:rsidR="008E4243" w:rsidRPr="00AD59FE" w:rsidRDefault="00000000" w:rsidP="00AD59FE">
            <w:pPr>
              <w:spacing w:before="20" w:after="20"/>
              <w:jc w:val="center"/>
              <w:rPr>
                <w:sz w:val="20"/>
                <w:szCs w:val="20"/>
              </w:rPr>
            </w:pPr>
            <w:r w:rsidRPr="00AD59FE">
              <w:rPr>
                <w:sz w:val="20"/>
                <w:szCs w:val="20"/>
              </w:rPr>
              <w:t>Sharma et al. (2025)</w:t>
            </w:r>
          </w:p>
        </w:tc>
        <w:tc>
          <w:tcPr>
            <w:tcW w:w="135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6E439EEA" w14:textId="77777777" w:rsidR="008E4243" w:rsidRPr="00AD59FE" w:rsidRDefault="00000000" w:rsidP="00AD59FE">
            <w:pPr>
              <w:spacing w:before="20" w:after="20"/>
              <w:jc w:val="center"/>
              <w:rPr>
                <w:sz w:val="20"/>
                <w:szCs w:val="20"/>
              </w:rPr>
            </w:pPr>
            <w:r w:rsidRPr="00AD59FE">
              <w:rPr>
                <w:sz w:val="20"/>
                <w:szCs w:val="20"/>
              </w:rPr>
              <w:t>AI-centric Workday integration</w:t>
            </w:r>
          </w:p>
        </w:tc>
        <w:tc>
          <w:tcPr>
            <w:tcW w:w="189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33345C2A" w14:textId="77777777" w:rsidR="008E4243" w:rsidRPr="00AD59FE" w:rsidRDefault="00000000" w:rsidP="00AD59FE">
            <w:pPr>
              <w:spacing w:before="20" w:after="20"/>
              <w:jc w:val="center"/>
              <w:rPr>
                <w:sz w:val="20"/>
                <w:szCs w:val="20"/>
              </w:rPr>
            </w:pPr>
            <w:r w:rsidRPr="00AD59FE">
              <w:rPr>
                <w:sz w:val="20"/>
                <w:szCs w:val="20"/>
              </w:rPr>
              <w:t>Workforce–finance integration accelerates close and forecasting</w:t>
            </w:r>
          </w:p>
        </w:tc>
        <w:tc>
          <w:tcPr>
            <w:tcW w:w="198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7AC07E83" w14:textId="77777777" w:rsidR="008E4243" w:rsidRPr="00AD59FE" w:rsidRDefault="00000000" w:rsidP="00AD59FE">
            <w:pPr>
              <w:spacing w:before="20" w:after="20"/>
              <w:jc w:val="center"/>
              <w:rPr>
                <w:sz w:val="20"/>
                <w:szCs w:val="20"/>
              </w:rPr>
            </w:pPr>
            <w:r w:rsidRPr="00AD59FE">
              <w:rPr>
                <w:sz w:val="20"/>
                <w:szCs w:val="20"/>
              </w:rPr>
              <w:t>Joint financial and human-capital agility</w:t>
            </w:r>
          </w:p>
        </w:tc>
        <w:tc>
          <w:tcPr>
            <w:tcW w:w="171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45C25DD4" w14:textId="77777777" w:rsidR="008E4243" w:rsidRPr="00AD59FE" w:rsidRDefault="00000000" w:rsidP="00AD59FE">
            <w:pPr>
              <w:spacing w:before="20" w:after="20"/>
              <w:jc w:val="center"/>
              <w:rPr>
                <w:sz w:val="20"/>
                <w:szCs w:val="20"/>
              </w:rPr>
            </w:pPr>
            <w:r w:rsidRPr="00AD59FE">
              <w:rPr>
                <w:sz w:val="20"/>
                <w:szCs w:val="20"/>
              </w:rPr>
              <w:t>Integration adds identity-management and audit demands</w:t>
            </w:r>
          </w:p>
        </w:tc>
        <w:tc>
          <w:tcPr>
            <w:tcW w:w="225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4C9659C5" w14:textId="77777777" w:rsidR="008E4243" w:rsidRPr="00AD59FE" w:rsidRDefault="00000000" w:rsidP="00AD59FE">
            <w:pPr>
              <w:spacing w:before="20" w:after="20"/>
              <w:jc w:val="center"/>
              <w:rPr>
                <w:sz w:val="20"/>
                <w:szCs w:val="20"/>
              </w:rPr>
            </w:pPr>
            <w:r w:rsidRPr="00AD59FE">
              <w:rPr>
                <w:sz w:val="20"/>
                <w:szCs w:val="20"/>
              </w:rPr>
              <w:t>Comparative cross-platform evidence still thin</w:t>
            </w:r>
          </w:p>
        </w:tc>
      </w:tr>
      <w:tr w:rsidR="008E4243" w:rsidRPr="005E1DF4" w14:paraId="3C2D1B2A" w14:textId="77777777" w:rsidTr="00AD59FE">
        <w:trPr>
          <w:jc w:val="center"/>
        </w:trPr>
        <w:tc>
          <w:tcPr>
            <w:tcW w:w="1525"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4A480361" w14:textId="77777777" w:rsidR="008E4243" w:rsidRPr="00AD59FE" w:rsidRDefault="00000000" w:rsidP="00AD59FE">
            <w:pPr>
              <w:spacing w:before="20" w:after="20"/>
              <w:jc w:val="center"/>
              <w:rPr>
                <w:sz w:val="20"/>
                <w:szCs w:val="20"/>
              </w:rPr>
            </w:pPr>
            <w:r w:rsidRPr="00AD59FE">
              <w:rPr>
                <w:sz w:val="20"/>
                <w:szCs w:val="20"/>
              </w:rPr>
              <w:t>Lin &amp; Chen (2026)</w:t>
            </w:r>
          </w:p>
        </w:tc>
        <w:tc>
          <w:tcPr>
            <w:tcW w:w="135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47B674C2" w14:textId="77777777" w:rsidR="008E4243" w:rsidRPr="00AD59FE" w:rsidRDefault="00000000" w:rsidP="00AD59FE">
            <w:pPr>
              <w:spacing w:before="20" w:after="20"/>
              <w:jc w:val="center"/>
              <w:rPr>
                <w:sz w:val="20"/>
                <w:szCs w:val="20"/>
              </w:rPr>
            </w:pPr>
            <w:r w:rsidRPr="00AD59FE">
              <w:rPr>
                <w:sz w:val="20"/>
                <w:szCs w:val="20"/>
              </w:rPr>
              <w:t xml:space="preserve">Policy-governed </w:t>
            </w:r>
            <w:proofErr w:type="gramStart"/>
            <w:r w:rsidRPr="00AD59FE">
              <w:rPr>
                <w:sz w:val="20"/>
                <w:szCs w:val="20"/>
              </w:rPr>
              <w:t>agentic</w:t>
            </w:r>
            <w:proofErr w:type="gramEnd"/>
            <w:r w:rsidRPr="00AD59FE">
              <w:rPr>
                <w:sz w:val="20"/>
                <w:szCs w:val="20"/>
              </w:rPr>
              <w:t xml:space="preserve"> AI (manufacturing)</w:t>
            </w:r>
          </w:p>
        </w:tc>
        <w:tc>
          <w:tcPr>
            <w:tcW w:w="189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3DAA0C1F" w14:textId="77777777" w:rsidR="008E4243" w:rsidRPr="00AD59FE" w:rsidRDefault="00000000" w:rsidP="00AD59FE">
            <w:pPr>
              <w:spacing w:before="20" w:after="20"/>
              <w:jc w:val="center"/>
              <w:rPr>
                <w:sz w:val="20"/>
                <w:szCs w:val="20"/>
              </w:rPr>
            </w:pPr>
            <w:r w:rsidRPr="00AD59FE">
              <w:rPr>
                <w:sz w:val="20"/>
                <w:szCs w:val="20"/>
              </w:rPr>
              <w:t>Closed-loop sensor–MES–ERP control with embedded policy guardrails</w:t>
            </w:r>
          </w:p>
        </w:tc>
        <w:tc>
          <w:tcPr>
            <w:tcW w:w="198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3F9FCC57" w14:textId="77777777" w:rsidR="008E4243" w:rsidRPr="00AD59FE" w:rsidRDefault="00000000" w:rsidP="00AD59FE">
            <w:pPr>
              <w:spacing w:before="20" w:after="20"/>
              <w:jc w:val="center"/>
              <w:rPr>
                <w:sz w:val="20"/>
                <w:szCs w:val="20"/>
              </w:rPr>
            </w:pPr>
            <w:r w:rsidRPr="00AD59FE">
              <w:rPr>
                <w:sz w:val="20"/>
                <w:szCs w:val="20"/>
              </w:rPr>
              <w:t>Real-time sensing and seizing in operations</w:t>
            </w:r>
          </w:p>
        </w:tc>
        <w:tc>
          <w:tcPr>
            <w:tcW w:w="171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706EFF97" w14:textId="77777777" w:rsidR="008E4243" w:rsidRPr="00AD59FE" w:rsidRDefault="00000000" w:rsidP="00AD59FE">
            <w:pPr>
              <w:spacing w:before="20" w:after="20"/>
              <w:jc w:val="center"/>
              <w:rPr>
                <w:sz w:val="20"/>
                <w:szCs w:val="20"/>
              </w:rPr>
            </w:pPr>
            <w:r w:rsidRPr="00AD59FE">
              <w:rPr>
                <w:sz w:val="20"/>
                <w:szCs w:val="20"/>
              </w:rPr>
              <w:t>Policy governance is built directly into the control loop</w:t>
            </w:r>
          </w:p>
        </w:tc>
        <w:tc>
          <w:tcPr>
            <w:tcW w:w="225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6D5049D3" w14:textId="77777777" w:rsidR="008E4243" w:rsidRPr="00AD59FE" w:rsidRDefault="00000000" w:rsidP="00AD59FE">
            <w:pPr>
              <w:spacing w:before="20" w:after="20"/>
              <w:jc w:val="center"/>
              <w:rPr>
                <w:sz w:val="20"/>
                <w:szCs w:val="20"/>
              </w:rPr>
            </w:pPr>
            <w:r w:rsidRPr="00AD59FE">
              <w:rPr>
                <w:sz w:val="20"/>
                <w:szCs w:val="20"/>
              </w:rPr>
              <w:t>Cross-industry transfer of the pattern untested</w:t>
            </w:r>
          </w:p>
        </w:tc>
      </w:tr>
    </w:tbl>
    <w:p w14:paraId="2977E94F" w14:textId="77777777" w:rsidR="008E4243" w:rsidRDefault="00000000" w:rsidP="008348CF">
      <w:pPr>
        <w:spacing w:before="120" w:after="120"/>
        <w:jc w:val="both"/>
      </w:pPr>
      <w:r w:rsidRPr="005E1DF4">
        <w:t xml:space="preserve">Three characteristics of the matrix directly relate to the argument. First, the agility-implication column is filled in every row, yet the mechanism differs by study. In the supply-chain and manufacturing entries, operational sensing. In the finance-integration entries, financial responsiveness, and in the human-capital entry, workforce reconfiguration, exactly the domain-spanning instantiation of dynamic capability developed later in the paper. Second, the governance implication column is never empty either. Even studies whose dominant concern is performance carry an implicit governance condition. This indicates that governance is not a separate phenomenon but a structural property of the </w:t>
      </w:r>
      <w:proofErr w:type="gramStart"/>
      <w:r w:rsidRPr="005E1DF4">
        <w:t>field as a whole</w:t>
      </w:r>
      <w:proofErr w:type="gramEnd"/>
      <w:r w:rsidRPr="005E1DF4">
        <w:t xml:space="preserve">. Third, and most consequentially, the open question column converges. Each of the studies reports gains, fragilities, or </w:t>
      </w:r>
      <w:proofErr w:type="gramStart"/>
      <w:r w:rsidRPr="005E1DF4">
        <w:t>architectures</w:t>
      </w:r>
      <w:proofErr w:type="gramEnd"/>
      <w:r w:rsidRPr="005E1DF4">
        <w:t>, but together they leave the same three questions unanswered. What differentiates the firms that realize the gains from those that do not, how successive increments of autonomy are to be governed as they accumulate, and how the resulting agility is to be measured. It is the convergent silences, not the findings of any specific investigation, which are highlighted later.</w:t>
      </w:r>
    </w:p>
    <w:p w14:paraId="0A38EA27" w14:textId="77777777" w:rsidR="00AD59FE" w:rsidRDefault="00AD59FE" w:rsidP="008348CF">
      <w:pPr>
        <w:spacing w:before="120" w:after="120"/>
        <w:jc w:val="both"/>
      </w:pPr>
    </w:p>
    <w:p w14:paraId="51971464" w14:textId="77777777" w:rsidR="00AD59FE" w:rsidRPr="005E1DF4" w:rsidRDefault="00AD59FE" w:rsidP="008348CF">
      <w:pPr>
        <w:spacing w:before="120" w:after="120"/>
        <w:jc w:val="both"/>
      </w:pPr>
    </w:p>
    <w:p w14:paraId="783E4760" w14:textId="77777777" w:rsidR="008E4243" w:rsidRPr="005E1DF4" w:rsidRDefault="00000000" w:rsidP="008348CF">
      <w:pPr>
        <w:pStyle w:val="Heading2"/>
        <w:jc w:val="both"/>
      </w:pPr>
      <w:r w:rsidRPr="005E1DF4">
        <w:lastRenderedPageBreak/>
        <w:t>Synthesis and research gaps</w:t>
      </w:r>
    </w:p>
    <w:p w14:paraId="08451940" w14:textId="77777777" w:rsidR="008E4243" w:rsidRPr="005E1DF4" w:rsidRDefault="00000000" w:rsidP="008348CF">
      <w:pPr>
        <w:pStyle w:val="Heading1"/>
        <w:jc w:val="both"/>
        <w:rPr>
          <w:b w:val="0"/>
          <w:bCs w:val="0"/>
          <w:sz w:val="24"/>
          <w:szCs w:val="24"/>
        </w:rPr>
      </w:pPr>
      <w:r w:rsidRPr="005E1DF4">
        <w:rPr>
          <w:b w:val="0"/>
          <w:bCs w:val="0"/>
          <w:sz w:val="24"/>
          <w:szCs w:val="24"/>
          <w:highlight w:val="white"/>
        </w:rPr>
        <w:t xml:space="preserve">The current investigation faces three gaps. The literature lacks clarity concerning the extent of embedded intelligence in core ERP systems given that </w:t>
      </w:r>
      <w:proofErr w:type="gramStart"/>
      <w:r w:rsidRPr="005E1DF4">
        <w:rPr>
          <w:b w:val="0"/>
          <w:bCs w:val="0"/>
          <w:sz w:val="24"/>
          <w:szCs w:val="24"/>
          <w:highlight w:val="white"/>
        </w:rPr>
        <w:t>a majority of</w:t>
      </w:r>
      <w:proofErr w:type="gramEnd"/>
      <w:r w:rsidRPr="005E1DF4">
        <w:rPr>
          <w:b w:val="0"/>
          <w:bCs w:val="0"/>
          <w:sz w:val="24"/>
          <w:szCs w:val="24"/>
          <w:highlight w:val="white"/>
        </w:rPr>
        <w:t xml:space="preserve"> extant works focus on the performance of standalone AI solutions or on overall post-implementation outcomes (Mamone, 2025; </w:t>
      </w:r>
      <w:proofErr w:type="spellStart"/>
      <w:r w:rsidRPr="005E1DF4">
        <w:rPr>
          <w:b w:val="0"/>
          <w:bCs w:val="0"/>
          <w:sz w:val="24"/>
          <w:szCs w:val="24"/>
          <w:highlight w:val="white"/>
        </w:rPr>
        <w:t>Panggabean</w:t>
      </w:r>
      <w:proofErr w:type="spellEnd"/>
      <w:r w:rsidRPr="005E1DF4">
        <w:rPr>
          <w:b w:val="0"/>
          <w:bCs w:val="0"/>
          <w:sz w:val="24"/>
          <w:szCs w:val="24"/>
          <w:highlight w:val="white"/>
        </w:rPr>
        <w:t xml:space="preserve"> et al., 2025). Secondly, a lack of an AI-aware in-depth maturity assessment framework exists. Conventional digital transformation maturity models do not cover machine learning model governance, automated-pipeline efficiency, explainability, and </w:t>
      </w:r>
      <w:proofErr w:type="spellStart"/>
      <w:r w:rsidRPr="005E1DF4">
        <w:rPr>
          <w:b w:val="0"/>
          <w:bCs w:val="0"/>
          <w:sz w:val="24"/>
          <w:szCs w:val="24"/>
          <w:highlight w:val="white"/>
        </w:rPr>
        <w:t>MLOps</w:t>
      </w:r>
      <w:proofErr w:type="spellEnd"/>
      <w:r w:rsidRPr="005E1DF4">
        <w:rPr>
          <w:b w:val="0"/>
          <w:bCs w:val="0"/>
          <w:sz w:val="24"/>
          <w:szCs w:val="24"/>
          <w:highlight w:val="white"/>
        </w:rPr>
        <w:t xml:space="preserve"> within ERP environments (Singh &amp; Dutta, 2026). Third, only a limited number of longitudinal and cross-industry studies have provided a return on investment and performance perspective, and no single data analysis exists, which focuses on how generative AI, IoT integration, and ethical governance have been implemented in ERP systems. However, the conceptual framework of this paper immediately addresses the two initial deficiencies and prioritizes the third one as an empirical research priority.</w:t>
      </w:r>
      <w:r w:rsidRPr="005E1DF4">
        <w:rPr>
          <w:b w:val="0"/>
          <w:bCs w:val="0"/>
          <w:sz w:val="24"/>
          <w:szCs w:val="24"/>
        </w:rPr>
        <w:t xml:space="preserve">  </w:t>
      </w:r>
    </w:p>
    <w:p w14:paraId="5DE66AF7" w14:textId="77777777" w:rsidR="008E4243" w:rsidRPr="005E1DF4" w:rsidRDefault="00000000" w:rsidP="008348CF">
      <w:pPr>
        <w:pStyle w:val="Heading1"/>
        <w:jc w:val="both"/>
      </w:pPr>
      <w:r w:rsidRPr="005E1DF4">
        <w:t>THEORETICAL FRAMEWORKS</w:t>
      </w:r>
    </w:p>
    <w:p w14:paraId="6BA260D7" w14:textId="77777777" w:rsidR="008E4243" w:rsidRPr="005E1DF4" w:rsidRDefault="00000000" w:rsidP="008348CF">
      <w:pPr>
        <w:pStyle w:val="Heading2"/>
        <w:jc w:val="both"/>
        <w:rPr>
          <w:b w:val="0"/>
          <w:bCs w:val="0"/>
        </w:rPr>
      </w:pPr>
      <w:r w:rsidRPr="005E1DF4">
        <w:rPr>
          <w:b w:val="0"/>
          <w:bCs w:val="0"/>
        </w:rPr>
        <w:t>The analysis is based on four accepted frameworks. Each shows a different value of the collaboration between AI-powered cloud ERP and organisational success, while the conjunction provides a threaded framework for the next setting.</w:t>
      </w:r>
    </w:p>
    <w:p w14:paraId="4F6A1383" w14:textId="77777777" w:rsidR="008E4243" w:rsidRPr="005E1DF4" w:rsidRDefault="00000000" w:rsidP="008348CF">
      <w:pPr>
        <w:pStyle w:val="Heading2"/>
        <w:jc w:val="both"/>
      </w:pPr>
      <w:r w:rsidRPr="005E1DF4">
        <w:t>Resource-Based View</w:t>
      </w:r>
    </w:p>
    <w:p w14:paraId="337B68B9" w14:textId="77777777" w:rsidR="008E4243" w:rsidRPr="005E1DF4" w:rsidRDefault="00000000" w:rsidP="008348CF">
      <w:pPr>
        <w:pStyle w:val="Heading2"/>
        <w:jc w:val="both"/>
        <w:rPr>
          <w:b w:val="0"/>
          <w:bCs w:val="0"/>
        </w:rPr>
      </w:pPr>
      <w:r w:rsidRPr="005E1DF4">
        <w:rPr>
          <w:b w:val="0"/>
          <w:bCs w:val="0"/>
        </w:rPr>
        <w:t xml:space="preserve">The Resource-Based View of the firm suggests that a sustained competitive advantage comes from resources which are valued, scarce, hard to imitate, and non-substitutable (Seddon et al., 2010). With this logic, conventional ERP solutions were </w:t>
      </w:r>
      <w:proofErr w:type="spellStart"/>
      <w:r w:rsidRPr="005E1DF4">
        <w:rPr>
          <w:b w:val="0"/>
          <w:bCs w:val="0"/>
        </w:rPr>
        <w:t>criticised</w:t>
      </w:r>
      <w:proofErr w:type="spellEnd"/>
      <w:r w:rsidRPr="005E1DF4">
        <w:rPr>
          <w:b w:val="0"/>
          <w:bCs w:val="0"/>
        </w:rPr>
        <w:t xml:space="preserve"> for their uniform frameworks, which, being easily replicable, did not provide a competitive advantage to companies. With the introduction of AI-powered cloud ERP, that equation changes. Firm-specific analytical and operational capabilities emerge from the whole data cycle of scalable cloud infrastructure, proprietary historical data, and ever-refining models. This strategic vision and the resulting automation make imitation difficult. The platform may soon become a unique strategic asset.</w:t>
      </w:r>
    </w:p>
    <w:p w14:paraId="206D5CC6" w14:textId="77777777" w:rsidR="008E4243" w:rsidRPr="005E1DF4" w:rsidRDefault="00000000" w:rsidP="008348CF">
      <w:pPr>
        <w:pStyle w:val="Heading2"/>
        <w:jc w:val="both"/>
      </w:pPr>
      <w:r w:rsidRPr="005E1DF4">
        <w:t>Dynamic Capabilities Theory</w:t>
      </w:r>
    </w:p>
    <w:p w14:paraId="1E8CCA0F" w14:textId="77777777" w:rsidR="008E4243" w:rsidRPr="005E1DF4" w:rsidRDefault="00000000" w:rsidP="008348CF">
      <w:pPr>
        <w:spacing w:before="240" w:after="240"/>
        <w:jc w:val="both"/>
      </w:pPr>
      <w:r w:rsidRPr="005E1DF4">
        <w:t xml:space="preserve">Dynamic Capabilities Theory extends the Resource-Based View by explaining how organizations integrate, build, and reconfigure competencies to address changing environments (Jiang, 2024; </w:t>
      </w:r>
      <w:proofErr w:type="spellStart"/>
      <w:r w:rsidRPr="005E1DF4">
        <w:t>Koundal</w:t>
      </w:r>
      <w:proofErr w:type="spellEnd"/>
      <w:r w:rsidRPr="005E1DF4">
        <w:t xml:space="preserve"> et al., 2024). AI-enabled cloud ERP supports these capabilities through three mechanisms. First, embedded learning and real-time monitoring enhance the capacity to </w:t>
      </w:r>
      <w:r w:rsidRPr="005E1DF4">
        <w:rPr>
          <w:i/>
          <w:iCs/>
        </w:rPr>
        <w:t>sense</w:t>
      </w:r>
      <w:r w:rsidRPr="005E1DF4">
        <w:t xml:space="preserve"> market shifts and supply-chain disruption. Second, automated resource allocation supports the capacity to </w:t>
      </w:r>
      <w:r w:rsidRPr="005E1DF4">
        <w:rPr>
          <w:i/>
          <w:iCs/>
        </w:rPr>
        <w:t>seize</w:t>
      </w:r>
      <w:r w:rsidRPr="005E1DF4">
        <w:t xml:space="preserve"> opportunity. Third is  flexible cloud-native architecture enables the organization to </w:t>
      </w:r>
      <w:r w:rsidRPr="005E1DF4">
        <w:rPr>
          <w:i/>
          <w:iCs/>
        </w:rPr>
        <w:t>transform</w:t>
      </w:r>
      <w:r w:rsidRPr="005E1DF4">
        <w:t xml:space="preserve"> its operating structures without disrupting primary workflows. This sensing-seizing-transforming logic, rather than efficiency alone, identifies the appropriate outcome variable for this class of system.</w:t>
      </w:r>
    </w:p>
    <w:p w14:paraId="1A3068C9" w14:textId="77777777" w:rsidR="008E4243" w:rsidRPr="005E1DF4" w:rsidRDefault="00000000" w:rsidP="008348CF">
      <w:pPr>
        <w:pStyle w:val="Heading2"/>
        <w:jc w:val="both"/>
      </w:pPr>
      <w:r w:rsidRPr="005E1DF4">
        <w:t>Socio-Technical Systems Theory</w:t>
      </w:r>
    </w:p>
    <w:p w14:paraId="4E30977F" w14:textId="77777777" w:rsidR="008E4243" w:rsidRPr="005E1DF4" w:rsidRDefault="00000000" w:rsidP="008348CF">
      <w:pPr>
        <w:spacing w:before="240" w:after="240"/>
        <w:jc w:val="both"/>
      </w:pPr>
      <w:r w:rsidRPr="005E1DF4">
        <w:rPr>
          <w:highlight w:val="white"/>
        </w:rPr>
        <w:t>Socio-Technical Systems Theory sees the organization as the interaction of a technical subsystem (hardware, software, data pipelines) and a social subsystem (people, norms, hierarchies, processes). The framework accounts for how technically sound ERP deployments can still fail. A platform is embedded in routines and governance structures, and successfully facilitating an AI-enabled cloud migration necessitates alignment of the technical features of a given software stack with the social capabilities of the workforce (Olsen et al., 2022; Kar et al., 2021). If employees lack the analytical ability to interpret the AI-generated recommendations, and if the recommendation itself is opaque and contradicts the cultural norm for transparency, then resistance and failure ensue.</w:t>
      </w:r>
      <w:r w:rsidRPr="005E1DF4">
        <w:t xml:space="preserve"> </w:t>
      </w:r>
    </w:p>
    <w:p w14:paraId="3930D0FB" w14:textId="77777777" w:rsidR="008E4243" w:rsidRPr="005E1DF4" w:rsidRDefault="00000000" w:rsidP="008348CF">
      <w:pPr>
        <w:pStyle w:val="Heading2"/>
        <w:jc w:val="both"/>
      </w:pPr>
      <w:r w:rsidRPr="005E1DF4">
        <w:t>Technology–Organization–Environment framework</w:t>
      </w:r>
    </w:p>
    <w:p w14:paraId="20CE11F7" w14:textId="77777777" w:rsidR="008E4243" w:rsidRPr="005E1DF4" w:rsidRDefault="00000000" w:rsidP="008348CF">
      <w:pPr>
        <w:jc w:val="both"/>
      </w:pPr>
      <w:r w:rsidRPr="005E1DF4">
        <w:rPr>
          <w:highlight w:val="white"/>
        </w:rPr>
        <w:t xml:space="preserve">This context is referred to by the Technology-Organization-Environment framework (TOE) and is discussed in most of the innovation adoption literature examined in the present research. </w:t>
      </w:r>
      <w:proofErr w:type="gramStart"/>
      <w:r w:rsidRPr="005E1DF4">
        <w:rPr>
          <w:highlight w:val="white"/>
        </w:rPr>
        <w:t>The technological</w:t>
      </w:r>
      <w:proofErr w:type="gramEnd"/>
      <w:r w:rsidRPr="005E1DF4">
        <w:rPr>
          <w:highlight w:val="white"/>
        </w:rPr>
        <w:t xml:space="preserve"> background is </w:t>
      </w:r>
      <w:proofErr w:type="gramStart"/>
      <w:r w:rsidRPr="005E1DF4">
        <w:rPr>
          <w:highlight w:val="white"/>
        </w:rPr>
        <w:t>the</w:t>
      </w:r>
      <w:proofErr w:type="gramEnd"/>
      <w:r w:rsidRPr="005E1DF4">
        <w:rPr>
          <w:highlight w:val="white"/>
        </w:rPr>
        <w:t xml:space="preserve"> </w:t>
      </w:r>
      <w:r w:rsidRPr="005E1DF4">
        <w:rPr>
          <w:highlight w:val="white"/>
        </w:rPr>
        <w:lastRenderedPageBreak/>
        <w:t xml:space="preserve">aspect of </w:t>
      </w:r>
      <w:proofErr w:type="gramStart"/>
      <w:r w:rsidRPr="005E1DF4">
        <w:rPr>
          <w:highlight w:val="white"/>
        </w:rPr>
        <w:t>the innovation</w:t>
      </w:r>
      <w:proofErr w:type="gramEnd"/>
      <w:r w:rsidRPr="005E1DF4">
        <w:rPr>
          <w:highlight w:val="white"/>
        </w:rPr>
        <w:t xml:space="preserve"> that includes architecture and the characteristics of </w:t>
      </w:r>
      <w:proofErr w:type="gramStart"/>
      <w:r w:rsidRPr="005E1DF4">
        <w:rPr>
          <w:highlight w:val="white"/>
        </w:rPr>
        <w:t>the technological</w:t>
      </w:r>
      <w:proofErr w:type="gramEnd"/>
      <w:r w:rsidRPr="005E1DF4">
        <w:rPr>
          <w:highlight w:val="white"/>
        </w:rPr>
        <w:t xml:space="preserve"> aspects like architectural sophistication, interoperability, compatibility with legacy systems and the comparative advantages of features like in-memory databases and predictive algorithms (Awa et al., 2016). Internal features under the organisational context consist of: Readiness for change management, executive support, IT competence, and maturity of data governance (Buonanno et al., 2005). Environmental context analyses involve an examination of external elements, i.e., competitive dynamics, supply chain disruptions, and regulatory requirements, such as audit and data </w:t>
      </w:r>
      <w:proofErr w:type="spellStart"/>
      <w:r w:rsidRPr="005E1DF4">
        <w:rPr>
          <w:highlight w:val="white"/>
        </w:rPr>
        <w:t>localisation</w:t>
      </w:r>
      <w:proofErr w:type="spellEnd"/>
      <w:r w:rsidRPr="005E1DF4">
        <w:rPr>
          <w:highlight w:val="white"/>
        </w:rPr>
        <w:t xml:space="preserve"> regulations (Christiansen et al., 2021). It is key, however, that the TOE can also connect technological possibilities for an AI-based ERP with organisational and environmental factors that impact the </w:t>
      </w:r>
      <w:proofErr w:type="spellStart"/>
      <w:r w:rsidRPr="005E1DF4">
        <w:rPr>
          <w:highlight w:val="white"/>
        </w:rPr>
        <w:t>realisation</w:t>
      </w:r>
      <w:proofErr w:type="spellEnd"/>
      <w:r w:rsidRPr="005E1DF4">
        <w:rPr>
          <w:highlight w:val="white"/>
        </w:rPr>
        <w:t xml:space="preserve"> of these possibilities.</w:t>
      </w:r>
      <w:r w:rsidRPr="005E1DF4">
        <w:t xml:space="preserve"> </w:t>
      </w:r>
    </w:p>
    <w:p w14:paraId="1C93EFF9" w14:textId="77777777" w:rsidR="008E4243" w:rsidRPr="005E1DF4" w:rsidRDefault="00000000" w:rsidP="008348CF">
      <w:pPr>
        <w:pStyle w:val="Heading2"/>
        <w:jc w:val="both"/>
      </w:pPr>
      <w:r w:rsidRPr="005E1DF4">
        <w:t>Integrating the lenses with the evidence</w:t>
      </w:r>
    </w:p>
    <w:p w14:paraId="7269E29E" w14:textId="77777777" w:rsidR="008E4243" w:rsidRPr="005E1DF4" w:rsidRDefault="00000000" w:rsidP="008348CF">
      <w:pPr>
        <w:pStyle w:val="Heading2"/>
        <w:jc w:val="both"/>
        <w:rPr>
          <w:b w:val="0"/>
          <w:bCs w:val="0"/>
        </w:rPr>
      </w:pPr>
      <w:r w:rsidRPr="005E1DF4">
        <w:rPr>
          <w:b w:val="0"/>
          <w:bCs w:val="0"/>
          <w:highlight w:val="white"/>
        </w:rPr>
        <w:t xml:space="preserve">Viewed in this light, the discovery that platforms occupy a trade-off frontier instead of a </w:t>
      </w:r>
      <w:proofErr w:type="gramStart"/>
      <w:r w:rsidRPr="005E1DF4">
        <w:rPr>
          <w:b w:val="0"/>
          <w:bCs w:val="0"/>
          <w:highlight w:val="white"/>
        </w:rPr>
        <w:t>hierarchy amounts</w:t>
      </w:r>
      <w:proofErr w:type="gramEnd"/>
      <w:r w:rsidRPr="005E1DF4">
        <w:rPr>
          <w:b w:val="0"/>
          <w:bCs w:val="0"/>
          <w:highlight w:val="white"/>
        </w:rPr>
        <w:t xml:space="preserve"> to TOE. In that light, it is </w:t>
      </w:r>
      <w:proofErr w:type="gramStart"/>
      <w:r w:rsidRPr="005E1DF4">
        <w:rPr>
          <w:b w:val="0"/>
          <w:bCs w:val="0"/>
          <w:highlight w:val="white"/>
        </w:rPr>
        <w:t>a TOE</w:t>
      </w:r>
      <w:proofErr w:type="gramEnd"/>
      <w:r w:rsidRPr="005E1DF4">
        <w:rPr>
          <w:b w:val="0"/>
          <w:bCs w:val="0"/>
          <w:highlight w:val="white"/>
        </w:rPr>
        <w:t xml:space="preserve"> finding that platforms exist on a frontier which mediates between "compared to what", not a hierarchy. The four frames are not fighting! Data-driven embedded intelligence can be a commercial advantage, and it’s not just a result of the ubiquitous software. It is private data and ever evolving models that cannot be replicated (Seddon et al., 2010; Mishra &amp; Tripathi, 2021). Dynamic Capabilities Theory describes how benefit can arise and mature. By the ongoing process of sensing, seizing, transforming as witnessed in sectoral applications (Jiang, 2024; </w:t>
      </w:r>
      <w:proofErr w:type="spellStart"/>
      <w:r w:rsidRPr="005E1DF4">
        <w:rPr>
          <w:b w:val="0"/>
          <w:bCs w:val="0"/>
          <w:highlight w:val="white"/>
        </w:rPr>
        <w:t>Koundal</w:t>
      </w:r>
      <w:proofErr w:type="spellEnd"/>
      <w:r w:rsidRPr="005E1DF4">
        <w:rPr>
          <w:b w:val="0"/>
          <w:bCs w:val="0"/>
          <w:highlight w:val="white"/>
        </w:rPr>
        <w:t xml:space="preserve"> et al., 2024). Socio Technical Systems Theory (STT) can be used to point to the lack of exploitations of gains as interaction of technical and social subsystems must be congruent prior to the system becoming functional, and if not, the system has high rates of failure or will rely more on change management (Olsen et al., 2022; Kar et al., 2021). Finally, the TOE framework provides the integrating contingency logic where a resource comes out as an advantage, DC is activated and the attainment of STA depends on the contingent combination of technological, organisational and environmental conditions (Awa et al., 2016; Christiansen et al., 2021). This is a trade-off frontier discovery and thus is a TOE result.</w:t>
      </w:r>
      <w:r w:rsidRPr="005E1DF4">
        <w:rPr>
          <w:b w:val="0"/>
          <w:bCs w:val="0"/>
        </w:rPr>
        <w:t xml:space="preserve"> </w:t>
      </w:r>
    </w:p>
    <w:p w14:paraId="4744CCE1" w14:textId="77777777" w:rsidR="00EA516C" w:rsidRPr="005E1DF4" w:rsidRDefault="00EA516C" w:rsidP="00EA516C"/>
    <w:p w14:paraId="6327CC52" w14:textId="77777777" w:rsidR="008E4243" w:rsidRPr="005E1DF4" w:rsidRDefault="00000000" w:rsidP="008348CF">
      <w:pPr>
        <w:pStyle w:val="Heading2"/>
        <w:jc w:val="both"/>
      </w:pPr>
      <w:r w:rsidRPr="005E1DF4">
        <w:t>An integrative theoretical synthesis</w:t>
      </w:r>
    </w:p>
    <w:p w14:paraId="08D648A0" w14:textId="77777777" w:rsidR="008E4243" w:rsidRPr="005E1DF4" w:rsidRDefault="00000000" w:rsidP="008348CF">
      <w:pPr>
        <w:spacing w:before="120" w:after="120"/>
        <w:jc w:val="both"/>
      </w:pPr>
      <w:r w:rsidRPr="005E1DF4">
        <w:rPr>
          <w:highlight w:val="white"/>
        </w:rPr>
        <w:t>The previous subsection of this paper reads each lens with respect to the others. Its unique contribution is in relation to the combination of them. Table 3 juxtaposes the four frameworks against the constructs which structure the remainder of the paper embedded intelligence and real-time analytics, intelligent automation, governance, and organizational agility and articulates what one lens elucidates that the other lenses do not. The importance of the matrix is that it makes the division of explanatory labor explicit. The frameworks are not conflicting accounts of a phenomenon, but complementary descriptions of aspects of it such that the explanatory gap in one is bridged by the other</w:t>
      </w:r>
      <w:r w:rsidRPr="005E1DF4">
        <w:t>.</w:t>
      </w:r>
    </w:p>
    <w:p w14:paraId="1FACC5A5" w14:textId="77777777" w:rsidR="008E4243" w:rsidRPr="005E1DF4" w:rsidRDefault="008E4243" w:rsidP="008348CF">
      <w:pPr>
        <w:spacing w:before="120" w:after="120"/>
        <w:jc w:val="both"/>
      </w:pPr>
    </w:p>
    <w:p w14:paraId="4227022A" w14:textId="77777777" w:rsidR="008E4243" w:rsidRPr="005E1DF4" w:rsidRDefault="00000000" w:rsidP="008348CF">
      <w:pPr>
        <w:spacing w:before="160" w:after="60"/>
        <w:jc w:val="both"/>
      </w:pPr>
      <w:r w:rsidRPr="005E1DF4">
        <w:rPr>
          <w:b/>
          <w:bCs/>
        </w:rPr>
        <w:t>Table 3. Integrative mapping of the four theoretical lenses to the paper's core constructs.</w:t>
      </w:r>
    </w:p>
    <w:tbl>
      <w:tblPr>
        <w:tblStyle w:val="a1"/>
        <w:tblW w:w="107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0"/>
        <w:gridCol w:w="1800"/>
        <w:gridCol w:w="2185"/>
        <w:gridCol w:w="2790"/>
        <w:gridCol w:w="2430"/>
      </w:tblGrid>
      <w:tr w:rsidR="008E4243" w:rsidRPr="005E1DF4" w14:paraId="52BF00CA" w14:textId="77777777" w:rsidTr="00AD59FE">
        <w:trPr>
          <w:trHeight w:val="686"/>
          <w:tblHeader/>
          <w:jc w:val="center"/>
        </w:trPr>
        <w:tc>
          <w:tcPr>
            <w:tcW w:w="1500" w:type="dxa"/>
            <w:tcBorders>
              <w:top w:val="single" w:sz="4" w:space="0" w:color="999999"/>
              <w:left w:val="single" w:sz="4" w:space="0" w:color="999999"/>
              <w:bottom w:val="single" w:sz="4" w:space="0" w:color="999999"/>
              <w:right w:val="single" w:sz="4" w:space="0" w:color="999999"/>
            </w:tcBorders>
            <w:shd w:val="clear" w:color="auto" w:fill="FFFFFF" w:themeFill="background1"/>
            <w:tcMar>
              <w:top w:w="60" w:type="dxa"/>
              <w:left w:w="100" w:type="dxa"/>
              <w:bottom w:w="60" w:type="dxa"/>
              <w:right w:w="100" w:type="dxa"/>
            </w:tcMar>
          </w:tcPr>
          <w:p w14:paraId="6D8ADA13" w14:textId="77777777" w:rsidR="008E4243" w:rsidRPr="00AD59FE" w:rsidRDefault="00000000" w:rsidP="00AD59FE">
            <w:pPr>
              <w:spacing w:before="20" w:after="20"/>
              <w:jc w:val="center"/>
              <w:rPr>
                <w:sz w:val="20"/>
                <w:szCs w:val="20"/>
              </w:rPr>
            </w:pPr>
            <w:r w:rsidRPr="00AD59FE">
              <w:rPr>
                <w:b/>
                <w:bCs/>
                <w:sz w:val="20"/>
                <w:szCs w:val="20"/>
              </w:rPr>
              <w:t>Theoretical lens</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hemeFill="background1"/>
            <w:tcMar>
              <w:top w:w="60" w:type="dxa"/>
              <w:left w:w="100" w:type="dxa"/>
              <w:bottom w:w="60" w:type="dxa"/>
              <w:right w:w="100" w:type="dxa"/>
            </w:tcMar>
          </w:tcPr>
          <w:p w14:paraId="02DCFC6C" w14:textId="77777777" w:rsidR="008E4243" w:rsidRPr="00AD59FE" w:rsidRDefault="00000000" w:rsidP="00AD59FE">
            <w:pPr>
              <w:spacing w:before="20" w:after="20"/>
              <w:jc w:val="center"/>
              <w:rPr>
                <w:sz w:val="20"/>
                <w:szCs w:val="20"/>
              </w:rPr>
            </w:pPr>
            <w:r w:rsidRPr="00AD59FE">
              <w:rPr>
                <w:b/>
                <w:bCs/>
                <w:sz w:val="20"/>
                <w:szCs w:val="20"/>
              </w:rPr>
              <w:t>Core proposition</w:t>
            </w:r>
          </w:p>
        </w:tc>
        <w:tc>
          <w:tcPr>
            <w:tcW w:w="2185" w:type="dxa"/>
            <w:tcBorders>
              <w:top w:val="single" w:sz="4" w:space="0" w:color="999999"/>
              <w:left w:val="single" w:sz="4" w:space="0" w:color="999999"/>
              <w:bottom w:val="single" w:sz="4" w:space="0" w:color="999999"/>
              <w:right w:val="single" w:sz="4" w:space="0" w:color="999999"/>
            </w:tcBorders>
            <w:shd w:val="clear" w:color="auto" w:fill="FFFFFF" w:themeFill="background1"/>
            <w:tcMar>
              <w:top w:w="60" w:type="dxa"/>
              <w:left w:w="100" w:type="dxa"/>
              <w:bottom w:w="60" w:type="dxa"/>
              <w:right w:w="100" w:type="dxa"/>
            </w:tcMar>
          </w:tcPr>
          <w:p w14:paraId="72CC75E7" w14:textId="77777777" w:rsidR="008E4243" w:rsidRPr="00AD59FE" w:rsidRDefault="00000000" w:rsidP="00AD59FE">
            <w:pPr>
              <w:spacing w:before="20" w:after="20"/>
              <w:jc w:val="center"/>
              <w:rPr>
                <w:sz w:val="20"/>
                <w:szCs w:val="20"/>
              </w:rPr>
            </w:pPr>
            <w:r w:rsidRPr="00AD59FE">
              <w:rPr>
                <w:b/>
                <w:bCs/>
                <w:sz w:val="20"/>
                <w:szCs w:val="20"/>
              </w:rPr>
              <w:t>Reading of AI-enabled ERP and real-time analytics</w:t>
            </w:r>
          </w:p>
        </w:tc>
        <w:tc>
          <w:tcPr>
            <w:tcW w:w="2790" w:type="dxa"/>
            <w:tcBorders>
              <w:top w:val="single" w:sz="4" w:space="0" w:color="999999"/>
              <w:left w:val="single" w:sz="4" w:space="0" w:color="999999"/>
              <w:bottom w:val="single" w:sz="4" w:space="0" w:color="999999"/>
              <w:right w:val="single" w:sz="4" w:space="0" w:color="999999"/>
            </w:tcBorders>
            <w:shd w:val="clear" w:color="auto" w:fill="FFFFFF" w:themeFill="background1"/>
            <w:tcMar>
              <w:top w:w="60" w:type="dxa"/>
              <w:left w:w="100" w:type="dxa"/>
              <w:bottom w:w="60" w:type="dxa"/>
              <w:right w:w="100" w:type="dxa"/>
            </w:tcMar>
          </w:tcPr>
          <w:p w14:paraId="28D40161" w14:textId="77777777" w:rsidR="008E4243" w:rsidRPr="00AD59FE" w:rsidRDefault="00000000" w:rsidP="00AD59FE">
            <w:pPr>
              <w:spacing w:before="20" w:after="20"/>
              <w:jc w:val="center"/>
              <w:rPr>
                <w:sz w:val="20"/>
                <w:szCs w:val="20"/>
              </w:rPr>
            </w:pPr>
            <w:r w:rsidRPr="00AD59FE">
              <w:rPr>
                <w:b/>
                <w:bCs/>
                <w:sz w:val="20"/>
                <w:szCs w:val="20"/>
              </w:rPr>
              <w:t>Reading of automation and governance</w:t>
            </w:r>
          </w:p>
        </w:tc>
        <w:tc>
          <w:tcPr>
            <w:tcW w:w="2430" w:type="dxa"/>
            <w:tcBorders>
              <w:top w:val="single" w:sz="4" w:space="0" w:color="999999"/>
              <w:left w:val="single" w:sz="4" w:space="0" w:color="999999"/>
              <w:bottom w:val="single" w:sz="4" w:space="0" w:color="999999"/>
              <w:right w:val="single" w:sz="4" w:space="0" w:color="999999"/>
            </w:tcBorders>
            <w:shd w:val="clear" w:color="auto" w:fill="FFFFFF" w:themeFill="background1"/>
            <w:tcMar>
              <w:top w:w="60" w:type="dxa"/>
              <w:left w:w="100" w:type="dxa"/>
              <w:bottom w:w="60" w:type="dxa"/>
              <w:right w:w="100" w:type="dxa"/>
            </w:tcMar>
          </w:tcPr>
          <w:p w14:paraId="6845A45A" w14:textId="77777777" w:rsidR="008E4243" w:rsidRPr="00AD59FE" w:rsidRDefault="00000000" w:rsidP="00AD59FE">
            <w:pPr>
              <w:spacing w:before="20" w:after="20"/>
              <w:jc w:val="center"/>
              <w:rPr>
                <w:sz w:val="20"/>
                <w:szCs w:val="20"/>
              </w:rPr>
            </w:pPr>
            <w:r w:rsidRPr="00AD59FE">
              <w:rPr>
                <w:b/>
                <w:bCs/>
                <w:sz w:val="20"/>
                <w:szCs w:val="20"/>
              </w:rPr>
              <w:t>Contribution to the agility account</w:t>
            </w:r>
          </w:p>
        </w:tc>
      </w:tr>
      <w:tr w:rsidR="008E4243" w:rsidRPr="005E1DF4" w14:paraId="2F472D80" w14:textId="77777777" w:rsidTr="00AD59FE">
        <w:trPr>
          <w:jc w:val="center"/>
        </w:trPr>
        <w:tc>
          <w:tcPr>
            <w:tcW w:w="15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048E1509" w14:textId="77777777" w:rsidR="008E4243" w:rsidRPr="00AD59FE" w:rsidRDefault="00000000" w:rsidP="00AD59FE">
            <w:pPr>
              <w:spacing w:before="20" w:after="20"/>
              <w:jc w:val="center"/>
              <w:rPr>
                <w:sz w:val="20"/>
                <w:szCs w:val="20"/>
              </w:rPr>
            </w:pPr>
            <w:r w:rsidRPr="00AD59FE">
              <w:rPr>
                <w:sz w:val="20"/>
                <w:szCs w:val="20"/>
              </w:rPr>
              <w:t>Resource-Based View</w:t>
            </w:r>
          </w:p>
        </w:tc>
        <w:tc>
          <w:tcPr>
            <w:tcW w:w="18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59C9B0F7" w14:textId="77777777" w:rsidR="008E4243" w:rsidRPr="00AD59FE" w:rsidRDefault="00000000" w:rsidP="00AD59FE">
            <w:pPr>
              <w:spacing w:before="20" w:after="20"/>
              <w:jc w:val="center"/>
              <w:rPr>
                <w:sz w:val="20"/>
                <w:szCs w:val="20"/>
              </w:rPr>
            </w:pPr>
            <w:r w:rsidRPr="00AD59FE">
              <w:rPr>
                <w:sz w:val="20"/>
                <w:szCs w:val="20"/>
              </w:rPr>
              <w:t>Advantage rests on valuable, rare, inimitable, non-substitutable resources</w:t>
            </w:r>
          </w:p>
        </w:tc>
        <w:tc>
          <w:tcPr>
            <w:tcW w:w="2185"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2996E480" w14:textId="77777777" w:rsidR="008E4243" w:rsidRPr="00AD59FE" w:rsidRDefault="00000000" w:rsidP="00AD59FE">
            <w:pPr>
              <w:spacing w:before="20" w:after="20"/>
              <w:jc w:val="center"/>
              <w:rPr>
                <w:sz w:val="20"/>
                <w:szCs w:val="20"/>
              </w:rPr>
            </w:pPr>
            <w:r w:rsidRPr="00AD59FE">
              <w:rPr>
                <w:sz w:val="20"/>
                <w:szCs w:val="20"/>
              </w:rPr>
              <w:t>Proprietary data and continuously learning models — not the generic platform — are the inimitable asset</w:t>
            </w:r>
          </w:p>
        </w:tc>
        <w:tc>
          <w:tcPr>
            <w:tcW w:w="279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1CC8C424" w14:textId="77777777" w:rsidR="008E4243" w:rsidRPr="00AD59FE" w:rsidRDefault="00000000" w:rsidP="00AD59FE">
            <w:pPr>
              <w:spacing w:before="20" w:after="20"/>
              <w:jc w:val="center"/>
              <w:rPr>
                <w:sz w:val="20"/>
                <w:szCs w:val="20"/>
              </w:rPr>
            </w:pPr>
            <w:r w:rsidRPr="00AD59FE">
              <w:rPr>
                <w:sz w:val="20"/>
                <w:szCs w:val="20"/>
              </w:rPr>
              <w:t>Automation is readily replicable; the governed data foundation behind it is not</w:t>
            </w:r>
          </w:p>
        </w:tc>
        <w:tc>
          <w:tcPr>
            <w:tcW w:w="243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5D19510C" w14:textId="77777777" w:rsidR="008E4243" w:rsidRPr="00AD59FE" w:rsidRDefault="00000000" w:rsidP="00AD59FE">
            <w:pPr>
              <w:spacing w:before="20" w:after="20"/>
              <w:jc w:val="center"/>
              <w:rPr>
                <w:sz w:val="20"/>
                <w:szCs w:val="20"/>
              </w:rPr>
            </w:pPr>
            <w:r w:rsidRPr="00AD59FE">
              <w:rPr>
                <w:sz w:val="20"/>
                <w:szCs w:val="20"/>
              </w:rPr>
              <w:t>Explains why embedded intelligence can become a source of durable advantage</w:t>
            </w:r>
          </w:p>
        </w:tc>
      </w:tr>
      <w:tr w:rsidR="008E4243" w:rsidRPr="005E1DF4" w14:paraId="56963855" w14:textId="77777777" w:rsidTr="00AD59FE">
        <w:trPr>
          <w:jc w:val="center"/>
        </w:trPr>
        <w:tc>
          <w:tcPr>
            <w:tcW w:w="15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58A94FCE" w14:textId="77777777" w:rsidR="008E4243" w:rsidRPr="00AD59FE" w:rsidRDefault="00000000" w:rsidP="00AD59FE">
            <w:pPr>
              <w:spacing w:before="20" w:after="20"/>
              <w:jc w:val="center"/>
              <w:rPr>
                <w:sz w:val="20"/>
                <w:szCs w:val="20"/>
              </w:rPr>
            </w:pPr>
            <w:r w:rsidRPr="00AD59FE">
              <w:rPr>
                <w:sz w:val="20"/>
                <w:szCs w:val="20"/>
              </w:rPr>
              <w:t>Dynamic Capabilities Theory</w:t>
            </w:r>
          </w:p>
        </w:tc>
        <w:tc>
          <w:tcPr>
            <w:tcW w:w="18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72677689" w14:textId="77777777" w:rsidR="008E4243" w:rsidRPr="00AD59FE" w:rsidRDefault="00000000" w:rsidP="00AD59FE">
            <w:pPr>
              <w:spacing w:before="20" w:after="20"/>
              <w:jc w:val="center"/>
              <w:rPr>
                <w:sz w:val="20"/>
                <w:szCs w:val="20"/>
              </w:rPr>
            </w:pPr>
            <w:r w:rsidRPr="00AD59FE">
              <w:rPr>
                <w:sz w:val="20"/>
                <w:szCs w:val="20"/>
              </w:rPr>
              <w:t>Advantage operates through sensing, seizing, and transforming</w:t>
            </w:r>
          </w:p>
        </w:tc>
        <w:tc>
          <w:tcPr>
            <w:tcW w:w="2185"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063B6AC5" w14:textId="77777777" w:rsidR="008E4243" w:rsidRPr="00AD59FE" w:rsidRDefault="00000000" w:rsidP="00AD59FE">
            <w:pPr>
              <w:spacing w:before="20" w:after="20"/>
              <w:jc w:val="center"/>
              <w:rPr>
                <w:sz w:val="20"/>
                <w:szCs w:val="20"/>
              </w:rPr>
            </w:pPr>
            <w:r w:rsidRPr="00AD59FE">
              <w:rPr>
                <w:sz w:val="20"/>
                <w:szCs w:val="20"/>
              </w:rPr>
              <w:t>Real-time analytics is the sensing apparatus; prediction enables seizing</w:t>
            </w:r>
          </w:p>
        </w:tc>
        <w:tc>
          <w:tcPr>
            <w:tcW w:w="279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307BCAEE" w14:textId="77777777" w:rsidR="008E4243" w:rsidRPr="00AD59FE" w:rsidRDefault="00000000" w:rsidP="00AD59FE">
            <w:pPr>
              <w:spacing w:before="20" w:after="20"/>
              <w:jc w:val="center"/>
              <w:rPr>
                <w:sz w:val="20"/>
                <w:szCs w:val="20"/>
              </w:rPr>
            </w:pPr>
            <w:r w:rsidRPr="00AD59FE">
              <w:rPr>
                <w:sz w:val="20"/>
                <w:szCs w:val="20"/>
              </w:rPr>
              <w:t>Automation executes seizing while governance disciplines transformation</w:t>
            </w:r>
          </w:p>
        </w:tc>
        <w:tc>
          <w:tcPr>
            <w:tcW w:w="243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1824CB41" w14:textId="77777777" w:rsidR="008E4243" w:rsidRPr="00AD59FE" w:rsidRDefault="00000000" w:rsidP="00AD59FE">
            <w:pPr>
              <w:spacing w:before="20" w:after="20"/>
              <w:jc w:val="center"/>
              <w:rPr>
                <w:sz w:val="20"/>
                <w:szCs w:val="20"/>
              </w:rPr>
            </w:pPr>
            <w:r w:rsidRPr="00AD59FE">
              <w:rPr>
                <w:sz w:val="20"/>
                <w:szCs w:val="20"/>
              </w:rPr>
              <w:t>Specifies the mechanism that converts capability into agility</w:t>
            </w:r>
          </w:p>
        </w:tc>
      </w:tr>
      <w:tr w:rsidR="008E4243" w:rsidRPr="005E1DF4" w14:paraId="5A70DB5A" w14:textId="77777777" w:rsidTr="00AD59FE">
        <w:trPr>
          <w:jc w:val="center"/>
        </w:trPr>
        <w:tc>
          <w:tcPr>
            <w:tcW w:w="15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5BFBE5CD" w14:textId="77777777" w:rsidR="008E4243" w:rsidRPr="00AD59FE" w:rsidRDefault="00000000" w:rsidP="00AD59FE">
            <w:pPr>
              <w:spacing w:before="20" w:after="20"/>
              <w:jc w:val="center"/>
              <w:rPr>
                <w:sz w:val="20"/>
                <w:szCs w:val="20"/>
              </w:rPr>
            </w:pPr>
            <w:r w:rsidRPr="00AD59FE">
              <w:rPr>
                <w:sz w:val="20"/>
                <w:szCs w:val="20"/>
              </w:rPr>
              <w:t>Socio-Technical Systems Theory</w:t>
            </w:r>
          </w:p>
        </w:tc>
        <w:tc>
          <w:tcPr>
            <w:tcW w:w="18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69ABC9E7" w14:textId="77777777" w:rsidR="008E4243" w:rsidRPr="00AD59FE" w:rsidRDefault="00000000" w:rsidP="00AD59FE">
            <w:pPr>
              <w:spacing w:before="20" w:after="20"/>
              <w:jc w:val="center"/>
              <w:rPr>
                <w:sz w:val="20"/>
                <w:szCs w:val="20"/>
              </w:rPr>
            </w:pPr>
            <w:r w:rsidRPr="00AD59FE">
              <w:rPr>
                <w:sz w:val="20"/>
                <w:szCs w:val="20"/>
              </w:rPr>
              <w:t>Performance requires alignment of the technical and social subsystems</w:t>
            </w:r>
          </w:p>
        </w:tc>
        <w:tc>
          <w:tcPr>
            <w:tcW w:w="2185"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7E6D9A5A" w14:textId="77777777" w:rsidR="008E4243" w:rsidRPr="00AD59FE" w:rsidRDefault="00000000" w:rsidP="00AD59FE">
            <w:pPr>
              <w:spacing w:before="20" w:after="20"/>
              <w:jc w:val="center"/>
              <w:rPr>
                <w:sz w:val="20"/>
                <w:szCs w:val="20"/>
              </w:rPr>
            </w:pPr>
            <w:r w:rsidRPr="00AD59FE">
              <w:rPr>
                <w:sz w:val="20"/>
                <w:szCs w:val="20"/>
              </w:rPr>
              <w:t>Analytic value depends on staff able to interpret probabilistic output</w:t>
            </w:r>
          </w:p>
        </w:tc>
        <w:tc>
          <w:tcPr>
            <w:tcW w:w="279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4DC75D10" w14:textId="77777777" w:rsidR="008E4243" w:rsidRPr="00AD59FE" w:rsidRDefault="00000000" w:rsidP="00AD59FE">
            <w:pPr>
              <w:spacing w:before="20" w:after="20"/>
              <w:jc w:val="center"/>
              <w:rPr>
                <w:sz w:val="20"/>
                <w:szCs w:val="20"/>
              </w:rPr>
            </w:pPr>
            <w:r w:rsidRPr="00AD59FE">
              <w:rPr>
                <w:sz w:val="20"/>
                <w:szCs w:val="20"/>
              </w:rPr>
              <w:t>Opaque automation without literacy breeds resistance and circumvention</w:t>
            </w:r>
          </w:p>
        </w:tc>
        <w:tc>
          <w:tcPr>
            <w:tcW w:w="243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744A1E14" w14:textId="77777777" w:rsidR="008E4243" w:rsidRPr="00AD59FE" w:rsidRDefault="00000000" w:rsidP="00AD59FE">
            <w:pPr>
              <w:spacing w:before="20" w:after="20"/>
              <w:jc w:val="center"/>
              <w:rPr>
                <w:sz w:val="20"/>
                <w:szCs w:val="20"/>
              </w:rPr>
            </w:pPr>
            <w:r w:rsidRPr="00AD59FE">
              <w:rPr>
                <w:sz w:val="20"/>
                <w:szCs w:val="20"/>
              </w:rPr>
              <w:t>Explains why technically sound deployments nonetheless fail</w:t>
            </w:r>
          </w:p>
        </w:tc>
      </w:tr>
      <w:tr w:rsidR="008E4243" w:rsidRPr="005E1DF4" w14:paraId="2AB19C1D" w14:textId="77777777" w:rsidTr="00AD59FE">
        <w:trPr>
          <w:jc w:val="center"/>
        </w:trPr>
        <w:tc>
          <w:tcPr>
            <w:tcW w:w="15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369BEFBA" w14:textId="77777777" w:rsidR="008E4243" w:rsidRPr="00AD59FE" w:rsidRDefault="00000000" w:rsidP="00AD59FE">
            <w:pPr>
              <w:spacing w:before="20" w:after="20"/>
              <w:jc w:val="center"/>
              <w:rPr>
                <w:sz w:val="20"/>
                <w:szCs w:val="20"/>
              </w:rPr>
            </w:pPr>
            <w:r w:rsidRPr="00AD59FE">
              <w:rPr>
                <w:sz w:val="20"/>
                <w:szCs w:val="20"/>
              </w:rPr>
              <w:lastRenderedPageBreak/>
              <w:t>Technology–Organization–Environment framework</w:t>
            </w:r>
          </w:p>
        </w:tc>
        <w:tc>
          <w:tcPr>
            <w:tcW w:w="18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174878DB" w14:textId="77777777" w:rsidR="008E4243" w:rsidRPr="00AD59FE" w:rsidRDefault="00000000" w:rsidP="00AD59FE">
            <w:pPr>
              <w:spacing w:before="20" w:after="20"/>
              <w:jc w:val="center"/>
              <w:rPr>
                <w:sz w:val="20"/>
                <w:szCs w:val="20"/>
              </w:rPr>
            </w:pPr>
            <w:r w:rsidRPr="00AD59FE">
              <w:rPr>
                <w:sz w:val="20"/>
                <w:szCs w:val="20"/>
              </w:rPr>
              <w:t>Adoption depends jointly on technology, organization, and environment</w:t>
            </w:r>
          </w:p>
        </w:tc>
        <w:tc>
          <w:tcPr>
            <w:tcW w:w="2185"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52512B92" w14:textId="77777777" w:rsidR="008E4243" w:rsidRPr="00AD59FE" w:rsidRDefault="00000000" w:rsidP="00AD59FE">
            <w:pPr>
              <w:spacing w:before="20" w:after="20"/>
              <w:jc w:val="center"/>
              <w:rPr>
                <w:sz w:val="20"/>
                <w:szCs w:val="20"/>
              </w:rPr>
            </w:pPr>
            <w:r w:rsidRPr="00AD59FE">
              <w:rPr>
                <w:sz w:val="20"/>
                <w:szCs w:val="20"/>
              </w:rPr>
              <w:t>Platform fit is contingent on internal context and external regulation</w:t>
            </w:r>
          </w:p>
        </w:tc>
        <w:tc>
          <w:tcPr>
            <w:tcW w:w="279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0F015ADB" w14:textId="77777777" w:rsidR="008E4243" w:rsidRPr="00AD59FE" w:rsidRDefault="00000000" w:rsidP="00AD59FE">
            <w:pPr>
              <w:spacing w:before="20" w:after="20"/>
              <w:jc w:val="center"/>
              <w:rPr>
                <w:sz w:val="20"/>
                <w:szCs w:val="20"/>
              </w:rPr>
            </w:pPr>
            <w:r w:rsidRPr="00AD59FE">
              <w:rPr>
                <w:sz w:val="20"/>
                <w:szCs w:val="20"/>
              </w:rPr>
              <w:t>Governance demands are set largely by environmental and regulatory pressure</w:t>
            </w:r>
          </w:p>
        </w:tc>
        <w:tc>
          <w:tcPr>
            <w:tcW w:w="243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42073CBB" w14:textId="77777777" w:rsidR="008E4243" w:rsidRPr="00AD59FE" w:rsidRDefault="00000000" w:rsidP="00AD59FE">
            <w:pPr>
              <w:spacing w:before="20" w:after="20"/>
              <w:jc w:val="center"/>
              <w:rPr>
                <w:sz w:val="20"/>
                <w:szCs w:val="20"/>
              </w:rPr>
            </w:pPr>
            <w:r w:rsidRPr="00AD59FE">
              <w:rPr>
                <w:sz w:val="20"/>
                <w:szCs w:val="20"/>
              </w:rPr>
              <w:t>Supplies the contingency logic that integrates the other three lenses</w:t>
            </w:r>
          </w:p>
        </w:tc>
      </w:tr>
    </w:tbl>
    <w:p w14:paraId="06632631" w14:textId="3574C149" w:rsidR="008E4243" w:rsidRPr="005E1DF4" w:rsidRDefault="00000000" w:rsidP="00EA516C">
      <w:pPr>
        <w:spacing w:before="120" w:after="120"/>
        <w:jc w:val="both"/>
      </w:pPr>
      <w:r w:rsidRPr="005E1DF4">
        <w:rPr>
          <w:highlight w:val="white"/>
        </w:rPr>
        <w:t>Read from the rows, the matrix is a single integrative proposition that the empirical chapters compare against evidence. AI-enabled cloud ERP will only make agility possible when an inimitable data and model resource (Resource-Based View) is used through a sensing seizing transforming loop (Dynamic Capabilities Theory), within a socially aligned workforce (Socio-Technical Systems Theory), under technological, organizational, and environmental conditions that fit the selected configuration (TOE framework).</w:t>
      </w:r>
      <w:r w:rsidRPr="005E1DF4">
        <w:t xml:space="preserve"> </w:t>
      </w:r>
    </w:p>
    <w:p w14:paraId="4914C3DD" w14:textId="0C103345" w:rsidR="008E4243" w:rsidRPr="005E1DF4" w:rsidRDefault="00000000" w:rsidP="008348CF">
      <w:pPr>
        <w:pStyle w:val="Heading1"/>
        <w:pBdr>
          <w:top w:val="none" w:sz="0" w:space="0" w:color="auto"/>
          <w:left w:val="none" w:sz="0" w:space="0" w:color="auto"/>
          <w:bottom w:val="none" w:sz="0" w:space="0" w:color="auto"/>
          <w:right w:val="none" w:sz="0" w:space="0" w:color="auto"/>
          <w:between w:val="none" w:sz="0" w:space="0" w:color="auto"/>
        </w:pBdr>
        <w:shd w:val="clear" w:color="auto" w:fill="FFFFFF"/>
        <w:spacing w:before="0" w:after="160"/>
        <w:jc w:val="both"/>
        <w:rPr>
          <w:rFonts w:eastAsia="Arial"/>
          <w:b w:val="0"/>
          <w:bCs w:val="0"/>
          <w:sz w:val="23"/>
          <w:szCs w:val="23"/>
        </w:rPr>
      </w:pPr>
      <w:proofErr w:type="gramStart"/>
      <w:r w:rsidRPr="005E1DF4">
        <w:rPr>
          <w:b w:val="0"/>
          <w:bCs w:val="0"/>
          <w:sz w:val="24"/>
          <w:szCs w:val="24"/>
        </w:rPr>
        <w:t>But,</w:t>
      </w:r>
      <w:proofErr w:type="gramEnd"/>
      <w:r w:rsidRPr="005E1DF4">
        <w:rPr>
          <w:b w:val="0"/>
          <w:bCs w:val="0"/>
          <w:sz w:val="24"/>
          <w:szCs w:val="24"/>
        </w:rPr>
        <w:t xml:space="preserve"> each clause </w:t>
      </w:r>
      <w:proofErr w:type="gramStart"/>
      <w:r w:rsidRPr="005E1DF4">
        <w:rPr>
          <w:b w:val="0"/>
          <w:bCs w:val="0"/>
          <w:sz w:val="24"/>
          <w:szCs w:val="24"/>
        </w:rPr>
        <w:t>has to</w:t>
      </w:r>
      <w:proofErr w:type="gramEnd"/>
      <w:r w:rsidRPr="005E1DF4">
        <w:rPr>
          <w:b w:val="0"/>
          <w:bCs w:val="0"/>
          <w:sz w:val="24"/>
          <w:szCs w:val="24"/>
        </w:rPr>
        <w:t xml:space="preserve"> come with the other. No one can make the other without the other. This conjunctive framework underlies the focus of the paper on contingency and not universally good and it is this conjunction that is worked through in the maturity model. Each step in the maturity model requires each corresponding step in the resource base, capability loop, social subsystem, and governing contex</w:t>
      </w:r>
      <w:r w:rsidRPr="005E1DF4">
        <w:rPr>
          <w:rFonts w:eastAsia="Arial"/>
          <w:b w:val="0"/>
          <w:bCs w:val="0"/>
          <w:sz w:val="23"/>
          <w:szCs w:val="23"/>
        </w:rPr>
        <w:t>t.</w:t>
      </w:r>
      <w:bookmarkStart w:id="0" w:name="_heading=h.xfxo8cweqv8g" w:colFirst="0" w:colLast="0"/>
      <w:bookmarkEnd w:id="0"/>
    </w:p>
    <w:p w14:paraId="3CAACE60" w14:textId="77777777" w:rsidR="008E4243" w:rsidRPr="005E1DF4" w:rsidRDefault="00000000" w:rsidP="008348CF">
      <w:pPr>
        <w:pStyle w:val="Heading1"/>
        <w:jc w:val="both"/>
      </w:pPr>
      <w:r w:rsidRPr="005E1DF4">
        <w:t>METHODOLOGY</w:t>
      </w:r>
    </w:p>
    <w:p w14:paraId="7FBC1196" w14:textId="77777777" w:rsidR="008E4243" w:rsidRPr="005E1DF4" w:rsidRDefault="00000000" w:rsidP="008348CF">
      <w:pPr>
        <w:pStyle w:val="Heading2"/>
        <w:jc w:val="both"/>
      </w:pPr>
      <w:r w:rsidRPr="005E1DF4">
        <w:t>Philosophical and methodological positioning</w:t>
      </w:r>
    </w:p>
    <w:p w14:paraId="6CFBAA17" w14:textId="77777777" w:rsidR="008E4243" w:rsidRPr="005E1DF4" w:rsidRDefault="00000000" w:rsidP="008348CF">
      <w:pPr>
        <w:spacing w:before="120" w:after="120"/>
        <w:jc w:val="both"/>
      </w:pPr>
      <w:r w:rsidRPr="005E1DF4">
        <w:rPr>
          <w:highlight w:val="white"/>
        </w:rPr>
        <w:t xml:space="preserve">The methodological choices mentioned below are made </w:t>
      </w:r>
      <w:proofErr w:type="gramStart"/>
      <w:r w:rsidRPr="005E1DF4">
        <w:rPr>
          <w:highlight w:val="white"/>
        </w:rPr>
        <w:t>on the basis of</w:t>
      </w:r>
      <w:proofErr w:type="gramEnd"/>
      <w:r w:rsidRPr="005E1DF4">
        <w:rPr>
          <w:highlight w:val="white"/>
        </w:rPr>
        <w:t xml:space="preserve"> a legitimate position on what kind of knowledge the research questions can generate. What the questions are concerned with is the degree to which embedded intelligence becomes agility. That is, it needs an interpretive explanatory point of view, on the part of the researcher from the subject of the investigation, rather than a predictive one, so to speak, regarding the population parameter to be estimated. Literature based inquiry is an established paradigm which responds to these issues by </w:t>
      </w:r>
      <w:proofErr w:type="spellStart"/>
      <w:r w:rsidRPr="005E1DF4">
        <w:rPr>
          <w:highlight w:val="white"/>
        </w:rPr>
        <w:t>focussing</w:t>
      </w:r>
      <w:proofErr w:type="spellEnd"/>
      <w:r w:rsidRPr="005E1DF4">
        <w:rPr>
          <w:highlight w:val="white"/>
        </w:rPr>
        <w:t xml:space="preserve"> on </w:t>
      </w:r>
      <w:proofErr w:type="spellStart"/>
      <w:r w:rsidRPr="005E1DF4">
        <w:rPr>
          <w:highlight w:val="white"/>
        </w:rPr>
        <w:t>organising</w:t>
      </w:r>
      <w:proofErr w:type="spellEnd"/>
      <w:r w:rsidRPr="005E1DF4">
        <w:rPr>
          <w:highlight w:val="white"/>
        </w:rPr>
        <w:t xml:space="preserve"> and joining the fragmenting knowledge into a cohesive narrative, not on the construction of new knowledge (Snyder, 2019). A view of the review as </w:t>
      </w:r>
      <w:proofErr w:type="gramStart"/>
      <w:r w:rsidRPr="005E1DF4">
        <w:rPr>
          <w:highlight w:val="white"/>
        </w:rPr>
        <w:t>a research</w:t>
      </w:r>
      <w:proofErr w:type="gramEnd"/>
      <w:r w:rsidRPr="005E1DF4">
        <w:rPr>
          <w:highlight w:val="white"/>
        </w:rPr>
        <w:t xml:space="preserve"> in and of itself, as opposed to a lead up to collecting primary data, is consistent with the typology, under which conceptual reviews and integrative reviews are viewed as legitimate forms of research towards theory. (Paré et al., 2015).</w:t>
      </w:r>
      <w:r w:rsidRPr="005E1DF4">
        <w:t xml:space="preserve"> .</w:t>
      </w:r>
    </w:p>
    <w:p w14:paraId="0DB92547" w14:textId="77777777" w:rsidR="008E4243" w:rsidRPr="005E1DF4" w:rsidRDefault="00000000" w:rsidP="008348CF">
      <w:pPr>
        <w:pStyle w:val="Heading2"/>
        <w:jc w:val="both"/>
        <w:rPr>
          <w:b w:val="0"/>
          <w:bCs w:val="0"/>
        </w:rPr>
      </w:pPr>
      <w:r w:rsidRPr="005E1DF4">
        <w:rPr>
          <w:b w:val="0"/>
          <w:bCs w:val="0"/>
          <w:highlight w:val="white"/>
        </w:rPr>
        <w:t xml:space="preserve">This attitude has methodological obligations, because it dictates all the decisions made once the attitude is accepted. In the context of a review, it must be a research method in which the rationale is verifiable, the criteria for including resources or sources </w:t>
      </w:r>
      <w:proofErr w:type="gramStart"/>
      <w:r w:rsidRPr="005E1DF4">
        <w:rPr>
          <w:b w:val="0"/>
          <w:bCs w:val="0"/>
          <w:highlight w:val="white"/>
        </w:rPr>
        <w:t>is</w:t>
      </w:r>
      <w:proofErr w:type="gramEnd"/>
      <w:r w:rsidRPr="005E1DF4">
        <w:rPr>
          <w:b w:val="0"/>
          <w:bCs w:val="0"/>
          <w:highlight w:val="white"/>
        </w:rPr>
        <w:t xml:space="preserve"> stated, and the interpretive flow from single findings to an overall conclusion is controlled (Webster &amp; Watson, 2002). The nature of these duties drives the design described in the two subsequent subsections, which is not based on a checklist as is the nature for systematic review methods that </w:t>
      </w:r>
      <w:proofErr w:type="gramStart"/>
      <w:r w:rsidRPr="005E1DF4">
        <w:rPr>
          <w:b w:val="0"/>
          <w:bCs w:val="0"/>
          <w:highlight w:val="white"/>
        </w:rPr>
        <w:t>is</w:t>
      </w:r>
      <w:proofErr w:type="gramEnd"/>
      <w:r w:rsidRPr="005E1DF4">
        <w:rPr>
          <w:b w:val="0"/>
          <w:bCs w:val="0"/>
          <w:highlight w:val="white"/>
        </w:rPr>
        <w:t xml:space="preserve"> intended for uniform quantitative evidence. Effect size pooling protocols would mistakenly characterize an analysis of purposefully heterogeneous evidence and although bringing about an illusion of a transparent process and a transparent output, would obscure the inherently interpretative nature and impact of the contribution (Snyder, 2019; Paré et al., 2015).</w:t>
      </w:r>
      <w:r w:rsidRPr="005E1DF4">
        <w:rPr>
          <w:b w:val="0"/>
          <w:bCs w:val="0"/>
        </w:rPr>
        <w:t xml:space="preserve"> </w:t>
      </w:r>
    </w:p>
    <w:p w14:paraId="12D7BE15" w14:textId="77777777" w:rsidR="008E4243" w:rsidRPr="005E1DF4" w:rsidRDefault="00000000" w:rsidP="008348CF">
      <w:pPr>
        <w:pStyle w:val="Heading2"/>
        <w:jc w:val="both"/>
      </w:pPr>
      <w:r w:rsidRPr="005E1DF4">
        <w:t>Research design and its justification</w:t>
      </w:r>
    </w:p>
    <w:p w14:paraId="79A3E253" w14:textId="77777777" w:rsidR="008E4243" w:rsidRPr="005E1DF4" w:rsidRDefault="00000000" w:rsidP="008348CF">
      <w:pPr>
        <w:spacing w:before="240" w:after="240"/>
        <w:jc w:val="both"/>
      </w:pPr>
      <w:r w:rsidRPr="005E1DF4">
        <w:rPr>
          <w:highlight w:val="white"/>
        </w:rPr>
        <w:t xml:space="preserve">The questions posed in this paper are synthetic and explanatory. They ask under what conditions embedded AI capabilities translate into organizational agility, and how leading platforms differ in their support of those conditions. Such a type of research is well-suited to literature-based methodologies, which aim to map, </w:t>
      </w:r>
      <w:proofErr w:type="spellStart"/>
      <w:r w:rsidRPr="005E1DF4">
        <w:rPr>
          <w:highlight w:val="white"/>
        </w:rPr>
        <w:t>organise</w:t>
      </w:r>
      <w:proofErr w:type="spellEnd"/>
      <w:r w:rsidRPr="005E1DF4">
        <w:rPr>
          <w:highlight w:val="white"/>
        </w:rPr>
        <w:t xml:space="preserve"> and interpret a growing body of evidence as opposed to making primary observations (Snyder, 2019; Paré et al., 2015). In conclusion, the design of a conceptual review is aligned with the dynamic and diverse nature of the AI-enabled cloud ERP literature, in which empirical studies, conceptual papers, and practitioner case reports must be read together to arrive at a coherent account (Webster &amp; Watson, 2002; Cronin &amp; George, 2023). The rationale behind the decision to not collect primary data is similar. Surveys, interviews, and structural-equation modelling would all be inconsistent with the explanatory ambition of the research questions, and, in any case, rest on the same conceptual scaffolding that the present study aims to construct (</w:t>
      </w:r>
      <w:proofErr w:type="spellStart"/>
      <w:r w:rsidRPr="005E1DF4">
        <w:rPr>
          <w:highlight w:val="white"/>
        </w:rPr>
        <w:t>Tranfield</w:t>
      </w:r>
      <w:proofErr w:type="spellEnd"/>
      <w:r w:rsidRPr="005E1DF4">
        <w:rPr>
          <w:highlight w:val="white"/>
        </w:rPr>
        <w:t xml:space="preserve"> et al., 2003).</w:t>
      </w:r>
      <w:r w:rsidRPr="005E1DF4">
        <w:t xml:space="preserve"> </w:t>
      </w:r>
    </w:p>
    <w:p w14:paraId="1F2E7AEC" w14:textId="77777777" w:rsidR="008E4243" w:rsidRPr="005E1DF4" w:rsidRDefault="00000000" w:rsidP="008348CF">
      <w:pPr>
        <w:spacing w:before="240" w:after="240"/>
        <w:jc w:val="both"/>
      </w:pPr>
      <w:r w:rsidRPr="005E1DF4">
        <w:rPr>
          <w:highlight w:val="white"/>
        </w:rPr>
        <w:lastRenderedPageBreak/>
        <w:t xml:space="preserve"> Design is by explicit decision interpretive rather than causal. Conceptual reviews are the appropriate vehicles for theory development and integration, not for the estimation of treatment effects, and therefore the conclusions of such reviews should be read in that light (Snyder, 2019; Paré et al., 2015). The current design will thus be explanatory in its contributions. It identifies recurrent patterns of association across </w:t>
      </w:r>
      <w:proofErr w:type="gramStart"/>
      <w:r w:rsidRPr="005E1DF4">
        <w:rPr>
          <w:highlight w:val="white"/>
        </w:rPr>
        <w:t>the literature</w:t>
      </w:r>
      <w:proofErr w:type="gramEnd"/>
      <w:r w:rsidRPr="005E1DF4">
        <w:rPr>
          <w:highlight w:val="white"/>
        </w:rPr>
        <w:t xml:space="preserve"> and develops a framework that </w:t>
      </w:r>
      <w:proofErr w:type="spellStart"/>
      <w:r w:rsidRPr="005E1DF4">
        <w:rPr>
          <w:highlight w:val="white"/>
        </w:rPr>
        <w:t>organises</w:t>
      </w:r>
      <w:proofErr w:type="spellEnd"/>
      <w:r w:rsidRPr="005E1DF4">
        <w:rPr>
          <w:highlight w:val="white"/>
        </w:rPr>
        <w:t xml:space="preserve"> those patterns into a coherent developmental logic.</w:t>
      </w:r>
      <w:r w:rsidRPr="005E1DF4">
        <w:t xml:space="preserve"> </w:t>
      </w:r>
    </w:p>
    <w:p w14:paraId="552E7172" w14:textId="77777777" w:rsidR="008E4243" w:rsidRPr="005E1DF4" w:rsidRDefault="00000000" w:rsidP="008348CF">
      <w:pPr>
        <w:pStyle w:val="Heading2"/>
        <w:jc w:val="both"/>
      </w:pPr>
      <w:r w:rsidRPr="005E1DF4">
        <w:t>Conceptual review approach</w:t>
      </w:r>
    </w:p>
    <w:p w14:paraId="71C307B7" w14:textId="77777777" w:rsidR="008E4243" w:rsidRPr="005E1DF4" w:rsidRDefault="00000000" w:rsidP="008348CF">
      <w:pPr>
        <w:spacing w:before="240" w:after="240"/>
        <w:jc w:val="both"/>
      </w:pPr>
      <w:r w:rsidRPr="005E1DF4">
        <w:rPr>
          <w:highlight w:val="white"/>
        </w:rPr>
        <w:t xml:space="preserve">Out of the existing literature review typologies, the conceptual review aligns best with the research aims of this paper. Paré et al. (2015) </w:t>
      </w:r>
      <w:proofErr w:type="gramStart"/>
      <w:r w:rsidRPr="005E1DF4">
        <w:rPr>
          <w:highlight w:val="white"/>
        </w:rPr>
        <w:t>describe</w:t>
      </w:r>
      <w:proofErr w:type="gramEnd"/>
      <w:r w:rsidRPr="005E1DF4">
        <w:rPr>
          <w:highlight w:val="white"/>
        </w:rPr>
        <w:t xml:space="preserve"> the conceptual review as a synthesis which combines ideas with knowledge from several disparate resources to form an integrated theoretical contribution. Precisely the output the paper provides across the conceptual approach. Thematic synthesis supports the integration, as their thematic nature allows thematic research to be used across a wide range of methods in the AI–ERP literature where there is a considerable mix of quantitative, empirical research with conceptual articles and industry case reports and allows the integration of results that resist statistical pooling (Thomas &amp; Harden, 2008; Whittemore &amp; </w:t>
      </w:r>
      <w:proofErr w:type="spellStart"/>
      <w:r w:rsidRPr="005E1DF4">
        <w:rPr>
          <w:highlight w:val="white"/>
        </w:rPr>
        <w:t>Knafl</w:t>
      </w:r>
      <w:proofErr w:type="spellEnd"/>
      <w:r w:rsidRPr="005E1DF4">
        <w:rPr>
          <w:highlight w:val="white"/>
        </w:rPr>
        <w:t>, 2005). Cronin and George (2023) further suggest that integrative thematic reviews are well suited to fields undergoing rapid conceptual development, which indicates the AI-enabled cloud ERP literature at the time of writing.</w:t>
      </w:r>
      <w:r w:rsidRPr="005E1DF4">
        <w:t xml:space="preserve"> </w:t>
      </w:r>
    </w:p>
    <w:p w14:paraId="620BE77F" w14:textId="77777777" w:rsidR="008E4243" w:rsidRPr="005E1DF4" w:rsidRDefault="00000000" w:rsidP="008348CF">
      <w:pPr>
        <w:pStyle w:val="Heading2"/>
        <w:jc w:val="both"/>
      </w:pPr>
      <w:r w:rsidRPr="005E1DF4">
        <w:t>Database selection and rationale</w:t>
      </w:r>
    </w:p>
    <w:p w14:paraId="5240BFC3" w14:textId="648B979C" w:rsidR="008E4243" w:rsidRPr="005E1DF4" w:rsidRDefault="00000000" w:rsidP="008348CF">
      <w:pPr>
        <w:pStyle w:val="Heading2"/>
        <w:jc w:val="both"/>
        <w:rPr>
          <w:b w:val="0"/>
          <w:bCs w:val="0"/>
        </w:rPr>
      </w:pPr>
      <w:r w:rsidRPr="005E1DF4">
        <w:rPr>
          <w:b w:val="0"/>
          <w:bCs w:val="0"/>
          <w:highlight w:val="white"/>
        </w:rPr>
        <w:t xml:space="preserve">Scopus was the primary bibliographic resource. Literature was chosen using Scopus due to the comprehensive coverage, interdisciplinary, and uniform metadata across databases in the literature review system (Falagas et al., 2008; Mongeon &amp; Paul-Hus, 2016) as was also recommended by the guidelines for the management and information systems reviews. Where one is interested in an IT, E&amp;M research question (see, e.g., Table 1), Scopus provides more conference proceedings and applied research literature with the depth of citation indexing and rigor over open web searches that is unique to the Scopus database (Mongeon &amp; Paul-Hus, 2016). Partly to use them as a summarizing tool and for verification purposes, an AI synthesis based on Scopus AI facility was added to the primary database export rather than a primary source for covering recent developments. To ensure that the synthesis is grounded in primary data, three detailed studies including use of off-premises ERP in small and medium enterprises, EU enterprise outcomes of ERP-AI systems, and factors affecting the introduction of ERP-AI systems in European enterprises have been purchased in their </w:t>
      </w:r>
      <w:proofErr w:type="gramStart"/>
      <w:r w:rsidRPr="005E1DF4">
        <w:rPr>
          <w:b w:val="0"/>
          <w:bCs w:val="0"/>
          <w:highlight w:val="white"/>
        </w:rPr>
        <w:t>entirety, and</w:t>
      </w:r>
      <w:proofErr w:type="gramEnd"/>
      <w:r w:rsidRPr="005E1DF4">
        <w:rPr>
          <w:b w:val="0"/>
          <w:bCs w:val="0"/>
          <w:highlight w:val="white"/>
        </w:rPr>
        <w:t xml:space="preserve"> studied in detail.</w:t>
      </w:r>
      <w:r w:rsidRPr="005E1DF4">
        <w:rPr>
          <w:b w:val="0"/>
          <w:bCs w:val="0"/>
        </w:rPr>
        <w:t xml:space="preserve"> </w:t>
      </w:r>
    </w:p>
    <w:p w14:paraId="19098844" w14:textId="77777777" w:rsidR="008E4243" w:rsidRPr="005E1DF4" w:rsidRDefault="00000000" w:rsidP="008348CF">
      <w:pPr>
        <w:pStyle w:val="Heading2"/>
        <w:jc w:val="both"/>
      </w:pPr>
      <w:r w:rsidRPr="005E1DF4">
        <w:t>Inclusion and exclusion criteria</w:t>
      </w:r>
    </w:p>
    <w:p w14:paraId="1DBD45D0" w14:textId="77777777" w:rsidR="008E4243" w:rsidRPr="005E1DF4" w:rsidRDefault="00000000" w:rsidP="008348CF">
      <w:pPr>
        <w:pStyle w:val="Heading2"/>
        <w:jc w:val="both"/>
        <w:rPr>
          <w:b w:val="0"/>
          <w:bCs w:val="0"/>
        </w:rPr>
      </w:pPr>
      <w:r w:rsidRPr="005E1DF4">
        <w:rPr>
          <w:b w:val="0"/>
          <w:bCs w:val="0"/>
          <w:highlight w:val="white"/>
        </w:rPr>
        <w:t>The sources were chosen according to specific inclusion criteria determined through a series of acceptable reviewing protocols (</w:t>
      </w:r>
      <w:proofErr w:type="spellStart"/>
      <w:r w:rsidRPr="005E1DF4">
        <w:rPr>
          <w:b w:val="0"/>
          <w:bCs w:val="0"/>
          <w:highlight w:val="white"/>
        </w:rPr>
        <w:t>Tranfield</w:t>
      </w:r>
      <w:proofErr w:type="spellEnd"/>
      <w:r w:rsidRPr="005E1DF4">
        <w:rPr>
          <w:b w:val="0"/>
          <w:bCs w:val="0"/>
          <w:highlight w:val="white"/>
        </w:rPr>
        <w:t xml:space="preserve"> et al., 2003; Snyder, 2019). According to Webster &amp; Watson (2002), the paper should cover areas such as ERP systems, cloud computing, artificial intelligence or machine learning, organisational agility or enterprise governance. Be published in a peer-reviewed journal or </w:t>
      </w:r>
      <w:proofErr w:type="spellStart"/>
      <w:r w:rsidRPr="005E1DF4">
        <w:rPr>
          <w:b w:val="0"/>
          <w:bCs w:val="0"/>
          <w:highlight w:val="white"/>
        </w:rPr>
        <w:t>recognised</w:t>
      </w:r>
      <w:proofErr w:type="spellEnd"/>
      <w:r w:rsidRPr="005E1DF4">
        <w:rPr>
          <w:b w:val="0"/>
          <w:bCs w:val="0"/>
          <w:highlight w:val="white"/>
        </w:rPr>
        <w:t xml:space="preserve"> conference </w:t>
      </w:r>
      <w:proofErr w:type="gramStart"/>
      <w:r w:rsidRPr="005E1DF4">
        <w:rPr>
          <w:b w:val="0"/>
          <w:bCs w:val="0"/>
          <w:highlight w:val="white"/>
        </w:rPr>
        <w:t>proceedings, and</w:t>
      </w:r>
      <w:proofErr w:type="gramEnd"/>
      <w:r w:rsidRPr="005E1DF4">
        <w:rPr>
          <w:b w:val="0"/>
          <w:bCs w:val="0"/>
          <w:highlight w:val="white"/>
        </w:rPr>
        <w:t xml:space="preserve"> be part of a reputable scholarly book series (publication date was not significant as long as it was recent). An exclusion approach was taken if sources addressed AI/ERP topics not relevant to the company, had no validated bibliographic data, or if evidence from a source was already covered by a more representative source. The requirements have both maximized relevance and given the methodological diversity that the conceptual review (Paré et al., 2015) requires.</w:t>
      </w:r>
      <w:r w:rsidRPr="005E1DF4">
        <w:rPr>
          <w:b w:val="0"/>
          <w:bCs w:val="0"/>
        </w:rPr>
        <w:t xml:space="preserve"> </w:t>
      </w:r>
    </w:p>
    <w:p w14:paraId="012BFD61" w14:textId="77777777" w:rsidR="008E4243" w:rsidRPr="005E1DF4" w:rsidRDefault="00000000" w:rsidP="008348CF">
      <w:pPr>
        <w:pStyle w:val="Heading2"/>
        <w:jc w:val="both"/>
      </w:pPr>
      <w:r w:rsidRPr="005E1DF4">
        <w:t>Search strategy</w:t>
      </w:r>
    </w:p>
    <w:p w14:paraId="0FA42A4A" w14:textId="77777777" w:rsidR="008E4243" w:rsidRPr="005E1DF4" w:rsidRDefault="00000000" w:rsidP="008348CF">
      <w:pPr>
        <w:pStyle w:val="Heading2"/>
        <w:jc w:val="both"/>
        <w:rPr>
          <w:b w:val="0"/>
          <w:bCs w:val="0"/>
        </w:rPr>
      </w:pPr>
      <w:r w:rsidRPr="005E1DF4">
        <w:rPr>
          <w:b w:val="0"/>
          <w:bCs w:val="0"/>
          <w:highlight w:val="white"/>
        </w:rPr>
        <w:t>Consistent with management reviews (</w:t>
      </w:r>
      <w:proofErr w:type="spellStart"/>
      <w:r w:rsidRPr="005E1DF4">
        <w:rPr>
          <w:b w:val="0"/>
          <w:bCs w:val="0"/>
          <w:highlight w:val="white"/>
        </w:rPr>
        <w:t>Tranfield</w:t>
      </w:r>
      <w:proofErr w:type="spellEnd"/>
      <w:r w:rsidRPr="005E1DF4">
        <w:rPr>
          <w:b w:val="0"/>
          <w:bCs w:val="0"/>
          <w:highlight w:val="white"/>
        </w:rPr>
        <w:t xml:space="preserve"> et al., 2003), concept blocks follow an iterative methodology in constructing the search string itself. Core terms like “artificial intelligence”, “machine learning”, “real-time analytics”, “automation” and “agentic AI” were combined with outcome terms like ‘organisational agility’, ‘decision-making’, ‘governance’ and ‘compliance’, with all of these core query strings linked to ERP-related terms, including ‘ERP’, ‘enterprise resource planning’ and ‘cloud ERP’. After a literature review recommendation from Snyder (2019) for literature-based studies to be phased screened, subjects carried out a title and abstract screening before determining their potential eligibility for inclusion. The key studies were then identified, and backward citation tracking was applied to identify potentially related studies previously not </w:t>
      </w:r>
      <w:r w:rsidRPr="005E1DF4">
        <w:rPr>
          <w:b w:val="0"/>
          <w:bCs w:val="0"/>
          <w:highlight w:val="white"/>
        </w:rPr>
        <w:lastRenderedPageBreak/>
        <w:t>identified by key words as recommended by Webster and Watson (2002), whose work is used across disciplines including science, technical education, and engineering with a variety of terms.</w:t>
      </w:r>
      <w:r w:rsidRPr="005E1DF4">
        <w:rPr>
          <w:b w:val="0"/>
          <w:bCs w:val="0"/>
        </w:rPr>
        <w:t xml:space="preserve"> </w:t>
      </w:r>
    </w:p>
    <w:p w14:paraId="27F70744" w14:textId="77777777" w:rsidR="008E4243" w:rsidRPr="005E1DF4" w:rsidRDefault="00000000" w:rsidP="008348CF">
      <w:pPr>
        <w:pStyle w:val="Heading2"/>
        <w:jc w:val="both"/>
      </w:pPr>
      <w:r w:rsidRPr="005E1DF4">
        <w:t>Comparative-analysis method</w:t>
      </w:r>
    </w:p>
    <w:p w14:paraId="4ADE8B64" w14:textId="77777777" w:rsidR="008E4243" w:rsidRPr="005E1DF4" w:rsidRDefault="00000000" w:rsidP="008348CF">
      <w:pPr>
        <w:spacing w:before="240" w:after="240"/>
        <w:jc w:val="both"/>
      </w:pPr>
      <w:r w:rsidRPr="005E1DF4">
        <w:rPr>
          <w:highlight w:val="white"/>
        </w:rPr>
        <w:t xml:space="preserve">This platform comparison depended on a certain set of dimensions of agility. Which were a recurring outcome variable in the studies </w:t>
      </w:r>
      <w:proofErr w:type="spellStart"/>
      <w:r w:rsidRPr="005E1DF4">
        <w:rPr>
          <w:highlight w:val="white"/>
        </w:rPr>
        <w:t>analysed</w:t>
      </w:r>
      <w:proofErr w:type="spellEnd"/>
      <w:r w:rsidRPr="005E1DF4">
        <w:rPr>
          <w:highlight w:val="white"/>
        </w:rPr>
        <w:t xml:space="preserve">. Target market, closed loop velocity, forecast accuracy, multi-entity support and scenario planning, real-time analytics and core operational strength. The review of the literature provided evidence relevant to each dimension, and </w:t>
      </w:r>
      <w:proofErr w:type="spellStart"/>
      <w:r w:rsidRPr="005E1DF4">
        <w:rPr>
          <w:highlight w:val="white"/>
        </w:rPr>
        <w:t>characterisations</w:t>
      </w:r>
      <w:proofErr w:type="spellEnd"/>
      <w:r w:rsidRPr="005E1DF4">
        <w:rPr>
          <w:highlight w:val="white"/>
        </w:rPr>
        <w:t xml:space="preserve"> were derived. Comparison of qualitative judgements from different sources is an established analytic approach in conceptual reviews where exact measures of quantification cannot be </w:t>
      </w:r>
      <w:proofErr w:type="spellStart"/>
      <w:r w:rsidRPr="005E1DF4">
        <w:rPr>
          <w:highlight w:val="white"/>
        </w:rPr>
        <w:t>synthesised</w:t>
      </w:r>
      <w:proofErr w:type="spellEnd"/>
      <w:r w:rsidRPr="005E1DF4">
        <w:rPr>
          <w:highlight w:val="white"/>
        </w:rPr>
        <w:t xml:space="preserve"> (Paré et al., 2015; Whittemore and </w:t>
      </w:r>
      <w:proofErr w:type="spellStart"/>
      <w:r w:rsidRPr="005E1DF4">
        <w:rPr>
          <w:highlight w:val="white"/>
        </w:rPr>
        <w:t>Knafl</w:t>
      </w:r>
      <w:proofErr w:type="spellEnd"/>
      <w:r w:rsidRPr="005E1DF4">
        <w:rPr>
          <w:highlight w:val="white"/>
        </w:rPr>
        <w:t xml:space="preserve">, 2005), and the comparative results presented here should be treated as expert and empirical judgements aggregated in a shared grid, rather than as </w:t>
      </w:r>
      <w:proofErr w:type="spellStart"/>
      <w:r w:rsidRPr="005E1DF4">
        <w:rPr>
          <w:highlight w:val="white"/>
        </w:rPr>
        <w:t>standardised</w:t>
      </w:r>
      <w:proofErr w:type="spellEnd"/>
      <w:r w:rsidRPr="005E1DF4">
        <w:rPr>
          <w:highlight w:val="white"/>
        </w:rPr>
        <w:t xml:space="preserve"> benchmark scores.</w:t>
      </w:r>
      <w:r w:rsidRPr="005E1DF4">
        <w:t xml:space="preserve"> </w:t>
      </w:r>
    </w:p>
    <w:p w14:paraId="569648B1" w14:textId="77777777" w:rsidR="008E4243" w:rsidRPr="005E1DF4" w:rsidRDefault="00000000" w:rsidP="008348CF">
      <w:pPr>
        <w:pStyle w:val="Heading2"/>
        <w:jc w:val="both"/>
      </w:pPr>
      <w:r w:rsidRPr="005E1DF4">
        <w:t>Data-synthesis approach</w:t>
      </w:r>
    </w:p>
    <w:p w14:paraId="5E6F89DD" w14:textId="77777777" w:rsidR="008E4243" w:rsidRPr="005E1DF4" w:rsidRDefault="00000000" w:rsidP="008348CF">
      <w:pPr>
        <w:spacing w:before="240" w:after="240"/>
        <w:jc w:val="both"/>
      </w:pPr>
      <w:r w:rsidRPr="005E1DF4">
        <w:rPr>
          <w:highlight w:val="white"/>
        </w:rPr>
        <w:t xml:space="preserve">Synthesis followed a convergence of evidence logic. A claim was treated as well supported when it recurred across independent sources and source types, for instance, when a pattern observed in a full-text empirical  study was echoed in the AI-assisted synthesis and in the broader Scopus corpus. This convergence logic is consistent with the procedures recommended for thematic and integrative reviews, which treat triangulation across heterogeneous sources as a substitute for the formal pooling that quantitative meta-analysis would require (Thomas &amp; Harden, 2008; Cronin &amp; George, 2023). Where evidence diverged, the divergence was retained and </w:t>
      </w:r>
      <w:proofErr w:type="spellStart"/>
      <w:r w:rsidRPr="005E1DF4">
        <w:rPr>
          <w:highlight w:val="white"/>
        </w:rPr>
        <w:t>analysed</w:t>
      </w:r>
      <w:proofErr w:type="spellEnd"/>
      <w:r w:rsidRPr="005E1DF4">
        <w:rPr>
          <w:highlight w:val="white"/>
        </w:rPr>
        <w:t xml:space="preserve"> as a contradiction. Quantitative results drawn from primary studies are reproduced only with explicit attribution to the originating study and are framed as findings of that study, in keeping with the methodological injunction not to convert primary findings into </w:t>
      </w:r>
      <w:proofErr w:type="spellStart"/>
      <w:r w:rsidRPr="005E1DF4">
        <w:rPr>
          <w:highlight w:val="white"/>
        </w:rPr>
        <w:t>generalised</w:t>
      </w:r>
      <w:proofErr w:type="spellEnd"/>
      <w:r w:rsidRPr="005E1DF4">
        <w:rPr>
          <w:highlight w:val="white"/>
        </w:rPr>
        <w:t xml:space="preserve"> claims that the underlying design cannot support (Snyder, 2019).</w:t>
      </w:r>
      <w:r w:rsidRPr="005E1DF4">
        <w:t xml:space="preserve"> </w:t>
      </w:r>
    </w:p>
    <w:p w14:paraId="7808BBC6" w14:textId="77777777" w:rsidR="008E4243" w:rsidRPr="005E1DF4" w:rsidRDefault="00000000" w:rsidP="008348CF">
      <w:pPr>
        <w:pStyle w:val="Heading2"/>
        <w:jc w:val="both"/>
      </w:pPr>
      <w:r w:rsidRPr="005E1DF4">
        <w:t>Quality assurance and reflexivity</w:t>
      </w:r>
    </w:p>
    <w:p w14:paraId="021888A1" w14:textId="77777777" w:rsidR="008E4243" w:rsidRPr="005E1DF4" w:rsidRDefault="00000000" w:rsidP="008348CF">
      <w:pPr>
        <w:spacing w:before="240" w:after="240"/>
        <w:jc w:val="both"/>
      </w:pPr>
      <w:r w:rsidRPr="005E1DF4">
        <w:rPr>
          <w:highlight w:val="white"/>
        </w:rPr>
        <w:t xml:space="preserve">Each retained source was evaluated in terms of methodological transparency, clarity of contribution, and verifiability of claims. A quality-screening stage that integrative reviews identify as crucial to the credibility of their synthesis (Whittemore &amp; </w:t>
      </w:r>
      <w:proofErr w:type="spellStart"/>
      <w:r w:rsidRPr="005E1DF4">
        <w:rPr>
          <w:highlight w:val="white"/>
        </w:rPr>
        <w:t>Knafl</w:t>
      </w:r>
      <w:proofErr w:type="spellEnd"/>
      <w:r w:rsidRPr="005E1DF4">
        <w:rPr>
          <w:highlight w:val="white"/>
        </w:rPr>
        <w:t xml:space="preserve">, 2005). Sources whose claims could not be linked to evidence were </w:t>
      </w:r>
      <w:proofErr w:type="gramStart"/>
      <w:r w:rsidRPr="005E1DF4">
        <w:rPr>
          <w:highlight w:val="white"/>
        </w:rPr>
        <w:t>used,</w:t>
      </w:r>
      <w:proofErr w:type="gramEnd"/>
      <w:r w:rsidRPr="005E1DF4">
        <w:rPr>
          <w:highlight w:val="white"/>
        </w:rPr>
        <w:t xml:space="preserve"> </w:t>
      </w:r>
      <w:proofErr w:type="gramStart"/>
      <w:r w:rsidRPr="005E1DF4">
        <w:rPr>
          <w:highlight w:val="white"/>
        </w:rPr>
        <w:t>where</w:t>
      </w:r>
      <w:proofErr w:type="gramEnd"/>
      <w:r w:rsidRPr="005E1DF4">
        <w:rPr>
          <w:highlight w:val="white"/>
        </w:rPr>
        <w:t xml:space="preserve"> used at all, only for conceptual orientation rather than for empirical support. Synthesis was undertaken automatically with the assistance of AI. Because it contained up-to-date, citation-based evidence, it was used as a coverage check and was viewed as a reference document, rather than as a primary source, with each prominent claim cited referencing a specific publication. Such a disciplined nature reflects systematic needs for transparency and traceability that make a solid conceptual assessment distinct from a descriptive summary (Webster &amp; Watson, 2002; Snyder, 2019).</w:t>
      </w:r>
      <w:r w:rsidRPr="005E1DF4">
        <w:t xml:space="preserve"> </w:t>
      </w:r>
    </w:p>
    <w:p w14:paraId="023E38F9" w14:textId="77777777" w:rsidR="008E4243" w:rsidRPr="005E1DF4" w:rsidRDefault="00000000" w:rsidP="008348CF">
      <w:pPr>
        <w:pStyle w:val="Heading2"/>
        <w:jc w:val="both"/>
      </w:pPr>
      <w:r w:rsidRPr="005E1DF4">
        <w:t>Corpus composition and descriptive profile</w:t>
      </w:r>
    </w:p>
    <w:p w14:paraId="281C4994" w14:textId="77777777" w:rsidR="008E4243" w:rsidRPr="005E1DF4" w:rsidRDefault="00000000" w:rsidP="008348CF">
      <w:pPr>
        <w:spacing w:before="120" w:after="120"/>
        <w:jc w:val="both"/>
      </w:pPr>
      <w:r w:rsidRPr="005E1DF4">
        <w:rPr>
          <w:highlight w:val="white"/>
        </w:rPr>
        <w:t xml:space="preserve">The assembled corpus </w:t>
      </w:r>
      <w:proofErr w:type="gramStart"/>
      <w:r w:rsidRPr="005E1DF4">
        <w:rPr>
          <w:highlight w:val="white"/>
        </w:rPr>
        <w:t>is itself</w:t>
      </w:r>
      <w:proofErr w:type="gramEnd"/>
      <w:r w:rsidRPr="005E1DF4">
        <w:rPr>
          <w:highlight w:val="white"/>
        </w:rPr>
        <w:t xml:space="preserve"> methodologically informative, so its composition </w:t>
      </w:r>
      <w:proofErr w:type="gramStart"/>
      <w:r w:rsidRPr="005E1DF4">
        <w:rPr>
          <w:highlight w:val="white"/>
        </w:rPr>
        <w:t>is described</w:t>
      </w:r>
      <w:proofErr w:type="gramEnd"/>
      <w:r w:rsidRPr="005E1DF4">
        <w:rPr>
          <w:highlight w:val="white"/>
        </w:rPr>
        <w:t xml:space="preserve"> not left implicit. The main Scopus export produced sixty records with a temporal distribution strongly weighted toward the present. Close to four-fifths were published between 2024 and 2026, one year (2025) accounts for half the corpus, and only a small tail of foundational entries lies between 2021 and 2023. By document type, the corpus is dominated by conference papers and journal articles, as well as fewer book chapters, conference reviews, and scholarly books, and </w:t>
      </w:r>
      <w:proofErr w:type="gramStart"/>
      <w:r w:rsidRPr="005E1DF4">
        <w:rPr>
          <w:highlight w:val="white"/>
        </w:rPr>
        <w:t>the clear majority of</w:t>
      </w:r>
      <w:proofErr w:type="gramEnd"/>
      <w:r w:rsidRPr="005E1DF4">
        <w:rPr>
          <w:highlight w:val="white"/>
        </w:rPr>
        <w:t xml:space="preserve"> records sit behind subscription access, albeit with a minority available under open-access terms.</w:t>
      </w:r>
    </w:p>
    <w:p w14:paraId="603F882D" w14:textId="77777777" w:rsidR="008E4243" w:rsidRPr="005E1DF4" w:rsidRDefault="00000000" w:rsidP="008348CF">
      <w:pPr>
        <w:spacing w:before="120" w:after="120"/>
        <w:jc w:val="both"/>
      </w:pPr>
      <w:r w:rsidRPr="005E1DF4">
        <w:rPr>
          <w:highlight w:val="white"/>
        </w:rPr>
        <w:t xml:space="preserve">This profile is in line with and partially informs the design decisions made previously. The strong recency of the literature confirms that AI-enabled cloud ERP is an emergent rather than a settled research object, and in this case, integrative and conceptual synthesis would be the preferred reaction, as the evidence base is too new and methodologically uneven to support statistical pooling (Cronin &amp; George, 2023). The predominance of conference proceedings over archival journal articles epitomizes a field where the current results continue to be published for public reference, and it justifies the selection of Scopus, whose comparatively inclusive coverage of proceedings captures precisely such fast-moving material that narrower indexes fail to capture (Mongeon &amp; </w:t>
      </w:r>
      <w:r w:rsidRPr="005E1DF4">
        <w:rPr>
          <w:highlight w:val="white"/>
        </w:rPr>
        <w:lastRenderedPageBreak/>
        <w:t xml:space="preserve">Paul-Hus, 2016; Falagas et al., 2008). But that same profile also sets a boundary on the strength of any claim that the review can sustain. A </w:t>
      </w:r>
      <w:proofErr w:type="gramStart"/>
      <w:r w:rsidRPr="005E1DF4">
        <w:rPr>
          <w:highlight w:val="white"/>
        </w:rPr>
        <w:t>weighting</w:t>
      </w:r>
      <w:proofErr w:type="gramEnd"/>
      <w:r w:rsidRPr="005E1DF4">
        <w:rPr>
          <w:highlight w:val="white"/>
        </w:rPr>
        <w:t xml:space="preserve"> of recent (but </w:t>
      </w:r>
      <w:proofErr w:type="gramStart"/>
      <w:r w:rsidRPr="005E1DF4">
        <w:rPr>
          <w:highlight w:val="white"/>
        </w:rPr>
        <w:t>as yet</w:t>
      </w:r>
      <w:proofErr w:type="gramEnd"/>
      <w:r w:rsidRPr="005E1DF4">
        <w:rPr>
          <w:highlight w:val="white"/>
        </w:rPr>
        <w:t xml:space="preserve"> not yet replicated) proceedings helps interpretive consolidation, not generalisation. This limitation is made explicit in the next subsection and is carried forward </w:t>
      </w:r>
      <w:proofErr w:type="gramStart"/>
      <w:r w:rsidRPr="005E1DF4">
        <w:rPr>
          <w:highlight w:val="white"/>
        </w:rPr>
        <w:t>into</w:t>
      </w:r>
      <w:proofErr w:type="gramEnd"/>
      <w:r w:rsidRPr="005E1DF4">
        <w:rPr>
          <w:highlight w:val="white"/>
        </w:rPr>
        <w:t xml:space="preserve"> the future research agenda.</w:t>
      </w:r>
      <w:r w:rsidRPr="005E1DF4">
        <w:t xml:space="preserve"> </w:t>
      </w:r>
    </w:p>
    <w:p w14:paraId="0058219C" w14:textId="77777777" w:rsidR="008E4243" w:rsidRPr="005E1DF4" w:rsidRDefault="00000000" w:rsidP="008348CF">
      <w:pPr>
        <w:pStyle w:val="Heading2"/>
        <w:jc w:val="both"/>
      </w:pPr>
      <w:r w:rsidRPr="005E1DF4">
        <w:t xml:space="preserve">Methodological </w:t>
      </w:r>
      <w:proofErr w:type="spellStart"/>
      <w:r w:rsidRPr="005E1DF4">
        <w:t>rigour</w:t>
      </w:r>
      <w:proofErr w:type="spellEnd"/>
      <w:r w:rsidRPr="005E1DF4">
        <w:t>, trustworthiness, and reflexivity</w:t>
      </w:r>
    </w:p>
    <w:p w14:paraId="500E096E" w14:textId="77777777" w:rsidR="008E4243" w:rsidRPr="005E1DF4" w:rsidRDefault="00000000" w:rsidP="008348CF">
      <w:pPr>
        <w:spacing w:before="120" w:after="120"/>
        <w:jc w:val="both"/>
      </w:pPr>
      <w:r w:rsidRPr="005E1DF4">
        <w:rPr>
          <w:highlight w:val="white"/>
        </w:rPr>
        <w:t xml:space="preserve">The credibility of a conceptual review is not about the formal mechanisms of a quantitative study. It is about the transparency and traceability of its interpretive moves, and these were regarded as the operative standard of </w:t>
      </w:r>
      <w:proofErr w:type="spellStart"/>
      <w:r w:rsidRPr="005E1DF4">
        <w:rPr>
          <w:highlight w:val="white"/>
        </w:rPr>
        <w:t>rigour</w:t>
      </w:r>
      <w:proofErr w:type="spellEnd"/>
      <w:r w:rsidRPr="005E1DF4">
        <w:rPr>
          <w:highlight w:val="white"/>
        </w:rPr>
        <w:t xml:space="preserve"> throughout (Whittemore &amp; </w:t>
      </w:r>
      <w:proofErr w:type="spellStart"/>
      <w:r w:rsidRPr="005E1DF4">
        <w:rPr>
          <w:highlight w:val="white"/>
        </w:rPr>
        <w:t>Knafl</w:t>
      </w:r>
      <w:proofErr w:type="spellEnd"/>
      <w:r w:rsidRPr="005E1DF4">
        <w:rPr>
          <w:highlight w:val="white"/>
        </w:rPr>
        <w:t xml:space="preserve">, 2005). Credibility was pursued through the convergence of evidence logic described above, by which a claim was admitted only where it recurred across independent sources and source types so that no single study, including the most frequently cited quantitative source, carries an integrated claim on its own. Auditability was pursued by anchoring every substantive proposition to an identifiable publication and by reporting primary quantitative results strictly as findings of their originating studies rather than as </w:t>
      </w:r>
      <w:proofErr w:type="spellStart"/>
      <w:r w:rsidRPr="005E1DF4">
        <w:rPr>
          <w:highlight w:val="white"/>
        </w:rPr>
        <w:t>generalised</w:t>
      </w:r>
      <w:proofErr w:type="spellEnd"/>
      <w:r w:rsidRPr="005E1DF4">
        <w:rPr>
          <w:highlight w:val="white"/>
        </w:rPr>
        <w:t xml:space="preserve"> effects, in keeping with the injunction against converting study specific results into claims that the underlying design cannot bear (Snyder, 2019).</w:t>
      </w:r>
    </w:p>
    <w:p w14:paraId="458C9DCC" w14:textId="77777777" w:rsidR="008E4243" w:rsidRPr="005E1DF4" w:rsidRDefault="00000000" w:rsidP="008348CF">
      <w:pPr>
        <w:spacing w:before="120" w:after="120"/>
        <w:jc w:val="both"/>
      </w:pPr>
      <w:r w:rsidRPr="005E1DF4">
        <w:rPr>
          <w:highlight w:val="white"/>
        </w:rPr>
        <w:t xml:space="preserve">Two further reflexive considerations bound the synthesis. First, the use of an AI-assisted evidence facility, while valuable as a coverage check against an </w:t>
      </w:r>
      <w:proofErr w:type="gramStart"/>
      <w:r w:rsidRPr="005E1DF4">
        <w:rPr>
          <w:highlight w:val="white"/>
        </w:rPr>
        <w:t>emergent</w:t>
      </w:r>
      <w:proofErr w:type="gramEnd"/>
      <w:r w:rsidRPr="005E1DF4">
        <w:rPr>
          <w:highlight w:val="white"/>
        </w:rPr>
        <w:t xml:space="preserve"> literature, introduces a risk that the tool's own coverage and ranking shape the reviewer's attention. This risk was managed by treating the facility as a pointer to primary sources rather than as a source </w:t>
      </w:r>
      <w:proofErr w:type="gramStart"/>
      <w:r w:rsidRPr="005E1DF4">
        <w:rPr>
          <w:highlight w:val="white"/>
        </w:rPr>
        <w:t>in itself and</w:t>
      </w:r>
      <w:proofErr w:type="gramEnd"/>
      <w:r w:rsidRPr="005E1DF4">
        <w:rPr>
          <w:highlight w:val="white"/>
        </w:rPr>
        <w:t xml:space="preserve"> by verifying each surfaced claim against the underlying publication (Webster &amp; Watson, 2002). Second, interpretive synthesis is inescapably perspectival. The analytical columns through which the corpus was read, agility, governance, and maturity, were chosen because they answer the research questions, and a different framing would surface different patterns. This is a property of conceptual review rather than a defect of it, but stating it plainly is part of the transferability that lets a reader judge how far the account travels to settings beyond those the corpus represents (Cronin &amp; George, 2023; Whittemore &amp; </w:t>
      </w:r>
      <w:proofErr w:type="spellStart"/>
      <w:r w:rsidRPr="005E1DF4">
        <w:rPr>
          <w:highlight w:val="white"/>
        </w:rPr>
        <w:t>Knafl</w:t>
      </w:r>
      <w:proofErr w:type="spellEnd"/>
      <w:r w:rsidRPr="005E1DF4">
        <w:rPr>
          <w:highlight w:val="white"/>
        </w:rPr>
        <w:t>, 2005).</w:t>
      </w:r>
      <w:r w:rsidRPr="005E1DF4">
        <w:t xml:space="preserve"> </w:t>
      </w:r>
    </w:p>
    <w:p w14:paraId="3E8E855C" w14:textId="77777777" w:rsidR="008E4243" w:rsidRPr="005E1DF4" w:rsidRDefault="00000000" w:rsidP="008348CF">
      <w:pPr>
        <w:pStyle w:val="Heading1"/>
        <w:jc w:val="both"/>
      </w:pPr>
      <w:r w:rsidRPr="005E1DF4">
        <w:t>COMPARATIVE ANALYSIS</w:t>
      </w:r>
    </w:p>
    <w:p w14:paraId="7C9EE3A0" w14:textId="77777777" w:rsidR="008E4243" w:rsidRPr="005E1DF4" w:rsidRDefault="00000000" w:rsidP="008348CF">
      <w:pPr>
        <w:spacing w:before="240" w:after="240"/>
        <w:jc w:val="both"/>
      </w:pPr>
      <w:r w:rsidRPr="005E1DF4">
        <w:rPr>
          <w:highlight w:val="white"/>
        </w:rPr>
        <w:t xml:space="preserve">RQ1 is answered by comparing leading platform archetypes but, more importantly, exposes the architectural choices that </w:t>
      </w:r>
      <w:proofErr w:type="gramStart"/>
      <w:r w:rsidRPr="005E1DF4">
        <w:rPr>
          <w:highlight w:val="white"/>
        </w:rPr>
        <w:t>underlie</w:t>
      </w:r>
      <w:proofErr w:type="gramEnd"/>
      <w:r w:rsidRPr="005E1DF4">
        <w:rPr>
          <w:highlight w:val="white"/>
        </w:rPr>
        <w:t xml:space="preserve"> the AI-enabled cloud ERP supporting agility. The important observation is that the three archetypes are sitting at different places on a </w:t>
      </w:r>
      <w:proofErr w:type="spellStart"/>
      <w:r w:rsidRPr="005E1DF4">
        <w:rPr>
          <w:highlight w:val="white"/>
        </w:rPr>
        <w:t>trade off</w:t>
      </w:r>
      <w:proofErr w:type="spellEnd"/>
      <w:r w:rsidRPr="005E1DF4">
        <w:rPr>
          <w:highlight w:val="white"/>
        </w:rPr>
        <w:t xml:space="preserve"> frontier between </w:t>
      </w:r>
      <w:proofErr w:type="spellStart"/>
      <w:r w:rsidRPr="005E1DF4">
        <w:rPr>
          <w:highlight w:val="white"/>
        </w:rPr>
        <w:t>standardised</w:t>
      </w:r>
      <w:proofErr w:type="spellEnd"/>
      <w:r w:rsidRPr="005E1DF4">
        <w:rPr>
          <w:highlight w:val="white"/>
        </w:rPr>
        <w:t xml:space="preserve"> analytical depth and nimble, lower-cost flexibility and no archetype is the winner across agility dimensions. The pattern corresponds with a wider literature resistance to a universal ranking and affirms the study's argument that a firm's agility priority drives platform choice (Sharma et al., 2025; Karthikeyan et al., 2024; Masuda et al., 2026).</w:t>
      </w:r>
      <w:r w:rsidRPr="005E1DF4">
        <w:t xml:space="preserve"> </w:t>
      </w:r>
    </w:p>
    <w:p w14:paraId="6D17FD08" w14:textId="77777777" w:rsidR="00DD067D" w:rsidRPr="005E1DF4" w:rsidRDefault="00DD067D" w:rsidP="008348CF">
      <w:pPr>
        <w:spacing w:before="240" w:after="240"/>
        <w:jc w:val="both"/>
      </w:pPr>
    </w:p>
    <w:p w14:paraId="2AA0F8F9" w14:textId="77777777" w:rsidR="00DD067D" w:rsidRPr="005E1DF4" w:rsidRDefault="00DD067D" w:rsidP="008348CF">
      <w:pPr>
        <w:spacing w:before="240" w:after="240"/>
        <w:jc w:val="both"/>
      </w:pPr>
    </w:p>
    <w:p w14:paraId="768F5CB8" w14:textId="77777777" w:rsidR="008E4243" w:rsidRPr="005E1DF4" w:rsidRDefault="00000000" w:rsidP="008348CF">
      <w:pPr>
        <w:pStyle w:val="Heading2"/>
        <w:jc w:val="both"/>
      </w:pPr>
      <w:r w:rsidRPr="005E1DF4">
        <w:t>Financial agility and close-cycle performance</w:t>
      </w:r>
    </w:p>
    <w:p w14:paraId="74E4F8C0" w14:textId="77777777" w:rsidR="008E4243" w:rsidRPr="005E1DF4" w:rsidRDefault="00000000" w:rsidP="008348CF">
      <w:pPr>
        <w:spacing w:before="240" w:after="240"/>
        <w:jc w:val="both"/>
      </w:pPr>
      <w:r w:rsidRPr="005E1DF4">
        <w:rPr>
          <w:highlight w:val="white"/>
        </w:rPr>
        <w:t xml:space="preserve">The literature also </w:t>
      </w:r>
      <w:proofErr w:type="spellStart"/>
      <w:r w:rsidRPr="005E1DF4">
        <w:rPr>
          <w:highlight w:val="white"/>
        </w:rPr>
        <w:t>characterises</w:t>
      </w:r>
      <w:proofErr w:type="spellEnd"/>
      <w:r w:rsidRPr="005E1DF4">
        <w:rPr>
          <w:highlight w:val="white"/>
        </w:rPr>
        <w:t xml:space="preserve"> two archetypes, the workforce integrated and enterprise scale analytical, as offering high close cycle performance but for different architectural reasons. The workforce integrated model (the most prominent case in point, where automation of basic transactional data and seamless integration of manpower and financial data are maximized; Sharma et al., 2025; Subrahmanyam, 2024) enables efficiency. The enterprise scale analytical model is fast, with in-memory processing capacity and intelligent roll up support across complex multi entity architectures (Masuda et al., 2026; De Castro Fialho &amp; </w:t>
      </w:r>
      <w:proofErr w:type="spellStart"/>
      <w:r w:rsidRPr="005E1DF4">
        <w:rPr>
          <w:highlight w:val="white"/>
        </w:rPr>
        <w:t>Banothu</w:t>
      </w:r>
      <w:proofErr w:type="spellEnd"/>
      <w:r w:rsidRPr="005E1DF4">
        <w:rPr>
          <w:highlight w:val="white"/>
        </w:rPr>
        <w:t xml:space="preserve">, 2025). Simultaneously, the multi entity paradigm takes place, where </w:t>
      </w:r>
      <w:proofErr w:type="spellStart"/>
      <w:r w:rsidRPr="005E1DF4">
        <w:rPr>
          <w:highlight w:val="white"/>
        </w:rPr>
        <w:t>multi currency</w:t>
      </w:r>
      <w:proofErr w:type="spellEnd"/>
      <w:r w:rsidRPr="005E1DF4">
        <w:rPr>
          <w:highlight w:val="white"/>
        </w:rPr>
        <w:t xml:space="preserve"> reporting and consolidation is well explored and developed, but often depends on third party add-ons (Karthikeyan et al., 2024). Financial agility is not merely one thing, instead it depends on a bunch of things like how financial information is being presented on the platform as well as the overall cost structure of the business.</w:t>
      </w:r>
    </w:p>
    <w:p w14:paraId="0F27CBF9" w14:textId="77777777" w:rsidR="008E4243" w:rsidRPr="005E1DF4" w:rsidRDefault="00000000" w:rsidP="008348CF">
      <w:pPr>
        <w:pStyle w:val="Heading2"/>
        <w:jc w:val="both"/>
      </w:pPr>
      <w:r w:rsidRPr="005E1DF4">
        <w:t>Predictive and scenario-planning capability</w:t>
      </w:r>
    </w:p>
    <w:p w14:paraId="04C8CA6E" w14:textId="77777777" w:rsidR="008E4243" w:rsidRPr="005E1DF4" w:rsidRDefault="00000000" w:rsidP="008348CF">
      <w:pPr>
        <w:pStyle w:val="Heading2"/>
        <w:jc w:val="both"/>
        <w:rPr>
          <w:b w:val="0"/>
          <w:bCs w:val="0"/>
        </w:rPr>
      </w:pPr>
      <w:r w:rsidRPr="005E1DF4">
        <w:rPr>
          <w:b w:val="0"/>
          <w:bCs w:val="0"/>
          <w:highlight w:val="white"/>
        </w:rPr>
        <w:lastRenderedPageBreak/>
        <w:t xml:space="preserve">The comparison data, when </w:t>
      </w:r>
      <w:proofErr w:type="spellStart"/>
      <w:r w:rsidRPr="005E1DF4">
        <w:rPr>
          <w:b w:val="0"/>
          <w:bCs w:val="0"/>
          <w:highlight w:val="white"/>
        </w:rPr>
        <w:t>analysed</w:t>
      </w:r>
      <w:proofErr w:type="spellEnd"/>
      <w:r w:rsidRPr="005E1DF4">
        <w:rPr>
          <w:b w:val="0"/>
          <w:bCs w:val="0"/>
          <w:highlight w:val="white"/>
        </w:rPr>
        <w:t xml:space="preserve"> together, outlines a boundary not a hierarchy, and hence a definition of what constitutes a business strategy. The enterprise scale analytical archetype has the most analytical depth and single entity control, but needs the highest organizational support and effectiveness, and has the highest socio technical risk. The </w:t>
      </w:r>
      <w:proofErr w:type="spellStart"/>
      <w:r w:rsidRPr="005E1DF4">
        <w:rPr>
          <w:b w:val="0"/>
          <w:bCs w:val="0"/>
          <w:highlight w:val="white"/>
        </w:rPr>
        <w:t>mid market</w:t>
      </w:r>
      <w:proofErr w:type="spellEnd"/>
      <w:r w:rsidRPr="005E1DF4">
        <w:rPr>
          <w:b w:val="0"/>
          <w:bCs w:val="0"/>
          <w:highlight w:val="white"/>
        </w:rPr>
        <w:t xml:space="preserve"> multi entity archetype is the most flexible and cost effective and resonates best with an enterprise in a growing market, but sacrifices built up analytical complexity. The workforce-integrated archetype leverages the employee interface to the finance </w:t>
      </w:r>
      <w:proofErr w:type="gramStart"/>
      <w:r w:rsidRPr="005E1DF4">
        <w:rPr>
          <w:b w:val="0"/>
          <w:bCs w:val="0"/>
          <w:highlight w:val="white"/>
        </w:rPr>
        <w:t>functions, but</w:t>
      </w:r>
      <w:proofErr w:type="gramEnd"/>
      <w:r w:rsidRPr="005E1DF4">
        <w:rPr>
          <w:b w:val="0"/>
          <w:bCs w:val="0"/>
          <w:highlight w:val="white"/>
        </w:rPr>
        <w:t xml:space="preserve"> is less applicable to a physical supply chain. This is an emergent </w:t>
      </w:r>
      <w:proofErr w:type="gramStart"/>
      <w:r w:rsidRPr="005E1DF4">
        <w:rPr>
          <w:b w:val="0"/>
          <w:bCs w:val="0"/>
          <w:highlight w:val="white"/>
        </w:rPr>
        <w:t>interpretation</w:t>
      </w:r>
      <w:proofErr w:type="gramEnd"/>
      <w:r w:rsidRPr="005E1DF4">
        <w:rPr>
          <w:b w:val="0"/>
          <w:bCs w:val="0"/>
          <w:highlight w:val="white"/>
        </w:rPr>
        <w:t xml:space="preserve"> so the appropriate archetype is one whose location on this frontier is consistent with the maturity level and agility priorities of the organization and takes their cue from natural systems dynamics and the TOE logic but pushes back against the "one size fits all" kind of information proposed by the vendors' literature</w:t>
      </w:r>
      <w:r w:rsidRPr="005E1DF4">
        <w:rPr>
          <w:rFonts w:eastAsia="Arial"/>
          <w:b w:val="0"/>
          <w:bCs w:val="0"/>
          <w:sz w:val="23"/>
          <w:szCs w:val="23"/>
          <w:highlight w:val="white"/>
        </w:rPr>
        <w:t>.</w:t>
      </w:r>
      <w:r w:rsidRPr="005E1DF4">
        <w:rPr>
          <w:b w:val="0"/>
          <w:bCs w:val="0"/>
        </w:rPr>
        <w:t xml:space="preserve"> </w:t>
      </w:r>
    </w:p>
    <w:p w14:paraId="260A8F91" w14:textId="77777777" w:rsidR="008E4243" w:rsidRPr="005E1DF4" w:rsidRDefault="00000000" w:rsidP="008348CF">
      <w:pPr>
        <w:pStyle w:val="Heading2"/>
        <w:jc w:val="both"/>
      </w:pPr>
      <w:r w:rsidRPr="005E1DF4">
        <w:t>Interpreting the trade-off frontier</w:t>
      </w:r>
    </w:p>
    <w:p w14:paraId="7E326A97" w14:textId="77777777" w:rsidR="008E4243" w:rsidRPr="005E1DF4" w:rsidRDefault="00000000" w:rsidP="008348CF">
      <w:pPr>
        <w:pStyle w:val="Heading2"/>
        <w:jc w:val="both"/>
        <w:rPr>
          <w:b w:val="0"/>
          <w:bCs w:val="0"/>
        </w:rPr>
      </w:pPr>
      <w:r w:rsidRPr="005E1DF4">
        <w:rPr>
          <w:b w:val="0"/>
          <w:bCs w:val="0"/>
          <w:highlight w:val="white"/>
        </w:rPr>
        <w:t>This is not to say that the frontier interpretation does not align with the capability perspective. It just doesn’t contradict it. Analytical depths and operational breadths are well described by SAP S/4HANA Cloud and Oracle Fusion Cloud ERP, respectively, though they require a more complex implementation. The ability can only be gained through significant integration initiatives (</w:t>
      </w:r>
      <w:proofErr w:type="spellStart"/>
      <w:r w:rsidRPr="005E1DF4">
        <w:rPr>
          <w:b w:val="0"/>
          <w:bCs w:val="0"/>
          <w:highlight w:val="white"/>
        </w:rPr>
        <w:t>Rîndaşu</w:t>
      </w:r>
      <w:proofErr w:type="spellEnd"/>
      <w:r w:rsidRPr="005E1DF4">
        <w:rPr>
          <w:b w:val="0"/>
          <w:bCs w:val="0"/>
          <w:highlight w:val="white"/>
        </w:rPr>
        <w:t xml:space="preserve"> et al., 2024); even the broader adoption of Oracle Fusion is also given some indication. While Workday has forged its intelligence on an infrastructure that bridges work and finance, NetSuite extends its intelligence to flexible growth in its </w:t>
      </w:r>
      <w:proofErr w:type="spellStart"/>
      <w:r w:rsidRPr="005E1DF4">
        <w:rPr>
          <w:b w:val="0"/>
          <w:bCs w:val="0"/>
          <w:highlight w:val="white"/>
        </w:rPr>
        <w:t>mid market</w:t>
      </w:r>
      <w:proofErr w:type="spellEnd"/>
      <w:r w:rsidRPr="005E1DF4">
        <w:rPr>
          <w:b w:val="0"/>
          <w:bCs w:val="0"/>
          <w:highlight w:val="white"/>
        </w:rPr>
        <w:t xml:space="preserve">, often with add </w:t>
      </w:r>
      <w:proofErr w:type="spellStart"/>
      <w:r w:rsidRPr="005E1DF4">
        <w:rPr>
          <w:b w:val="0"/>
          <w:bCs w:val="0"/>
          <w:highlight w:val="white"/>
        </w:rPr>
        <w:t>ons</w:t>
      </w:r>
      <w:proofErr w:type="spellEnd"/>
      <w:r w:rsidRPr="005E1DF4">
        <w:rPr>
          <w:b w:val="0"/>
          <w:bCs w:val="0"/>
          <w:highlight w:val="white"/>
        </w:rPr>
        <w:t xml:space="preserve"> to support sophisticated analytics. One caveat relating to this comparison is that the level of detail in the scholarly evidence varies among the four systems. The SAP and Oracle systems exhibit the most detail and NetSuite reflects the least detail. </w:t>
      </w:r>
      <w:proofErr w:type="gramStart"/>
      <w:r w:rsidRPr="005E1DF4">
        <w:rPr>
          <w:b w:val="0"/>
          <w:bCs w:val="0"/>
          <w:highlight w:val="white"/>
        </w:rPr>
        <w:t>So</w:t>
      </w:r>
      <w:proofErr w:type="gramEnd"/>
      <w:r w:rsidRPr="005E1DF4">
        <w:rPr>
          <w:b w:val="0"/>
          <w:bCs w:val="0"/>
          <w:highlight w:val="white"/>
        </w:rPr>
        <w:t xml:space="preserve"> the </w:t>
      </w:r>
      <w:proofErr w:type="spellStart"/>
      <w:r w:rsidRPr="005E1DF4">
        <w:rPr>
          <w:b w:val="0"/>
          <w:bCs w:val="0"/>
          <w:highlight w:val="white"/>
        </w:rPr>
        <w:t>characterisations</w:t>
      </w:r>
      <w:proofErr w:type="spellEnd"/>
      <w:r w:rsidRPr="005E1DF4">
        <w:rPr>
          <w:b w:val="0"/>
          <w:bCs w:val="0"/>
          <w:highlight w:val="white"/>
        </w:rPr>
        <w:t xml:space="preserve"> of NetSuite are less clear and are rather more tentative. As a result, the comparison is one of contingent conclusion, namely, the “right” platform is the one having focus on capabilities that works for the firm’s primary agility orientation, and as such does not support context free ranking, which is an interpretation that aligns the findings on the platform with the previously established TOE reasoning.</w:t>
      </w:r>
      <w:r w:rsidRPr="005E1DF4">
        <w:rPr>
          <w:b w:val="0"/>
          <w:bCs w:val="0"/>
        </w:rPr>
        <w:t xml:space="preserve"> </w:t>
      </w:r>
    </w:p>
    <w:p w14:paraId="6F30168B" w14:textId="77777777" w:rsidR="008E4243" w:rsidRPr="005E1DF4" w:rsidRDefault="00000000" w:rsidP="008348CF">
      <w:pPr>
        <w:pStyle w:val="Heading2"/>
        <w:jc w:val="both"/>
      </w:pPr>
      <w:r w:rsidRPr="005E1DF4">
        <w:t>A capability-level comparison of representative platforms</w:t>
      </w:r>
    </w:p>
    <w:p w14:paraId="22DDBDB8" w14:textId="77777777" w:rsidR="008E4243" w:rsidRPr="005E1DF4" w:rsidRDefault="00000000" w:rsidP="008348CF">
      <w:pPr>
        <w:spacing w:before="120" w:after="120"/>
        <w:jc w:val="both"/>
        <w:rPr>
          <w:highlight w:val="white"/>
        </w:rPr>
      </w:pPr>
      <w:r w:rsidRPr="005E1DF4">
        <w:rPr>
          <w:highlight w:val="white"/>
        </w:rPr>
        <w:t xml:space="preserve">The comparison above, one of archetypes, is intentionally abstract. </w:t>
      </w:r>
      <w:proofErr w:type="gramStart"/>
      <w:r w:rsidRPr="005E1DF4">
        <w:rPr>
          <w:highlight w:val="white"/>
        </w:rPr>
        <w:t>Its</w:t>
      </w:r>
      <w:proofErr w:type="gramEnd"/>
      <w:r w:rsidRPr="005E1DF4">
        <w:rPr>
          <w:highlight w:val="white"/>
        </w:rPr>
        <w:t xml:space="preserve"> only useful for this purpose though is to clarify the underlying platforms because the four most discussed in the corpus SAP S/4HANA Cloud, Oracle Fusion Cloud ERP, Workday and NetSuite are the concrete referents from which the archetypes are abstracted. Table 4 </w:t>
      </w:r>
      <w:proofErr w:type="spellStart"/>
      <w:r w:rsidRPr="005E1DF4">
        <w:rPr>
          <w:highlight w:val="white"/>
        </w:rPr>
        <w:t>organises</w:t>
      </w:r>
      <w:proofErr w:type="spellEnd"/>
      <w:r w:rsidRPr="005E1DF4">
        <w:rPr>
          <w:highlight w:val="white"/>
        </w:rPr>
        <w:t xml:space="preserve"> the literature’s supporting </w:t>
      </w:r>
      <w:proofErr w:type="spellStart"/>
      <w:r w:rsidRPr="005E1DF4">
        <w:rPr>
          <w:highlight w:val="white"/>
        </w:rPr>
        <w:t>characterisations</w:t>
      </w:r>
      <w:proofErr w:type="spellEnd"/>
      <w:r w:rsidRPr="005E1DF4">
        <w:rPr>
          <w:highlight w:val="white"/>
        </w:rPr>
        <w:t xml:space="preserve"> along the capability dimensions that are most relevant to this paper. Embedded AI, real time analytics, intelligent automation, governance and security support, and agility emphasis which is favored in the design of each platform. The entries are qualitative </w:t>
      </w:r>
      <w:proofErr w:type="spellStart"/>
      <w:r w:rsidRPr="005E1DF4">
        <w:rPr>
          <w:highlight w:val="white"/>
        </w:rPr>
        <w:t>characterisations</w:t>
      </w:r>
      <w:proofErr w:type="spellEnd"/>
      <w:r w:rsidRPr="005E1DF4">
        <w:rPr>
          <w:highlight w:val="white"/>
        </w:rPr>
        <w:t xml:space="preserve">, extracted from the analyzed studies without reference to </w:t>
      </w:r>
      <w:proofErr w:type="spellStart"/>
      <w:r w:rsidRPr="005E1DF4">
        <w:rPr>
          <w:highlight w:val="white"/>
        </w:rPr>
        <w:t>standardised</w:t>
      </w:r>
      <w:proofErr w:type="spellEnd"/>
      <w:r w:rsidRPr="005E1DF4">
        <w:rPr>
          <w:highlight w:val="white"/>
        </w:rPr>
        <w:t xml:space="preserve"> benchmark scores, and are presented as architectural emphasis rather than as feature inventory. The comparison is there for the sake of presenting design </w:t>
      </w:r>
      <w:proofErr w:type="spellStart"/>
      <w:r w:rsidRPr="005E1DF4">
        <w:rPr>
          <w:highlight w:val="white"/>
        </w:rPr>
        <w:t>trade offs</w:t>
      </w:r>
      <w:proofErr w:type="spellEnd"/>
      <w:r w:rsidRPr="005E1DF4">
        <w:rPr>
          <w:highlight w:val="white"/>
        </w:rPr>
        <w:t xml:space="preserve"> and not to rate vendors or recommend any platform.</w:t>
      </w:r>
    </w:p>
    <w:p w14:paraId="2FC412FD" w14:textId="77777777" w:rsidR="008E4243" w:rsidRPr="005E1DF4" w:rsidRDefault="008E4243" w:rsidP="008348CF">
      <w:pPr>
        <w:spacing w:before="120" w:after="120"/>
        <w:jc w:val="both"/>
        <w:rPr>
          <w:highlight w:val="white"/>
        </w:rPr>
      </w:pPr>
    </w:p>
    <w:p w14:paraId="2259E353" w14:textId="77777777" w:rsidR="00EA516C" w:rsidRPr="005E1DF4" w:rsidRDefault="00EA516C" w:rsidP="008348CF">
      <w:pPr>
        <w:spacing w:before="120" w:after="120"/>
        <w:jc w:val="both"/>
        <w:rPr>
          <w:highlight w:val="white"/>
        </w:rPr>
      </w:pPr>
    </w:p>
    <w:p w14:paraId="101930E8" w14:textId="77777777" w:rsidR="008E4243" w:rsidRPr="005E1DF4" w:rsidRDefault="00000000" w:rsidP="008348CF">
      <w:pPr>
        <w:spacing w:before="160" w:after="60"/>
        <w:jc w:val="both"/>
      </w:pPr>
      <w:r w:rsidRPr="005E1DF4">
        <w:rPr>
          <w:b/>
          <w:bCs/>
        </w:rPr>
        <w:t>Table 4. Capability-level comparison of representative cloud ERP platforms (qualitative, literature-derived).</w:t>
      </w:r>
    </w:p>
    <w:tbl>
      <w:tblPr>
        <w:tblStyle w:val="a2"/>
        <w:tblW w:w="1070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0"/>
        <w:gridCol w:w="2365"/>
        <w:gridCol w:w="1980"/>
        <w:gridCol w:w="1800"/>
        <w:gridCol w:w="2700"/>
      </w:tblGrid>
      <w:tr w:rsidR="008E4243" w:rsidRPr="005E1DF4" w14:paraId="1802A488" w14:textId="77777777" w:rsidTr="00AD59FE">
        <w:trPr>
          <w:tblHeader/>
        </w:trPr>
        <w:tc>
          <w:tcPr>
            <w:tcW w:w="1860" w:type="dxa"/>
            <w:shd w:val="clear" w:color="auto" w:fill="FFFFFF" w:themeFill="background1"/>
            <w:tcMar>
              <w:top w:w="60" w:type="dxa"/>
              <w:left w:w="100" w:type="dxa"/>
              <w:bottom w:w="60" w:type="dxa"/>
              <w:right w:w="100" w:type="dxa"/>
            </w:tcMar>
          </w:tcPr>
          <w:p w14:paraId="3175E237" w14:textId="77777777" w:rsidR="008E4243" w:rsidRPr="00AD59FE" w:rsidRDefault="00000000" w:rsidP="00AD59FE">
            <w:pPr>
              <w:spacing w:before="20" w:after="20"/>
              <w:jc w:val="center"/>
              <w:rPr>
                <w:sz w:val="20"/>
                <w:szCs w:val="20"/>
              </w:rPr>
            </w:pPr>
            <w:r w:rsidRPr="00AD59FE">
              <w:rPr>
                <w:b/>
                <w:bCs/>
                <w:sz w:val="20"/>
                <w:szCs w:val="20"/>
              </w:rPr>
              <w:t>Capability dimension</w:t>
            </w:r>
          </w:p>
        </w:tc>
        <w:tc>
          <w:tcPr>
            <w:tcW w:w="2365" w:type="dxa"/>
            <w:shd w:val="clear" w:color="auto" w:fill="FFFFFF" w:themeFill="background1"/>
            <w:tcMar>
              <w:top w:w="60" w:type="dxa"/>
              <w:left w:w="100" w:type="dxa"/>
              <w:bottom w:w="60" w:type="dxa"/>
              <w:right w:w="100" w:type="dxa"/>
            </w:tcMar>
          </w:tcPr>
          <w:p w14:paraId="127418B9" w14:textId="77777777" w:rsidR="008E4243" w:rsidRPr="00AD59FE" w:rsidRDefault="00000000" w:rsidP="00AD59FE">
            <w:pPr>
              <w:spacing w:before="20" w:after="20"/>
              <w:jc w:val="center"/>
              <w:rPr>
                <w:sz w:val="20"/>
                <w:szCs w:val="20"/>
              </w:rPr>
            </w:pPr>
            <w:r w:rsidRPr="00AD59FE">
              <w:rPr>
                <w:b/>
                <w:bCs/>
                <w:sz w:val="20"/>
                <w:szCs w:val="20"/>
              </w:rPr>
              <w:t>SAP S/4HANA Cloud</w:t>
            </w:r>
          </w:p>
        </w:tc>
        <w:tc>
          <w:tcPr>
            <w:tcW w:w="1980" w:type="dxa"/>
            <w:shd w:val="clear" w:color="auto" w:fill="FFFFFF" w:themeFill="background1"/>
            <w:tcMar>
              <w:top w:w="60" w:type="dxa"/>
              <w:left w:w="100" w:type="dxa"/>
              <w:bottom w:w="60" w:type="dxa"/>
              <w:right w:w="100" w:type="dxa"/>
            </w:tcMar>
          </w:tcPr>
          <w:p w14:paraId="0AE5224A" w14:textId="77777777" w:rsidR="008E4243" w:rsidRPr="00AD59FE" w:rsidRDefault="00000000" w:rsidP="00AD59FE">
            <w:pPr>
              <w:spacing w:before="20" w:after="20"/>
              <w:jc w:val="center"/>
              <w:rPr>
                <w:sz w:val="20"/>
                <w:szCs w:val="20"/>
              </w:rPr>
            </w:pPr>
            <w:r w:rsidRPr="00AD59FE">
              <w:rPr>
                <w:b/>
                <w:bCs/>
                <w:sz w:val="20"/>
                <w:szCs w:val="20"/>
              </w:rPr>
              <w:t>Oracle Fusion Cloud ERP</w:t>
            </w:r>
          </w:p>
        </w:tc>
        <w:tc>
          <w:tcPr>
            <w:tcW w:w="1800" w:type="dxa"/>
            <w:shd w:val="clear" w:color="auto" w:fill="FFFFFF" w:themeFill="background1"/>
            <w:tcMar>
              <w:top w:w="60" w:type="dxa"/>
              <w:left w:w="100" w:type="dxa"/>
              <w:bottom w:w="60" w:type="dxa"/>
              <w:right w:w="100" w:type="dxa"/>
            </w:tcMar>
          </w:tcPr>
          <w:p w14:paraId="13612363" w14:textId="77777777" w:rsidR="008E4243" w:rsidRPr="00AD59FE" w:rsidRDefault="00000000" w:rsidP="00AD59FE">
            <w:pPr>
              <w:spacing w:before="20" w:after="20"/>
              <w:jc w:val="center"/>
              <w:rPr>
                <w:sz w:val="20"/>
                <w:szCs w:val="20"/>
              </w:rPr>
            </w:pPr>
            <w:r w:rsidRPr="00AD59FE">
              <w:rPr>
                <w:b/>
                <w:bCs/>
                <w:sz w:val="20"/>
                <w:szCs w:val="20"/>
              </w:rPr>
              <w:t>Workday</w:t>
            </w:r>
          </w:p>
        </w:tc>
        <w:tc>
          <w:tcPr>
            <w:tcW w:w="2700" w:type="dxa"/>
            <w:shd w:val="clear" w:color="auto" w:fill="FFFFFF" w:themeFill="background1"/>
            <w:tcMar>
              <w:top w:w="60" w:type="dxa"/>
              <w:left w:w="100" w:type="dxa"/>
              <w:bottom w:w="60" w:type="dxa"/>
              <w:right w:w="100" w:type="dxa"/>
            </w:tcMar>
          </w:tcPr>
          <w:p w14:paraId="109750C7" w14:textId="77777777" w:rsidR="008E4243" w:rsidRPr="00AD59FE" w:rsidRDefault="00000000" w:rsidP="00AD59FE">
            <w:pPr>
              <w:spacing w:before="20" w:after="20"/>
              <w:jc w:val="center"/>
              <w:rPr>
                <w:sz w:val="20"/>
                <w:szCs w:val="20"/>
              </w:rPr>
            </w:pPr>
            <w:r w:rsidRPr="00AD59FE">
              <w:rPr>
                <w:b/>
                <w:bCs/>
                <w:sz w:val="20"/>
                <w:szCs w:val="20"/>
              </w:rPr>
              <w:t>NetSuite</w:t>
            </w:r>
          </w:p>
        </w:tc>
      </w:tr>
      <w:tr w:rsidR="008E4243" w:rsidRPr="005E1DF4" w14:paraId="201496FD" w14:textId="77777777" w:rsidTr="00AD59FE">
        <w:tc>
          <w:tcPr>
            <w:tcW w:w="1860" w:type="dxa"/>
            <w:shd w:val="clear" w:color="auto" w:fill="FFFFFF" w:themeFill="background1"/>
            <w:tcMar>
              <w:top w:w="60" w:type="dxa"/>
              <w:left w:w="100" w:type="dxa"/>
              <w:bottom w:w="60" w:type="dxa"/>
              <w:right w:w="100" w:type="dxa"/>
            </w:tcMar>
          </w:tcPr>
          <w:p w14:paraId="386EBEC3" w14:textId="77777777" w:rsidR="008E4243" w:rsidRPr="00AD59FE" w:rsidRDefault="00000000" w:rsidP="00AD59FE">
            <w:pPr>
              <w:spacing w:before="20" w:after="20"/>
              <w:jc w:val="center"/>
              <w:rPr>
                <w:sz w:val="20"/>
                <w:szCs w:val="20"/>
              </w:rPr>
            </w:pPr>
            <w:r w:rsidRPr="00AD59FE">
              <w:rPr>
                <w:sz w:val="20"/>
                <w:szCs w:val="20"/>
              </w:rPr>
              <w:t>Embedded AI emphasis</w:t>
            </w:r>
          </w:p>
        </w:tc>
        <w:tc>
          <w:tcPr>
            <w:tcW w:w="2365" w:type="dxa"/>
            <w:shd w:val="clear" w:color="auto" w:fill="FFFFFF" w:themeFill="background1"/>
            <w:tcMar>
              <w:top w:w="60" w:type="dxa"/>
              <w:left w:w="100" w:type="dxa"/>
              <w:bottom w:w="60" w:type="dxa"/>
              <w:right w:w="100" w:type="dxa"/>
            </w:tcMar>
          </w:tcPr>
          <w:p w14:paraId="0B991204" w14:textId="77777777" w:rsidR="008E4243" w:rsidRPr="00AD59FE" w:rsidRDefault="00000000" w:rsidP="00AD59FE">
            <w:pPr>
              <w:spacing w:before="20" w:after="20"/>
              <w:jc w:val="center"/>
              <w:rPr>
                <w:sz w:val="20"/>
                <w:szCs w:val="20"/>
              </w:rPr>
            </w:pPr>
            <w:r w:rsidRPr="00AD59FE">
              <w:rPr>
                <w:sz w:val="20"/>
                <w:szCs w:val="20"/>
              </w:rPr>
              <w:t xml:space="preserve">Deep in-platform ML for prediction and prescription (Bhatia, 2025; </w:t>
            </w:r>
            <w:proofErr w:type="spellStart"/>
            <w:r w:rsidRPr="00AD59FE">
              <w:rPr>
                <w:sz w:val="20"/>
                <w:szCs w:val="20"/>
              </w:rPr>
              <w:t>Julakanti</w:t>
            </w:r>
            <w:proofErr w:type="spellEnd"/>
            <w:r w:rsidRPr="00AD59FE">
              <w:rPr>
                <w:sz w:val="20"/>
                <w:szCs w:val="20"/>
              </w:rPr>
              <w:t xml:space="preserve"> et al., 2025)</w:t>
            </w:r>
          </w:p>
        </w:tc>
        <w:tc>
          <w:tcPr>
            <w:tcW w:w="1980" w:type="dxa"/>
            <w:shd w:val="clear" w:color="auto" w:fill="FFFFFF" w:themeFill="background1"/>
            <w:tcMar>
              <w:top w:w="60" w:type="dxa"/>
              <w:left w:w="100" w:type="dxa"/>
              <w:bottom w:w="60" w:type="dxa"/>
              <w:right w:w="100" w:type="dxa"/>
            </w:tcMar>
          </w:tcPr>
          <w:p w14:paraId="0A54C865" w14:textId="77777777" w:rsidR="008E4243" w:rsidRPr="00AD59FE" w:rsidRDefault="00000000" w:rsidP="00AD59FE">
            <w:pPr>
              <w:spacing w:before="20" w:after="20"/>
              <w:jc w:val="center"/>
              <w:rPr>
                <w:sz w:val="20"/>
                <w:szCs w:val="20"/>
              </w:rPr>
            </w:pPr>
            <w:r w:rsidRPr="00AD59FE">
              <w:rPr>
                <w:sz w:val="20"/>
                <w:szCs w:val="20"/>
              </w:rPr>
              <w:t>AI layered onto Fusion applications across finance and operations (Alkhatib, 2026)</w:t>
            </w:r>
          </w:p>
        </w:tc>
        <w:tc>
          <w:tcPr>
            <w:tcW w:w="1800" w:type="dxa"/>
            <w:shd w:val="clear" w:color="auto" w:fill="FFFFFF" w:themeFill="background1"/>
            <w:tcMar>
              <w:top w:w="60" w:type="dxa"/>
              <w:left w:w="100" w:type="dxa"/>
              <w:bottom w:w="60" w:type="dxa"/>
              <w:right w:w="100" w:type="dxa"/>
            </w:tcMar>
          </w:tcPr>
          <w:p w14:paraId="71989338" w14:textId="77777777" w:rsidR="008E4243" w:rsidRPr="00AD59FE" w:rsidRDefault="00000000" w:rsidP="00AD59FE">
            <w:pPr>
              <w:spacing w:before="20" w:after="20"/>
              <w:jc w:val="center"/>
              <w:rPr>
                <w:sz w:val="20"/>
                <w:szCs w:val="20"/>
              </w:rPr>
            </w:pPr>
            <w:r w:rsidRPr="00AD59FE">
              <w:rPr>
                <w:sz w:val="20"/>
                <w:szCs w:val="20"/>
              </w:rPr>
              <w:t>AI concentrated at the workforce–finance interface (Sharma et al., 2025)</w:t>
            </w:r>
          </w:p>
        </w:tc>
        <w:tc>
          <w:tcPr>
            <w:tcW w:w="2700" w:type="dxa"/>
            <w:shd w:val="clear" w:color="auto" w:fill="FFFFFF" w:themeFill="background1"/>
            <w:tcMar>
              <w:top w:w="60" w:type="dxa"/>
              <w:left w:w="100" w:type="dxa"/>
              <w:bottom w:w="60" w:type="dxa"/>
              <w:right w:w="100" w:type="dxa"/>
            </w:tcMar>
          </w:tcPr>
          <w:p w14:paraId="0554C4F5" w14:textId="77777777" w:rsidR="008E4243" w:rsidRPr="00AD59FE" w:rsidRDefault="00000000" w:rsidP="00AD59FE">
            <w:pPr>
              <w:spacing w:before="20" w:after="20"/>
              <w:jc w:val="center"/>
              <w:rPr>
                <w:sz w:val="20"/>
                <w:szCs w:val="20"/>
              </w:rPr>
            </w:pPr>
            <w:r w:rsidRPr="00AD59FE">
              <w:rPr>
                <w:sz w:val="20"/>
                <w:szCs w:val="20"/>
              </w:rPr>
              <w:t xml:space="preserve">AI capability </w:t>
            </w:r>
            <w:proofErr w:type="gramStart"/>
            <w:r w:rsidRPr="00AD59FE">
              <w:rPr>
                <w:sz w:val="20"/>
                <w:szCs w:val="20"/>
              </w:rPr>
              <w:t>often</w:t>
            </w:r>
            <w:proofErr w:type="gramEnd"/>
            <w:r w:rsidRPr="00AD59FE">
              <w:rPr>
                <w:sz w:val="20"/>
                <w:szCs w:val="20"/>
              </w:rPr>
              <w:t xml:space="preserve"> </w:t>
            </w:r>
            <w:proofErr w:type="spellStart"/>
            <w:r w:rsidRPr="00AD59FE">
              <w:rPr>
                <w:sz w:val="20"/>
                <w:szCs w:val="20"/>
              </w:rPr>
              <w:t>realised</w:t>
            </w:r>
            <w:proofErr w:type="spellEnd"/>
            <w:r w:rsidRPr="00AD59FE">
              <w:rPr>
                <w:sz w:val="20"/>
                <w:szCs w:val="20"/>
              </w:rPr>
              <w:t xml:space="preserve"> through add-ons (Karthikeyan et al., 2024)</w:t>
            </w:r>
          </w:p>
        </w:tc>
      </w:tr>
      <w:tr w:rsidR="008E4243" w:rsidRPr="005E1DF4" w14:paraId="546662D0" w14:textId="77777777" w:rsidTr="00AD59FE">
        <w:tc>
          <w:tcPr>
            <w:tcW w:w="1860" w:type="dxa"/>
            <w:shd w:val="clear" w:color="auto" w:fill="FFFFFF" w:themeFill="background1"/>
            <w:tcMar>
              <w:top w:w="60" w:type="dxa"/>
              <w:left w:w="100" w:type="dxa"/>
              <w:bottom w:w="60" w:type="dxa"/>
              <w:right w:w="100" w:type="dxa"/>
            </w:tcMar>
          </w:tcPr>
          <w:p w14:paraId="50F1334A" w14:textId="77777777" w:rsidR="008E4243" w:rsidRPr="00AD59FE" w:rsidRDefault="00000000" w:rsidP="00AD59FE">
            <w:pPr>
              <w:spacing w:before="20" w:after="20"/>
              <w:jc w:val="center"/>
              <w:rPr>
                <w:sz w:val="20"/>
                <w:szCs w:val="20"/>
              </w:rPr>
            </w:pPr>
            <w:r w:rsidRPr="00AD59FE">
              <w:rPr>
                <w:sz w:val="20"/>
                <w:szCs w:val="20"/>
              </w:rPr>
              <w:t>Real-time analytics</w:t>
            </w:r>
          </w:p>
        </w:tc>
        <w:tc>
          <w:tcPr>
            <w:tcW w:w="2365" w:type="dxa"/>
            <w:shd w:val="clear" w:color="auto" w:fill="FFFFFF" w:themeFill="background1"/>
            <w:tcMar>
              <w:top w:w="60" w:type="dxa"/>
              <w:left w:w="100" w:type="dxa"/>
              <w:bottom w:w="60" w:type="dxa"/>
              <w:right w:w="100" w:type="dxa"/>
            </w:tcMar>
          </w:tcPr>
          <w:p w14:paraId="50496D62" w14:textId="77777777" w:rsidR="008E4243" w:rsidRPr="00AD59FE" w:rsidRDefault="00000000" w:rsidP="00AD59FE">
            <w:pPr>
              <w:spacing w:before="20" w:after="20"/>
              <w:jc w:val="center"/>
              <w:rPr>
                <w:sz w:val="20"/>
                <w:szCs w:val="20"/>
              </w:rPr>
            </w:pPr>
            <w:r w:rsidRPr="00AD59FE">
              <w:rPr>
                <w:sz w:val="20"/>
                <w:szCs w:val="20"/>
              </w:rPr>
              <w:t xml:space="preserve">In-memory engine for live, high-volume analysis (De Castro Fialho &amp; </w:t>
            </w:r>
            <w:proofErr w:type="spellStart"/>
            <w:r w:rsidRPr="00AD59FE">
              <w:rPr>
                <w:sz w:val="20"/>
                <w:szCs w:val="20"/>
              </w:rPr>
              <w:t>Banothu</w:t>
            </w:r>
            <w:proofErr w:type="spellEnd"/>
            <w:r w:rsidRPr="00AD59FE">
              <w:rPr>
                <w:sz w:val="20"/>
                <w:szCs w:val="20"/>
              </w:rPr>
              <w:t>, 2025; Jain et al., 2022)</w:t>
            </w:r>
          </w:p>
        </w:tc>
        <w:tc>
          <w:tcPr>
            <w:tcW w:w="1980" w:type="dxa"/>
            <w:shd w:val="clear" w:color="auto" w:fill="FFFFFF" w:themeFill="background1"/>
            <w:tcMar>
              <w:top w:w="60" w:type="dxa"/>
              <w:left w:w="100" w:type="dxa"/>
              <w:bottom w:w="60" w:type="dxa"/>
              <w:right w:w="100" w:type="dxa"/>
            </w:tcMar>
          </w:tcPr>
          <w:p w14:paraId="2BF617BA" w14:textId="77777777" w:rsidR="008E4243" w:rsidRPr="00AD59FE" w:rsidRDefault="00000000" w:rsidP="00AD59FE">
            <w:pPr>
              <w:spacing w:before="20" w:after="20"/>
              <w:jc w:val="center"/>
              <w:rPr>
                <w:sz w:val="20"/>
                <w:szCs w:val="20"/>
              </w:rPr>
            </w:pPr>
            <w:r w:rsidRPr="00AD59FE">
              <w:rPr>
                <w:sz w:val="20"/>
                <w:szCs w:val="20"/>
              </w:rPr>
              <w:t>Cloud analytics across Fusion modules (Alkhatib, 2026)</w:t>
            </w:r>
          </w:p>
        </w:tc>
        <w:tc>
          <w:tcPr>
            <w:tcW w:w="1800" w:type="dxa"/>
            <w:shd w:val="clear" w:color="auto" w:fill="FFFFFF" w:themeFill="background1"/>
            <w:tcMar>
              <w:top w:w="60" w:type="dxa"/>
              <w:left w:w="100" w:type="dxa"/>
              <w:bottom w:w="60" w:type="dxa"/>
              <w:right w:w="100" w:type="dxa"/>
            </w:tcMar>
          </w:tcPr>
          <w:p w14:paraId="1AF90D38" w14:textId="77777777" w:rsidR="008E4243" w:rsidRPr="00AD59FE" w:rsidRDefault="00000000" w:rsidP="00AD59FE">
            <w:pPr>
              <w:spacing w:before="20" w:after="20"/>
              <w:jc w:val="center"/>
              <w:rPr>
                <w:sz w:val="20"/>
                <w:szCs w:val="20"/>
              </w:rPr>
            </w:pPr>
            <w:r w:rsidRPr="00AD59FE">
              <w:rPr>
                <w:sz w:val="20"/>
                <w:szCs w:val="20"/>
              </w:rPr>
              <w:t>Workforce-centric real-time dashboards (Sharma et al., 2025)</w:t>
            </w:r>
          </w:p>
        </w:tc>
        <w:tc>
          <w:tcPr>
            <w:tcW w:w="2700" w:type="dxa"/>
            <w:shd w:val="clear" w:color="auto" w:fill="FFFFFF" w:themeFill="background1"/>
            <w:tcMar>
              <w:top w:w="60" w:type="dxa"/>
              <w:left w:w="100" w:type="dxa"/>
              <w:bottom w:w="60" w:type="dxa"/>
              <w:right w:w="100" w:type="dxa"/>
            </w:tcMar>
          </w:tcPr>
          <w:p w14:paraId="5F7CDE3B" w14:textId="77777777" w:rsidR="008E4243" w:rsidRPr="00AD59FE" w:rsidRDefault="00000000" w:rsidP="00AD59FE">
            <w:pPr>
              <w:spacing w:before="20" w:after="20"/>
              <w:jc w:val="center"/>
              <w:rPr>
                <w:sz w:val="20"/>
                <w:szCs w:val="20"/>
              </w:rPr>
            </w:pPr>
            <w:proofErr w:type="spellStart"/>
            <w:r w:rsidRPr="00AD59FE">
              <w:rPr>
                <w:sz w:val="20"/>
                <w:szCs w:val="20"/>
              </w:rPr>
              <w:t>Customisable</w:t>
            </w:r>
            <w:proofErr w:type="spellEnd"/>
            <w:r w:rsidRPr="00AD59FE">
              <w:rPr>
                <w:sz w:val="20"/>
                <w:szCs w:val="20"/>
              </w:rPr>
              <w:t xml:space="preserve"> dashboards of moderate depth (Karthikeyan et al., 2024)</w:t>
            </w:r>
          </w:p>
        </w:tc>
      </w:tr>
      <w:tr w:rsidR="008E4243" w:rsidRPr="005E1DF4" w14:paraId="2C26BFF6" w14:textId="77777777" w:rsidTr="00AD59FE">
        <w:tc>
          <w:tcPr>
            <w:tcW w:w="1860" w:type="dxa"/>
            <w:shd w:val="clear" w:color="auto" w:fill="FFFFFF" w:themeFill="background1"/>
            <w:tcMar>
              <w:top w:w="60" w:type="dxa"/>
              <w:left w:w="100" w:type="dxa"/>
              <w:bottom w:w="60" w:type="dxa"/>
              <w:right w:w="100" w:type="dxa"/>
            </w:tcMar>
          </w:tcPr>
          <w:p w14:paraId="76E9962F" w14:textId="77777777" w:rsidR="008E4243" w:rsidRPr="00AD59FE" w:rsidRDefault="00000000" w:rsidP="00AD59FE">
            <w:pPr>
              <w:spacing w:before="20" w:after="20"/>
              <w:jc w:val="center"/>
              <w:rPr>
                <w:sz w:val="20"/>
                <w:szCs w:val="20"/>
              </w:rPr>
            </w:pPr>
            <w:r w:rsidRPr="00AD59FE">
              <w:rPr>
                <w:sz w:val="20"/>
                <w:szCs w:val="20"/>
              </w:rPr>
              <w:lastRenderedPageBreak/>
              <w:t>Intelligent automation</w:t>
            </w:r>
          </w:p>
        </w:tc>
        <w:tc>
          <w:tcPr>
            <w:tcW w:w="2365" w:type="dxa"/>
            <w:shd w:val="clear" w:color="auto" w:fill="FFFFFF" w:themeFill="background1"/>
            <w:tcMar>
              <w:top w:w="60" w:type="dxa"/>
              <w:left w:w="100" w:type="dxa"/>
              <w:bottom w:w="60" w:type="dxa"/>
              <w:right w:w="100" w:type="dxa"/>
            </w:tcMar>
          </w:tcPr>
          <w:p w14:paraId="7A3373FE" w14:textId="77777777" w:rsidR="008E4243" w:rsidRPr="00AD59FE" w:rsidRDefault="00000000" w:rsidP="00AD59FE">
            <w:pPr>
              <w:spacing w:before="20" w:after="20"/>
              <w:jc w:val="center"/>
              <w:rPr>
                <w:sz w:val="20"/>
                <w:szCs w:val="20"/>
              </w:rPr>
            </w:pPr>
            <w:r w:rsidRPr="00AD59FE">
              <w:rPr>
                <w:sz w:val="20"/>
                <w:szCs w:val="20"/>
              </w:rPr>
              <w:t>Automated roll-ups and reconciliation at enterprise scale (Masuda et al., 2026)</w:t>
            </w:r>
          </w:p>
        </w:tc>
        <w:tc>
          <w:tcPr>
            <w:tcW w:w="1980" w:type="dxa"/>
            <w:shd w:val="clear" w:color="auto" w:fill="FFFFFF" w:themeFill="background1"/>
            <w:tcMar>
              <w:top w:w="60" w:type="dxa"/>
              <w:left w:w="100" w:type="dxa"/>
              <w:bottom w:w="60" w:type="dxa"/>
              <w:right w:w="100" w:type="dxa"/>
            </w:tcMar>
          </w:tcPr>
          <w:p w14:paraId="22F5DF45" w14:textId="77777777" w:rsidR="008E4243" w:rsidRPr="00AD59FE" w:rsidRDefault="00000000" w:rsidP="00AD59FE">
            <w:pPr>
              <w:spacing w:before="20" w:after="20"/>
              <w:jc w:val="center"/>
              <w:rPr>
                <w:sz w:val="20"/>
                <w:szCs w:val="20"/>
              </w:rPr>
            </w:pPr>
            <w:r w:rsidRPr="00AD59FE">
              <w:rPr>
                <w:sz w:val="20"/>
                <w:szCs w:val="20"/>
              </w:rPr>
              <w:t>Process automation across financial operations (</w:t>
            </w:r>
            <w:proofErr w:type="spellStart"/>
            <w:r w:rsidRPr="00AD59FE">
              <w:rPr>
                <w:sz w:val="20"/>
                <w:szCs w:val="20"/>
              </w:rPr>
              <w:t>Rîndaşu</w:t>
            </w:r>
            <w:proofErr w:type="spellEnd"/>
            <w:r w:rsidRPr="00AD59FE">
              <w:rPr>
                <w:sz w:val="20"/>
                <w:szCs w:val="20"/>
              </w:rPr>
              <w:t xml:space="preserve"> et al., 2024)</w:t>
            </w:r>
          </w:p>
        </w:tc>
        <w:tc>
          <w:tcPr>
            <w:tcW w:w="1800" w:type="dxa"/>
            <w:shd w:val="clear" w:color="auto" w:fill="FFFFFF" w:themeFill="background1"/>
            <w:tcMar>
              <w:top w:w="60" w:type="dxa"/>
              <w:left w:w="100" w:type="dxa"/>
              <w:bottom w:w="60" w:type="dxa"/>
              <w:right w:w="100" w:type="dxa"/>
            </w:tcMar>
          </w:tcPr>
          <w:p w14:paraId="4D83279E" w14:textId="77777777" w:rsidR="008E4243" w:rsidRPr="00AD59FE" w:rsidRDefault="00000000" w:rsidP="00AD59FE">
            <w:pPr>
              <w:spacing w:before="20" w:after="20"/>
              <w:jc w:val="center"/>
              <w:rPr>
                <w:sz w:val="20"/>
                <w:szCs w:val="20"/>
              </w:rPr>
            </w:pPr>
            <w:r w:rsidRPr="00AD59FE">
              <w:rPr>
                <w:sz w:val="20"/>
                <w:szCs w:val="20"/>
              </w:rPr>
              <w:t>Automation of core HR and ledger workflows (Sharma et al., 2025)</w:t>
            </w:r>
          </w:p>
        </w:tc>
        <w:tc>
          <w:tcPr>
            <w:tcW w:w="2700" w:type="dxa"/>
            <w:shd w:val="clear" w:color="auto" w:fill="FFFFFF" w:themeFill="background1"/>
            <w:tcMar>
              <w:top w:w="60" w:type="dxa"/>
              <w:left w:w="100" w:type="dxa"/>
              <w:bottom w:w="60" w:type="dxa"/>
              <w:right w:w="100" w:type="dxa"/>
            </w:tcMar>
          </w:tcPr>
          <w:p w14:paraId="3B93B22A" w14:textId="77777777" w:rsidR="008E4243" w:rsidRPr="00AD59FE" w:rsidRDefault="00000000" w:rsidP="00AD59FE">
            <w:pPr>
              <w:spacing w:before="20" w:after="20"/>
              <w:jc w:val="center"/>
              <w:rPr>
                <w:sz w:val="20"/>
                <w:szCs w:val="20"/>
              </w:rPr>
            </w:pPr>
            <w:r w:rsidRPr="00AD59FE">
              <w:rPr>
                <w:sz w:val="20"/>
                <w:szCs w:val="20"/>
              </w:rPr>
              <w:t>Automation tuned to multi-entity growth (Karthikeyan et al., 2024)</w:t>
            </w:r>
          </w:p>
        </w:tc>
      </w:tr>
      <w:tr w:rsidR="008E4243" w:rsidRPr="005E1DF4" w14:paraId="697EF27C" w14:textId="77777777" w:rsidTr="00AD59FE">
        <w:tc>
          <w:tcPr>
            <w:tcW w:w="1860" w:type="dxa"/>
            <w:shd w:val="clear" w:color="auto" w:fill="FFFFFF" w:themeFill="background1"/>
            <w:tcMar>
              <w:top w:w="60" w:type="dxa"/>
              <w:left w:w="100" w:type="dxa"/>
              <w:bottom w:w="60" w:type="dxa"/>
              <w:right w:w="100" w:type="dxa"/>
            </w:tcMar>
          </w:tcPr>
          <w:p w14:paraId="659F1DE0" w14:textId="77777777" w:rsidR="008E4243" w:rsidRPr="00AD59FE" w:rsidRDefault="00000000" w:rsidP="00AD59FE">
            <w:pPr>
              <w:spacing w:before="20" w:after="20"/>
              <w:jc w:val="center"/>
              <w:rPr>
                <w:sz w:val="20"/>
                <w:szCs w:val="20"/>
              </w:rPr>
            </w:pPr>
            <w:r w:rsidRPr="00AD59FE">
              <w:rPr>
                <w:sz w:val="20"/>
                <w:szCs w:val="20"/>
              </w:rPr>
              <w:t>Governance and security support</w:t>
            </w:r>
          </w:p>
        </w:tc>
        <w:tc>
          <w:tcPr>
            <w:tcW w:w="2365" w:type="dxa"/>
            <w:shd w:val="clear" w:color="auto" w:fill="FFFFFF" w:themeFill="background1"/>
            <w:tcMar>
              <w:top w:w="60" w:type="dxa"/>
              <w:left w:w="100" w:type="dxa"/>
              <w:bottom w:w="60" w:type="dxa"/>
              <w:right w:w="100" w:type="dxa"/>
            </w:tcMar>
          </w:tcPr>
          <w:p w14:paraId="244A0E97" w14:textId="77777777" w:rsidR="008E4243" w:rsidRPr="00AD59FE" w:rsidRDefault="00000000" w:rsidP="00AD59FE">
            <w:pPr>
              <w:spacing w:before="20" w:after="20"/>
              <w:jc w:val="center"/>
              <w:rPr>
                <w:sz w:val="20"/>
                <w:szCs w:val="20"/>
              </w:rPr>
            </w:pPr>
            <w:r w:rsidRPr="00AD59FE">
              <w:rPr>
                <w:sz w:val="20"/>
                <w:szCs w:val="20"/>
              </w:rPr>
              <w:t>Mature controls for complex multi-jurisdiction structures (Reddy et al., 2025)</w:t>
            </w:r>
          </w:p>
        </w:tc>
        <w:tc>
          <w:tcPr>
            <w:tcW w:w="1980" w:type="dxa"/>
            <w:shd w:val="clear" w:color="auto" w:fill="FFFFFF" w:themeFill="background1"/>
            <w:tcMar>
              <w:top w:w="60" w:type="dxa"/>
              <w:left w:w="100" w:type="dxa"/>
              <w:bottom w:w="60" w:type="dxa"/>
              <w:right w:w="100" w:type="dxa"/>
            </w:tcMar>
          </w:tcPr>
          <w:p w14:paraId="481E8621" w14:textId="77777777" w:rsidR="008E4243" w:rsidRPr="00AD59FE" w:rsidRDefault="00000000" w:rsidP="00AD59FE">
            <w:pPr>
              <w:spacing w:before="20" w:after="20"/>
              <w:jc w:val="center"/>
              <w:rPr>
                <w:sz w:val="20"/>
                <w:szCs w:val="20"/>
              </w:rPr>
            </w:pPr>
            <w:r w:rsidRPr="00AD59FE">
              <w:rPr>
                <w:sz w:val="20"/>
                <w:szCs w:val="20"/>
              </w:rPr>
              <w:t>Documented Zero Trust implementation (Qazi &amp; Arshad, 2025)</w:t>
            </w:r>
          </w:p>
        </w:tc>
        <w:tc>
          <w:tcPr>
            <w:tcW w:w="1800" w:type="dxa"/>
            <w:shd w:val="clear" w:color="auto" w:fill="FFFFFF" w:themeFill="background1"/>
            <w:tcMar>
              <w:top w:w="60" w:type="dxa"/>
              <w:left w:w="100" w:type="dxa"/>
              <w:bottom w:w="60" w:type="dxa"/>
              <w:right w:w="100" w:type="dxa"/>
            </w:tcMar>
          </w:tcPr>
          <w:p w14:paraId="560C8092" w14:textId="77777777" w:rsidR="008E4243" w:rsidRPr="00AD59FE" w:rsidRDefault="00000000" w:rsidP="00AD59FE">
            <w:pPr>
              <w:spacing w:before="20" w:after="20"/>
              <w:jc w:val="center"/>
              <w:rPr>
                <w:sz w:val="20"/>
                <w:szCs w:val="20"/>
              </w:rPr>
            </w:pPr>
            <w:r w:rsidRPr="00AD59FE">
              <w:rPr>
                <w:sz w:val="20"/>
                <w:szCs w:val="20"/>
              </w:rPr>
              <w:t>Identity- and audit-oriented controls (Sharma et al., 2025)</w:t>
            </w:r>
          </w:p>
        </w:tc>
        <w:tc>
          <w:tcPr>
            <w:tcW w:w="2700" w:type="dxa"/>
            <w:shd w:val="clear" w:color="auto" w:fill="FFFFFF" w:themeFill="background1"/>
            <w:tcMar>
              <w:top w:w="60" w:type="dxa"/>
              <w:left w:w="100" w:type="dxa"/>
              <w:bottom w:w="60" w:type="dxa"/>
              <w:right w:w="100" w:type="dxa"/>
            </w:tcMar>
          </w:tcPr>
          <w:p w14:paraId="38AD400D" w14:textId="77777777" w:rsidR="008E4243" w:rsidRPr="00AD59FE" w:rsidRDefault="00000000" w:rsidP="00AD59FE">
            <w:pPr>
              <w:spacing w:before="20" w:after="20"/>
              <w:jc w:val="center"/>
              <w:rPr>
                <w:sz w:val="20"/>
                <w:szCs w:val="20"/>
              </w:rPr>
            </w:pPr>
            <w:r w:rsidRPr="00AD59FE">
              <w:rPr>
                <w:sz w:val="20"/>
                <w:szCs w:val="20"/>
              </w:rPr>
              <w:t>Governance scales with configuration discipline (</w:t>
            </w:r>
            <w:proofErr w:type="spellStart"/>
            <w:r w:rsidRPr="00AD59FE">
              <w:rPr>
                <w:sz w:val="20"/>
                <w:szCs w:val="20"/>
              </w:rPr>
              <w:t>Rîndaşu</w:t>
            </w:r>
            <w:proofErr w:type="spellEnd"/>
            <w:r w:rsidRPr="00AD59FE">
              <w:rPr>
                <w:sz w:val="20"/>
                <w:szCs w:val="20"/>
              </w:rPr>
              <w:t xml:space="preserve"> et al., 2024)</w:t>
            </w:r>
          </w:p>
        </w:tc>
      </w:tr>
      <w:tr w:rsidR="008E4243" w:rsidRPr="005E1DF4" w14:paraId="2A0B0C8F" w14:textId="77777777" w:rsidTr="00AD59FE">
        <w:tc>
          <w:tcPr>
            <w:tcW w:w="1860" w:type="dxa"/>
            <w:shd w:val="clear" w:color="auto" w:fill="FFFFFF" w:themeFill="background1"/>
            <w:tcMar>
              <w:top w:w="60" w:type="dxa"/>
              <w:left w:w="100" w:type="dxa"/>
              <w:bottom w:w="60" w:type="dxa"/>
              <w:right w:w="100" w:type="dxa"/>
            </w:tcMar>
          </w:tcPr>
          <w:p w14:paraId="46296EFD" w14:textId="77777777" w:rsidR="008E4243" w:rsidRPr="00AD59FE" w:rsidRDefault="00000000" w:rsidP="00AD59FE">
            <w:pPr>
              <w:spacing w:before="20" w:after="20"/>
              <w:jc w:val="center"/>
              <w:rPr>
                <w:sz w:val="20"/>
                <w:szCs w:val="20"/>
              </w:rPr>
            </w:pPr>
            <w:r w:rsidRPr="00AD59FE">
              <w:rPr>
                <w:sz w:val="20"/>
                <w:szCs w:val="20"/>
              </w:rPr>
              <w:t>Organizational-agility emphasis</w:t>
            </w:r>
          </w:p>
        </w:tc>
        <w:tc>
          <w:tcPr>
            <w:tcW w:w="2365" w:type="dxa"/>
            <w:shd w:val="clear" w:color="auto" w:fill="FFFFFF" w:themeFill="background1"/>
            <w:tcMar>
              <w:top w:w="60" w:type="dxa"/>
              <w:left w:w="100" w:type="dxa"/>
              <w:bottom w:w="60" w:type="dxa"/>
              <w:right w:w="100" w:type="dxa"/>
            </w:tcMar>
          </w:tcPr>
          <w:p w14:paraId="3E93C7FC" w14:textId="77777777" w:rsidR="008E4243" w:rsidRPr="00AD59FE" w:rsidRDefault="00000000" w:rsidP="00AD59FE">
            <w:pPr>
              <w:spacing w:before="20" w:after="20"/>
              <w:jc w:val="center"/>
              <w:rPr>
                <w:sz w:val="20"/>
                <w:szCs w:val="20"/>
              </w:rPr>
            </w:pPr>
            <w:r w:rsidRPr="00AD59FE">
              <w:rPr>
                <w:sz w:val="20"/>
                <w:szCs w:val="20"/>
              </w:rPr>
              <w:t>Analytical depth and multi-entity control</w:t>
            </w:r>
          </w:p>
        </w:tc>
        <w:tc>
          <w:tcPr>
            <w:tcW w:w="1980" w:type="dxa"/>
            <w:shd w:val="clear" w:color="auto" w:fill="FFFFFF" w:themeFill="background1"/>
            <w:tcMar>
              <w:top w:w="60" w:type="dxa"/>
              <w:left w:w="100" w:type="dxa"/>
              <w:bottom w:w="60" w:type="dxa"/>
              <w:right w:w="100" w:type="dxa"/>
            </w:tcMar>
          </w:tcPr>
          <w:p w14:paraId="466BF3DA" w14:textId="77777777" w:rsidR="008E4243" w:rsidRPr="00AD59FE" w:rsidRDefault="00000000" w:rsidP="00AD59FE">
            <w:pPr>
              <w:spacing w:before="20" w:after="20"/>
              <w:jc w:val="center"/>
              <w:rPr>
                <w:sz w:val="20"/>
                <w:szCs w:val="20"/>
              </w:rPr>
            </w:pPr>
            <w:r w:rsidRPr="00AD59FE">
              <w:rPr>
                <w:sz w:val="20"/>
                <w:szCs w:val="20"/>
              </w:rPr>
              <w:t>Operational breadth, with adoption complexity noted (</w:t>
            </w:r>
            <w:proofErr w:type="spellStart"/>
            <w:r w:rsidRPr="00AD59FE">
              <w:rPr>
                <w:sz w:val="20"/>
                <w:szCs w:val="20"/>
              </w:rPr>
              <w:t>Rîndaşu</w:t>
            </w:r>
            <w:proofErr w:type="spellEnd"/>
            <w:r w:rsidRPr="00AD59FE">
              <w:rPr>
                <w:sz w:val="20"/>
                <w:szCs w:val="20"/>
              </w:rPr>
              <w:t xml:space="preserve"> et al., 2024)</w:t>
            </w:r>
          </w:p>
        </w:tc>
        <w:tc>
          <w:tcPr>
            <w:tcW w:w="1800" w:type="dxa"/>
            <w:shd w:val="clear" w:color="auto" w:fill="FFFFFF" w:themeFill="background1"/>
            <w:tcMar>
              <w:top w:w="60" w:type="dxa"/>
              <w:left w:w="100" w:type="dxa"/>
              <w:bottom w:w="60" w:type="dxa"/>
              <w:right w:w="100" w:type="dxa"/>
            </w:tcMar>
          </w:tcPr>
          <w:p w14:paraId="3676BBDA" w14:textId="77777777" w:rsidR="008E4243" w:rsidRPr="00AD59FE" w:rsidRDefault="00000000" w:rsidP="00AD59FE">
            <w:pPr>
              <w:spacing w:before="20" w:after="20"/>
              <w:jc w:val="center"/>
              <w:rPr>
                <w:sz w:val="20"/>
                <w:szCs w:val="20"/>
              </w:rPr>
            </w:pPr>
            <w:r w:rsidRPr="00AD59FE">
              <w:rPr>
                <w:sz w:val="20"/>
                <w:szCs w:val="20"/>
              </w:rPr>
              <w:t>Workforce–finance responsiveness</w:t>
            </w:r>
          </w:p>
        </w:tc>
        <w:tc>
          <w:tcPr>
            <w:tcW w:w="2700" w:type="dxa"/>
            <w:shd w:val="clear" w:color="auto" w:fill="FFFFFF" w:themeFill="background1"/>
            <w:tcMar>
              <w:top w:w="60" w:type="dxa"/>
              <w:left w:w="100" w:type="dxa"/>
              <w:bottom w:w="60" w:type="dxa"/>
              <w:right w:w="100" w:type="dxa"/>
            </w:tcMar>
          </w:tcPr>
          <w:p w14:paraId="041162E1" w14:textId="77777777" w:rsidR="008E4243" w:rsidRPr="00AD59FE" w:rsidRDefault="00000000" w:rsidP="00AD59FE">
            <w:pPr>
              <w:spacing w:before="20" w:after="20"/>
              <w:jc w:val="center"/>
              <w:rPr>
                <w:sz w:val="20"/>
                <w:szCs w:val="20"/>
              </w:rPr>
            </w:pPr>
            <w:r w:rsidRPr="00AD59FE">
              <w:rPr>
                <w:sz w:val="20"/>
                <w:szCs w:val="20"/>
              </w:rPr>
              <w:t>Flexible, cost-efficient growth</w:t>
            </w:r>
          </w:p>
        </w:tc>
      </w:tr>
      <w:tr w:rsidR="008E4243" w:rsidRPr="005E1DF4" w14:paraId="62A7C9C0" w14:textId="77777777" w:rsidTr="00AD59FE">
        <w:tc>
          <w:tcPr>
            <w:tcW w:w="1860" w:type="dxa"/>
            <w:shd w:val="clear" w:color="auto" w:fill="FFFFFF" w:themeFill="background1"/>
            <w:tcMar>
              <w:top w:w="60" w:type="dxa"/>
              <w:left w:w="100" w:type="dxa"/>
              <w:bottom w:w="60" w:type="dxa"/>
              <w:right w:w="100" w:type="dxa"/>
            </w:tcMar>
          </w:tcPr>
          <w:p w14:paraId="04ED93FB" w14:textId="77777777" w:rsidR="008E4243" w:rsidRPr="00AD59FE" w:rsidRDefault="00000000" w:rsidP="00AD59FE">
            <w:pPr>
              <w:spacing w:before="20" w:after="20"/>
              <w:jc w:val="center"/>
              <w:rPr>
                <w:sz w:val="20"/>
                <w:szCs w:val="20"/>
              </w:rPr>
            </w:pPr>
            <w:r w:rsidRPr="00AD59FE">
              <w:rPr>
                <w:sz w:val="20"/>
                <w:szCs w:val="20"/>
              </w:rPr>
              <w:t>Position on the trade-off frontier</w:t>
            </w:r>
          </w:p>
        </w:tc>
        <w:tc>
          <w:tcPr>
            <w:tcW w:w="2365" w:type="dxa"/>
            <w:shd w:val="clear" w:color="auto" w:fill="FFFFFF" w:themeFill="background1"/>
            <w:tcMar>
              <w:top w:w="60" w:type="dxa"/>
              <w:left w:w="100" w:type="dxa"/>
              <w:bottom w:w="60" w:type="dxa"/>
              <w:right w:w="100" w:type="dxa"/>
            </w:tcMar>
          </w:tcPr>
          <w:p w14:paraId="2952C958" w14:textId="77777777" w:rsidR="008E4243" w:rsidRPr="00AD59FE" w:rsidRDefault="00000000" w:rsidP="00AD59FE">
            <w:pPr>
              <w:spacing w:before="20" w:after="20"/>
              <w:jc w:val="center"/>
              <w:rPr>
                <w:sz w:val="20"/>
                <w:szCs w:val="20"/>
              </w:rPr>
            </w:pPr>
            <w:r w:rsidRPr="00AD59FE">
              <w:rPr>
                <w:sz w:val="20"/>
                <w:szCs w:val="20"/>
              </w:rPr>
              <w:t>Enterprise-scale analytical depth; highest investment</w:t>
            </w:r>
          </w:p>
        </w:tc>
        <w:tc>
          <w:tcPr>
            <w:tcW w:w="1980" w:type="dxa"/>
            <w:shd w:val="clear" w:color="auto" w:fill="FFFFFF" w:themeFill="background1"/>
            <w:tcMar>
              <w:top w:w="60" w:type="dxa"/>
              <w:left w:w="100" w:type="dxa"/>
              <w:bottom w:w="60" w:type="dxa"/>
              <w:right w:w="100" w:type="dxa"/>
            </w:tcMar>
          </w:tcPr>
          <w:p w14:paraId="6803018B" w14:textId="77777777" w:rsidR="008E4243" w:rsidRPr="00AD59FE" w:rsidRDefault="00000000" w:rsidP="00AD59FE">
            <w:pPr>
              <w:spacing w:before="20" w:after="20"/>
              <w:jc w:val="center"/>
              <w:rPr>
                <w:sz w:val="20"/>
                <w:szCs w:val="20"/>
              </w:rPr>
            </w:pPr>
            <w:r w:rsidRPr="00AD59FE">
              <w:rPr>
                <w:sz w:val="20"/>
                <w:szCs w:val="20"/>
              </w:rPr>
              <w:t>Broad operational coverage; substantial integration effort</w:t>
            </w:r>
          </w:p>
        </w:tc>
        <w:tc>
          <w:tcPr>
            <w:tcW w:w="1800" w:type="dxa"/>
            <w:shd w:val="clear" w:color="auto" w:fill="FFFFFF" w:themeFill="background1"/>
            <w:tcMar>
              <w:top w:w="60" w:type="dxa"/>
              <w:left w:w="100" w:type="dxa"/>
              <w:bottom w:w="60" w:type="dxa"/>
              <w:right w:w="100" w:type="dxa"/>
            </w:tcMar>
          </w:tcPr>
          <w:p w14:paraId="565F23C3" w14:textId="77777777" w:rsidR="008E4243" w:rsidRPr="00AD59FE" w:rsidRDefault="00000000" w:rsidP="00AD59FE">
            <w:pPr>
              <w:spacing w:before="20" w:after="20"/>
              <w:jc w:val="center"/>
              <w:rPr>
                <w:sz w:val="20"/>
                <w:szCs w:val="20"/>
              </w:rPr>
            </w:pPr>
            <w:r w:rsidRPr="00AD59FE">
              <w:rPr>
                <w:sz w:val="20"/>
                <w:szCs w:val="20"/>
              </w:rPr>
              <w:t xml:space="preserve">Service-sector workforce </w:t>
            </w:r>
            <w:proofErr w:type="spellStart"/>
            <w:r w:rsidRPr="00AD59FE">
              <w:rPr>
                <w:sz w:val="20"/>
                <w:szCs w:val="20"/>
              </w:rPr>
              <w:t>optimisation</w:t>
            </w:r>
            <w:proofErr w:type="spellEnd"/>
          </w:p>
        </w:tc>
        <w:tc>
          <w:tcPr>
            <w:tcW w:w="2700" w:type="dxa"/>
            <w:shd w:val="clear" w:color="auto" w:fill="FFFFFF" w:themeFill="background1"/>
            <w:tcMar>
              <w:top w:w="60" w:type="dxa"/>
              <w:left w:w="100" w:type="dxa"/>
              <w:bottom w:w="60" w:type="dxa"/>
              <w:right w:w="100" w:type="dxa"/>
            </w:tcMar>
          </w:tcPr>
          <w:p w14:paraId="1AEBC9C2" w14:textId="77777777" w:rsidR="008E4243" w:rsidRPr="00AD59FE" w:rsidRDefault="00000000" w:rsidP="00AD59FE">
            <w:pPr>
              <w:spacing w:before="20" w:after="20"/>
              <w:jc w:val="center"/>
              <w:rPr>
                <w:sz w:val="20"/>
                <w:szCs w:val="20"/>
              </w:rPr>
            </w:pPr>
            <w:r w:rsidRPr="00AD59FE">
              <w:rPr>
                <w:sz w:val="20"/>
                <w:szCs w:val="20"/>
              </w:rPr>
              <w:t>Mid-market flexibility; lighter native analytics</w:t>
            </w:r>
          </w:p>
        </w:tc>
      </w:tr>
    </w:tbl>
    <w:p w14:paraId="780E6C33" w14:textId="77777777" w:rsidR="008E4243" w:rsidRPr="005E1DF4" w:rsidRDefault="00000000" w:rsidP="008348CF">
      <w:pPr>
        <w:pStyle w:val="Heading1"/>
        <w:jc w:val="both"/>
        <w:rPr>
          <w:b w:val="0"/>
          <w:bCs w:val="0"/>
          <w:sz w:val="24"/>
          <w:szCs w:val="24"/>
        </w:rPr>
      </w:pPr>
      <w:r w:rsidRPr="005E1DF4">
        <w:rPr>
          <w:b w:val="0"/>
          <w:bCs w:val="0"/>
          <w:sz w:val="24"/>
          <w:szCs w:val="24"/>
          <w:highlight w:val="white"/>
        </w:rPr>
        <w:t>In support of the frontier interpretation, profitability is not in some sense incompatible, profit making is supplementary. The analytical depths and operational breadths are highlighted in SAP S/4HANA Cloud and Oracle Fusion Cloud ERP, respectively, but with more complex implementation. There is also reason to believe that in Oracle Fusion adoption, it is only through extensive integration that the vastness can be achieved (</w:t>
      </w:r>
      <w:proofErr w:type="spellStart"/>
      <w:r w:rsidRPr="005E1DF4">
        <w:rPr>
          <w:b w:val="0"/>
          <w:bCs w:val="0"/>
          <w:sz w:val="24"/>
          <w:szCs w:val="24"/>
          <w:highlight w:val="white"/>
        </w:rPr>
        <w:t>Rîndaşu</w:t>
      </w:r>
      <w:proofErr w:type="spellEnd"/>
      <w:r w:rsidRPr="005E1DF4">
        <w:rPr>
          <w:b w:val="0"/>
          <w:bCs w:val="0"/>
          <w:sz w:val="24"/>
          <w:szCs w:val="24"/>
          <w:highlight w:val="white"/>
        </w:rPr>
        <w:t xml:space="preserve"> et al., 2024). Workday understands that intelligence should connect the workforce to finance. NetSuite extends intelligence to flexible expansion in that </w:t>
      </w:r>
      <w:proofErr w:type="spellStart"/>
      <w:r w:rsidRPr="005E1DF4">
        <w:rPr>
          <w:b w:val="0"/>
          <w:bCs w:val="0"/>
          <w:sz w:val="24"/>
          <w:szCs w:val="24"/>
          <w:highlight w:val="white"/>
        </w:rPr>
        <w:t>mid market</w:t>
      </w:r>
      <w:proofErr w:type="spellEnd"/>
      <w:r w:rsidRPr="005E1DF4">
        <w:rPr>
          <w:b w:val="0"/>
          <w:bCs w:val="0"/>
          <w:sz w:val="24"/>
          <w:szCs w:val="24"/>
          <w:highlight w:val="white"/>
        </w:rPr>
        <w:t xml:space="preserve">, often with add </w:t>
      </w:r>
      <w:proofErr w:type="spellStart"/>
      <w:r w:rsidRPr="005E1DF4">
        <w:rPr>
          <w:b w:val="0"/>
          <w:bCs w:val="0"/>
          <w:sz w:val="24"/>
          <w:szCs w:val="24"/>
          <w:highlight w:val="white"/>
        </w:rPr>
        <w:t>ons</w:t>
      </w:r>
      <w:proofErr w:type="spellEnd"/>
      <w:r w:rsidRPr="005E1DF4">
        <w:rPr>
          <w:b w:val="0"/>
          <w:bCs w:val="0"/>
          <w:sz w:val="24"/>
          <w:szCs w:val="24"/>
          <w:highlight w:val="white"/>
        </w:rPr>
        <w:t xml:space="preserve"> that bolster advanced analytics. A caution in the comparison of that is that the level of detail in the scholarly evidence varies from system to system. Maximum detail may be reflected by the SAP and Oracle systems, minimally in NetSuite. As such, the descriptors of NetSuite are </w:t>
      </w:r>
      <w:proofErr w:type="gramStart"/>
      <w:r w:rsidRPr="005E1DF4">
        <w:rPr>
          <w:b w:val="0"/>
          <w:bCs w:val="0"/>
          <w:sz w:val="24"/>
          <w:szCs w:val="24"/>
          <w:highlight w:val="white"/>
        </w:rPr>
        <w:t>more vague</w:t>
      </w:r>
      <w:proofErr w:type="gramEnd"/>
      <w:r w:rsidRPr="005E1DF4">
        <w:rPr>
          <w:b w:val="0"/>
          <w:bCs w:val="0"/>
          <w:sz w:val="24"/>
          <w:szCs w:val="24"/>
          <w:highlight w:val="white"/>
        </w:rPr>
        <w:t xml:space="preserve"> and are more tentative. Consequently, the comparison is a contingent conclusion. That is, it follows that the "right" platform is one which represents the capability focus that fits with the firm's core agility orientation and does not support a context free ranking, which is an interpretation that matches the results you find at the network with the previously developed TOE reasoning.</w:t>
      </w:r>
      <w:r w:rsidRPr="005E1DF4">
        <w:rPr>
          <w:b w:val="0"/>
          <w:bCs w:val="0"/>
          <w:sz w:val="24"/>
          <w:szCs w:val="24"/>
        </w:rPr>
        <w:t xml:space="preserve"> </w:t>
      </w:r>
    </w:p>
    <w:p w14:paraId="5C59CF1F" w14:textId="77777777" w:rsidR="008E4243" w:rsidRPr="005E1DF4" w:rsidRDefault="00000000" w:rsidP="008348CF">
      <w:pPr>
        <w:pStyle w:val="Heading1"/>
        <w:jc w:val="both"/>
      </w:pPr>
      <w:r w:rsidRPr="005E1DF4">
        <w:t>A UNIFIED CONCEPTUAL FRAMEWORK</w:t>
      </w:r>
    </w:p>
    <w:p w14:paraId="7C6BB5FE" w14:textId="77777777" w:rsidR="008E4243" w:rsidRPr="005E1DF4" w:rsidRDefault="00000000" w:rsidP="008348CF">
      <w:pPr>
        <w:pStyle w:val="Heading2"/>
        <w:jc w:val="both"/>
        <w:rPr>
          <w:b w:val="0"/>
          <w:bCs w:val="0"/>
        </w:rPr>
      </w:pPr>
      <w:r w:rsidRPr="005E1DF4">
        <w:rPr>
          <w:b w:val="0"/>
          <w:bCs w:val="0"/>
        </w:rPr>
        <w:t xml:space="preserve">The second identified gap in the review, AI-aware maturity assessment, is the impetus for the approach described herein. The model consists of a five-stage closed loop decision pipeline combined with a </w:t>
      </w:r>
      <w:proofErr w:type="gramStart"/>
      <w:r w:rsidRPr="005E1DF4">
        <w:rPr>
          <w:b w:val="0"/>
          <w:bCs w:val="0"/>
        </w:rPr>
        <w:t>five level</w:t>
      </w:r>
      <w:proofErr w:type="gramEnd"/>
      <w:r w:rsidRPr="005E1DF4">
        <w:rPr>
          <w:b w:val="0"/>
          <w:bCs w:val="0"/>
        </w:rPr>
        <w:t xml:space="preserve"> maturity model for AI ERP. It is not a validated tool but rather a way of </w:t>
      </w:r>
      <w:proofErr w:type="spellStart"/>
      <w:r w:rsidRPr="005E1DF4">
        <w:rPr>
          <w:b w:val="0"/>
          <w:bCs w:val="0"/>
        </w:rPr>
        <w:t>organising</w:t>
      </w:r>
      <w:proofErr w:type="spellEnd"/>
      <w:r w:rsidRPr="005E1DF4">
        <w:rPr>
          <w:b w:val="0"/>
          <w:bCs w:val="0"/>
        </w:rPr>
        <w:t xml:space="preserve"> the different bits of information available in the literature in a developmentally logical fashion, as acknowledged.</w:t>
      </w:r>
    </w:p>
    <w:p w14:paraId="4B31DA64" w14:textId="77777777" w:rsidR="008E4243" w:rsidRPr="005E1DF4" w:rsidRDefault="00000000" w:rsidP="008348CF">
      <w:pPr>
        <w:pStyle w:val="Heading2"/>
        <w:jc w:val="both"/>
      </w:pPr>
      <w:r w:rsidRPr="005E1DF4">
        <w:t>The closed-loop decision pipeline</w:t>
      </w:r>
    </w:p>
    <w:p w14:paraId="529417C0" w14:textId="77777777" w:rsidR="008E4243" w:rsidRPr="005E1DF4" w:rsidRDefault="00000000" w:rsidP="008348CF">
      <w:pPr>
        <w:pStyle w:val="Heading2"/>
        <w:jc w:val="both"/>
        <w:rPr>
          <w:b w:val="0"/>
          <w:bCs w:val="0"/>
        </w:rPr>
      </w:pPr>
      <w:r w:rsidRPr="005E1DF4">
        <w:rPr>
          <w:b w:val="0"/>
          <w:bCs w:val="0"/>
          <w:highlight w:val="white"/>
        </w:rPr>
        <w:t>This idea of a decision pipeline sets the parameters for action and the flow of information in an AI-based ERP system. Data collection is continuous, with data collected in both structured and unstructured forms from internal systems, IoT sensors, customers and the outside world (</w:t>
      </w:r>
      <w:proofErr w:type="spellStart"/>
      <w:r w:rsidRPr="005E1DF4">
        <w:rPr>
          <w:b w:val="0"/>
          <w:bCs w:val="0"/>
          <w:highlight w:val="white"/>
        </w:rPr>
        <w:t>Rakholia</w:t>
      </w:r>
      <w:proofErr w:type="spellEnd"/>
      <w:r w:rsidRPr="005E1DF4">
        <w:rPr>
          <w:b w:val="0"/>
          <w:bCs w:val="0"/>
          <w:highlight w:val="white"/>
        </w:rPr>
        <w:t xml:space="preserve"> et al., 2025; Govinda et al., 2025). Data preparation </w:t>
      </w:r>
      <w:proofErr w:type="spellStart"/>
      <w:r w:rsidRPr="005E1DF4">
        <w:rPr>
          <w:b w:val="0"/>
          <w:bCs w:val="0"/>
          <w:highlight w:val="white"/>
        </w:rPr>
        <w:t>standardises</w:t>
      </w:r>
      <w:proofErr w:type="spellEnd"/>
      <w:r w:rsidRPr="005E1DF4">
        <w:rPr>
          <w:b w:val="0"/>
          <w:bCs w:val="0"/>
          <w:highlight w:val="white"/>
        </w:rPr>
        <w:t>, cleans, and semantically unifies raw data in the cloud or in memory databases. Analytics and AI processing leverage these, along with the machine learning algorithms, to produce the predictive &amp; prescriptive results. Decision support provides clear and actionable insights, scenario simulations and alarms based on role-specific dashboards and natural language interfaces. A feedback loop evaluates the results of decisions and uses that as a foundation to continuously update models, thereby marking a continuous circular process and continuous progress (Lin &amp; Chen, 2026</w:t>
      </w:r>
      <w:r w:rsidRPr="005E1DF4">
        <w:rPr>
          <w:b w:val="0"/>
          <w:bCs w:val="0"/>
        </w:rPr>
        <w:t xml:space="preserve"> </w:t>
      </w:r>
    </w:p>
    <w:p w14:paraId="16601065" w14:textId="77777777" w:rsidR="008E4243" w:rsidRDefault="008E4243" w:rsidP="008348CF">
      <w:pPr>
        <w:pStyle w:val="Heading2"/>
        <w:jc w:val="both"/>
        <w:rPr>
          <w:b w:val="0"/>
          <w:bCs w:val="0"/>
        </w:rPr>
      </w:pPr>
    </w:p>
    <w:p w14:paraId="26CA5828" w14:textId="77777777" w:rsidR="00AD59FE" w:rsidRPr="00AD59FE" w:rsidRDefault="00AD59FE" w:rsidP="00AD59FE"/>
    <w:p w14:paraId="7E61BEE4" w14:textId="77777777" w:rsidR="008E4243" w:rsidRPr="005E1DF4" w:rsidRDefault="00000000" w:rsidP="008348CF">
      <w:pPr>
        <w:pStyle w:val="Heading2"/>
        <w:jc w:val="both"/>
      </w:pPr>
      <w:r w:rsidRPr="005E1DF4">
        <w:lastRenderedPageBreak/>
        <w:t>The maturity model</w:t>
      </w:r>
    </w:p>
    <w:p w14:paraId="2007438F" w14:textId="0357A5D6" w:rsidR="008E4243" w:rsidRPr="005E1DF4" w:rsidRDefault="00000000" w:rsidP="008348CF">
      <w:pPr>
        <w:spacing w:before="120" w:after="120"/>
        <w:jc w:val="both"/>
      </w:pPr>
      <w:r w:rsidRPr="005E1DF4">
        <w:rPr>
          <w:highlight w:val="white"/>
        </w:rPr>
        <w:t xml:space="preserve">The maturity model defines an organization's ability to implement the pipeline at all five stages, as shown in Table 5. The model is, as you would </w:t>
      </w:r>
      <w:proofErr w:type="gramStart"/>
      <w:r w:rsidRPr="005E1DF4">
        <w:rPr>
          <w:highlight w:val="white"/>
        </w:rPr>
        <w:t>expect</w:t>
      </w:r>
      <w:proofErr w:type="gramEnd"/>
      <w:r w:rsidRPr="005E1DF4">
        <w:rPr>
          <w:highlight w:val="white"/>
        </w:rPr>
        <w:t xml:space="preserve"> a diagnosis. It tells you where your </w:t>
      </w:r>
      <w:proofErr w:type="spellStart"/>
      <w:r w:rsidRPr="005E1DF4">
        <w:rPr>
          <w:highlight w:val="white"/>
        </w:rPr>
        <w:t>organisation</w:t>
      </w:r>
      <w:proofErr w:type="spellEnd"/>
      <w:r w:rsidRPr="005E1DF4">
        <w:rPr>
          <w:highlight w:val="white"/>
        </w:rPr>
        <w:t xml:space="preserve"> is at as well as what technical and governance requirements you </w:t>
      </w:r>
      <w:proofErr w:type="gramStart"/>
      <w:r w:rsidRPr="005E1DF4">
        <w:rPr>
          <w:highlight w:val="white"/>
        </w:rPr>
        <w:t>have to</w:t>
      </w:r>
      <w:proofErr w:type="gramEnd"/>
      <w:r w:rsidRPr="005E1DF4">
        <w:rPr>
          <w:highlight w:val="white"/>
        </w:rPr>
        <w:t xml:space="preserve"> meet to move your </w:t>
      </w:r>
      <w:proofErr w:type="spellStart"/>
      <w:r w:rsidRPr="005E1DF4">
        <w:rPr>
          <w:highlight w:val="white"/>
        </w:rPr>
        <w:t>organisation</w:t>
      </w:r>
      <w:proofErr w:type="spellEnd"/>
      <w:r w:rsidRPr="005E1DF4">
        <w:rPr>
          <w:highlight w:val="white"/>
        </w:rPr>
        <w:t xml:space="preserve"> to the next level, enabling you to advance step by step and </w:t>
      </w:r>
      <w:proofErr w:type="spellStart"/>
      <w:r w:rsidRPr="005E1DF4">
        <w:rPr>
          <w:highlight w:val="white"/>
        </w:rPr>
        <w:t>minimise</w:t>
      </w:r>
      <w:proofErr w:type="spellEnd"/>
      <w:r w:rsidRPr="005E1DF4">
        <w:rPr>
          <w:highlight w:val="white"/>
        </w:rPr>
        <w:t xml:space="preserve"> risk as recommended by </w:t>
      </w:r>
      <w:proofErr w:type="gramStart"/>
      <w:r w:rsidRPr="005E1DF4">
        <w:rPr>
          <w:highlight w:val="white"/>
        </w:rPr>
        <w:t>all of</w:t>
      </w:r>
      <w:proofErr w:type="gramEnd"/>
      <w:r w:rsidRPr="005E1DF4">
        <w:rPr>
          <w:highlight w:val="white"/>
        </w:rPr>
        <w:t xml:space="preserve"> the suggested pathways.</w:t>
      </w:r>
      <w:r w:rsidRPr="005E1DF4">
        <w:t xml:space="preserve"> </w:t>
      </w:r>
    </w:p>
    <w:p w14:paraId="51B7755A" w14:textId="77777777" w:rsidR="008E4243" w:rsidRPr="005E1DF4" w:rsidRDefault="00000000" w:rsidP="008348CF">
      <w:pPr>
        <w:spacing w:before="120" w:after="120"/>
        <w:jc w:val="both"/>
      </w:pPr>
      <w:r w:rsidRPr="005E1DF4">
        <w:rPr>
          <w:b/>
          <w:bCs/>
        </w:rPr>
        <w:t>Table 5. Digital Transformation Maturity Model for AI-driven ERP systems (DTMM-AI-ERP).</w:t>
      </w:r>
    </w:p>
    <w:tbl>
      <w:tblPr>
        <w:tblStyle w:val="a3"/>
        <w:tblW w:w="93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0"/>
        <w:gridCol w:w="2520"/>
        <w:gridCol w:w="2620"/>
        <w:gridCol w:w="2620"/>
      </w:tblGrid>
      <w:tr w:rsidR="008E4243" w:rsidRPr="005E1DF4" w14:paraId="2F5BC6C1" w14:textId="77777777" w:rsidTr="00AD59FE">
        <w:trPr>
          <w:tblHeader/>
          <w:jc w:val="center"/>
        </w:trPr>
        <w:tc>
          <w:tcPr>
            <w:tcW w:w="1600" w:type="dxa"/>
            <w:tcBorders>
              <w:top w:val="single" w:sz="4" w:space="0" w:color="999999"/>
              <w:left w:val="single" w:sz="4" w:space="0" w:color="999999"/>
              <w:bottom w:val="single" w:sz="4" w:space="0" w:color="999999"/>
              <w:right w:val="single" w:sz="4" w:space="0" w:color="999999"/>
            </w:tcBorders>
            <w:shd w:val="clear" w:color="auto" w:fill="FFFFFF" w:themeFill="background1"/>
            <w:tcMar>
              <w:top w:w="60" w:type="dxa"/>
              <w:left w:w="100" w:type="dxa"/>
              <w:bottom w:w="60" w:type="dxa"/>
              <w:right w:w="100" w:type="dxa"/>
            </w:tcMar>
          </w:tcPr>
          <w:p w14:paraId="061DE493" w14:textId="77777777" w:rsidR="008E4243" w:rsidRPr="00AD59FE" w:rsidRDefault="00000000" w:rsidP="00AD59FE">
            <w:pPr>
              <w:spacing w:before="20" w:after="20"/>
              <w:jc w:val="center"/>
              <w:rPr>
                <w:sz w:val="20"/>
                <w:szCs w:val="20"/>
              </w:rPr>
            </w:pPr>
            <w:r w:rsidRPr="00AD59FE">
              <w:rPr>
                <w:b/>
                <w:bCs/>
                <w:sz w:val="20"/>
                <w:szCs w:val="20"/>
              </w:rPr>
              <w:t>Maturity level</w:t>
            </w:r>
          </w:p>
        </w:tc>
        <w:tc>
          <w:tcPr>
            <w:tcW w:w="2520" w:type="dxa"/>
            <w:tcBorders>
              <w:top w:val="single" w:sz="4" w:space="0" w:color="999999"/>
              <w:left w:val="single" w:sz="4" w:space="0" w:color="999999"/>
              <w:bottom w:val="single" w:sz="4" w:space="0" w:color="999999"/>
              <w:right w:val="single" w:sz="4" w:space="0" w:color="999999"/>
            </w:tcBorders>
            <w:shd w:val="clear" w:color="auto" w:fill="FFFFFF" w:themeFill="background1"/>
            <w:tcMar>
              <w:top w:w="60" w:type="dxa"/>
              <w:left w:w="100" w:type="dxa"/>
              <w:bottom w:w="60" w:type="dxa"/>
              <w:right w:w="100" w:type="dxa"/>
            </w:tcMar>
          </w:tcPr>
          <w:p w14:paraId="43D69DF0" w14:textId="77777777" w:rsidR="008E4243" w:rsidRPr="00AD59FE" w:rsidRDefault="00000000" w:rsidP="00AD59FE">
            <w:pPr>
              <w:spacing w:before="20" w:after="20"/>
              <w:jc w:val="center"/>
              <w:rPr>
                <w:sz w:val="20"/>
                <w:szCs w:val="20"/>
              </w:rPr>
            </w:pPr>
            <w:r w:rsidRPr="00AD59FE">
              <w:rPr>
                <w:b/>
                <w:bCs/>
                <w:sz w:val="20"/>
                <w:szCs w:val="20"/>
              </w:rPr>
              <w:t>Primary focus</w:t>
            </w:r>
          </w:p>
        </w:tc>
        <w:tc>
          <w:tcPr>
            <w:tcW w:w="2620" w:type="dxa"/>
            <w:tcBorders>
              <w:top w:val="single" w:sz="4" w:space="0" w:color="999999"/>
              <w:left w:val="single" w:sz="4" w:space="0" w:color="999999"/>
              <w:bottom w:val="single" w:sz="4" w:space="0" w:color="999999"/>
              <w:right w:val="single" w:sz="4" w:space="0" w:color="999999"/>
            </w:tcBorders>
            <w:shd w:val="clear" w:color="auto" w:fill="FFFFFF" w:themeFill="background1"/>
            <w:tcMar>
              <w:top w:w="60" w:type="dxa"/>
              <w:left w:w="100" w:type="dxa"/>
              <w:bottom w:w="60" w:type="dxa"/>
              <w:right w:w="100" w:type="dxa"/>
            </w:tcMar>
          </w:tcPr>
          <w:p w14:paraId="1B75E56B" w14:textId="77777777" w:rsidR="008E4243" w:rsidRPr="00AD59FE" w:rsidRDefault="00000000" w:rsidP="00AD59FE">
            <w:pPr>
              <w:spacing w:before="20" w:after="20"/>
              <w:jc w:val="center"/>
              <w:rPr>
                <w:sz w:val="20"/>
                <w:szCs w:val="20"/>
              </w:rPr>
            </w:pPr>
            <w:r w:rsidRPr="00AD59FE">
              <w:rPr>
                <w:b/>
                <w:bCs/>
                <w:sz w:val="20"/>
                <w:szCs w:val="20"/>
              </w:rPr>
              <w:t>Technical baseline</w:t>
            </w:r>
          </w:p>
        </w:tc>
        <w:tc>
          <w:tcPr>
            <w:tcW w:w="2620" w:type="dxa"/>
            <w:tcBorders>
              <w:top w:val="single" w:sz="4" w:space="0" w:color="999999"/>
              <w:left w:val="single" w:sz="4" w:space="0" w:color="999999"/>
              <w:bottom w:val="single" w:sz="4" w:space="0" w:color="999999"/>
              <w:right w:val="single" w:sz="4" w:space="0" w:color="999999"/>
            </w:tcBorders>
            <w:shd w:val="clear" w:color="auto" w:fill="FFFFFF" w:themeFill="background1"/>
            <w:tcMar>
              <w:top w:w="60" w:type="dxa"/>
              <w:left w:w="100" w:type="dxa"/>
              <w:bottom w:w="60" w:type="dxa"/>
              <w:right w:w="100" w:type="dxa"/>
            </w:tcMar>
          </w:tcPr>
          <w:p w14:paraId="14EEFC8F" w14:textId="77777777" w:rsidR="008E4243" w:rsidRPr="00AD59FE" w:rsidRDefault="00000000" w:rsidP="00AD59FE">
            <w:pPr>
              <w:spacing w:before="20" w:after="20"/>
              <w:jc w:val="center"/>
              <w:rPr>
                <w:sz w:val="20"/>
                <w:szCs w:val="20"/>
              </w:rPr>
            </w:pPr>
            <w:r w:rsidRPr="00AD59FE">
              <w:rPr>
                <w:b/>
                <w:bCs/>
                <w:sz w:val="20"/>
                <w:szCs w:val="20"/>
              </w:rPr>
              <w:t>Governance state</w:t>
            </w:r>
          </w:p>
        </w:tc>
      </w:tr>
      <w:tr w:rsidR="008E4243" w:rsidRPr="005E1DF4" w14:paraId="1AF84F2F" w14:textId="77777777" w:rsidTr="00AD59FE">
        <w:trPr>
          <w:jc w:val="center"/>
        </w:trPr>
        <w:tc>
          <w:tcPr>
            <w:tcW w:w="16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6EE4948E" w14:textId="77777777" w:rsidR="008E4243" w:rsidRPr="00AD59FE" w:rsidRDefault="00000000" w:rsidP="00AD59FE">
            <w:pPr>
              <w:spacing w:before="20" w:after="20"/>
              <w:jc w:val="center"/>
              <w:rPr>
                <w:sz w:val="20"/>
                <w:szCs w:val="20"/>
              </w:rPr>
            </w:pPr>
            <w:r w:rsidRPr="00AD59FE">
              <w:rPr>
                <w:sz w:val="20"/>
                <w:szCs w:val="20"/>
              </w:rPr>
              <w:t>Initial</w:t>
            </w:r>
          </w:p>
        </w:tc>
        <w:tc>
          <w:tcPr>
            <w:tcW w:w="252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5223FF80" w14:textId="77777777" w:rsidR="008E4243" w:rsidRPr="00AD59FE" w:rsidRDefault="00000000" w:rsidP="00AD59FE">
            <w:pPr>
              <w:spacing w:before="20" w:after="20"/>
              <w:jc w:val="center"/>
              <w:rPr>
                <w:sz w:val="20"/>
                <w:szCs w:val="20"/>
              </w:rPr>
            </w:pPr>
            <w:r w:rsidRPr="00AD59FE">
              <w:rPr>
                <w:sz w:val="20"/>
                <w:szCs w:val="20"/>
              </w:rPr>
              <w:t>Monolithic transaction processing; manual aggregation</w:t>
            </w:r>
          </w:p>
        </w:tc>
        <w:tc>
          <w:tcPr>
            <w:tcW w:w="262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4A0DAB57" w14:textId="77777777" w:rsidR="008E4243" w:rsidRPr="00AD59FE" w:rsidRDefault="00000000" w:rsidP="00AD59FE">
            <w:pPr>
              <w:spacing w:before="20" w:after="20"/>
              <w:jc w:val="center"/>
              <w:rPr>
                <w:sz w:val="20"/>
                <w:szCs w:val="20"/>
              </w:rPr>
            </w:pPr>
            <w:r w:rsidRPr="00AD59FE">
              <w:rPr>
                <w:sz w:val="20"/>
                <w:szCs w:val="20"/>
              </w:rPr>
              <w:t>Legacy on-premises hardware; disconnected silos; batch processing</w:t>
            </w:r>
          </w:p>
        </w:tc>
        <w:tc>
          <w:tcPr>
            <w:tcW w:w="262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0972FA48" w14:textId="77777777" w:rsidR="008E4243" w:rsidRPr="00AD59FE" w:rsidRDefault="00000000" w:rsidP="00AD59FE">
            <w:pPr>
              <w:spacing w:before="20" w:after="20"/>
              <w:jc w:val="center"/>
              <w:rPr>
                <w:sz w:val="20"/>
                <w:szCs w:val="20"/>
              </w:rPr>
            </w:pPr>
            <w:r w:rsidRPr="00AD59FE">
              <w:rPr>
                <w:sz w:val="20"/>
                <w:szCs w:val="20"/>
              </w:rPr>
              <w:t>High fragmentation; no structured governance; reactive stance</w:t>
            </w:r>
          </w:p>
        </w:tc>
      </w:tr>
      <w:tr w:rsidR="008E4243" w:rsidRPr="005E1DF4" w14:paraId="3F6F148C" w14:textId="77777777" w:rsidTr="00AD59FE">
        <w:trPr>
          <w:jc w:val="center"/>
        </w:trPr>
        <w:tc>
          <w:tcPr>
            <w:tcW w:w="16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43028C4D" w14:textId="77777777" w:rsidR="008E4243" w:rsidRPr="00AD59FE" w:rsidRDefault="00000000" w:rsidP="00AD59FE">
            <w:pPr>
              <w:spacing w:before="20" w:after="20"/>
              <w:jc w:val="center"/>
              <w:rPr>
                <w:sz w:val="20"/>
                <w:szCs w:val="20"/>
              </w:rPr>
            </w:pPr>
            <w:r w:rsidRPr="00AD59FE">
              <w:rPr>
                <w:sz w:val="20"/>
                <w:szCs w:val="20"/>
              </w:rPr>
              <w:t>Opportunistic</w:t>
            </w:r>
          </w:p>
        </w:tc>
        <w:tc>
          <w:tcPr>
            <w:tcW w:w="252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53CD31B9" w14:textId="77777777" w:rsidR="008E4243" w:rsidRPr="00AD59FE" w:rsidRDefault="00000000" w:rsidP="00AD59FE">
            <w:pPr>
              <w:spacing w:before="20" w:after="20"/>
              <w:jc w:val="center"/>
              <w:rPr>
                <w:sz w:val="20"/>
                <w:szCs w:val="20"/>
              </w:rPr>
            </w:pPr>
            <w:r w:rsidRPr="00AD59FE">
              <w:rPr>
                <w:sz w:val="20"/>
                <w:szCs w:val="20"/>
              </w:rPr>
              <w:t xml:space="preserve">Ad-hoc cloud migration; </w:t>
            </w:r>
            <w:proofErr w:type="spellStart"/>
            <w:r w:rsidRPr="00AD59FE">
              <w:rPr>
                <w:sz w:val="20"/>
                <w:szCs w:val="20"/>
              </w:rPr>
              <w:t>localised</w:t>
            </w:r>
            <w:proofErr w:type="spellEnd"/>
            <w:r w:rsidRPr="00AD59FE">
              <w:rPr>
                <w:sz w:val="20"/>
                <w:szCs w:val="20"/>
              </w:rPr>
              <w:t xml:space="preserve"> automation pilots</w:t>
            </w:r>
          </w:p>
        </w:tc>
        <w:tc>
          <w:tcPr>
            <w:tcW w:w="262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01F9788D" w14:textId="77777777" w:rsidR="008E4243" w:rsidRPr="00AD59FE" w:rsidRDefault="00000000" w:rsidP="00AD59FE">
            <w:pPr>
              <w:spacing w:before="20" w:after="20"/>
              <w:jc w:val="center"/>
              <w:rPr>
                <w:sz w:val="20"/>
                <w:szCs w:val="20"/>
              </w:rPr>
            </w:pPr>
            <w:r w:rsidRPr="00AD59FE">
              <w:rPr>
                <w:sz w:val="20"/>
                <w:szCs w:val="20"/>
              </w:rPr>
              <w:t xml:space="preserve">Hybrid environments; basic RPA; </w:t>
            </w:r>
            <w:proofErr w:type="spellStart"/>
            <w:r w:rsidRPr="00AD59FE">
              <w:rPr>
                <w:sz w:val="20"/>
                <w:szCs w:val="20"/>
              </w:rPr>
              <w:t>localised</w:t>
            </w:r>
            <w:proofErr w:type="spellEnd"/>
            <w:r w:rsidRPr="00AD59FE">
              <w:rPr>
                <w:sz w:val="20"/>
                <w:szCs w:val="20"/>
              </w:rPr>
              <w:t xml:space="preserve"> API integration</w:t>
            </w:r>
          </w:p>
        </w:tc>
        <w:tc>
          <w:tcPr>
            <w:tcW w:w="262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5A9273BE" w14:textId="77777777" w:rsidR="008E4243" w:rsidRPr="00AD59FE" w:rsidRDefault="00000000" w:rsidP="00AD59FE">
            <w:pPr>
              <w:spacing w:before="20" w:after="20"/>
              <w:jc w:val="center"/>
              <w:rPr>
                <w:sz w:val="20"/>
                <w:szCs w:val="20"/>
              </w:rPr>
            </w:pPr>
            <w:proofErr w:type="spellStart"/>
            <w:r w:rsidRPr="00AD59FE">
              <w:rPr>
                <w:sz w:val="20"/>
                <w:szCs w:val="20"/>
              </w:rPr>
              <w:t>Standardised</w:t>
            </w:r>
            <w:proofErr w:type="spellEnd"/>
            <w:r w:rsidRPr="00AD59FE">
              <w:rPr>
                <w:sz w:val="20"/>
                <w:szCs w:val="20"/>
              </w:rPr>
              <w:t xml:space="preserve"> reporting in </w:t>
            </w:r>
            <w:proofErr w:type="gramStart"/>
            <w:r w:rsidRPr="00AD59FE">
              <w:rPr>
                <w:sz w:val="20"/>
                <w:szCs w:val="20"/>
              </w:rPr>
              <w:t>select</w:t>
            </w:r>
            <w:proofErr w:type="gramEnd"/>
            <w:r w:rsidRPr="00AD59FE">
              <w:rPr>
                <w:sz w:val="20"/>
                <w:szCs w:val="20"/>
              </w:rPr>
              <w:t xml:space="preserve"> units; manual compliance</w:t>
            </w:r>
          </w:p>
        </w:tc>
      </w:tr>
      <w:tr w:rsidR="008E4243" w:rsidRPr="005E1DF4" w14:paraId="3DF0EA87" w14:textId="77777777" w:rsidTr="00AD59FE">
        <w:trPr>
          <w:jc w:val="center"/>
        </w:trPr>
        <w:tc>
          <w:tcPr>
            <w:tcW w:w="16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23740525" w14:textId="77777777" w:rsidR="008E4243" w:rsidRPr="00AD59FE" w:rsidRDefault="00000000" w:rsidP="00AD59FE">
            <w:pPr>
              <w:spacing w:before="20" w:after="20"/>
              <w:jc w:val="center"/>
              <w:rPr>
                <w:sz w:val="20"/>
                <w:szCs w:val="20"/>
              </w:rPr>
            </w:pPr>
            <w:r w:rsidRPr="00AD59FE">
              <w:rPr>
                <w:sz w:val="20"/>
                <w:szCs w:val="20"/>
              </w:rPr>
              <w:t>Integrated</w:t>
            </w:r>
          </w:p>
        </w:tc>
        <w:tc>
          <w:tcPr>
            <w:tcW w:w="252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34F61E74" w14:textId="77777777" w:rsidR="008E4243" w:rsidRPr="00AD59FE" w:rsidRDefault="00000000" w:rsidP="00AD59FE">
            <w:pPr>
              <w:spacing w:before="20" w:after="20"/>
              <w:jc w:val="center"/>
              <w:rPr>
                <w:sz w:val="20"/>
                <w:szCs w:val="20"/>
              </w:rPr>
            </w:pPr>
            <w:r w:rsidRPr="00AD59FE">
              <w:rPr>
                <w:sz w:val="20"/>
                <w:szCs w:val="20"/>
              </w:rPr>
              <w:t>Unified cloud-native database with embedded analytics</w:t>
            </w:r>
          </w:p>
        </w:tc>
        <w:tc>
          <w:tcPr>
            <w:tcW w:w="262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60FB22F4" w14:textId="77777777" w:rsidR="008E4243" w:rsidRPr="00AD59FE" w:rsidRDefault="00000000" w:rsidP="00AD59FE">
            <w:pPr>
              <w:spacing w:before="20" w:after="20"/>
              <w:jc w:val="center"/>
              <w:rPr>
                <w:sz w:val="20"/>
                <w:szCs w:val="20"/>
              </w:rPr>
            </w:pPr>
            <w:r w:rsidRPr="00AD59FE">
              <w:rPr>
                <w:sz w:val="20"/>
                <w:szCs w:val="20"/>
              </w:rPr>
              <w:t xml:space="preserve">Multi-module cloud ERP; in-memory processing; </w:t>
            </w:r>
            <w:proofErr w:type="spellStart"/>
            <w:r w:rsidRPr="00AD59FE">
              <w:rPr>
                <w:sz w:val="20"/>
                <w:szCs w:val="20"/>
              </w:rPr>
              <w:t>standardised</w:t>
            </w:r>
            <w:proofErr w:type="spellEnd"/>
            <w:r w:rsidRPr="00AD59FE">
              <w:rPr>
                <w:sz w:val="20"/>
                <w:szCs w:val="20"/>
              </w:rPr>
              <w:t xml:space="preserve"> APIs</w:t>
            </w:r>
          </w:p>
        </w:tc>
        <w:tc>
          <w:tcPr>
            <w:tcW w:w="262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1D78CA2D" w14:textId="77777777" w:rsidR="008E4243" w:rsidRPr="00AD59FE" w:rsidRDefault="00000000" w:rsidP="00AD59FE">
            <w:pPr>
              <w:spacing w:before="20" w:after="20"/>
              <w:jc w:val="center"/>
              <w:rPr>
                <w:sz w:val="20"/>
                <w:szCs w:val="20"/>
              </w:rPr>
            </w:pPr>
            <w:r w:rsidRPr="00AD59FE">
              <w:rPr>
                <w:sz w:val="20"/>
                <w:szCs w:val="20"/>
              </w:rPr>
              <w:t>Established governance; defined stewardship; systematic compliance</w:t>
            </w:r>
          </w:p>
        </w:tc>
      </w:tr>
      <w:tr w:rsidR="008E4243" w:rsidRPr="005E1DF4" w14:paraId="4E5513DE" w14:textId="77777777" w:rsidTr="00AD59FE">
        <w:trPr>
          <w:jc w:val="center"/>
        </w:trPr>
        <w:tc>
          <w:tcPr>
            <w:tcW w:w="16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5E621023" w14:textId="77777777" w:rsidR="008E4243" w:rsidRPr="00AD59FE" w:rsidRDefault="00000000" w:rsidP="00AD59FE">
            <w:pPr>
              <w:spacing w:before="20" w:after="20"/>
              <w:jc w:val="center"/>
              <w:rPr>
                <w:sz w:val="20"/>
                <w:szCs w:val="20"/>
              </w:rPr>
            </w:pPr>
            <w:r w:rsidRPr="00AD59FE">
              <w:rPr>
                <w:sz w:val="20"/>
                <w:szCs w:val="20"/>
              </w:rPr>
              <w:t>Intelligent</w:t>
            </w:r>
          </w:p>
        </w:tc>
        <w:tc>
          <w:tcPr>
            <w:tcW w:w="252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7311F969" w14:textId="77777777" w:rsidR="008E4243" w:rsidRPr="00AD59FE" w:rsidRDefault="00000000" w:rsidP="00AD59FE">
            <w:pPr>
              <w:spacing w:before="20" w:after="20"/>
              <w:jc w:val="center"/>
              <w:rPr>
                <w:sz w:val="20"/>
                <w:szCs w:val="20"/>
              </w:rPr>
            </w:pPr>
            <w:r w:rsidRPr="00AD59FE">
              <w:rPr>
                <w:sz w:val="20"/>
                <w:szCs w:val="20"/>
              </w:rPr>
              <w:t>Proactive decision support; embedded forecasting</w:t>
            </w:r>
          </w:p>
        </w:tc>
        <w:tc>
          <w:tcPr>
            <w:tcW w:w="262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139A242A" w14:textId="77777777" w:rsidR="008E4243" w:rsidRPr="00AD59FE" w:rsidRDefault="00000000" w:rsidP="00AD59FE">
            <w:pPr>
              <w:spacing w:before="20" w:after="20"/>
              <w:jc w:val="center"/>
              <w:rPr>
                <w:sz w:val="20"/>
                <w:szCs w:val="20"/>
              </w:rPr>
            </w:pPr>
            <w:r w:rsidRPr="00AD59FE">
              <w:rPr>
                <w:sz w:val="20"/>
                <w:szCs w:val="20"/>
              </w:rPr>
              <w:t>Embedded ML models; custom dashboards; NLP interfaces</w:t>
            </w:r>
          </w:p>
        </w:tc>
        <w:tc>
          <w:tcPr>
            <w:tcW w:w="262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1B6A0BD8" w14:textId="77777777" w:rsidR="008E4243" w:rsidRPr="00AD59FE" w:rsidRDefault="00000000" w:rsidP="00AD59FE">
            <w:pPr>
              <w:spacing w:before="20" w:after="20"/>
              <w:jc w:val="center"/>
              <w:rPr>
                <w:sz w:val="20"/>
                <w:szCs w:val="20"/>
              </w:rPr>
            </w:pPr>
            <w:r w:rsidRPr="00AD59FE">
              <w:rPr>
                <w:sz w:val="20"/>
                <w:szCs w:val="20"/>
              </w:rPr>
              <w:t>Advanced data lineage; continuous risk monitoring; high readiness</w:t>
            </w:r>
          </w:p>
        </w:tc>
      </w:tr>
      <w:tr w:rsidR="008E4243" w:rsidRPr="005E1DF4" w14:paraId="589E8E65" w14:textId="77777777" w:rsidTr="00AD59FE">
        <w:trPr>
          <w:jc w:val="center"/>
        </w:trPr>
        <w:tc>
          <w:tcPr>
            <w:tcW w:w="16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30E8008B" w14:textId="77777777" w:rsidR="008E4243" w:rsidRPr="00AD59FE" w:rsidRDefault="00000000" w:rsidP="00AD59FE">
            <w:pPr>
              <w:spacing w:before="20" w:after="20"/>
              <w:jc w:val="center"/>
              <w:rPr>
                <w:sz w:val="20"/>
                <w:szCs w:val="20"/>
              </w:rPr>
            </w:pPr>
            <w:r w:rsidRPr="00AD59FE">
              <w:rPr>
                <w:sz w:val="20"/>
                <w:szCs w:val="20"/>
              </w:rPr>
              <w:t>Autonomous</w:t>
            </w:r>
          </w:p>
        </w:tc>
        <w:tc>
          <w:tcPr>
            <w:tcW w:w="252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4F69A69E" w14:textId="77777777" w:rsidR="008E4243" w:rsidRPr="00AD59FE" w:rsidRDefault="00000000" w:rsidP="00AD59FE">
            <w:pPr>
              <w:spacing w:before="20" w:after="20"/>
              <w:jc w:val="center"/>
              <w:rPr>
                <w:sz w:val="20"/>
                <w:szCs w:val="20"/>
              </w:rPr>
            </w:pPr>
            <w:r w:rsidRPr="00AD59FE">
              <w:rPr>
                <w:sz w:val="20"/>
                <w:szCs w:val="20"/>
              </w:rPr>
              <w:t>Self-</w:t>
            </w:r>
            <w:proofErr w:type="spellStart"/>
            <w:r w:rsidRPr="00AD59FE">
              <w:rPr>
                <w:sz w:val="20"/>
                <w:szCs w:val="20"/>
              </w:rPr>
              <w:t>optimising</w:t>
            </w:r>
            <w:proofErr w:type="spellEnd"/>
            <w:r w:rsidRPr="00AD59FE">
              <w:rPr>
                <w:sz w:val="20"/>
                <w:szCs w:val="20"/>
              </w:rPr>
              <w:t xml:space="preserve"> cognitive workflows; adaptive execution</w:t>
            </w:r>
          </w:p>
        </w:tc>
        <w:tc>
          <w:tcPr>
            <w:tcW w:w="262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2329D83D" w14:textId="77777777" w:rsidR="008E4243" w:rsidRPr="00AD59FE" w:rsidRDefault="00000000" w:rsidP="00AD59FE">
            <w:pPr>
              <w:spacing w:before="20" w:after="20"/>
              <w:jc w:val="center"/>
              <w:rPr>
                <w:sz w:val="20"/>
                <w:szCs w:val="20"/>
              </w:rPr>
            </w:pPr>
            <w:r w:rsidRPr="00AD59FE">
              <w:rPr>
                <w:sz w:val="20"/>
                <w:szCs w:val="20"/>
              </w:rPr>
              <w:t xml:space="preserve">Agentic AI; self-healing reconciliation; </w:t>
            </w:r>
            <w:proofErr w:type="spellStart"/>
            <w:r w:rsidRPr="00AD59FE">
              <w:rPr>
                <w:sz w:val="20"/>
                <w:szCs w:val="20"/>
              </w:rPr>
              <w:t>MLOps</w:t>
            </w:r>
            <w:proofErr w:type="spellEnd"/>
            <w:r w:rsidRPr="00AD59FE">
              <w:rPr>
                <w:sz w:val="20"/>
                <w:szCs w:val="20"/>
              </w:rPr>
              <w:t xml:space="preserve"> orchestration</w:t>
            </w:r>
          </w:p>
        </w:tc>
        <w:tc>
          <w:tcPr>
            <w:tcW w:w="262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175951A9" w14:textId="77777777" w:rsidR="008E4243" w:rsidRPr="00AD59FE" w:rsidRDefault="00000000" w:rsidP="00AD59FE">
            <w:pPr>
              <w:spacing w:before="20" w:after="20"/>
              <w:jc w:val="center"/>
              <w:rPr>
                <w:sz w:val="20"/>
                <w:szCs w:val="20"/>
              </w:rPr>
            </w:pPr>
            <w:r w:rsidRPr="00AD59FE">
              <w:rPr>
                <w:sz w:val="20"/>
                <w:szCs w:val="20"/>
              </w:rPr>
              <w:t xml:space="preserve">Zero Trust; AI </w:t>
            </w:r>
            <w:proofErr w:type="spellStart"/>
            <w:r w:rsidRPr="00AD59FE">
              <w:rPr>
                <w:sz w:val="20"/>
                <w:szCs w:val="20"/>
              </w:rPr>
              <w:t>TRiSM</w:t>
            </w:r>
            <w:proofErr w:type="spellEnd"/>
            <w:r w:rsidRPr="00AD59FE">
              <w:rPr>
                <w:sz w:val="20"/>
                <w:szCs w:val="20"/>
              </w:rPr>
              <w:t>; explainable-AI assurance</w:t>
            </w:r>
          </w:p>
        </w:tc>
      </w:tr>
    </w:tbl>
    <w:p w14:paraId="70C12CE9" w14:textId="3DE4DFF4" w:rsidR="00AD59FE" w:rsidRPr="005E1DF4" w:rsidRDefault="00000000" w:rsidP="008348CF">
      <w:pPr>
        <w:spacing w:before="240" w:after="240"/>
        <w:jc w:val="both"/>
      </w:pPr>
      <w:r w:rsidRPr="005E1DF4">
        <w:rPr>
          <w:highlight w:val="white"/>
        </w:rPr>
        <w:t xml:space="preserve">The integrated pipeline and maturity model's basic conceptual assumption is that throughout the different levels of maturity, the same operational pipeline can be found, but with varying degrees of automation, degree of analysis complexity and/or governance requirements. In contrast to the Initial level organization which is still allowed to run through the first two stages manually, an autonomous enterprise will run through </w:t>
      </w:r>
      <w:proofErr w:type="gramStart"/>
      <w:r w:rsidRPr="005E1DF4">
        <w:rPr>
          <w:highlight w:val="white"/>
        </w:rPr>
        <w:t>all of</w:t>
      </w:r>
      <w:proofErr w:type="gramEnd"/>
      <w:r w:rsidRPr="005E1DF4">
        <w:rPr>
          <w:highlight w:val="white"/>
        </w:rPr>
        <w:t xml:space="preserve"> the stages within a comprehensive governance ecosystem without the intense help or assistance of a human being. The approach proposed here addresses RQ4 by giving maturity thresholds, technical benchmarks, and socio technical constraints to think through when thinking of approaches from a perspective of autonomous operations. Figure 1 presents the embedded structure, which depicts the five stages of the decision pipeline at each level of maturity, each of which is increasingly autonomous, complex, and developed with better governance as the organization matures. The picture very clearly illustrates the core concept of the paper which is that the same operational process is applied to every stage, and the more the realization of this comes about the more it achieves the agility of </w:t>
      </w:r>
      <w:proofErr w:type="spellStart"/>
      <w:r w:rsidRPr="005E1DF4">
        <w:rPr>
          <w:highlight w:val="white"/>
        </w:rPr>
        <w:t>organisation</w:t>
      </w:r>
      <w:proofErr w:type="spellEnd"/>
      <w:r w:rsidRPr="005E1DF4">
        <w:rPr>
          <w:highlight w:val="white"/>
        </w:rPr>
        <w:t>.</w:t>
      </w:r>
    </w:p>
    <w:p w14:paraId="0FB3DD14" w14:textId="77777777" w:rsidR="00AD59FE" w:rsidRDefault="00000000" w:rsidP="00AD59FE">
      <w:pPr>
        <w:spacing w:before="120" w:after="80"/>
        <w:jc w:val="both"/>
      </w:pPr>
      <w:r w:rsidRPr="005E1DF4">
        <w:rPr>
          <w:noProof/>
        </w:rPr>
        <w:drawing>
          <wp:inline distT="0" distB="0" distL="0" distR="0" wp14:anchorId="10BDE82D" wp14:editId="021239F4">
            <wp:extent cx="5858540" cy="2445381"/>
            <wp:effectExtent l="0" t="0" r="0" b="0"/>
            <wp:docPr id="1" name="image1.png" descr="Closed-loop pipeline coupled to a five-level AI-ERP maturity model"/>
            <wp:cNvGraphicFramePr/>
            <a:graphic xmlns:a="http://schemas.openxmlformats.org/drawingml/2006/main">
              <a:graphicData uri="http://schemas.openxmlformats.org/drawingml/2006/picture">
                <pic:pic xmlns:pic="http://schemas.openxmlformats.org/drawingml/2006/picture">
                  <pic:nvPicPr>
                    <pic:cNvPr id="0" name="image1.png" descr="Closed-loop pipeline coupled to a five-level AI-ERP maturity model"/>
                    <pic:cNvPicPr preferRelativeResize="0"/>
                  </pic:nvPicPr>
                  <pic:blipFill>
                    <a:blip r:embed="rId16"/>
                    <a:srcRect/>
                    <a:stretch>
                      <a:fillRect/>
                    </a:stretch>
                  </pic:blipFill>
                  <pic:spPr>
                    <a:xfrm>
                      <a:off x="0" y="0"/>
                      <a:ext cx="5966710" cy="2490532"/>
                    </a:xfrm>
                    <a:prstGeom prst="rect">
                      <a:avLst/>
                    </a:prstGeom>
                    <a:ln/>
                  </pic:spPr>
                </pic:pic>
              </a:graphicData>
            </a:graphic>
          </wp:inline>
        </w:drawing>
      </w:r>
    </w:p>
    <w:p w14:paraId="4B48B139" w14:textId="1045F333" w:rsidR="00AD59FE" w:rsidRPr="005E1DF4" w:rsidRDefault="00AD59FE" w:rsidP="008348CF">
      <w:pPr>
        <w:spacing w:before="120" w:after="80"/>
        <w:jc w:val="both"/>
      </w:pPr>
      <w:r w:rsidRPr="005E1DF4">
        <w:rPr>
          <w:b/>
          <w:bCs/>
        </w:rPr>
        <w:t>Figure 1. Unified conceptual framework linking the closed-loop decision pipeline to the AI-ERP maturity model. Source: author's own work.</w:t>
      </w:r>
    </w:p>
    <w:p w14:paraId="38197162" w14:textId="77777777" w:rsidR="008E4243" w:rsidRPr="005E1DF4" w:rsidRDefault="00000000" w:rsidP="008348CF">
      <w:pPr>
        <w:pStyle w:val="Heading1"/>
        <w:jc w:val="both"/>
      </w:pPr>
      <w:r w:rsidRPr="005E1DF4">
        <w:lastRenderedPageBreak/>
        <w:t>DISCUSSION AND FINDINGS</w:t>
      </w:r>
    </w:p>
    <w:p w14:paraId="431F8356" w14:textId="77777777" w:rsidR="008E4243" w:rsidRPr="005E1DF4" w:rsidRDefault="00000000" w:rsidP="008348CF">
      <w:pPr>
        <w:spacing w:before="240" w:after="240"/>
        <w:jc w:val="both"/>
      </w:pPr>
      <w:r w:rsidRPr="005E1DF4">
        <w:rPr>
          <w:rFonts w:eastAsia="Arial"/>
          <w:sz w:val="23"/>
          <w:szCs w:val="23"/>
          <w:highlight w:val="white"/>
        </w:rPr>
        <w:t>Synthesis work is studied in relation to the subject matter of study and literature. The findings in this discussion are described as 'associative findings' and as multiple supporting evidence, guided by the conceptual review process</w:t>
      </w:r>
      <w:r w:rsidRPr="005E1DF4">
        <w:t>.</w:t>
      </w:r>
    </w:p>
    <w:p w14:paraId="2AFE3FB4" w14:textId="77777777" w:rsidR="008E4243" w:rsidRPr="005E1DF4" w:rsidRDefault="00000000" w:rsidP="008348CF">
      <w:pPr>
        <w:pStyle w:val="Heading2"/>
        <w:jc w:val="both"/>
      </w:pPr>
      <w:r w:rsidRPr="005E1DF4">
        <w:t>Embedded intelligence and operational performance</w:t>
      </w:r>
    </w:p>
    <w:p w14:paraId="76DE9E79" w14:textId="77777777" w:rsidR="008E4243" w:rsidRPr="005E1DF4" w:rsidRDefault="00000000" w:rsidP="008348CF">
      <w:pPr>
        <w:spacing w:before="240" w:after="240"/>
        <w:jc w:val="both"/>
      </w:pPr>
      <w:r w:rsidRPr="005E1DF4">
        <w:rPr>
          <w:highlight w:val="white"/>
        </w:rPr>
        <w:t xml:space="preserve">The RQ2 is filled by the constant coupling between implementing machine learning in the ERP context that is more in contrast to the introduction of traditional ERP analytics and evidence associated with operational benefits across the corpus. Based on a survey enabled study for investigating AI–ERP integration, the most important main evidence is obtained in the study. The average reduction in task execution processing time achieved by business features after integration was 27 percent according to Godbole (2023) and accuracy, maintenance cost reduction, and overall equipment usage efficiency have been enhanced by up to 35 percent in companies that implemented predictive analytics. </w:t>
      </w:r>
      <w:proofErr w:type="gramStart"/>
      <w:r w:rsidRPr="005E1DF4">
        <w:rPr>
          <w:highlight w:val="white"/>
        </w:rPr>
        <w:t>However</w:t>
      </w:r>
      <w:proofErr w:type="gramEnd"/>
      <w:r w:rsidRPr="005E1DF4">
        <w:rPr>
          <w:highlight w:val="white"/>
        </w:rPr>
        <w:t xml:space="preserve"> it was found that customer satisfaction increased significantly with the application of artificial intelligence for customer </w:t>
      </w:r>
      <w:proofErr w:type="spellStart"/>
      <w:r w:rsidRPr="005E1DF4">
        <w:rPr>
          <w:highlight w:val="white"/>
        </w:rPr>
        <w:t>personalisation</w:t>
      </w:r>
      <w:proofErr w:type="spellEnd"/>
      <w:r w:rsidRPr="005E1DF4">
        <w:rPr>
          <w:highlight w:val="white"/>
        </w:rPr>
        <w:t xml:space="preserve">. Since for each presented statistics it's not general in overall literature the direction of these effects </w:t>
      </w:r>
      <w:proofErr w:type="gramStart"/>
      <w:r w:rsidRPr="005E1DF4">
        <w:rPr>
          <w:highlight w:val="white"/>
        </w:rPr>
        <w:t>are</w:t>
      </w:r>
      <w:proofErr w:type="gramEnd"/>
      <w:r w:rsidRPr="005E1DF4">
        <w:rPr>
          <w:highlight w:val="white"/>
        </w:rPr>
        <w:t xml:space="preserve"> supported but not convergent to comparable values (</w:t>
      </w:r>
      <w:proofErr w:type="spellStart"/>
      <w:r w:rsidRPr="005E1DF4">
        <w:rPr>
          <w:highlight w:val="white"/>
        </w:rPr>
        <w:t>Julakanti</w:t>
      </w:r>
      <w:proofErr w:type="spellEnd"/>
      <w:r w:rsidRPr="005E1DF4">
        <w:rPr>
          <w:highlight w:val="white"/>
        </w:rPr>
        <w:t xml:space="preserve"> et al., 2025; </w:t>
      </w:r>
      <w:proofErr w:type="spellStart"/>
      <w:r w:rsidRPr="005E1DF4">
        <w:rPr>
          <w:highlight w:val="white"/>
        </w:rPr>
        <w:t>Dziembek</w:t>
      </w:r>
      <w:proofErr w:type="spellEnd"/>
      <w:r w:rsidRPr="005E1DF4">
        <w:rPr>
          <w:highlight w:val="white"/>
        </w:rPr>
        <w:t xml:space="preserve"> &amp; Turek, 2025).</w:t>
      </w:r>
      <w:r w:rsidRPr="005E1DF4">
        <w:t xml:space="preserve"> </w:t>
      </w:r>
    </w:p>
    <w:p w14:paraId="5572901A" w14:textId="77777777" w:rsidR="008E4243" w:rsidRPr="005E1DF4" w:rsidRDefault="00000000" w:rsidP="008348CF">
      <w:pPr>
        <w:pStyle w:val="Heading2"/>
        <w:jc w:val="both"/>
        <w:rPr>
          <w:b w:val="0"/>
          <w:bCs w:val="0"/>
        </w:rPr>
      </w:pPr>
      <w:r w:rsidRPr="005E1DF4">
        <w:rPr>
          <w:b w:val="0"/>
          <w:bCs w:val="0"/>
          <w:highlight w:val="white"/>
        </w:rPr>
        <w:t xml:space="preserve">The mechanism described was replaced by that of primitive moving average models with the advanced learning architectures, such as those based on recurrent networks and ensemble methods, which are combined directly at the analytical modules that utilize real-time external signals from the suppliers, such as lead times, economic indicators and others, without focusing purely on internal historical data (Jawad &amp; Balázs, 2024). Unsupervised anomaly detection approaches can track complex </w:t>
      </w:r>
      <w:proofErr w:type="spellStart"/>
      <w:r w:rsidRPr="005E1DF4">
        <w:rPr>
          <w:b w:val="0"/>
          <w:bCs w:val="0"/>
          <w:highlight w:val="white"/>
        </w:rPr>
        <w:t>larg</w:t>
      </w:r>
      <w:proofErr w:type="spellEnd"/>
      <w:r w:rsidRPr="005E1DF4">
        <w:rPr>
          <w:b w:val="0"/>
          <w:bCs w:val="0"/>
          <w:highlight w:val="white"/>
        </w:rPr>
        <w:t xml:space="preserve"> -scale transactions and detect the anomalies of individual transactions in their execution, for example, in financial audits, on dimensions (e.g., </w:t>
      </w:r>
      <w:proofErr w:type="spellStart"/>
      <w:r w:rsidRPr="005E1DF4">
        <w:rPr>
          <w:b w:val="0"/>
          <w:bCs w:val="0"/>
          <w:highlight w:val="white"/>
        </w:rPr>
        <w:t>authorisation</w:t>
      </w:r>
      <w:proofErr w:type="spellEnd"/>
      <w:r w:rsidRPr="005E1DF4">
        <w:rPr>
          <w:b w:val="0"/>
          <w:bCs w:val="0"/>
          <w:highlight w:val="white"/>
        </w:rPr>
        <w:t xml:space="preserve"> level or vendor profile) (Zhang, 2026). This prescriptive application, where the identified disruptions get ‘what-ifs’ to be done and follow up recommended actions, e.g., alternative supplier, alternative price, and logistics routing to maintain continuous operations, can be an embodiment of the sensing seizing transforming loop mentioned above (Liu et al., 2025; Lin &amp; Chen, 2026).</w:t>
      </w:r>
      <w:r w:rsidRPr="005E1DF4">
        <w:rPr>
          <w:b w:val="0"/>
          <w:bCs w:val="0"/>
        </w:rPr>
        <w:t xml:space="preserve"> </w:t>
      </w:r>
    </w:p>
    <w:p w14:paraId="270F10EF" w14:textId="77777777" w:rsidR="008E4243" w:rsidRPr="005E1DF4" w:rsidRDefault="008E4243" w:rsidP="008348CF">
      <w:pPr>
        <w:pStyle w:val="Heading2"/>
        <w:jc w:val="both"/>
      </w:pPr>
    </w:p>
    <w:p w14:paraId="0809725A" w14:textId="77777777" w:rsidR="008E4243" w:rsidRPr="005E1DF4" w:rsidRDefault="00000000" w:rsidP="008348CF">
      <w:pPr>
        <w:pStyle w:val="Heading2"/>
        <w:jc w:val="both"/>
      </w:pPr>
      <w:r w:rsidRPr="005E1DF4">
        <w:t>Acceleration of the financial close</w:t>
      </w:r>
    </w:p>
    <w:p w14:paraId="6D748BC8" w14:textId="77777777" w:rsidR="008E4243" w:rsidRPr="005E1DF4" w:rsidRDefault="00000000" w:rsidP="008348CF">
      <w:pPr>
        <w:spacing w:before="240" w:after="240"/>
        <w:jc w:val="both"/>
      </w:pPr>
      <w:r w:rsidRPr="005E1DF4">
        <w:t xml:space="preserve">One of the main practical findings relates to </w:t>
      </w:r>
      <w:proofErr w:type="gramStart"/>
      <w:r w:rsidRPr="005E1DF4">
        <w:t>the financial</w:t>
      </w:r>
      <w:proofErr w:type="gramEnd"/>
      <w:r w:rsidRPr="005E1DF4">
        <w:t xml:space="preserve"> closure. </w:t>
      </w:r>
      <w:r w:rsidRPr="005E1DF4">
        <w:rPr>
          <w:highlight w:val="white"/>
        </w:rPr>
        <w:t xml:space="preserve">Generally, the conventional closure process has been manual and time consuming. This process is called by Oliveira &amp; Ribeiro (2022) to pull data out of several sub ledgers </w:t>
      </w:r>
      <w:proofErr w:type="gramStart"/>
      <w:r w:rsidRPr="005E1DF4">
        <w:rPr>
          <w:highlight w:val="white"/>
        </w:rPr>
        <w:t>in order to</w:t>
      </w:r>
      <w:proofErr w:type="gramEnd"/>
      <w:r w:rsidRPr="005E1DF4">
        <w:rPr>
          <w:highlight w:val="white"/>
        </w:rPr>
        <w:t xml:space="preserve"> unearth discrepancies. Therefore, timely closure of information is impossible. Using smart and intelligent process automation, automated reconciliation engines can link bank statements, card transactions, payables and receivables sub ledgers, and general ledgers, whereas touchless processing which incorporates natural language processing (NLP) and optical character recognition (OCR) can capture information in an invoice, execute a </w:t>
      </w:r>
      <w:proofErr w:type="gramStart"/>
      <w:r w:rsidRPr="005E1DF4">
        <w:rPr>
          <w:highlight w:val="white"/>
        </w:rPr>
        <w:t>three way</w:t>
      </w:r>
      <w:proofErr w:type="gramEnd"/>
      <w:r w:rsidRPr="005E1DF4">
        <w:rPr>
          <w:highlight w:val="white"/>
        </w:rPr>
        <w:t xml:space="preserve"> match, and post the same with minimum manual effort (</w:t>
      </w:r>
      <w:proofErr w:type="spellStart"/>
      <w:r w:rsidRPr="005E1DF4">
        <w:rPr>
          <w:highlight w:val="white"/>
        </w:rPr>
        <w:t>Thanasas</w:t>
      </w:r>
      <w:proofErr w:type="spellEnd"/>
      <w:r w:rsidRPr="005E1DF4">
        <w:rPr>
          <w:highlight w:val="white"/>
        </w:rPr>
        <w:t xml:space="preserve"> et al., 2026; Watson &amp; Schwarz, 2023). The result achieved is a transformation in the finance function </w:t>
      </w:r>
      <w:proofErr w:type="gramStart"/>
      <w:r w:rsidRPr="005E1DF4">
        <w:rPr>
          <w:highlight w:val="white"/>
        </w:rPr>
        <w:t>from an administrative cost center,</w:t>
      </w:r>
      <w:proofErr w:type="gramEnd"/>
      <w:r w:rsidRPr="005E1DF4">
        <w:rPr>
          <w:highlight w:val="white"/>
        </w:rPr>
        <w:t xml:space="preserve"> to a strategic advisor, giving immediate visibility to and real time key performance indicators on how things are doing in each part of this process. The finding in this study reflects the tale of management accounting literature, progress from backward looking to forward looking with explicit operational details.</w:t>
      </w:r>
      <w:r w:rsidRPr="005E1DF4">
        <w:t xml:space="preserve"> </w:t>
      </w:r>
    </w:p>
    <w:p w14:paraId="2B23747D" w14:textId="77777777" w:rsidR="008E4243" w:rsidRPr="005E1DF4" w:rsidRDefault="00000000" w:rsidP="008348CF">
      <w:pPr>
        <w:pStyle w:val="Heading2"/>
        <w:jc w:val="both"/>
      </w:pPr>
      <w:r w:rsidRPr="005E1DF4">
        <w:t>Sectoral expression of the agility benefit</w:t>
      </w:r>
    </w:p>
    <w:p w14:paraId="0A38AA91" w14:textId="77777777" w:rsidR="008E4243" w:rsidRPr="005E1DF4" w:rsidRDefault="00000000" w:rsidP="008348CF">
      <w:pPr>
        <w:spacing w:before="240" w:after="240"/>
        <w:jc w:val="both"/>
      </w:pPr>
      <w:r w:rsidRPr="005E1DF4">
        <w:rPr>
          <w:b/>
          <w:bCs/>
        </w:rPr>
        <w:t xml:space="preserve">Financial services. </w:t>
      </w:r>
    </w:p>
    <w:p w14:paraId="3AF43745" w14:textId="77777777" w:rsidR="008E4243" w:rsidRPr="005E1DF4" w:rsidRDefault="00000000" w:rsidP="008348CF">
      <w:pPr>
        <w:spacing w:before="240" w:after="240"/>
        <w:jc w:val="both"/>
      </w:pPr>
      <w:r w:rsidRPr="005E1DF4">
        <w:t>AI-driven features adjust budget resources based on macroeconomic shifts, and automate compliance audits, making it robust to maintain on going regulatory compliance (</w:t>
      </w:r>
      <w:proofErr w:type="spellStart"/>
      <w:r w:rsidRPr="005E1DF4">
        <w:t>Thanasas</w:t>
      </w:r>
      <w:proofErr w:type="spellEnd"/>
      <w:r w:rsidRPr="005E1DF4">
        <w:t xml:space="preserve"> et al., 2026; Zhang, 2026). These tools enable the finance executives to carry out forecast cash flow simulations and real time profitability stress assessments by subsidiary. </w:t>
      </w:r>
      <w:proofErr w:type="gramStart"/>
      <w:r w:rsidRPr="005E1DF4">
        <w:t>Financial agility</w:t>
      </w:r>
      <w:proofErr w:type="gramEnd"/>
      <w:r w:rsidRPr="005E1DF4">
        <w:t xml:space="preserve"> improvement is achieved because reforecasting and reallocating capital can be performed more often than with manual methods.</w:t>
      </w:r>
    </w:p>
    <w:p w14:paraId="0355721D" w14:textId="77777777" w:rsidR="008E4243" w:rsidRPr="005E1DF4" w:rsidRDefault="008E4243" w:rsidP="008348CF">
      <w:pPr>
        <w:spacing w:before="240" w:after="240"/>
        <w:jc w:val="both"/>
      </w:pPr>
    </w:p>
    <w:p w14:paraId="000767A1" w14:textId="77777777" w:rsidR="008E4243" w:rsidRPr="005E1DF4" w:rsidRDefault="00000000" w:rsidP="008348CF">
      <w:pPr>
        <w:spacing w:before="240" w:after="240"/>
        <w:jc w:val="both"/>
      </w:pPr>
      <w:r w:rsidRPr="005E1DF4">
        <w:rPr>
          <w:b/>
          <w:bCs/>
        </w:rPr>
        <w:lastRenderedPageBreak/>
        <w:t xml:space="preserve">Supply chain. </w:t>
      </w:r>
    </w:p>
    <w:p w14:paraId="371F3B98" w14:textId="77777777" w:rsidR="008E4243" w:rsidRPr="005E1DF4" w:rsidRDefault="00000000" w:rsidP="008348CF">
      <w:pPr>
        <w:spacing w:before="240" w:after="240"/>
        <w:jc w:val="both"/>
      </w:pPr>
      <w:r w:rsidRPr="005E1DF4">
        <w:rPr>
          <w:highlight w:val="white"/>
        </w:rPr>
        <w:t xml:space="preserve">Machine learning algorithms process IoT data in real time, historical shipping data and meteorological information to provide for demand estimations and optimal stock balancing and smart procurement systems automatically interpret the supplier risks (Liu et al., 2025; Modgil et al., 2022; </w:t>
      </w:r>
      <w:proofErr w:type="spellStart"/>
      <w:r w:rsidRPr="005E1DF4">
        <w:rPr>
          <w:highlight w:val="white"/>
        </w:rPr>
        <w:t>Boison</w:t>
      </w:r>
      <w:proofErr w:type="spellEnd"/>
      <w:r w:rsidRPr="005E1DF4">
        <w:rPr>
          <w:highlight w:val="white"/>
        </w:rPr>
        <w:t xml:space="preserve"> et al., 2025). And </w:t>
      </w:r>
      <w:proofErr w:type="gramStart"/>
      <w:r w:rsidRPr="005E1DF4">
        <w:rPr>
          <w:highlight w:val="white"/>
        </w:rPr>
        <w:t>all of</w:t>
      </w:r>
      <w:proofErr w:type="gramEnd"/>
      <w:r w:rsidRPr="005E1DF4">
        <w:rPr>
          <w:highlight w:val="white"/>
        </w:rPr>
        <w:t xml:space="preserve"> this literature fits with the attributes of enhanced resilience </w:t>
      </w:r>
      <w:proofErr w:type="gramStart"/>
      <w:r w:rsidRPr="005E1DF4">
        <w:rPr>
          <w:highlight w:val="white"/>
        </w:rPr>
        <w:t>in the midst of</w:t>
      </w:r>
      <w:proofErr w:type="gramEnd"/>
      <w:r w:rsidRPr="005E1DF4">
        <w:rPr>
          <w:highlight w:val="white"/>
        </w:rPr>
        <w:t xml:space="preserve"> disruptions.</w:t>
      </w:r>
      <w:r w:rsidRPr="005E1DF4">
        <w:t xml:space="preserve"> </w:t>
      </w:r>
    </w:p>
    <w:p w14:paraId="443E0139" w14:textId="77777777" w:rsidR="008E4243" w:rsidRPr="005E1DF4" w:rsidRDefault="00000000" w:rsidP="008348CF">
      <w:pPr>
        <w:spacing w:before="240" w:after="240"/>
        <w:jc w:val="both"/>
      </w:pPr>
      <w:r w:rsidRPr="005E1DF4">
        <w:rPr>
          <w:b/>
          <w:bCs/>
        </w:rPr>
        <w:t xml:space="preserve">Manufacturing. </w:t>
      </w:r>
    </w:p>
    <w:p w14:paraId="19C1C85E" w14:textId="77777777" w:rsidR="008E4243" w:rsidRPr="005E1DF4" w:rsidRDefault="00000000" w:rsidP="008348CF">
      <w:pPr>
        <w:spacing w:before="240" w:after="240"/>
        <w:jc w:val="both"/>
      </w:pPr>
      <w:r w:rsidRPr="005E1DF4">
        <w:rPr>
          <w:highlight w:val="white"/>
        </w:rPr>
        <w:t>Predictive maintenance models leverage vibration, temperature and cycle data acquired from IoT gateways to predict failures in systems to prepare maintenance from them in future to scheduled maintenance and updating of the master schedule (MS) (</w:t>
      </w:r>
      <w:proofErr w:type="spellStart"/>
      <w:r w:rsidRPr="005E1DF4">
        <w:rPr>
          <w:highlight w:val="white"/>
        </w:rPr>
        <w:t>Rakholia</w:t>
      </w:r>
      <w:proofErr w:type="spellEnd"/>
      <w:r w:rsidRPr="005E1DF4">
        <w:rPr>
          <w:highlight w:val="white"/>
        </w:rPr>
        <w:t xml:space="preserve"> et al., 2025; </w:t>
      </w:r>
      <w:proofErr w:type="spellStart"/>
      <w:r w:rsidRPr="005E1DF4">
        <w:rPr>
          <w:highlight w:val="white"/>
        </w:rPr>
        <w:t>Azeta</w:t>
      </w:r>
      <w:proofErr w:type="spellEnd"/>
      <w:r w:rsidRPr="005E1DF4">
        <w:rPr>
          <w:highlight w:val="white"/>
        </w:rPr>
        <w:t xml:space="preserve"> et al., 2026; Lin &amp; Chen, 2026). In summary, unplanned downtime is transformed into planned and scheduled intervention, a concrete example of sensing and seizing as dynamic capabilities that exist in the scenario.</w:t>
      </w:r>
      <w:r w:rsidRPr="005E1DF4">
        <w:t xml:space="preserve"> </w:t>
      </w:r>
    </w:p>
    <w:p w14:paraId="3A307DC3" w14:textId="77777777" w:rsidR="008E4243" w:rsidRPr="005E1DF4" w:rsidRDefault="00000000" w:rsidP="008348CF">
      <w:pPr>
        <w:spacing w:before="240" w:after="240"/>
        <w:jc w:val="both"/>
      </w:pPr>
      <w:r w:rsidRPr="005E1DF4">
        <w:rPr>
          <w:b/>
          <w:bCs/>
        </w:rPr>
        <w:t>Human-capital management</w:t>
      </w:r>
    </w:p>
    <w:p w14:paraId="715583D8" w14:textId="77777777" w:rsidR="008E4243" w:rsidRPr="005E1DF4" w:rsidRDefault="00000000" w:rsidP="008348CF">
      <w:pPr>
        <w:spacing w:before="240" w:after="240"/>
        <w:jc w:val="both"/>
      </w:pPr>
      <w:r w:rsidRPr="005E1DF4">
        <w:rPr>
          <w:highlight w:val="white"/>
        </w:rPr>
        <w:t xml:space="preserve">Embedded learning is a predictor of attrition, </w:t>
      </w:r>
      <w:proofErr w:type="spellStart"/>
      <w:r w:rsidRPr="005E1DF4">
        <w:rPr>
          <w:highlight w:val="white"/>
        </w:rPr>
        <w:t>personalised</w:t>
      </w:r>
      <w:proofErr w:type="spellEnd"/>
      <w:r w:rsidRPr="005E1DF4">
        <w:rPr>
          <w:highlight w:val="white"/>
        </w:rPr>
        <w:t xml:space="preserve"> development paths and proactive retention and optimal hiring time (Subrahmanyam, 2024; Rasulov, 2025; Kar et al., 2021). The contribution of strategic agility has been defined as a proactive delivery of workforce alignment beforehand of what is needed to increase talent productivity without attempting to catch up to turnover on the other side.</w:t>
      </w:r>
      <w:r w:rsidRPr="005E1DF4">
        <w:t xml:space="preserve"> </w:t>
      </w:r>
    </w:p>
    <w:p w14:paraId="78AFE5C8" w14:textId="77777777" w:rsidR="008E4243" w:rsidRPr="005E1DF4" w:rsidRDefault="00000000" w:rsidP="008348CF">
      <w:pPr>
        <w:spacing w:before="240" w:after="240"/>
        <w:jc w:val="both"/>
      </w:pPr>
      <w:r w:rsidRPr="005E1DF4">
        <w:rPr>
          <w:highlight w:val="white"/>
        </w:rPr>
        <w:t xml:space="preserve">The sensing seizing transforming is a repeat loop in </w:t>
      </w:r>
      <w:proofErr w:type="gramStart"/>
      <w:r w:rsidRPr="005E1DF4">
        <w:rPr>
          <w:highlight w:val="white"/>
        </w:rPr>
        <w:t>every one</w:t>
      </w:r>
      <w:proofErr w:type="gramEnd"/>
      <w:r w:rsidRPr="005E1DF4">
        <w:rPr>
          <w:highlight w:val="white"/>
        </w:rPr>
        <w:t xml:space="preserve">, not only for each, of these four domains, but for every domain as data and process and is </w:t>
      </w:r>
      <w:proofErr w:type="gramStart"/>
      <w:r w:rsidRPr="005E1DF4">
        <w:rPr>
          <w:highlight w:val="white"/>
        </w:rPr>
        <w:t>the dynamic</w:t>
      </w:r>
      <w:proofErr w:type="gramEnd"/>
      <w:r w:rsidRPr="005E1DF4">
        <w:rPr>
          <w:highlight w:val="white"/>
        </w:rPr>
        <w:t xml:space="preserve"> capabilities. There are also some </w:t>
      </w:r>
      <w:proofErr w:type="gramStart"/>
      <w:r w:rsidRPr="005E1DF4">
        <w:rPr>
          <w:highlight w:val="white"/>
        </w:rPr>
        <w:t>particular forms</w:t>
      </w:r>
      <w:proofErr w:type="gramEnd"/>
      <w:r w:rsidRPr="005E1DF4">
        <w:rPr>
          <w:highlight w:val="white"/>
        </w:rPr>
        <w:t xml:space="preserve"> of the same conditional logic which are common to </w:t>
      </w:r>
      <w:proofErr w:type="gramStart"/>
      <w:r w:rsidRPr="005E1DF4">
        <w:rPr>
          <w:highlight w:val="white"/>
        </w:rPr>
        <w:t>all of</w:t>
      </w:r>
      <w:proofErr w:type="gramEnd"/>
      <w:r w:rsidRPr="005E1DF4">
        <w:rPr>
          <w:highlight w:val="white"/>
        </w:rPr>
        <w:t xml:space="preserve"> these domains, with the advantage dependent on data, integration and governance that is fit for the domain</w:t>
      </w:r>
      <w:r w:rsidRPr="005E1DF4">
        <w:t xml:space="preserve"> .</w:t>
      </w:r>
    </w:p>
    <w:p w14:paraId="0F0F34A7" w14:textId="77777777" w:rsidR="008E4243" w:rsidRPr="005E1DF4" w:rsidRDefault="00000000" w:rsidP="008348CF">
      <w:pPr>
        <w:pStyle w:val="Heading2"/>
        <w:jc w:val="both"/>
      </w:pPr>
      <w:r w:rsidRPr="005E1DF4">
        <w:t>Data quality as the binding constraint</w:t>
      </w:r>
    </w:p>
    <w:p w14:paraId="55639C0B" w14:textId="77777777" w:rsidR="008E4243" w:rsidRPr="005E1DF4" w:rsidRDefault="00000000" w:rsidP="008348CF">
      <w:pPr>
        <w:spacing w:before="240" w:after="240"/>
        <w:jc w:val="both"/>
      </w:pPr>
      <w:r w:rsidRPr="005E1DF4">
        <w:rPr>
          <w:highlight w:val="white"/>
        </w:rPr>
        <w:t>The quality of an embedded intelligence depends on the quality of the data it receives. Learning models can extract structure from past data, but in the case of incomplete, inconsistent or repeated (and indeed sometimes out of date) data, the derived structure is unreliable, and the output of the learning models is also unreliable and appears to be with significant precision (</w:t>
      </w:r>
      <w:proofErr w:type="spellStart"/>
      <w:r w:rsidRPr="005E1DF4">
        <w:rPr>
          <w:highlight w:val="white"/>
        </w:rPr>
        <w:t>Elbadri</w:t>
      </w:r>
      <w:proofErr w:type="spellEnd"/>
      <w:r w:rsidRPr="005E1DF4">
        <w:rPr>
          <w:highlight w:val="white"/>
        </w:rPr>
        <w:t xml:space="preserve"> et al., 2024) (More &amp; </w:t>
      </w:r>
      <w:proofErr w:type="spellStart"/>
      <w:r w:rsidRPr="005E1DF4">
        <w:rPr>
          <w:highlight w:val="white"/>
        </w:rPr>
        <w:t>Mucherla</w:t>
      </w:r>
      <w:proofErr w:type="spellEnd"/>
      <w:r w:rsidRPr="005E1DF4">
        <w:rPr>
          <w:highlight w:val="white"/>
        </w:rPr>
        <w:t xml:space="preserve">, 2025). This is the conditioning relation which happened only because of a visible conflict with the corpus. Even though some anecdotal evidence from vendors and practitioners indicates much improvement, there are scholarly explanations on weaknesses and flaws (Godbole, 2023; Mahmood et al., 2020). Both claims may hold true. When you have a strong data foundation, the benefits you are experiencing are </w:t>
      </w:r>
      <w:proofErr w:type="gramStart"/>
      <w:r w:rsidRPr="005E1DF4">
        <w:rPr>
          <w:highlight w:val="white"/>
        </w:rPr>
        <w:t>clearly evident</w:t>
      </w:r>
      <w:proofErr w:type="gramEnd"/>
      <w:r w:rsidRPr="005E1DF4">
        <w:rPr>
          <w:highlight w:val="white"/>
        </w:rPr>
        <w:t>, and your weaknesses become apparent when the foundation is weak. It is not the technology but the data environment where technology is applied which explains the variance and the key practical implication of our study is that the data quality bottleneck is the most relevant.</w:t>
      </w:r>
      <w:r w:rsidRPr="005E1DF4">
        <w:t xml:space="preserve"> </w:t>
      </w:r>
    </w:p>
    <w:p w14:paraId="696646BB" w14:textId="77777777" w:rsidR="008E4243" w:rsidRPr="005E1DF4" w:rsidRDefault="00000000" w:rsidP="008348CF">
      <w:pPr>
        <w:pStyle w:val="Heading2"/>
        <w:jc w:val="both"/>
      </w:pPr>
      <w:r w:rsidRPr="005E1DF4">
        <w:t>Layered governance and the autonomy–control trade-off</w:t>
      </w:r>
    </w:p>
    <w:p w14:paraId="11861B70" w14:textId="1F435B1A" w:rsidR="008137EA" w:rsidRPr="005E1DF4" w:rsidRDefault="00000000" w:rsidP="008348CF">
      <w:pPr>
        <w:spacing w:before="240" w:after="240"/>
        <w:jc w:val="both"/>
      </w:pPr>
      <w:r w:rsidRPr="005E1DF4">
        <w:rPr>
          <w:highlight w:val="white"/>
        </w:rPr>
        <w:t>As ERP’s become distributed, cloud native intelligence hubs, their vulnerability to security and compliance increases. Even larger the spread of ERP systems, which is becoming a cloud native, intelligent resource for pertinent information, the larger the risk in terms of potential security and compliance exposure. The literature outlines a stratified governance response described in Table 6, which establishes the restriction along with risk attribution at each level.</w:t>
      </w:r>
      <w:r w:rsidRPr="005E1DF4">
        <w:t xml:space="preserve"> </w:t>
      </w:r>
    </w:p>
    <w:p w14:paraId="00D1BF94" w14:textId="77777777" w:rsidR="008E4243" w:rsidRPr="005E1DF4" w:rsidRDefault="00000000" w:rsidP="008348CF">
      <w:pPr>
        <w:spacing w:before="120" w:after="120"/>
        <w:jc w:val="both"/>
      </w:pPr>
      <w:r w:rsidRPr="005E1DF4">
        <w:rPr>
          <w:b/>
          <w:bCs/>
        </w:rPr>
        <w:t>Table 6. Layered governance architecture for AI-enabled cloud ERP.</w:t>
      </w:r>
    </w:p>
    <w:tbl>
      <w:tblPr>
        <w:tblStyle w:val="a4"/>
        <w:tblW w:w="94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0"/>
        <w:gridCol w:w="2700"/>
        <w:gridCol w:w="2400"/>
        <w:gridCol w:w="2360"/>
      </w:tblGrid>
      <w:tr w:rsidR="008E4243" w:rsidRPr="005E1DF4" w14:paraId="5D2DA5AF" w14:textId="77777777" w:rsidTr="00AD59FE">
        <w:trPr>
          <w:tblHeader/>
          <w:jc w:val="center"/>
        </w:trPr>
        <w:tc>
          <w:tcPr>
            <w:tcW w:w="2000" w:type="dxa"/>
            <w:tcBorders>
              <w:top w:val="single" w:sz="4" w:space="0" w:color="999999"/>
              <w:left w:val="single" w:sz="4" w:space="0" w:color="999999"/>
              <w:bottom w:val="single" w:sz="4" w:space="0" w:color="999999"/>
              <w:right w:val="single" w:sz="4" w:space="0" w:color="999999"/>
            </w:tcBorders>
            <w:shd w:val="clear" w:color="auto" w:fill="FFFFFF" w:themeFill="background1"/>
            <w:tcMar>
              <w:top w:w="60" w:type="dxa"/>
              <w:left w:w="100" w:type="dxa"/>
              <w:bottom w:w="60" w:type="dxa"/>
              <w:right w:w="100" w:type="dxa"/>
            </w:tcMar>
          </w:tcPr>
          <w:p w14:paraId="09AF37E2" w14:textId="77777777" w:rsidR="008E4243" w:rsidRPr="00AD59FE" w:rsidRDefault="00000000" w:rsidP="00AD59FE">
            <w:pPr>
              <w:spacing w:before="20" w:after="20"/>
              <w:jc w:val="center"/>
              <w:rPr>
                <w:sz w:val="20"/>
                <w:szCs w:val="20"/>
              </w:rPr>
            </w:pPr>
            <w:r w:rsidRPr="00AD59FE">
              <w:rPr>
                <w:b/>
                <w:bCs/>
                <w:sz w:val="20"/>
                <w:szCs w:val="20"/>
              </w:rPr>
              <w:t>Governance layer</w:t>
            </w:r>
          </w:p>
        </w:tc>
        <w:tc>
          <w:tcPr>
            <w:tcW w:w="2700" w:type="dxa"/>
            <w:tcBorders>
              <w:top w:val="single" w:sz="4" w:space="0" w:color="999999"/>
              <w:left w:val="single" w:sz="4" w:space="0" w:color="999999"/>
              <w:bottom w:val="single" w:sz="4" w:space="0" w:color="999999"/>
              <w:right w:val="single" w:sz="4" w:space="0" w:color="999999"/>
            </w:tcBorders>
            <w:shd w:val="clear" w:color="auto" w:fill="FFFFFF" w:themeFill="background1"/>
            <w:tcMar>
              <w:top w:w="60" w:type="dxa"/>
              <w:left w:w="100" w:type="dxa"/>
              <w:bottom w:w="60" w:type="dxa"/>
              <w:right w:w="100" w:type="dxa"/>
            </w:tcMar>
          </w:tcPr>
          <w:p w14:paraId="21FF858A" w14:textId="77777777" w:rsidR="008E4243" w:rsidRPr="00AD59FE" w:rsidRDefault="00000000" w:rsidP="00AD59FE">
            <w:pPr>
              <w:spacing w:before="20" w:after="20"/>
              <w:jc w:val="center"/>
              <w:rPr>
                <w:sz w:val="20"/>
                <w:szCs w:val="20"/>
              </w:rPr>
            </w:pPr>
            <w:r w:rsidRPr="00AD59FE">
              <w:rPr>
                <w:b/>
                <w:bCs/>
                <w:sz w:val="20"/>
                <w:szCs w:val="20"/>
              </w:rPr>
              <w:t>Primary function</w:t>
            </w:r>
          </w:p>
        </w:tc>
        <w:tc>
          <w:tcPr>
            <w:tcW w:w="2400" w:type="dxa"/>
            <w:tcBorders>
              <w:top w:val="single" w:sz="4" w:space="0" w:color="999999"/>
              <w:left w:val="single" w:sz="4" w:space="0" w:color="999999"/>
              <w:bottom w:val="single" w:sz="4" w:space="0" w:color="999999"/>
              <w:right w:val="single" w:sz="4" w:space="0" w:color="999999"/>
            </w:tcBorders>
            <w:shd w:val="clear" w:color="auto" w:fill="FFFFFF" w:themeFill="background1"/>
            <w:tcMar>
              <w:top w:w="60" w:type="dxa"/>
              <w:left w:w="100" w:type="dxa"/>
              <w:bottom w:w="60" w:type="dxa"/>
              <w:right w:w="100" w:type="dxa"/>
            </w:tcMar>
          </w:tcPr>
          <w:p w14:paraId="62B2B318" w14:textId="77777777" w:rsidR="008E4243" w:rsidRPr="00AD59FE" w:rsidRDefault="00000000" w:rsidP="00AD59FE">
            <w:pPr>
              <w:spacing w:before="20" w:after="20"/>
              <w:jc w:val="center"/>
              <w:rPr>
                <w:sz w:val="20"/>
                <w:szCs w:val="20"/>
              </w:rPr>
            </w:pPr>
            <w:r w:rsidRPr="00AD59FE">
              <w:rPr>
                <w:b/>
                <w:bCs/>
                <w:sz w:val="20"/>
                <w:szCs w:val="20"/>
              </w:rPr>
              <w:t>Risk addressed</w:t>
            </w:r>
          </w:p>
        </w:tc>
        <w:tc>
          <w:tcPr>
            <w:tcW w:w="2360" w:type="dxa"/>
            <w:tcBorders>
              <w:top w:val="single" w:sz="4" w:space="0" w:color="999999"/>
              <w:left w:val="single" w:sz="4" w:space="0" w:color="999999"/>
              <w:bottom w:val="single" w:sz="4" w:space="0" w:color="999999"/>
              <w:right w:val="single" w:sz="4" w:space="0" w:color="999999"/>
            </w:tcBorders>
            <w:shd w:val="clear" w:color="auto" w:fill="FFFFFF" w:themeFill="background1"/>
            <w:tcMar>
              <w:top w:w="60" w:type="dxa"/>
              <w:left w:w="100" w:type="dxa"/>
              <w:bottom w:w="60" w:type="dxa"/>
              <w:right w:w="100" w:type="dxa"/>
            </w:tcMar>
          </w:tcPr>
          <w:p w14:paraId="7C8D8B80" w14:textId="77777777" w:rsidR="008E4243" w:rsidRPr="00AD59FE" w:rsidRDefault="00000000" w:rsidP="00AD59FE">
            <w:pPr>
              <w:spacing w:before="20" w:after="20"/>
              <w:jc w:val="center"/>
              <w:rPr>
                <w:sz w:val="20"/>
                <w:szCs w:val="20"/>
              </w:rPr>
            </w:pPr>
            <w:r w:rsidRPr="00AD59FE">
              <w:rPr>
                <w:b/>
                <w:bCs/>
                <w:sz w:val="20"/>
                <w:szCs w:val="20"/>
              </w:rPr>
              <w:t>Noted limitation</w:t>
            </w:r>
          </w:p>
        </w:tc>
      </w:tr>
      <w:tr w:rsidR="008E4243" w:rsidRPr="005E1DF4" w14:paraId="2DCFFDA8" w14:textId="77777777" w:rsidTr="00AD59FE">
        <w:trPr>
          <w:jc w:val="center"/>
        </w:trPr>
        <w:tc>
          <w:tcPr>
            <w:tcW w:w="20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3B3A11E7" w14:textId="77777777" w:rsidR="008E4243" w:rsidRPr="00AD59FE" w:rsidRDefault="00000000" w:rsidP="00AD59FE">
            <w:pPr>
              <w:spacing w:before="20" w:after="20"/>
              <w:jc w:val="center"/>
              <w:rPr>
                <w:sz w:val="20"/>
                <w:szCs w:val="20"/>
              </w:rPr>
            </w:pPr>
            <w:r w:rsidRPr="00AD59FE">
              <w:rPr>
                <w:sz w:val="20"/>
                <w:szCs w:val="20"/>
              </w:rPr>
              <w:t>Sovereign cloud</w:t>
            </w:r>
          </w:p>
        </w:tc>
        <w:tc>
          <w:tcPr>
            <w:tcW w:w="27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3DCD90E7" w14:textId="77777777" w:rsidR="008E4243" w:rsidRPr="00AD59FE" w:rsidRDefault="00000000" w:rsidP="00AD59FE">
            <w:pPr>
              <w:spacing w:before="20" w:after="20"/>
              <w:jc w:val="center"/>
              <w:rPr>
                <w:sz w:val="20"/>
                <w:szCs w:val="20"/>
              </w:rPr>
            </w:pPr>
            <w:r w:rsidRPr="00AD59FE">
              <w:rPr>
                <w:sz w:val="20"/>
                <w:szCs w:val="20"/>
              </w:rPr>
              <w:t xml:space="preserve">Enforces data residency and </w:t>
            </w:r>
            <w:proofErr w:type="spellStart"/>
            <w:r w:rsidRPr="00AD59FE">
              <w:rPr>
                <w:sz w:val="20"/>
                <w:szCs w:val="20"/>
              </w:rPr>
              <w:t>localisation</w:t>
            </w:r>
            <w:proofErr w:type="spellEnd"/>
            <w:r w:rsidRPr="00AD59FE">
              <w:rPr>
                <w:sz w:val="20"/>
                <w:szCs w:val="20"/>
              </w:rPr>
              <w:t xml:space="preserve"> within defined jurisdictions</w:t>
            </w:r>
          </w:p>
        </w:tc>
        <w:tc>
          <w:tcPr>
            <w:tcW w:w="24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123CBA6C" w14:textId="77777777" w:rsidR="008E4243" w:rsidRPr="00AD59FE" w:rsidRDefault="00000000" w:rsidP="00AD59FE">
            <w:pPr>
              <w:spacing w:before="20" w:after="20"/>
              <w:jc w:val="center"/>
              <w:rPr>
                <w:sz w:val="20"/>
                <w:szCs w:val="20"/>
              </w:rPr>
            </w:pPr>
            <w:r w:rsidRPr="00AD59FE">
              <w:rPr>
                <w:sz w:val="20"/>
                <w:szCs w:val="20"/>
              </w:rPr>
              <w:t>Geopolitical and regulatory exposure of cross-border data</w:t>
            </w:r>
          </w:p>
        </w:tc>
        <w:tc>
          <w:tcPr>
            <w:tcW w:w="236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3EC8862B" w14:textId="77777777" w:rsidR="008E4243" w:rsidRPr="00AD59FE" w:rsidRDefault="00000000" w:rsidP="00AD59FE">
            <w:pPr>
              <w:spacing w:before="20" w:after="20"/>
              <w:jc w:val="center"/>
              <w:rPr>
                <w:sz w:val="20"/>
                <w:szCs w:val="20"/>
              </w:rPr>
            </w:pPr>
            <w:r w:rsidRPr="00AD59FE">
              <w:rPr>
                <w:sz w:val="20"/>
                <w:szCs w:val="20"/>
              </w:rPr>
              <w:t>Cost and reduced flexibility; availability varies by region</w:t>
            </w:r>
          </w:p>
        </w:tc>
      </w:tr>
      <w:tr w:rsidR="008E4243" w:rsidRPr="005E1DF4" w14:paraId="5CAB3202" w14:textId="77777777" w:rsidTr="00AD59FE">
        <w:trPr>
          <w:jc w:val="center"/>
        </w:trPr>
        <w:tc>
          <w:tcPr>
            <w:tcW w:w="20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1F42EE4D" w14:textId="77777777" w:rsidR="008E4243" w:rsidRPr="00AD59FE" w:rsidRDefault="00000000" w:rsidP="00AD59FE">
            <w:pPr>
              <w:spacing w:before="20" w:after="20"/>
              <w:jc w:val="center"/>
              <w:rPr>
                <w:sz w:val="20"/>
                <w:szCs w:val="20"/>
              </w:rPr>
            </w:pPr>
            <w:r w:rsidRPr="00AD59FE">
              <w:rPr>
                <w:sz w:val="20"/>
                <w:szCs w:val="20"/>
              </w:rPr>
              <w:lastRenderedPageBreak/>
              <w:t xml:space="preserve">AI </w:t>
            </w:r>
            <w:proofErr w:type="spellStart"/>
            <w:r w:rsidRPr="00AD59FE">
              <w:rPr>
                <w:sz w:val="20"/>
                <w:szCs w:val="20"/>
              </w:rPr>
              <w:t>TRiSM</w:t>
            </w:r>
            <w:proofErr w:type="spellEnd"/>
          </w:p>
        </w:tc>
        <w:tc>
          <w:tcPr>
            <w:tcW w:w="27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65BCB266" w14:textId="77777777" w:rsidR="008E4243" w:rsidRPr="00AD59FE" w:rsidRDefault="00000000" w:rsidP="00AD59FE">
            <w:pPr>
              <w:spacing w:before="20" w:after="20"/>
              <w:jc w:val="center"/>
              <w:rPr>
                <w:sz w:val="20"/>
                <w:szCs w:val="20"/>
              </w:rPr>
            </w:pPr>
            <w:r w:rsidRPr="00AD59FE">
              <w:rPr>
                <w:sz w:val="20"/>
                <w:szCs w:val="20"/>
              </w:rPr>
              <w:t>Continuous audit logging, anomaly detection, model-drift monitoring</w:t>
            </w:r>
          </w:p>
        </w:tc>
        <w:tc>
          <w:tcPr>
            <w:tcW w:w="24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1314D643" w14:textId="77777777" w:rsidR="008E4243" w:rsidRPr="00AD59FE" w:rsidRDefault="00000000" w:rsidP="00AD59FE">
            <w:pPr>
              <w:spacing w:before="20" w:after="20"/>
              <w:jc w:val="center"/>
              <w:rPr>
                <w:sz w:val="20"/>
                <w:szCs w:val="20"/>
              </w:rPr>
            </w:pPr>
            <w:r w:rsidRPr="00AD59FE">
              <w:rPr>
                <w:sz w:val="20"/>
                <w:szCs w:val="20"/>
              </w:rPr>
              <w:t>Algorithmic fraud, undetected drift, opaque decisions</w:t>
            </w:r>
          </w:p>
        </w:tc>
        <w:tc>
          <w:tcPr>
            <w:tcW w:w="236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216C8EB3" w14:textId="77777777" w:rsidR="008E4243" w:rsidRPr="00AD59FE" w:rsidRDefault="00000000" w:rsidP="00AD59FE">
            <w:pPr>
              <w:spacing w:before="20" w:after="20"/>
              <w:jc w:val="center"/>
              <w:rPr>
                <w:sz w:val="20"/>
                <w:szCs w:val="20"/>
              </w:rPr>
            </w:pPr>
            <w:r w:rsidRPr="00AD59FE">
              <w:rPr>
                <w:sz w:val="20"/>
                <w:szCs w:val="20"/>
              </w:rPr>
              <w:t xml:space="preserve">Frameworks are still maturing and not universally </w:t>
            </w:r>
            <w:proofErr w:type="spellStart"/>
            <w:r w:rsidRPr="00AD59FE">
              <w:rPr>
                <w:sz w:val="20"/>
                <w:szCs w:val="20"/>
              </w:rPr>
              <w:t>standardised</w:t>
            </w:r>
            <w:proofErr w:type="spellEnd"/>
          </w:p>
        </w:tc>
      </w:tr>
      <w:tr w:rsidR="008E4243" w:rsidRPr="005E1DF4" w14:paraId="1C071695" w14:textId="77777777" w:rsidTr="00AD59FE">
        <w:trPr>
          <w:jc w:val="center"/>
        </w:trPr>
        <w:tc>
          <w:tcPr>
            <w:tcW w:w="20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2EAA4D6C" w14:textId="77777777" w:rsidR="008E4243" w:rsidRPr="00AD59FE" w:rsidRDefault="00000000" w:rsidP="00AD59FE">
            <w:pPr>
              <w:spacing w:before="20" w:after="20"/>
              <w:jc w:val="center"/>
              <w:rPr>
                <w:sz w:val="20"/>
                <w:szCs w:val="20"/>
              </w:rPr>
            </w:pPr>
            <w:r w:rsidRPr="00AD59FE">
              <w:rPr>
                <w:sz w:val="20"/>
                <w:szCs w:val="20"/>
              </w:rPr>
              <w:t>Explainable AI</w:t>
            </w:r>
          </w:p>
        </w:tc>
        <w:tc>
          <w:tcPr>
            <w:tcW w:w="27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5668E1C7" w14:textId="77777777" w:rsidR="008E4243" w:rsidRPr="00AD59FE" w:rsidRDefault="00000000" w:rsidP="00AD59FE">
            <w:pPr>
              <w:spacing w:before="20" w:after="20"/>
              <w:jc w:val="center"/>
              <w:rPr>
                <w:sz w:val="20"/>
                <w:szCs w:val="20"/>
              </w:rPr>
            </w:pPr>
            <w:r w:rsidRPr="00AD59FE">
              <w:rPr>
                <w:sz w:val="20"/>
                <w:szCs w:val="20"/>
              </w:rPr>
              <w:t xml:space="preserve">Renders model </w:t>
            </w:r>
            <w:proofErr w:type="spellStart"/>
            <w:r w:rsidRPr="00AD59FE">
              <w:rPr>
                <w:sz w:val="20"/>
                <w:szCs w:val="20"/>
              </w:rPr>
              <w:t>behaviour</w:t>
            </w:r>
            <w:proofErr w:type="spellEnd"/>
            <w:r w:rsidRPr="00AD59FE">
              <w:rPr>
                <w:sz w:val="20"/>
                <w:szCs w:val="20"/>
              </w:rPr>
              <w:t xml:space="preserve"> interpretable for auditors and controllers</w:t>
            </w:r>
          </w:p>
        </w:tc>
        <w:tc>
          <w:tcPr>
            <w:tcW w:w="24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10AA7C51" w14:textId="77777777" w:rsidR="008E4243" w:rsidRPr="00AD59FE" w:rsidRDefault="00000000" w:rsidP="00AD59FE">
            <w:pPr>
              <w:spacing w:before="20" w:after="20"/>
              <w:jc w:val="center"/>
              <w:rPr>
                <w:sz w:val="20"/>
                <w:szCs w:val="20"/>
              </w:rPr>
            </w:pPr>
            <w:r w:rsidRPr="00AD59FE">
              <w:rPr>
                <w:sz w:val="20"/>
                <w:szCs w:val="20"/>
              </w:rPr>
              <w:t>Black-box decisions, accountability gaps</w:t>
            </w:r>
          </w:p>
        </w:tc>
        <w:tc>
          <w:tcPr>
            <w:tcW w:w="236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776FEDEA" w14:textId="77777777" w:rsidR="008E4243" w:rsidRPr="00AD59FE" w:rsidRDefault="00000000" w:rsidP="00AD59FE">
            <w:pPr>
              <w:spacing w:before="20" w:after="20"/>
              <w:jc w:val="center"/>
              <w:rPr>
                <w:sz w:val="20"/>
                <w:szCs w:val="20"/>
              </w:rPr>
            </w:pPr>
            <w:r w:rsidRPr="00AD59FE">
              <w:rPr>
                <w:sz w:val="20"/>
                <w:szCs w:val="20"/>
              </w:rPr>
              <w:t>Explanations can be partial or post-hoc; trade-off with accuracy</w:t>
            </w:r>
          </w:p>
        </w:tc>
      </w:tr>
      <w:tr w:rsidR="008E4243" w:rsidRPr="005E1DF4" w14:paraId="67AA0EE0" w14:textId="77777777" w:rsidTr="00AD59FE">
        <w:trPr>
          <w:jc w:val="center"/>
        </w:trPr>
        <w:tc>
          <w:tcPr>
            <w:tcW w:w="20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56FA0D3F" w14:textId="77777777" w:rsidR="008E4243" w:rsidRPr="00AD59FE" w:rsidRDefault="00000000" w:rsidP="00AD59FE">
            <w:pPr>
              <w:spacing w:before="20" w:after="20"/>
              <w:jc w:val="center"/>
              <w:rPr>
                <w:sz w:val="20"/>
                <w:szCs w:val="20"/>
              </w:rPr>
            </w:pPr>
            <w:r w:rsidRPr="00AD59FE">
              <w:rPr>
                <w:sz w:val="20"/>
                <w:szCs w:val="20"/>
              </w:rPr>
              <w:t>Zero Trust</w:t>
            </w:r>
          </w:p>
        </w:tc>
        <w:tc>
          <w:tcPr>
            <w:tcW w:w="27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51DB0FCA" w14:textId="77777777" w:rsidR="008E4243" w:rsidRPr="00AD59FE" w:rsidRDefault="00000000" w:rsidP="00AD59FE">
            <w:pPr>
              <w:spacing w:before="20" w:after="20"/>
              <w:jc w:val="center"/>
              <w:rPr>
                <w:sz w:val="20"/>
                <w:szCs w:val="20"/>
              </w:rPr>
            </w:pPr>
            <w:r w:rsidRPr="00AD59FE">
              <w:rPr>
                <w:sz w:val="20"/>
                <w:szCs w:val="20"/>
              </w:rPr>
              <w:t>Continuous verification of identity, device, and transaction</w:t>
            </w:r>
          </w:p>
        </w:tc>
        <w:tc>
          <w:tcPr>
            <w:tcW w:w="24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5BF9936B" w14:textId="77777777" w:rsidR="008E4243" w:rsidRPr="00AD59FE" w:rsidRDefault="00000000" w:rsidP="00AD59FE">
            <w:pPr>
              <w:spacing w:before="20" w:after="20"/>
              <w:jc w:val="center"/>
              <w:rPr>
                <w:sz w:val="20"/>
                <w:szCs w:val="20"/>
              </w:rPr>
            </w:pPr>
            <w:r w:rsidRPr="00AD59FE">
              <w:rPr>
                <w:sz w:val="20"/>
                <w:szCs w:val="20"/>
              </w:rPr>
              <w:t>Enlarged attack surface in distributed deployment</w:t>
            </w:r>
          </w:p>
        </w:tc>
        <w:tc>
          <w:tcPr>
            <w:tcW w:w="236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10996450" w14:textId="77777777" w:rsidR="008E4243" w:rsidRPr="00AD59FE" w:rsidRDefault="00000000" w:rsidP="00AD59FE">
            <w:pPr>
              <w:spacing w:before="20" w:after="20"/>
              <w:jc w:val="center"/>
              <w:rPr>
                <w:sz w:val="20"/>
                <w:szCs w:val="20"/>
              </w:rPr>
            </w:pPr>
            <w:r w:rsidRPr="00AD59FE">
              <w:rPr>
                <w:sz w:val="20"/>
                <w:szCs w:val="20"/>
              </w:rPr>
              <w:t>Operational overhead; requires organizational discipline</w:t>
            </w:r>
          </w:p>
        </w:tc>
      </w:tr>
    </w:tbl>
    <w:p w14:paraId="46971423" w14:textId="082B0489" w:rsidR="008E4243" w:rsidRPr="005E1DF4" w:rsidRDefault="00000000" w:rsidP="008348CF">
      <w:pPr>
        <w:spacing w:before="240" w:after="240"/>
        <w:jc w:val="both"/>
      </w:pPr>
      <w:r w:rsidRPr="005E1DF4">
        <w:rPr>
          <w:highlight w:val="white"/>
        </w:rPr>
        <w:t xml:space="preserve">The AI </w:t>
      </w:r>
      <w:proofErr w:type="spellStart"/>
      <w:r w:rsidRPr="005E1DF4">
        <w:rPr>
          <w:highlight w:val="white"/>
        </w:rPr>
        <w:t>TRiSM</w:t>
      </w:r>
      <w:proofErr w:type="spellEnd"/>
      <w:r w:rsidRPr="005E1DF4">
        <w:rPr>
          <w:highlight w:val="white"/>
        </w:rPr>
        <w:t xml:space="preserve"> can observe AI model behavior over time, and the Zero Trust principle can help to control the measures used or limit access to AI resources such that the four layers represent a defense in depth approach to protecting AI systems (Kumar &amp; Jaya, 2026; Qazi &amp; Arshad, 2025; Sharma et al., 2026; Agarwal &amp; Nene, 2025). The literature also recognizes that no single layer is enough and a suitable mix of layers is conditional on regulatory exposure and maturity. </w:t>
      </w:r>
      <w:proofErr w:type="gramStart"/>
      <w:r w:rsidRPr="005E1DF4">
        <w:rPr>
          <w:highlight w:val="white"/>
        </w:rPr>
        <w:t>Thus</w:t>
      </w:r>
      <w:proofErr w:type="gramEnd"/>
      <w:r w:rsidRPr="005E1DF4">
        <w:rPr>
          <w:highlight w:val="white"/>
        </w:rPr>
        <w:t xml:space="preserve"> the leading layers are not fundamental, and comprehensive governance rests atop the exposure and maturity model.</w:t>
      </w:r>
      <w:r w:rsidRPr="005E1DF4">
        <w:t xml:space="preserve"> </w:t>
      </w:r>
    </w:p>
    <w:p w14:paraId="2CEC5E48" w14:textId="77777777" w:rsidR="008E4243" w:rsidRPr="005E1DF4" w:rsidRDefault="00000000" w:rsidP="008348CF">
      <w:pPr>
        <w:spacing w:before="240" w:after="240"/>
        <w:jc w:val="both"/>
        <w:rPr>
          <w:b/>
          <w:bCs/>
        </w:rPr>
      </w:pPr>
      <w:r w:rsidRPr="005E1DF4">
        <w:rPr>
          <w:b/>
          <w:bCs/>
        </w:rPr>
        <w:t>Layered governance is, at root, the answer to the autonomy-versus-control trade-off</w:t>
      </w:r>
    </w:p>
    <w:p w14:paraId="02E9B94A" w14:textId="77777777" w:rsidR="008E4243" w:rsidRPr="005E1DF4" w:rsidRDefault="00000000" w:rsidP="008348CF">
      <w:pPr>
        <w:pStyle w:val="Heading2"/>
        <w:jc w:val="both"/>
        <w:rPr>
          <w:b w:val="0"/>
          <w:bCs w:val="0"/>
        </w:rPr>
      </w:pPr>
      <w:r w:rsidRPr="005E1DF4">
        <w:rPr>
          <w:b w:val="0"/>
          <w:bCs w:val="0"/>
          <w:highlight w:val="white"/>
        </w:rPr>
        <w:t xml:space="preserve">Layered governance is about balancing autonomy and control. With this paradigm shift of </w:t>
      </w:r>
      <w:proofErr w:type="gramStart"/>
      <w:r w:rsidRPr="005E1DF4">
        <w:rPr>
          <w:b w:val="0"/>
          <w:bCs w:val="0"/>
          <w:highlight w:val="white"/>
        </w:rPr>
        <w:t>decision making</w:t>
      </w:r>
      <w:proofErr w:type="gramEnd"/>
      <w:r w:rsidRPr="005E1DF4">
        <w:rPr>
          <w:b w:val="0"/>
          <w:bCs w:val="0"/>
          <w:highlight w:val="white"/>
        </w:rPr>
        <w:t xml:space="preserve"> power from human judgement to model suggestions to autonomous actions, the degree of responsibility also alters (Raza, 2025; </w:t>
      </w:r>
      <w:proofErr w:type="spellStart"/>
      <w:r w:rsidRPr="005E1DF4">
        <w:rPr>
          <w:b w:val="0"/>
          <w:bCs w:val="0"/>
          <w:highlight w:val="white"/>
        </w:rPr>
        <w:t>Ghildiyal</w:t>
      </w:r>
      <w:proofErr w:type="spellEnd"/>
      <w:r w:rsidRPr="005E1DF4">
        <w:rPr>
          <w:b w:val="0"/>
          <w:bCs w:val="0"/>
          <w:highlight w:val="white"/>
        </w:rPr>
        <w:t xml:space="preserve"> et al., 2025; </w:t>
      </w:r>
      <w:proofErr w:type="spellStart"/>
      <w:r w:rsidRPr="005E1DF4">
        <w:rPr>
          <w:b w:val="0"/>
          <w:bCs w:val="0"/>
          <w:highlight w:val="white"/>
        </w:rPr>
        <w:t>Sarferaz</w:t>
      </w:r>
      <w:proofErr w:type="spellEnd"/>
      <w:r w:rsidRPr="005E1DF4">
        <w:rPr>
          <w:b w:val="0"/>
          <w:bCs w:val="0"/>
          <w:highlight w:val="white"/>
        </w:rPr>
        <w:t>, 2025). The maturity model prescribes a proper response. For every step towards autonomy there must be a step towards governance, and no step towards autonomy without a step towards governance. This trade off makes an ethical issue that must be solved. History based models encode and propagate historical prejudices, and knowledge of which biases should arise and where and how is a subjective phenomenon, and the information is difficult to establish how such are remedied (Leon, 2026; Agarwal &amp; Nene, 2025). So explainability is more than the convenience for compliance. It is an ethical requirement</w:t>
      </w:r>
      <w:r w:rsidRPr="005E1DF4">
        <w:rPr>
          <w:rFonts w:eastAsia="Arial"/>
          <w:b w:val="0"/>
          <w:bCs w:val="0"/>
          <w:sz w:val="23"/>
          <w:szCs w:val="23"/>
          <w:highlight w:val="white"/>
        </w:rPr>
        <w:t>.</w:t>
      </w:r>
      <w:r w:rsidRPr="005E1DF4">
        <w:rPr>
          <w:b w:val="0"/>
          <w:bCs w:val="0"/>
        </w:rPr>
        <w:t xml:space="preserve"> </w:t>
      </w:r>
    </w:p>
    <w:p w14:paraId="5B760A26" w14:textId="77777777" w:rsidR="008E4243" w:rsidRPr="005E1DF4" w:rsidRDefault="00000000" w:rsidP="008348CF">
      <w:pPr>
        <w:pStyle w:val="Heading2"/>
        <w:jc w:val="both"/>
      </w:pPr>
      <w:r w:rsidRPr="005E1DF4">
        <w:t>Architectural foundations and the human dimension</w:t>
      </w:r>
    </w:p>
    <w:p w14:paraId="1C409F5F" w14:textId="0B599BA6" w:rsidR="008E4243" w:rsidRDefault="00000000" w:rsidP="008348CF">
      <w:pPr>
        <w:pStyle w:val="Heading2"/>
        <w:jc w:val="both"/>
        <w:rPr>
          <w:b w:val="0"/>
          <w:bCs w:val="0"/>
        </w:rPr>
      </w:pPr>
      <w:r w:rsidRPr="005E1DF4">
        <w:rPr>
          <w:b w:val="0"/>
          <w:bCs w:val="0"/>
          <w:highlight w:val="white"/>
        </w:rPr>
        <w:t xml:space="preserve">The operational discoveries are developed and built on top of three architectural foundations. Compared to </w:t>
      </w:r>
      <w:proofErr w:type="gramStart"/>
      <w:r w:rsidRPr="005E1DF4">
        <w:rPr>
          <w:b w:val="0"/>
          <w:bCs w:val="0"/>
          <w:highlight w:val="white"/>
        </w:rPr>
        <w:t>disk based</w:t>
      </w:r>
      <w:proofErr w:type="gramEnd"/>
      <w:r w:rsidRPr="005E1DF4">
        <w:rPr>
          <w:b w:val="0"/>
          <w:bCs w:val="0"/>
          <w:highlight w:val="white"/>
        </w:rPr>
        <w:t xml:space="preserve"> technology, in-memory database technology can respond to the complex analytical decisions related to streaming information much sooner, making the real time base crucial for agility (Jain et al., 2022; De Castro Fialho &amp; </w:t>
      </w:r>
      <w:proofErr w:type="spellStart"/>
      <w:r w:rsidRPr="005E1DF4">
        <w:rPr>
          <w:b w:val="0"/>
          <w:bCs w:val="0"/>
          <w:highlight w:val="white"/>
        </w:rPr>
        <w:t>Banothu</w:t>
      </w:r>
      <w:proofErr w:type="spellEnd"/>
      <w:r w:rsidRPr="005E1DF4">
        <w:rPr>
          <w:b w:val="0"/>
          <w:bCs w:val="0"/>
          <w:highlight w:val="white"/>
        </w:rPr>
        <w:t>, 2025). These are modular, API-centric microservices architectures that foster modular scope without disturbing the core process, supporting the clean-core principle and stability and flexibility (Shivarudra &amp; Kumar, 2025; Fang, 2025; Srivastava et al., 2026). Integrated machine learning operations (</w:t>
      </w:r>
      <w:proofErr w:type="spellStart"/>
      <w:r w:rsidRPr="005E1DF4">
        <w:rPr>
          <w:b w:val="0"/>
          <w:bCs w:val="0"/>
          <w:highlight w:val="white"/>
        </w:rPr>
        <w:t>MLOps</w:t>
      </w:r>
      <w:proofErr w:type="spellEnd"/>
      <w:r w:rsidRPr="005E1DF4">
        <w:rPr>
          <w:b w:val="0"/>
          <w:bCs w:val="0"/>
          <w:highlight w:val="white"/>
        </w:rPr>
        <w:t xml:space="preserve">) deliver </w:t>
      </w:r>
      <w:proofErr w:type="spellStart"/>
      <w:r w:rsidRPr="005E1DF4">
        <w:rPr>
          <w:b w:val="0"/>
          <w:bCs w:val="0"/>
          <w:highlight w:val="white"/>
        </w:rPr>
        <w:t>standardised</w:t>
      </w:r>
      <w:proofErr w:type="spellEnd"/>
      <w:r w:rsidRPr="005E1DF4">
        <w:rPr>
          <w:b w:val="0"/>
          <w:bCs w:val="0"/>
          <w:highlight w:val="white"/>
        </w:rPr>
        <w:t xml:space="preserve"> pipelines for preparing data, model training, training and deployment pipeline, model updates and performance monitoring and thus provide the discipline needed to avoid model drift (</w:t>
      </w:r>
      <w:proofErr w:type="spellStart"/>
      <w:r w:rsidRPr="005E1DF4">
        <w:rPr>
          <w:b w:val="0"/>
          <w:bCs w:val="0"/>
          <w:highlight w:val="white"/>
        </w:rPr>
        <w:t>Nagmoti</w:t>
      </w:r>
      <w:proofErr w:type="spellEnd"/>
      <w:r w:rsidRPr="005E1DF4">
        <w:rPr>
          <w:b w:val="0"/>
          <w:bCs w:val="0"/>
          <w:highlight w:val="white"/>
        </w:rPr>
        <w:t xml:space="preserve"> et al., 2025; Singh &amp; Dutta, 2026). All three of these substrates are essential to make the advanced levels of the maturity model achievable. The human dimension is key </w:t>
      </w:r>
      <w:proofErr w:type="gramStart"/>
      <w:r w:rsidRPr="005E1DF4">
        <w:rPr>
          <w:b w:val="0"/>
          <w:bCs w:val="0"/>
          <w:highlight w:val="white"/>
        </w:rPr>
        <w:t>in its own right though</w:t>
      </w:r>
      <w:proofErr w:type="gramEnd"/>
      <w:r w:rsidRPr="005E1DF4">
        <w:rPr>
          <w:b w:val="0"/>
          <w:bCs w:val="0"/>
          <w:highlight w:val="white"/>
        </w:rPr>
        <w:t xml:space="preserve">. Cognitive automation automates routine processing </w:t>
      </w:r>
      <w:proofErr w:type="gramStart"/>
      <w:r w:rsidRPr="005E1DF4">
        <w:rPr>
          <w:b w:val="0"/>
          <w:bCs w:val="0"/>
          <w:highlight w:val="white"/>
        </w:rPr>
        <w:t>tasks</w:t>
      </w:r>
      <w:proofErr w:type="gramEnd"/>
      <w:r w:rsidRPr="005E1DF4">
        <w:rPr>
          <w:b w:val="0"/>
          <w:bCs w:val="0"/>
          <w:highlight w:val="white"/>
        </w:rPr>
        <w:t xml:space="preserve"> and the job role models from data entry to data interpretation, exception answering and strategic analysis (Kar et al., 2021; Subrahmanyam, 2024). Socio Technical Systems Theory explains this tension in the transition, and AI brings forth a new way of working that raises concern of job uncertainty, loss of autonomy and avoidant </w:t>
      </w:r>
      <w:proofErr w:type="spellStart"/>
      <w:r w:rsidRPr="005E1DF4">
        <w:rPr>
          <w:b w:val="0"/>
          <w:bCs w:val="0"/>
          <w:highlight w:val="white"/>
        </w:rPr>
        <w:t>behaviours</w:t>
      </w:r>
      <w:proofErr w:type="spellEnd"/>
      <w:r w:rsidRPr="005E1DF4">
        <w:rPr>
          <w:b w:val="0"/>
          <w:bCs w:val="0"/>
          <w:highlight w:val="white"/>
        </w:rPr>
        <w:t xml:space="preserve"> from </w:t>
      </w:r>
      <w:proofErr w:type="spellStart"/>
      <w:r w:rsidRPr="005E1DF4">
        <w:rPr>
          <w:b w:val="0"/>
          <w:bCs w:val="0"/>
          <w:highlight w:val="white"/>
        </w:rPr>
        <w:t>underskilled</w:t>
      </w:r>
      <w:proofErr w:type="spellEnd"/>
      <w:r w:rsidRPr="005E1DF4">
        <w:rPr>
          <w:b w:val="0"/>
          <w:bCs w:val="0"/>
          <w:highlight w:val="white"/>
        </w:rPr>
        <w:t xml:space="preserve"> employees in dealing with the AI (Olsen et al., 2022; </w:t>
      </w:r>
      <w:proofErr w:type="spellStart"/>
      <w:r w:rsidRPr="005E1DF4">
        <w:rPr>
          <w:b w:val="0"/>
          <w:bCs w:val="0"/>
          <w:highlight w:val="white"/>
        </w:rPr>
        <w:t>Cepureanu</w:t>
      </w:r>
      <w:proofErr w:type="spellEnd"/>
      <w:r w:rsidRPr="005E1DF4">
        <w:rPr>
          <w:b w:val="0"/>
          <w:bCs w:val="0"/>
          <w:highlight w:val="white"/>
        </w:rPr>
        <w:t xml:space="preserve"> &amp; </w:t>
      </w:r>
      <w:proofErr w:type="spellStart"/>
      <w:r w:rsidRPr="005E1DF4">
        <w:rPr>
          <w:b w:val="0"/>
          <w:bCs w:val="0"/>
          <w:highlight w:val="white"/>
        </w:rPr>
        <w:t>Cepureanu</w:t>
      </w:r>
      <w:proofErr w:type="spellEnd"/>
      <w:r w:rsidRPr="005E1DF4">
        <w:rPr>
          <w:b w:val="0"/>
          <w:bCs w:val="0"/>
          <w:highlight w:val="white"/>
        </w:rPr>
        <w:t xml:space="preserve">, 2015). One of the main enablers to the agility benefits, a broader change management approach that can lead through communication, executive sponsorship, an ongoing upskilling approach and not an </w:t>
      </w:r>
      <w:proofErr w:type="gramStart"/>
      <w:r w:rsidRPr="005E1DF4">
        <w:rPr>
          <w:b w:val="0"/>
          <w:bCs w:val="0"/>
          <w:highlight w:val="white"/>
        </w:rPr>
        <w:t>added on</w:t>
      </w:r>
      <w:proofErr w:type="gramEnd"/>
      <w:r w:rsidRPr="005E1DF4">
        <w:rPr>
          <w:b w:val="0"/>
          <w:bCs w:val="0"/>
          <w:highlight w:val="white"/>
        </w:rPr>
        <w:t xml:space="preserve"> architecture functionality, should have long been a driving force. This has a more systemic effect on performance. Consequently, this has been emphasized in the recommendations outlined below, and places change management on a par with that of technical design.</w:t>
      </w:r>
      <w:r w:rsidRPr="005E1DF4">
        <w:rPr>
          <w:b w:val="0"/>
          <w:bCs w:val="0"/>
        </w:rPr>
        <w:t xml:space="preserve"> </w:t>
      </w:r>
    </w:p>
    <w:p w14:paraId="4C9CE379" w14:textId="77777777" w:rsidR="00AD59FE" w:rsidRDefault="00AD59FE" w:rsidP="00AD59FE"/>
    <w:p w14:paraId="6762630C" w14:textId="77777777" w:rsidR="00AD59FE" w:rsidRPr="00AD59FE" w:rsidRDefault="00AD59FE" w:rsidP="00AD59FE"/>
    <w:p w14:paraId="762EADE4" w14:textId="77777777" w:rsidR="008E4243" w:rsidRPr="005E1DF4" w:rsidRDefault="00000000" w:rsidP="008348CF">
      <w:pPr>
        <w:pStyle w:val="Heading2"/>
        <w:jc w:val="both"/>
      </w:pPr>
      <w:r w:rsidRPr="005E1DF4">
        <w:lastRenderedPageBreak/>
        <w:t>Theoretical implications</w:t>
      </w:r>
    </w:p>
    <w:p w14:paraId="77D1EE60" w14:textId="77777777" w:rsidR="008E4243" w:rsidRPr="005E1DF4" w:rsidRDefault="00000000" w:rsidP="008348CF">
      <w:pPr>
        <w:spacing w:before="240" w:after="240"/>
        <w:jc w:val="both"/>
      </w:pPr>
      <w:r w:rsidRPr="005E1DF4">
        <w:t xml:space="preserve">The relationship between the four lenses and the findings brings the paper into a theoretical perspective. Proprietary data, accumulated model parameters, and organisational expertise are </w:t>
      </w:r>
      <w:proofErr w:type="gramStart"/>
      <w:r w:rsidRPr="005E1DF4">
        <w:t>a unique combination</w:t>
      </w:r>
      <w:proofErr w:type="gramEnd"/>
      <w:r w:rsidRPr="005E1DF4">
        <w:t xml:space="preserve"> that </w:t>
      </w:r>
      <w:proofErr w:type="gramStart"/>
      <w:r w:rsidRPr="005E1DF4">
        <w:t>is</w:t>
      </w:r>
      <w:proofErr w:type="gramEnd"/>
      <w:r w:rsidRPr="005E1DF4">
        <w:t xml:space="preserve"> difficult to copy (Seddon et al., 2010; Mishra &amp; Tripathi, 2021). The platform is an easily accessible commodity. What drives the difference would be the data infrastructure and the accumulated learning built into the models. The conceptual assessment does not try to air drop </w:t>
      </w:r>
      <w:proofErr w:type="gramStart"/>
      <w:r w:rsidRPr="005E1DF4">
        <w:t>anything, but</w:t>
      </w:r>
      <w:proofErr w:type="gramEnd"/>
      <w:r w:rsidRPr="005E1DF4">
        <w:t xml:space="preserve"> rather applies an upliftment of the Resource Based View for the AI driven world.</w:t>
      </w:r>
    </w:p>
    <w:p w14:paraId="4BB2BE1A" w14:textId="77777777" w:rsidR="008E4243" w:rsidRPr="005E1DF4" w:rsidRDefault="00000000" w:rsidP="008348CF">
      <w:pPr>
        <w:spacing w:before="240" w:after="240"/>
        <w:jc w:val="both"/>
      </w:pPr>
      <w:r w:rsidRPr="005E1DF4">
        <w:t>As seen from sectoral evidence, Dynamic Capabilities Theory shows a recurring pattern of sensing, seizing and transforming of the firm in finance, supply chain, manufacturing and human capital (</w:t>
      </w:r>
      <w:proofErr w:type="spellStart"/>
      <w:r w:rsidRPr="005E1DF4">
        <w:t>Rakholia</w:t>
      </w:r>
      <w:proofErr w:type="spellEnd"/>
      <w:r w:rsidRPr="005E1DF4">
        <w:t xml:space="preserve"> et al., 2025; Liu et al., 2025; Jiang, 2024). The objective of this contribution is to demonstrate that cloud ERP has the power to operate as a </w:t>
      </w:r>
      <w:proofErr w:type="gramStart"/>
      <w:r w:rsidRPr="005E1DF4">
        <w:t>cross domain</w:t>
      </w:r>
      <w:proofErr w:type="gramEnd"/>
      <w:r w:rsidRPr="005E1DF4">
        <w:t xml:space="preserve"> vehicle for dynamic capability instead of being a domain specific tool, and to draw attention to the closed loop pipe as the enabler of the sensing, seizing, and transforming processes (Lin &amp; Chen, 2026).</w:t>
      </w:r>
    </w:p>
    <w:p w14:paraId="2333D492" w14:textId="77777777" w:rsidR="008E4243" w:rsidRPr="005E1DF4" w:rsidRDefault="00000000" w:rsidP="008348CF">
      <w:pPr>
        <w:spacing w:before="240" w:after="240"/>
        <w:jc w:val="both"/>
      </w:pPr>
      <w:r w:rsidRPr="005E1DF4">
        <w:t>Finally, high rates of failure despite sufficient technical capabilities continue to validate and extend the Socio Technical Systems Theory core concept that skill, role, and hierarchy are no longer the only social factors to account for in the analysis of socio technical systems (Kar et al., 2021; Olsen et al., 2022). The framework's diagnostic capability for AI-era ERP is based on this broadened notion of the social subsystem.</w:t>
      </w:r>
    </w:p>
    <w:p w14:paraId="166EB8D0" w14:textId="77777777" w:rsidR="008E4243" w:rsidRPr="005E1DF4" w:rsidRDefault="00000000" w:rsidP="008348CF">
      <w:pPr>
        <w:pStyle w:val="Heading1"/>
        <w:jc w:val="both"/>
        <w:rPr>
          <w:b w:val="0"/>
          <w:bCs w:val="0"/>
          <w:sz w:val="24"/>
          <w:szCs w:val="24"/>
        </w:rPr>
      </w:pPr>
      <w:r w:rsidRPr="005E1DF4">
        <w:rPr>
          <w:b w:val="0"/>
          <w:bCs w:val="0"/>
          <w:sz w:val="24"/>
          <w:szCs w:val="24"/>
        </w:rPr>
        <w:t xml:space="preserve">A comparative observation is that the platforms sit on a boundary of a </w:t>
      </w:r>
      <w:proofErr w:type="spellStart"/>
      <w:r w:rsidRPr="005E1DF4">
        <w:rPr>
          <w:b w:val="0"/>
          <w:bCs w:val="0"/>
          <w:sz w:val="24"/>
          <w:szCs w:val="24"/>
        </w:rPr>
        <w:t>trade off</w:t>
      </w:r>
      <w:proofErr w:type="spellEnd"/>
      <w:r w:rsidRPr="005E1DF4">
        <w:rPr>
          <w:b w:val="0"/>
          <w:bCs w:val="0"/>
          <w:sz w:val="24"/>
          <w:szCs w:val="24"/>
        </w:rPr>
        <w:t xml:space="preserve"> rather than on an ordering. Platforms will vary in their technological features based on the organizations in which they are situated and the regulatory or competitive needs of the environment (e.g., Tudor, 2026), which is essentially a finding of contingency, according to the Technology Organization Environment framework. The contribution tries to introduce this contingency through the maturity model and make it observable and actionable rather than abstract.</w:t>
      </w:r>
    </w:p>
    <w:p w14:paraId="30B4B9E3" w14:textId="77777777" w:rsidR="008E4243" w:rsidRPr="005E1DF4" w:rsidRDefault="00000000" w:rsidP="008348CF">
      <w:pPr>
        <w:pStyle w:val="Heading1"/>
        <w:jc w:val="both"/>
      </w:pPr>
      <w:r w:rsidRPr="005E1DF4">
        <w:t>CHALLENGES AND LIMITATIONS</w:t>
      </w:r>
    </w:p>
    <w:p w14:paraId="204C0764" w14:textId="77777777" w:rsidR="008E4243" w:rsidRPr="005E1DF4" w:rsidRDefault="00000000" w:rsidP="008348CF">
      <w:pPr>
        <w:pStyle w:val="Heading2"/>
        <w:jc w:val="both"/>
        <w:rPr>
          <w:b w:val="0"/>
          <w:bCs w:val="0"/>
        </w:rPr>
      </w:pPr>
      <w:r w:rsidRPr="005E1DF4">
        <w:rPr>
          <w:b w:val="0"/>
          <w:bCs w:val="0"/>
        </w:rPr>
        <w:t xml:space="preserve">Three sets of obstacles condition the agility benefits identified in the discussion. They are offered here </w:t>
      </w:r>
      <w:proofErr w:type="gramStart"/>
      <w:r w:rsidRPr="005E1DF4">
        <w:rPr>
          <w:b w:val="0"/>
          <w:bCs w:val="0"/>
        </w:rPr>
        <w:t>on the basis of</w:t>
      </w:r>
      <w:proofErr w:type="gramEnd"/>
      <w:r w:rsidRPr="005E1DF4">
        <w:rPr>
          <w:b w:val="0"/>
          <w:bCs w:val="0"/>
        </w:rPr>
        <w:t xml:space="preserve"> points already made at sufficient length earlier. It is with the aim of integration, not repetition.</w:t>
      </w:r>
    </w:p>
    <w:p w14:paraId="1FC45D93" w14:textId="77777777" w:rsidR="008E4243" w:rsidRPr="005E1DF4" w:rsidRDefault="00000000" w:rsidP="008348CF">
      <w:pPr>
        <w:pStyle w:val="Heading2"/>
        <w:jc w:val="both"/>
      </w:pPr>
      <w:r w:rsidRPr="005E1DF4">
        <w:t>Technical and integration obstacles</w:t>
      </w:r>
    </w:p>
    <w:p w14:paraId="4B468680" w14:textId="77777777" w:rsidR="008E4243" w:rsidRPr="005E1DF4" w:rsidRDefault="00000000" w:rsidP="008348CF">
      <w:pPr>
        <w:pStyle w:val="Heading2"/>
        <w:jc w:val="both"/>
        <w:rPr>
          <w:b w:val="0"/>
          <w:bCs w:val="0"/>
        </w:rPr>
      </w:pPr>
      <w:r w:rsidRPr="005E1DF4">
        <w:rPr>
          <w:b w:val="0"/>
          <w:bCs w:val="0"/>
        </w:rPr>
        <w:t xml:space="preserve">The tight integration between modular cloud platforms and legacy custom applications, as well as third-party apps is still quite a challenge. Even if the platform is robust, </w:t>
      </w:r>
      <w:proofErr w:type="gramStart"/>
      <w:r w:rsidRPr="005E1DF4">
        <w:rPr>
          <w:b w:val="0"/>
          <w:bCs w:val="0"/>
        </w:rPr>
        <w:t>real time</w:t>
      </w:r>
      <w:proofErr w:type="gramEnd"/>
      <w:r w:rsidRPr="005E1DF4">
        <w:rPr>
          <w:b w:val="0"/>
          <w:bCs w:val="0"/>
        </w:rPr>
        <w:t xml:space="preserve"> pipelines, semantic consistency in the structure of multiple entities, can lead to latency, vulnerability at API entry points, and cost issues (Singh &amp; Dutta, 2026; </w:t>
      </w:r>
      <w:proofErr w:type="spellStart"/>
      <w:r w:rsidRPr="005E1DF4">
        <w:rPr>
          <w:b w:val="0"/>
          <w:bCs w:val="0"/>
        </w:rPr>
        <w:t>Rîndașu</w:t>
      </w:r>
      <w:proofErr w:type="spellEnd"/>
      <w:r w:rsidRPr="005E1DF4">
        <w:rPr>
          <w:b w:val="0"/>
          <w:bCs w:val="0"/>
        </w:rPr>
        <w:t xml:space="preserve"> et al., 2024). Moving onto a proprietary vendor infrastructure along with the historical data and core business processes creates a risk of vendor </w:t>
      </w:r>
      <w:proofErr w:type="gramStart"/>
      <w:r w:rsidRPr="005E1DF4">
        <w:rPr>
          <w:b w:val="0"/>
          <w:bCs w:val="0"/>
        </w:rPr>
        <w:t>lock</w:t>
      </w:r>
      <w:proofErr w:type="gramEnd"/>
      <w:r w:rsidRPr="005E1DF4">
        <w:rPr>
          <w:b w:val="0"/>
          <w:bCs w:val="0"/>
        </w:rPr>
        <w:t xml:space="preserve"> in, which affects the ability to haggle rates in the future, </w:t>
      </w:r>
      <w:proofErr w:type="spellStart"/>
      <w:r w:rsidRPr="005E1DF4">
        <w:rPr>
          <w:b w:val="0"/>
          <w:bCs w:val="0"/>
        </w:rPr>
        <w:t>customise</w:t>
      </w:r>
      <w:proofErr w:type="spellEnd"/>
      <w:r w:rsidRPr="005E1DF4">
        <w:rPr>
          <w:b w:val="0"/>
          <w:bCs w:val="0"/>
        </w:rPr>
        <w:t xml:space="preserve"> or transition to alternative technologies (Mahmood et al., 2020). Technical burden of machine learning parts. The first law violates the statistical dependence that models use to predict the future, causing models to rapidly drift and make inaccurate predictions when they matter most (Modgil et al., 2022). Distributed, cloud native deployment expands the cybersecurity surface area, and </w:t>
      </w:r>
      <w:proofErr w:type="gramStart"/>
      <w:r w:rsidRPr="005E1DF4">
        <w:rPr>
          <w:b w:val="0"/>
          <w:bCs w:val="0"/>
        </w:rPr>
        <w:t>require</w:t>
      </w:r>
      <w:proofErr w:type="gramEnd"/>
      <w:r w:rsidRPr="005E1DF4">
        <w:rPr>
          <w:b w:val="0"/>
          <w:bCs w:val="0"/>
        </w:rPr>
        <w:t xml:space="preserve"> ongoing observation (Agarwal &amp; Gupta, 2024).</w:t>
      </w:r>
    </w:p>
    <w:p w14:paraId="6BA2BBE2" w14:textId="77777777" w:rsidR="008E4243" w:rsidRPr="005E1DF4" w:rsidRDefault="00000000" w:rsidP="008348CF">
      <w:pPr>
        <w:pStyle w:val="Heading2"/>
        <w:jc w:val="both"/>
      </w:pPr>
      <w:r w:rsidRPr="005E1DF4">
        <w:t>Socio-technical and ethical obstacles</w:t>
      </w:r>
    </w:p>
    <w:p w14:paraId="5D0EAFB5" w14:textId="77777777" w:rsidR="008E4243" w:rsidRPr="005E1DF4" w:rsidRDefault="00000000" w:rsidP="008348CF">
      <w:pPr>
        <w:pStyle w:val="Heading2"/>
        <w:jc w:val="both"/>
        <w:rPr>
          <w:b w:val="0"/>
          <w:bCs w:val="0"/>
        </w:rPr>
      </w:pPr>
      <w:r w:rsidRPr="005E1DF4">
        <w:rPr>
          <w:b w:val="0"/>
          <w:bCs w:val="0"/>
        </w:rPr>
        <w:t xml:space="preserve">ERP </w:t>
      </w:r>
      <w:proofErr w:type="spellStart"/>
      <w:r w:rsidRPr="005E1DF4">
        <w:rPr>
          <w:b w:val="0"/>
          <w:bCs w:val="0"/>
        </w:rPr>
        <w:t>modernisation</w:t>
      </w:r>
      <w:proofErr w:type="spellEnd"/>
      <w:r w:rsidRPr="005E1DF4">
        <w:rPr>
          <w:b w:val="0"/>
          <w:bCs w:val="0"/>
        </w:rPr>
        <w:t xml:space="preserve"> is not a standard IT upgrade. It is the socio technical transformation on a high-risk level. Legacy platforms already have a habit of generating structural inertia in both routines and power dynamics, and a lack of skills exacerbates that issue as workers do not have the ability to work alongside AI assistants or understand </w:t>
      </w:r>
      <w:proofErr w:type="gramStart"/>
      <w:r w:rsidRPr="005E1DF4">
        <w:rPr>
          <w:b w:val="0"/>
          <w:bCs w:val="0"/>
        </w:rPr>
        <w:t>the probabilistic</w:t>
      </w:r>
      <w:proofErr w:type="gramEnd"/>
      <w:r w:rsidRPr="005E1DF4">
        <w:rPr>
          <w:b w:val="0"/>
          <w:bCs w:val="0"/>
        </w:rPr>
        <w:t xml:space="preserve"> suggestions. (Olsen et al., 2022, Kar et al., 2021). As models make more consequential decisions, ethical considerations become increasingly prominent, while governance and accountability over these decisions remain in their infancy (Leon, 2026; Agarwal &amp; Nene, 2025).</w:t>
      </w:r>
    </w:p>
    <w:p w14:paraId="17778E18" w14:textId="77777777" w:rsidR="008E4243" w:rsidRPr="005E1DF4" w:rsidRDefault="00000000" w:rsidP="008348CF">
      <w:pPr>
        <w:pStyle w:val="Heading2"/>
        <w:jc w:val="both"/>
      </w:pPr>
      <w:r w:rsidRPr="005E1DF4">
        <w:lastRenderedPageBreak/>
        <w:t>Reconciling competing claims in the corpus</w:t>
      </w:r>
    </w:p>
    <w:p w14:paraId="6092F24D" w14:textId="77777777" w:rsidR="008E4243" w:rsidRPr="005E1DF4" w:rsidRDefault="00000000" w:rsidP="008348CF">
      <w:pPr>
        <w:pStyle w:val="Heading2"/>
        <w:jc w:val="both"/>
        <w:rPr>
          <w:b w:val="0"/>
          <w:bCs w:val="0"/>
        </w:rPr>
      </w:pPr>
      <w:r w:rsidRPr="005E1DF4">
        <w:rPr>
          <w:b w:val="0"/>
          <w:bCs w:val="0"/>
        </w:rPr>
        <w:t xml:space="preserve">There is indeed a genuine disagreement in the literature that a critical synthesis should not be </w:t>
      </w:r>
      <w:proofErr w:type="gramStart"/>
      <w:r w:rsidRPr="005E1DF4">
        <w:rPr>
          <w:b w:val="0"/>
          <w:bCs w:val="0"/>
        </w:rPr>
        <w:t>smothered, but</w:t>
      </w:r>
      <w:proofErr w:type="gramEnd"/>
      <w:r w:rsidRPr="005E1DF4">
        <w:rPr>
          <w:b w:val="0"/>
          <w:bCs w:val="0"/>
        </w:rPr>
        <w:t xml:space="preserve"> rather should emerge. The difference between practitioner and academic levels of optimism is overcome by acknowledging that, where the data and governance regime is good, the performance improvement can follow and that, if it isn't, </w:t>
      </w:r>
      <w:proofErr w:type="gramStart"/>
      <w:r w:rsidRPr="005E1DF4">
        <w:rPr>
          <w:b w:val="0"/>
          <w:bCs w:val="0"/>
        </w:rPr>
        <w:t>the fragility</w:t>
      </w:r>
      <w:proofErr w:type="gramEnd"/>
      <w:r w:rsidRPr="005E1DF4">
        <w:rPr>
          <w:b w:val="0"/>
          <w:bCs w:val="0"/>
        </w:rPr>
        <w:t xml:space="preserve"> exists. The </w:t>
      </w:r>
      <w:proofErr w:type="spellStart"/>
      <w:proofErr w:type="gramStart"/>
      <w:r w:rsidRPr="005E1DF4">
        <w:rPr>
          <w:b w:val="0"/>
          <w:bCs w:val="0"/>
        </w:rPr>
        <w:t>standardisation</w:t>
      </w:r>
      <w:proofErr w:type="spellEnd"/>
      <w:proofErr w:type="gramEnd"/>
      <w:r w:rsidRPr="005E1DF4">
        <w:rPr>
          <w:b w:val="0"/>
          <w:bCs w:val="0"/>
        </w:rPr>
        <w:t xml:space="preserve"> distinctiveness tension is solved by conditional preservation of distinctive processes, using external API extensions, and </w:t>
      </w:r>
      <w:proofErr w:type="spellStart"/>
      <w:r w:rsidRPr="005E1DF4">
        <w:rPr>
          <w:b w:val="0"/>
          <w:bCs w:val="0"/>
        </w:rPr>
        <w:t>standardisation</w:t>
      </w:r>
      <w:proofErr w:type="spellEnd"/>
      <w:r w:rsidRPr="005E1DF4">
        <w:rPr>
          <w:b w:val="0"/>
          <w:bCs w:val="0"/>
        </w:rPr>
        <w:t xml:space="preserve"> of idiosyncratic processes. Resolving this autonomy control balance is the responsibility of the autonomy model itself, which associates a new level of autonomy with a matching level of governance. Hence, control is delegated incrementally </w:t>
      </w:r>
      <w:proofErr w:type="gramStart"/>
      <w:r w:rsidRPr="005E1DF4">
        <w:rPr>
          <w:b w:val="0"/>
          <w:bCs w:val="0"/>
        </w:rPr>
        <w:t>at the same time that</w:t>
      </w:r>
      <w:proofErr w:type="gramEnd"/>
      <w:r w:rsidRPr="005E1DF4">
        <w:rPr>
          <w:b w:val="0"/>
          <w:bCs w:val="0"/>
        </w:rPr>
        <w:t xml:space="preserve"> the capacity to govern is developed incrementally.</w:t>
      </w:r>
    </w:p>
    <w:p w14:paraId="00666E09" w14:textId="77777777" w:rsidR="008E4243" w:rsidRPr="005E1DF4" w:rsidRDefault="00000000" w:rsidP="008348CF">
      <w:pPr>
        <w:pStyle w:val="Heading2"/>
        <w:jc w:val="both"/>
      </w:pPr>
      <w:r w:rsidRPr="005E1DF4">
        <w:t>Boundary conditions of the study</w:t>
      </w:r>
    </w:p>
    <w:p w14:paraId="7497FE9F" w14:textId="77777777" w:rsidR="008E4243" w:rsidRPr="005E1DF4" w:rsidRDefault="00000000" w:rsidP="008348CF">
      <w:pPr>
        <w:pStyle w:val="Heading1"/>
        <w:jc w:val="both"/>
        <w:rPr>
          <w:b w:val="0"/>
          <w:bCs w:val="0"/>
          <w:sz w:val="24"/>
          <w:szCs w:val="24"/>
        </w:rPr>
      </w:pPr>
      <w:r w:rsidRPr="005E1DF4">
        <w:rPr>
          <w:b w:val="0"/>
          <w:bCs w:val="0"/>
          <w:sz w:val="24"/>
          <w:szCs w:val="24"/>
        </w:rPr>
        <w:t xml:space="preserve">The contributions of the study are obvious limits. It is interpretive and not causal. Associations and instances of the same argument occurring through the literature are what are identified, but not the treatment effect. It doesn't propose that introducing a capability necessarily would mechanically engender benefit in a specific firm. Although curated to include only evidence most relevant to the topic, this evidence base is inherently heterogeneous in analytical method and quality, and judgements on the comparative platform are qualitative syntheses, not </w:t>
      </w:r>
      <w:proofErr w:type="spellStart"/>
      <w:r w:rsidRPr="005E1DF4">
        <w:rPr>
          <w:b w:val="0"/>
          <w:bCs w:val="0"/>
          <w:sz w:val="24"/>
          <w:szCs w:val="24"/>
        </w:rPr>
        <w:t>standardised</w:t>
      </w:r>
      <w:proofErr w:type="spellEnd"/>
      <w:r w:rsidRPr="005E1DF4">
        <w:rPr>
          <w:b w:val="0"/>
          <w:bCs w:val="0"/>
          <w:sz w:val="24"/>
          <w:szCs w:val="24"/>
        </w:rPr>
        <w:t xml:space="preserve"> benchmarks. The conceptual framework is an </w:t>
      </w:r>
      <w:proofErr w:type="spellStart"/>
      <w:r w:rsidRPr="005E1DF4">
        <w:rPr>
          <w:b w:val="0"/>
          <w:bCs w:val="0"/>
          <w:sz w:val="24"/>
          <w:szCs w:val="24"/>
        </w:rPr>
        <w:t>organising</w:t>
      </w:r>
      <w:proofErr w:type="spellEnd"/>
      <w:r w:rsidRPr="005E1DF4">
        <w:rPr>
          <w:b w:val="0"/>
          <w:bCs w:val="0"/>
          <w:sz w:val="24"/>
          <w:szCs w:val="24"/>
        </w:rPr>
        <w:t xml:space="preserve"> heuristic that does not need to be activated in the sample. Quantitative results are only presented as reported </w:t>
      </w:r>
      <w:proofErr w:type="gramStart"/>
      <w:r w:rsidRPr="005E1DF4">
        <w:rPr>
          <w:b w:val="0"/>
          <w:bCs w:val="0"/>
          <w:sz w:val="24"/>
          <w:szCs w:val="24"/>
        </w:rPr>
        <w:t>from</w:t>
      </w:r>
      <w:proofErr w:type="gramEnd"/>
      <w:r w:rsidRPr="005E1DF4">
        <w:rPr>
          <w:b w:val="0"/>
          <w:bCs w:val="0"/>
          <w:sz w:val="24"/>
          <w:szCs w:val="24"/>
        </w:rPr>
        <w:t xml:space="preserve"> the sources. These boundaries are not a </w:t>
      </w:r>
      <w:proofErr w:type="gramStart"/>
      <w:r w:rsidRPr="005E1DF4">
        <w:rPr>
          <w:b w:val="0"/>
          <w:bCs w:val="0"/>
          <w:sz w:val="24"/>
          <w:szCs w:val="24"/>
        </w:rPr>
        <w:t>reflective</w:t>
      </w:r>
      <w:proofErr w:type="gramEnd"/>
      <w:r w:rsidRPr="005E1DF4">
        <w:rPr>
          <w:b w:val="0"/>
          <w:bCs w:val="0"/>
          <w:sz w:val="24"/>
          <w:szCs w:val="24"/>
        </w:rPr>
        <w:t xml:space="preserve"> of inability to contribute. They are a reflective of how far these landmarks go in outlining the contribution, and they are straight forwardly related to the future research agenda outlined below.</w:t>
      </w:r>
    </w:p>
    <w:p w14:paraId="0610122D" w14:textId="77777777" w:rsidR="008E4243" w:rsidRPr="005E1DF4" w:rsidRDefault="00000000" w:rsidP="008348CF">
      <w:pPr>
        <w:pStyle w:val="Heading1"/>
        <w:jc w:val="both"/>
      </w:pPr>
      <w:r w:rsidRPr="005E1DF4">
        <w:t>STRATEGIC RECOMMENDATIONS</w:t>
      </w:r>
    </w:p>
    <w:p w14:paraId="31960651" w14:textId="77777777" w:rsidR="008E4243" w:rsidRPr="005E1DF4" w:rsidRDefault="00000000" w:rsidP="008348CF">
      <w:pPr>
        <w:pStyle w:val="Heading2"/>
        <w:jc w:val="both"/>
        <w:rPr>
          <w:b w:val="0"/>
          <w:bCs w:val="0"/>
        </w:rPr>
      </w:pPr>
      <w:r w:rsidRPr="005E1DF4">
        <w:rPr>
          <w:b w:val="0"/>
          <w:bCs w:val="0"/>
        </w:rPr>
        <w:t xml:space="preserve">The synthesis leads to a series of four interlocking recommendations. They are 'given' as a coherent strategy since all evidence points to the fact that </w:t>
      </w:r>
      <w:proofErr w:type="gramStart"/>
      <w:r w:rsidRPr="005E1DF4">
        <w:rPr>
          <w:b w:val="0"/>
          <w:bCs w:val="0"/>
        </w:rPr>
        <w:t>none</w:t>
      </w:r>
      <w:proofErr w:type="gramEnd"/>
      <w:r w:rsidRPr="005E1DF4">
        <w:rPr>
          <w:b w:val="0"/>
          <w:bCs w:val="0"/>
        </w:rPr>
        <w:t xml:space="preserve"> of them on their own can function effectively in relation to the others, and that it takes the four in tandem to do their job properly.</w:t>
      </w:r>
    </w:p>
    <w:p w14:paraId="637D0D37" w14:textId="77777777" w:rsidR="008E4243" w:rsidRPr="005E1DF4" w:rsidRDefault="00000000" w:rsidP="008348CF">
      <w:pPr>
        <w:pStyle w:val="Heading2"/>
        <w:jc w:val="both"/>
      </w:pPr>
      <w:r w:rsidRPr="005E1DF4">
        <w:t>Enforce clean-core principles and modular architecture</w:t>
      </w:r>
    </w:p>
    <w:p w14:paraId="4F70F53C" w14:textId="77777777" w:rsidR="008E4243" w:rsidRPr="005E1DF4" w:rsidRDefault="00000000" w:rsidP="008348CF">
      <w:pPr>
        <w:pStyle w:val="Heading2"/>
        <w:jc w:val="both"/>
        <w:rPr>
          <w:b w:val="0"/>
          <w:bCs w:val="0"/>
        </w:rPr>
      </w:pPr>
      <w:r w:rsidRPr="005E1DF4">
        <w:rPr>
          <w:b w:val="0"/>
          <w:bCs w:val="0"/>
        </w:rPr>
        <w:t xml:space="preserve">It is necessary to take a disciplined approach by keeping the core as 'clean' with standard out of </w:t>
      </w:r>
      <w:proofErr w:type="gramStart"/>
      <w:r w:rsidRPr="005E1DF4">
        <w:rPr>
          <w:b w:val="0"/>
          <w:bCs w:val="0"/>
        </w:rPr>
        <w:t>the box</w:t>
      </w:r>
      <w:proofErr w:type="gramEnd"/>
      <w:r w:rsidRPr="005E1DF4">
        <w:rPr>
          <w:b w:val="0"/>
          <w:bCs w:val="0"/>
        </w:rPr>
        <w:t xml:space="preserve"> applications, and developing any desired </w:t>
      </w:r>
      <w:proofErr w:type="spellStart"/>
      <w:r w:rsidRPr="005E1DF4">
        <w:rPr>
          <w:b w:val="0"/>
          <w:bCs w:val="0"/>
        </w:rPr>
        <w:t>customisations</w:t>
      </w:r>
      <w:proofErr w:type="spellEnd"/>
      <w:r w:rsidRPr="005E1DF4">
        <w:rPr>
          <w:b w:val="0"/>
          <w:bCs w:val="0"/>
        </w:rPr>
        <w:t xml:space="preserve"> remotely by </w:t>
      </w:r>
      <w:proofErr w:type="spellStart"/>
      <w:r w:rsidRPr="005E1DF4">
        <w:rPr>
          <w:b w:val="0"/>
          <w:bCs w:val="0"/>
        </w:rPr>
        <w:t>standardised</w:t>
      </w:r>
      <w:proofErr w:type="spellEnd"/>
      <w:r w:rsidRPr="005E1DF4">
        <w:rPr>
          <w:b w:val="0"/>
          <w:bCs w:val="0"/>
        </w:rPr>
        <w:t xml:space="preserve"> APIs, microservices, and low code platforms for extensions (Shivarudra &amp; Kumar, 2025; Mahmood et al., 2020). Clean Core assures a stable and scalable transaction system, continuous vendor updates and AI innovation without disruption, and improves strategic flexibility. The advice is based on the </w:t>
      </w:r>
      <w:proofErr w:type="spellStart"/>
      <w:r w:rsidRPr="005E1DF4">
        <w:rPr>
          <w:b w:val="0"/>
          <w:bCs w:val="0"/>
        </w:rPr>
        <w:t>customisation</w:t>
      </w:r>
      <w:proofErr w:type="spellEnd"/>
      <w:r w:rsidRPr="005E1DF4">
        <w:rPr>
          <w:b w:val="0"/>
          <w:bCs w:val="0"/>
        </w:rPr>
        <w:t xml:space="preserve"> debate. If a process contributes to a company's competitive distinctiveness, ideally it should be protected via an external extension to reconcile the goals of </w:t>
      </w:r>
      <w:proofErr w:type="spellStart"/>
      <w:r w:rsidRPr="005E1DF4">
        <w:rPr>
          <w:b w:val="0"/>
          <w:bCs w:val="0"/>
        </w:rPr>
        <w:t>standardisation</w:t>
      </w:r>
      <w:proofErr w:type="spellEnd"/>
      <w:r w:rsidRPr="005E1DF4">
        <w:rPr>
          <w:b w:val="0"/>
          <w:bCs w:val="0"/>
        </w:rPr>
        <w:t xml:space="preserve"> and protection of proprietary advantage.</w:t>
      </w:r>
    </w:p>
    <w:p w14:paraId="3B7CDB1C" w14:textId="77777777" w:rsidR="008E4243" w:rsidRPr="005E1DF4" w:rsidRDefault="00000000" w:rsidP="008348CF">
      <w:pPr>
        <w:pStyle w:val="Heading2"/>
        <w:jc w:val="both"/>
      </w:pPr>
      <w:r w:rsidRPr="005E1DF4">
        <w:t>Sequence governance ahead of capability</w:t>
      </w:r>
    </w:p>
    <w:p w14:paraId="3FEE929F" w14:textId="77777777" w:rsidR="008E4243" w:rsidRPr="005E1DF4" w:rsidRDefault="00000000" w:rsidP="008348CF">
      <w:pPr>
        <w:pStyle w:val="Heading2"/>
        <w:jc w:val="both"/>
        <w:rPr>
          <w:b w:val="0"/>
          <w:bCs w:val="0"/>
        </w:rPr>
      </w:pPr>
      <w:r w:rsidRPr="005E1DF4">
        <w:rPr>
          <w:b w:val="0"/>
          <w:bCs w:val="0"/>
        </w:rPr>
        <w:t xml:space="preserve">Since data quality underpins all subsequent benefits, data governance and AI </w:t>
      </w:r>
      <w:proofErr w:type="spellStart"/>
      <w:r w:rsidRPr="005E1DF4">
        <w:rPr>
          <w:b w:val="0"/>
          <w:bCs w:val="0"/>
        </w:rPr>
        <w:t>TRiSM</w:t>
      </w:r>
      <w:proofErr w:type="spellEnd"/>
      <w:r w:rsidRPr="005E1DF4">
        <w:rPr>
          <w:b w:val="0"/>
          <w:bCs w:val="0"/>
        </w:rPr>
        <w:t xml:space="preserve"> architectures should not follow but forbear the implementation of advanced cognitive capabilities (</w:t>
      </w:r>
      <w:proofErr w:type="spellStart"/>
      <w:r w:rsidRPr="005E1DF4">
        <w:rPr>
          <w:b w:val="0"/>
          <w:bCs w:val="0"/>
        </w:rPr>
        <w:t>Elbadri</w:t>
      </w:r>
      <w:proofErr w:type="spellEnd"/>
      <w:r w:rsidRPr="005E1DF4">
        <w:rPr>
          <w:b w:val="0"/>
          <w:bCs w:val="0"/>
        </w:rPr>
        <w:t xml:space="preserve"> et al., 2024; Sharma et al., 2026). The focus areas for governance should be data cleansing, </w:t>
      </w:r>
      <w:proofErr w:type="spellStart"/>
      <w:r w:rsidRPr="005E1DF4">
        <w:rPr>
          <w:b w:val="0"/>
          <w:bCs w:val="0"/>
        </w:rPr>
        <w:t>harmonisation</w:t>
      </w:r>
      <w:proofErr w:type="spellEnd"/>
      <w:r w:rsidRPr="005E1DF4">
        <w:rPr>
          <w:b w:val="0"/>
          <w:bCs w:val="0"/>
        </w:rPr>
        <w:t xml:space="preserve"> of master data, tracking data lineage, and implementing clear stewardship of data. At the same time, AI </w:t>
      </w:r>
      <w:proofErr w:type="spellStart"/>
      <w:r w:rsidRPr="005E1DF4">
        <w:rPr>
          <w:b w:val="0"/>
          <w:bCs w:val="0"/>
        </w:rPr>
        <w:t>TRiSM</w:t>
      </w:r>
      <w:proofErr w:type="spellEnd"/>
      <w:r w:rsidRPr="005E1DF4">
        <w:rPr>
          <w:b w:val="0"/>
          <w:bCs w:val="0"/>
        </w:rPr>
        <w:t xml:space="preserve"> should include real time anomaly detection, constantly tracking models for drift, and immutable audit logs for decisions made by AI systems, while relying on explainable-AI methods for automated approvals and recommendations to be interpretable and auditable (Raza, 2025; Leon, 2026). The </w:t>
      </w:r>
      <w:proofErr w:type="gramStart"/>
      <w:r w:rsidRPr="005E1DF4">
        <w:rPr>
          <w:b w:val="0"/>
          <w:bCs w:val="0"/>
        </w:rPr>
        <w:t>sequencing</w:t>
      </w:r>
      <w:proofErr w:type="gramEnd"/>
      <w:r w:rsidRPr="005E1DF4">
        <w:rPr>
          <w:b w:val="0"/>
          <w:bCs w:val="0"/>
        </w:rPr>
        <w:t xml:space="preserve"> is simple. If a model is trained with bad data and used without clear governance, it will </w:t>
      </w:r>
      <w:proofErr w:type="gramStart"/>
      <w:r w:rsidRPr="005E1DF4">
        <w:rPr>
          <w:b w:val="0"/>
          <w:bCs w:val="0"/>
        </w:rPr>
        <w:t>definitely give</w:t>
      </w:r>
      <w:proofErr w:type="gramEnd"/>
      <w:r w:rsidRPr="005E1DF4">
        <w:rPr>
          <w:b w:val="0"/>
          <w:bCs w:val="0"/>
        </w:rPr>
        <w:t xml:space="preserve"> you big BOLD when it is wrong, and none of all your architecture will make that faith up.</w:t>
      </w:r>
    </w:p>
    <w:p w14:paraId="3B535D31" w14:textId="77777777" w:rsidR="00EA516C" w:rsidRPr="005E1DF4" w:rsidRDefault="00EA516C" w:rsidP="00EA516C"/>
    <w:p w14:paraId="3FAF5860" w14:textId="77777777" w:rsidR="00EA516C" w:rsidRPr="005E1DF4" w:rsidRDefault="00EA516C" w:rsidP="00EA516C"/>
    <w:p w14:paraId="19855A15" w14:textId="77777777" w:rsidR="00EA516C" w:rsidRPr="005E1DF4" w:rsidRDefault="00EA516C" w:rsidP="00EA516C"/>
    <w:p w14:paraId="3E7BA23F" w14:textId="77777777" w:rsidR="008E4243" w:rsidRPr="005E1DF4" w:rsidRDefault="00000000" w:rsidP="008348CF">
      <w:pPr>
        <w:pStyle w:val="Heading2"/>
        <w:jc w:val="both"/>
      </w:pPr>
      <w:r w:rsidRPr="005E1DF4">
        <w:lastRenderedPageBreak/>
        <w:t>Execute an incremental, phased rollout</w:t>
      </w:r>
    </w:p>
    <w:p w14:paraId="280C257A" w14:textId="77777777" w:rsidR="008E4243" w:rsidRPr="005E1DF4" w:rsidRDefault="00000000" w:rsidP="008348CF">
      <w:pPr>
        <w:spacing w:before="240" w:after="240"/>
        <w:jc w:val="both"/>
      </w:pPr>
      <w:r w:rsidRPr="005E1DF4">
        <w:t xml:space="preserve">Phased rollouts dominate big bang migrations in the evidence reviewed. Of the evidence reviewed, phased migrations are more likely to take place than big bang migrations. A </w:t>
      </w:r>
      <w:proofErr w:type="gramStart"/>
      <w:r w:rsidRPr="005E1DF4">
        <w:t>5 phase</w:t>
      </w:r>
      <w:proofErr w:type="gramEnd"/>
      <w:r w:rsidRPr="005E1DF4">
        <w:t xml:space="preserve"> approach provides a progressive series of incremental, reversible decisions, allowing </w:t>
      </w:r>
      <w:proofErr w:type="spellStart"/>
      <w:r w:rsidRPr="005E1DF4">
        <w:t>organisations</w:t>
      </w:r>
      <w:proofErr w:type="spellEnd"/>
      <w:r w:rsidRPr="005E1DF4">
        <w:t xml:space="preserve"> to replace the big idea, single go implementation process with one that conducts planning and requirement analysis, system design and data pipeline mapping, development and modular API integration, testing and data validation against historical data and phased rollout with ongoing feedback loop monitoring (Lin &amp; Chen, 2026). High level automation pilots on less sensitive smaller modules, such as receivables automation or forecasting a single unit's demand, enable teams to verify if the model works before </w:t>
      </w:r>
      <w:proofErr w:type="gramStart"/>
      <w:r w:rsidRPr="005E1DF4">
        <w:t>enterprise wide</w:t>
      </w:r>
      <w:proofErr w:type="gramEnd"/>
      <w:r w:rsidRPr="005E1DF4">
        <w:t xml:space="preserve"> application. Operationally, the maturity model uses phased logic that recommends a step at a time.</w:t>
      </w:r>
    </w:p>
    <w:p w14:paraId="750683F2" w14:textId="77777777" w:rsidR="008E4243" w:rsidRPr="005E1DF4" w:rsidRDefault="00000000" w:rsidP="008348CF">
      <w:pPr>
        <w:pStyle w:val="Heading2"/>
        <w:jc w:val="both"/>
      </w:pPr>
      <w:r w:rsidRPr="005E1DF4">
        <w:t>Treat change management as architecture</w:t>
      </w:r>
    </w:p>
    <w:p w14:paraId="1600D7D3" w14:textId="77777777" w:rsidR="008E4243" w:rsidRPr="005E1DF4" w:rsidRDefault="00000000" w:rsidP="008348CF">
      <w:pPr>
        <w:pStyle w:val="Heading1"/>
        <w:jc w:val="both"/>
        <w:rPr>
          <w:b w:val="0"/>
          <w:bCs w:val="0"/>
          <w:sz w:val="24"/>
          <w:szCs w:val="24"/>
        </w:rPr>
      </w:pPr>
      <w:r w:rsidRPr="005E1DF4">
        <w:rPr>
          <w:b w:val="0"/>
          <w:bCs w:val="0"/>
          <w:sz w:val="24"/>
          <w:szCs w:val="24"/>
          <w:highlight w:val="white"/>
        </w:rPr>
        <w:t xml:space="preserve">Workforce alignment is a strong benchmark of successful socio technical proof in </w:t>
      </w:r>
      <w:proofErr w:type="gramStart"/>
      <w:r w:rsidRPr="005E1DF4">
        <w:rPr>
          <w:b w:val="0"/>
          <w:bCs w:val="0"/>
          <w:sz w:val="24"/>
          <w:szCs w:val="24"/>
          <w:highlight w:val="white"/>
        </w:rPr>
        <w:t>all the</w:t>
      </w:r>
      <w:proofErr w:type="gramEnd"/>
      <w:r w:rsidRPr="005E1DF4">
        <w:rPr>
          <w:b w:val="0"/>
          <w:bCs w:val="0"/>
          <w:sz w:val="24"/>
          <w:szCs w:val="24"/>
          <w:highlight w:val="white"/>
        </w:rPr>
        <w:t xml:space="preserve"> literature, which is also a key source of success for technically feasible deployments in action. Leaders should articulate a clear picture of what automation will be. Workers have a clear image of the future of their role and a shared understanding of how it is evolving. How automation will reduce a repetitive burden on workers and transition them into more valuable work and put a high priority on ongoing upskilling in data literacy, analytical decision making, and AI collaboration (</w:t>
      </w:r>
      <w:proofErr w:type="spellStart"/>
      <w:r w:rsidRPr="005E1DF4">
        <w:rPr>
          <w:b w:val="0"/>
          <w:bCs w:val="0"/>
          <w:sz w:val="24"/>
          <w:szCs w:val="24"/>
          <w:highlight w:val="white"/>
        </w:rPr>
        <w:t>Cepureanu</w:t>
      </w:r>
      <w:proofErr w:type="spellEnd"/>
      <w:r w:rsidRPr="005E1DF4">
        <w:rPr>
          <w:b w:val="0"/>
          <w:bCs w:val="0"/>
          <w:sz w:val="24"/>
          <w:szCs w:val="24"/>
          <w:highlight w:val="white"/>
        </w:rPr>
        <w:t xml:space="preserve"> &amp; </w:t>
      </w:r>
      <w:proofErr w:type="spellStart"/>
      <w:r w:rsidRPr="005E1DF4">
        <w:rPr>
          <w:b w:val="0"/>
          <w:bCs w:val="0"/>
          <w:sz w:val="24"/>
          <w:szCs w:val="24"/>
          <w:highlight w:val="white"/>
        </w:rPr>
        <w:t>Cepureanu</w:t>
      </w:r>
      <w:proofErr w:type="spellEnd"/>
      <w:r w:rsidRPr="005E1DF4">
        <w:rPr>
          <w:b w:val="0"/>
          <w:bCs w:val="0"/>
          <w:sz w:val="24"/>
          <w:szCs w:val="24"/>
          <w:highlight w:val="white"/>
        </w:rPr>
        <w:t xml:space="preserve">, 2015; Kar et al., 2021). Moreover, natural language interfaces and </w:t>
      </w:r>
      <w:proofErr w:type="gramStart"/>
      <w:r w:rsidRPr="005E1DF4">
        <w:rPr>
          <w:b w:val="0"/>
          <w:bCs w:val="0"/>
          <w:sz w:val="24"/>
          <w:szCs w:val="24"/>
          <w:highlight w:val="white"/>
        </w:rPr>
        <w:t>role based</w:t>
      </w:r>
      <w:proofErr w:type="gramEnd"/>
      <w:r w:rsidRPr="005E1DF4">
        <w:rPr>
          <w:b w:val="0"/>
          <w:bCs w:val="0"/>
          <w:sz w:val="24"/>
          <w:szCs w:val="24"/>
          <w:highlight w:val="white"/>
        </w:rPr>
        <w:t xml:space="preserve"> dashboards allow </w:t>
      </w:r>
      <w:proofErr w:type="spellStart"/>
      <w:proofErr w:type="gramStart"/>
      <w:r w:rsidRPr="005E1DF4">
        <w:rPr>
          <w:b w:val="0"/>
          <w:bCs w:val="0"/>
          <w:sz w:val="24"/>
          <w:szCs w:val="24"/>
          <w:highlight w:val="white"/>
        </w:rPr>
        <w:t>non technical</w:t>
      </w:r>
      <w:proofErr w:type="spellEnd"/>
      <w:proofErr w:type="gramEnd"/>
      <w:r w:rsidRPr="005E1DF4">
        <w:rPr>
          <w:b w:val="0"/>
          <w:bCs w:val="0"/>
          <w:sz w:val="24"/>
          <w:szCs w:val="24"/>
          <w:highlight w:val="white"/>
        </w:rPr>
        <w:t xml:space="preserve"> users to query the advanced analytics in an accessible way which relieves the training load and promotes a data driven culture (Mamone, 2025). Change management is a downstream type of communication if it is relegated to a side room, but it properly resumes its natural home in architecture when it is the central feature.</w:t>
      </w:r>
      <w:r w:rsidRPr="005E1DF4">
        <w:rPr>
          <w:b w:val="0"/>
          <w:bCs w:val="0"/>
          <w:sz w:val="24"/>
          <w:szCs w:val="24"/>
        </w:rPr>
        <w:t xml:space="preserve"> </w:t>
      </w:r>
    </w:p>
    <w:p w14:paraId="39646556" w14:textId="77777777" w:rsidR="008E4243" w:rsidRPr="005E1DF4" w:rsidRDefault="00000000" w:rsidP="008348CF">
      <w:pPr>
        <w:pStyle w:val="Heading1"/>
        <w:jc w:val="both"/>
      </w:pPr>
      <w:r w:rsidRPr="005E1DF4">
        <w:t>IMPLICATIONS FOR THEORY AND PRACTICE</w:t>
      </w:r>
    </w:p>
    <w:p w14:paraId="5B906A1C" w14:textId="77777777" w:rsidR="008E4243" w:rsidRPr="005E1DF4" w:rsidRDefault="00000000" w:rsidP="008348CF">
      <w:pPr>
        <w:pStyle w:val="Heading2"/>
        <w:jc w:val="both"/>
      </w:pPr>
      <w:r w:rsidRPr="005E1DF4">
        <w:t>Theoretical contributions</w:t>
      </w:r>
    </w:p>
    <w:p w14:paraId="4E439428" w14:textId="77777777" w:rsidR="008E4243" w:rsidRPr="005E1DF4" w:rsidRDefault="00000000" w:rsidP="008348CF">
      <w:pPr>
        <w:spacing w:before="240" w:after="240"/>
        <w:jc w:val="both"/>
      </w:pPr>
      <w:r w:rsidRPr="005E1DF4">
        <w:rPr>
          <w:highlight w:val="white"/>
        </w:rPr>
        <w:t xml:space="preserve">Three implications in theory emerge from the synthesis. First one is the </w:t>
      </w:r>
      <w:proofErr w:type="spellStart"/>
      <w:r w:rsidRPr="005E1DF4">
        <w:rPr>
          <w:highlight w:val="white"/>
        </w:rPr>
        <w:t>conceptualisation</w:t>
      </w:r>
      <w:proofErr w:type="spellEnd"/>
      <w:r w:rsidRPr="005E1DF4">
        <w:rPr>
          <w:highlight w:val="white"/>
        </w:rPr>
        <w:t xml:space="preserve"> of AI-enabled cloud ERP as the functional manifestation of a broader capability arrangement rather than as an independent value proposition. Resource Based logic validates that a firm specific pair of proprietary data and continuous learning models (not the platform itself) is the inimitable resource (Seddon et al., 2010; Mishra &amp; Tripathi, 2021); and adoption evidence confirms high uptake clusters where complementary digital capabilities are already present (Tudor, 2026). The second contribution is the explicit coupling of dynamic capabilities mechanics with the maturity aware governance stance. The framework pairs each increment of sensing, seizing and transforming capacity with an increment of governance, addressing the autonomy control trade off that has divided the recent literature (</w:t>
      </w:r>
      <w:proofErr w:type="spellStart"/>
      <w:r w:rsidRPr="005E1DF4">
        <w:rPr>
          <w:highlight w:val="white"/>
        </w:rPr>
        <w:t>Sarferaz</w:t>
      </w:r>
      <w:proofErr w:type="spellEnd"/>
      <w:r w:rsidRPr="005E1DF4">
        <w:rPr>
          <w:highlight w:val="white"/>
        </w:rPr>
        <w:t>, 2025; Raza, 2025). The relevant methodological contribution is in the process: how can this conceptual review utilize integrative thematic synthesis (Thomas &amp; Harden, 2008; Cronin &amp; George, 2023) alongside an AI-assisted coverage check (Snyder, 2019) as the basis for a defensible account of a highly dynamic and emerging field of inquiry without becoming methodologically paternalistic in the attribution of causality.</w:t>
      </w:r>
      <w:r w:rsidRPr="005E1DF4">
        <w:t xml:space="preserve"> </w:t>
      </w:r>
    </w:p>
    <w:p w14:paraId="11979029" w14:textId="77777777" w:rsidR="008E4243" w:rsidRPr="005E1DF4" w:rsidRDefault="00000000" w:rsidP="008348CF">
      <w:pPr>
        <w:pStyle w:val="Heading2"/>
        <w:jc w:val="both"/>
      </w:pPr>
      <w:r w:rsidRPr="005E1DF4">
        <w:t>Implications for business leaders</w:t>
      </w:r>
    </w:p>
    <w:p w14:paraId="7E822F43" w14:textId="77777777" w:rsidR="008E4243" w:rsidRPr="005E1DF4" w:rsidRDefault="00000000" w:rsidP="008348CF">
      <w:pPr>
        <w:pStyle w:val="Heading2"/>
        <w:pBdr>
          <w:top w:val="none" w:sz="0" w:space="0" w:color="auto"/>
          <w:left w:val="none" w:sz="0" w:space="0" w:color="auto"/>
          <w:bottom w:val="none" w:sz="0" w:space="0" w:color="auto"/>
          <w:right w:val="none" w:sz="0" w:space="0" w:color="auto"/>
          <w:between w:val="none" w:sz="0" w:space="0" w:color="auto"/>
        </w:pBdr>
        <w:shd w:val="clear" w:color="auto" w:fill="FFFFFF"/>
        <w:spacing w:before="0" w:after="160"/>
        <w:jc w:val="both"/>
      </w:pPr>
      <w:r w:rsidRPr="005E1DF4">
        <w:rPr>
          <w:b w:val="0"/>
          <w:bCs w:val="0"/>
        </w:rPr>
        <w:t xml:space="preserve">For chief executives and financial leaders, what is critical to note is that AI-powered cloud ERP is not merely a digital strategy but a </w:t>
      </w:r>
      <w:proofErr w:type="gramStart"/>
      <w:r w:rsidRPr="005E1DF4">
        <w:rPr>
          <w:b w:val="0"/>
          <w:bCs w:val="0"/>
        </w:rPr>
        <w:t>digital strategy unified</w:t>
      </w:r>
      <w:proofErr w:type="gramEnd"/>
      <w:r w:rsidRPr="005E1DF4">
        <w:rPr>
          <w:b w:val="0"/>
          <w:bCs w:val="0"/>
        </w:rPr>
        <w:t xml:space="preserve"> (Tudor, 2026; Bhatia, 2025). Investment decisions are more favorable where the platform is seen as part of a wider bag of capabilities, which includes systems or structured data, and </w:t>
      </w:r>
      <w:proofErr w:type="gramStart"/>
      <w:r w:rsidRPr="005E1DF4">
        <w:rPr>
          <w:b w:val="0"/>
          <w:bCs w:val="0"/>
        </w:rPr>
        <w:t>customer facing</w:t>
      </w:r>
      <w:proofErr w:type="gramEnd"/>
      <w:r w:rsidRPr="005E1DF4">
        <w:rPr>
          <w:b w:val="0"/>
          <w:bCs w:val="0"/>
        </w:rPr>
        <w:t xml:space="preserve"> systems. Without such prerequisites, investments in them are the responsible first investment as opposed to developing cognitive mechanisms that are also advanced and have returns that under this synthesis are dependent on preliminary investment (</w:t>
      </w:r>
      <w:proofErr w:type="spellStart"/>
      <w:r w:rsidRPr="005E1DF4">
        <w:rPr>
          <w:b w:val="0"/>
          <w:bCs w:val="0"/>
        </w:rPr>
        <w:t>Elbadri</w:t>
      </w:r>
      <w:proofErr w:type="spellEnd"/>
      <w:r w:rsidRPr="005E1DF4">
        <w:rPr>
          <w:b w:val="0"/>
          <w:bCs w:val="0"/>
        </w:rPr>
        <w:t xml:space="preserve"> et al., 2024; More &amp; </w:t>
      </w:r>
      <w:proofErr w:type="spellStart"/>
      <w:r w:rsidRPr="005E1DF4">
        <w:rPr>
          <w:b w:val="0"/>
          <w:bCs w:val="0"/>
        </w:rPr>
        <w:t>Mucherla</w:t>
      </w:r>
      <w:proofErr w:type="spellEnd"/>
      <w:r w:rsidRPr="005E1DF4">
        <w:rPr>
          <w:b w:val="0"/>
          <w:bCs w:val="0"/>
        </w:rPr>
        <w:t>, 2025).</w:t>
      </w:r>
    </w:p>
    <w:p w14:paraId="635C0A49" w14:textId="77777777" w:rsidR="008E4243" w:rsidRPr="005E1DF4" w:rsidRDefault="00000000" w:rsidP="008348CF">
      <w:pPr>
        <w:pStyle w:val="Heading2"/>
        <w:jc w:val="both"/>
      </w:pPr>
      <w:r w:rsidRPr="005E1DF4">
        <w:t>Implications for ERP decision makers</w:t>
      </w:r>
    </w:p>
    <w:p w14:paraId="5D03708E" w14:textId="77777777" w:rsidR="008E4243" w:rsidRPr="005E1DF4" w:rsidRDefault="00000000" w:rsidP="008348CF">
      <w:pPr>
        <w:pStyle w:val="Heading2"/>
        <w:jc w:val="both"/>
        <w:rPr>
          <w:b w:val="0"/>
          <w:bCs w:val="0"/>
        </w:rPr>
      </w:pPr>
      <w:r w:rsidRPr="005E1DF4">
        <w:rPr>
          <w:b w:val="0"/>
          <w:bCs w:val="0"/>
          <w:highlight w:val="white"/>
        </w:rPr>
        <w:t xml:space="preserve">CIOs and enterprise architects get a selection logic that runs on contingencies. Platform archetypes are placed along a continuum between </w:t>
      </w:r>
      <w:proofErr w:type="spellStart"/>
      <w:r w:rsidRPr="005E1DF4">
        <w:rPr>
          <w:b w:val="0"/>
          <w:bCs w:val="0"/>
          <w:highlight w:val="white"/>
        </w:rPr>
        <w:t>standardised</w:t>
      </w:r>
      <w:proofErr w:type="spellEnd"/>
      <w:r w:rsidRPr="005E1DF4">
        <w:rPr>
          <w:b w:val="0"/>
          <w:bCs w:val="0"/>
          <w:highlight w:val="white"/>
        </w:rPr>
        <w:t xml:space="preserve"> analytical depth and flexible, </w:t>
      </w:r>
      <w:proofErr w:type="gramStart"/>
      <w:r w:rsidRPr="005E1DF4">
        <w:rPr>
          <w:b w:val="0"/>
          <w:bCs w:val="0"/>
          <w:highlight w:val="white"/>
        </w:rPr>
        <w:t>cost efficient</w:t>
      </w:r>
      <w:proofErr w:type="gramEnd"/>
      <w:r w:rsidRPr="005E1DF4">
        <w:rPr>
          <w:b w:val="0"/>
          <w:bCs w:val="0"/>
          <w:highlight w:val="white"/>
        </w:rPr>
        <w:t xml:space="preserve"> adaptability (cf. Sharma et </w:t>
      </w:r>
      <w:r w:rsidRPr="005E1DF4">
        <w:rPr>
          <w:b w:val="0"/>
          <w:bCs w:val="0"/>
          <w:highlight w:val="white"/>
        </w:rPr>
        <w:lastRenderedPageBreak/>
        <w:t xml:space="preserve">al., 2025; Karthikeyan et al., 2024; Masuda et al., 2026); select the right one from among them, after a prior determination on the dimensions of agility that matter more to the </w:t>
      </w:r>
      <w:proofErr w:type="spellStart"/>
      <w:r w:rsidRPr="005E1DF4">
        <w:rPr>
          <w:b w:val="0"/>
          <w:bCs w:val="0"/>
          <w:highlight w:val="white"/>
        </w:rPr>
        <w:t>organisation</w:t>
      </w:r>
      <w:proofErr w:type="spellEnd"/>
      <w:r w:rsidRPr="005E1DF4">
        <w:rPr>
          <w:b w:val="0"/>
          <w:bCs w:val="0"/>
          <w:highlight w:val="white"/>
        </w:rPr>
        <w:t>. Together with a disciplined clean core attitude (which is basically the principle of standard cores extended via APIs and microservices for unique processes), such a decision will also safeguard the stability and competitive distinction (Shivarudra &amp; Kumar, 2025; Mahmood et al., 2020). This modularity and phased logic, so inherent in the maturity model, makes it less prone to failure rate evidence than big bang migrations (Lin &amp; Chen, 2026).</w:t>
      </w:r>
      <w:r w:rsidRPr="005E1DF4">
        <w:rPr>
          <w:b w:val="0"/>
          <w:bCs w:val="0"/>
        </w:rPr>
        <w:t xml:space="preserve"> </w:t>
      </w:r>
    </w:p>
    <w:p w14:paraId="6801CFD9" w14:textId="77777777" w:rsidR="008E4243" w:rsidRPr="005E1DF4" w:rsidRDefault="00000000" w:rsidP="008348CF">
      <w:pPr>
        <w:pStyle w:val="Heading2"/>
        <w:jc w:val="both"/>
      </w:pPr>
      <w:r w:rsidRPr="005E1DF4">
        <w:t>Implications for digital transformation teams</w:t>
      </w:r>
    </w:p>
    <w:p w14:paraId="288FB6FD" w14:textId="77777777" w:rsidR="008E4243" w:rsidRPr="005E1DF4" w:rsidRDefault="00000000" w:rsidP="008348CF">
      <w:pPr>
        <w:pStyle w:val="Heading2"/>
        <w:jc w:val="both"/>
        <w:rPr>
          <w:b w:val="0"/>
          <w:bCs w:val="0"/>
        </w:rPr>
      </w:pPr>
      <w:r w:rsidRPr="005E1DF4">
        <w:rPr>
          <w:b w:val="0"/>
          <w:bCs w:val="0"/>
          <w:highlight w:val="white"/>
        </w:rPr>
        <w:t xml:space="preserve">Transformational improvements generally do better in overinvesting in technical design and underinvesting in workforce alignment (Olsen et al., 2022; </w:t>
      </w:r>
      <w:proofErr w:type="spellStart"/>
      <w:r w:rsidRPr="005E1DF4">
        <w:rPr>
          <w:b w:val="0"/>
          <w:bCs w:val="0"/>
          <w:highlight w:val="white"/>
        </w:rPr>
        <w:t>Cepureanu</w:t>
      </w:r>
      <w:proofErr w:type="spellEnd"/>
      <w:r w:rsidRPr="005E1DF4">
        <w:rPr>
          <w:b w:val="0"/>
          <w:bCs w:val="0"/>
          <w:highlight w:val="white"/>
        </w:rPr>
        <w:t xml:space="preserve"> &amp; </w:t>
      </w:r>
      <w:proofErr w:type="spellStart"/>
      <w:r w:rsidRPr="005E1DF4">
        <w:rPr>
          <w:b w:val="0"/>
          <w:bCs w:val="0"/>
          <w:highlight w:val="white"/>
        </w:rPr>
        <w:t>Cepureanu</w:t>
      </w:r>
      <w:proofErr w:type="spellEnd"/>
      <w:r w:rsidRPr="005E1DF4">
        <w:rPr>
          <w:b w:val="0"/>
          <w:bCs w:val="0"/>
          <w:highlight w:val="white"/>
        </w:rPr>
        <w:t xml:space="preserve">, 2015; Kar et al., 2021). Change </w:t>
      </w:r>
      <w:proofErr w:type="gramStart"/>
      <w:r w:rsidRPr="005E1DF4">
        <w:rPr>
          <w:b w:val="0"/>
          <w:bCs w:val="0"/>
          <w:highlight w:val="white"/>
        </w:rPr>
        <w:t>Management</w:t>
      </w:r>
      <w:proofErr w:type="gramEnd"/>
      <w:r w:rsidRPr="005E1DF4">
        <w:rPr>
          <w:b w:val="0"/>
          <w:bCs w:val="0"/>
          <w:highlight w:val="white"/>
        </w:rPr>
        <w:t xml:space="preserve"> considered as architecture, not as downstream communication, acknowledges socio technical evidence of what really </w:t>
      </w:r>
      <w:proofErr w:type="gramStart"/>
      <w:r w:rsidRPr="005E1DF4">
        <w:rPr>
          <w:b w:val="0"/>
          <w:bCs w:val="0"/>
          <w:highlight w:val="white"/>
        </w:rPr>
        <w:t>matters to</w:t>
      </w:r>
      <w:proofErr w:type="gramEnd"/>
      <w:r w:rsidRPr="005E1DF4">
        <w:rPr>
          <w:b w:val="0"/>
          <w:bCs w:val="0"/>
          <w:highlight w:val="white"/>
        </w:rPr>
        <w:t xml:space="preserve"> whether technically sound deployments are successful. Specific actions include. Align a clear upskilling agenda to each pipeline stage, use dashboards and natural language interfaces to reduce "the democratization cliff" (Mamone, 2025) and </w:t>
      </w:r>
      <w:proofErr w:type="spellStart"/>
      <w:r w:rsidRPr="005E1DF4">
        <w:rPr>
          <w:b w:val="0"/>
          <w:bCs w:val="0"/>
          <w:highlight w:val="white"/>
        </w:rPr>
        <w:t>localised</w:t>
      </w:r>
      <w:proofErr w:type="spellEnd"/>
      <w:r w:rsidRPr="005E1DF4">
        <w:rPr>
          <w:b w:val="0"/>
          <w:bCs w:val="0"/>
          <w:highlight w:val="white"/>
        </w:rPr>
        <w:t xml:space="preserve"> pilots run parallel to existing processes, to validate adoption before committing to scale.</w:t>
      </w:r>
      <w:r w:rsidRPr="005E1DF4">
        <w:rPr>
          <w:b w:val="0"/>
          <w:bCs w:val="0"/>
        </w:rPr>
        <w:t xml:space="preserve"> </w:t>
      </w:r>
    </w:p>
    <w:p w14:paraId="2C6BC4C1" w14:textId="77777777" w:rsidR="008E4243" w:rsidRPr="005E1DF4" w:rsidRDefault="00000000" w:rsidP="008348CF">
      <w:pPr>
        <w:pStyle w:val="Heading2"/>
        <w:jc w:val="both"/>
      </w:pPr>
      <w:r w:rsidRPr="005E1DF4">
        <w:t>Implications for governance stakeholders</w:t>
      </w:r>
    </w:p>
    <w:p w14:paraId="3D67E679" w14:textId="77777777" w:rsidR="008E4243" w:rsidRPr="005E1DF4" w:rsidRDefault="00000000" w:rsidP="008348CF">
      <w:pPr>
        <w:pStyle w:val="Heading2"/>
        <w:jc w:val="both"/>
        <w:rPr>
          <w:b w:val="0"/>
          <w:bCs w:val="0"/>
        </w:rPr>
      </w:pPr>
      <w:r w:rsidRPr="005E1DF4">
        <w:rPr>
          <w:b w:val="0"/>
          <w:bCs w:val="0"/>
        </w:rPr>
        <w:t>As ERP systems have developed at a more autonomous level, so too has the role of compliance experts, risk officers, and audit committees. It depicts the layered governance system based on "</w:t>
      </w:r>
      <w:proofErr w:type="spellStart"/>
      <w:r w:rsidRPr="005E1DF4">
        <w:rPr>
          <w:b w:val="0"/>
          <w:bCs w:val="0"/>
        </w:rPr>
        <w:t>defence</w:t>
      </w:r>
      <w:proofErr w:type="spellEnd"/>
      <w:r w:rsidRPr="005E1DF4">
        <w:rPr>
          <w:b w:val="0"/>
          <w:bCs w:val="0"/>
        </w:rPr>
        <w:t xml:space="preserve"> in-depth", where none of the layers can stand alone, and the four layers. Sovereign cloud, AI </w:t>
      </w:r>
      <w:proofErr w:type="spellStart"/>
      <w:r w:rsidRPr="005E1DF4">
        <w:rPr>
          <w:b w:val="0"/>
          <w:bCs w:val="0"/>
        </w:rPr>
        <w:t>TRiSM</w:t>
      </w:r>
      <w:proofErr w:type="spellEnd"/>
      <w:r w:rsidRPr="005E1DF4">
        <w:rPr>
          <w:b w:val="0"/>
          <w:bCs w:val="0"/>
        </w:rPr>
        <w:t xml:space="preserve">, explainable AI, and Zero Trust, work together (Kumar &amp; Jaya, 2026; Qazi &amp; Arshad, 2025; Sharma et al., 2026; Agarwal &amp; Nene, 2025). Governance stakeholders should also anticipate an increased level of involvement earlier in transformation </w:t>
      </w:r>
      <w:proofErr w:type="spellStart"/>
      <w:r w:rsidRPr="005E1DF4">
        <w:rPr>
          <w:b w:val="0"/>
          <w:bCs w:val="0"/>
        </w:rPr>
        <w:t>programmes</w:t>
      </w:r>
      <w:proofErr w:type="spellEnd"/>
      <w:r w:rsidRPr="005E1DF4">
        <w:rPr>
          <w:b w:val="0"/>
          <w:bCs w:val="0"/>
        </w:rPr>
        <w:t xml:space="preserve">, not just in static design but also in understanding and evaluating the dynamic </w:t>
      </w:r>
      <w:proofErr w:type="spellStart"/>
      <w:r w:rsidRPr="005E1DF4">
        <w:rPr>
          <w:b w:val="0"/>
          <w:bCs w:val="0"/>
        </w:rPr>
        <w:t>behaviour</w:t>
      </w:r>
      <w:proofErr w:type="spellEnd"/>
      <w:r w:rsidRPr="005E1DF4">
        <w:rPr>
          <w:b w:val="0"/>
          <w:bCs w:val="0"/>
        </w:rPr>
        <w:t xml:space="preserve"> of the models that the controls govern, including drift, fairness, and explainability under operational stress (Leon, 2026; Raza, 2025).</w:t>
      </w:r>
    </w:p>
    <w:p w14:paraId="560178F0" w14:textId="77777777" w:rsidR="008E4243" w:rsidRPr="005E1DF4" w:rsidRDefault="00000000" w:rsidP="008348CF">
      <w:pPr>
        <w:pStyle w:val="Heading2"/>
        <w:jc w:val="both"/>
      </w:pPr>
      <w:r w:rsidRPr="005E1DF4">
        <w:t>Implications for SME leaders</w:t>
      </w:r>
    </w:p>
    <w:p w14:paraId="118965E2" w14:textId="77777777" w:rsidR="008E4243" w:rsidRPr="005E1DF4" w:rsidRDefault="00000000" w:rsidP="008348CF">
      <w:pPr>
        <w:pStyle w:val="Heading2"/>
        <w:jc w:val="both"/>
        <w:rPr>
          <w:b w:val="0"/>
          <w:bCs w:val="0"/>
        </w:rPr>
      </w:pPr>
      <w:r w:rsidRPr="005E1DF4">
        <w:rPr>
          <w:b w:val="0"/>
          <w:bCs w:val="0"/>
        </w:rPr>
        <w:t xml:space="preserve">The general recommendations must be tailored to small and medium enterprises because they face different calculus. However, the evidence from the adoption suggests that (even though it does not determine) the benefits of the AI-enabled ERP can only be </w:t>
      </w:r>
      <w:proofErr w:type="spellStart"/>
      <w:r w:rsidRPr="005E1DF4">
        <w:rPr>
          <w:b w:val="0"/>
          <w:bCs w:val="0"/>
        </w:rPr>
        <w:t>realised</w:t>
      </w:r>
      <w:proofErr w:type="spellEnd"/>
      <w:r w:rsidRPr="005E1DF4">
        <w:rPr>
          <w:b w:val="0"/>
          <w:bCs w:val="0"/>
        </w:rPr>
        <w:t xml:space="preserve"> when scaling effects take place, and that instead of scale there may be complementary digital capabilities that are already present in the company prior to ERP adoption (Tudor, 2026; Buonanno et al.,  2005). Therefore, for the resource not so </w:t>
      </w:r>
      <w:proofErr w:type="gramStart"/>
      <w:r w:rsidRPr="005E1DF4">
        <w:rPr>
          <w:b w:val="0"/>
          <w:bCs w:val="0"/>
        </w:rPr>
        <w:t>well endowed</w:t>
      </w:r>
      <w:proofErr w:type="gramEnd"/>
      <w:r w:rsidRPr="005E1DF4">
        <w:rPr>
          <w:b w:val="0"/>
          <w:bCs w:val="0"/>
        </w:rPr>
        <w:t xml:space="preserve"> companies </w:t>
      </w:r>
      <w:proofErr w:type="gramStart"/>
      <w:r w:rsidRPr="005E1DF4">
        <w:rPr>
          <w:b w:val="0"/>
          <w:bCs w:val="0"/>
        </w:rPr>
        <w:t>is</w:t>
      </w:r>
      <w:proofErr w:type="gramEnd"/>
      <w:r w:rsidRPr="005E1DF4">
        <w:rPr>
          <w:b w:val="0"/>
          <w:bCs w:val="0"/>
        </w:rPr>
        <w:t xml:space="preserve"> not the most competent </w:t>
      </w:r>
      <w:proofErr w:type="gramStart"/>
      <w:r w:rsidRPr="005E1DF4">
        <w:rPr>
          <w:b w:val="0"/>
          <w:bCs w:val="0"/>
        </w:rPr>
        <w:t>the platform</w:t>
      </w:r>
      <w:proofErr w:type="gramEnd"/>
      <w:r w:rsidRPr="005E1DF4">
        <w:rPr>
          <w:b w:val="0"/>
          <w:bCs w:val="0"/>
        </w:rPr>
        <w:t xml:space="preserve"> that matters as much as the most solid foundation. </w:t>
      </w:r>
      <w:proofErr w:type="spellStart"/>
      <w:r w:rsidRPr="005E1DF4">
        <w:rPr>
          <w:b w:val="0"/>
          <w:bCs w:val="0"/>
        </w:rPr>
        <w:t>Harmonisation</w:t>
      </w:r>
      <w:proofErr w:type="spellEnd"/>
      <w:r w:rsidRPr="005E1DF4">
        <w:rPr>
          <w:b w:val="0"/>
          <w:bCs w:val="0"/>
        </w:rPr>
        <w:t xml:space="preserve"> of master data, a defendable quality baseline and an honest assessment of the dependency on connectivity, a universal vulnerability of off premises models, regardless of the label of their deployment (</w:t>
      </w:r>
      <w:proofErr w:type="spellStart"/>
      <w:r w:rsidRPr="005E1DF4">
        <w:rPr>
          <w:b w:val="0"/>
          <w:bCs w:val="0"/>
        </w:rPr>
        <w:t>Achargui</w:t>
      </w:r>
      <w:proofErr w:type="spellEnd"/>
      <w:r w:rsidRPr="005E1DF4">
        <w:rPr>
          <w:b w:val="0"/>
          <w:bCs w:val="0"/>
        </w:rPr>
        <w:t xml:space="preserve"> &amp; </w:t>
      </w:r>
      <w:proofErr w:type="spellStart"/>
      <w:r w:rsidRPr="005E1DF4">
        <w:rPr>
          <w:b w:val="0"/>
          <w:bCs w:val="0"/>
        </w:rPr>
        <w:t>Zaouia</w:t>
      </w:r>
      <w:proofErr w:type="spellEnd"/>
      <w:r w:rsidRPr="005E1DF4">
        <w:rPr>
          <w:b w:val="0"/>
          <w:bCs w:val="0"/>
        </w:rPr>
        <w:t xml:space="preserve">, 2016). Adopting the software as a service model helps reduce total cost of ownership and drives the focus of SME leaders on core activities. However, this comes at the cost of limited </w:t>
      </w:r>
      <w:proofErr w:type="spellStart"/>
      <w:r w:rsidRPr="005E1DF4">
        <w:rPr>
          <w:b w:val="0"/>
          <w:bCs w:val="0"/>
        </w:rPr>
        <w:t>customisation</w:t>
      </w:r>
      <w:proofErr w:type="spellEnd"/>
      <w:r w:rsidRPr="005E1DF4">
        <w:rPr>
          <w:b w:val="0"/>
          <w:bCs w:val="0"/>
        </w:rPr>
        <w:t xml:space="preserve"> options, so rather than resisting it, SMEs would be better off embracing it as a natural fit and calling on outside help only for those few processes that truly matter. (Ranasinghe &amp; Gide, 2025; </w:t>
      </w:r>
      <w:proofErr w:type="spellStart"/>
      <w:r w:rsidRPr="005E1DF4">
        <w:rPr>
          <w:b w:val="0"/>
          <w:bCs w:val="0"/>
        </w:rPr>
        <w:t>Lawendatu</w:t>
      </w:r>
      <w:proofErr w:type="spellEnd"/>
      <w:r w:rsidRPr="005E1DF4">
        <w:rPr>
          <w:b w:val="0"/>
          <w:bCs w:val="0"/>
        </w:rPr>
        <w:t xml:space="preserve"> et al., 2026). Here, phasing is even more critical as it disproportionately affects companies with fewer resources if </w:t>
      </w:r>
      <w:proofErr w:type="gramStart"/>
      <w:r w:rsidRPr="005E1DF4">
        <w:rPr>
          <w:b w:val="0"/>
          <w:bCs w:val="0"/>
        </w:rPr>
        <w:t>it isn't</w:t>
      </w:r>
      <w:proofErr w:type="gramEnd"/>
      <w:r w:rsidRPr="005E1DF4">
        <w:rPr>
          <w:b w:val="0"/>
          <w:bCs w:val="0"/>
        </w:rPr>
        <w:t xml:space="preserve"> successful.</w:t>
      </w:r>
    </w:p>
    <w:p w14:paraId="5F1648A5" w14:textId="77777777" w:rsidR="008E4243" w:rsidRPr="005E1DF4" w:rsidRDefault="00000000" w:rsidP="008348CF">
      <w:pPr>
        <w:pStyle w:val="Heading2"/>
        <w:jc w:val="both"/>
      </w:pPr>
      <w:r w:rsidRPr="005E1DF4">
        <w:t>Implications for large enterprises</w:t>
      </w:r>
    </w:p>
    <w:p w14:paraId="74EDCEF6" w14:textId="77777777" w:rsidR="008E4243" w:rsidRPr="005E1DF4" w:rsidRDefault="00000000" w:rsidP="008348CF">
      <w:pPr>
        <w:spacing w:before="120" w:after="120"/>
        <w:jc w:val="both"/>
      </w:pPr>
      <w:r w:rsidRPr="005E1DF4">
        <w:t xml:space="preserve">For companies with large amounts of data, there are implications as well. The opposite situation prevails in large enterprises. Most of the time the challenge is not that they lack complementary capabilities, but the structural inertia of deeply embedded legacy estates, the integration challenge for multi entity and multi jurisdiction operations, and the added governance weight of scaled operations (Lee et al., 2024; Mahmood et al., 2020). For these organizations, the enterprise scale analytical archetype provides the analytical depth and consolidation that complex structures demand, but success requires socio technical risk mitigation and </w:t>
      </w:r>
      <w:proofErr w:type="gramStart"/>
      <w:r w:rsidRPr="005E1DF4">
        <w:t>up front</w:t>
      </w:r>
      <w:proofErr w:type="gramEnd"/>
      <w:r w:rsidRPr="005E1DF4">
        <w:t xml:space="preserve"> governance. Chosen for their complex analytical needs, the analytical activities present the greatest socio technical risk and the highest implementation expense (Masuda et al., 2026; Singh &amp; Dutta, 2026). </w:t>
      </w:r>
    </w:p>
    <w:p w14:paraId="62299838" w14:textId="77777777" w:rsidR="008E4243" w:rsidRPr="005E1DF4" w:rsidRDefault="00000000" w:rsidP="008348CF">
      <w:pPr>
        <w:spacing w:before="120" w:after="120"/>
        <w:jc w:val="both"/>
      </w:pPr>
      <w:r w:rsidRPr="005E1DF4">
        <w:lastRenderedPageBreak/>
        <w:t xml:space="preserve">Large enterprises are also the most exposed to </w:t>
      </w:r>
      <w:proofErr w:type="gramStart"/>
      <w:r w:rsidRPr="005E1DF4">
        <w:t>the autonomy</w:t>
      </w:r>
      <w:proofErr w:type="gramEnd"/>
      <w:r w:rsidRPr="005E1DF4">
        <w:t>. Control trade off, because they command the data volumes and process scale that make agentic operation attractive and the regulatory exposure that makes it hazardous. The layered governance architecture, and the pairing of each autonomy increment with a governance increment, are addressed first and most urgently to them (</w:t>
      </w:r>
      <w:proofErr w:type="spellStart"/>
      <w:r w:rsidRPr="005E1DF4">
        <w:t>Sarferaz</w:t>
      </w:r>
      <w:proofErr w:type="spellEnd"/>
      <w:r w:rsidRPr="005E1DF4">
        <w:t>, 2025; Qazi &amp; Arshad, 2025).</w:t>
      </w:r>
    </w:p>
    <w:p w14:paraId="70C18910" w14:textId="77777777" w:rsidR="008E4243" w:rsidRPr="005E1DF4" w:rsidRDefault="008E4243" w:rsidP="008348CF">
      <w:pPr>
        <w:spacing w:before="120" w:after="120"/>
        <w:jc w:val="both"/>
      </w:pPr>
    </w:p>
    <w:p w14:paraId="4BB41A28" w14:textId="77777777" w:rsidR="008E4243" w:rsidRPr="005E1DF4" w:rsidRDefault="00000000" w:rsidP="008348CF">
      <w:pPr>
        <w:spacing w:before="160" w:after="60"/>
        <w:jc w:val="both"/>
      </w:pPr>
      <w:r w:rsidRPr="005E1DF4">
        <w:rPr>
          <w:b/>
          <w:bCs/>
        </w:rPr>
        <w:t>Table 7. Stakeholder-specific managerial action summary.</w:t>
      </w:r>
    </w:p>
    <w:tbl>
      <w:tblPr>
        <w:tblStyle w:val="a5"/>
        <w:tblW w:w="94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0"/>
        <w:gridCol w:w="3200"/>
        <w:gridCol w:w="2400"/>
        <w:gridCol w:w="1960"/>
      </w:tblGrid>
      <w:tr w:rsidR="008E4243" w:rsidRPr="005E1DF4" w14:paraId="6ED7987E" w14:textId="77777777" w:rsidTr="00AD59FE">
        <w:trPr>
          <w:tblHeader/>
          <w:jc w:val="center"/>
        </w:trPr>
        <w:tc>
          <w:tcPr>
            <w:tcW w:w="1900" w:type="dxa"/>
            <w:tcBorders>
              <w:top w:val="single" w:sz="4" w:space="0" w:color="999999"/>
              <w:left w:val="single" w:sz="4" w:space="0" w:color="999999"/>
              <w:bottom w:val="single" w:sz="4" w:space="0" w:color="999999"/>
              <w:right w:val="single" w:sz="4" w:space="0" w:color="999999"/>
            </w:tcBorders>
            <w:shd w:val="clear" w:color="auto" w:fill="FFFFFF" w:themeFill="background1"/>
            <w:tcMar>
              <w:top w:w="60" w:type="dxa"/>
              <w:left w:w="100" w:type="dxa"/>
              <w:bottom w:w="60" w:type="dxa"/>
              <w:right w:w="100" w:type="dxa"/>
            </w:tcMar>
          </w:tcPr>
          <w:p w14:paraId="575C475F" w14:textId="77777777" w:rsidR="008E4243" w:rsidRPr="00AD59FE" w:rsidRDefault="00000000" w:rsidP="00AD59FE">
            <w:pPr>
              <w:spacing w:before="20" w:after="20"/>
              <w:jc w:val="center"/>
              <w:rPr>
                <w:sz w:val="20"/>
                <w:szCs w:val="20"/>
              </w:rPr>
            </w:pPr>
            <w:r w:rsidRPr="00AD59FE">
              <w:rPr>
                <w:b/>
                <w:bCs/>
                <w:sz w:val="20"/>
                <w:szCs w:val="20"/>
              </w:rPr>
              <w:t>Stakeholder group</w:t>
            </w:r>
          </w:p>
        </w:tc>
        <w:tc>
          <w:tcPr>
            <w:tcW w:w="3200" w:type="dxa"/>
            <w:tcBorders>
              <w:top w:val="single" w:sz="4" w:space="0" w:color="999999"/>
              <w:left w:val="single" w:sz="4" w:space="0" w:color="999999"/>
              <w:bottom w:val="single" w:sz="4" w:space="0" w:color="999999"/>
              <w:right w:val="single" w:sz="4" w:space="0" w:color="999999"/>
            </w:tcBorders>
            <w:shd w:val="clear" w:color="auto" w:fill="FFFFFF" w:themeFill="background1"/>
            <w:tcMar>
              <w:top w:w="60" w:type="dxa"/>
              <w:left w:w="100" w:type="dxa"/>
              <w:bottom w:w="60" w:type="dxa"/>
              <w:right w:w="100" w:type="dxa"/>
            </w:tcMar>
          </w:tcPr>
          <w:p w14:paraId="0A2AF55C" w14:textId="77777777" w:rsidR="008E4243" w:rsidRPr="00AD59FE" w:rsidRDefault="00000000" w:rsidP="00AD59FE">
            <w:pPr>
              <w:spacing w:before="20" w:after="20"/>
              <w:jc w:val="center"/>
              <w:rPr>
                <w:sz w:val="20"/>
                <w:szCs w:val="20"/>
              </w:rPr>
            </w:pPr>
            <w:r w:rsidRPr="00AD59FE">
              <w:rPr>
                <w:b/>
                <w:bCs/>
                <w:sz w:val="20"/>
                <w:szCs w:val="20"/>
              </w:rPr>
              <w:t>Recommended priority action</w:t>
            </w:r>
          </w:p>
        </w:tc>
        <w:tc>
          <w:tcPr>
            <w:tcW w:w="2400" w:type="dxa"/>
            <w:tcBorders>
              <w:top w:val="single" w:sz="4" w:space="0" w:color="999999"/>
              <w:left w:val="single" w:sz="4" w:space="0" w:color="999999"/>
              <w:bottom w:val="single" w:sz="4" w:space="0" w:color="999999"/>
              <w:right w:val="single" w:sz="4" w:space="0" w:color="999999"/>
            </w:tcBorders>
            <w:shd w:val="clear" w:color="auto" w:fill="FFFFFF" w:themeFill="background1"/>
            <w:tcMar>
              <w:top w:w="60" w:type="dxa"/>
              <w:left w:w="100" w:type="dxa"/>
              <w:bottom w:w="60" w:type="dxa"/>
              <w:right w:w="100" w:type="dxa"/>
            </w:tcMar>
          </w:tcPr>
          <w:p w14:paraId="2D1388D7" w14:textId="77777777" w:rsidR="008E4243" w:rsidRPr="00AD59FE" w:rsidRDefault="00000000" w:rsidP="00AD59FE">
            <w:pPr>
              <w:spacing w:before="20" w:after="20"/>
              <w:jc w:val="center"/>
              <w:rPr>
                <w:sz w:val="20"/>
                <w:szCs w:val="20"/>
              </w:rPr>
            </w:pPr>
            <w:r w:rsidRPr="00AD59FE">
              <w:rPr>
                <w:b/>
                <w:bCs/>
                <w:sz w:val="20"/>
                <w:szCs w:val="20"/>
              </w:rPr>
              <w:t>Supporting evidence</w:t>
            </w:r>
          </w:p>
        </w:tc>
        <w:tc>
          <w:tcPr>
            <w:tcW w:w="1960" w:type="dxa"/>
            <w:tcBorders>
              <w:top w:val="single" w:sz="4" w:space="0" w:color="999999"/>
              <w:left w:val="single" w:sz="4" w:space="0" w:color="999999"/>
              <w:bottom w:val="single" w:sz="4" w:space="0" w:color="999999"/>
              <w:right w:val="single" w:sz="4" w:space="0" w:color="999999"/>
            </w:tcBorders>
            <w:shd w:val="clear" w:color="auto" w:fill="FFFFFF" w:themeFill="background1"/>
            <w:tcMar>
              <w:top w:w="60" w:type="dxa"/>
              <w:left w:w="100" w:type="dxa"/>
              <w:bottom w:w="60" w:type="dxa"/>
              <w:right w:w="100" w:type="dxa"/>
            </w:tcMar>
          </w:tcPr>
          <w:p w14:paraId="61755F58" w14:textId="77777777" w:rsidR="008E4243" w:rsidRPr="00AD59FE" w:rsidRDefault="00000000" w:rsidP="00AD59FE">
            <w:pPr>
              <w:spacing w:before="20" w:after="20"/>
              <w:jc w:val="center"/>
              <w:rPr>
                <w:sz w:val="20"/>
                <w:szCs w:val="20"/>
              </w:rPr>
            </w:pPr>
            <w:r w:rsidRPr="00AD59FE">
              <w:rPr>
                <w:b/>
                <w:bCs/>
                <w:sz w:val="20"/>
                <w:szCs w:val="20"/>
              </w:rPr>
              <w:t>Maturity-stage focus</w:t>
            </w:r>
          </w:p>
        </w:tc>
      </w:tr>
      <w:tr w:rsidR="008E4243" w:rsidRPr="005E1DF4" w14:paraId="2EECBA74" w14:textId="77777777" w:rsidTr="00AD59FE">
        <w:trPr>
          <w:jc w:val="center"/>
        </w:trPr>
        <w:tc>
          <w:tcPr>
            <w:tcW w:w="19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60021EB2" w14:textId="77777777" w:rsidR="008E4243" w:rsidRPr="00AD59FE" w:rsidRDefault="00000000" w:rsidP="00AD59FE">
            <w:pPr>
              <w:spacing w:before="20" w:after="20"/>
              <w:jc w:val="center"/>
              <w:rPr>
                <w:sz w:val="20"/>
                <w:szCs w:val="20"/>
              </w:rPr>
            </w:pPr>
            <w:r w:rsidRPr="00AD59FE">
              <w:rPr>
                <w:sz w:val="20"/>
                <w:szCs w:val="20"/>
              </w:rPr>
              <w:t>Executives and finance leaders</w:t>
            </w:r>
          </w:p>
        </w:tc>
        <w:tc>
          <w:tcPr>
            <w:tcW w:w="32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4C60757E" w14:textId="77777777" w:rsidR="008E4243" w:rsidRPr="00AD59FE" w:rsidRDefault="00000000" w:rsidP="00AD59FE">
            <w:pPr>
              <w:spacing w:before="20" w:after="20"/>
              <w:jc w:val="center"/>
              <w:rPr>
                <w:sz w:val="20"/>
                <w:szCs w:val="20"/>
              </w:rPr>
            </w:pPr>
            <w:r w:rsidRPr="00AD59FE">
              <w:rPr>
                <w:sz w:val="20"/>
                <w:szCs w:val="20"/>
              </w:rPr>
              <w:t>Treat the platform as the operational layer of a wider capability bundle; where complementary capabilities are absent, invest in them first</w:t>
            </w:r>
          </w:p>
        </w:tc>
        <w:tc>
          <w:tcPr>
            <w:tcW w:w="24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2B885305" w14:textId="77777777" w:rsidR="008E4243" w:rsidRPr="00AD59FE" w:rsidRDefault="00000000" w:rsidP="00AD59FE">
            <w:pPr>
              <w:spacing w:before="20" w:after="20"/>
              <w:jc w:val="center"/>
              <w:rPr>
                <w:sz w:val="20"/>
                <w:szCs w:val="20"/>
              </w:rPr>
            </w:pPr>
            <w:r w:rsidRPr="00AD59FE">
              <w:rPr>
                <w:sz w:val="20"/>
                <w:szCs w:val="20"/>
              </w:rPr>
              <w:t xml:space="preserve">Tudor (2026); </w:t>
            </w:r>
            <w:proofErr w:type="spellStart"/>
            <w:r w:rsidRPr="00AD59FE">
              <w:rPr>
                <w:sz w:val="20"/>
                <w:szCs w:val="20"/>
              </w:rPr>
              <w:t>Elbadri</w:t>
            </w:r>
            <w:proofErr w:type="spellEnd"/>
            <w:r w:rsidRPr="00AD59FE">
              <w:rPr>
                <w:sz w:val="20"/>
                <w:szCs w:val="20"/>
              </w:rPr>
              <w:t xml:space="preserve"> et al. (2024)</w:t>
            </w:r>
          </w:p>
        </w:tc>
        <w:tc>
          <w:tcPr>
            <w:tcW w:w="196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27E59E0A" w14:textId="77777777" w:rsidR="008E4243" w:rsidRPr="00AD59FE" w:rsidRDefault="00000000" w:rsidP="00AD59FE">
            <w:pPr>
              <w:spacing w:before="20" w:after="20"/>
              <w:jc w:val="center"/>
              <w:rPr>
                <w:sz w:val="20"/>
                <w:szCs w:val="20"/>
              </w:rPr>
            </w:pPr>
            <w:r w:rsidRPr="00AD59FE">
              <w:rPr>
                <w:sz w:val="20"/>
                <w:szCs w:val="20"/>
              </w:rPr>
              <w:t>Integrated and above</w:t>
            </w:r>
          </w:p>
        </w:tc>
      </w:tr>
      <w:tr w:rsidR="008E4243" w:rsidRPr="005E1DF4" w14:paraId="15A0914C" w14:textId="77777777" w:rsidTr="00AD59FE">
        <w:trPr>
          <w:jc w:val="center"/>
        </w:trPr>
        <w:tc>
          <w:tcPr>
            <w:tcW w:w="19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4AB9BF4B" w14:textId="77777777" w:rsidR="008E4243" w:rsidRPr="00AD59FE" w:rsidRDefault="00000000" w:rsidP="00AD59FE">
            <w:pPr>
              <w:spacing w:before="20" w:after="20"/>
              <w:jc w:val="center"/>
              <w:rPr>
                <w:sz w:val="20"/>
                <w:szCs w:val="20"/>
              </w:rPr>
            </w:pPr>
            <w:r w:rsidRPr="00AD59FE">
              <w:rPr>
                <w:sz w:val="20"/>
                <w:szCs w:val="20"/>
              </w:rPr>
              <w:t>ERP decision makers (CIOs, architects)</w:t>
            </w:r>
          </w:p>
        </w:tc>
        <w:tc>
          <w:tcPr>
            <w:tcW w:w="32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52EC8134" w14:textId="77777777" w:rsidR="008E4243" w:rsidRPr="00AD59FE" w:rsidRDefault="00000000" w:rsidP="00AD59FE">
            <w:pPr>
              <w:spacing w:before="20" w:after="20"/>
              <w:jc w:val="center"/>
              <w:rPr>
                <w:sz w:val="20"/>
                <w:szCs w:val="20"/>
              </w:rPr>
            </w:pPr>
            <w:r w:rsidRPr="00AD59FE">
              <w:rPr>
                <w:sz w:val="20"/>
                <w:szCs w:val="20"/>
              </w:rPr>
              <w:t>Select the archetype matching the dominant agility priority; pair it with a disciplined clean-core strategy</w:t>
            </w:r>
          </w:p>
        </w:tc>
        <w:tc>
          <w:tcPr>
            <w:tcW w:w="24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56258361" w14:textId="77777777" w:rsidR="008E4243" w:rsidRPr="00AD59FE" w:rsidRDefault="00000000" w:rsidP="00AD59FE">
            <w:pPr>
              <w:spacing w:before="20" w:after="20"/>
              <w:jc w:val="center"/>
              <w:rPr>
                <w:sz w:val="20"/>
                <w:szCs w:val="20"/>
              </w:rPr>
            </w:pPr>
            <w:r w:rsidRPr="00AD59FE">
              <w:rPr>
                <w:sz w:val="20"/>
                <w:szCs w:val="20"/>
              </w:rPr>
              <w:t>Sharma et al. (2025); Mahmood et al. (2020)</w:t>
            </w:r>
          </w:p>
        </w:tc>
        <w:tc>
          <w:tcPr>
            <w:tcW w:w="196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782DF1C2" w14:textId="77777777" w:rsidR="008E4243" w:rsidRPr="00AD59FE" w:rsidRDefault="00000000" w:rsidP="00AD59FE">
            <w:pPr>
              <w:spacing w:before="20" w:after="20"/>
              <w:jc w:val="center"/>
              <w:rPr>
                <w:sz w:val="20"/>
                <w:szCs w:val="20"/>
              </w:rPr>
            </w:pPr>
            <w:r w:rsidRPr="00AD59FE">
              <w:rPr>
                <w:sz w:val="20"/>
                <w:szCs w:val="20"/>
              </w:rPr>
              <w:t xml:space="preserve">Integrated </w:t>
            </w:r>
            <w:proofErr w:type="gramStart"/>
            <w:r w:rsidRPr="00AD59FE">
              <w:rPr>
                <w:sz w:val="20"/>
                <w:szCs w:val="20"/>
              </w:rPr>
              <w:t>to</w:t>
            </w:r>
            <w:proofErr w:type="gramEnd"/>
            <w:r w:rsidRPr="00AD59FE">
              <w:rPr>
                <w:sz w:val="20"/>
                <w:szCs w:val="20"/>
              </w:rPr>
              <w:t xml:space="preserve"> Intelligent</w:t>
            </w:r>
          </w:p>
        </w:tc>
      </w:tr>
      <w:tr w:rsidR="008E4243" w:rsidRPr="005E1DF4" w14:paraId="48863A6C" w14:textId="77777777" w:rsidTr="00AD59FE">
        <w:trPr>
          <w:jc w:val="center"/>
        </w:trPr>
        <w:tc>
          <w:tcPr>
            <w:tcW w:w="19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4BF2C0CA" w14:textId="77777777" w:rsidR="008E4243" w:rsidRPr="00AD59FE" w:rsidRDefault="00000000" w:rsidP="00AD59FE">
            <w:pPr>
              <w:spacing w:before="20" w:after="20"/>
              <w:jc w:val="center"/>
              <w:rPr>
                <w:sz w:val="20"/>
                <w:szCs w:val="20"/>
              </w:rPr>
            </w:pPr>
            <w:r w:rsidRPr="00AD59FE">
              <w:rPr>
                <w:sz w:val="20"/>
                <w:szCs w:val="20"/>
              </w:rPr>
              <w:t>Digital-transformation leaders</w:t>
            </w:r>
          </w:p>
        </w:tc>
        <w:tc>
          <w:tcPr>
            <w:tcW w:w="32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3ADAD75B" w14:textId="77777777" w:rsidR="008E4243" w:rsidRPr="00AD59FE" w:rsidRDefault="00000000" w:rsidP="00AD59FE">
            <w:pPr>
              <w:spacing w:before="20" w:after="20"/>
              <w:jc w:val="center"/>
              <w:rPr>
                <w:sz w:val="20"/>
                <w:szCs w:val="20"/>
              </w:rPr>
            </w:pPr>
            <w:r w:rsidRPr="00AD59FE">
              <w:rPr>
                <w:sz w:val="20"/>
                <w:szCs w:val="20"/>
              </w:rPr>
              <w:t xml:space="preserve">Treat change management as architecture; tie an upskilling plan to each pipeline stage and validate through </w:t>
            </w:r>
            <w:proofErr w:type="spellStart"/>
            <w:r w:rsidRPr="00AD59FE">
              <w:rPr>
                <w:sz w:val="20"/>
                <w:szCs w:val="20"/>
              </w:rPr>
              <w:t>localised</w:t>
            </w:r>
            <w:proofErr w:type="spellEnd"/>
            <w:r w:rsidRPr="00AD59FE">
              <w:rPr>
                <w:sz w:val="20"/>
                <w:szCs w:val="20"/>
              </w:rPr>
              <w:t xml:space="preserve"> pilots</w:t>
            </w:r>
          </w:p>
        </w:tc>
        <w:tc>
          <w:tcPr>
            <w:tcW w:w="24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78848CF4" w14:textId="77777777" w:rsidR="008E4243" w:rsidRPr="00AD59FE" w:rsidRDefault="00000000" w:rsidP="00AD59FE">
            <w:pPr>
              <w:spacing w:before="20" w:after="20"/>
              <w:jc w:val="center"/>
              <w:rPr>
                <w:sz w:val="20"/>
                <w:szCs w:val="20"/>
              </w:rPr>
            </w:pPr>
            <w:r w:rsidRPr="00AD59FE">
              <w:rPr>
                <w:sz w:val="20"/>
                <w:szCs w:val="20"/>
              </w:rPr>
              <w:t>Olsen et al. (2022); Kar et al. (2021)</w:t>
            </w:r>
          </w:p>
        </w:tc>
        <w:tc>
          <w:tcPr>
            <w:tcW w:w="196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1020771D" w14:textId="77777777" w:rsidR="008E4243" w:rsidRPr="00AD59FE" w:rsidRDefault="00000000" w:rsidP="00AD59FE">
            <w:pPr>
              <w:spacing w:before="20" w:after="20"/>
              <w:jc w:val="center"/>
              <w:rPr>
                <w:sz w:val="20"/>
                <w:szCs w:val="20"/>
              </w:rPr>
            </w:pPr>
            <w:r w:rsidRPr="00AD59FE">
              <w:rPr>
                <w:sz w:val="20"/>
                <w:szCs w:val="20"/>
              </w:rPr>
              <w:t>All stages, intensifying with autonomy</w:t>
            </w:r>
          </w:p>
        </w:tc>
      </w:tr>
      <w:tr w:rsidR="008E4243" w:rsidRPr="005E1DF4" w14:paraId="21BFFE81" w14:textId="77777777" w:rsidTr="00AD59FE">
        <w:trPr>
          <w:jc w:val="center"/>
        </w:trPr>
        <w:tc>
          <w:tcPr>
            <w:tcW w:w="19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607C257D" w14:textId="77777777" w:rsidR="008E4243" w:rsidRPr="00AD59FE" w:rsidRDefault="00000000" w:rsidP="00AD59FE">
            <w:pPr>
              <w:spacing w:before="20" w:after="20"/>
              <w:jc w:val="center"/>
              <w:rPr>
                <w:sz w:val="20"/>
                <w:szCs w:val="20"/>
              </w:rPr>
            </w:pPr>
            <w:r w:rsidRPr="00AD59FE">
              <w:rPr>
                <w:sz w:val="20"/>
                <w:szCs w:val="20"/>
              </w:rPr>
              <w:t>Governance teams</w:t>
            </w:r>
          </w:p>
        </w:tc>
        <w:tc>
          <w:tcPr>
            <w:tcW w:w="32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15B7079A" w14:textId="77777777" w:rsidR="008E4243" w:rsidRPr="00AD59FE" w:rsidRDefault="00000000" w:rsidP="00AD59FE">
            <w:pPr>
              <w:spacing w:before="20" w:after="20"/>
              <w:jc w:val="center"/>
              <w:rPr>
                <w:sz w:val="20"/>
                <w:szCs w:val="20"/>
              </w:rPr>
            </w:pPr>
            <w:r w:rsidRPr="00AD59FE">
              <w:rPr>
                <w:sz w:val="20"/>
                <w:szCs w:val="20"/>
              </w:rPr>
              <w:t xml:space="preserve">Sequence data governance and AI </w:t>
            </w:r>
            <w:proofErr w:type="spellStart"/>
            <w:r w:rsidRPr="00AD59FE">
              <w:rPr>
                <w:sz w:val="20"/>
                <w:szCs w:val="20"/>
              </w:rPr>
              <w:t>TRiSM</w:t>
            </w:r>
            <w:proofErr w:type="spellEnd"/>
            <w:r w:rsidRPr="00AD59FE">
              <w:rPr>
                <w:sz w:val="20"/>
                <w:szCs w:val="20"/>
              </w:rPr>
              <w:t xml:space="preserve"> ahead of advanced cognitive capability; operate the four governance layers as </w:t>
            </w:r>
            <w:proofErr w:type="spellStart"/>
            <w:r w:rsidRPr="00AD59FE">
              <w:rPr>
                <w:sz w:val="20"/>
                <w:szCs w:val="20"/>
              </w:rPr>
              <w:t>defence</w:t>
            </w:r>
            <w:proofErr w:type="spellEnd"/>
            <w:r w:rsidRPr="00AD59FE">
              <w:rPr>
                <w:sz w:val="20"/>
                <w:szCs w:val="20"/>
              </w:rPr>
              <w:t xml:space="preserve"> in depth</w:t>
            </w:r>
          </w:p>
        </w:tc>
        <w:tc>
          <w:tcPr>
            <w:tcW w:w="24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29AB5498" w14:textId="77777777" w:rsidR="008E4243" w:rsidRPr="00AD59FE" w:rsidRDefault="00000000" w:rsidP="00AD59FE">
            <w:pPr>
              <w:spacing w:before="20" w:after="20"/>
              <w:jc w:val="center"/>
              <w:rPr>
                <w:sz w:val="20"/>
                <w:szCs w:val="20"/>
              </w:rPr>
            </w:pPr>
            <w:r w:rsidRPr="00AD59FE">
              <w:rPr>
                <w:sz w:val="20"/>
                <w:szCs w:val="20"/>
              </w:rPr>
              <w:t>Singh &amp; Dutta (2026); Sharma et al. (2026)</w:t>
            </w:r>
          </w:p>
        </w:tc>
        <w:tc>
          <w:tcPr>
            <w:tcW w:w="196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2CD92728" w14:textId="77777777" w:rsidR="008E4243" w:rsidRPr="00AD59FE" w:rsidRDefault="00000000" w:rsidP="00AD59FE">
            <w:pPr>
              <w:spacing w:before="20" w:after="20"/>
              <w:jc w:val="center"/>
              <w:rPr>
                <w:sz w:val="20"/>
                <w:szCs w:val="20"/>
              </w:rPr>
            </w:pPr>
            <w:proofErr w:type="gramStart"/>
            <w:r w:rsidRPr="00AD59FE">
              <w:rPr>
                <w:sz w:val="20"/>
                <w:szCs w:val="20"/>
              </w:rPr>
              <w:t>Intelligent</w:t>
            </w:r>
            <w:proofErr w:type="gramEnd"/>
            <w:r w:rsidRPr="00AD59FE">
              <w:rPr>
                <w:sz w:val="20"/>
                <w:szCs w:val="20"/>
              </w:rPr>
              <w:t xml:space="preserve"> to Autonomous</w:t>
            </w:r>
          </w:p>
        </w:tc>
      </w:tr>
      <w:tr w:rsidR="008E4243" w:rsidRPr="005E1DF4" w14:paraId="2636BAE8" w14:textId="77777777" w:rsidTr="00AD59FE">
        <w:trPr>
          <w:jc w:val="center"/>
        </w:trPr>
        <w:tc>
          <w:tcPr>
            <w:tcW w:w="19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5D934D97" w14:textId="77777777" w:rsidR="008E4243" w:rsidRPr="00AD59FE" w:rsidRDefault="00000000" w:rsidP="00AD59FE">
            <w:pPr>
              <w:spacing w:before="20" w:after="20"/>
              <w:jc w:val="center"/>
              <w:rPr>
                <w:sz w:val="20"/>
                <w:szCs w:val="20"/>
              </w:rPr>
            </w:pPr>
            <w:r w:rsidRPr="00AD59FE">
              <w:rPr>
                <w:sz w:val="20"/>
                <w:szCs w:val="20"/>
              </w:rPr>
              <w:t>SME leaders</w:t>
            </w:r>
          </w:p>
        </w:tc>
        <w:tc>
          <w:tcPr>
            <w:tcW w:w="32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77147291" w14:textId="77777777" w:rsidR="008E4243" w:rsidRPr="00AD59FE" w:rsidRDefault="00000000" w:rsidP="00AD59FE">
            <w:pPr>
              <w:spacing w:before="20" w:after="20"/>
              <w:jc w:val="center"/>
              <w:rPr>
                <w:sz w:val="20"/>
                <w:szCs w:val="20"/>
              </w:rPr>
            </w:pPr>
            <w:proofErr w:type="spellStart"/>
            <w:r w:rsidRPr="00AD59FE">
              <w:rPr>
                <w:sz w:val="20"/>
                <w:szCs w:val="20"/>
              </w:rPr>
              <w:t>Prioritise</w:t>
            </w:r>
            <w:proofErr w:type="spellEnd"/>
            <w:r w:rsidRPr="00AD59FE">
              <w:rPr>
                <w:sz w:val="20"/>
                <w:szCs w:val="20"/>
              </w:rPr>
              <w:t xml:space="preserve"> master-data quality and connectivity resilience; adopt a SaaS clean core and phase the rollout</w:t>
            </w:r>
          </w:p>
        </w:tc>
        <w:tc>
          <w:tcPr>
            <w:tcW w:w="24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667C2746" w14:textId="77777777" w:rsidR="008E4243" w:rsidRPr="00AD59FE" w:rsidRDefault="00000000" w:rsidP="00AD59FE">
            <w:pPr>
              <w:spacing w:before="20" w:after="20"/>
              <w:jc w:val="center"/>
              <w:rPr>
                <w:sz w:val="20"/>
                <w:szCs w:val="20"/>
              </w:rPr>
            </w:pPr>
            <w:proofErr w:type="spellStart"/>
            <w:r w:rsidRPr="00AD59FE">
              <w:rPr>
                <w:sz w:val="20"/>
                <w:szCs w:val="20"/>
              </w:rPr>
              <w:t>Achargui</w:t>
            </w:r>
            <w:proofErr w:type="spellEnd"/>
            <w:r w:rsidRPr="00AD59FE">
              <w:rPr>
                <w:sz w:val="20"/>
                <w:szCs w:val="20"/>
              </w:rPr>
              <w:t xml:space="preserve"> &amp; </w:t>
            </w:r>
            <w:proofErr w:type="spellStart"/>
            <w:r w:rsidRPr="00AD59FE">
              <w:rPr>
                <w:sz w:val="20"/>
                <w:szCs w:val="20"/>
              </w:rPr>
              <w:t>Zaouia</w:t>
            </w:r>
            <w:proofErr w:type="spellEnd"/>
            <w:r w:rsidRPr="00AD59FE">
              <w:rPr>
                <w:sz w:val="20"/>
                <w:szCs w:val="20"/>
              </w:rPr>
              <w:t xml:space="preserve"> (2016); Ranasinghe &amp; Gide (2025)</w:t>
            </w:r>
          </w:p>
        </w:tc>
        <w:tc>
          <w:tcPr>
            <w:tcW w:w="196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43FB9959" w14:textId="77777777" w:rsidR="008E4243" w:rsidRPr="00AD59FE" w:rsidRDefault="00000000" w:rsidP="00AD59FE">
            <w:pPr>
              <w:spacing w:before="20" w:after="20"/>
              <w:jc w:val="center"/>
              <w:rPr>
                <w:sz w:val="20"/>
                <w:szCs w:val="20"/>
              </w:rPr>
            </w:pPr>
            <w:r w:rsidRPr="00AD59FE">
              <w:rPr>
                <w:sz w:val="20"/>
                <w:szCs w:val="20"/>
              </w:rPr>
              <w:t>Opportunistic to Integrated</w:t>
            </w:r>
          </w:p>
        </w:tc>
      </w:tr>
      <w:tr w:rsidR="008E4243" w:rsidRPr="005E1DF4" w14:paraId="680B008E" w14:textId="77777777" w:rsidTr="00AD59FE">
        <w:trPr>
          <w:jc w:val="center"/>
        </w:trPr>
        <w:tc>
          <w:tcPr>
            <w:tcW w:w="19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1CAD2C60" w14:textId="77777777" w:rsidR="008E4243" w:rsidRPr="00AD59FE" w:rsidRDefault="00000000" w:rsidP="00AD59FE">
            <w:pPr>
              <w:spacing w:before="20" w:after="20"/>
              <w:jc w:val="center"/>
              <w:rPr>
                <w:sz w:val="20"/>
                <w:szCs w:val="20"/>
              </w:rPr>
            </w:pPr>
            <w:r w:rsidRPr="00AD59FE">
              <w:rPr>
                <w:sz w:val="20"/>
                <w:szCs w:val="20"/>
              </w:rPr>
              <w:t>Large enterprises</w:t>
            </w:r>
          </w:p>
        </w:tc>
        <w:tc>
          <w:tcPr>
            <w:tcW w:w="32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3A8C2D67" w14:textId="77777777" w:rsidR="008E4243" w:rsidRPr="00AD59FE" w:rsidRDefault="00000000" w:rsidP="00AD59FE">
            <w:pPr>
              <w:spacing w:before="20" w:after="20"/>
              <w:jc w:val="center"/>
              <w:rPr>
                <w:sz w:val="20"/>
                <w:szCs w:val="20"/>
              </w:rPr>
            </w:pPr>
            <w:r w:rsidRPr="00AD59FE">
              <w:rPr>
                <w:sz w:val="20"/>
                <w:szCs w:val="20"/>
              </w:rPr>
              <w:t xml:space="preserve">Front-load governance and maturity-aligned sequencing; pair each autonomy </w:t>
            </w:r>
            <w:proofErr w:type="gramStart"/>
            <w:r w:rsidRPr="00AD59FE">
              <w:rPr>
                <w:sz w:val="20"/>
                <w:szCs w:val="20"/>
              </w:rPr>
              <w:t>increment</w:t>
            </w:r>
            <w:proofErr w:type="gramEnd"/>
            <w:r w:rsidRPr="00AD59FE">
              <w:rPr>
                <w:sz w:val="20"/>
                <w:szCs w:val="20"/>
              </w:rPr>
              <w:t xml:space="preserve"> with a governance increment</w:t>
            </w:r>
          </w:p>
        </w:tc>
        <w:tc>
          <w:tcPr>
            <w:tcW w:w="24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2EB689AF" w14:textId="77777777" w:rsidR="008E4243" w:rsidRPr="00AD59FE" w:rsidRDefault="00000000" w:rsidP="00AD59FE">
            <w:pPr>
              <w:spacing w:before="20" w:after="20"/>
              <w:jc w:val="center"/>
              <w:rPr>
                <w:sz w:val="20"/>
                <w:szCs w:val="20"/>
              </w:rPr>
            </w:pPr>
            <w:r w:rsidRPr="00AD59FE">
              <w:rPr>
                <w:sz w:val="20"/>
                <w:szCs w:val="20"/>
              </w:rPr>
              <w:t xml:space="preserve">Masuda et al. (2026); </w:t>
            </w:r>
            <w:proofErr w:type="spellStart"/>
            <w:r w:rsidRPr="00AD59FE">
              <w:rPr>
                <w:sz w:val="20"/>
                <w:szCs w:val="20"/>
              </w:rPr>
              <w:t>Sarferaz</w:t>
            </w:r>
            <w:proofErr w:type="spellEnd"/>
            <w:r w:rsidRPr="00AD59FE">
              <w:rPr>
                <w:sz w:val="20"/>
                <w:szCs w:val="20"/>
              </w:rPr>
              <w:t xml:space="preserve"> (2025)</w:t>
            </w:r>
          </w:p>
        </w:tc>
        <w:tc>
          <w:tcPr>
            <w:tcW w:w="196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2BCCBA12" w14:textId="77777777" w:rsidR="008E4243" w:rsidRPr="00AD59FE" w:rsidRDefault="00000000" w:rsidP="00AD59FE">
            <w:pPr>
              <w:spacing w:before="20" w:after="20"/>
              <w:jc w:val="center"/>
              <w:rPr>
                <w:sz w:val="20"/>
                <w:szCs w:val="20"/>
              </w:rPr>
            </w:pPr>
            <w:proofErr w:type="gramStart"/>
            <w:r w:rsidRPr="00AD59FE">
              <w:rPr>
                <w:sz w:val="20"/>
                <w:szCs w:val="20"/>
              </w:rPr>
              <w:t>Intelligent</w:t>
            </w:r>
            <w:proofErr w:type="gramEnd"/>
            <w:r w:rsidRPr="00AD59FE">
              <w:rPr>
                <w:sz w:val="20"/>
                <w:szCs w:val="20"/>
              </w:rPr>
              <w:t xml:space="preserve"> to Autonomous</w:t>
            </w:r>
          </w:p>
        </w:tc>
      </w:tr>
    </w:tbl>
    <w:p w14:paraId="09213463" w14:textId="77777777" w:rsidR="008E4243" w:rsidRPr="005E1DF4" w:rsidRDefault="00000000" w:rsidP="008348CF">
      <w:pPr>
        <w:spacing w:before="120" w:after="120"/>
        <w:jc w:val="both"/>
      </w:pPr>
      <w:r w:rsidRPr="005E1DF4">
        <w:t>Across the stakeholder groups a single principle recurs. The appropriate action is indexed to the organization's maturity stage rather than to the frontier of available technology. The summary in Table 7 is therefore best read alongside the maturity model, which specifies the technical and governance preconditions that make each recommended action feasible, and against which a stakeholder can locate the action that is actionable now rather than merely aspirational.</w:t>
      </w:r>
    </w:p>
    <w:p w14:paraId="59E3638C" w14:textId="77777777" w:rsidR="008E4243" w:rsidRPr="005E1DF4" w:rsidRDefault="00000000" w:rsidP="008348CF">
      <w:pPr>
        <w:pStyle w:val="Heading1"/>
        <w:jc w:val="both"/>
      </w:pPr>
      <w:r w:rsidRPr="005E1DF4">
        <w:t>FUTURE RESEARCH DIRECTIONS</w:t>
      </w:r>
    </w:p>
    <w:p w14:paraId="036EEACC" w14:textId="77777777" w:rsidR="008E4243" w:rsidRPr="005E1DF4" w:rsidRDefault="00000000" w:rsidP="008348CF">
      <w:pPr>
        <w:spacing w:before="240" w:after="240"/>
        <w:jc w:val="both"/>
      </w:pPr>
      <w:r w:rsidRPr="005E1DF4">
        <w:t>Seven directions emerge from the gaps identified above. They are framed as specific, researchable questions rather than as generic calls for further work, supporting cumulative scholarship in a rapidly evolving field.</w:t>
      </w:r>
    </w:p>
    <w:p w14:paraId="51324E07" w14:textId="77777777" w:rsidR="008E4243" w:rsidRPr="005E1DF4" w:rsidRDefault="00000000" w:rsidP="008348CF">
      <w:pPr>
        <w:pStyle w:val="Heading2"/>
        <w:jc w:val="both"/>
      </w:pPr>
      <w:r w:rsidRPr="005E1DF4">
        <w:t>Effectiveness of AI governance frameworks</w:t>
      </w:r>
    </w:p>
    <w:p w14:paraId="11E84C0C" w14:textId="77777777" w:rsidR="008E4243" w:rsidRPr="005E1DF4" w:rsidRDefault="00000000" w:rsidP="008348CF">
      <w:pPr>
        <w:spacing w:before="240" w:after="240"/>
        <w:jc w:val="both"/>
      </w:pPr>
      <w:r w:rsidRPr="005E1DF4">
        <w:t xml:space="preserve">AI </w:t>
      </w:r>
      <w:proofErr w:type="spellStart"/>
      <w:r w:rsidRPr="005E1DF4">
        <w:t>TRiSM</w:t>
      </w:r>
      <w:proofErr w:type="spellEnd"/>
      <w:r w:rsidRPr="005E1DF4">
        <w:t xml:space="preserve">, sovereign cloud arrangements, and emerging board level AI oversight frameworks are described in the literature primarily in prescriptive terms (Kumar &amp; Jaya, 2026; Sharma et al., 2026; Agarwal &amp; Nene, 2025). Empirical research is now needed on their effectiveness in practice. Which control configurations </w:t>
      </w:r>
      <w:proofErr w:type="gramStart"/>
      <w:r w:rsidRPr="005E1DF4">
        <w:t>actually reduce</w:t>
      </w:r>
      <w:proofErr w:type="gramEnd"/>
      <w:r w:rsidRPr="005E1DF4">
        <w:t xml:space="preserve"> model drift incidents, AI-related compliance failures, and downstream operational losses, and which produce only nominal compliance without any </w:t>
      </w:r>
      <w:proofErr w:type="spellStart"/>
      <w:r w:rsidRPr="005E1DF4">
        <w:t>behavioural</w:t>
      </w:r>
      <w:proofErr w:type="spellEnd"/>
      <w:r w:rsidRPr="005E1DF4">
        <w:t xml:space="preserve"> change? This would be especially interesting if it were based on comparative case studies from regulated sectors: finance, healthcare, and energy.</w:t>
      </w:r>
    </w:p>
    <w:p w14:paraId="17BA123F" w14:textId="77777777" w:rsidR="008E4243" w:rsidRPr="005E1DF4" w:rsidRDefault="00000000" w:rsidP="008348CF">
      <w:pPr>
        <w:pStyle w:val="Heading2"/>
        <w:jc w:val="both"/>
      </w:pPr>
      <w:r w:rsidRPr="005E1DF4">
        <w:t>Generative AI in ERP environments</w:t>
      </w:r>
    </w:p>
    <w:p w14:paraId="585AC2F7" w14:textId="77777777" w:rsidR="008E4243" w:rsidRPr="005E1DF4" w:rsidRDefault="00000000" w:rsidP="008348CF">
      <w:pPr>
        <w:pStyle w:val="Heading2"/>
        <w:jc w:val="both"/>
        <w:rPr>
          <w:b w:val="0"/>
          <w:bCs w:val="0"/>
        </w:rPr>
      </w:pPr>
      <w:r w:rsidRPr="005E1DF4">
        <w:rPr>
          <w:b w:val="0"/>
          <w:bCs w:val="0"/>
        </w:rPr>
        <w:lastRenderedPageBreak/>
        <w:t>Generative models are now making their way into ERP via natural language interfaces, document understanding, and proposal generation (</w:t>
      </w:r>
      <w:proofErr w:type="spellStart"/>
      <w:r w:rsidRPr="005E1DF4">
        <w:rPr>
          <w:b w:val="0"/>
          <w:bCs w:val="0"/>
        </w:rPr>
        <w:t>Sarferaz</w:t>
      </w:r>
      <w:proofErr w:type="spellEnd"/>
      <w:r w:rsidRPr="005E1DF4">
        <w:rPr>
          <w:b w:val="0"/>
          <w:bCs w:val="0"/>
        </w:rPr>
        <w:t>, 2025). Underexplored aspects include implications for accuracy and auditability as well as the diffusion of accountability. The research should aim at the examination of the nature of processes and methods for integrating generative components in the workflow of finance, procurement and HR processes and the examination of how the outcomes of the generative components are validated and recorded in the workflows and whether the integration in HR, finance and procurement processes changes the required skills, which can lead to new tailored training designs.</w:t>
      </w:r>
    </w:p>
    <w:p w14:paraId="57D0B9D6" w14:textId="77777777" w:rsidR="00EA516C" w:rsidRPr="005E1DF4" w:rsidRDefault="00EA516C" w:rsidP="00EA516C"/>
    <w:p w14:paraId="2CF673E5" w14:textId="77777777" w:rsidR="008E4243" w:rsidRPr="005E1DF4" w:rsidRDefault="00000000" w:rsidP="008348CF">
      <w:pPr>
        <w:pStyle w:val="Heading2"/>
        <w:jc w:val="both"/>
      </w:pPr>
      <w:r w:rsidRPr="005E1DF4">
        <w:t>SME versus large-enterprise adoption pathways</w:t>
      </w:r>
    </w:p>
    <w:p w14:paraId="05C8DCD4" w14:textId="77777777" w:rsidR="008E4243" w:rsidRPr="005E1DF4" w:rsidRDefault="00000000" w:rsidP="008348CF">
      <w:pPr>
        <w:spacing w:before="240" w:after="240"/>
        <w:jc w:val="both"/>
      </w:pPr>
      <w:r w:rsidRPr="005E1DF4">
        <w:t xml:space="preserve">Although the adoption literature shows scale conditions, it does not determine AI-ERP uptake (Tudor, 2026; Buonanno et al., 2005; Ranasinghe &amp; Gide, 2025). Comparative analyses of small and medium sized enterprises and large firms could clarify which capability bundles substitute for scale in resource constrained settings, whether platform archetypes deliver agility differentially across firm sizes, and how connectivity dependence and </w:t>
      </w:r>
      <w:proofErr w:type="spellStart"/>
      <w:r w:rsidRPr="005E1DF4">
        <w:t>customisation</w:t>
      </w:r>
      <w:proofErr w:type="spellEnd"/>
      <w:r w:rsidRPr="005E1DF4">
        <w:t xml:space="preserve"> constraints reshape the SME implementation calculus (</w:t>
      </w:r>
      <w:proofErr w:type="spellStart"/>
      <w:r w:rsidRPr="005E1DF4">
        <w:t>Achargui</w:t>
      </w:r>
      <w:proofErr w:type="spellEnd"/>
      <w:r w:rsidRPr="005E1DF4">
        <w:t xml:space="preserve"> &amp; </w:t>
      </w:r>
      <w:proofErr w:type="spellStart"/>
      <w:r w:rsidRPr="005E1DF4">
        <w:t>Zaouia</w:t>
      </w:r>
      <w:proofErr w:type="spellEnd"/>
      <w:r w:rsidRPr="005E1DF4">
        <w:t>, 2016)</w:t>
      </w:r>
    </w:p>
    <w:p w14:paraId="05CC732E" w14:textId="77777777" w:rsidR="008E4243" w:rsidRPr="005E1DF4" w:rsidRDefault="00000000" w:rsidP="008348CF">
      <w:pPr>
        <w:pStyle w:val="Heading2"/>
        <w:jc w:val="both"/>
      </w:pPr>
      <w:r w:rsidRPr="005E1DF4">
        <w:t>Explainable AI in ERP decision contexts</w:t>
      </w:r>
    </w:p>
    <w:p w14:paraId="0F6B6E1A" w14:textId="77777777" w:rsidR="008E4243" w:rsidRPr="005E1DF4" w:rsidRDefault="00000000" w:rsidP="008348CF">
      <w:pPr>
        <w:spacing w:before="240" w:after="240"/>
        <w:jc w:val="both"/>
      </w:pPr>
      <w:r w:rsidRPr="005E1DF4">
        <w:rPr>
          <w:highlight w:val="white"/>
        </w:rPr>
        <w:t xml:space="preserve">Explainable-AI techniques are central to the layered governance architecture but remain under evaluated within ERP specific decision contexts (Raza, 2025; </w:t>
      </w:r>
      <w:proofErr w:type="spellStart"/>
      <w:r w:rsidRPr="005E1DF4">
        <w:rPr>
          <w:highlight w:val="white"/>
        </w:rPr>
        <w:t>Ghildiyal</w:t>
      </w:r>
      <w:proofErr w:type="spellEnd"/>
      <w:r w:rsidRPr="005E1DF4">
        <w:rPr>
          <w:highlight w:val="white"/>
        </w:rPr>
        <w:t xml:space="preserve"> et al., 2025). Field studies are required on whether available explanations </w:t>
      </w:r>
      <w:proofErr w:type="gramStart"/>
      <w:r w:rsidRPr="005E1DF4">
        <w:rPr>
          <w:highlight w:val="white"/>
        </w:rPr>
        <w:t>actually support</w:t>
      </w:r>
      <w:proofErr w:type="gramEnd"/>
      <w:r w:rsidRPr="005E1DF4">
        <w:rPr>
          <w:highlight w:val="white"/>
        </w:rPr>
        <w:t xml:space="preserve"> auditor scrutiny, controller intervention, and managerial trust in ERP embedded recommendations, and on the accuracy interpretability </w:t>
      </w:r>
      <w:proofErr w:type="spellStart"/>
      <w:r w:rsidRPr="005E1DF4">
        <w:rPr>
          <w:highlight w:val="white"/>
        </w:rPr>
        <w:t>trade offs</w:t>
      </w:r>
      <w:proofErr w:type="spellEnd"/>
      <w:r w:rsidRPr="005E1DF4">
        <w:rPr>
          <w:highlight w:val="white"/>
        </w:rPr>
        <w:t xml:space="preserve"> that arise when explainability is retrofitted onto </w:t>
      </w:r>
      <w:proofErr w:type="gramStart"/>
      <w:r w:rsidRPr="005E1DF4">
        <w:rPr>
          <w:highlight w:val="white"/>
        </w:rPr>
        <w:t>pre trained</w:t>
      </w:r>
      <w:proofErr w:type="gramEnd"/>
      <w:r w:rsidRPr="005E1DF4">
        <w:rPr>
          <w:highlight w:val="white"/>
        </w:rPr>
        <w:t xml:space="preserve"> models.</w:t>
      </w:r>
    </w:p>
    <w:p w14:paraId="276B8C60" w14:textId="77777777" w:rsidR="008E4243" w:rsidRPr="005E1DF4" w:rsidRDefault="00000000" w:rsidP="008348CF">
      <w:pPr>
        <w:pStyle w:val="Heading2"/>
        <w:jc w:val="both"/>
      </w:pPr>
      <w:r w:rsidRPr="005E1DF4">
        <w:t>Longitudinal outcomes of ERP transformation</w:t>
      </w:r>
    </w:p>
    <w:p w14:paraId="63F509CD" w14:textId="77777777" w:rsidR="008E4243" w:rsidRPr="005E1DF4" w:rsidRDefault="00000000" w:rsidP="008348CF">
      <w:pPr>
        <w:spacing w:before="240" w:after="240"/>
        <w:jc w:val="both"/>
      </w:pPr>
      <w:r w:rsidRPr="005E1DF4">
        <w:rPr>
          <w:highlight w:val="white"/>
        </w:rPr>
        <w:t xml:space="preserve">The Scopus AI synthesis underpinning this review explicitly identifies the scarcity of longitudinal evidence on AI-ERP outcomes. </w:t>
      </w:r>
      <w:proofErr w:type="spellStart"/>
      <w:r w:rsidRPr="005E1DF4">
        <w:rPr>
          <w:highlight w:val="white"/>
        </w:rPr>
        <w:t>Multi year</w:t>
      </w:r>
      <w:proofErr w:type="spellEnd"/>
      <w:r w:rsidRPr="005E1DF4">
        <w:rPr>
          <w:highlight w:val="white"/>
        </w:rPr>
        <w:t xml:space="preserve"> studies tracking agility, financial performance, and governance posture across cohorts of adopting firms would convert the present interpretive associations into causal, </w:t>
      </w:r>
      <w:proofErr w:type="spellStart"/>
      <w:r w:rsidRPr="005E1DF4">
        <w:rPr>
          <w:highlight w:val="white"/>
        </w:rPr>
        <w:t>generalisable</w:t>
      </w:r>
      <w:proofErr w:type="spellEnd"/>
      <w:r w:rsidRPr="005E1DF4">
        <w:rPr>
          <w:highlight w:val="white"/>
        </w:rPr>
        <w:t xml:space="preserve"> knowledge (Cronin &amp; George, 2023). Such studies are particularly important because the most consequential effects, on capability formation, organizational culture, and competitive position, manifest over years rather than quarters</w:t>
      </w:r>
      <w:r w:rsidRPr="005E1DF4">
        <w:rPr>
          <w:rFonts w:eastAsia="Arial"/>
          <w:sz w:val="23"/>
          <w:szCs w:val="23"/>
          <w:highlight w:val="white"/>
        </w:rPr>
        <w:t>.</w:t>
      </w:r>
      <w:r w:rsidRPr="005E1DF4">
        <w:t xml:space="preserve"> </w:t>
      </w:r>
    </w:p>
    <w:p w14:paraId="4A85EFE3" w14:textId="77777777" w:rsidR="008E4243" w:rsidRPr="005E1DF4" w:rsidRDefault="00000000" w:rsidP="008348CF">
      <w:pPr>
        <w:pStyle w:val="Heading2"/>
        <w:jc w:val="both"/>
      </w:pPr>
      <w:r w:rsidRPr="005E1DF4">
        <w:t>Measurement of organizational agility in AI-enabled ERP contexts</w:t>
      </w:r>
    </w:p>
    <w:p w14:paraId="0F50BF52" w14:textId="77777777" w:rsidR="008E4243" w:rsidRPr="005E1DF4" w:rsidRDefault="00000000" w:rsidP="008348CF">
      <w:pPr>
        <w:spacing w:before="240" w:after="240"/>
        <w:jc w:val="both"/>
      </w:pPr>
      <w:r w:rsidRPr="005E1DF4">
        <w:rPr>
          <w:highlight w:val="white"/>
        </w:rPr>
        <w:t>Organizational agility is posited as a multidimensional construct within the corpus, although there is no agreed upon measurement instrumentation specifically for AI-enabled ERP environments in the literature (</w:t>
      </w:r>
      <w:proofErr w:type="spellStart"/>
      <w:r w:rsidRPr="005E1DF4">
        <w:rPr>
          <w:highlight w:val="white"/>
        </w:rPr>
        <w:t>Koundal</w:t>
      </w:r>
      <w:proofErr w:type="spellEnd"/>
      <w:r w:rsidRPr="005E1DF4">
        <w:rPr>
          <w:highlight w:val="white"/>
        </w:rPr>
        <w:t xml:space="preserve"> et al., 2024; </w:t>
      </w:r>
      <w:proofErr w:type="spellStart"/>
      <w:r w:rsidRPr="005E1DF4">
        <w:rPr>
          <w:highlight w:val="white"/>
        </w:rPr>
        <w:t>AlMahadin</w:t>
      </w:r>
      <w:proofErr w:type="spellEnd"/>
      <w:r w:rsidRPr="005E1DF4">
        <w:rPr>
          <w:highlight w:val="white"/>
        </w:rPr>
        <w:t>, 2025). For embedded ERP and embedding agility within a broader digital configuration context, future studies can be carried out to construct and test scales for financial, operational and strategic agility (Tudor, 2026). But without any such instrument(s), the field will keep debating its effects it can never measure with consistency</w:t>
      </w:r>
      <w:r w:rsidRPr="005E1DF4">
        <w:t>.</w:t>
      </w:r>
    </w:p>
    <w:p w14:paraId="27C856D3" w14:textId="77777777" w:rsidR="008E4243" w:rsidRPr="005E1DF4" w:rsidRDefault="00000000" w:rsidP="008348CF">
      <w:pPr>
        <w:pStyle w:val="Heading2"/>
        <w:jc w:val="both"/>
      </w:pPr>
      <w:r w:rsidRPr="005E1DF4">
        <w:t>Responsible AI in enterprise systems</w:t>
      </w:r>
    </w:p>
    <w:p w14:paraId="4BB7B2AB" w14:textId="77777777" w:rsidR="008E4243" w:rsidRPr="005E1DF4" w:rsidRDefault="00000000" w:rsidP="008348CF">
      <w:pPr>
        <w:pStyle w:val="Heading2"/>
        <w:jc w:val="both"/>
        <w:rPr>
          <w:b w:val="0"/>
          <w:bCs w:val="0"/>
        </w:rPr>
      </w:pPr>
      <w:r w:rsidRPr="005E1DF4">
        <w:rPr>
          <w:b w:val="0"/>
          <w:bCs w:val="0"/>
          <w:highlight w:val="white"/>
        </w:rPr>
        <w:t xml:space="preserve">Seventh direction is the next one transverse to the previous 6 directions. With ERP systems assuming more impactful decisions, the responsible-AI dilemmas that the larger machine learning literatures emphasize take on a different, </w:t>
      </w:r>
      <w:proofErr w:type="spellStart"/>
      <w:r w:rsidRPr="005E1DF4">
        <w:rPr>
          <w:b w:val="0"/>
          <w:bCs w:val="0"/>
          <w:highlight w:val="white"/>
        </w:rPr>
        <w:t>enterprisey</w:t>
      </w:r>
      <w:proofErr w:type="spellEnd"/>
      <w:r w:rsidRPr="005E1DF4">
        <w:rPr>
          <w:b w:val="0"/>
          <w:bCs w:val="0"/>
          <w:highlight w:val="white"/>
        </w:rPr>
        <w:t xml:space="preserve"> look and feel. What is fairness, accountability, and contestability even if the process of auto generated recommendations entering a journal entry, labeling the supplier as one of the troublemakers, or changing the schedule based on maintenance? Herein lies the literature reviewed that reflects two perspectives that address the exposure to aspects of ethical behavior. The prescribing of the exposure of bias across the historical records, the diffusion of accountability </w:t>
      </w:r>
      <w:proofErr w:type="gramStart"/>
      <w:r w:rsidRPr="005E1DF4">
        <w:rPr>
          <w:b w:val="0"/>
          <w:bCs w:val="0"/>
          <w:highlight w:val="white"/>
        </w:rPr>
        <w:t>as a consequence of</w:t>
      </w:r>
      <w:proofErr w:type="gramEnd"/>
      <w:r w:rsidRPr="005E1DF4">
        <w:rPr>
          <w:b w:val="0"/>
          <w:bCs w:val="0"/>
          <w:highlight w:val="white"/>
        </w:rPr>
        <w:t xml:space="preserve"> autonomy, and a sense of explainability on auditing decisions in respect of the transparency of actions (Leon, 2026; Agarwal &amp; Nene, 2025). But what is less common is to </w:t>
      </w:r>
      <w:proofErr w:type="spellStart"/>
      <w:r w:rsidRPr="005E1DF4">
        <w:rPr>
          <w:b w:val="0"/>
          <w:bCs w:val="0"/>
          <w:highlight w:val="white"/>
        </w:rPr>
        <w:t>operationalise</w:t>
      </w:r>
      <w:proofErr w:type="spellEnd"/>
      <w:r w:rsidRPr="005E1DF4">
        <w:rPr>
          <w:b w:val="0"/>
          <w:bCs w:val="0"/>
          <w:highlight w:val="white"/>
        </w:rPr>
        <w:t xml:space="preserve"> these principles, how do responsible-AI principles figure into </w:t>
      </w:r>
      <w:proofErr w:type="spellStart"/>
      <w:r w:rsidRPr="005E1DF4">
        <w:rPr>
          <w:b w:val="0"/>
          <w:bCs w:val="0"/>
          <w:highlight w:val="white"/>
        </w:rPr>
        <w:t>MLOps</w:t>
      </w:r>
      <w:proofErr w:type="spellEnd"/>
      <w:r w:rsidRPr="005E1DF4">
        <w:rPr>
          <w:b w:val="0"/>
          <w:bCs w:val="0"/>
          <w:highlight w:val="white"/>
        </w:rPr>
        <w:t xml:space="preserve"> pipelines? How does the need for responsible-AI compliance require some customization as they grapple with </w:t>
      </w:r>
      <w:r w:rsidRPr="005E1DF4">
        <w:rPr>
          <w:b w:val="0"/>
          <w:bCs w:val="0"/>
          <w:highlight w:val="white"/>
        </w:rPr>
        <w:lastRenderedPageBreak/>
        <w:t xml:space="preserve">the demands of clean core discipline and what does responsible-AI </w:t>
      </w:r>
      <w:proofErr w:type="gramStart"/>
      <w:r w:rsidRPr="005E1DF4">
        <w:rPr>
          <w:b w:val="0"/>
          <w:bCs w:val="0"/>
          <w:highlight w:val="white"/>
        </w:rPr>
        <w:t>compliant</w:t>
      </w:r>
      <w:proofErr w:type="gramEnd"/>
      <w:r w:rsidRPr="005E1DF4">
        <w:rPr>
          <w:b w:val="0"/>
          <w:bCs w:val="0"/>
          <w:highlight w:val="white"/>
        </w:rPr>
        <w:t xml:space="preserve"> </w:t>
      </w:r>
      <w:proofErr w:type="gramStart"/>
      <w:r w:rsidRPr="005E1DF4">
        <w:rPr>
          <w:b w:val="0"/>
          <w:bCs w:val="0"/>
          <w:highlight w:val="white"/>
        </w:rPr>
        <w:t>actually mean</w:t>
      </w:r>
      <w:proofErr w:type="gramEnd"/>
      <w:r w:rsidRPr="005E1DF4">
        <w:rPr>
          <w:b w:val="0"/>
          <w:bCs w:val="0"/>
          <w:highlight w:val="white"/>
        </w:rPr>
        <w:t xml:space="preserve"> in terms of impact or rather merely being a "rubber stamp"? Research tying the responsible-AI agenda to the specific decision points of an ERP workflow, rather than abstracted decisions about AI, could also help bridge this gap between ethics and enterprise, joining the governance effectiveness push and asking whether governance controls are not only effective but whether they are just.</w:t>
      </w:r>
      <w:r w:rsidRPr="005E1DF4">
        <w:rPr>
          <w:b w:val="0"/>
          <w:bCs w:val="0"/>
        </w:rPr>
        <w:t xml:space="preserve"> </w:t>
      </w:r>
    </w:p>
    <w:p w14:paraId="417938C1" w14:textId="77777777" w:rsidR="008137EA" w:rsidRPr="005E1DF4" w:rsidRDefault="008137EA" w:rsidP="008137EA"/>
    <w:p w14:paraId="614E380A" w14:textId="77777777" w:rsidR="008E4243" w:rsidRPr="005E1DF4" w:rsidRDefault="00000000" w:rsidP="008348CF">
      <w:pPr>
        <w:pStyle w:val="Heading2"/>
        <w:jc w:val="both"/>
      </w:pPr>
      <w:r w:rsidRPr="005E1DF4">
        <w:t>A consolidated research agenda</w:t>
      </w:r>
    </w:p>
    <w:p w14:paraId="10C8C362" w14:textId="77777777" w:rsidR="008E4243" w:rsidRPr="005E1DF4" w:rsidRDefault="00000000" w:rsidP="008348CF">
      <w:pPr>
        <w:spacing w:before="120" w:after="120"/>
        <w:jc w:val="both"/>
      </w:pPr>
      <w:r w:rsidRPr="005E1DF4">
        <w:rPr>
          <w:highlight w:val="white"/>
        </w:rPr>
        <w:t xml:space="preserve">The seven research areas mentioned above can be further described in Table 8. In this report we describe how each of the research areas emerged from one of the gaps identified in the synthesis matrix and/or boundary conditions. Table 8 also displays an example research question along with a potential approach to handling the question given the constraints of this study. Table 8 is used to build the backbone for the compiled research agenda, which each is traced back to a gap </w:t>
      </w:r>
      <w:proofErr w:type="gramStart"/>
      <w:r w:rsidRPr="005E1DF4">
        <w:rPr>
          <w:highlight w:val="white"/>
        </w:rPr>
        <w:t>originated</w:t>
      </w:r>
      <w:proofErr w:type="gramEnd"/>
      <w:r w:rsidRPr="005E1DF4">
        <w:rPr>
          <w:highlight w:val="white"/>
        </w:rPr>
        <w:t xml:space="preserve"> from the survey. </w:t>
      </w:r>
      <w:proofErr w:type="gramStart"/>
      <w:r w:rsidRPr="005E1DF4">
        <w:rPr>
          <w:highlight w:val="white"/>
        </w:rPr>
        <w:t>Thus</w:t>
      </w:r>
      <w:proofErr w:type="gramEnd"/>
      <w:r w:rsidRPr="005E1DF4">
        <w:rPr>
          <w:highlight w:val="white"/>
        </w:rPr>
        <w:t xml:space="preserve"> the work program will not become an attachment to the review.</w:t>
      </w:r>
      <w:r w:rsidRPr="005E1DF4">
        <w:t xml:space="preserve"> </w:t>
      </w:r>
    </w:p>
    <w:p w14:paraId="00FC41B9" w14:textId="77777777" w:rsidR="008E4243" w:rsidRPr="005E1DF4" w:rsidRDefault="00000000" w:rsidP="008348CF">
      <w:pPr>
        <w:spacing w:before="160" w:after="60"/>
        <w:jc w:val="both"/>
      </w:pPr>
      <w:r w:rsidRPr="005E1DF4">
        <w:rPr>
          <w:b/>
          <w:bCs/>
        </w:rPr>
        <w:t>Table 8. Consolidated research agenda derived from the identified gaps.</w:t>
      </w:r>
    </w:p>
    <w:tbl>
      <w:tblPr>
        <w:tblStyle w:val="a6"/>
        <w:tblW w:w="94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0"/>
        <w:gridCol w:w="2300"/>
        <w:gridCol w:w="2780"/>
        <w:gridCol w:w="2480"/>
      </w:tblGrid>
      <w:tr w:rsidR="008E4243" w:rsidRPr="005E1DF4" w14:paraId="4FF33B1E" w14:textId="77777777" w:rsidTr="00AD59FE">
        <w:trPr>
          <w:tblHeader/>
          <w:jc w:val="center"/>
        </w:trPr>
        <w:tc>
          <w:tcPr>
            <w:tcW w:w="1900" w:type="dxa"/>
            <w:tcBorders>
              <w:top w:val="single" w:sz="4" w:space="0" w:color="999999"/>
              <w:left w:val="single" w:sz="4" w:space="0" w:color="999999"/>
              <w:bottom w:val="single" w:sz="4" w:space="0" w:color="999999"/>
              <w:right w:val="single" w:sz="4" w:space="0" w:color="999999"/>
            </w:tcBorders>
            <w:shd w:val="clear" w:color="auto" w:fill="FFFFFF" w:themeFill="background1"/>
            <w:tcMar>
              <w:top w:w="60" w:type="dxa"/>
              <w:left w:w="100" w:type="dxa"/>
              <w:bottom w:w="60" w:type="dxa"/>
              <w:right w:w="100" w:type="dxa"/>
            </w:tcMar>
          </w:tcPr>
          <w:p w14:paraId="687215BE" w14:textId="77777777" w:rsidR="008E4243" w:rsidRPr="00AD59FE" w:rsidRDefault="00000000" w:rsidP="00AD59FE">
            <w:pPr>
              <w:spacing w:before="20" w:after="20"/>
              <w:jc w:val="center"/>
              <w:rPr>
                <w:sz w:val="20"/>
                <w:szCs w:val="20"/>
              </w:rPr>
            </w:pPr>
            <w:r w:rsidRPr="00AD59FE">
              <w:rPr>
                <w:b/>
                <w:bCs/>
                <w:sz w:val="20"/>
                <w:szCs w:val="20"/>
              </w:rPr>
              <w:t>Research direction</w:t>
            </w:r>
          </w:p>
        </w:tc>
        <w:tc>
          <w:tcPr>
            <w:tcW w:w="2300" w:type="dxa"/>
            <w:tcBorders>
              <w:top w:val="single" w:sz="4" w:space="0" w:color="999999"/>
              <w:left w:val="single" w:sz="4" w:space="0" w:color="999999"/>
              <w:bottom w:val="single" w:sz="4" w:space="0" w:color="999999"/>
              <w:right w:val="single" w:sz="4" w:space="0" w:color="999999"/>
            </w:tcBorders>
            <w:shd w:val="clear" w:color="auto" w:fill="FFFFFF" w:themeFill="background1"/>
            <w:tcMar>
              <w:top w:w="60" w:type="dxa"/>
              <w:left w:w="100" w:type="dxa"/>
              <w:bottom w:w="60" w:type="dxa"/>
              <w:right w:w="100" w:type="dxa"/>
            </w:tcMar>
          </w:tcPr>
          <w:p w14:paraId="7BB91B6C" w14:textId="77777777" w:rsidR="008E4243" w:rsidRPr="00AD59FE" w:rsidRDefault="00000000" w:rsidP="00AD59FE">
            <w:pPr>
              <w:spacing w:before="20" w:after="20"/>
              <w:jc w:val="center"/>
              <w:rPr>
                <w:sz w:val="20"/>
                <w:szCs w:val="20"/>
              </w:rPr>
            </w:pPr>
            <w:r w:rsidRPr="00AD59FE">
              <w:rPr>
                <w:b/>
                <w:bCs/>
                <w:sz w:val="20"/>
                <w:szCs w:val="20"/>
              </w:rPr>
              <w:t>Identified gap</w:t>
            </w:r>
          </w:p>
        </w:tc>
        <w:tc>
          <w:tcPr>
            <w:tcW w:w="2780" w:type="dxa"/>
            <w:tcBorders>
              <w:top w:val="single" w:sz="4" w:space="0" w:color="999999"/>
              <w:left w:val="single" w:sz="4" w:space="0" w:color="999999"/>
              <w:bottom w:val="single" w:sz="4" w:space="0" w:color="999999"/>
              <w:right w:val="single" w:sz="4" w:space="0" w:color="999999"/>
            </w:tcBorders>
            <w:shd w:val="clear" w:color="auto" w:fill="FFFFFF" w:themeFill="background1"/>
            <w:tcMar>
              <w:top w:w="60" w:type="dxa"/>
              <w:left w:w="100" w:type="dxa"/>
              <w:bottom w:w="60" w:type="dxa"/>
              <w:right w:w="100" w:type="dxa"/>
            </w:tcMar>
          </w:tcPr>
          <w:p w14:paraId="075DFE24" w14:textId="77777777" w:rsidR="008E4243" w:rsidRPr="00AD59FE" w:rsidRDefault="00000000" w:rsidP="00AD59FE">
            <w:pPr>
              <w:spacing w:before="20" w:after="20"/>
              <w:jc w:val="center"/>
              <w:rPr>
                <w:sz w:val="20"/>
                <w:szCs w:val="20"/>
              </w:rPr>
            </w:pPr>
            <w:r w:rsidRPr="00AD59FE">
              <w:rPr>
                <w:b/>
                <w:bCs/>
                <w:sz w:val="20"/>
                <w:szCs w:val="20"/>
              </w:rPr>
              <w:t>Illustrative research question</w:t>
            </w:r>
          </w:p>
        </w:tc>
        <w:tc>
          <w:tcPr>
            <w:tcW w:w="2480" w:type="dxa"/>
            <w:tcBorders>
              <w:top w:val="single" w:sz="4" w:space="0" w:color="999999"/>
              <w:left w:val="single" w:sz="4" w:space="0" w:color="999999"/>
              <w:bottom w:val="single" w:sz="4" w:space="0" w:color="999999"/>
              <w:right w:val="single" w:sz="4" w:space="0" w:color="999999"/>
            </w:tcBorders>
            <w:shd w:val="clear" w:color="auto" w:fill="FFFFFF" w:themeFill="background1"/>
            <w:tcMar>
              <w:top w:w="60" w:type="dxa"/>
              <w:left w:w="100" w:type="dxa"/>
              <w:bottom w:w="60" w:type="dxa"/>
              <w:right w:w="100" w:type="dxa"/>
            </w:tcMar>
          </w:tcPr>
          <w:p w14:paraId="3BEB60F4" w14:textId="77777777" w:rsidR="008E4243" w:rsidRPr="00AD59FE" w:rsidRDefault="00000000" w:rsidP="00AD59FE">
            <w:pPr>
              <w:spacing w:before="20" w:after="20"/>
              <w:jc w:val="center"/>
              <w:rPr>
                <w:sz w:val="20"/>
                <w:szCs w:val="20"/>
              </w:rPr>
            </w:pPr>
            <w:r w:rsidRPr="00AD59FE">
              <w:rPr>
                <w:b/>
                <w:bCs/>
                <w:sz w:val="20"/>
                <w:szCs w:val="20"/>
              </w:rPr>
              <w:t>Suggested approach</w:t>
            </w:r>
          </w:p>
        </w:tc>
      </w:tr>
      <w:tr w:rsidR="008E4243" w:rsidRPr="005E1DF4" w14:paraId="6D00A934" w14:textId="77777777" w:rsidTr="00AD59FE">
        <w:trPr>
          <w:jc w:val="center"/>
        </w:trPr>
        <w:tc>
          <w:tcPr>
            <w:tcW w:w="19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412FDCDE" w14:textId="77777777" w:rsidR="008E4243" w:rsidRPr="00AD59FE" w:rsidRDefault="00000000" w:rsidP="008348CF">
            <w:pPr>
              <w:spacing w:before="20" w:after="20"/>
              <w:jc w:val="both"/>
              <w:rPr>
                <w:sz w:val="20"/>
                <w:szCs w:val="20"/>
              </w:rPr>
            </w:pPr>
            <w:r w:rsidRPr="00AD59FE">
              <w:rPr>
                <w:sz w:val="20"/>
                <w:szCs w:val="20"/>
              </w:rPr>
              <w:t>Effectiveness of AI governance</w:t>
            </w:r>
          </w:p>
        </w:tc>
        <w:tc>
          <w:tcPr>
            <w:tcW w:w="23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64390ADC" w14:textId="77777777" w:rsidR="008E4243" w:rsidRPr="00AD59FE" w:rsidRDefault="00000000" w:rsidP="008348CF">
            <w:pPr>
              <w:spacing w:before="20" w:after="20"/>
              <w:jc w:val="both"/>
              <w:rPr>
                <w:sz w:val="20"/>
                <w:szCs w:val="20"/>
              </w:rPr>
            </w:pPr>
            <w:r w:rsidRPr="00AD59FE">
              <w:rPr>
                <w:sz w:val="20"/>
                <w:szCs w:val="20"/>
              </w:rPr>
              <w:t>Frameworks described prescriptively, not evaluated empirically</w:t>
            </w:r>
          </w:p>
        </w:tc>
        <w:tc>
          <w:tcPr>
            <w:tcW w:w="278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7B628E6F" w14:textId="77777777" w:rsidR="008E4243" w:rsidRPr="00AD59FE" w:rsidRDefault="00000000" w:rsidP="008348CF">
            <w:pPr>
              <w:spacing w:before="20" w:after="20"/>
              <w:jc w:val="both"/>
              <w:rPr>
                <w:sz w:val="20"/>
                <w:szCs w:val="20"/>
              </w:rPr>
            </w:pPr>
            <w:r w:rsidRPr="00AD59FE">
              <w:rPr>
                <w:sz w:val="20"/>
                <w:szCs w:val="20"/>
              </w:rPr>
              <w:t xml:space="preserve">Which control configurations </w:t>
            </w:r>
            <w:proofErr w:type="gramStart"/>
            <w:r w:rsidRPr="00AD59FE">
              <w:rPr>
                <w:sz w:val="20"/>
                <w:szCs w:val="20"/>
              </w:rPr>
              <w:t>actually reduce</w:t>
            </w:r>
            <w:proofErr w:type="gramEnd"/>
            <w:r w:rsidRPr="00AD59FE">
              <w:rPr>
                <w:sz w:val="20"/>
                <w:szCs w:val="20"/>
              </w:rPr>
              <w:t xml:space="preserve"> model-drift incidents and compliance failures?</w:t>
            </w:r>
          </w:p>
        </w:tc>
        <w:tc>
          <w:tcPr>
            <w:tcW w:w="248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0EFF237A" w14:textId="77777777" w:rsidR="008E4243" w:rsidRPr="00AD59FE" w:rsidRDefault="00000000" w:rsidP="008348CF">
            <w:pPr>
              <w:spacing w:before="20" w:after="20"/>
              <w:jc w:val="both"/>
              <w:rPr>
                <w:sz w:val="20"/>
                <w:szCs w:val="20"/>
              </w:rPr>
            </w:pPr>
            <w:r w:rsidRPr="00AD59FE">
              <w:rPr>
                <w:sz w:val="20"/>
                <w:szCs w:val="20"/>
              </w:rPr>
              <w:t>Comparative case studies in regulated industries (finance, healthcare, energy)</w:t>
            </w:r>
          </w:p>
        </w:tc>
      </w:tr>
      <w:tr w:rsidR="008E4243" w:rsidRPr="005E1DF4" w14:paraId="706E783E" w14:textId="77777777" w:rsidTr="00AD59FE">
        <w:trPr>
          <w:jc w:val="center"/>
        </w:trPr>
        <w:tc>
          <w:tcPr>
            <w:tcW w:w="19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4D681E56" w14:textId="77777777" w:rsidR="008E4243" w:rsidRPr="00AD59FE" w:rsidRDefault="00000000" w:rsidP="008348CF">
            <w:pPr>
              <w:spacing w:before="20" w:after="20"/>
              <w:jc w:val="both"/>
              <w:rPr>
                <w:sz w:val="20"/>
                <w:szCs w:val="20"/>
              </w:rPr>
            </w:pPr>
            <w:r w:rsidRPr="00AD59FE">
              <w:rPr>
                <w:sz w:val="20"/>
                <w:szCs w:val="20"/>
              </w:rPr>
              <w:t>Generative AI in ERP</w:t>
            </w:r>
          </w:p>
        </w:tc>
        <w:tc>
          <w:tcPr>
            <w:tcW w:w="23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2E609931" w14:textId="77777777" w:rsidR="008E4243" w:rsidRPr="00AD59FE" w:rsidRDefault="00000000" w:rsidP="008348CF">
            <w:pPr>
              <w:spacing w:before="20" w:after="20"/>
              <w:jc w:val="both"/>
              <w:rPr>
                <w:sz w:val="20"/>
                <w:szCs w:val="20"/>
              </w:rPr>
            </w:pPr>
            <w:r w:rsidRPr="00AD59FE">
              <w:rPr>
                <w:sz w:val="20"/>
                <w:szCs w:val="20"/>
              </w:rPr>
              <w:t>Accuracy, auditability, and accountability effects unexamined</w:t>
            </w:r>
          </w:p>
        </w:tc>
        <w:tc>
          <w:tcPr>
            <w:tcW w:w="278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4AE1BF5F" w14:textId="77777777" w:rsidR="008E4243" w:rsidRPr="00AD59FE" w:rsidRDefault="00000000" w:rsidP="008348CF">
            <w:pPr>
              <w:spacing w:before="20" w:after="20"/>
              <w:jc w:val="both"/>
              <w:rPr>
                <w:sz w:val="20"/>
                <w:szCs w:val="20"/>
              </w:rPr>
            </w:pPr>
            <w:r w:rsidRPr="00AD59FE">
              <w:rPr>
                <w:sz w:val="20"/>
                <w:szCs w:val="20"/>
              </w:rPr>
              <w:t>How are generative outputs validated, recorded, and absorbed into finance, procurement, and HR roles?</w:t>
            </w:r>
          </w:p>
        </w:tc>
        <w:tc>
          <w:tcPr>
            <w:tcW w:w="248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51777FCB" w14:textId="77777777" w:rsidR="008E4243" w:rsidRPr="00AD59FE" w:rsidRDefault="00000000" w:rsidP="008348CF">
            <w:pPr>
              <w:spacing w:before="20" w:after="20"/>
              <w:jc w:val="both"/>
              <w:rPr>
                <w:sz w:val="20"/>
                <w:szCs w:val="20"/>
              </w:rPr>
            </w:pPr>
            <w:r w:rsidRPr="00AD59FE">
              <w:rPr>
                <w:sz w:val="20"/>
                <w:szCs w:val="20"/>
              </w:rPr>
              <w:t>Embedded case studies of generative components in live workflows</w:t>
            </w:r>
          </w:p>
        </w:tc>
      </w:tr>
      <w:tr w:rsidR="008E4243" w:rsidRPr="005E1DF4" w14:paraId="531DDF85" w14:textId="77777777" w:rsidTr="00AD59FE">
        <w:trPr>
          <w:jc w:val="center"/>
        </w:trPr>
        <w:tc>
          <w:tcPr>
            <w:tcW w:w="19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5907D922" w14:textId="77777777" w:rsidR="008E4243" w:rsidRPr="00AD59FE" w:rsidRDefault="00000000" w:rsidP="008348CF">
            <w:pPr>
              <w:spacing w:before="20" w:after="20"/>
              <w:jc w:val="both"/>
              <w:rPr>
                <w:sz w:val="20"/>
                <w:szCs w:val="20"/>
              </w:rPr>
            </w:pPr>
            <w:r w:rsidRPr="00AD59FE">
              <w:rPr>
                <w:sz w:val="20"/>
                <w:szCs w:val="20"/>
              </w:rPr>
              <w:t>SME vs large-enterprise pathways</w:t>
            </w:r>
          </w:p>
        </w:tc>
        <w:tc>
          <w:tcPr>
            <w:tcW w:w="23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1D21DBE0" w14:textId="77777777" w:rsidR="008E4243" w:rsidRPr="00AD59FE" w:rsidRDefault="00000000" w:rsidP="008348CF">
            <w:pPr>
              <w:spacing w:before="20" w:after="20"/>
              <w:jc w:val="both"/>
              <w:rPr>
                <w:sz w:val="20"/>
                <w:szCs w:val="20"/>
              </w:rPr>
            </w:pPr>
            <w:r w:rsidRPr="00AD59FE">
              <w:rPr>
                <w:sz w:val="20"/>
                <w:szCs w:val="20"/>
              </w:rPr>
              <w:t>Scale conditions but does not determine uptake</w:t>
            </w:r>
          </w:p>
        </w:tc>
        <w:tc>
          <w:tcPr>
            <w:tcW w:w="278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36FCD0C8" w14:textId="77777777" w:rsidR="008E4243" w:rsidRPr="00AD59FE" w:rsidRDefault="00000000" w:rsidP="008348CF">
            <w:pPr>
              <w:spacing w:before="20" w:after="20"/>
              <w:jc w:val="both"/>
              <w:rPr>
                <w:sz w:val="20"/>
                <w:szCs w:val="20"/>
              </w:rPr>
            </w:pPr>
            <w:r w:rsidRPr="00AD59FE">
              <w:rPr>
                <w:sz w:val="20"/>
                <w:szCs w:val="20"/>
              </w:rPr>
              <w:t>Which capability bundles substitute for scale in resource-constrained settings?</w:t>
            </w:r>
          </w:p>
        </w:tc>
        <w:tc>
          <w:tcPr>
            <w:tcW w:w="248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1BE2492C" w14:textId="77777777" w:rsidR="008E4243" w:rsidRPr="00AD59FE" w:rsidRDefault="00000000" w:rsidP="008348CF">
            <w:pPr>
              <w:spacing w:before="20" w:after="20"/>
              <w:jc w:val="both"/>
              <w:rPr>
                <w:sz w:val="20"/>
                <w:szCs w:val="20"/>
              </w:rPr>
            </w:pPr>
            <w:r w:rsidRPr="00AD59FE">
              <w:rPr>
                <w:sz w:val="20"/>
                <w:szCs w:val="20"/>
              </w:rPr>
              <w:t>Matched comparative studies across firm sizes</w:t>
            </w:r>
          </w:p>
        </w:tc>
      </w:tr>
      <w:tr w:rsidR="008E4243" w:rsidRPr="005E1DF4" w14:paraId="338B2271" w14:textId="77777777" w:rsidTr="00AD59FE">
        <w:trPr>
          <w:jc w:val="center"/>
        </w:trPr>
        <w:tc>
          <w:tcPr>
            <w:tcW w:w="19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3C14D68C" w14:textId="77777777" w:rsidR="008E4243" w:rsidRPr="00AD59FE" w:rsidRDefault="00000000" w:rsidP="008348CF">
            <w:pPr>
              <w:spacing w:before="20" w:after="20"/>
              <w:jc w:val="both"/>
              <w:rPr>
                <w:sz w:val="20"/>
                <w:szCs w:val="20"/>
              </w:rPr>
            </w:pPr>
            <w:r w:rsidRPr="00AD59FE">
              <w:rPr>
                <w:sz w:val="20"/>
                <w:szCs w:val="20"/>
              </w:rPr>
              <w:t>Explainable AI in ERP decisions</w:t>
            </w:r>
          </w:p>
        </w:tc>
        <w:tc>
          <w:tcPr>
            <w:tcW w:w="23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06777B8D" w14:textId="77777777" w:rsidR="008E4243" w:rsidRPr="00AD59FE" w:rsidRDefault="00000000" w:rsidP="008348CF">
            <w:pPr>
              <w:spacing w:before="20" w:after="20"/>
              <w:jc w:val="both"/>
              <w:rPr>
                <w:sz w:val="20"/>
                <w:szCs w:val="20"/>
              </w:rPr>
            </w:pPr>
            <w:r w:rsidRPr="00AD59FE">
              <w:rPr>
                <w:sz w:val="20"/>
                <w:szCs w:val="20"/>
              </w:rPr>
              <w:t>Explainability under-evaluated in ERP-specific decision contexts</w:t>
            </w:r>
          </w:p>
        </w:tc>
        <w:tc>
          <w:tcPr>
            <w:tcW w:w="278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30CB76AA" w14:textId="77777777" w:rsidR="008E4243" w:rsidRPr="00AD59FE" w:rsidRDefault="00000000" w:rsidP="008348CF">
            <w:pPr>
              <w:spacing w:before="20" w:after="20"/>
              <w:jc w:val="both"/>
              <w:rPr>
                <w:sz w:val="20"/>
                <w:szCs w:val="20"/>
              </w:rPr>
            </w:pPr>
            <w:r w:rsidRPr="00AD59FE">
              <w:rPr>
                <w:sz w:val="20"/>
                <w:szCs w:val="20"/>
              </w:rPr>
              <w:t xml:space="preserve">Do available explanations </w:t>
            </w:r>
            <w:proofErr w:type="gramStart"/>
            <w:r w:rsidRPr="00AD59FE">
              <w:rPr>
                <w:sz w:val="20"/>
                <w:szCs w:val="20"/>
              </w:rPr>
              <w:t>actually support</w:t>
            </w:r>
            <w:proofErr w:type="gramEnd"/>
            <w:r w:rsidRPr="00AD59FE">
              <w:rPr>
                <w:sz w:val="20"/>
                <w:szCs w:val="20"/>
              </w:rPr>
              <w:t xml:space="preserve"> auditor scrutiny and managerial trust?</w:t>
            </w:r>
          </w:p>
        </w:tc>
        <w:tc>
          <w:tcPr>
            <w:tcW w:w="248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08941235" w14:textId="77777777" w:rsidR="008E4243" w:rsidRPr="00AD59FE" w:rsidRDefault="00000000" w:rsidP="008348CF">
            <w:pPr>
              <w:spacing w:before="20" w:after="20"/>
              <w:jc w:val="both"/>
              <w:rPr>
                <w:sz w:val="20"/>
                <w:szCs w:val="20"/>
              </w:rPr>
            </w:pPr>
            <w:r w:rsidRPr="00AD59FE">
              <w:rPr>
                <w:sz w:val="20"/>
                <w:szCs w:val="20"/>
              </w:rPr>
              <w:t>Field experiments with controllers and auditors</w:t>
            </w:r>
          </w:p>
        </w:tc>
      </w:tr>
      <w:tr w:rsidR="008E4243" w:rsidRPr="005E1DF4" w14:paraId="1667F93C" w14:textId="77777777" w:rsidTr="00AD59FE">
        <w:trPr>
          <w:jc w:val="center"/>
        </w:trPr>
        <w:tc>
          <w:tcPr>
            <w:tcW w:w="19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7BB522D0" w14:textId="77777777" w:rsidR="008E4243" w:rsidRPr="00AD59FE" w:rsidRDefault="00000000" w:rsidP="008348CF">
            <w:pPr>
              <w:spacing w:before="20" w:after="20"/>
              <w:jc w:val="both"/>
              <w:rPr>
                <w:sz w:val="20"/>
                <w:szCs w:val="20"/>
              </w:rPr>
            </w:pPr>
            <w:r w:rsidRPr="00AD59FE">
              <w:rPr>
                <w:sz w:val="20"/>
                <w:szCs w:val="20"/>
              </w:rPr>
              <w:t>Longitudinal transformation outcomes</w:t>
            </w:r>
          </w:p>
        </w:tc>
        <w:tc>
          <w:tcPr>
            <w:tcW w:w="23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6F0576A0" w14:textId="77777777" w:rsidR="008E4243" w:rsidRPr="00AD59FE" w:rsidRDefault="00000000" w:rsidP="008348CF">
            <w:pPr>
              <w:spacing w:before="20" w:after="20"/>
              <w:jc w:val="both"/>
              <w:rPr>
                <w:sz w:val="20"/>
                <w:szCs w:val="20"/>
              </w:rPr>
            </w:pPr>
            <w:r w:rsidRPr="00AD59FE">
              <w:rPr>
                <w:sz w:val="20"/>
                <w:szCs w:val="20"/>
              </w:rPr>
              <w:t>Scarcity of multi-year evidence on AI-ERP outcomes</w:t>
            </w:r>
          </w:p>
        </w:tc>
        <w:tc>
          <w:tcPr>
            <w:tcW w:w="278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3FA4DC13" w14:textId="77777777" w:rsidR="008E4243" w:rsidRPr="00AD59FE" w:rsidRDefault="00000000" w:rsidP="008348CF">
            <w:pPr>
              <w:spacing w:before="20" w:after="20"/>
              <w:jc w:val="both"/>
              <w:rPr>
                <w:sz w:val="20"/>
                <w:szCs w:val="20"/>
              </w:rPr>
            </w:pPr>
            <w:r w:rsidRPr="00AD59FE">
              <w:rPr>
                <w:sz w:val="20"/>
                <w:szCs w:val="20"/>
              </w:rPr>
              <w:t>How do agility, performance, and governance posture evolve across adopting cohorts?</w:t>
            </w:r>
          </w:p>
        </w:tc>
        <w:tc>
          <w:tcPr>
            <w:tcW w:w="248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329B99CC" w14:textId="77777777" w:rsidR="008E4243" w:rsidRPr="00AD59FE" w:rsidRDefault="00000000" w:rsidP="008348CF">
            <w:pPr>
              <w:spacing w:before="20" w:after="20"/>
              <w:jc w:val="both"/>
              <w:rPr>
                <w:sz w:val="20"/>
                <w:szCs w:val="20"/>
              </w:rPr>
            </w:pPr>
            <w:r w:rsidRPr="00AD59FE">
              <w:rPr>
                <w:sz w:val="20"/>
                <w:szCs w:val="20"/>
              </w:rPr>
              <w:t>Multi-year panel studies of adopting firms</w:t>
            </w:r>
          </w:p>
        </w:tc>
      </w:tr>
      <w:tr w:rsidR="008E4243" w:rsidRPr="005E1DF4" w14:paraId="335C5E9B" w14:textId="77777777" w:rsidTr="00AD59FE">
        <w:trPr>
          <w:jc w:val="center"/>
        </w:trPr>
        <w:tc>
          <w:tcPr>
            <w:tcW w:w="19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2DD12945" w14:textId="77777777" w:rsidR="008E4243" w:rsidRPr="00AD59FE" w:rsidRDefault="00000000" w:rsidP="008348CF">
            <w:pPr>
              <w:spacing w:before="20" w:after="20"/>
              <w:jc w:val="both"/>
              <w:rPr>
                <w:sz w:val="20"/>
                <w:szCs w:val="20"/>
              </w:rPr>
            </w:pPr>
            <w:r w:rsidRPr="00AD59FE">
              <w:rPr>
                <w:sz w:val="20"/>
                <w:szCs w:val="20"/>
              </w:rPr>
              <w:t>Measurement of organizational agility</w:t>
            </w:r>
          </w:p>
        </w:tc>
        <w:tc>
          <w:tcPr>
            <w:tcW w:w="23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4C2917EE" w14:textId="77777777" w:rsidR="008E4243" w:rsidRPr="00AD59FE" w:rsidRDefault="00000000" w:rsidP="008348CF">
            <w:pPr>
              <w:spacing w:before="20" w:after="20"/>
              <w:jc w:val="both"/>
              <w:rPr>
                <w:sz w:val="20"/>
                <w:szCs w:val="20"/>
              </w:rPr>
            </w:pPr>
            <w:r w:rsidRPr="00AD59FE">
              <w:rPr>
                <w:sz w:val="20"/>
                <w:szCs w:val="20"/>
              </w:rPr>
              <w:t>No agility instruments specific to AI-enabled ERP settings</w:t>
            </w:r>
          </w:p>
        </w:tc>
        <w:tc>
          <w:tcPr>
            <w:tcW w:w="278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5F87D376" w14:textId="77777777" w:rsidR="008E4243" w:rsidRPr="00AD59FE" w:rsidRDefault="00000000" w:rsidP="008348CF">
            <w:pPr>
              <w:spacing w:before="20" w:after="20"/>
              <w:jc w:val="both"/>
              <w:rPr>
                <w:sz w:val="20"/>
                <w:szCs w:val="20"/>
              </w:rPr>
            </w:pPr>
            <w:r w:rsidRPr="00AD59FE">
              <w:rPr>
                <w:sz w:val="20"/>
                <w:szCs w:val="20"/>
              </w:rPr>
              <w:t>How is ERP-attributable agility distinguished from wider digital configuration?</w:t>
            </w:r>
          </w:p>
        </w:tc>
        <w:tc>
          <w:tcPr>
            <w:tcW w:w="248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78C83313" w14:textId="77777777" w:rsidR="008E4243" w:rsidRPr="00AD59FE" w:rsidRDefault="00000000" w:rsidP="008348CF">
            <w:pPr>
              <w:spacing w:before="20" w:after="20"/>
              <w:jc w:val="both"/>
              <w:rPr>
                <w:sz w:val="20"/>
                <w:szCs w:val="20"/>
              </w:rPr>
            </w:pPr>
            <w:r w:rsidRPr="00AD59FE">
              <w:rPr>
                <w:sz w:val="20"/>
                <w:szCs w:val="20"/>
              </w:rPr>
              <w:t>Scale-development and validation studies</w:t>
            </w:r>
          </w:p>
        </w:tc>
      </w:tr>
      <w:tr w:rsidR="008E4243" w:rsidRPr="005E1DF4" w14:paraId="290212E5" w14:textId="77777777" w:rsidTr="00AD59FE">
        <w:trPr>
          <w:jc w:val="center"/>
        </w:trPr>
        <w:tc>
          <w:tcPr>
            <w:tcW w:w="19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79A64024" w14:textId="77777777" w:rsidR="008E4243" w:rsidRPr="00AD59FE" w:rsidRDefault="00000000" w:rsidP="008348CF">
            <w:pPr>
              <w:spacing w:before="20" w:after="20"/>
              <w:jc w:val="both"/>
              <w:rPr>
                <w:sz w:val="20"/>
                <w:szCs w:val="20"/>
              </w:rPr>
            </w:pPr>
            <w:r w:rsidRPr="00AD59FE">
              <w:rPr>
                <w:sz w:val="20"/>
                <w:szCs w:val="20"/>
              </w:rPr>
              <w:t>Responsible AI in enterprise systems</w:t>
            </w:r>
          </w:p>
        </w:tc>
        <w:tc>
          <w:tcPr>
            <w:tcW w:w="230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79F78B21" w14:textId="77777777" w:rsidR="008E4243" w:rsidRPr="00AD59FE" w:rsidRDefault="00000000" w:rsidP="008348CF">
            <w:pPr>
              <w:spacing w:before="20" w:after="20"/>
              <w:jc w:val="both"/>
              <w:rPr>
                <w:sz w:val="20"/>
                <w:szCs w:val="20"/>
              </w:rPr>
            </w:pPr>
            <w:r w:rsidRPr="00AD59FE">
              <w:rPr>
                <w:sz w:val="20"/>
                <w:szCs w:val="20"/>
              </w:rPr>
              <w:t>Ethical principles not yet translated into ERP practice</w:t>
            </w:r>
          </w:p>
        </w:tc>
        <w:tc>
          <w:tcPr>
            <w:tcW w:w="278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28A15A1D" w14:textId="77777777" w:rsidR="008E4243" w:rsidRPr="00AD59FE" w:rsidRDefault="00000000" w:rsidP="008348CF">
            <w:pPr>
              <w:spacing w:before="20" w:after="20"/>
              <w:jc w:val="both"/>
              <w:rPr>
                <w:sz w:val="20"/>
                <w:szCs w:val="20"/>
              </w:rPr>
            </w:pPr>
            <w:r w:rsidRPr="00AD59FE">
              <w:rPr>
                <w:sz w:val="20"/>
                <w:szCs w:val="20"/>
              </w:rPr>
              <w:t>Do responsible-AI controls measurably reduce harm at ERP decision points?</w:t>
            </w:r>
          </w:p>
        </w:tc>
        <w:tc>
          <w:tcPr>
            <w:tcW w:w="2480" w:type="dxa"/>
            <w:tcBorders>
              <w:top w:val="single" w:sz="4" w:space="0" w:color="999999"/>
              <w:left w:val="single" w:sz="4" w:space="0" w:color="999999"/>
              <w:bottom w:val="single" w:sz="4" w:space="0" w:color="999999"/>
              <w:right w:val="single" w:sz="4" w:space="0" w:color="999999"/>
            </w:tcBorders>
            <w:tcMar>
              <w:top w:w="60" w:type="dxa"/>
              <w:left w:w="100" w:type="dxa"/>
              <w:bottom w:w="60" w:type="dxa"/>
              <w:right w:w="100" w:type="dxa"/>
            </w:tcMar>
          </w:tcPr>
          <w:p w14:paraId="510ADE61" w14:textId="77777777" w:rsidR="008E4243" w:rsidRPr="00AD59FE" w:rsidRDefault="00000000" w:rsidP="008348CF">
            <w:pPr>
              <w:spacing w:before="20" w:after="20"/>
              <w:jc w:val="both"/>
              <w:rPr>
                <w:sz w:val="20"/>
                <w:szCs w:val="20"/>
              </w:rPr>
            </w:pPr>
            <w:r w:rsidRPr="00AD59FE">
              <w:rPr>
                <w:sz w:val="20"/>
                <w:szCs w:val="20"/>
              </w:rPr>
              <w:t>Design-science and mixed-method evaluation studies</w:t>
            </w:r>
          </w:p>
        </w:tc>
      </w:tr>
    </w:tbl>
    <w:p w14:paraId="4F9BA4FF" w14:textId="77777777" w:rsidR="008E4243" w:rsidRPr="005E1DF4" w:rsidRDefault="00000000" w:rsidP="008348CF">
      <w:pPr>
        <w:pStyle w:val="Heading1"/>
        <w:jc w:val="both"/>
      </w:pPr>
      <w:r w:rsidRPr="005E1DF4">
        <w:t>CONCLUSION</w:t>
      </w:r>
    </w:p>
    <w:p w14:paraId="2115A142" w14:textId="77777777" w:rsidR="008E4243" w:rsidRPr="005E1DF4" w:rsidRDefault="00000000" w:rsidP="008348CF">
      <w:pPr>
        <w:spacing w:before="240" w:after="240"/>
        <w:jc w:val="both"/>
      </w:pPr>
      <w:r w:rsidRPr="005E1DF4">
        <w:t xml:space="preserve">AI-powered cloud ERP is a significant shift in digital enterprise strategy, as </w:t>
      </w:r>
      <w:proofErr w:type="spellStart"/>
      <w:r w:rsidRPr="005E1DF4">
        <w:t>organisations</w:t>
      </w:r>
      <w:proofErr w:type="spellEnd"/>
      <w:r w:rsidRPr="005E1DF4">
        <w:t xml:space="preserve"> move their internal operations to the cloud while </w:t>
      </w:r>
      <w:proofErr w:type="spellStart"/>
      <w:r w:rsidRPr="005E1DF4">
        <w:t>modernising</w:t>
      </w:r>
      <w:proofErr w:type="spellEnd"/>
      <w:r w:rsidRPr="005E1DF4">
        <w:t xml:space="preserve"> their core enterprise systems. Once conceived as transactional record keeping databases, modern ERP systems are now transforming to become intelligent, adaptable, and cognitive, incorporating machine learning, in memory processing and cognitive automation into their financial and operational ledgers, providing the level of visibility, insight and agility that organizations need (Govinda et al., 2025, Jain et al., 2022).</w:t>
      </w:r>
    </w:p>
    <w:p w14:paraId="55D8138D" w14:textId="77777777" w:rsidR="008E4243" w:rsidRPr="005E1DF4" w:rsidRDefault="00000000" w:rsidP="008348CF">
      <w:pPr>
        <w:spacing w:before="240" w:after="240"/>
        <w:jc w:val="both"/>
      </w:pPr>
      <w:r w:rsidRPr="005E1DF4">
        <w:t xml:space="preserve">The synthesis in this paper supports the three findings. The common thread that runs across the whole embedded intelligence effort is the lot of operational improvement, such as faster turnaround time in closing deals, more agile planning of demand and risks and less manual handling, the primary quantification is provided by the </w:t>
      </w:r>
      <w:r w:rsidRPr="005E1DF4">
        <w:lastRenderedPageBreak/>
        <w:t xml:space="preserve">survey evidence regarding the use of AI–ERP (Godbole, 2023). There is not a hierarchy, but a </w:t>
      </w:r>
      <w:proofErr w:type="spellStart"/>
      <w:r w:rsidRPr="005E1DF4">
        <w:t>trade off</w:t>
      </w:r>
      <w:proofErr w:type="spellEnd"/>
      <w:r w:rsidRPr="005E1DF4">
        <w:t xml:space="preserve"> between leading enterprise platforms. It is important for firms to choose the right platform to ensure they are succeeding in agility, depending on maturity. Agility leverages the presence of cluster attributes. Where an existing organization has existing capabilities that are cloud deployed, customer facing, and commercially useable (Tudor, 2026), which is the main conceptual thrust of this paper. AI-enabled cloud ERP does not replace </w:t>
      </w:r>
      <w:proofErr w:type="gramStart"/>
      <w:r w:rsidRPr="005E1DF4">
        <w:t>an existing</w:t>
      </w:r>
      <w:proofErr w:type="gramEnd"/>
      <w:r w:rsidRPr="005E1DF4">
        <w:t xml:space="preserve"> digital architecture.</w:t>
      </w:r>
    </w:p>
    <w:p w14:paraId="5D72F95D" w14:textId="77777777" w:rsidR="008E4243" w:rsidRPr="005E1DF4" w:rsidRDefault="00000000" w:rsidP="008348CF">
      <w:pPr>
        <w:spacing w:before="240" w:after="240"/>
        <w:jc w:val="both"/>
      </w:pPr>
      <w:r w:rsidRPr="005E1DF4">
        <w:t xml:space="preserve">The synthesis allows a direct answer to the question raised in the problem. Why invest in technology and yet remain stuck in </w:t>
      </w:r>
      <w:proofErr w:type="gramStart"/>
      <w:r w:rsidRPr="005E1DF4">
        <w:t>the problems</w:t>
      </w:r>
      <w:proofErr w:type="gramEnd"/>
      <w:r w:rsidRPr="005E1DF4">
        <w:t xml:space="preserve"> and failures? Why does AI in cloud ERP not increase agility when and where is that the case? The findings for differential influence of platforms (RQ1) depict a </w:t>
      </w:r>
      <w:proofErr w:type="spellStart"/>
      <w:r w:rsidRPr="005E1DF4">
        <w:t>trade off</w:t>
      </w:r>
      <w:proofErr w:type="spellEnd"/>
      <w:r w:rsidRPr="005E1DF4">
        <w:t xml:space="preserve"> frontier along which these 3 dimensions (financial, scenario-planning, and operational responsiveness) are differently distributed among archetypes, meaning that the influence is not the same across archetype but instead is contingent on the fit. Regarding embedded analytics and automation (RQ2), the corpus consistently refers to embedded learning </w:t>
      </w:r>
      <w:proofErr w:type="gramStart"/>
      <w:r w:rsidRPr="005E1DF4">
        <w:t>as a means to</w:t>
      </w:r>
      <w:proofErr w:type="gramEnd"/>
      <w:r w:rsidRPr="005E1DF4">
        <w:t xml:space="preserve"> achieve ATP, which results in compressed decision cycles, fewer errors, and better predictions, but this is dependent on the quality of the data used to train the models. Sovereign cloud, Zero Trust, AI </w:t>
      </w:r>
      <w:proofErr w:type="spellStart"/>
      <w:r w:rsidRPr="005E1DF4">
        <w:t>TRiSM</w:t>
      </w:r>
      <w:proofErr w:type="spellEnd"/>
      <w:r w:rsidRPr="005E1DF4">
        <w:t xml:space="preserve"> and explainable-AI capabilities represent a </w:t>
      </w:r>
      <w:proofErr w:type="spellStart"/>
      <w:r w:rsidRPr="005E1DF4">
        <w:t>defence</w:t>
      </w:r>
      <w:proofErr w:type="spellEnd"/>
      <w:r w:rsidRPr="005E1DF4">
        <w:t xml:space="preserve"> in depth approach that if implemented effectively, increases with regulatory exposure and organizational maturity, but isn't simply reliant on any </w:t>
      </w:r>
      <w:proofErr w:type="gramStart"/>
      <w:r w:rsidRPr="005E1DF4">
        <w:t>one</w:t>
      </w:r>
      <w:proofErr w:type="gramEnd"/>
      <w:r w:rsidRPr="005E1DF4">
        <w:t xml:space="preserve"> control. On the path towards autonomous use (RQ4), the maturity model outlines technical </w:t>
      </w:r>
      <w:proofErr w:type="spellStart"/>
      <w:r w:rsidRPr="005E1DF4">
        <w:t>troids</w:t>
      </w:r>
      <w:proofErr w:type="spellEnd"/>
      <w:r w:rsidRPr="005E1DF4">
        <w:t xml:space="preserve"> and socio technical constraints that determine progression in each step of autonomy and links till each autonomy with a corresponding governance.</w:t>
      </w:r>
    </w:p>
    <w:p w14:paraId="1ED54944" w14:textId="77777777" w:rsidR="008E4243" w:rsidRPr="005E1DF4" w:rsidRDefault="00000000" w:rsidP="008348CF">
      <w:pPr>
        <w:spacing w:before="240" w:after="240"/>
        <w:jc w:val="both"/>
      </w:pPr>
      <w:r w:rsidRPr="005E1DF4">
        <w:t xml:space="preserve">The responses gravitate toward a central claim made by the </w:t>
      </w:r>
      <w:proofErr w:type="gramStart"/>
      <w:r w:rsidRPr="005E1DF4">
        <w:t>paper, and</w:t>
      </w:r>
      <w:proofErr w:type="gramEnd"/>
      <w:r w:rsidRPr="005E1DF4">
        <w:t xml:space="preserve"> address the issue the paper poses. When paired with high investment, the failure rate is not a reflection of the technology, but a reflection that agility is a conjunctive achievement, that is the joint product of a data and modeling resource that cannot be replicated, an exercised sensing seizing transforming loop, a socially aligned workforce and a fitting technology organizational environmental context. The reported returns can be achieved where those conditions </w:t>
      </w:r>
      <w:proofErr w:type="gramStart"/>
      <w:r w:rsidRPr="005E1DF4">
        <w:t>exist</w:t>
      </w:r>
      <w:proofErr w:type="gramEnd"/>
      <w:r w:rsidRPr="005E1DF4">
        <w:t xml:space="preserve"> and the same technology </w:t>
      </w:r>
      <w:proofErr w:type="gramStart"/>
      <w:r w:rsidRPr="005E1DF4">
        <w:t>is</w:t>
      </w:r>
      <w:proofErr w:type="gramEnd"/>
      <w:r w:rsidRPr="005E1DF4">
        <w:t xml:space="preserve"> proven to be utterly disappointing where any of those conditions are lacking. The title's pairing of real time analytics, automation, and governance takes this conjunctive reading none of the three benefits lives alone. Each is a yes or no proposition that requires the others. It's the combination of all three, not the sum of individual </w:t>
      </w:r>
      <w:proofErr w:type="spellStart"/>
      <w:r w:rsidRPr="005E1DF4">
        <w:t>bebenefits,efits</w:t>
      </w:r>
      <w:proofErr w:type="spellEnd"/>
      <w:r w:rsidRPr="005E1DF4">
        <w:t xml:space="preserve"> that </w:t>
      </w:r>
      <w:proofErr w:type="gramStart"/>
      <w:r w:rsidRPr="005E1DF4">
        <w:t>yields</w:t>
      </w:r>
      <w:proofErr w:type="gramEnd"/>
      <w:r w:rsidRPr="005E1DF4">
        <w:t xml:space="preserve"> organizational agility.</w:t>
      </w:r>
    </w:p>
    <w:p w14:paraId="77687F6E" w14:textId="77777777" w:rsidR="008E4243" w:rsidRPr="005E1DF4" w:rsidRDefault="00000000" w:rsidP="008348CF">
      <w:pPr>
        <w:spacing w:before="240" w:after="240"/>
        <w:jc w:val="both"/>
      </w:pPr>
      <w:r w:rsidRPr="005E1DF4">
        <w:t xml:space="preserve">The theoretical contribution is the result of the four lenses that look at the evidence. The Resource Based View makes sense of how this “intelligence” built into systems with data can create a source of advantage. The Dynamic Capabilities Theory clarifies the “sensing-seizing-transforming” process by which the advantage </w:t>
      </w:r>
      <w:proofErr w:type="spellStart"/>
      <w:r w:rsidRPr="005E1DF4">
        <w:t>kickens</w:t>
      </w:r>
      <w:proofErr w:type="spellEnd"/>
      <w:r w:rsidRPr="005E1DF4">
        <w:t xml:space="preserve"> in. The Socio-Technical Systems Theory explains how the friction against this effect works, and TOE provides the contingency logic to make it all cohesive. As such, they make AI-powered cloud ERP into the functional manifestation of a more comprehensive capability architecture, not just the impact of one technology.</w:t>
      </w:r>
    </w:p>
    <w:p w14:paraId="7EED94F8" w14:textId="77777777" w:rsidR="008E4243" w:rsidRPr="005E1DF4" w:rsidRDefault="00000000" w:rsidP="008348CF">
      <w:pPr>
        <w:spacing w:before="240" w:after="240"/>
        <w:jc w:val="both"/>
      </w:pPr>
      <w:r w:rsidRPr="005E1DF4">
        <w:t xml:space="preserve">The practical contribution is the combined conceptual framework, the closed loop decision pipeline and the five level maturity model and, in addition, provides a diagnostic for executives to identify where their organization is today and what technical and governance preconditions exist for progressing to the next stage. The framework together with the four recommendations. Clean core architecture, governance prior to capability, phased rollout, and change management as architecture, </w:t>
      </w:r>
      <w:proofErr w:type="gramStart"/>
      <w:r w:rsidRPr="005E1DF4">
        <w:t>transforms</w:t>
      </w:r>
      <w:proofErr w:type="gramEnd"/>
      <w:r w:rsidRPr="005E1DF4">
        <w:t xml:space="preserve"> the synthesis into executable transformation logic.</w:t>
      </w:r>
    </w:p>
    <w:p w14:paraId="7A258037" w14:textId="0BB4B01A" w:rsidR="00AD59FE" w:rsidRDefault="00000000" w:rsidP="00AD59FE">
      <w:pPr>
        <w:pStyle w:val="Heading1"/>
        <w:jc w:val="both"/>
        <w:rPr>
          <w:b w:val="0"/>
          <w:bCs w:val="0"/>
          <w:sz w:val="24"/>
          <w:szCs w:val="24"/>
        </w:rPr>
      </w:pPr>
      <w:r w:rsidRPr="005E1DF4">
        <w:rPr>
          <w:b w:val="0"/>
          <w:bCs w:val="0"/>
          <w:sz w:val="24"/>
          <w:szCs w:val="24"/>
        </w:rPr>
        <w:t xml:space="preserve">It is not the most sophisticated ones that will make the most of cloud ERP fueled by AI. It is the ones that follow its rules. They're the ones that match technical capability to data quality, maturity of data governance and readiness of work force. It's the difference between an enterprise that's written down in an intelligent system, versus one that is intelligent enough to Sense, Seize, and Transform the enterprise, the agility you need to succeed in a digital economy with constant volatility. Ultimately, the executives' question is not so much "Which platform to buy"? It is about what configuration to create and at what pace to allow the system to evolve </w:t>
      </w:r>
      <w:proofErr w:type="gramStart"/>
      <w:r w:rsidRPr="005E1DF4">
        <w:rPr>
          <w:b w:val="0"/>
          <w:bCs w:val="0"/>
          <w:sz w:val="24"/>
          <w:szCs w:val="24"/>
        </w:rPr>
        <w:t>in order to</w:t>
      </w:r>
      <w:proofErr w:type="gramEnd"/>
      <w:r w:rsidRPr="005E1DF4">
        <w:rPr>
          <w:b w:val="0"/>
          <w:bCs w:val="0"/>
          <w:sz w:val="24"/>
          <w:szCs w:val="24"/>
        </w:rPr>
        <w:t xml:space="preserve"> become agile.</w:t>
      </w:r>
    </w:p>
    <w:p w14:paraId="4B84AF34" w14:textId="77777777" w:rsidR="00AD59FE" w:rsidRDefault="00AD59FE" w:rsidP="00AD59FE"/>
    <w:p w14:paraId="51F6A2E6" w14:textId="77777777" w:rsidR="00AD59FE" w:rsidRPr="00AD59FE" w:rsidRDefault="00AD59FE" w:rsidP="00AD59FE"/>
    <w:p w14:paraId="69D925AA" w14:textId="77777777" w:rsidR="008E4243" w:rsidRPr="005E1DF4" w:rsidRDefault="00000000" w:rsidP="008348CF">
      <w:pPr>
        <w:pStyle w:val="Heading1"/>
        <w:jc w:val="both"/>
      </w:pPr>
      <w:r w:rsidRPr="005E1DF4">
        <w:lastRenderedPageBreak/>
        <w:t>ACKNOWLEDGEMENTS</w:t>
      </w:r>
    </w:p>
    <w:p w14:paraId="4A86D5AE" w14:textId="77777777" w:rsidR="008E4243" w:rsidRPr="005E1DF4" w:rsidRDefault="00000000" w:rsidP="008348CF">
      <w:pPr>
        <w:pStyle w:val="Heading1"/>
        <w:jc w:val="both"/>
        <w:rPr>
          <w:b w:val="0"/>
          <w:bCs w:val="0"/>
          <w:sz w:val="24"/>
          <w:szCs w:val="24"/>
        </w:rPr>
      </w:pPr>
      <w:r w:rsidRPr="005E1DF4">
        <w:rPr>
          <w:b w:val="0"/>
          <w:bCs w:val="0"/>
          <w:sz w:val="24"/>
          <w:szCs w:val="24"/>
        </w:rPr>
        <w:t xml:space="preserve">The author is grateful to the academic supervisors and the team of teachers of Business Information Systems for methodological </w:t>
      </w:r>
      <w:proofErr w:type="gramStart"/>
      <w:r w:rsidRPr="005E1DF4">
        <w:rPr>
          <w:b w:val="0"/>
          <w:bCs w:val="0"/>
          <w:sz w:val="24"/>
          <w:szCs w:val="24"/>
        </w:rPr>
        <w:t>guidance, and</w:t>
      </w:r>
      <w:proofErr w:type="gramEnd"/>
      <w:r w:rsidRPr="005E1DF4">
        <w:rPr>
          <w:b w:val="0"/>
          <w:bCs w:val="0"/>
          <w:sz w:val="24"/>
          <w:szCs w:val="24"/>
        </w:rPr>
        <w:t xml:space="preserve"> using the Scopus database and the Scopus AI evidence synthesis facility for compiling and cross checking the literature corpus on which this review is based.</w:t>
      </w:r>
    </w:p>
    <w:p w14:paraId="31C055C5" w14:textId="77777777" w:rsidR="008E4243" w:rsidRPr="005E1DF4" w:rsidRDefault="00000000" w:rsidP="008348CF">
      <w:pPr>
        <w:pStyle w:val="Heading1"/>
        <w:jc w:val="both"/>
      </w:pPr>
      <w:r w:rsidRPr="005E1DF4">
        <w:t>REFERENCES</w:t>
      </w:r>
    </w:p>
    <w:p w14:paraId="3AA72D13" w14:textId="77777777" w:rsidR="008E4243" w:rsidRPr="005E1DF4" w:rsidRDefault="00000000" w:rsidP="008348CF">
      <w:pPr>
        <w:spacing w:before="80" w:after="80"/>
        <w:ind w:left="480" w:hanging="480"/>
        <w:jc w:val="both"/>
      </w:pPr>
      <w:r w:rsidRPr="005E1DF4">
        <w:t xml:space="preserve">1. Aanand, B. A., Helen, F. R., </w:t>
      </w:r>
      <w:proofErr w:type="spellStart"/>
      <w:r w:rsidRPr="005E1DF4">
        <w:t>Lavaraju</w:t>
      </w:r>
      <w:proofErr w:type="spellEnd"/>
      <w:r w:rsidRPr="005E1DF4">
        <w:t xml:space="preserve">, B., &amp; Pandi, L. K. (2025). RT-AIBI: A real-time AI-augmented business intelligence framework leveraging cloud data lakes for agile decision-making. </w:t>
      </w:r>
      <w:r w:rsidRPr="005E1DF4">
        <w:rPr>
          <w:i/>
          <w:iCs/>
        </w:rPr>
        <w:t>2nd Asia Pacific Conference on Innovation in Technology (APCIT 2025)</w:t>
      </w:r>
      <w:r w:rsidRPr="005E1DF4">
        <w:t>.</w:t>
      </w:r>
    </w:p>
    <w:p w14:paraId="3A7908D2" w14:textId="77777777" w:rsidR="008E4243" w:rsidRPr="005E1DF4" w:rsidRDefault="00000000" w:rsidP="008348CF">
      <w:pPr>
        <w:spacing w:before="80" w:after="80"/>
        <w:ind w:left="480" w:hanging="480"/>
        <w:jc w:val="both"/>
      </w:pPr>
      <w:r w:rsidRPr="005E1DF4">
        <w:t xml:space="preserve">2. Abazi Chaushi, B., &amp; </w:t>
      </w:r>
      <w:proofErr w:type="spellStart"/>
      <w:r w:rsidRPr="005E1DF4">
        <w:t>Chaushi</w:t>
      </w:r>
      <w:proofErr w:type="spellEnd"/>
      <w:r w:rsidRPr="005E1DF4">
        <w:t xml:space="preserve">, A. (2025). Half a century of enterprise systems: From MRP to artificial intelligence ERPs. </w:t>
      </w:r>
      <w:r w:rsidRPr="005E1DF4">
        <w:rPr>
          <w:i/>
          <w:iCs/>
        </w:rPr>
        <w:t>Springer Proceedings in Business and Economics</w:t>
      </w:r>
      <w:r w:rsidRPr="005E1DF4">
        <w:t xml:space="preserve">. </w:t>
      </w:r>
    </w:p>
    <w:p w14:paraId="50542EBD" w14:textId="77777777" w:rsidR="008E4243" w:rsidRPr="005E1DF4" w:rsidRDefault="00000000" w:rsidP="008348CF">
      <w:pPr>
        <w:spacing w:before="80" w:after="80"/>
        <w:ind w:left="480" w:hanging="480"/>
        <w:jc w:val="both"/>
      </w:pPr>
      <w:r w:rsidRPr="005E1DF4">
        <w:t xml:space="preserve">3. </w:t>
      </w:r>
      <w:proofErr w:type="spellStart"/>
      <w:r w:rsidRPr="005E1DF4">
        <w:t>Achargui</w:t>
      </w:r>
      <w:proofErr w:type="spellEnd"/>
      <w:r w:rsidRPr="005E1DF4">
        <w:t xml:space="preserve">, A. A., &amp; </w:t>
      </w:r>
      <w:proofErr w:type="spellStart"/>
      <w:r w:rsidRPr="005E1DF4">
        <w:t>Zaouia</w:t>
      </w:r>
      <w:proofErr w:type="spellEnd"/>
      <w:r w:rsidRPr="005E1DF4">
        <w:t xml:space="preserve">, A. (2016). Hosted, cloud and SaaS, off-premises ERP systems adoption by Moroccan SMEs: A focus group study. </w:t>
      </w:r>
      <w:r w:rsidRPr="005E1DF4">
        <w:rPr>
          <w:i/>
          <w:iCs/>
        </w:rPr>
        <w:t>2016 7th International Conference on Sciences of Electronics, Technologies of Information and Telecommunications (SETIT)</w:t>
      </w:r>
      <w:r w:rsidRPr="005E1DF4">
        <w:t>, 344–348.</w:t>
      </w:r>
    </w:p>
    <w:p w14:paraId="4891E951" w14:textId="77777777" w:rsidR="008E4243" w:rsidRPr="005E1DF4" w:rsidRDefault="00000000" w:rsidP="008348CF">
      <w:pPr>
        <w:spacing w:before="80" w:after="80"/>
        <w:ind w:left="480" w:hanging="480"/>
        <w:jc w:val="both"/>
      </w:pPr>
      <w:r w:rsidRPr="005E1DF4">
        <w:t xml:space="preserve">4. Agarwal, A., &amp; Nene, M. J. (2025). A five-layer framework for AI governance: Integrating regulation, standards, and certification. </w:t>
      </w:r>
      <w:r w:rsidRPr="005E1DF4">
        <w:rPr>
          <w:i/>
          <w:iCs/>
        </w:rPr>
        <w:t>Transforming Government: People, Process and Policy</w:t>
      </w:r>
      <w:r w:rsidRPr="005E1DF4">
        <w:t>.</w:t>
      </w:r>
    </w:p>
    <w:p w14:paraId="20B0AE68" w14:textId="77777777" w:rsidR="008E4243" w:rsidRPr="005E1DF4" w:rsidRDefault="00000000" w:rsidP="008348CF">
      <w:pPr>
        <w:spacing w:before="80" w:after="80"/>
        <w:ind w:left="480" w:hanging="480"/>
        <w:jc w:val="both"/>
      </w:pPr>
      <w:r w:rsidRPr="005E1DF4">
        <w:t xml:space="preserve">5. Agarwal, P., &amp; Gupta, A. (2024). Cybersecurity strategies for safe ERP/CRM implementation. </w:t>
      </w:r>
      <w:r w:rsidRPr="005E1DF4">
        <w:rPr>
          <w:i/>
          <w:iCs/>
        </w:rPr>
        <w:t>2024 3rd International Conference on Artificial Intelligence for Internet of Things (</w:t>
      </w:r>
      <w:proofErr w:type="spellStart"/>
      <w:r w:rsidRPr="005E1DF4">
        <w:rPr>
          <w:i/>
          <w:iCs/>
        </w:rPr>
        <w:t>AIIoT</w:t>
      </w:r>
      <w:proofErr w:type="spellEnd"/>
      <w:r w:rsidRPr="005E1DF4">
        <w:rPr>
          <w:i/>
          <w:iCs/>
        </w:rPr>
        <w:t>)</w:t>
      </w:r>
      <w:r w:rsidRPr="005E1DF4">
        <w:t xml:space="preserve">. </w:t>
      </w:r>
    </w:p>
    <w:p w14:paraId="351F876D" w14:textId="77777777" w:rsidR="008E4243" w:rsidRPr="005E1DF4" w:rsidRDefault="00000000" w:rsidP="008348CF">
      <w:pPr>
        <w:spacing w:before="80" w:after="80"/>
        <w:ind w:left="480" w:hanging="480"/>
        <w:jc w:val="both"/>
      </w:pPr>
      <w:r w:rsidRPr="005E1DF4">
        <w:t xml:space="preserve">6. Alkhatib, G. (2026). Linking artificial intelligence to ERP: The case of Oracle. </w:t>
      </w:r>
      <w:r w:rsidRPr="005E1DF4">
        <w:rPr>
          <w:i/>
          <w:iCs/>
        </w:rPr>
        <w:t>Communications in Computer and Information Science</w:t>
      </w:r>
      <w:r w:rsidRPr="005E1DF4">
        <w:t xml:space="preserve">. </w:t>
      </w:r>
    </w:p>
    <w:p w14:paraId="159B2A8E" w14:textId="77777777" w:rsidR="008E4243" w:rsidRPr="005E1DF4" w:rsidRDefault="00000000" w:rsidP="008348CF">
      <w:pPr>
        <w:spacing w:before="80" w:after="80"/>
        <w:ind w:left="480" w:hanging="480"/>
        <w:jc w:val="both"/>
      </w:pPr>
      <w:r w:rsidRPr="005E1DF4">
        <w:t xml:space="preserve">7. </w:t>
      </w:r>
      <w:proofErr w:type="spellStart"/>
      <w:r w:rsidRPr="005E1DF4">
        <w:t>AlMahadin</w:t>
      </w:r>
      <w:proofErr w:type="spellEnd"/>
      <w:r w:rsidRPr="005E1DF4">
        <w:t xml:space="preserve">, G. (2025). Adaptive AI-driven enterprise resource planning for scalable and real-time strategic decision making. </w:t>
      </w:r>
      <w:r w:rsidRPr="005E1DF4">
        <w:rPr>
          <w:i/>
          <w:iCs/>
        </w:rPr>
        <w:t>International Journal of Advanced Computer Science and Applications</w:t>
      </w:r>
      <w:r w:rsidRPr="005E1DF4">
        <w:t>.</w:t>
      </w:r>
    </w:p>
    <w:p w14:paraId="7CBC47C6" w14:textId="77777777" w:rsidR="008E4243" w:rsidRPr="005E1DF4" w:rsidRDefault="00000000" w:rsidP="008348CF">
      <w:pPr>
        <w:spacing w:before="80" w:after="80"/>
        <w:ind w:left="480" w:hanging="480"/>
        <w:jc w:val="both"/>
      </w:pPr>
      <w:r w:rsidRPr="005E1DF4">
        <w:t xml:space="preserve">8. Awa, H. O., </w:t>
      </w:r>
      <w:proofErr w:type="spellStart"/>
      <w:r w:rsidRPr="005E1DF4">
        <w:t>Ojiabo</w:t>
      </w:r>
      <w:proofErr w:type="spellEnd"/>
      <w:r w:rsidRPr="005E1DF4">
        <w:t xml:space="preserve">, O. U., &amp; Emecheta, B. C. (2016). A model of adoption determinants of ERP within T-O-E framework. </w:t>
      </w:r>
      <w:r w:rsidRPr="005E1DF4">
        <w:rPr>
          <w:i/>
          <w:iCs/>
        </w:rPr>
        <w:t>Information Technology and People</w:t>
      </w:r>
      <w:r w:rsidRPr="005E1DF4">
        <w:t>.</w:t>
      </w:r>
    </w:p>
    <w:p w14:paraId="5E1A6DFD" w14:textId="77777777" w:rsidR="008E4243" w:rsidRPr="005E1DF4" w:rsidRDefault="00000000" w:rsidP="008348CF">
      <w:pPr>
        <w:spacing w:before="80" w:after="80"/>
        <w:ind w:left="480" w:hanging="480"/>
        <w:jc w:val="both"/>
      </w:pPr>
      <w:r w:rsidRPr="005E1DF4">
        <w:t xml:space="preserve">9. </w:t>
      </w:r>
      <w:proofErr w:type="spellStart"/>
      <w:r w:rsidRPr="005E1DF4">
        <w:t>Azeta</w:t>
      </w:r>
      <w:proofErr w:type="spellEnd"/>
      <w:r w:rsidRPr="005E1DF4">
        <w:t xml:space="preserve">, J., </w:t>
      </w:r>
      <w:proofErr w:type="spellStart"/>
      <w:r w:rsidRPr="005E1DF4">
        <w:t>Omeche</w:t>
      </w:r>
      <w:proofErr w:type="spellEnd"/>
      <w:r w:rsidRPr="005E1DF4">
        <w:t xml:space="preserve">, T. T., </w:t>
      </w:r>
      <w:proofErr w:type="spellStart"/>
      <w:r w:rsidRPr="005E1DF4">
        <w:t>Daniyan</w:t>
      </w:r>
      <w:proofErr w:type="spellEnd"/>
      <w:r w:rsidRPr="005E1DF4">
        <w:t xml:space="preserve">, I., &amp; </w:t>
      </w:r>
      <w:proofErr w:type="spellStart"/>
      <w:r w:rsidRPr="005E1DF4">
        <w:t>Muvunzi</w:t>
      </w:r>
      <w:proofErr w:type="spellEnd"/>
      <w:r w:rsidRPr="005E1DF4">
        <w:t xml:space="preserve">, R. (2026). Artificial intelligence and robotics in predictive maintenance: A comprehensive review. </w:t>
      </w:r>
      <w:r w:rsidRPr="005E1DF4">
        <w:rPr>
          <w:i/>
          <w:iCs/>
        </w:rPr>
        <w:t>Frontiers in Mechanical Engineering</w:t>
      </w:r>
      <w:r w:rsidRPr="005E1DF4">
        <w:t>.</w:t>
      </w:r>
    </w:p>
    <w:p w14:paraId="36FA74E1" w14:textId="77777777" w:rsidR="008E4243" w:rsidRPr="005E1DF4" w:rsidRDefault="00000000" w:rsidP="008348CF">
      <w:pPr>
        <w:spacing w:before="80" w:after="80"/>
        <w:ind w:left="480" w:hanging="480"/>
        <w:jc w:val="both"/>
      </w:pPr>
      <w:r w:rsidRPr="005E1DF4">
        <w:t xml:space="preserve">10. Bhatia, R. (2025). Next-generation digital finance: Architecting AI-driven financial systems on the SAP cloud ecosystem. </w:t>
      </w:r>
      <w:r w:rsidRPr="005E1DF4">
        <w:rPr>
          <w:i/>
          <w:iCs/>
        </w:rPr>
        <w:t>Lecture Notes in Networks and Systems</w:t>
      </w:r>
      <w:r w:rsidRPr="005E1DF4">
        <w:t xml:space="preserve">. </w:t>
      </w:r>
    </w:p>
    <w:p w14:paraId="416299C7" w14:textId="77777777" w:rsidR="008E4243" w:rsidRPr="005E1DF4" w:rsidRDefault="00000000" w:rsidP="008348CF">
      <w:pPr>
        <w:spacing w:before="80" w:after="80"/>
        <w:ind w:left="480" w:hanging="480"/>
        <w:jc w:val="both"/>
      </w:pPr>
      <w:r w:rsidRPr="005E1DF4">
        <w:t xml:space="preserve">11. Boison, D. K., Antwi-Boampong, A., Mahama, U. F. A., &amp; Doumbia, M. O. (2025). The role of AI in facilitating supplier collaboration and enhancing supply chain performance. </w:t>
      </w:r>
      <w:r w:rsidRPr="005E1DF4">
        <w:rPr>
          <w:i/>
          <w:iCs/>
        </w:rPr>
        <w:t>Perspectives on Global Development and Technology</w:t>
      </w:r>
      <w:r w:rsidRPr="005E1DF4">
        <w:t>.</w:t>
      </w:r>
    </w:p>
    <w:p w14:paraId="7EB2506A" w14:textId="77777777" w:rsidR="008E4243" w:rsidRPr="005E1DF4" w:rsidRDefault="00000000" w:rsidP="008348CF">
      <w:pPr>
        <w:spacing w:before="80" w:after="80"/>
        <w:ind w:left="480" w:hanging="480"/>
        <w:jc w:val="both"/>
      </w:pPr>
      <w:r w:rsidRPr="005E1DF4">
        <w:t xml:space="preserve">12. Buonanno, G., </w:t>
      </w:r>
      <w:proofErr w:type="spellStart"/>
      <w:r w:rsidRPr="005E1DF4">
        <w:t>Faverio</w:t>
      </w:r>
      <w:proofErr w:type="spellEnd"/>
      <w:r w:rsidRPr="005E1DF4">
        <w:t xml:space="preserve">, P., </w:t>
      </w:r>
      <w:proofErr w:type="spellStart"/>
      <w:r w:rsidRPr="005E1DF4">
        <w:t>Pigni</w:t>
      </w:r>
      <w:proofErr w:type="spellEnd"/>
      <w:r w:rsidRPr="005E1DF4">
        <w:t xml:space="preserve">, F., &amp; </w:t>
      </w:r>
      <w:proofErr w:type="spellStart"/>
      <w:r w:rsidRPr="005E1DF4">
        <w:t>Tagliavini</w:t>
      </w:r>
      <w:proofErr w:type="spellEnd"/>
      <w:r w:rsidRPr="005E1DF4">
        <w:t xml:space="preserve">, M. (2005). Factors affecting ERP system adoption: A comparative analysis between SMEs and large companies. </w:t>
      </w:r>
      <w:r w:rsidRPr="005E1DF4">
        <w:rPr>
          <w:i/>
          <w:iCs/>
        </w:rPr>
        <w:t>Journal of Enterprise Information Management</w:t>
      </w:r>
      <w:r w:rsidRPr="005E1DF4">
        <w:t xml:space="preserve">. </w:t>
      </w:r>
    </w:p>
    <w:p w14:paraId="19C3ECA5" w14:textId="77777777" w:rsidR="008E4243" w:rsidRPr="005E1DF4" w:rsidRDefault="00000000" w:rsidP="008348CF">
      <w:pPr>
        <w:spacing w:before="80" w:after="80"/>
        <w:ind w:left="480" w:hanging="480"/>
        <w:jc w:val="both"/>
      </w:pPr>
      <w:r w:rsidRPr="005E1DF4">
        <w:t xml:space="preserve">13. </w:t>
      </w:r>
      <w:proofErr w:type="spellStart"/>
      <w:r w:rsidRPr="005E1DF4">
        <w:t>Cepureanu</w:t>
      </w:r>
      <w:proofErr w:type="spellEnd"/>
      <w:r w:rsidRPr="005E1DF4">
        <w:t xml:space="preserve">, E., &amp; </w:t>
      </w:r>
      <w:proofErr w:type="spellStart"/>
      <w:r w:rsidRPr="005E1DF4">
        <w:t>Cepureanu</w:t>
      </w:r>
      <w:proofErr w:type="spellEnd"/>
      <w:r w:rsidRPr="005E1DF4">
        <w:t xml:space="preserve">, S. (2015). Change management survey on innovative ITC Romanian SMEs. </w:t>
      </w:r>
      <w:r w:rsidRPr="005E1DF4">
        <w:rPr>
          <w:i/>
          <w:iCs/>
        </w:rPr>
        <w:t>Quality – Access to Success</w:t>
      </w:r>
      <w:r w:rsidRPr="005E1DF4">
        <w:t>.</w:t>
      </w:r>
    </w:p>
    <w:p w14:paraId="0C5A2C6B" w14:textId="77777777" w:rsidR="008E4243" w:rsidRPr="005E1DF4" w:rsidRDefault="00000000" w:rsidP="008348CF">
      <w:pPr>
        <w:spacing w:before="80" w:after="80"/>
        <w:ind w:left="480" w:hanging="480"/>
        <w:jc w:val="both"/>
      </w:pPr>
      <w:r w:rsidRPr="005E1DF4">
        <w:t xml:space="preserve">14. Christiansen, V., Haddara, M., &amp; Langseth, M. (2021). Factors affecting cloud ERP adoption decisions in organizations. </w:t>
      </w:r>
      <w:r w:rsidRPr="005E1DF4">
        <w:rPr>
          <w:i/>
          <w:iCs/>
        </w:rPr>
        <w:t>Procedia Computer Science</w:t>
      </w:r>
      <w:r w:rsidRPr="005E1DF4">
        <w:t>.</w:t>
      </w:r>
    </w:p>
    <w:p w14:paraId="7A66BA5E" w14:textId="77777777" w:rsidR="008E4243" w:rsidRPr="005E1DF4" w:rsidRDefault="00000000" w:rsidP="008348CF">
      <w:pPr>
        <w:spacing w:before="80" w:after="80"/>
        <w:ind w:left="480" w:hanging="480"/>
        <w:jc w:val="both"/>
      </w:pPr>
      <w:r w:rsidRPr="005E1DF4">
        <w:t xml:space="preserve">15. Cronin, M. A., &amp; George, E. (2023). The why and how of the integrative review. </w:t>
      </w:r>
      <w:r w:rsidRPr="005E1DF4">
        <w:rPr>
          <w:i/>
          <w:iCs/>
        </w:rPr>
        <w:t>Organizational Research Methods</w:t>
      </w:r>
      <w:r w:rsidRPr="005E1DF4">
        <w:t xml:space="preserve">, 26(1), 168–192. </w:t>
      </w:r>
    </w:p>
    <w:p w14:paraId="52089C83" w14:textId="77777777" w:rsidR="008E4243" w:rsidRPr="005E1DF4" w:rsidRDefault="00000000" w:rsidP="008348CF">
      <w:pPr>
        <w:spacing w:before="80" w:after="80"/>
        <w:ind w:left="480" w:hanging="480"/>
        <w:jc w:val="both"/>
      </w:pPr>
      <w:r w:rsidRPr="005E1DF4">
        <w:t xml:space="preserve">16. De Castro Fialho, F., &amp; </w:t>
      </w:r>
      <w:proofErr w:type="spellStart"/>
      <w:r w:rsidRPr="005E1DF4">
        <w:t>Banothu</w:t>
      </w:r>
      <w:proofErr w:type="spellEnd"/>
      <w:r w:rsidRPr="005E1DF4">
        <w:t xml:space="preserve">, G. R. (2025). From Report Painter to SAP Business Data Cloud: A technical evolution of SAP analytics solutions review. </w:t>
      </w:r>
      <w:r w:rsidRPr="005E1DF4">
        <w:rPr>
          <w:i/>
          <w:iCs/>
        </w:rPr>
        <w:t>1st IEEE International Conference on Data Science and Intelligent Network Computing (ICDSINC 2025)</w:t>
      </w:r>
    </w:p>
    <w:p w14:paraId="2F692AE0" w14:textId="77777777" w:rsidR="008E4243" w:rsidRPr="005E1DF4" w:rsidRDefault="00000000" w:rsidP="008348CF">
      <w:pPr>
        <w:spacing w:before="80" w:after="80"/>
        <w:ind w:left="480" w:hanging="480"/>
        <w:jc w:val="both"/>
      </w:pPr>
      <w:r w:rsidRPr="005E1DF4">
        <w:t xml:space="preserve">17. </w:t>
      </w:r>
      <w:proofErr w:type="spellStart"/>
      <w:r w:rsidRPr="005E1DF4">
        <w:t>Dziembek</w:t>
      </w:r>
      <w:proofErr w:type="spellEnd"/>
      <w:r w:rsidRPr="005E1DF4">
        <w:t xml:space="preserve">, D., &amp; Turek, T. (2025). A model for integrating artificial intelligence with ERP systems: Towards autonomous business management systems. </w:t>
      </w:r>
      <w:r w:rsidRPr="005E1DF4">
        <w:rPr>
          <w:i/>
          <w:iCs/>
        </w:rPr>
        <w:t>Procedia Computer Science</w:t>
      </w:r>
      <w:r w:rsidRPr="005E1DF4">
        <w:t>.</w:t>
      </w:r>
    </w:p>
    <w:p w14:paraId="709EB2AE" w14:textId="77777777" w:rsidR="008E4243" w:rsidRPr="005E1DF4" w:rsidRDefault="00000000" w:rsidP="008348CF">
      <w:pPr>
        <w:spacing w:before="80" w:after="80"/>
        <w:ind w:left="480" w:hanging="480"/>
        <w:jc w:val="both"/>
      </w:pPr>
      <w:r w:rsidRPr="005E1DF4">
        <w:t xml:space="preserve">18. </w:t>
      </w:r>
      <w:proofErr w:type="spellStart"/>
      <w:r w:rsidRPr="005E1DF4">
        <w:t>Elbadri</w:t>
      </w:r>
      <w:proofErr w:type="spellEnd"/>
      <w:r w:rsidRPr="005E1DF4">
        <w:t xml:space="preserve">, M., Altaher, A., &amp; </w:t>
      </w:r>
      <w:proofErr w:type="spellStart"/>
      <w:r w:rsidRPr="005E1DF4">
        <w:t>Alkawan</w:t>
      </w:r>
      <w:proofErr w:type="spellEnd"/>
      <w:r w:rsidRPr="005E1DF4">
        <w:t xml:space="preserve">, S. (2024). Data quality considerations for ERP implementation: Techniques for effective data management. </w:t>
      </w:r>
      <w:r w:rsidRPr="005E1DF4">
        <w:rPr>
          <w:i/>
          <w:iCs/>
        </w:rPr>
        <w:t>Communications in Computer and Information Science</w:t>
      </w:r>
      <w:r w:rsidRPr="005E1DF4">
        <w:t>.</w:t>
      </w:r>
    </w:p>
    <w:p w14:paraId="1339BF37" w14:textId="77777777" w:rsidR="008E4243" w:rsidRPr="005E1DF4" w:rsidRDefault="00000000" w:rsidP="008348CF">
      <w:pPr>
        <w:spacing w:before="80" w:after="80"/>
        <w:ind w:left="480" w:hanging="480"/>
        <w:jc w:val="both"/>
      </w:pPr>
      <w:r w:rsidRPr="005E1DF4">
        <w:lastRenderedPageBreak/>
        <w:t xml:space="preserve">19. Falagas, M. E., </w:t>
      </w:r>
      <w:proofErr w:type="spellStart"/>
      <w:r w:rsidRPr="005E1DF4">
        <w:t>Pitsouni</w:t>
      </w:r>
      <w:proofErr w:type="spellEnd"/>
      <w:r w:rsidRPr="005E1DF4">
        <w:t xml:space="preserve">, E. I., </w:t>
      </w:r>
      <w:proofErr w:type="spellStart"/>
      <w:r w:rsidRPr="005E1DF4">
        <w:t>Malietzis</w:t>
      </w:r>
      <w:proofErr w:type="spellEnd"/>
      <w:r w:rsidRPr="005E1DF4">
        <w:t xml:space="preserve">, G. A., &amp; Pappas, G. (2008). Comparison of PubMed, Scopus, Web of Science, and Google Scholar: Strengths and weaknesses. </w:t>
      </w:r>
      <w:r w:rsidRPr="005E1DF4">
        <w:rPr>
          <w:i/>
          <w:iCs/>
        </w:rPr>
        <w:t>FASEB Journal</w:t>
      </w:r>
      <w:r w:rsidRPr="005E1DF4">
        <w:t xml:space="preserve">, 22(2), 338–342. </w:t>
      </w:r>
    </w:p>
    <w:p w14:paraId="29695A27" w14:textId="77777777" w:rsidR="008E4243" w:rsidRPr="005E1DF4" w:rsidRDefault="00000000" w:rsidP="008348CF">
      <w:pPr>
        <w:spacing w:before="80" w:after="80"/>
        <w:ind w:left="480" w:hanging="480"/>
        <w:jc w:val="both"/>
      </w:pPr>
      <w:r w:rsidRPr="005E1DF4">
        <w:t xml:space="preserve">20. Fang, Z. (2025). Microservice-driven modular low-code platform for accelerating SME digital transformation. </w:t>
      </w:r>
      <w:r w:rsidRPr="005E1DF4">
        <w:rPr>
          <w:i/>
          <w:iCs/>
        </w:rPr>
        <w:t>Proceedings of the 2025 International Conference on Economic Management and Big Data Application (ICEMBDA 2025)</w:t>
      </w:r>
    </w:p>
    <w:p w14:paraId="49B45459" w14:textId="77777777" w:rsidR="008E4243" w:rsidRPr="005E1DF4" w:rsidRDefault="00000000" w:rsidP="008348CF">
      <w:pPr>
        <w:spacing w:before="80" w:after="80"/>
        <w:ind w:left="480" w:hanging="480"/>
        <w:jc w:val="both"/>
      </w:pPr>
      <w:r w:rsidRPr="005E1DF4">
        <w:t xml:space="preserve">21. </w:t>
      </w:r>
      <w:proofErr w:type="spellStart"/>
      <w:r w:rsidRPr="005E1DF4">
        <w:t>Ghildiyal</w:t>
      </w:r>
      <w:proofErr w:type="spellEnd"/>
      <w:r w:rsidRPr="005E1DF4">
        <w:t xml:space="preserve">, V., Danu, A., Verma, V., &amp; Bhat, A. (2025). Explainable AI. </w:t>
      </w:r>
      <w:r w:rsidRPr="005E1DF4">
        <w:rPr>
          <w:i/>
          <w:iCs/>
        </w:rPr>
        <w:t>AI for Product Development</w:t>
      </w:r>
      <w:r w:rsidRPr="005E1DF4">
        <w:t>.</w:t>
      </w:r>
    </w:p>
    <w:p w14:paraId="2614AD6E" w14:textId="77777777" w:rsidR="008E4243" w:rsidRPr="005E1DF4" w:rsidRDefault="00000000" w:rsidP="008348CF">
      <w:pPr>
        <w:spacing w:before="80" w:after="80"/>
        <w:ind w:left="480" w:hanging="480"/>
        <w:jc w:val="both"/>
      </w:pPr>
      <w:r w:rsidRPr="005E1DF4">
        <w:t xml:space="preserve">22. Godbole, M. V. (2023). Revolutionizing enterprise resource planning (ERP) systems through artificial intelligence. </w:t>
      </w:r>
      <w:r w:rsidRPr="005E1DF4">
        <w:rPr>
          <w:i/>
          <w:iCs/>
        </w:rPr>
        <w:t>International Numeric Journal of Machine Learning and Robots</w:t>
      </w:r>
      <w:r w:rsidRPr="005E1DF4">
        <w:t>, 7(7).</w:t>
      </w:r>
    </w:p>
    <w:p w14:paraId="024E194D" w14:textId="77777777" w:rsidR="008E4243" w:rsidRPr="005E1DF4" w:rsidRDefault="00000000" w:rsidP="008348CF">
      <w:pPr>
        <w:spacing w:before="80" w:after="80"/>
        <w:ind w:left="480" w:hanging="480"/>
        <w:jc w:val="both"/>
      </w:pPr>
      <w:r w:rsidRPr="005E1DF4">
        <w:t xml:space="preserve">23. Govinda, S. B. C., Garg, M., Subramani, P., Kurbonov, M., &amp; Ugli, M. I. R. (2025). AI-driven ERP modernization in cloud-native systems. </w:t>
      </w:r>
      <w:r w:rsidRPr="005E1DF4">
        <w:rPr>
          <w:i/>
          <w:iCs/>
        </w:rPr>
        <w:t>2025 International Conference on Sustainability, Innovation and Technology (ICSIT 2025)</w:t>
      </w:r>
    </w:p>
    <w:p w14:paraId="092D4544" w14:textId="77777777" w:rsidR="008E4243" w:rsidRPr="005E1DF4" w:rsidRDefault="00000000" w:rsidP="008348CF">
      <w:pPr>
        <w:spacing w:before="80" w:after="80"/>
        <w:ind w:left="480" w:hanging="480"/>
        <w:jc w:val="both"/>
      </w:pPr>
      <w:r w:rsidRPr="005E1DF4">
        <w:t xml:space="preserve">24. Jain, N., Bagga, T., &amp; Tripathi, A. (2022). I-ERP intelligent system modelling and interfacing: Excel with SAP HANA. </w:t>
      </w:r>
      <w:r w:rsidRPr="005E1DF4">
        <w:rPr>
          <w:i/>
          <w:iCs/>
        </w:rPr>
        <w:t>3rd IEEE International Conference on Computing, Communication, and Intelligent Systems (ICCCIS 2022)</w:t>
      </w:r>
      <w:r w:rsidRPr="005E1DF4">
        <w:t>.</w:t>
      </w:r>
    </w:p>
    <w:p w14:paraId="28C6EE37" w14:textId="77777777" w:rsidR="008E4243" w:rsidRPr="005E1DF4" w:rsidRDefault="00000000" w:rsidP="008348CF">
      <w:pPr>
        <w:spacing w:before="80" w:after="80"/>
        <w:ind w:left="480" w:hanging="480"/>
        <w:jc w:val="both"/>
      </w:pPr>
      <w:r w:rsidRPr="005E1DF4">
        <w:t xml:space="preserve">25. Jawad, Z. N., &amp; Balázs, V. (2024). Machine learning-driven optimization of enterprise resource planning (ERP) systems: A comprehensive review. </w:t>
      </w:r>
      <w:r w:rsidRPr="005E1DF4">
        <w:rPr>
          <w:i/>
          <w:iCs/>
        </w:rPr>
        <w:t>Beni-Suef University Journal of Basic and Applied Sciences</w:t>
      </w:r>
      <w:r w:rsidRPr="005E1DF4">
        <w:t>.</w:t>
      </w:r>
    </w:p>
    <w:p w14:paraId="72AD7A67" w14:textId="77777777" w:rsidR="008E4243" w:rsidRPr="005E1DF4" w:rsidRDefault="00000000" w:rsidP="008348CF">
      <w:pPr>
        <w:spacing w:before="80" w:after="80"/>
        <w:ind w:left="480" w:hanging="480"/>
        <w:jc w:val="both"/>
      </w:pPr>
      <w:r w:rsidRPr="005E1DF4">
        <w:t xml:space="preserve">26. Jiang, Y. (2024). Navigating the digital evolution: Industry 4.0 technologies and their roles in reconfiguring dynamic resource management networks. </w:t>
      </w:r>
      <w:r w:rsidRPr="005E1DF4">
        <w:rPr>
          <w:i/>
          <w:iCs/>
        </w:rPr>
        <w:t>International Journal of Industrial Engineering: Theory, Applications and Practice</w:t>
      </w:r>
    </w:p>
    <w:p w14:paraId="043DA87C" w14:textId="77777777" w:rsidR="008E4243" w:rsidRPr="005E1DF4" w:rsidRDefault="00000000" w:rsidP="008348CF">
      <w:pPr>
        <w:spacing w:before="80" w:after="80"/>
        <w:ind w:left="480" w:hanging="480"/>
        <w:jc w:val="both"/>
      </w:pPr>
      <w:r w:rsidRPr="005E1DF4">
        <w:t xml:space="preserve">27. </w:t>
      </w:r>
      <w:proofErr w:type="spellStart"/>
      <w:r w:rsidRPr="005E1DF4">
        <w:t>Julakanti</w:t>
      </w:r>
      <w:proofErr w:type="spellEnd"/>
      <w:r w:rsidRPr="005E1DF4">
        <w:t xml:space="preserve">, R., Jonnalagadda, R. R., Reddy, K. K., </w:t>
      </w:r>
      <w:proofErr w:type="spellStart"/>
      <w:r w:rsidRPr="005E1DF4">
        <w:t>Gunupati</w:t>
      </w:r>
      <w:proofErr w:type="spellEnd"/>
      <w:r w:rsidRPr="005E1DF4">
        <w:t xml:space="preserve">, K., Kumar, M., &amp; Reddy, P. R. R. (2025). Revolutionizing SAP ERP with AI: Leveraging machine learning and deep learning for real-time decision making. </w:t>
      </w:r>
      <w:r w:rsidRPr="005E1DF4">
        <w:rPr>
          <w:i/>
          <w:iCs/>
        </w:rPr>
        <w:t>2025 International Conference on Computing and Communications (COMPUTINGCON 2025)</w:t>
      </w:r>
      <w:r w:rsidRPr="005E1DF4">
        <w:t>.</w:t>
      </w:r>
    </w:p>
    <w:p w14:paraId="4C755DDC" w14:textId="77777777" w:rsidR="008E4243" w:rsidRPr="005E1DF4" w:rsidRDefault="00000000" w:rsidP="008348CF">
      <w:pPr>
        <w:spacing w:before="80" w:after="80"/>
        <w:ind w:left="480" w:hanging="480"/>
        <w:jc w:val="both"/>
      </w:pPr>
      <w:r w:rsidRPr="005E1DF4">
        <w:t xml:space="preserve">28. Kar, S., Kar, A. K., &amp; Gupta, M. P. (2021). Talent scarcity, skill distance and reskilling resistance in emerging digital technologies: Understanding employee behavior. </w:t>
      </w:r>
      <w:r w:rsidRPr="005E1DF4">
        <w:rPr>
          <w:i/>
          <w:iCs/>
        </w:rPr>
        <w:t>International Conference on Information Systems (ICIS 2020)</w:t>
      </w:r>
      <w:r w:rsidRPr="005E1DF4">
        <w:t>.</w:t>
      </w:r>
    </w:p>
    <w:p w14:paraId="4D9E9F55" w14:textId="77777777" w:rsidR="008E4243" w:rsidRPr="005E1DF4" w:rsidRDefault="00000000" w:rsidP="008348CF">
      <w:pPr>
        <w:spacing w:before="80" w:after="80"/>
        <w:ind w:left="480" w:hanging="480"/>
        <w:jc w:val="both"/>
      </w:pPr>
      <w:r w:rsidRPr="005E1DF4">
        <w:t xml:space="preserve">29. Karthikeyan, K., Banupriya, J., Shivakumar, S., &amp; Dhanasekar, E. (2024). Leveraging retail business outcomes: The influence of artificial intelligence in ERP systems on end users. </w:t>
      </w:r>
      <w:r w:rsidRPr="005E1DF4">
        <w:rPr>
          <w:i/>
          <w:iCs/>
        </w:rPr>
        <w:t>Contributions to Finance and Accounting</w:t>
      </w:r>
      <w:r w:rsidRPr="005E1DF4">
        <w:t>.</w:t>
      </w:r>
    </w:p>
    <w:p w14:paraId="5953549F" w14:textId="77777777" w:rsidR="008E4243" w:rsidRPr="005E1DF4" w:rsidRDefault="00000000" w:rsidP="008348CF">
      <w:pPr>
        <w:spacing w:before="80" w:after="80"/>
        <w:ind w:left="480" w:hanging="480"/>
        <w:jc w:val="both"/>
      </w:pPr>
      <w:r w:rsidRPr="005E1DF4">
        <w:t xml:space="preserve">30. Khurram, S., Hussain, D., Ahmed, B., &amp; Khan, S. (2025). Revolutionizing strategic decision-making: The transformative impact of AI-enhanced ERP systems. </w:t>
      </w:r>
      <w:r w:rsidRPr="005E1DF4">
        <w:rPr>
          <w:i/>
          <w:iCs/>
        </w:rPr>
        <w:t>5th International Conference on Digital Futures and Transformative Technologies (ICoDT2 2025)</w:t>
      </w:r>
      <w:r w:rsidRPr="005E1DF4">
        <w:t>.</w:t>
      </w:r>
    </w:p>
    <w:p w14:paraId="6CE2424F" w14:textId="77777777" w:rsidR="008E4243" w:rsidRPr="005E1DF4" w:rsidRDefault="00000000" w:rsidP="008348CF">
      <w:pPr>
        <w:spacing w:before="80" w:after="80"/>
        <w:ind w:left="480" w:hanging="480"/>
        <w:jc w:val="both"/>
      </w:pPr>
      <w:r w:rsidRPr="005E1DF4">
        <w:t xml:space="preserve">31. </w:t>
      </w:r>
      <w:proofErr w:type="spellStart"/>
      <w:r w:rsidRPr="005E1DF4">
        <w:t>Koundal</w:t>
      </w:r>
      <w:proofErr w:type="spellEnd"/>
      <w:r w:rsidRPr="005E1DF4">
        <w:t xml:space="preserve">, P., Bhalla, M., &amp; Bandna. (2024). The role of AIS in enhancing small business agility and sustainability in Industry 5.0. </w:t>
      </w:r>
      <w:r w:rsidRPr="005E1DF4">
        <w:rPr>
          <w:i/>
          <w:iCs/>
        </w:rPr>
        <w:t>The Future of Small Business in Industry 5.0</w:t>
      </w:r>
      <w:r w:rsidRPr="005E1DF4">
        <w:t>.</w:t>
      </w:r>
    </w:p>
    <w:p w14:paraId="3F16B5C7" w14:textId="77777777" w:rsidR="008E4243" w:rsidRPr="005E1DF4" w:rsidRDefault="00000000" w:rsidP="008348CF">
      <w:pPr>
        <w:spacing w:before="80" w:after="80"/>
        <w:ind w:left="480" w:hanging="480"/>
        <w:jc w:val="both"/>
      </w:pPr>
      <w:r w:rsidRPr="005E1DF4">
        <w:t xml:space="preserve">32. Kumar, K., &amp; Jaya, J. (2026). Board-level governance and risk oversight framework for artificial intelligence systems. </w:t>
      </w:r>
      <w:r w:rsidRPr="005E1DF4">
        <w:rPr>
          <w:i/>
          <w:iCs/>
        </w:rPr>
        <w:t>EDPACS</w:t>
      </w:r>
      <w:r w:rsidRPr="005E1DF4">
        <w:t>.</w:t>
      </w:r>
    </w:p>
    <w:p w14:paraId="65486E7B" w14:textId="77777777" w:rsidR="008E4243" w:rsidRPr="005E1DF4" w:rsidRDefault="00000000" w:rsidP="008348CF">
      <w:pPr>
        <w:spacing w:before="80" w:after="80"/>
        <w:ind w:left="480" w:hanging="480"/>
        <w:jc w:val="both"/>
      </w:pPr>
      <w:r w:rsidRPr="005E1DF4">
        <w:t xml:space="preserve">33. </w:t>
      </w:r>
      <w:proofErr w:type="spellStart"/>
      <w:r w:rsidRPr="005E1DF4">
        <w:t>Lawendatu</w:t>
      </w:r>
      <w:proofErr w:type="spellEnd"/>
      <w:r w:rsidRPr="005E1DF4">
        <w:t xml:space="preserve">, A. S., Hidayat, F., </w:t>
      </w:r>
      <w:proofErr w:type="spellStart"/>
      <w:r w:rsidRPr="005E1DF4">
        <w:t>Radhia</w:t>
      </w:r>
      <w:proofErr w:type="spellEnd"/>
      <w:r w:rsidRPr="005E1DF4">
        <w:t xml:space="preserve">, F., &amp; Hartono, S. (2026). Adopting artificial intelligence in ERP systems as an innovation to support business growth: A systematic literature review. </w:t>
      </w:r>
      <w:r w:rsidRPr="005E1DF4">
        <w:rPr>
          <w:i/>
          <w:iCs/>
        </w:rPr>
        <w:t>Journal of Computer Science</w:t>
      </w:r>
      <w:r w:rsidRPr="005E1DF4">
        <w:t>.</w:t>
      </w:r>
    </w:p>
    <w:p w14:paraId="26C340B3" w14:textId="77777777" w:rsidR="008E4243" w:rsidRPr="005E1DF4" w:rsidRDefault="00000000" w:rsidP="008348CF">
      <w:pPr>
        <w:spacing w:before="80" w:after="80"/>
        <w:ind w:left="480" w:hanging="480"/>
        <w:jc w:val="both"/>
      </w:pPr>
      <w:r w:rsidRPr="005E1DF4">
        <w:t xml:space="preserve">34. Lee, C., Kim, H. F., &amp; Lee, B. G. (2024). A systematic literature review on the strategic shift to cloud ERP: Leveraging microservice architecture and MSPs for resilience and agility. </w:t>
      </w:r>
      <w:r w:rsidRPr="005E1DF4">
        <w:rPr>
          <w:i/>
          <w:iCs/>
        </w:rPr>
        <w:t>Electronics (Switzerland)</w:t>
      </w:r>
      <w:r w:rsidRPr="005E1DF4">
        <w:t>.</w:t>
      </w:r>
    </w:p>
    <w:p w14:paraId="2B95C89A" w14:textId="77777777" w:rsidR="008E4243" w:rsidRPr="005E1DF4" w:rsidRDefault="00000000" w:rsidP="008348CF">
      <w:pPr>
        <w:spacing w:before="80" w:after="80"/>
        <w:ind w:left="480" w:hanging="480"/>
        <w:jc w:val="both"/>
      </w:pPr>
      <w:r w:rsidRPr="005E1DF4">
        <w:t xml:space="preserve">35. Leon, M. (2026). Framework for </w:t>
      </w:r>
      <w:proofErr w:type="gramStart"/>
      <w:r w:rsidRPr="005E1DF4">
        <w:t>the ethical</w:t>
      </w:r>
      <w:proofErr w:type="gramEnd"/>
      <w:r w:rsidRPr="005E1DF4">
        <w:t xml:space="preserve"> and societally conscious AI deployment. </w:t>
      </w:r>
      <w:r w:rsidRPr="005E1DF4">
        <w:rPr>
          <w:i/>
          <w:iCs/>
        </w:rPr>
        <w:t>WSEAS Transactions on Information Science and Applications</w:t>
      </w:r>
      <w:r w:rsidRPr="005E1DF4">
        <w:t>.</w:t>
      </w:r>
    </w:p>
    <w:p w14:paraId="2C3D90EA" w14:textId="77777777" w:rsidR="008E4243" w:rsidRPr="005E1DF4" w:rsidRDefault="00000000" w:rsidP="008348CF">
      <w:pPr>
        <w:spacing w:before="80" w:after="80"/>
        <w:ind w:left="480" w:hanging="480"/>
        <w:jc w:val="both"/>
      </w:pPr>
      <w:r w:rsidRPr="005E1DF4">
        <w:t xml:space="preserve">36. Lin, S.-C., &amp; Chen, C.-Y. (2026). An integrated framework featuring policy-governed agentic AI for closed-loop manufacturing control with multi-source sensor–MES–ERP. </w:t>
      </w:r>
      <w:r w:rsidRPr="005E1DF4">
        <w:rPr>
          <w:i/>
          <w:iCs/>
        </w:rPr>
        <w:t>International Journal of Advanced Manufacturing Technology</w:t>
      </w:r>
    </w:p>
    <w:p w14:paraId="50ED3A19" w14:textId="77777777" w:rsidR="008E4243" w:rsidRPr="005E1DF4" w:rsidRDefault="00000000" w:rsidP="008348CF">
      <w:pPr>
        <w:spacing w:before="80" w:after="80"/>
        <w:ind w:left="480" w:hanging="480"/>
        <w:jc w:val="both"/>
      </w:pPr>
      <w:r w:rsidRPr="005E1DF4">
        <w:t xml:space="preserve">37. Liu, Z., Zhao, N., Kim, S. H., &amp; </w:t>
      </w:r>
      <w:proofErr w:type="spellStart"/>
      <w:r w:rsidRPr="005E1DF4">
        <w:t>Rasasane</w:t>
      </w:r>
      <w:proofErr w:type="spellEnd"/>
      <w:r w:rsidRPr="005E1DF4">
        <w:t xml:space="preserve">, N. (2025). Integrative framework to enhance supply chain resilience through advanced forecasting, anomaly detection and optimized resource allocation. </w:t>
      </w:r>
      <w:r w:rsidRPr="005E1DF4">
        <w:rPr>
          <w:i/>
          <w:iCs/>
        </w:rPr>
        <w:t>Proceedings of the 10th International Conference on Cyber Security and Information Engineering (ICCSIE 2025)</w:t>
      </w:r>
      <w:r w:rsidRPr="005E1DF4">
        <w:t>.</w:t>
      </w:r>
    </w:p>
    <w:p w14:paraId="37DAA9CC" w14:textId="77777777" w:rsidR="008E4243" w:rsidRPr="005E1DF4" w:rsidRDefault="00000000" w:rsidP="008348CF">
      <w:pPr>
        <w:spacing w:before="80" w:after="80"/>
        <w:ind w:left="480" w:hanging="480"/>
        <w:jc w:val="both"/>
      </w:pPr>
      <w:r w:rsidRPr="005E1DF4">
        <w:lastRenderedPageBreak/>
        <w:t xml:space="preserve">38. Mahmood, F., Khan, A. Z., &amp; Bokhari, R. H. (2020). ERP issues and challenges: A research synthesis. </w:t>
      </w:r>
      <w:proofErr w:type="spellStart"/>
      <w:r w:rsidRPr="005E1DF4">
        <w:rPr>
          <w:i/>
          <w:iCs/>
        </w:rPr>
        <w:t>Kybernetes</w:t>
      </w:r>
      <w:proofErr w:type="spellEnd"/>
      <w:r w:rsidRPr="005E1DF4">
        <w:t>.</w:t>
      </w:r>
    </w:p>
    <w:p w14:paraId="5AB0D358" w14:textId="77777777" w:rsidR="008E4243" w:rsidRPr="005E1DF4" w:rsidRDefault="00000000" w:rsidP="008348CF">
      <w:pPr>
        <w:spacing w:before="80" w:after="80"/>
        <w:ind w:left="480" w:hanging="480"/>
        <w:jc w:val="both"/>
      </w:pPr>
      <w:r w:rsidRPr="005E1DF4">
        <w:t xml:space="preserve">39. Mamone, H. (2025). AI integration in ERP systems: Optimizing knowledge management and business process re-engineering for strategic outcomes. </w:t>
      </w:r>
      <w:r w:rsidRPr="005E1DF4">
        <w:rPr>
          <w:i/>
          <w:iCs/>
        </w:rPr>
        <w:t>Lecture Notes in Computer Science</w:t>
      </w:r>
      <w:r w:rsidRPr="005E1DF4">
        <w:t>.</w:t>
      </w:r>
    </w:p>
    <w:p w14:paraId="4CA8C7CF" w14:textId="77777777" w:rsidR="008E4243" w:rsidRPr="005E1DF4" w:rsidRDefault="00000000" w:rsidP="008348CF">
      <w:pPr>
        <w:spacing w:before="80" w:after="80"/>
        <w:ind w:left="480" w:hanging="480"/>
        <w:jc w:val="both"/>
      </w:pPr>
      <w:r w:rsidRPr="005E1DF4">
        <w:t xml:space="preserve">40. Masuda, Y., Taylor, J., Jain, R., </w:t>
      </w:r>
      <w:proofErr w:type="spellStart"/>
      <w:r w:rsidRPr="005E1DF4">
        <w:t>Shirasaka</w:t>
      </w:r>
      <w:proofErr w:type="spellEnd"/>
      <w:r w:rsidRPr="005E1DF4">
        <w:t xml:space="preserve">, S., Zimmermann, A., &amp; Toma, T. (2026). Vision of applying AIDAF for SAP Business AI program in manufacturing industry. </w:t>
      </w:r>
      <w:r w:rsidRPr="005E1DF4">
        <w:rPr>
          <w:i/>
          <w:iCs/>
        </w:rPr>
        <w:t>Smart Innovation, Systems and Technologies</w:t>
      </w:r>
    </w:p>
    <w:p w14:paraId="02063F2C" w14:textId="77777777" w:rsidR="008E4243" w:rsidRPr="005E1DF4" w:rsidRDefault="00000000" w:rsidP="008348CF">
      <w:pPr>
        <w:spacing w:before="80" w:after="80"/>
        <w:ind w:left="480" w:hanging="480"/>
        <w:jc w:val="both"/>
      </w:pPr>
      <w:r w:rsidRPr="005E1DF4">
        <w:t xml:space="preserve">41. Mishra, S., &amp; Tripathi, A. R. (2021). AI business model: An integrative business approach. </w:t>
      </w:r>
      <w:r w:rsidRPr="005E1DF4">
        <w:rPr>
          <w:i/>
          <w:iCs/>
        </w:rPr>
        <w:t>Journal of Innovation and Entrepreneurship</w:t>
      </w:r>
    </w:p>
    <w:p w14:paraId="44B22ED6" w14:textId="77777777" w:rsidR="008E4243" w:rsidRPr="005E1DF4" w:rsidRDefault="00000000" w:rsidP="008348CF">
      <w:pPr>
        <w:spacing w:before="80" w:after="80"/>
        <w:ind w:left="480" w:hanging="480"/>
        <w:jc w:val="both"/>
      </w:pPr>
      <w:r w:rsidRPr="005E1DF4">
        <w:t xml:space="preserve">42. Modgil, S., Singh, R. K., &amp; Hannibal, C. (2022). Artificial intelligence for supply chain resilience: Learning from Covid-19. </w:t>
      </w:r>
      <w:r w:rsidRPr="005E1DF4">
        <w:rPr>
          <w:i/>
          <w:iCs/>
        </w:rPr>
        <w:t>International Journal of Logistics Management</w:t>
      </w:r>
      <w:r w:rsidRPr="005E1DF4">
        <w:t>.</w:t>
      </w:r>
    </w:p>
    <w:p w14:paraId="02BB95E6" w14:textId="77777777" w:rsidR="008E4243" w:rsidRPr="005E1DF4" w:rsidRDefault="00000000" w:rsidP="008348CF">
      <w:pPr>
        <w:spacing w:before="80" w:after="80"/>
        <w:ind w:left="480" w:hanging="480"/>
        <w:jc w:val="both"/>
      </w:pPr>
      <w:r w:rsidRPr="005E1DF4">
        <w:t xml:space="preserve">43. Mongeon, P., &amp; Paul-Hus, A. (2016). The journal coverage of Web of Science and Scopus: A comparative analysis. </w:t>
      </w:r>
      <w:proofErr w:type="spellStart"/>
      <w:r w:rsidRPr="005E1DF4">
        <w:rPr>
          <w:i/>
          <w:iCs/>
        </w:rPr>
        <w:t>Scientometrics</w:t>
      </w:r>
      <w:proofErr w:type="spellEnd"/>
      <w:r w:rsidRPr="005E1DF4">
        <w:t>, 106(1), 213–228</w:t>
      </w:r>
    </w:p>
    <w:p w14:paraId="71724DFA" w14:textId="77777777" w:rsidR="008E4243" w:rsidRPr="005E1DF4" w:rsidRDefault="00000000" w:rsidP="008348CF">
      <w:pPr>
        <w:spacing w:before="80" w:after="80"/>
        <w:ind w:left="480" w:hanging="480"/>
        <w:jc w:val="both"/>
      </w:pPr>
      <w:r w:rsidRPr="005E1DF4">
        <w:t xml:space="preserve">44. More, S., &amp; </w:t>
      </w:r>
      <w:proofErr w:type="spellStart"/>
      <w:r w:rsidRPr="005E1DF4">
        <w:t>Mucherla</w:t>
      </w:r>
      <w:proofErr w:type="spellEnd"/>
      <w:r w:rsidRPr="005E1DF4">
        <w:t xml:space="preserve">, S. K. (2025). Enhancing master data management within enterprise resource planning systems using artificial intelligence for optimized business processes. </w:t>
      </w:r>
      <w:r w:rsidRPr="005E1DF4">
        <w:rPr>
          <w:i/>
          <w:iCs/>
        </w:rPr>
        <w:t>Proceedings of the International Conference on Visual Analytics and Data Visualization (ICVADV 2025)</w:t>
      </w:r>
      <w:r w:rsidRPr="005E1DF4">
        <w:t>.</w:t>
      </w:r>
    </w:p>
    <w:p w14:paraId="49265D38" w14:textId="77777777" w:rsidR="008E4243" w:rsidRPr="005E1DF4" w:rsidRDefault="00000000" w:rsidP="008348CF">
      <w:pPr>
        <w:spacing w:before="80" w:after="80"/>
        <w:ind w:left="480" w:hanging="480"/>
        <w:jc w:val="both"/>
      </w:pPr>
      <w:r w:rsidRPr="005E1DF4">
        <w:t xml:space="preserve">45. </w:t>
      </w:r>
      <w:proofErr w:type="spellStart"/>
      <w:r w:rsidRPr="005E1DF4">
        <w:t>Nagmoti</w:t>
      </w:r>
      <w:proofErr w:type="spellEnd"/>
      <w:r w:rsidRPr="005E1DF4">
        <w:t xml:space="preserve">, N. S., Srivastava, I., &amp; Damle, M. (2025). AI-driven enhancements in cloud-native DevOps boosting automation, deployment, and monitoring. </w:t>
      </w:r>
      <w:r w:rsidRPr="005E1DF4">
        <w:rPr>
          <w:i/>
          <w:iCs/>
        </w:rPr>
        <w:t>Artificial Intelligence for Cloud-Native Software Engineering</w:t>
      </w:r>
      <w:r w:rsidRPr="005E1DF4">
        <w:t>.</w:t>
      </w:r>
    </w:p>
    <w:p w14:paraId="5FD2FF63" w14:textId="77777777" w:rsidR="008E4243" w:rsidRPr="005E1DF4" w:rsidRDefault="00000000" w:rsidP="008348CF">
      <w:pPr>
        <w:spacing w:before="80" w:after="80"/>
        <w:ind w:left="480" w:hanging="480"/>
        <w:jc w:val="both"/>
      </w:pPr>
      <w:r w:rsidRPr="005E1DF4">
        <w:t xml:space="preserve">46. Oliveira, J., &amp; Ribeiro, P. J. (2022). Technological developments and new hybrid roles in accounting and finance. In </w:t>
      </w:r>
      <w:r w:rsidRPr="005E1DF4">
        <w:rPr>
          <w:i/>
          <w:iCs/>
        </w:rPr>
        <w:t>The Routledge Handbook of Accounting Information Systems</w:t>
      </w:r>
      <w:r w:rsidRPr="005E1DF4">
        <w:t xml:space="preserve"> (2nd ed.). </w:t>
      </w:r>
    </w:p>
    <w:p w14:paraId="3C9C7532" w14:textId="77777777" w:rsidR="008E4243" w:rsidRPr="005E1DF4" w:rsidRDefault="00000000" w:rsidP="008348CF">
      <w:pPr>
        <w:spacing w:before="80" w:after="80"/>
        <w:ind w:left="480" w:hanging="480"/>
        <w:jc w:val="both"/>
      </w:pPr>
      <w:r w:rsidRPr="005E1DF4">
        <w:t xml:space="preserve">47. Olsen, O. A., Haaland, E., &amp; Hustad, E. (2022). Managing change in ERP implementation: Lessons learned from an SME context. </w:t>
      </w:r>
      <w:r w:rsidRPr="005E1DF4">
        <w:rPr>
          <w:i/>
          <w:iCs/>
        </w:rPr>
        <w:t>International Conference on Information Systems (ICIS 2022): Digitization for the Next Generation</w:t>
      </w:r>
      <w:r w:rsidRPr="005E1DF4">
        <w:t>.</w:t>
      </w:r>
    </w:p>
    <w:p w14:paraId="5948DF25" w14:textId="77777777" w:rsidR="008E4243" w:rsidRPr="005E1DF4" w:rsidRDefault="00000000" w:rsidP="008348CF">
      <w:pPr>
        <w:spacing w:before="80" w:after="80"/>
        <w:ind w:left="480" w:hanging="480"/>
        <w:jc w:val="both"/>
      </w:pPr>
      <w:r w:rsidRPr="005E1DF4">
        <w:t xml:space="preserve">48. </w:t>
      </w:r>
      <w:proofErr w:type="spellStart"/>
      <w:r w:rsidRPr="005E1DF4">
        <w:t>Panggabean</w:t>
      </w:r>
      <w:proofErr w:type="spellEnd"/>
      <w:r w:rsidRPr="005E1DF4">
        <w:t xml:space="preserve">, A. F. A., </w:t>
      </w:r>
      <w:proofErr w:type="spellStart"/>
      <w:r w:rsidRPr="005E1DF4">
        <w:t>Juwitasary</w:t>
      </w:r>
      <w:proofErr w:type="spellEnd"/>
      <w:r w:rsidRPr="005E1DF4">
        <w:t xml:space="preserve">, H., &amp; </w:t>
      </w:r>
      <w:proofErr w:type="spellStart"/>
      <w:r w:rsidRPr="005E1DF4">
        <w:t>Yudhatama</w:t>
      </w:r>
      <w:proofErr w:type="spellEnd"/>
      <w:r w:rsidRPr="005E1DF4">
        <w:t xml:space="preserve">, D. (2025). Exploring the role and practice of implementation of artificial intelligence (AI) in ERP systems: A bibliometric and systematic literature review. </w:t>
      </w:r>
      <w:r w:rsidRPr="005E1DF4">
        <w:rPr>
          <w:i/>
          <w:iCs/>
        </w:rPr>
        <w:t>2025 International Conference on ICT for Smart Society (ICISS 2025)</w:t>
      </w:r>
      <w:r w:rsidRPr="005E1DF4">
        <w:t>.</w:t>
      </w:r>
    </w:p>
    <w:p w14:paraId="5BA5826E" w14:textId="77777777" w:rsidR="008E4243" w:rsidRPr="005E1DF4" w:rsidRDefault="00000000" w:rsidP="008348CF">
      <w:pPr>
        <w:spacing w:before="80" w:after="80"/>
        <w:ind w:left="480" w:hanging="480"/>
        <w:jc w:val="both"/>
      </w:pPr>
      <w:r w:rsidRPr="005E1DF4">
        <w:t xml:space="preserve">49. Paré, G., Trudel, M. C., Jaana, M., &amp; </w:t>
      </w:r>
      <w:proofErr w:type="spellStart"/>
      <w:r w:rsidRPr="005E1DF4">
        <w:t>Kitsiou</w:t>
      </w:r>
      <w:proofErr w:type="spellEnd"/>
      <w:r w:rsidRPr="005E1DF4">
        <w:t xml:space="preserve">, S. (2015). Synthesizing information systems knowledge: A typology of literature reviews. </w:t>
      </w:r>
      <w:r w:rsidRPr="005E1DF4">
        <w:rPr>
          <w:i/>
          <w:iCs/>
        </w:rPr>
        <w:t>Information &amp; Management</w:t>
      </w:r>
      <w:r w:rsidRPr="005E1DF4">
        <w:t xml:space="preserve">, 52(2), 183–199. </w:t>
      </w:r>
    </w:p>
    <w:p w14:paraId="778996B1" w14:textId="77777777" w:rsidR="008E4243" w:rsidRPr="005E1DF4" w:rsidRDefault="00000000" w:rsidP="008348CF">
      <w:pPr>
        <w:spacing w:before="80" w:after="80"/>
        <w:ind w:left="480" w:hanging="480"/>
        <w:jc w:val="both"/>
      </w:pPr>
      <w:r w:rsidRPr="005E1DF4">
        <w:t xml:space="preserve">50. Qazi, A., &amp; Arshad, S. (2025). Implementation of enhanced security measures in Oracle ERP cloud with Zero Trust architecture (ZTA). </w:t>
      </w:r>
      <w:r w:rsidRPr="005E1DF4">
        <w:rPr>
          <w:i/>
          <w:iCs/>
        </w:rPr>
        <w:t>2025 International Conference on Communication Technologies (</w:t>
      </w:r>
      <w:proofErr w:type="spellStart"/>
      <w:r w:rsidRPr="005E1DF4">
        <w:rPr>
          <w:i/>
          <w:iCs/>
        </w:rPr>
        <w:t>ComTech</w:t>
      </w:r>
      <w:proofErr w:type="spellEnd"/>
      <w:r w:rsidRPr="005E1DF4">
        <w:rPr>
          <w:i/>
          <w:iCs/>
        </w:rPr>
        <w:t xml:space="preserve"> 2025)</w:t>
      </w:r>
      <w:r w:rsidRPr="005E1DF4">
        <w:t>.</w:t>
      </w:r>
    </w:p>
    <w:p w14:paraId="7466F13E" w14:textId="77777777" w:rsidR="008E4243" w:rsidRPr="005E1DF4" w:rsidRDefault="00000000" w:rsidP="008348CF">
      <w:pPr>
        <w:spacing w:before="80" w:after="80"/>
        <w:ind w:left="480" w:hanging="480"/>
        <w:jc w:val="both"/>
      </w:pPr>
      <w:r w:rsidRPr="005E1DF4">
        <w:t xml:space="preserve">51. </w:t>
      </w:r>
      <w:proofErr w:type="spellStart"/>
      <w:r w:rsidRPr="005E1DF4">
        <w:t>Rakholia</w:t>
      </w:r>
      <w:proofErr w:type="spellEnd"/>
      <w:r w:rsidRPr="005E1DF4">
        <w:t xml:space="preserve">, R., Suárez-Cetrulo, A. L., Singh, M., &amp; Carbajo, R. S. (2025). Integrating AI and IoT for predictive maintenance in Industry 4.0 manufacturing environments: A practical approach. </w:t>
      </w:r>
      <w:r w:rsidRPr="005E1DF4">
        <w:rPr>
          <w:i/>
          <w:iCs/>
        </w:rPr>
        <w:t>Information (Switzerland)</w:t>
      </w:r>
      <w:r w:rsidRPr="005E1DF4">
        <w:t>.</w:t>
      </w:r>
    </w:p>
    <w:p w14:paraId="2C41DBEC" w14:textId="77777777" w:rsidR="008E4243" w:rsidRPr="005E1DF4" w:rsidRDefault="00000000" w:rsidP="008348CF">
      <w:pPr>
        <w:spacing w:before="80" w:after="80"/>
        <w:ind w:left="480" w:hanging="480"/>
        <w:jc w:val="both"/>
      </w:pPr>
      <w:r w:rsidRPr="005E1DF4">
        <w:t xml:space="preserve">52. Ranasinghe, H., &amp; Gide, E. (2025). A comparative study to analyze the challenges and opportunities of AI-powered ERP adoption for SMEs. </w:t>
      </w:r>
      <w:r w:rsidRPr="005E1DF4">
        <w:rPr>
          <w:i/>
          <w:iCs/>
        </w:rPr>
        <w:t>Lecture Notes in Networks and Systems</w:t>
      </w:r>
      <w:r w:rsidRPr="005E1DF4">
        <w:t>.</w:t>
      </w:r>
    </w:p>
    <w:p w14:paraId="759EC512" w14:textId="77777777" w:rsidR="008E4243" w:rsidRPr="005E1DF4" w:rsidRDefault="00000000" w:rsidP="008348CF">
      <w:pPr>
        <w:spacing w:before="80" w:after="80"/>
        <w:ind w:left="480" w:hanging="480"/>
        <w:jc w:val="both"/>
      </w:pPr>
      <w:r w:rsidRPr="005E1DF4">
        <w:t xml:space="preserve">53. Rasulov, J. (2025). Digitalization and application of HR technologies in human resources management. </w:t>
      </w:r>
      <w:r w:rsidRPr="005E1DF4">
        <w:rPr>
          <w:i/>
          <w:iCs/>
        </w:rPr>
        <w:t>Scientific Work</w:t>
      </w:r>
      <w:r w:rsidRPr="005E1DF4">
        <w:t>.</w:t>
      </w:r>
    </w:p>
    <w:p w14:paraId="66FB49A9" w14:textId="77777777" w:rsidR="008E4243" w:rsidRPr="005E1DF4" w:rsidRDefault="00000000" w:rsidP="008348CF">
      <w:pPr>
        <w:spacing w:before="80" w:after="80"/>
        <w:ind w:left="480" w:hanging="480"/>
        <w:jc w:val="both"/>
      </w:pPr>
      <w:r w:rsidRPr="005E1DF4">
        <w:t xml:space="preserve">54. Raza, S. Q. (2025). Explainable AI and transparency in autonomous decision-making. </w:t>
      </w:r>
      <w:r w:rsidRPr="005E1DF4">
        <w:rPr>
          <w:i/>
          <w:iCs/>
        </w:rPr>
        <w:t>Safeguarding and Securing Autonomous AI Agents</w:t>
      </w:r>
      <w:r w:rsidRPr="005E1DF4">
        <w:t>.</w:t>
      </w:r>
    </w:p>
    <w:p w14:paraId="5145B7A1" w14:textId="77777777" w:rsidR="008E4243" w:rsidRPr="005E1DF4" w:rsidRDefault="00000000" w:rsidP="008348CF">
      <w:pPr>
        <w:spacing w:before="80" w:after="80"/>
        <w:ind w:left="480" w:hanging="480"/>
        <w:jc w:val="both"/>
      </w:pPr>
      <w:r w:rsidRPr="005E1DF4">
        <w:t xml:space="preserve">55. Reddy, P. R. R., </w:t>
      </w:r>
      <w:proofErr w:type="spellStart"/>
      <w:r w:rsidRPr="005E1DF4">
        <w:t>Julakanti</w:t>
      </w:r>
      <w:proofErr w:type="spellEnd"/>
      <w:r w:rsidRPr="005E1DF4">
        <w:t xml:space="preserve">, R., Jonnalagadda, R. R., Reddy, K. K., </w:t>
      </w:r>
      <w:proofErr w:type="spellStart"/>
      <w:r w:rsidRPr="005E1DF4">
        <w:t>Gunupati</w:t>
      </w:r>
      <w:proofErr w:type="spellEnd"/>
      <w:r w:rsidRPr="005E1DF4">
        <w:t xml:space="preserve">, K., &amp; Kumar, M. (2025). Design and implementation of a novel SAP-based cyber security framework for enterprise resource planning systems and machine learning techniques. </w:t>
      </w:r>
      <w:r w:rsidRPr="005E1DF4">
        <w:rPr>
          <w:i/>
          <w:iCs/>
        </w:rPr>
        <w:t>2025 International Conference on Computing and Communications (COMPUTINGCON 2025)</w:t>
      </w:r>
    </w:p>
    <w:p w14:paraId="7AA27027" w14:textId="77777777" w:rsidR="008E4243" w:rsidRPr="005E1DF4" w:rsidRDefault="00000000" w:rsidP="008348CF">
      <w:pPr>
        <w:spacing w:before="80" w:after="80"/>
        <w:ind w:left="480" w:hanging="480"/>
        <w:jc w:val="both"/>
      </w:pPr>
      <w:r w:rsidRPr="005E1DF4">
        <w:t xml:space="preserve">56. </w:t>
      </w:r>
      <w:proofErr w:type="spellStart"/>
      <w:r w:rsidRPr="005E1DF4">
        <w:t>Rîndașu</w:t>
      </w:r>
      <w:proofErr w:type="spellEnd"/>
      <w:r w:rsidRPr="005E1DF4">
        <w:t>, S.-M., Ionescu-</w:t>
      </w:r>
      <w:proofErr w:type="spellStart"/>
      <w:r w:rsidRPr="005E1DF4">
        <w:t>Feleagă</w:t>
      </w:r>
      <w:proofErr w:type="spellEnd"/>
      <w:r w:rsidRPr="005E1DF4">
        <w:t xml:space="preserve">, L., Ionescu, B.-Ș., &amp; Barbu, A. M. (2024). Unveiling challenges and insights in cloud enterprise resource planning systems adoption: A case study of the Oracle Fusion Cloud ERP. </w:t>
      </w:r>
      <w:r w:rsidRPr="005E1DF4">
        <w:rPr>
          <w:i/>
          <w:iCs/>
        </w:rPr>
        <w:t>Management and Marketing</w:t>
      </w:r>
      <w:r w:rsidRPr="005E1DF4">
        <w:t>.</w:t>
      </w:r>
    </w:p>
    <w:p w14:paraId="44B5921C" w14:textId="77777777" w:rsidR="008E4243" w:rsidRPr="005E1DF4" w:rsidRDefault="00000000" w:rsidP="008348CF">
      <w:pPr>
        <w:spacing w:before="80" w:after="80"/>
        <w:ind w:left="480" w:hanging="480"/>
        <w:jc w:val="both"/>
      </w:pPr>
      <w:r w:rsidRPr="005E1DF4">
        <w:t xml:space="preserve">57. </w:t>
      </w:r>
      <w:proofErr w:type="spellStart"/>
      <w:r w:rsidRPr="005E1DF4">
        <w:t>Sarferaz</w:t>
      </w:r>
      <w:proofErr w:type="spellEnd"/>
      <w:r w:rsidRPr="005E1DF4">
        <w:t xml:space="preserve">, S. (2025). Implementing agentic AI into ERP software. </w:t>
      </w:r>
      <w:r w:rsidRPr="005E1DF4">
        <w:rPr>
          <w:i/>
          <w:iCs/>
        </w:rPr>
        <w:t>IEEE Access</w:t>
      </w:r>
      <w:r w:rsidRPr="005E1DF4">
        <w:t>.</w:t>
      </w:r>
    </w:p>
    <w:p w14:paraId="04B32573" w14:textId="77777777" w:rsidR="008E4243" w:rsidRPr="005E1DF4" w:rsidRDefault="00000000" w:rsidP="008348CF">
      <w:pPr>
        <w:spacing w:before="80" w:after="80"/>
        <w:ind w:left="480" w:hanging="480"/>
        <w:jc w:val="both"/>
      </w:pPr>
      <w:r w:rsidRPr="005E1DF4">
        <w:lastRenderedPageBreak/>
        <w:t xml:space="preserve">58. Seddon, P. B., Calvert, C., &amp; Yang, S. (2010). A multi-project model of key factors affecting organizational benefits from enterprise systems. </w:t>
      </w:r>
      <w:r w:rsidRPr="005E1DF4">
        <w:rPr>
          <w:i/>
          <w:iCs/>
        </w:rPr>
        <w:t>MIS Quarterly</w:t>
      </w:r>
      <w:r w:rsidRPr="005E1DF4">
        <w:t>, 34(2), 305–328.</w:t>
      </w:r>
    </w:p>
    <w:p w14:paraId="67B0681E" w14:textId="77777777" w:rsidR="008E4243" w:rsidRPr="005E1DF4" w:rsidRDefault="00000000" w:rsidP="008348CF">
      <w:pPr>
        <w:spacing w:before="80" w:after="80"/>
        <w:ind w:left="480" w:hanging="480"/>
        <w:jc w:val="both"/>
      </w:pPr>
      <w:r w:rsidRPr="005E1DF4">
        <w:t xml:space="preserve">59. Sharma, G. M., Najeeb, A., &amp; Gaur, P. (2026). Governance in cloud-automated enterprises: Frameworks for responsible AI deployment. </w:t>
      </w:r>
      <w:r w:rsidRPr="005E1DF4">
        <w:rPr>
          <w:i/>
          <w:iCs/>
        </w:rPr>
        <w:t>Automating Intelligence with Cloud-Native AI Tools</w:t>
      </w:r>
      <w:r w:rsidRPr="005E1DF4">
        <w:t>.</w:t>
      </w:r>
    </w:p>
    <w:p w14:paraId="759741B4" w14:textId="77777777" w:rsidR="008E4243" w:rsidRPr="005E1DF4" w:rsidRDefault="00000000" w:rsidP="008348CF">
      <w:pPr>
        <w:spacing w:before="80" w:after="80"/>
        <w:ind w:left="480" w:hanging="480"/>
        <w:jc w:val="both"/>
      </w:pPr>
      <w:r w:rsidRPr="005E1DF4">
        <w:t xml:space="preserve">60. Sharma, M., Jain, A., &amp; Devarapalli, S. (2025). Reimagining enterprise systems: AI-centric integration of Workday with legacy and cloud platforms. </w:t>
      </w:r>
      <w:r w:rsidRPr="005E1DF4">
        <w:rPr>
          <w:i/>
          <w:iCs/>
        </w:rPr>
        <w:t>2025 International Conference on Computational Intelligence and Knowledge Economy (ICCIKE 2025)</w:t>
      </w:r>
      <w:r w:rsidRPr="005E1DF4">
        <w:t xml:space="preserve">. </w:t>
      </w:r>
    </w:p>
    <w:p w14:paraId="46C08B6E" w14:textId="77777777" w:rsidR="008E4243" w:rsidRPr="005E1DF4" w:rsidRDefault="00000000" w:rsidP="008348CF">
      <w:pPr>
        <w:spacing w:before="80" w:after="80"/>
        <w:ind w:left="480" w:hanging="480"/>
        <w:jc w:val="both"/>
      </w:pPr>
      <w:r w:rsidRPr="005E1DF4">
        <w:t xml:space="preserve">61. Shivarudra, A., &amp; Kumar, S. A. (2025). Composable automation frameworks for cloud-native ERP systems: Leveraging CI/CD and containerization. </w:t>
      </w:r>
      <w:r w:rsidRPr="005E1DF4">
        <w:rPr>
          <w:i/>
          <w:iCs/>
        </w:rPr>
        <w:t>Proceedings of the 2025 1st International Conference on Advances in Engineering and Computing Technologies for Sustainable Development (AECTSD 2025)</w:t>
      </w:r>
      <w:r w:rsidRPr="005E1DF4">
        <w:t>.</w:t>
      </w:r>
    </w:p>
    <w:p w14:paraId="63B1CA4F" w14:textId="77777777" w:rsidR="008E4243" w:rsidRPr="005E1DF4" w:rsidRDefault="00000000" w:rsidP="008348CF">
      <w:pPr>
        <w:spacing w:before="80" w:after="80"/>
        <w:ind w:left="480" w:hanging="480"/>
        <w:jc w:val="both"/>
      </w:pPr>
      <w:r w:rsidRPr="005E1DF4">
        <w:t xml:space="preserve">62. Singh, B., &amp; Dutta, P. K. (2026). Cloud native engineering for AI-driven ERP systems: Enhancing security, compliance and data privacy. </w:t>
      </w:r>
      <w:r w:rsidRPr="005E1DF4">
        <w:rPr>
          <w:i/>
          <w:iCs/>
        </w:rPr>
        <w:t>Advances in Computers</w:t>
      </w:r>
      <w:r w:rsidRPr="005E1DF4">
        <w:t xml:space="preserve">. </w:t>
      </w:r>
    </w:p>
    <w:p w14:paraId="36AB2040" w14:textId="77777777" w:rsidR="008E4243" w:rsidRPr="005E1DF4" w:rsidRDefault="00000000" w:rsidP="008348CF">
      <w:pPr>
        <w:spacing w:before="80" w:after="80"/>
        <w:ind w:left="480" w:hanging="480"/>
        <w:jc w:val="both"/>
      </w:pPr>
      <w:r w:rsidRPr="005E1DF4">
        <w:t xml:space="preserve">63. Snyder, H. (2019). Literature review as a research methodology: An overview and guidelines. </w:t>
      </w:r>
      <w:r w:rsidRPr="005E1DF4">
        <w:rPr>
          <w:i/>
          <w:iCs/>
        </w:rPr>
        <w:t>Journal of Business Research</w:t>
      </w:r>
      <w:r w:rsidRPr="005E1DF4">
        <w:t xml:space="preserve">, 104, 333–339. </w:t>
      </w:r>
    </w:p>
    <w:p w14:paraId="5E011223" w14:textId="77777777" w:rsidR="008E4243" w:rsidRPr="005E1DF4" w:rsidRDefault="00000000" w:rsidP="008348CF">
      <w:pPr>
        <w:spacing w:before="80" w:after="80"/>
        <w:ind w:left="480" w:hanging="480"/>
        <w:jc w:val="both"/>
      </w:pPr>
      <w:r w:rsidRPr="005E1DF4">
        <w:t xml:space="preserve">64. Srivastava, S., Goel, S., Mishra, R., Tripathi, S., &amp; Garg, P. (2026). Design and implementation of a cloud-native ERP system using AWS. </w:t>
      </w:r>
      <w:r w:rsidRPr="005E1DF4">
        <w:rPr>
          <w:i/>
          <w:iCs/>
        </w:rPr>
        <w:t>Contemporary Computing Innovations Conference (CCIC 2026)</w:t>
      </w:r>
      <w:r w:rsidRPr="005E1DF4">
        <w:t xml:space="preserve">. </w:t>
      </w:r>
    </w:p>
    <w:p w14:paraId="6A21AF37" w14:textId="77777777" w:rsidR="008E4243" w:rsidRPr="005E1DF4" w:rsidRDefault="00000000" w:rsidP="008348CF">
      <w:pPr>
        <w:spacing w:before="80" w:after="80"/>
        <w:ind w:left="480" w:hanging="480"/>
        <w:jc w:val="both"/>
      </w:pPr>
      <w:r w:rsidRPr="005E1DF4">
        <w:t xml:space="preserve">65. Subrahmanyam, S. (2024). The evolution of human resources in the age of technology. </w:t>
      </w:r>
      <w:r w:rsidRPr="005E1DF4">
        <w:rPr>
          <w:i/>
          <w:iCs/>
        </w:rPr>
        <w:t>Technological Enhancements for Improving Employee Performance, Safety, and Well-Being</w:t>
      </w:r>
      <w:r w:rsidRPr="005E1DF4">
        <w:t xml:space="preserve">. </w:t>
      </w:r>
    </w:p>
    <w:p w14:paraId="294BBD67" w14:textId="77777777" w:rsidR="008E4243" w:rsidRPr="005E1DF4" w:rsidRDefault="00000000" w:rsidP="008348CF">
      <w:pPr>
        <w:spacing w:before="80" w:after="80"/>
        <w:ind w:left="480" w:hanging="480"/>
        <w:jc w:val="both"/>
      </w:pPr>
      <w:r w:rsidRPr="005E1DF4">
        <w:t xml:space="preserve">66. </w:t>
      </w:r>
      <w:proofErr w:type="spellStart"/>
      <w:r w:rsidRPr="005E1DF4">
        <w:t>Thanasas</w:t>
      </w:r>
      <w:proofErr w:type="spellEnd"/>
      <w:r w:rsidRPr="005E1DF4">
        <w:t xml:space="preserve">, G., </w:t>
      </w:r>
      <w:proofErr w:type="spellStart"/>
      <w:r w:rsidRPr="005E1DF4">
        <w:t>Kampiotis</w:t>
      </w:r>
      <w:proofErr w:type="spellEnd"/>
      <w:r w:rsidRPr="005E1DF4">
        <w:t xml:space="preserve">, G., &amp; Halkiopoulos, C. (2026). Transforming digital accounting: </w:t>
      </w:r>
      <w:proofErr w:type="gramStart"/>
      <w:r w:rsidRPr="005E1DF4">
        <w:t>Big</w:t>
      </w:r>
      <w:proofErr w:type="gramEnd"/>
      <w:r w:rsidRPr="005E1DF4">
        <w:t xml:space="preserve"> data, IoT, and Industry 4.0 technologies — a comprehensive survey. </w:t>
      </w:r>
      <w:r w:rsidRPr="005E1DF4">
        <w:rPr>
          <w:i/>
          <w:iCs/>
        </w:rPr>
        <w:t>Journal of Risk and Financial Management</w:t>
      </w:r>
      <w:r w:rsidRPr="005E1DF4">
        <w:t>.</w:t>
      </w:r>
    </w:p>
    <w:p w14:paraId="59ADEBE3" w14:textId="77777777" w:rsidR="008E4243" w:rsidRPr="005E1DF4" w:rsidRDefault="00000000" w:rsidP="008348CF">
      <w:pPr>
        <w:spacing w:before="80" w:after="80"/>
        <w:ind w:left="480" w:hanging="480"/>
        <w:jc w:val="both"/>
      </w:pPr>
      <w:r w:rsidRPr="005E1DF4">
        <w:t xml:space="preserve">67. Thomas, J., &amp; Harden, A. (2008). Methods for the thematic synthesis of qualitative research in systematic reviews. </w:t>
      </w:r>
      <w:r w:rsidRPr="005E1DF4">
        <w:rPr>
          <w:i/>
          <w:iCs/>
        </w:rPr>
        <w:t>BMC Medical Research Methodology</w:t>
      </w:r>
      <w:r w:rsidRPr="005E1DF4">
        <w:t>, 8(1), 45.</w:t>
      </w:r>
    </w:p>
    <w:p w14:paraId="003F4AA5" w14:textId="77777777" w:rsidR="008E4243" w:rsidRPr="005E1DF4" w:rsidRDefault="00000000" w:rsidP="008348CF">
      <w:pPr>
        <w:spacing w:before="80" w:after="80"/>
        <w:ind w:left="480" w:hanging="480"/>
        <w:jc w:val="both"/>
      </w:pPr>
      <w:r w:rsidRPr="005E1DF4">
        <w:t xml:space="preserve">68. </w:t>
      </w:r>
      <w:proofErr w:type="spellStart"/>
      <w:r w:rsidRPr="005E1DF4">
        <w:t>Tranfield</w:t>
      </w:r>
      <w:proofErr w:type="spellEnd"/>
      <w:r w:rsidRPr="005E1DF4">
        <w:t xml:space="preserve">, D., Denyer, D., &amp; Smart, P. (2003). Towards a methodology for developing evidence-informed management knowledge by means of systematic review. </w:t>
      </w:r>
      <w:r w:rsidRPr="005E1DF4">
        <w:rPr>
          <w:i/>
          <w:iCs/>
        </w:rPr>
        <w:t>British Journal of Management</w:t>
      </w:r>
      <w:r w:rsidRPr="005E1DF4">
        <w:t xml:space="preserve">, 14(3), 207–222. </w:t>
      </w:r>
    </w:p>
    <w:p w14:paraId="171F53FE" w14:textId="77777777" w:rsidR="008E4243" w:rsidRPr="005E1DF4" w:rsidRDefault="00000000" w:rsidP="008348CF">
      <w:pPr>
        <w:spacing w:before="80" w:after="80"/>
        <w:ind w:left="480" w:hanging="480"/>
        <w:jc w:val="both"/>
      </w:pPr>
      <w:r w:rsidRPr="005E1DF4">
        <w:t xml:space="preserve">69. Tudor, C. (2026). Predicting enterprise AI adoption in Europe from cloud sophistication, digital sales capabilities, and enterprise size. </w:t>
      </w:r>
      <w:r w:rsidRPr="005E1DF4">
        <w:rPr>
          <w:i/>
          <w:iCs/>
        </w:rPr>
        <w:t>Algorithms</w:t>
      </w:r>
      <w:r w:rsidRPr="005E1DF4">
        <w:t>, 19(4), 316</w:t>
      </w:r>
    </w:p>
    <w:p w14:paraId="27E5E5A8" w14:textId="77777777" w:rsidR="008E4243" w:rsidRPr="005E1DF4" w:rsidRDefault="00000000" w:rsidP="008348CF">
      <w:pPr>
        <w:spacing w:before="80" w:after="80"/>
        <w:ind w:left="480" w:hanging="480"/>
        <w:jc w:val="both"/>
      </w:pPr>
      <w:r w:rsidRPr="005E1DF4">
        <w:t xml:space="preserve">70. Upadhyaya, P., &amp; Koka, H. (2026). The role of cloud-based BI systems in enabling real-time data analytics. </w:t>
      </w:r>
      <w:r w:rsidRPr="005E1DF4">
        <w:rPr>
          <w:i/>
          <w:iCs/>
        </w:rPr>
        <w:t>Architecting Strategic Business Transformation through Data-Driven Systems</w:t>
      </w:r>
      <w:r w:rsidRPr="005E1DF4">
        <w:t>.</w:t>
      </w:r>
    </w:p>
    <w:p w14:paraId="39A83096" w14:textId="77777777" w:rsidR="008E4243" w:rsidRPr="005E1DF4" w:rsidRDefault="00000000" w:rsidP="008348CF">
      <w:pPr>
        <w:spacing w:before="80" w:after="80"/>
        <w:ind w:left="480" w:hanging="480"/>
        <w:jc w:val="both"/>
      </w:pPr>
      <w:r w:rsidRPr="005E1DF4">
        <w:t xml:space="preserve">71. Watson, E. F., III, &amp; Schwarz, A. H. (2023). Enterprise and business process automation. </w:t>
      </w:r>
      <w:r w:rsidRPr="005E1DF4">
        <w:rPr>
          <w:i/>
          <w:iCs/>
        </w:rPr>
        <w:t>Springer Handbooks</w:t>
      </w:r>
    </w:p>
    <w:p w14:paraId="045CAC48" w14:textId="77777777" w:rsidR="008E4243" w:rsidRPr="005E1DF4" w:rsidRDefault="00000000" w:rsidP="008348CF">
      <w:pPr>
        <w:spacing w:before="80" w:after="80"/>
        <w:ind w:left="480" w:hanging="480"/>
        <w:jc w:val="both"/>
      </w:pPr>
      <w:r w:rsidRPr="005E1DF4">
        <w:t xml:space="preserve">72. Webster, J., &amp; Watson, R. T. (2002). Analyzing the past to prepare for the future: Writing a literature review. </w:t>
      </w:r>
      <w:r w:rsidRPr="005E1DF4">
        <w:rPr>
          <w:i/>
          <w:iCs/>
        </w:rPr>
        <w:t>MIS Quarterly</w:t>
      </w:r>
      <w:r w:rsidRPr="005E1DF4">
        <w:t>, 26(2), xiii–xxiii.</w:t>
      </w:r>
    </w:p>
    <w:p w14:paraId="724A0C10" w14:textId="77777777" w:rsidR="008E4243" w:rsidRPr="005E1DF4" w:rsidRDefault="00000000" w:rsidP="008348CF">
      <w:pPr>
        <w:spacing w:before="80" w:after="80"/>
        <w:ind w:left="480" w:hanging="480"/>
        <w:jc w:val="both"/>
      </w:pPr>
      <w:r w:rsidRPr="005E1DF4">
        <w:t xml:space="preserve">73. Whittemore, R., &amp; </w:t>
      </w:r>
      <w:proofErr w:type="spellStart"/>
      <w:r w:rsidRPr="005E1DF4">
        <w:t>Knafl</w:t>
      </w:r>
      <w:proofErr w:type="spellEnd"/>
      <w:r w:rsidRPr="005E1DF4">
        <w:t xml:space="preserve">, K. (2005). The integrative review: Updated methodology. </w:t>
      </w:r>
      <w:r w:rsidRPr="005E1DF4">
        <w:rPr>
          <w:i/>
          <w:iCs/>
        </w:rPr>
        <w:t>Journal of Advanced Nursing</w:t>
      </w:r>
      <w:r w:rsidRPr="005E1DF4">
        <w:t xml:space="preserve">, 52(5), 546–553. </w:t>
      </w:r>
    </w:p>
    <w:p w14:paraId="1DBDADB6" w14:textId="0BDCD459" w:rsidR="008E4243" w:rsidRPr="005E1DF4" w:rsidRDefault="00000000" w:rsidP="008348CF">
      <w:pPr>
        <w:spacing w:before="80" w:after="80"/>
        <w:ind w:left="480" w:hanging="480"/>
        <w:jc w:val="both"/>
      </w:pPr>
      <w:r w:rsidRPr="005E1DF4">
        <w:t xml:space="preserve">74. Zhang, J. (2026). Digital transformation of audit practices through AI and information technology: A case study of automated compliance checking in cloud-based ERP systems. </w:t>
      </w:r>
      <w:r w:rsidRPr="005E1DF4">
        <w:rPr>
          <w:i/>
          <w:iCs/>
        </w:rPr>
        <w:t>Proceedings – ICSES 2026: 5th International Conference on Innovative Computing, Intelligent Communication and Smart Electrical Systems</w:t>
      </w:r>
    </w:p>
    <w:sectPr w:rsidR="008E4243" w:rsidRPr="005E1DF4" w:rsidSect="008348CF">
      <w:footerReference w:type="default" r:id="rId17"/>
      <w:pgSz w:w="11906" w:h="16838" w:code="9"/>
      <w:pgMar w:top="1080" w:right="605" w:bottom="605" w:left="605" w:header="346" w:footer="4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FF7193" w14:textId="77777777" w:rsidR="001E5DF1" w:rsidRDefault="001E5DF1">
      <w:r>
        <w:separator/>
      </w:r>
    </w:p>
  </w:endnote>
  <w:endnote w:type="continuationSeparator" w:id="0">
    <w:p w14:paraId="7DD46CD5" w14:textId="77777777" w:rsidR="001E5DF1" w:rsidRDefault="001E5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0310E6E-8932-4DC2-8B6E-BAD18D5719B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B1B6F62-8082-454D-885D-A62E603DE5D1}"/>
  </w:font>
  <w:font w:name="Cambria">
    <w:panose1 w:val="02040503050406030204"/>
    <w:charset w:val="00"/>
    <w:family w:val="roman"/>
    <w:pitch w:val="variable"/>
    <w:sig w:usb0="E00006FF" w:usb1="420024FF" w:usb2="02000000" w:usb3="00000000" w:csb0="0000019F" w:csb1="00000000"/>
    <w:embedRegular r:id="rId3" w:fontKey="{6827D76A-87A7-4528-B455-755247F532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2FAE1" w14:textId="77777777" w:rsidR="008E4243" w:rsidRDefault="00000000">
    <w:pPr>
      <w:jc w:val="center"/>
    </w:pPr>
    <w:r>
      <w:rPr>
        <w:sz w:val="20"/>
        <w:szCs w:val="20"/>
      </w:rPr>
      <w:fldChar w:fldCharType="begin"/>
    </w:r>
    <w:r>
      <w:rPr>
        <w:sz w:val="20"/>
        <w:szCs w:val="20"/>
      </w:rPr>
      <w:instrText>PAGE</w:instrText>
    </w:r>
    <w:r>
      <w:rPr>
        <w:sz w:val="20"/>
        <w:szCs w:val="20"/>
      </w:rPr>
      <w:fldChar w:fldCharType="separate"/>
    </w:r>
    <w:r w:rsidR="00DE1255">
      <w:rPr>
        <w:noProof/>
        <w:sz w:val="20"/>
        <w:szCs w:val="20"/>
      </w:rPr>
      <w:t>1</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18CF1F" w14:textId="77777777" w:rsidR="001E5DF1" w:rsidRDefault="001E5DF1">
      <w:r>
        <w:separator/>
      </w:r>
    </w:p>
  </w:footnote>
  <w:footnote w:type="continuationSeparator" w:id="0">
    <w:p w14:paraId="4373EE0D" w14:textId="77777777" w:rsidR="001E5DF1" w:rsidRDefault="001E5D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BF7A57"/>
    <w:multiLevelType w:val="multilevel"/>
    <w:tmpl w:val="76CAC832"/>
    <w:lvl w:ilvl="0">
      <w:start w:val="1"/>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7768987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243"/>
    <w:rsid w:val="001E5DF1"/>
    <w:rsid w:val="002709BC"/>
    <w:rsid w:val="004E3A9C"/>
    <w:rsid w:val="005348C8"/>
    <w:rsid w:val="005E1DF4"/>
    <w:rsid w:val="007E07EF"/>
    <w:rsid w:val="0080467F"/>
    <w:rsid w:val="008137EA"/>
    <w:rsid w:val="008348CF"/>
    <w:rsid w:val="008E4243"/>
    <w:rsid w:val="00AB793B"/>
    <w:rsid w:val="00AD59FE"/>
    <w:rsid w:val="00D77428"/>
    <w:rsid w:val="00DA5639"/>
    <w:rsid w:val="00DD067D"/>
    <w:rsid w:val="00DE1255"/>
    <w:rsid w:val="00E1244A"/>
    <w:rsid w:val="00E94962"/>
    <w:rsid w:val="00EA516C"/>
    <w:rsid w:val="00F45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34A36"/>
  <w15:docId w15:val="{7964062D-12D6-4D3F-A625-E8AA36A13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360" w:after="200"/>
      <w:outlineLvl w:val="0"/>
    </w:pPr>
    <w:rPr>
      <w:b/>
      <w:bCs/>
      <w:color w:val="000000"/>
      <w:sz w:val="28"/>
      <w:szCs w:val="28"/>
    </w:rPr>
  </w:style>
  <w:style w:type="paragraph" w:styleId="Heading2">
    <w:name w:val="heading 2"/>
    <w:basedOn w:val="Normal"/>
    <w:next w:val="Normal"/>
    <w:uiPriority w:val="9"/>
    <w:unhideWhenUsed/>
    <w:qFormat/>
    <w:pPr>
      <w:pBdr>
        <w:top w:val="nil"/>
        <w:left w:val="nil"/>
        <w:bottom w:val="nil"/>
        <w:right w:val="nil"/>
        <w:between w:val="nil"/>
      </w:pBdr>
      <w:spacing w:before="240" w:after="120"/>
      <w:outlineLvl w:val="1"/>
    </w:pPr>
    <w:rPr>
      <w:b/>
      <w:bCs/>
      <w:color w:val="000000"/>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 w:type="dxa"/>
        <w:bottom w:w="0" w:type="dxa"/>
        <w:right w:w="10" w:type="dxa"/>
      </w:tblCellMar>
    </w:tblPr>
  </w:style>
  <w:style w:type="table" w:customStyle="1" w:styleId="a0">
    <w:basedOn w:val="TableNormal0"/>
    <w:tblPr>
      <w:tblStyleRowBandSize w:val="1"/>
      <w:tblStyleColBandSize w:val="1"/>
      <w:tblCellMar>
        <w:top w:w="0" w:type="dxa"/>
        <w:left w:w="10" w:type="dxa"/>
        <w:bottom w:w="0" w:type="dxa"/>
        <w:right w:w="10" w:type="dxa"/>
      </w:tblCellMar>
    </w:tblPr>
  </w:style>
  <w:style w:type="table" w:customStyle="1" w:styleId="a1">
    <w:basedOn w:val="TableNormal0"/>
    <w:tblPr>
      <w:tblStyleRowBandSize w:val="1"/>
      <w:tblStyleColBandSize w:val="1"/>
      <w:tblCellMar>
        <w:top w:w="0" w:type="dxa"/>
        <w:left w:w="10" w:type="dxa"/>
        <w:bottom w:w="0" w:type="dxa"/>
        <w:right w:w="10" w:type="dxa"/>
      </w:tblCellMar>
    </w:tblPr>
  </w:style>
  <w:style w:type="table" w:customStyle="1" w:styleId="a2">
    <w:basedOn w:val="TableNormal0"/>
    <w:tblPr>
      <w:tblStyleRowBandSize w:val="1"/>
      <w:tblStyleColBandSize w:val="1"/>
      <w:tblCellMar>
        <w:top w:w="0" w:type="dxa"/>
        <w:left w:w="10" w:type="dxa"/>
        <w:bottom w:w="0" w:type="dxa"/>
        <w:right w:w="10" w:type="dxa"/>
      </w:tblCellMar>
    </w:tblPr>
  </w:style>
  <w:style w:type="table" w:customStyle="1" w:styleId="a3">
    <w:basedOn w:val="TableNormal0"/>
    <w:tblPr>
      <w:tblStyleRowBandSize w:val="1"/>
      <w:tblStyleColBandSize w:val="1"/>
      <w:tblCellMar>
        <w:top w:w="0" w:type="dxa"/>
        <w:left w:w="10" w:type="dxa"/>
        <w:bottom w:w="0" w:type="dxa"/>
        <w:right w:w="10" w:type="dxa"/>
      </w:tblCellMar>
    </w:tblPr>
  </w:style>
  <w:style w:type="table" w:customStyle="1" w:styleId="a4">
    <w:basedOn w:val="TableNormal0"/>
    <w:tblPr>
      <w:tblStyleRowBandSize w:val="1"/>
      <w:tblStyleColBandSize w:val="1"/>
      <w:tblCellMar>
        <w:top w:w="0" w:type="dxa"/>
        <w:left w:w="10" w:type="dxa"/>
        <w:bottom w:w="0" w:type="dxa"/>
        <w:right w:w="10" w:type="dxa"/>
      </w:tblCellMar>
    </w:tblPr>
  </w:style>
  <w:style w:type="table" w:customStyle="1" w:styleId="a5">
    <w:basedOn w:val="TableNormal0"/>
    <w:tblPr>
      <w:tblStyleRowBandSize w:val="1"/>
      <w:tblStyleColBandSize w:val="1"/>
      <w:tblCellMar>
        <w:top w:w="0" w:type="dxa"/>
        <w:left w:w="10" w:type="dxa"/>
        <w:bottom w:w="0" w:type="dxa"/>
        <w:right w:w="10" w:type="dxa"/>
      </w:tblCellMar>
    </w:tblPr>
  </w:style>
  <w:style w:type="table" w:customStyle="1" w:styleId="a6">
    <w:basedOn w:val="TableNormal0"/>
    <w:tblPr>
      <w:tblStyleRowBandSize w:val="1"/>
      <w:tblStyleColBandSize w:val="1"/>
      <w:tblCellMar>
        <w:top w:w="0" w:type="dxa"/>
        <w:left w:w="10" w:type="dxa"/>
        <w:bottom w:w="0" w:type="dxa"/>
        <w:right w:w="10" w:type="dxa"/>
      </w:tblCellMar>
    </w:tblPr>
  </w:style>
  <w:style w:type="paragraph" w:styleId="Header">
    <w:name w:val="header"/>
    <w:basedOn w:val="Normal"/>
    <w:link w:val="HeaderChar"/>
    <w:uiPriority w:val="99"/>
    <w:unhideWhenUsed/>
    <w:rsid w:val="008348CF"/>
    <w:pPr>
      <w:tabs>
        <w:tab w:val="center" w:pos="4680"/>
        <w:tab w:val="right" w:pos="9360"/>
      </w:tabs>
    </w:pPr>
  </w:style>
  <w:style w:type="character" w:customStyle="1" w:styleId="HeaderChar">
    <w:name w:val="Header Char"/>
    <w:basedOn w:val="DefaultParagraphFont"/>
    <w:link w:val="Header"/>
    <w:uiPriority w:val="99"/>
    <w:rsid w:val="008348CF"/>
  </w:style>
  <w:style w:type="paragraph" w:styleId="Footer">
    <w:name w:val="footer"/>
    <w:basedOn w:val="Normal"/>
    <w:link w:val="FooterChar"/>
    <w:uiPriority w:val="99"/>
    <w:unhideWhenUsed/>
    <w:rsid w:val="008348CF"/>
    <w:pPr>
      <w:tabs>
        <w:tab w:val="center" w:pos="4680"/>
        <w:tab w:val="right" w:pos="9360"/>
      </w:tabs>
    </w:pPr>
  </w:style>
  <w:style w:type="character" w:customStyle="1" w:styleId="FooterChar">
    <w:name w:val="Footer Char"/>
    <w:basedOn w:val="DefaultParagraphFont"/>
    <w:link w:val="Footer"/>
    <w:uiPriority w:val="99"/>
    <w:rsid w:val="008348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llohgaindran@graduate.utm.my" TargetMode="External"/><Relationship Id="rId13" Type="http://schemas.openxmlformats.org/officeDocument/2006/relationships/hyperlink" Target="mailto:3zakiyah@graduate.utm.m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3zakiyah@graduate.utm.my"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2nuruladha@graduate.utm.my" TargetMode="External"/><Relationship Id="rId5" Type="http://schemas.openxmlformats.org/officeDocument/2006/relationships/webSettings" Target="webSettings.xml"/><Relationship Id="rId15" Type="http://schemas.openxmlformats.org/officeDocument/2006/relationships/hyperlink" Target="mailto:4normal@utm.my" TargetMode="External"/><Relationship Id="rId10" Type="http://schemas.openxmlformats.org/officeDocument/2006/relationships/hyperlink" Target="mailto:2nuruladha@graduate.utm.m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lohgaindran@graduate.utm.my" TargetMode="External"/><Relationship Id="rId14" Type="http://schemas.openxmlformats.org/officeDocument/2006/relationships/hyperlink" Target="mailto:4normal@utm.m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zerbPQnDh3gPjA6Qc3+Rxr+i9Q==">CgMxLjAyDmgueGZ4bzhjd2VxdjhnOAByITFtdVVqenRDdVRDYWVNZUphdExsWWNmSUJ4b3dtWWx4bw==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31</Pages>
  <Words>17845</Words>
  <Characters>106893</Characters>
  <Application>Microsoft Office Word</Application>
  <DocSecurity>0</DocSecurity>
  <Lines>1943</Lines>
  <Paragraphs>667</Paragraphs>
  <ScaleCrop>false</ScaleCrop>
  <Company/>
  <LinksUpToDate>false</LinksUpToDate>
  <CharactersWithSpaces>124071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Lohgaindran Jeyeselan</cp:lastModifiedBy>
  <cp:revision>19</cp:revision>
  <dcterms:created xsi:type="dcterms:W3CDTF">2026-06-30T16:05:00Z</dcterms:created>
  <dcterms:modified xsi:type="dcterms:W3CDTF">2026-07-01T02:46:00Z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f82859ac-ea37-4301-b0f1-3958c567bdeb</vt:lpwstr>
  </property>
</Properties>
</file>