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7CE4F" w14:textId="29C52F1A" w:rsidR="008233F8" w:rsidRDefault="004C414F" w:rsidP="008233F8">
      <w:pPr>
        <w:spacing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________________________________________________________________</w:t>
      </w:r>
    </w:p>
    <w:p w14:paraId="2B46304C" w14:textId="56C4FCCA" w:rsidR="009713A4" w:rsidRPr="00300250" w:rsidRDefault="00EC5122" w:rsidP="00300250">
      <w:pPr>
        <w:spacing w:after="0" w:line="240" w:lineRule="auto"/>
        <w:jc w:val="center"/>
        <w:rPr>
          <w:rFonts w:ascii="Times New Roman" w:hAnsi="Times New Roman" w:cs="Times New Roman"/>
          <w:b/>
          <w:bCs/>
          <w:sz w:val="32"/>
          <w:szCs w:val="32"/>
        </w:rPr>
      </w:pPr>
      <w:r w:rsidRPr="00300250">
        <w:rPr>
          <w:rFonts w:ascii="Times New Roman" w:hAnsi="Times New Roman" w:cs="Times New Roman"/>
          <w:b/>
          <w:bCs/>
          <w:sz w:val="32"/>
          <w:szCs w:val="32"/>
          <w:lang w:val="en-US"/>
        </w:rPr>
        <w:t xml:space="preserve">Bio-process </w:t>
      </w:r>
      <w:r w:rsidR="00300250">
        <w:rPr>
          <w:rFonts w:ascii="Times New Roman" w:hAnsi="Times New Roman" w:cs="Times New Roman"/>
          <w:b/>
          <w:bCs/>
          <w:sz w:val="32"/>
          <w:szCs w:val="32"/>
          <w:lang w:val="en-US"/>
        </w:rPr>
        <w:t>Scale-up</w:t>
      </w:r>
      <w:r w:rsidRPr="00300250">
        <w:rPr>
          <w:rFonts w:ascii="Times New Roman" w:hAnsi="Times New Roman" w:cs="Times New Roman"/>
          <w:b/>
          <w:bCs/>
          <w:sz w:val="32"/>
          <w:szCs w:val="32"/>
          <w:lang w:val="en-US"/>
        </w:rPr>
        <w:t xml:space="preserve"> </w:t>
      </w:r>
      <w:r w:rsidR="009713A4" w:rsidRPr="00300250">
        <w:rPr>
          <w:rFonts w:ascii="Times New Roman" w:hAnsi="Times New Roman" w:cs="Times New Roman"/>
          <w:b/>
          <w:bCs/>
          <w:sz w:val="32"/>
          <w:szCs w:val="32"/>
          <w:lang w:val="en-US"/>
        </w:rPr>
        <w:t>to Protect and Commerciali</w:t>
      </w:r>
      <w:r w:rsidR="00E166AD">
        <w:rPr>
          <w:rFonts w:ascii="Times New Roman" w:hAnsi="Times New Roman" w:cs="Times New Roman"/>
          <w:b/>
          <w:bCs/>
          <w:sz w:val="32"/>
          <w:szCs w:val="32"/>
          <w:lang w:val="en-US"/>
        </w:rPr>
        <w:t>s</w:t>
      </w:r>
      <w:r w:rsidR="009713A4" w:rsidRPr="00300250">
        <w:rPr>
          <w:rFonts w:ascii="Times New Roman" w:hAnsi="Times New Roman" w:cs="Times New Roman"/>
          <w:b/>
          <w:bCs/>
          <w:sz w:val="32"/>
          <w:szCs w:val="32"/>
          <w:lang w:val="en-US"/>
        </w:rPr>
        <w:t>e Tribal Breweries in North East India</w:t>
      </w:r>
      <w:r w:rsidR="00011BDD" w:rsidRPr="00300250">
        <w:rPr>
          <w:rFonts w:ascii="Times New Roman" w:hAnsi="Times New Roman" w:cs="Times New Roman"/>
          <w:b/>
          <w:bCs/>
          <w:sz w:val="32"/>
          <w:szCs w:val="32"/>
          <w:lang w:val="en-US"/>
        </w:rPr>
        <w:t xml:space="preserve">- </w:t>
      </w:r>
      <w:r w:rsidR="00887B2E">
        <w:rPr>
          <w:rFonts w:ascii="Times New Roman" w:hAnsi="Times New Roman" w:cs="Times New Roman"/>
          <w:b/>
          <w:bCs/>
          <w:sz w:val="32"/>
          <w:szCs w:val="32"/>
          <w:lang w:val="en-US"/>
        </w:rPr>
        <w:t xml:space="preserve">Examining </w:t>
      </w:r>
      <w:r w:rsidR="0024683F">
        <w:rPr>
          <w:rFonts w:ascii="Times New Roman" w:hAnsi="Times New Roman" w:cs="Times New Roman"/>
          <w:b/>
          <w:bCs/>
          <w:sz w:val="32"/>
          <w:szCs w:val="32"/>
          <w:lang w:val="en-US"/>
        </w:rPr>
        <w:t xml:space="preserve">Potential </w:t>
      </w:r>
      <w:r w:rsidR="0024683F" w:rsidRPr="00300250">
        <w:rPr>
          <w:rFonts w:ascii="Times New Roman" w:hAnsi="Times New Roman" w:cs="Times New Roman"/>
          <w:b/>
          <w:bCs/>
          <w:sz w:val="32"/>
          <w:szCs w:val="32"/>
          <w:lang w:val="en-US"/>
        </w:rPr>
        <w:t>Adaptability</w:t>
      </w:r>
      <w:r w:rsidR="009713A4" w:rsidRPr="00300250">
        <w:rPr>
          <w:rFonts w:ascii="Times New Roman" w:hAnsi="Times New Roman" w:cs="Times New Roman"/>
          <w:b/>
          <w:bCs/>
          <w:sz w:val="32"/>
          <w:szCs w:val="32"/>
          <w:lang w:val="en-US"/>
        </w:rPr>
        <w:t xml:space="preserve"> </w:t>
      </w:r>
      <w:r w:rsidR="00C7584B">
        <w:rPr>
          <w:rFonts w:ascii="Times New Roman" w:hAnsi="Times New Roman" w:cs="Times New Roman"/>
          <w:b/>
          <w:bCs/>
          <w:sz w:val="32"/>
          <w:szCs w:val="32"/>
          <w:lang w:val="en-US"/>
        </w:rPr>
        <w:t>of</w:t>
      </w:r>
      <w:r w:rsidR="009713A4" w:rsidRPr="00300250">
        <w:rPr>
          <w:rFonts w:ascii="Times New Roman" w:hAnsi="Times New Roman" w:cs="Times New Roman"/>
          <w:b/>
          <w:bCs/>
          <w:sz w:val="32"/>
          <w:szCs w:val="32"/>
          <w:lang w:val="en-US"/>
        </w:rPr>
        <w:t xml:space="preserve"> </w:t>
      </w:r>
      <w:r w:rsidR="0049757A" w:rsidRPr="00300250">
        <w:rPr>
          <w:rFonts w:ascii="Times New Roman" w:hAnsi="Times New Roman" w:cs="Times New Roman"/>
          <w:b/>
          <w:bCs/>
          <w:sz w:val="32"/>
          <w:szCs w:val="32"/>
          <w:lang w:val="en-US"/>
        </w:rPr>
        <w:t>Ja</w:t>
      </w:r>
      <w:r w:rsidR="00ED7A2A" w:rsidRPr="00300250">
        <w:rPr>
          <w:rFonts w:ascii="Times New Roman" w:hAnsi="Times New Roman" w:cs="Times New Roman"/>
          <w:b/>
          <w:bCs/>
          <w:sz w:val="32"/>
          <w:szCs w:val="32"/>
        </w:rPr>
        <w:t xml:space="preserve">panese </w:t>
      </w:r>
      <w:r w:rsidR="00466959" w:rsidRPr="00300250">
        <w:rPr>
          <w:rFonts w:ascii="Times New Roman" w:hAnsi="Times New Roman" w:cs="Times New Roman"/>
          <w:b/>
          <w:bCs/>
          <w:sz w:val="32"/>
          <w:szCs w:val="32"/>
        </w:rPr>
        <w:t>Sake</w:t>
      </w:r>
      <w:r w:rsidR="00ED7A2A" w:rsidRPr="00300250">
        <w:rPr>
          <w:rFonts w:ascii="Times New Roman" w:hAnsi="Times New Roman" w:cs="Times New Roman"/>
          <w:b/>
          <w:bCs/>
          <w:sz w:val="32"/>
          <w:szCs w:val="32"/>
        </w:rPr>
        <w:t xml:space="preserve"> </w:t>
      </w:r>
      <w:r w:rsidR="00A92B5F" w:rsidRPr="00300250">
        <w:rPr>
          <w:rFonts w:ascii="Times New Roman" w:hAnsi="Times New Roman" w:cs="Times New Roman"/>
          <w:b/>
          <w:bCs/>
          <w:sz w:val="32"/>
          <w:szCs w:val="32"/>
        </w:rPr>
        <w:t>Brewery Regulations</w:t>
      </w:r>
    </w:p>
    <w:p w14:paraId="2C8DCC5D" w14:textId="77777777" w:rsidR="00300250" w:rsidRDefault="00300250" w:rsidP="004C414F">
      <w:pPr>
        <w:spacing w:after="0" w:line="240" w:lineRule="auto"/>
        <w:jc w:val="center"/>
        <w:rPr>
          <w:rFonts w:ascii="Times New Roman" w:hAnsi="Times New Roman" w:cs="Times New Roman"/>
          <w:b/>
          <w:bCs/>
          <w:sz w:val="20"/>
          <w:szCs w:val="20"/>
        </w:rPr>
      </w:pPr>
    </w:p>
    <w:p w14:paraId="07B659E8" w14:textId="0B468CA2" w:rsidR="00AA2A68" w:rsidRPr="00300250" w:rsidRDefault="00AA2A68" w:rsidP="004C414F">
      <w:pPr>
        <w:spacing w:after="0" w:line="240" w:lineRule="auto"/>
        <w:jc w:val="center"/>
        <w:rPr>
          <w:rFonts w:ascii="Times New Roman" w:hAnsi="Times New Roman" w:cs="Times New Roman"/>
          <w:b/>
          <w:bCs/>
          <w:sz w:val="24"/>
          <w:szCs w:val="24"/>
          <w:vertAlign w:val="superscript"/>
        </w:rPr>
      </w:pPr>
      <w:r w:rsidRPr="00300250">
        <w:rPr>
          <w:rFonts w:ascii="Times New Roman" w:hAnsi="Times New Roman" w:cs="Times New Roman"/>
          <w:b/>
          <w:bCs/>
          <w:sz w:val="24"/>
          <w:szCs w:val="24"/>
        </w:rPr>
        <w:t/>
      </w:r>
      <w:r w:rsidR="00B4574E" w:rsidRPr="00300250">
        <w:rPr>
          <w:rFonts w:ascii="Times New Roman" w:hAnsi="Times New Roman" w:cs="Times New Roman"/>
          <w:b/>
          <w:bCs/>
          <w:sz w:val="24"/>
          <w:szCs w:val="24"/>
          <w:vertAlign w:val="superscript"/>
        </w:rPr>
        <w:t/>
      </w:r>
      <w:r w:rsidR="00EB21FE" w:rsidRPr="00300250">
        <w:rPr>
          <w:rFonts w:ascii="Times New Roman" w:hAnsi="Times New Roman" w:cs="Times New Roman"/>
          <w:b/>
          <w:bCs/>
          <w:sz w:val="24"/>
          <w:szCs w:val="24"/>
        </w:rPr>
        <w:t/>
      </w:r>
      <w:r w:rsidRPr="00300250">
        <w:rPr>
          <w:rFonts w:ascii="Times New Roman" w:hAnsi="Times New Roman" w:cs="Times New Roman"/>
          <w:b/>
          <w:bCs/>
          <w:sz w:val="24"/>
          <w:szCs w:val="24"/>
        </w:rPr>
        <w:t xml:space="preserve"/>
      </w:r>
      <w:r w:rsidR="00B4574E" w:rsidRPr="00300250">
        <w:rPr>
          <w:rFonts w:ascii="Times New Roman" w:hAnsi="Times New Roman" w:cs="Times New Roman"/>
          <w:b/>
          <w:bCs/>
          <w:sz w:val="24"/>
          <w:szCs w:val="24"/>
        </w:rPr>
        <w:t/>
      </w:r>
      <w:r w:rsidR="00B4574E" w:rsidRPr="00300250">
        <w:rPr>
          <w:rFonts w:ascii="Times New Roman" w:hAnsi="Times New Roman" w:cs="Times New Roman"/>
          <w:b/>
          <w:bCs/>
          <w:sz w:val="24"/>
          <w:szCs w:val="24"/>
          <w:vertAlign w:val="superscript"/>
        </w:rPr>
        <w:t xml:space="preserve"/>
      </w:r>
      <w:r w:rsidR="00EB21FE" w:rsidRPr="00300250">
        <w:rPr>
          <w:rFonts w:ascii="Times New Roman" w:hAnsi="Times New Roman" w:cs="Times New Roman"/>
          <w:b/>
          <w:bCs/>
          <w:sz w:val="24"/>
          <w:szCs w:val="24"/>
        </w:rPr>
        <w:t xml:space="preserve"/>
      </w:r>
      <w:r w:rsidRPr="00300250">
        <w:rPr>
          <w:rFonts w:ascii="Times New Roman" w:hAnsi="Times New Roman" w:cs="Times New Roman"/>
          <w:b/>
          <w:bCs/>
          <w:sz w:val="24"/>
          <w:szCs w:val="24"/>
        </w:rPr>
        <w:t/>
      </w:r>
      <w:r w:rsidRPr="00300250">
        <w:rPr>
          <w:rFonts w:ascii="Times New Roman" w:hAnsi="Times New Roman" w:cs="Times New Roman"/>
          <w:b/>
          <w:bCs/>
          <w:sz w:val="24"/>
          <w:szCs w:val="24"/>
          <w:vertAlign w:val="superscript"/>
        </w:rPr>
        <w:t/>
      </w:r>
    </w:p>
    <w:p w14:paraId="21A53FF6" w14:textId="3661DEDD" w:rsidR="00A76D2E" w:rsidRPr="004C414F" w:rsidRDefault="00C7100A" w:rsidP="00F54B62">
      <w:pPr>
        <w:spacing w:after="0" w:line="240" w:lineRule="auto"/>
        <w:jc w:val="center"/>
        <w:rPr>
          <w:rFonts w:ascii="Times New Roman" w:hAnsi="Times New Roman" w:cs="Times New Roman"/>
          <w:i/>
          <w:iCs/>
          <w:sz w:val="18"/>
          <w:szCs w:val="18"/>
        </w:rPr>
      </w:pPr>
      <w:r w:rsidRPr="004C414F">
        <w:rPr>
          <w:rFonts w:ascii="Times New Roman" w:hAnsi="Times New Roman" w:cs="Times New Roman"/>
          <w:i/>
          <w:iCs/>
          <w:sz w:val="18"/>
          <w:szCs w:val="18"/>
          <w:vertAlign w:val="superscript"/>
        </w:rPr>
        <w:t/>
      </w:r>
      <w:r w:rsidR="00A644BD" w:rsidRPr="004C414F">
        <w:rPr>
          <w:rFonts w:ascii="Times New Roman" w:hAnsi="Times New Roman" w:cs="Times New Roman"/>
          <w:i/>
          <w:iCs/>
          <w:sz w:val="18"/>
          <w:szCs w:val="18"/>
        </w:rPr>
        <w:t/>
      </w:r>
      <w:r w:rsidR="00F54B62" w:rsidRPr="004C414F">
        <w:rPr>
          <w:rFonts w:ascii="Times New Roman" w:hAnsi="Times New Roman" w:cs="Times New Roman"/>
          <w:i/>
          <w:iCs/>
          <w:sz w:val="18"/>
          <w:szCs w:val="18"/>
        </w:rPr>
        <w:t xml:space="preserve"/>
      </w:r>
      <w:r w:rsidR="00A644BD" w:rsidRPr="004C414F">
        <w:rPr>
          <w:rFonts w:ascii="Times New Roman" w:hAnsi="Times New Roman" w:cs="Times New Roman"/>
          <w:b/>
          <w:bCs/>
          <w:i/>
          <w:iCs/>
          <w:sz w:val="18"/>
          <w:szCs w:val="18"/>
        </w:rPr>
        <w:t/>
      </w:r>
      <w:r w:rsidR="00A644BD" w:rsidRPr="004C414F">
        <w:rPr>
          <w:rFonts w:ascii="Times New Roman" w:hAnsi="Times New Roman" w:cs="Times New Roman"/>
          <w:i/>
          <w:iCs/>
          <w:sz w:val="18"/>
          <w:szCs w:val="18"/>
        </w:rPr>
        <w:t xml:space="preserve"/>
      </w:r>
    </w:p>
    <w:p w14:paraId="72C7C586" w14:textId="77777777" w:rsidR="00E67E5D" w:rsidRDefault="00C7100A" w:rsidP="00F54B62">
      <w:pPr>
        <w:spacing w:after="0" w:line="240" w:lineRule="auto"/>
        <w:jc w:val="center"/>
        <w:rPr>
          <w:rFonts w:ascii="Times New Roman" w:hAnsi="Times New Roman" w:cs="Times New Roman"/>
          <w:i/>
          <w:iCs/>
          <w:sz w:val="18"/>
          <w:szCs w:val="18"/>
        </w:rPr>
      </w:pPr>
      <w:r w:rsidRPr="004C414F">
        <w:rPr>
          <w:rFonts w:ascii="Times New Roman" w:hAnsi="Times New Roman" w:cs="Times New Roman"/>
          <w:i/>
          <w:iCs/>
          <w:sz w:val="18"/>
          <w:szCs w:val="18"/>
          <w:vertAlign w:val="superscript"/>
        </w:rPr>
        <w:t/>
      </w:r>
      <w:r w:rsidR="00CF42D1" w:rsidRPr="004C414F">
        <w:rPr>
          <w:rFonts w:ascii="Times New Roman" w:hAnsi="Times New Roman" w:cs="Times New Roman"/>
          <w:i/>
          <w:iCs/>
          <w:sz w:val="18"/>
          <w:szCs w:val="18"/>
        </w:rPr>
        <w:t/>
      </w:r>
      <w:r w:rsidR="00E95340" w:rsidRPr="004C414F">
        <w:rPr>
          <w:rFonts w:ascii="Times New Roman" w:hAnsi="Times New Roman" w:cs="Times New Roman"/>
          <w:i/>
          <w:iCs/>
          <w:sz w:val="18"/>
          <w:szCs w:val="18"/>
        </w:rPr>
        <w:t xml:space="preserve"/>
      </w:r>
      <w:r w:rsidR="00F54B62" w:rsidRPr="004C414F">
        <w:rPr>
          <w:rFonts w:ascii="Times New Roman" w:hAnsi="Times New Roman" w:cs="Times New Roman"/>
          <w:i/>
          <w:iCs/>
          <w:sz w:val="18"/>
          <w:szCs w:val="18"/>
        </w:rPr>
        <w:t xml:space="preserve"/>
      </w:r>
      <w:r w:rsidR="00553FB4" w:rsidRPr="004C414F">
        <w:rPr>
          <w:rFonts w:ascii="Times New Roman" w:hAnsi="Times New Roman" w:cs="Times New Roman"/>
          <w:b/>
          <w:bCs/>
          <w:i/>
          <w:iCs/>
          <w:sz w:val="18"/>
          <w:szCs w:val="18"/>
        </w:rPr>
        <w:t xml:space="preserve"/>
      </w:r>
      <w:hyperlink r:id="rId7" w:tgtFrame="_blank" w:history="1">
        <w:r w:rsidR="00553FB4" w:rsidRPr="004C414F">
          <w:rPr>
            <w:rStyle w:val="Hyperlink"/>
            <w:rFonts w:ascii="Times New Roman" w:hAnsi="Times New Roman" w:cs="Times New Roman"/>
            <w:i/>
            <w:iCs/>
            <w:sz w:val="18"/>
            <w:szCs w:val="18"/>
          </w:rPr>
          <w:t/>
        </w:r>
      </w:hyperlink>
      <w:r w:rsidR="00F54B62" w:rsidRPr="004C414F">
        <w:rPr>
          <w:rFonts w:ascii="Times New Roman" w:hAnsi="Times New Roman" w:cs="Times New Roman"/>
          <w:i/>
          <w:iCs/>
          <w:sz w:val="18"/>
          <w:szCs w:val="18"/>
        </w:rPr>
        <w:t xml:space="preserve"/>
      </w:r>
    </w:p>
    <w:p w14:paraId="17E6575B" w14:textId="1B7BADD0" w:rsidR="00A76D2E" w:rsidRPr="004C414F" w:rsidRDefault="00C7100A" w:rsidP="00F54B62">
      <w:pPr>
        <w:spacing w:after="0" w:line="240" w:lineRule="auto"/>
        <w:jc w:val="center"/>
        <w:rPr>
          <w:rFonts w:ascii="Times New Roman" w:hAnsi="Times New Roman" w:cs="Times New Roman"/>
          <w:i/>
          <w:iCs/>
          <w:sz w:val="18"/>
          <w:szCs w:val="18"/>
        </w:rPr>
      </w:pPr>
      <w:r w:rsidRPr="004C414F">
        <w:rPr>
          <w:rFonts w:ascii="Times New Roman" w:hAnsi="Times New Roman" w:cs="Times New Roman"/>
          <w:i/>
          <w:iCs/>
          <w:sz w:val="18"/>
          <w:szCs w:val="18"/>
          <w:vertAlign w:val="superscript"/>
        </w:rPr>
        <w:t/>
      </w:r>
      <w:r w:rsidR="00A644BD" w:rsidRPr="004C414F">
        <w:rPr>
          <w:rFonts w:ascii="Times New Roman" w:hAnsi="Times New Roman" w:cs="Times New Roman"/>
          <w:i/>
          <w:iCs/>
          <w:sz w:val="18"/>
          <w:szCs w:val="18"/>
        </w:rPr>
        <w:t/>
      </w:r>
      <w:r w:rsidR="00A644BD" w:rsidRPr="004C414F">
        <w:rPr>
          <w:rFonts w:ascii="Times New Roman" w:hAnsi="Times New Roman" w:cs="Times New Roman"/>
          <w:b/>
          <w:bCs/>
          <w:i/>
          <w:iCs/>
          <w:sz w:val="18"/>
          <w:szCs w:val="18"/>
          <w:vertAlign w:val="superscript"/>
        </w:rPr>
        <w:t xml:space="preserve"/>
      </w:r>
      <w:r w:rsidR="00A644BD" w:rsidRPr="004C414F">
        <w:rPr>
          <w:rFonts w:ascii="Times New Roman" w:hAnsi="Times New Roman" w:cs="Times New Roman"/>
          <w:i/>
          <w:iCs/>
          <w:sz w:val="18"/>
          <w:szCs w:val="18"/>
        </w:rPr>
        <w:t/>
      </w:r>
      <w:r w:rsidR="00F54B62" w:rsidRPr="004C414F">
        <w:rPr>
          <w:rFonts w:ascii="Times New Roman" w:hAnsi="Times New Roman" w:cs="Times New Roman"/>
          <w:i/>
          <w:iCs/>
          <w:sz w:val="18"/>
          <w:szCs w:val="18"/>
        </w:rPr>
        <w:t xml:space="preserve"/>
      </w:r>
      <w:r w:rsidR="00A644BD" w:rsidRPr="004C414F">
        <w:rPr>
          <w:rFonts w:ascii="Times New Roman" w:hAnsi="Times New Roman" w:cs="Times New Roman"/>
          <w:b/>
          <w:bCs/>
          <w:i/>
          <w:iCs/>
          <w:sz w:val="18"/>
          <w:szCs w:val="18"/>
        </w:rPr>
        <w:t xml:space="preserve"/>
      </w:r>
      <w:r w:rsidR="00A644BD" w:rsidRPr="004C414F">
        <w:rPr>
          <w:rFonts w:ascii="Times New Roman" w:hAnsi="Times New Roman" w:cs="Times New Roman"/>
          <w:i/>
          <w:iCs/>
          <w:sz w:val="18"/>
          <w:szCs w:val="18"/>
        </w:rPr>
        <w:t/>
      </w:r>
    </w:p>
    <w:p w14:paraId="0AA5BBEE" w14:textId="77777777" w:rsidR="00F54B62" w:rsidRPr="004C414F" w:rsidRDefault="00F54B62" w:rsidP="004E5AA6">
      <w:pPr>
        <w:spacing w:after="0" w:line="240" w:lineRule="auto"/>
        <w:jc w:val="both"/>
        <w:rPr>
          <w:rFonts w:ascii="Times New Roman" w:hAnsi="Times New Roman" w:cs="Times New Roman"/>
          <w:b/>
          <w:bCs/>
          <w:i/>
          <w:iCs/>
          <w:sz w:val="28"/>
          <w:szCs w:val="28"/>
        </w:rPr>
      </w:pPr>
    </w:p>
    <w:p w14:paraId="1DA335FD" w14:textId="27B48088" w:rsidR="00355A3F" w:rsidRPr="00EB21FE" w:rsidRDefault="00355A3F" w:rsidP="00355A3F">
      <w:pPr>
        <w:spacing w:after="0" w:line="240" w:lineRule="auto"/>
        <w:jc w:val="center"/>
        <w:rPr>
          <w:rFonts w:ascii="Times New Roman" w:hAnsi="Times New Roman" w:cs="Times New Roman"/>
          <w:sz w:val="20"/>
          <w:szCs w:val="20"/>
        </w:rPr>
      </w:pPr>
      <w:r w:rsidRPr="00EB21FE">
        <w:rPr>
          <w:rFonts w:ascii="Times New Roman" w:hAnsi="Times New Roman" w:cs="Times New Roman"/>
          <w:sz w:val="20"/>
          <w:szCs w:val="20"/>
        </w:rPr>
        <w:t xml:space="preserve"/>
      </w:r>
      <w:r w:rsidR="00030032" w:rsidRPr="00EB21FE">
        <w:rPr>
          <w:rFonts w:ascii="Times New Roman" w:hAnsi="Times New Roman" w:cs="Times New Roman"/>
          <w:sz w:val="20"/>
          <w:szCs w:val="20"/>
        </w:rPr>
        <w:t xml:space="preserve"/>
      </w:r>
      <w:hyperlink r:id="rId8" w:tgtFrame="_blank" w:history="1">
        <w:r w:rsidRPr="00EB21FE">
          <w:rPr>
            <w:rStyle w:val="Hyperlink"/>
            <w:rFonts w:ascii="Times New Roman" w:hAnsi="Times New Roman" w:cs="Times New Roman"/>
            <w:sz w:val="20"/>
            <w:szCs w:val="20"/>
          </w:rPr>
          <w:t/>
        </w:r>
      </w:hyperlink>
    </w:p>
    <w:p w14:paraId="4FB0E4C5" w14:textId="77777777" w:rsidR="00030032" w:rsidRDefault="00030032" w:rsidP="00355A3F">
      <w:pPr>
        <w:spacing w:after="0" w:line="240" w:lineRule="auto"/>
        <w:jc w:val="center"/>
        <w:rPr>
          <w:rFonts w:ascii="Times New Roman" w:hAnsi="Times New Roman" w:cs="Times New Roman"/>
          <w:sz w:val="18"/>
          <w:szCs w:val="18"/>
        </w:rPr>
      </w:pPr>
    </w:p>
    <w:p w14:paraId="0CDA0B8A" w14:textId="68B9166B" w:rsidR="00030032" w:rsidRDefault="00030032" w:rsidP="00355A3F">
      <w:pPr>
        <w:spacing w:after="0" w:line="240" w:lineRule="auto"/>
        <w:jc w:val="center"/>
        <w:rPr>
          <w:rFonts w:ascii="Times New Roman" w:hAnsi="Times New Roman" w:cs="Times New Roman"/>
          <w:sz w:val="20"/>
          <w:szCs w:val="20"/>
        </w:rPr>
      </w:pPr>
      <w:r w:rsidRPr="00030032">
        <w:rPr>
          <w:rFonts w:ascii="Times New Roman" w:hAnsi="Times New Roman" w:cs="Times New Roman"/>
          <w:sz w:val="20"/>
          <w:szCs w:val="20"/>
        </w:rPr>
        <w:t xml:space="preserve"/>
      </w:r>
      <w:r w:rsidR="00351DF4">
        <w:rPr>
          <w:rFonts w:ascii="Times New Roman" w:hAnsi="Times New Roman" w:cs="Times New Roman"/>
          <w:sz w:val="20"/>
          <w:szCs w:val="20"/>
        </w:rPr>
        <w:t xml:space="preserve"/>
      </w:r>
      <w:r w:rsidRPr="00030032">
        <w:rPr>
          <w:rFonts w:ascii="Times New Roman" w:hAnsi="Times New Roman" w:cs="Times New Roman"/>
          <w:sz w:val="20"/>
          <w:szCs w:val="20"/>
        </w:rPr>
        <w:t xml:space="preserve"/>
      </w:r>
      <w:r w:rsidR="004C414F">
        <w:rPr>
          <w:rFonts w:ascii="Times New Roman" w:hAnsi="Times New Roman" w:cs="Times New Roman"/>
          <w:sz w:val="20"/>
          <w:szCs w:val="20"/>
        </w:rPr>
        <w:t xml:space="preserve"/>
      </w:r>
      <w:r w:rsidRPr="00030032">
        <w:rPr>
          <w:rFonts w:ascii="Times New Roman" w:hAnsi="Times New Roman" w:cs="Times New Roman"/>
          <w:sz w:val="20"/>
          <w:szCs w:val="20"/>
        </w:rPr>
        <w:t xml:space="preserve"/>
      </w:r>
      <w:r w:rsidR="004C414F">
        <w:rPr>
          <w:rFonts w:ascii="Times New Roman" w:hAnsi="Times New Roman" w:cs="Times New Roman"/>
          <w:sz w:val="20"/>
          <w:szCs w:val="20"/>
        </w:rPr>
        <w:t xml:space="preserve"/>
      </w:r>
      <w:r w:rsidR="00351DF4">
        <w:rPr>
          <w:rFonts w:ascii="Times New Roman" w:hAnsi="Times New Roman" w:cs="Times New Roman"/>
          <w:sz w:val="20"/>
          <w:szCs w:val="20"/>
        </w:rPr>
        <w:t xml:space="preserve"/>
      </w:r>
      <w:r w:rsidR="004C414F">
        <w:rPr>
          <w:rFonts w:ascii="Times New Roman" w:hAnsi="Times New Roman" w:cs="Times New Roman"/>
          <w:sz w:val="20"/>
          <w:szCs w:val="20"/>
        </w:rPr>
        <w:t xml:space="preserve"/>
      </w:r>
      <w:r w:rsidRPr="00030032">
        <w:rPr>
          <w:rFonts w:ascii="Times New Roman" w:hAnsi="Times New Roman" w:cs="Times New Roman"/>
          <w:sz w:val="20"/>
          <w:szCs w:val="20"/>
        </w:rPr>
        <w:t xml:space="preserve"/>
      </w:r>
    </w:p>
    <w:p w14:paraId="00C8D7D3" w14:textId="45623E3C" w:rsidR="00030032" w:rsidRPr="00030032" w:rsidRDefault="00030032" w:rsidP="00355A3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w:r>
    </w:p>
    <w:p w14:paraId="7FFD4E9F" w14:textId="77777777" w:rsidR="00030032" w:rsidRDefault="00030032" w:rsidP="004E5AA6">
      <w:pPr>
        <w:spacing w:after="0" w:line="240" w:lineRule="auto"/>
        <w:jc w:val="both"/>
        <w:rPr>
          <w:rFonts w:ascii="Times New Roman" w:hAnsi="Times New Roman" w:cs="Times New Roman"/>
          <w:b/>
          <w:bCs/>
          <w:sz w:val="24"/>
          <w:szCs w:val="24"/>
        </w:rPr>
        <w:sectPr w:rsidR="0003003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43A97272" w14:textId="3D0A2416" w:rsidR="00466959" w:rsidRDefault="00953A3F" w:rsidP="00207B49">
      <w:pPr>
        <w:spacing w:after="0" w:line="240" w:lineRule="auto"/>
        <w:jc w:val="center"/>
        <w:rPr>
          <w:rFonts w:ascii="Times New Roman" w:hAnsi="Times New Roman" w:cs="Times New Roman"/>
          <w:b/>
          <w:bCs/>
          <w:sz w:val="24"/>
          <w:szCs w:val="24"/>
        </w:rPr>
      </w:pPr>
      <w:r w:rsidRPr="00953A3F">
        <w:rPr>
          <w:rFonts w:ascii="Times New Roman" w:hAnsi="Times New Roman" w:cs="Times New Roman"/>
          <w:b/>
          <w:bCs/>
          <w:sz w:val="24"/>
          <w:szCs w:val="24"/>
        </w:rPr>
        <w:t>Abstract</w:t>
      </w:r>
    </w:p>
    <w:p w14:paraId="2FC389AE" w14:textId="15B3721D" w:rsidR="00D22248" w:rsidRPr="00D22248" w:rsidRDefault="00D22248" w:rsidP="00D22248">
      <w:pPr>
        <w:spacing w:line="240" w:lineRule="auto"/>
        <w:jc w:val="both"/>
        <w:rPr>
          <w:rFonts w:ascii="Times New Roman" w:hAnsi="Times New Roman" w:cs="Times New Roman"/>
          <w:b/>
          <w:bCs/>
          <w:sz w:val="20"/>
          <w:szCs w:val="20"/>
        </w:rPr>
      </w:pPr>
      <w:r w:rsidRPr="00D22248">
        <w:rPr>
          <w:rFonts w:ascii="Times New Roman" w:hAnsi="Times New Roman" w:cs="Times New Roman"/>
          <w:b/>
          <w:bCs/>
          <w:sz w:val="20"/>
          <w:szCs w:val="20"/>
        </w:rPr>
        <w:t xml:space="preserve">The commercialisation of traditional fermented drinks poses a challenge in Northeast India. Furthermore, it opens up global market opportunities for the people of the Northeast; however, it also brings risks to local culture and knowledge. The study examines ways to improve indigenous brewing systems for the Boros 'jou', the Dimasas 'judima', and the Deoris 'sujen'. It does this by examining ethnobiology, chemical engineering, and liquor control. The study shows that Assamese starter cultures, such as Pitha, Humao, and Emao, are very effective in biotechnology. These starters help </w:t>
      </w:r>
      <w:r w:rsidR="00D2037A">
        <w:rPr>
          <w:rFonts w:ascii="Times New Roman" w:hAnsi="Times New Roman" w:cs="Times New Roman"/>
          <w:b/>
          <w:bCs/>
          <w:sz w:val="20"/>
          <w:szCs w:val="20"/>
        </w:rPr>
        <w:t>lower the Glycemic index through</w:t>
      </w:r>
      <w:r w:rsidRPr="00D22248">
        <w:rPr>
          <w:rFonts w:ascii="Times New Roman" w:hAnsi="Times New Roman" w:cs="Times New Roman"/>
          <w:b/>
          <w:bCs/>
          <w:sz w:val="20"/>
          <w:szCs w:val="20"/>
        </w:rPr>
        <w:t xml:space="preserve"> organic acids and </w:t>
      </w:r>
      <w:r w:rsidR="00D2037A">
        <w:rPr>
          <w:rFonts w:ascii="Times New Roman" w:hAnsi="Times New Roman" w:cs="Times New Roman"/>
          <w:b/>
          <w:bCs/>
          <w:sz w:val="20"/>
          <w:szCs w:val="20"/>
        </w:rPr>
        <w:t>support</w:t>
      </w:r>
      <w:r w:rsidRPr="00D22248">
        <w:rPr>
          <w:rFonts w:ascii="Times New Roman" w:hAnsi="Times New Roman" w:cs="Times New Roman"/>
          <w:b/>
          <w:bCs/>
          <w:sz w:val="20"/>
          <w:szCs w:val="20"/>
        </w:rPr>
        <w:t xml:space="preserve"> good health with probiotics. To reduce corporate dominance in the industry</w:t>
      </w:r>
      <w:r w:rsidR="00D2037A">
        <w:rPr>
          <w:rFonts w:ascii="Times New Roman" w:hAnsi="Times New Roman" w:cs="Times New Roman"/>
          <w:b/>
          <w:bCs/>
          <w:sz w:val="20"/>
          <w:szCs w:val="20"/>
        </w:rPr>
        <w:t>,</w:t>
      </w:r>
      <w:r w:rsidRPr="00D22248">
        <w:rPr>
          <w:rFonts w:ascii="Times New Roman" w:hAnsi="Times New Roman" w:cs="Times New Roman"/>
          <w:b/>
          <w:bCs/>
          <w:sz w:val="20"/>
          <w:szCs w:val="20"/>
        </w:rPr>
        <w:t xml:space="preserve"> the current study proposes a model based on the Japanese Koji and Korean Nuruk fermentation </w:t>
      </w:r>
      <w:r w:rsidR="00D2037A">
        <w:rPr>
          <w:rFonts w:ascii="Times New Roman" w:hAnsi="Times New Roman" w:cs="Times New Roman"/>
          <w:b/>
          <w:bCs/>
          <w:sz w:val="20"/>
          <w:szCs w:val="20"/>
        </w:rPr>
        <w:t>systems</w:t>
      </w:r>
      <w:r w:rsidRPr="00D22248">
        <w:rPr>
          <w:rFonts w:ascii="Times New Roman" w:hAnsi="Times New Roman" w:cs="Times New Roman"/>
          <w:b/>
          <w:bCs/>
          <w:sz w:val="20"/>
          <w:szCs w:val="20"/>
        </w:rPr>
        <w:t xml:space="preserve">. The idea is to make the traditional production reliable. Alongside these technical improvements, the study also recommends flexible policy reforms based on Japan’s "Special Doburoku Zones," which support small-scale producers from the Northeast while maintaining regulatory oversight and sustainable livelihood. The government also wants to create rules to protect areas where food and drinks are made. This way of doing things helps the environment and the people who live there. It shows that companies can make money while also helping nature. This also helps to restore areas and supports the rights </w:t>
      </w:r>
      <w:r w:rsidRPr="00D22248">
        <w:rPr>
          <w:rFonts w:ascii="Times New Roman" w:hAnsi="Times New Roman" w:cs="Times New Roman"/>
          <w:b/>
          <w:bCs/>
          <w:sz w:val="20"/>
          <w:szCs w:val="20"/>
        </w:rPr>
        <w:t>of local tribes. It also helps protect people's independence.</w:t>
      </w:r>
    </w:p>
    <w:p w14:paraId="51CCF8A2" w14:textId="05BB7EB7" w:rsidR="00953A3F" w:rsidRPr="00207B49" w:rsidRDefault="00953A3F" w:rsidP="001858CC">
      <w:pPr>
        <w:spacing w:line="240" w:lineRule="auto"/>
        <w:jc w:val="both"/>
        <w:rPr>
          <w:rFonts w:ascii="Times New Roman" w:hAnsi="Times New Roman" w:cs="Times New Roman"/>
          <w:i/>
          <w:iCs/>
          <w:sz w:val="20"/>
          <w:szCs w:val="20"/>
        </w:rPr>
      </w:pPr>
      <w:r w:rsidRPr="001858CC">
        <w:rPr>
          <w:rFonts w:ascii="Times New Roman" w:hAnsi="Times New Roman" w:cs="Times New Roman"/>
          <w:b/>
          <w:bCs/>
          <w:sz w:val="20"/>
          <w:szCs w:val="20"/>
        </w:rPr>
        <w:t>Keywords</w:t>
      </w:r>
      <w:r w:rsidR="000E5704" w:rsidRPr="001858CC">
        <w:rPr>
          <w:rFonts w:ascii="Times New Roman" w:hAnsi="Times New Roman" w:cs="Times New Roman"/>
          <w:b/>
          <w:bCs/>
          <w:sz w:val="20"/>
          <w:szCs w:val="20"/>
        </w:rPr>
        <w:t>:</w:t>
      </w:r>
      <w:r w:rsidR="00CE06CC" w:rsidRPr="001858CC">
        <w:rPr>
          <w:rFonts w:ascii="Times New Roman" w:hAnsi="Times New Roman" w:cs="Times New Roman"/>
          <w:b/>
          <w:bCs/>
          <w:sz w:val="20"/>
          <w:szCs w:val="20"/>
        </w:rPr>
        <w:t xml:space="preserve">  </w:t>
      </w:r>
      <w:r w:rsidR="00CE06CC" w:rsidRPr="00207B49">
        <w:rPr>
          <w:rFonts w:ascii="Times New Roman" w:hAnsi="Times New Roman" w:cs="Times New Roman"/>
          <w:i/>
          <w:iCs/>
          <w:sz w:val="20"/>
          <w:szCs w:val="20"/>
        </w:rPr>
        <w:t>Bioprocess Scale-Up, Japanese Sake Regulations, Special Doburoku Zones, Northeast India Tribal Breweries, Glycemic Index Suppression, Cyclic Restoration, Regenerative Bio-Economy Loop</w:t>
      </w:r>
    </w:p>
    <w:p w14:paraId="7C1900D7" w14:textId="63497BF6" w:rsidR="00217142" w:rsidRDefault="00565E8B" w:rsidP="00207B49">
      <w:pPr>
        <w:spacing w:after="0" w:line="240" w:lineRule="auto"/>
        <w:jc w:val="center"/>
        <w:rPr>
          <w:rFonts w:ascii="Times New Roman" w:hAnsi="Times New Roman" w:cs="Times New Roman"/>
          <w:b/>
          <w:bCs/>
          <w:sz w:val="28"/>
          <w:szCs w:val="28"/>
        </w:rPr>
      </w:pPr>
      <w:r w:rsidRPr="005140A1">
        <w:rPr>
          <w:rFonts w:ascii="Times New Roman" w:hAnsi="Times New Roman" w:cs="Times New Roman"/>
          <w:b/>
          <w:bCs/>
          <w:sz w:val="24"/>
          <w:szCs w:val="24"/>
        </w:rPr>
        <w:t>Introduction</w:t>
      </w:r>
    </w:p>
    <w:p w14:paraId="5D36D4B8" w14:textId="4DD9258E" w:rsidR="00825776" w:rsidRPr="00653396" w:rsidRDefault="007971C5" w:rsidP="00207B49">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In the </w:t>
      </w:r>
      <w:r w:rsidR="00181335" w:rsidRPr="00653396">
        <w:rPr>
          <w:rFonts w:ascii="Times New Roman" w:hAnsi="Times New Roman" w:cs="Times New Roman"/>
          <w:sz w:val="20"/>
          <w:szCs w:val="20"/>
        </w:rPr>
        <w:t>modern era</w:t>
      </w:r>
      <w:r w:rsidR="00FD79E1" w:rsidRPr="00653396">
        <w:rPr>
          <w:rFonts w:ascii="Times New Roman" w:hAnsi="Times New Roman" w:cs="Times New Roman"/>
          <w:sz w:val="20"/>
          <w:szCs w:val="20"/>
        </w:rPr>
        <w:t>, the</w:t>
      </w:r>
      <w:r w:rsidR="00181335" w:rsidRPr="00653396">
        <w:rPr>
          <w:rFonts w:ascii="Times New Roman" w:hAnsi="Times New Roman" w:cs="Times New Roman"/>
          <w:sz w:val="20"/>
          <w:szCs w:val="20"/>
        </w:rPr>
        <w:t xml:space="preserve"> commercialisation of </w:t>
      </w:r>
      <w:r w:rsidR="00FD79E1" w:rsidRPr="00653396">
        <w:rPr>
          <w:rFonts w:ascii="Times New Roman" w:hAnsi="Times New Roman" w:cs="Times New Roman"/>
          <w:sz w:val="20"/>
          <w:szCs w:val="20"/>
        </w:rPr>
        <w:t xml:space="preserve">traditional fermented </w:t>
      </w:r>
      <w:r w:rsidR="00EF595B" w:rsidRPr="00653396">
        <w:rPr>
          <w:rFonts w:ascii="Times New Roman" w:hAnsi="Times New Roman" w:cs="Times New Roman"/>
          <w:sz w:val="20"/>
          <w:szCs w:val="20"/>
        </w:rPr>
        <w:t xml:space="preserve">drinks </w:t>
      </w:r>
      <w:r w:rsidR="00BE43B7" w:rsidRPr="00653396">
        <w:rPr>
          <w:rFonts w:ascii="Times New Roman" w:hAnsi="Times New Roman" w:cs="Times New Roman"/>
          <w:sz w:val="20"/>
          <w:szCs w:val="20"/>
        </w:rPr>
        <w:t xml:space="preserve">can bring social and ecological </w:t>
      </w:r>
      <w:r w:rsidR="00F21105" w:rsidRPr="00653396">
        <w:rPr>
          <w:rFonts w:ascii="Times New Roman" w:hAnsi="Times New Roman" w:cs="Times New Roman"/>
          <w:sz w:val="20"/>
          <w:szCs w:val="20"/>
        </w:rPr>
        <w:t>challenges</w:t>
      </w:r>
      <w:r w:rsidR="00BE43B7" w:rsidRPr="00653396">
        <w:rPr>
          <w:rFonts w:ascii="Times New Roman" w:hAnsi="Times New Roman" w:cs="Times New Roman"/>
          <w:sz w:val="20"/>
          <w:szCs w:val="20"/>
        </w:rPr>
        <w:t xml:space="preserve">. </w:t>
      </w:r>
      <w:r w:rsidR="00784707" w:rsidRPr="00653396">
        <w:rPr>
          <w:rFonts w:ascii="Times New Roman" w:hAnsi="Times New Roman" w:cs="Times New Roman"/>
          <w:sz w:val="20"/>
          <w:szCs w:val="20"/>
        </w:rPr>
        <w:t xml:space="preserve">However, </w:t>
      </w:r>
      <w:r w:rsidR="00593E5D" w:rsidRPr="00653396">
        <w:rPr>
          <w:rFonts w:ascii="Times New Roman" w:hAnsi="Times New Roman" w:cs="Times New Roman"/>
          <w:sz w:val="20"/>
          <w:szCs w:val="20"/>
        </w:rPr>
        <w:t xml:space="preserve">integration </w:t>
      </w:r>
      <w:r w:rsidR="00710453" w:rsidRPr="00653396">
        <w:rPr>
          <w:rFonts w:ascii="Times New Roman" w:hAnsi="Times New Roman" w:cs="Times New Roman"/>
          <w:sz w:val="20"/>
          <w:szCs w:val="20"/>
        </w:rPr>
        <w:t>into the</w:t>
      </w:r>
      <w:r w:rsidR="00593E5D" w:rsidRPr="00653396">
        <w:rPr>
          <w:rFonts w:ascii="Times New Roman" w:hAnsi="Times New Roman" w:cs="Times New Roman"/>
          <w:sz w:val="20"/>
          <w:szCs w:val="20"/>
        </w:rPr>
        <w:t xml:space="preserve"> global market </w:t>
      </w:r>
      <w:r w:rsidR="00710453" w:rsidRPr="00653396">
        <w:rPr>
          <w:rFonts w:ascii="Times New Roman" w:hAnsi="Times New Roman" w:cs="Times New Roman"/>
          <w:sz w:val="20"/>
          <w:szCs w:val="20"/>
        </w:rPr>
        <w:t xml:space="preserve">can bring economic improvement and sustainability </w:t>
      </w:r>
      <w:r w:rsidR="00217711" w:rsidRPr="00653396">
        <w:rPr>
          <w:rFonts w:ascii="Times New Roman" w:hAnsi="Times New Roman" w:cs="Times New Roman"/>
          <w:sz w:val="20"/>
          <w:szCs w:val="20"/>
        </w:rPr>
        <w:t xml:space="preserve">to the indigenous tribal communities. </w:t>
      </w:r>
      <w:r w:rsidR="006208BB" w:rsidRPr="00653396">
        <w:rPr>
          <w:rFonts w:ascii="Times New Roman" w:hAnsi="Times New Roman" w:cs="Times New Roman"/>
          <w:sz w:val="20"/>
          <w:szCs w:val="20"/>
        </w:rPr>
        <w:t xml:space="preserve">However, </w:t>
      </w:r>
      <w:r w:rsidR="00891673" w:rsidRPr="00653396">
        <w:rPr>
          <w:rFonts w:ascii="Times New Roman" w:hAnsi="Times New Roman" w:cs="Times New Roman"/>
          <w:sz w:val="20"/>
          <w:szCs w:val="20"/>
        </w:rPr>
        <w:t xml:space="preserve">the </w:t>
      </w:r>
      <w:r w:rsidR="006208BB" w:rsidRPr="00653396">
        <w:rPr>
          <w:rFonts w:ascii="Times New Roman" w:hAnsi="Times New Roman" w:cs="Times New Roman"/>
          <w:sz w:val="20"/>
          <w:szCs w:val="20"/>
        </w:rPr>
        <w:t xml:space="preserve">industrialisation of ethnic and cultural drinks </w:t>
      </w:r>
      <w:r w:rsidR="00891673" w:rsidRPr="00653396">
        <w:rPr>
          <w:rFonts w:ascii="Times New Roman" w:hAnsi="Times New Roman" w:cs="Times New Roman"/>
          <w:sz w:val="20"/>
          <w:szCs w:val="20"/>
        </w:rPr>
        <w:t xml:space="preserve">might harm the biocultural </w:t>
      </w:r>
      <w:r w:rsidR="003D11DC" w:rsidRPr="00653396">
        <w:rPr>
          <w:rFonts w:ascii="Times New Roman" w:hAnsi="Times New Roman" w:cs="Times New Roman"/>
          <w:sz w:val="20"/>
          <w:szCs w:val="20"/>
        </w:rPr>
        <w:t>systems</w:t>
      </w:r>
      <w:r w:rsidR="0090371A" w:rsidRPr="00653396">
        <w:rPr>
          <w:rFonts w:ascii="Times New Roman" w:hAnsi="Times New Roman" w:cs="Times New Roman"/>
          <w:sz w:val="20"/>
          <w:szCs w:val="20"/>
        </w:rPr>
        <w:t xml:space="preserve"> that have been used (</w:t>
      </w:r>
      <w:r w:rsidR="0068428E" w:rsidRPr="00653396">
        <w:rPr>
          <w:rFonts w:ascii="Times New Roman" w:hAnsi="Times New Roman" w:cs="Times New Roman"/>
          <w:sz w:val="20"/>
          <w:szCs w:val="20"/>
        </w:rPr>
        <w:t>Nezine,2020)</w:t>
      </w:r>
      <w:r w:rsidR="0090371A" w:rsidRPr="00653396">
        <w:rPr>
          <w:rFonts w:ascii="Times New Roman" w:hAnsi="Times New Roman" w:cs="Times New Roman"/>
          <w:sz w:val="20"/>
          <w:szCs w:val="20"/>
        </w:rPr>
        <w:t xml:space="preserve">. </w:t>
      </w:r>
      <w:r w:rsidR="00083662" w:rsidRPr="00653396">
        <w:rPr>
          <w:rFonts w:ascii="Times New Roman" w:hAnsi="Times New Roman" w:cs="Times New Roman"/>
          <w:sz w:val="20"/>
          <w:szCs w:val="20"/>
        </w:rPr>
        <w:t xml:space="preserve">In the field of </w:t>
      </w:r>
      <w:r w:rsidR="00444F50" w:rsidRPr="00653396">
        <w:rPr>
          <w:rFonts w:ascii="Times New Roman" w:hAnsi="Times New Roman" w:cs="Times New Roman"/>
          <w:sz w:val="20"/>
          <w:szCs w:val="20"/>
        </w:rPr>
        <w:t xml:space="preserve">ethnobotanical </w:t>
      </w:r>
      <w:r w:rsidR="00503867" w:rsidRPr="00653396">
        <w:rPr>
          <w:rFonts w:ascii="Times New Roman" w:hAnsi="Times New Roman" w:cs="Times New Roman"/>
          <w:sz w:val="20"/>
          <w:szCs w:val="20"/>
        </w:rPr>
        <w:t xml:space="preserve">starter </w:t>
      </w:r>
      <w:r w:rsidR="007D2138" w:rsidRPr="00653396">
        <w:rPr>
          <w:rFonts w:ascii="Times New Roman" w:hAnsi="Times New Roman" w:cs="Times New Roman"/>
          <w:sz w:val="20"/>
          <w:szCs w:val="20"/>
        </w:rPr>
        <w:t xml:space="preserve">cultures, the tribes of Northeast India have </w:t>
      </w:r>
      <w:r w:rsidR="00257963" w:rsidRPr="00653396">
        <w:rPr>
          <w:rFonts w:ascii="Times New Roman" w:hAnsi="Times New Roman" w:cs="Times New Roman"/>
          <w:sz w:val="20"/>
          <w:szCs w:val="20"/>
        </w:rPr>
        <w:t xml:space="preserve">rich knowledge and have mastered the practice for millennia. </w:t>
      </w:r>
      <w:r w:rsidR="00AE329F" w:rsidRPr="00653396">
        <w:rPr>
          <w:rFonts w:ascii="Times New Roman" w:hAnsi="Times New Roman" w:cs="Times New Roman"/>
          <w:sz w:val="20"/>
          <w:szCs w:val="20"/>
        </w:rPr>
        <w:t xml:space="preserve">For example: </w:t>
      </w:r>
      <w:r w:rsidR="006A327E" w:rsidRPr="00653396">
        <w:rPr>
          <w:rFonts w:ascii="Times New Roman" w:hAnsi="Times New Roman" w:cs="Times New Roman"/>
          <w:sz w:val="20"/>
          <w:szCs w:val="20"/>
        </w:rPr>
        <w:t>Bodo ‘</w:t>
      </w:r>
      <w:r w:rsidR="006A327E" w:rsidRPr="00653396">
        <w:rPr>
          <w:rFonts w:ascii="Times New Roman" w:hAnsi="Times New Roman" w:cs="Times New Roman"/>
          <w:i/>
          <w:iCs/>
          <w:sz w:val="20"/>
          <w:szCs w:val="20"/>
        </w:rPr>
        <w:t>Ankur</w:t>
      </w:r>
      <w:r w:rsidR="006A327E" w:rsidRPr="00653396">
        <w:rPr>
          <w:rFonts w:ascii="Times New Roman" w:hAnsi="Times New Roman" w:cs="Times New Roman"/>
          <w:sz w:val="20"/>
          <w:szCs w:val="20"/>
        </w:rPr>
        <w:t xml:space="preserve">’, Dimasa </w:t>
      </w:r>
      <w:r w:rsidR="00FC4971" w:rsidRPr="00653396">
        <w:rPr>
          <w:rFonts w:ascii="Times New Roman" w:hAnsi="Times New Roman" w:cs="Times New Roman"/>
          <w:sz w:val="20"/>
          <w:szCs w:val="20"/>
        </w:rPr>
        <w:t>‘</w:t>
      </w:r>
      <w:r w:rsidR="006A327E" w:rsidRPr="00653396">
        <w:rPr>
          <w:rFonts w:ascii="Times New Roman" w:hAnsi="Times New Roman" w:cs="Times New Roman"/>
          <w:i/>
          <w:iCs/>
          <w:sz w:val="20"/>
          <w:szCs w:val="20"/>
        </w:rPr>
        <w:t>Ba</w:t>
      </w:r>
      <w:r w:rsidR="00FC4971" w:rsidRPr="00653396">
        <w:rPr>
          <w:rFonts w:ascii="Times New Roman" w:hAnsi="Times New Roman" w:cs="Times New Roman"/>
          <w:i/>
          <w:iCs/>
          <w:sz w:val="20"/>
          <w:szCs w:val="20"/>
        </w:rPr>
        <w:t>khor</w:t>
      </w:r>
      <w:r w:rsidR="00FC4971" w:rsidRPr="00653396">
        <w:rPr>
          <w:rFonts w:ascii="Times New Roman" w:hAnsi="Times New Roman" w:cs="Times New Roman"/>
          <w:sz w:val="20"/>
          <w:szCs w:val="20"/>
        </w:rPr>
        <w:t>’ and Deori ‘</w:t>
      </w:r>
      <w:r w:rsidR="00FC4971" w:rsidRPr="00653396">
        <w:rPr>
          <w:rFonts w:ascii="Times New Roman" w:hAnsi="Times New Roman" w:cs="Times New Roman"/>
          <w:i/>
          <w:iCs/>
          <w:sz w:val="20"/>
          <w:szCs w:val="20"/>
        </w:rPr>
        <w:t>Mod Pitha’</w:t>
      </w:r>
      <w:r w:rsidR="008D7959" w:rsidRPr="00653396">
        <w:rPr>
          <w:rFonts w:ascii="Times New Roman" w:hAnsi="Times New Roman" w:cs="Times New Roman"/>
          <w:sz w:val="20"/>
          <w:szCs w:val="20"/>
        </w:rPr>
        <w:t xml:space="preserve"> </w:t>
      </w:r>
      <w:r w:rsidR="00E36C00" w:rsidRPr="00653396">
        <w:rPr>
          <w:rFonts w:ascii="Times New Roman" w:hAnsi="Times New Roman" w:cs="Times New Roman"/>
          <w:sz w:val="20"/>
          <w:szCs w:val="20"/>
        </w:rPr>
        <w:t>t</w:t>
      </w:r>
      <w:r w:rsidR="008D7959" w:rsidRPr="00653396">
        <w:rPr>
          <w:rFonts w:ascii="Times New Roman" w:hAnsi="Times New Roman" w:cs="Times New Roman"/>
          <w:sz w:val="20"/>
          <w:szCs w:val="20"/>
        </w:rPr>
        <w:t xml:space="preserve">o ferment indigenous rice varieties </w:t>
      </w:r>
      <w:r w:rsidR="00465422" w:rsidRPr="00653396">
        <w:rPr>
          <w:rFonts w:ascii="Times New Roman" w:hAnsi="Times New Roman" w:cs="Times New Roman"/>
          <w:sz w:val="20"/>
          <w:szCs w:val="20"/>
        </w:rPr>
        <w:t xml:space="preserve">for cultural festivals </w:t>
      </w:r>
      <w:r w:rsidR="00FA5EE4" w:rsidRPr="00653396">
        <w:rPr>
          <w:rFonts w:ascii="Times New Roman" w:hAnsi="Times New Roman" w:cs="Times New Roman"/>
          <w:sz w:val="20"/>
          <w:szCs w:val="20"/>
        </w:rPr>
        <w:t>to</w:t>
      </w:r>
      <w:r w:rsidR="008D7959" w:rsidRPr="00653396">
        <w:rPr>
          <w:rFonts w:ascii="Times New Roman" w:hAnsi="Times New Roman" w:cs="Times New Roman"/>
          <w:sz w:val="20"/>
          <w:szCs w:val="20"/>
        </w:rPr>
        <w:t xml:space="preserve"> serve as both sacred </w:t>
      </w:r>
      <w:r w:rsidR="00E36C00" w:rsidRPr="00653396">
        <w:rPr>
          <w:rFonts w:ascii="Times New Roman" w:hAnsi="Times New Roman" w:cs="Times New Roman"/>
          <w:sz w:val="20"/>
          <w:szCs w:val="20"/>
        </w:rPr>
        <w:t>artefacts</w:t>
      </w:r>
      <w:r w:rsidR="008D7959" w:rsidRPr="00653396">
        <w:rPr>
          <w:rFonts w:ascii="Times New Roman" w:hAnsi="Times New Roman" w:cs="Times New Roman"/>
          <w:sz w:val="20"/>
          <w:szCs w:val="20"/>
        </w:rPr>
        <w:t xml:space="preserve"> and probiotic nutraceuticals (Das et al., 2012)</w:t>
      </w:r>
      <w:r w:rsidR="00FA5EE4" w:rsidRPr="00653396">
        <w:rPr>
          <w:rFonts w:ascii="Times New Roman" w:hAnsi="Times New Roman" w:cs="Times New Roman"/>
          <w:sz w:val="20"/>
          <w:szCs w:val="20"/>
        </w:rPr>
        <w:t>.</w:t>
      </w:r>
      <w:r w:rsidR="000B7EAF" w:rsidRPr="00653396">
        <w:rPr>
          <w:rFonts w:ascii="Times New Roman" w:hAnsi="Times New Roman" w:cs="Times New Roman"/>
          <w:sz w:val="20"/>
          <w:szCs w:val="20"/>
        </w:rPr>
        <w:t xml:space="preserve"> </w:t>
      </w:r>
      <w:r w:rsidR="00EA3658" w:rsidRPr="00653396">
        <w:rPr>
          <w:rFonts w:ascii="Times New Roman" w:hAnsi="Times New Roman" w:cs="Times New Roman"/>
          <w:sz w:val="20"/>
          <w:szCs w:val="20"/>
        </w:rPr>
        <w:t xml:space="preserve">However, the Assam Excise Rules </w:t>
      </w:r>
      <w:r w:rsidR="006955AD" w:rsidRPr="00653396">
        <w:rPr>
          <w:rFonts w:ascii="Times New Roman" w:hAnsi="Times New Roman" w:cs="Times New Roman"/>
          <w:sz w:val="20"/>
          <w:szCs w:val="20"/>
        </w:rPr>
        <w:t>impose</w:t>
      </w:r>
      <w:r w:rsidR="00EA3658" w:rsidRPr="00653396">
        <w:rPr>
          <w:rFonts w:ascii="Times New Roman" w:hAnsi="Times New Roman" w:cs="Times New Roman"/>
          <w:sz w:val="20"/>
          <w:szCs w:val="20"/>
        </w:rPr>
        <w:t xml:space="preserve"> costly and strict requirements on producers. As a </w:t>
      </w:r>
      <w:r w:rsidR="00D2037A" w:rsidRPr="00653396">
        <w:rPr>
          <w:rFonts w:ascii="Times New Roman" w:hAnsi="Times New Roman" w:cs="Times New Roman"/>
          <w:sz w:val="20"/>
          <w:szCs w:val="20"/>
        </w:rPr>
        <w:t>result, rural</w:t>
      </w:r>
      <w:r w:rsidR="00EA3658" w:rsidRPr="00653396">
        <w:rPr>
          <w:rFonts w:ascii="Times New Roman" w:hAnsi="Times New Roman" w:cs="Times New Roman"/>
          <w:sz w:val="20"/>
          <w:szCs w:val="20"/>
        </w:rPr>
        <w:t xml:space="preserve"> </w:t>
      </w:r>
      <w:r w:rsidR="00E34147">
        <w:rPr>
          <w:rFonts w:ascii="Times New Roman" w:hAnsi="Times New Roman" w:cs="Times New Roman"/>
          <w:sz w:val="20"/>
          <w:szCs w:val="20"/>
        </w:rPr>
        <w:t>people</w:t>
      </w:r>
      <w:r w:rsidR="00EA3658" w:rsidRPr="00653396">
        <w:rPr>
          <w:rFonts w:ascii="Times New Roman" w:hAnsi="Times New Roman" w:cs="Times New Roman"/>
          <w:sz w:val="20"/>
          <w:szCs w:val="20"/>
        </w:rPr>
        <w:t xml:space="preserve"> are often excluded, while large companies </w:t>
      </w:r>
      <w:r w:rsidR="00FC1FBD">
        <w:rPr>
          <w:rFonts w:ascii="Times New Roman" w:hAnsi="Times New Roman" w:cs="Times New Roman"/>
          <w:sz w:val="20"/>
          <w:szCs w:val="20"/>
        </w:rPr>
        <w:t>can</w:t>
      </w:r>
      <w:r w:rsidR="00EA3658" w:rsidRPr="00653396">
        <w:rPr>
          <w:rFonts w:ascii="Times New Roman" w:hAnsi="Times New Roman" w:cs="Times New Roman"/>
          <w:sz w:val="20"/>
          <w:szCs w:val="20"/>
        </w:rPr>
        <w:t xml:space="preserve"> meet these rules and dominate the market (Nezine, 2020).</w:t>
      </w:r>
      <w:r w:rsidR="004C7DB1" w:rsidRPr="00653396">
        <w:rPr>
          <w:rFonts w:ascii="Times New Roman" w:hAnsi="Times New Roman" w:cs="Times New Roman"/>
          <w:sz w:val="20"/>
          <w:szCs w:val="20"/>
        </w:rPr>
        <w:t xml:space="preserve"> To address this challenge, industrial bioprocessing must move away from linear extraction models and adopt a cyclic restoration approach. </w:t>
      </w:r>
    </w:p>
    <w:p w14:paraId="44C1704B" w14:textId="77777777" w:rsidR="00030032" w:rsidRDefault="00030032" w:rsidP="00795477">
      <w:pPr>
        <w:spacing w:line="360" w:lineRule="auto"/>
        <w:jc w:val="center"/>
        <w:rPr>
          <w:rFonts w:ascii="Times New Roman" w:hAnsi="Times New Roman" w:cs="Times New Roman"/>
          <w:b/>
          <w:bCs/>
          <w:sz w:val="24"/>
          <w:szCs w:val="24"/>
        </w:rPr>
      </w:pPr>
    </w:p>
    <w:p w14:paraId="63DE6F8B" w14:textId="77777777" w:rsidR="00207B49" w:rsidRDefault="00207B49" w:rsidP="00795477">
      <w:pPr>
        <w:spacing w:line="360" w:lineRule="auto"/>
        <w:jc w:val="center"/>
        <w:rPr>
          <w:rFonts w:ascii="Times New Roman" w:hAnsi="Times New Roman" w:cs="Times New Roman"/>
          <w:b/>
          <w:bCs/>
          <w:sz w:val="24"/>
          <w:szCs w:val="24"/>
        </w:rPr>
        <w:sectPr w:rsidR="00207B49" w:rsidSect="00207B49">
          <w:type w:val="continuous"/>
          <w:pgSz w:w="11906" w:h="16838"/>
          <w:pgMar w:top="1440" w:right="1440" w:bottom="1440" w:left="1440" w:header="708" w:footer="708" w:gutter="0"/>
          <w:cols w:num="2" w:space="708"/>
          <w:docGrid w:linePitch="360"/>
        </w:sectPr>
      </w:pPr>
    </w:p>
    <w:p w14:paraId="4527B2D5" w14:textId="5D0FA604" w:rsidR="00FC1FBD" w:rsidRDefault="00FC1FBD" w:rsidP="00FC1FBD">
      <w:pPr>
        <w:pStyle w:val="NoSpacing"/>
      </w:pPr>
    </w:p>
    <w:p w14:paraId="080BF8D4" w14:textId="77777777" w:rsidR="00FC1FBD" w:rsidRDefault="00FC1FBD" w:rsidP="00FC1FBD">
      <w:pPr>
        <w:pStyle w:val="NoSpacing"/>
      </w:pPr>
    </w:p>
    <w:p w14:paraId="43D72079" w14:textId="77777777" w:rsidR="00FC1FBD" w:rsidRDefault="00FC1FBD" w:rsidP="00FC1FBD">
      <w:pPr>
        <w:pStyle w:val="NoSpacing"/>
      </w:pPr>
    </w:p>
    <w:p w14:paraId="0270B2BB" w14:textId="77777777" w:rsidR="00FC1FBD" w:rsidRDefault="00FC1FBD" w:rsidP="00FC1FBD">
      <w:pPr>
        <w:pStyle w:val="NoSpacing"/>
      </w:pPr>
    </w:p>
    <w:p w14:paraId="6D834480" w14:textId="77777777" w:rsidR="00FC1FBD" w:rsidRDefault="00FC1FBD" w:rsidP="00FC1FBD">
      <w:pPr>
        <w:pStyle w:val="NoSpacing"/>
      </w:pPr>
    </w:p>
    <w:p w14:paraId="5D66EB58" w14:textId="77777777" w:rsidR="00FC1FBD" w:rsidRDefault="00FC1FBD" w:rsidP="00FC1FBD">
      <w:pPr>
        <w:pStyle w:val="NoSpacing"/>
      </w:pPr>
    </w:p>
    <w:p w14:paraId="7924A945" w14:textId="77777777" w:rsidR="00FC1FBD" w:rsidRDefault="00FC1FBD" w:rsidP="00FC1FBD">
      <w:pPr>
        <w:pStyle w:val="NoSpacing"/>
      </w:pPr>
    </w:p>
    <w:p w14:paraId="2F515182" w14:textId="77777777" w:rsidR="00FC1FBD" w:rsidRDefault="00FC1FBD" w:rsidP="00FC1FBD">
      <w:pPr>
        <w:pStyle w:val="NoSpacing"/>
        <w:jc w:val="right"/>
      </w:pPr>
    </w:p>
    <w:p w14:paraId="64A2D39B" w14:textId="2A76CD25" w:rsidR="004C7DB1" w:rsidRPr="00FC1FBD" w:rsidRDefault="00FC1FBD" w:rsidP="00FC1FBD">
      <w:pPr>
        <w:spacing w:after="0"/>
        <w:jc w:val="center"/>
        <w:rPr>
          <w:rFonts w:ascii="Times New Roman" w:hAnsi="Times New Roman" w:cs="Times New Roman"/>
          <w:b/>
          <w:bCs/>
        </w:rPr>
      </w:pPr>
      <w:r w:rsidRPr="00FC1FBD">
        <w:rPr>
          <w:rFonts w:ascii="Times New Roman" w:hAnsi="Times New Roman" w:cs="Times New Roman"/>
          <w:b/>
          <w:bCs/>
        </w:rPr>
        <w:lastRenderedPageBreak/>
        <w:t>Figure</w:t>
      </w:r>
      <w:r w:rsidR="004C7DB1" w:rsidRPr="00FC1FBD">
        <w:rPr>
          <w:rFonts w:ascii="Times New Roman" w:hAnsi="Times New Roman" w:cs="Times New Roman"/>
          <w:b/>
          <w:bCs/>
        </w:rPr>
        <w:t xml:space="preserve"> 1 </w:t>
      </w:r>
      <w:r w:rsidR="001074AB" w:rsidRPr="00FC1FBD">
        <w:rPr>
          <w:rFonts w:ascii="Times New Roman" w:hAnsi="Times New Roman" w:cs="Times New Roman"/>
          <w:b/>
          <w:bCs/>
        </w:rPr>
        <w:t>Cyclic Restoration Framework</w:t>
      </w:r>
    </w:p>
    <w:p w14:paraId="7D2C8076" w14:textId="77777777" w:rsidR="00030032" w:rsidRDefault="00030032" w:rsidP="005140A1">
      <w:pPr>
        <w:spacing w:after="0" w:line="276" w:lineRule="auto"/>
        <w:jc w:val="center"/>
        <w:rPr>
          <w:rFonts w:ascii="Times New Roman" w:hAnsi="Times New Roman" w:cs="Times New Roman"/>
          <w:sz w:val="24"/>
          <w:szCs w:val="24"/>
        </w:rPr>
        <w:sectPr w:rsidR="00030032" w:rsidSect="00207B49">
          <w:type w:val="continuous"/>
          <w:pgSz w:w="11906" w:h="16838"/>
          <w:pgMar w:top="1440" w:right="1440" w:bottom="1440" w:left="1440" w:header="708" w:footer="708" w:gutter="0"/>
          <w:cols w:space="708"/>
          <w:docGrid w:linePitch="360"/>
        </w:sectPr>
      </w:pPr>
    </w:p>
    <w:p w14:paraId="2F4929AD" w14:textId="77777777" w:rsidR="00030032" w:rsidRDefault="00561851" w:rsidP="00207B49">
      <w:pPr>
        <w:spacing w:after="0" w:line="240" w:lineRule="auto"/>
        <w:jc w:val="center"/>
        <w:rPr>
          <w:rFonts w:ascii="Times New Roman" w:hAnsi="Times New Roman" w:cs="Times New Roman"/>
          <w:sz w:val="24"/>
          <w:szCs w:val="24"/>
        </w:rPr>
        <w:sectPr w:rsidR="00030032" w:rsidSect="00030032">
          <w:type w:val="continuous"/>
          <w:pgSz w:w="11906" w:h="16838"/>
          <w:pgMar w:top="1440" w:right="1440" w:bottom="1440" w:left="1440" w:header="708" w:footer="708" w:gutter="0"/>
          <w:cols w:space="708"/>
          <w:docGrid w:linePitch="360"/>
        </w:sectPr>
      </w:pPr>
      <w:r>
        <w:rPr>
          <w:rFonts w:ascii="Times New Roman" w:hAnsi="Times New Roman" w:cs="Times New Roman"/>
          <w:noProof/>
          <w:sz w:val="24"/>
          <w:szCs w:val="24"/>
        </w:rPr>
        <w:drawing>
          <wp:inline distT="0" distB="0" distL="0" distR="0" wp14:anchorId="5E93F75F" wp14:editId="7B0742A0">
            <wp:extent cx="4699000" cy="3143250"/>
            <wp:effectExtent l="0" t="0" r="6350" b="0"/>
            <wp:docPr id="1565964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64131" name="Picture 15659641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3888" cy="3153209"/>
                    </a:xfrm>
                    <a:prstGeom prst="rect">
                      <a:avLst/>
                    </a:prstGeom>
                  </pic:spPr>
                </pic:pic>
              </a:graphicData>
            </a:graphic>
          </wp:inline>
        </w:drawing>
      </w:r>
    </w:p>
    <w:p w14:paraId="24D0A099" w14:textId="77777777" w:rsidR="00030032" w:rsidRDefault="00030032" w:rsidP="00D2037A">
      <w:pPr>
        <w:spacing w:after="0" w:line="276" w:lineRule="auto"/>
        <w:jc w:val="center"/>
        <w:rPr>
          <w:rFonts w:ascii="Times New Roman" w:hAnsi="Times New Roman" w:cs="Times New Roman"/>
          <w:b/>
          <w:bCs/>
          <w:sz w:val="20"/>
          <w:szCs w:val="20"/>
        </w:rPr>
        <w:sectPr w:rsidR="00030032" w:rsidSect="00030032">
          <w:type w:val="continuous"/>
          <w:pgSz w:w="11906" w:h="16838"/>
          <w:pgMar w:top="1440" w:right="1440" w:bottom="1440" w:left="1440" w:header="708" w:footer="708" w:gutter="0"/>
          <w:cols w:num="2" w:space="708"/>
          <w:docGrid w:linePitch="360"/>
        </w:sectPr>
      </w:pPr>
    </w:p>
    <w:p w14:paraId="4F1BEDCD" w14:textId="7AE2ED1E" w:rsidR="007423FD" w:rsidRDefault="001074AB" w:rsidP="00D2037A">
      <w:pPr>
        <w:spacing w:after="0" w:line="240" w:lineRule="auto"/>
        <w:jc w:val="center"/>
        <w:rPr>
          <w:rFonts w:ascii="Times New Roman" w:hAnsi="Times New Roman" w:cs="Times New Roman"/>
          <w:sz w:val="20"/>
          <w:szCs w:val="20"/>
        </w:rPr>
      </w:pPr>
      <w:r w:rsidRPr="00F96BC0">
        <w:rPr>
          <w:rFonts w:ascii="Times New Roman" w:hAnsi="Times New Roman" w:cs="Times New Roman"/>
          <w:b/>
          <w:bCs/>
          <w:sz w:val="20"/>
          <w:szCs w:val="20"/>
        </w:rPr>
        <w:t>Source:</w:t>
      </w:r>
      <w:r w:rsidRPr="00F96BC0">
        <w:rPr>
          <w:rFonts w:ascii="Times New Roman" w:hAnsi="Times New Roman" w:cs="Times New Roman"/>
          <w:sz w:val="20"/>
          <w:szCs w:val="20"/>
        </w:rPr>
        <w:t xml:space="preserve"> </w:t>
      </w:r>
      <w:r w:rsidR="00026652" w:rsidRPr="005140A1">
        <w:rPr>
          <w:rFonts w:ascii="Times New Roman" w:hAnsi="Times New Roman" w:cs="Times New Roman"/>
          <w:i/>
          <w:iCs/>
          <w:sz w:val="18"/>
          <w:szCs w:val="18"/>
        </w:rPr>
        <w:t>Compiled</w:t>
      </w:r>
      <w:r w:rsidRPr="005140A1">
        <w:rPr>
          <w:rFonts w:ascii="Times New Roman" w:hAnsi="Times New Roman" w:cs="Times New Roman"/>
          <w:i/>
          <w:iCs/>
          <w:sz w:val="18"/>
          <w:szCs w:val="18"/>
        </w:rPr>
        <w:t xml:space="preserve"> by </w:t>
      </w:r>
      <w:r w:rsidR="00026652" w:rsidRPr="005140A1">
        <w:rPr>
          <w:rFonts w:ascii="Times New Roman" w:hAnsi="Times New Roman" w:cs="Times New Roman"/>
          <w:i/>
          <w:iCs/>
          <w:sz w:val="18"/>
          <w:szCs w:val="18"/>
        </w:rPr>
        <w:t xml:space="preserve">the author </w:t>
      </w:r>
      <w:r w:rsidR="00865E09" w:rsidRPr="005140A1">
        <w:rPr>
          <w:rFonts w:ascii="Times New Roman" w:hAnsi="Times New Roman" w:cs="Times New Roman"/>
          <w:i/>
          <w:iCs/>
          <w:sz w:val="18"/>
          <w:szCs w:val="18"/>
        </w:rPr>
        <w:t xml:space="preserve">based on the literature on regenerative sustainability, Traditional Ecological </w:t>
      </w:r>
      <w:r w:rsidR="00F96BC0" w:rsidRPr="005140A1">
        <w:rPr>
          <w:rFonts w:ascii="Times New Roman" w:hAnsi="Times New Roman" w:cs="Times New Roman"/>
          <w:i/>
          <w:iCs/>
          <w:sz w:val="18"/>
          <w:szCs w:val="18"/>
        </w:rPr>
        <w:t xml:space="preserve">     </w:t>
      </w:r>
      <w:r w:rsidR="00865E09" w:rsidRPr="005140A1">
        <w:rPr>
          <w:rFonts w:ascii="Times New Roman" w:hAnsi="Times New Roman" w:cs="Times New Roman"/>
          <w:i/>
          <w:iCs/>
          <w:sz w:val="18"/>
          <w:szCs w:val="18"/>
        </w:rPr>
        <w:t>Knowledge (TEK), biocultural heritage systems, and Geographical Indication (GI)-driven value chains</w:t>
      </w:r>
      <w:r w:rsidR="00865E09" w:rsidRPr="00F96BC0">
        <w:rPr>
          <w:rFonts w:ascii="Times New Roman" w:hAnsi="Times New Roman" w:cs="Times New Roman"/>
          <w:sz w:val="20"/>
          <w:szCs w:val="20"/>
        </w:rPr>
        <w:t>.</w:t>
      </w:r>
    </w:p>
    <w:p w14:paraId="5FBD248E" w14:textId="77777777" w:rsidR="00207B49" w:rsidRPr="00F96BC0" w:rsidRDefault="00207B49" w:rsidP="00207B49">
      <w:pPr>
        <w:spacing w:after="0" w:line="240" w:lineRule="auto"/>
        <w:jc w:val="center"/>
        <w:rPr>
          <w:rFonts w:ascii="Times New Roman" w:hAnsi="Times New Roman" w:cs="Times New Roman"/>
          <w:sz w:val="20"/>
          <w:szCs w:val="20"/>
        </w:rPr>
      </w:pPr>
    </w:p>
    <w:p w14:paraId="72ADE3BF" w14:textId="77777777" w:rsidR="00030032" w:rsidRDefault="00030032" w:rsidP="004E5AA6">
      <w:pPr>
        <w:spacing w:after="0" w:line="240" w:lineRule="auto"/>
        <w:ind w:firstLine="720"/>
        <w:jc w:val="both"/>
        <w:rPr>
          <w:rFonts w:ascii="Times New Roman" w:hAnsi="Times New Roman" w:cs="Times New Roman"/>
          <w:sz w:val="20"/>
          <w:szCs w:val="20"/>
        </w:rPr>
        <w:sectPr w:rsidR="00030032" w:rsidSect="00030032">
          <w:type w:val="continuous"/>
          <w:pgSz w:w="11906" w:h="16838"/>
          <w:pgMar w:top="1440" w:right="1440" w:bottom="1440" w:left="1440" w:header="708" w:footer="708" w:gutter="0"/>
          <w:cols w:space="708"/>
          <w:docGrid w:linePitch="360"/>
        </w:sectPr>
      </w:pPr>
    </w:p>
    <w:p w14:paraId="7365974E" w14:textId="641D5E7C" w:rsidR="002644D8" w:rsidRPr="004E5AA6" w:rsidRDefault="00661C22" w:rsidP="004E5AA6">
      <w:pPr>
        <w:spacing w:after="0" w:line="240" w:lineRule="auto"/>
        <w:ind w:firstLine="720"/>
        <w:jc w:val="both"/>
        <w:rPr>
          <w:rFonts w:ascii="Times New Roman" w:hAnsi="Times New Roman" w:cs="Times New Roman"/>
          <w:sz w:val="20"/>
          <w:szCs w:val="20"/>
        </w:rPr>
      </w:pPr>
      <w:r w:rsidRPr="004E5AA6">
        <w:rPr>
          <w:rFonts w:ascii="Times New Roman" w:hAnsi="Times New Roman" w:cs="Times New Roman"/>
          <w:sz w:val="20"/>
          <w:szCs w:val="20"/>
        </w:rPr>
        <w:t xml:space="preserve">The Cyclic Restoration Framework conceptualises commercialisation as a regenerative mechanism that continuously </w:t>
      </w:r>
      <w:r w:rsidR="0076700B" w:rsidRPr="004E5AA6">
        <w:rPr>
          <w:rFonts w:ascii="Times New Roman" w:hAnsi="Times New Roman" w:cs="Times New Roman"/>
          <w:sz w:val="20"/>
          <w:szCs w:val="20"/>
        </w:rPr>
        <w:t>invests</w:t>
      </w:r>
      <w:r w:rsidRPr="004E5AA6">
        <w:rPr>
          <w:rFonts w:ascii="Times New Roman" w:hAnsi="Times New Roman" w:cs="Times New Roman"/>
          <w:sz w:val="20"/>
          <w:szCs w:val="20"/>
        </w:rPr>
        <w:t xml:space="preserve"> </w:t>
      </w:r>
      <w:r w:rsidR="0076700B" w:rsidRPr="004E5AA6">
        <w:rPr>
          <w:rFonts w:ascii="Times New Roman" w:hAnsi="Times New Roman" w:cs="Times New Roman"/>
          <w:sz w:val="20"/>
          <w:szCs w:val="20"/>
        </w:rPr>
        <w:t>in economic improvements to restore</w:t>
      </w:r>
      <w:r w:rsidRPr="004E5AA6">
        <w:rPr>
          <w:rFonts w:ascii="Times New Roman" w:hAnsi="Times New Roman" w:cs="Times New Roman"/>
          <w:sz w:val="20"/>
          <w:szCs w:val="20"/>
        </w:rPr>
        <w:t xml:space="preserve"> ecological, social, cultural, and productive capitals. </w:t>
      </w:r>
      <w:r w:rsidR="00140B3C" w:rsidRPr="004E5AA6">
        <w:rPr>
          <w:rFonts w:ascii="Times New Roman" w:hAnsi="Times New Roman" w:cs="Times New Roman"/>
          <w:sz w:val="20"/>
          <w:szCs w:val="20"/>
        </w:rPr>
        <w:t xml:space="preserve">Commercialisation models are usually about making money and do not always consider the environment. This framework is </w:t>
      </w:r>
      <w:r w:rsidR="00ED576E">
        <w:rPr>
          <w:rFonts w:ascii="Times New Roman" w:hAnsi="Times New Roman" w:cs="Times New Roman"/>
          <w:sz w:val="20"/>
          <w:szCs w:val="20"/>
        </w:rPr>
        <w:t>distinct in that</w:t>
      </w:r>
      <w:r w:rsidR="00140B3C" w:rsidRPr="004E5AA6">
        <w:rPr>
          <w:rFonts w:ascii="Times New Roman" w:hAnsi="Times New Roman" w:cs="Times New Roman"/>
          <w:sz w:val="20"/>
          <w:szCs w:val="20"/>
        </w:rPr>
        <w:t xml:space="preserve"> it </w:t>
      </w:r>
      <w:r w:rsidR="002644D8" w:rsidRPr="004E5AA6">
        <w:rPr>
          <w:rFonts w:ascii="Times New Roman" w:hAnsi="Times New Roman" w:cs="Times New Roman"/>
          <w:sz w:val="20"/>
          <w:szCs w:val="20"/>
        </w:rPr>
        <w:t xml:space="preserve">argues that </w:t>
      </w:r>
      <w:r w:rsidR="00653396" w:rsidRPr="004E5AA6">
        <w:rPr>
          <w:rFonts w:ascii="Times New Roman" w:hAnsi="Times New Roman" w:cs="Times New Roman"/>
          <w:sz w:val="20"/>
          <w:szCs w:val="20"/>
        </w:rPr>
        <w:t>market success can simultaneously benefit the environment and culture</w:t>
      </w:r>
      <w:r w:rsidR="00140B3C" w:rsidRPr="004E5AA6">
        <w:rPr>
          <w:rFonts w:ascii="Times New Roman" w:hAnsi="Times New Roman" w:cs="Times New Roman"/>
          <w:sz w:val="20"/>
          <w:szCs w:val="20"/>
        </w:rPr>
        <w:t xml:space="preserve">. </w:t>
      </w:r>
    </w:p>
    <w:p w14:paraId="5A9903F7" w14:textId="77777777" w:rsidR="001718A7" w:rsidRDefault="001718A7" w:rsidP="001718A7">
      <w:pPr>
        <w:spacing w:after="0" w:line="240" w:lineRule="auto"/>
        <w:jc w:val="both"/>
        <w:rPr>
          <w:rFonts w:ascii="Times New Roman" w:hAnsi="Times New Roman" w:cs="Times New Roman"/>
          <w:sz w:val="20"/>
          <w:szCs w:val="20"/>
        </w:rPr>
      </w:pPr>
    </w:p>
    <w:p w14:paraId="11254B46" w14:textId="01836AFB" w:rsidR="001718A7" w:rsidRDefault="005C2535" w:rsidP="002A288F">
      <w:pPr>
        <w:spacing w:after="0" w:line="240" w:lineRule="auto"/>
        <w:jc w:val="both"/>
        <w:rPr>
          <w:rFonts w:ascii="Times New Roman" w:hAnsi="Times New Roman" w:cs="Times New Roman"/>
          <w:sz w:val="20"/>
          <w:szCs w:val="20"/>
        </w:rPr>
      </w:pPr>
      <w:r w:rsidRPr="005C2535">
        <w:rPr>
          <w:rFonts w:ascii="Times New Roman" w:hAnsi="Times New Roman" w:cs="Times New Roman"/>
          <w:sz w:val="20"/>
          <w:szCs w:val="20"/>
        </w:rPr>
        <w:t xml:space="preserve">The knowledge starts by using Geographical Indication for products and profit-making. These products are special and rare because of their traditional production process. </w:t>
      </w:r>
      <w:r w:rsidR="00994F75">
        <w:rPr>
          <w:rFonts w:ascii="Times New Roman" w:hAnsi="Times New Roman" w:cs="Times New Roman"/>
          <w:sz w:val="20"/>
          <w:szCs w:val="20"/>
        </w:rPr>
        <w:t>W</w:t>
      </w:r>
      <w:r w:rsidRPr="005C2535">
        <w:rPr>
          <w:rFonts w:ascii="Times New Roman" w:hAnsi="Times New Roman" w:cs="Times New Roman"/>
          <w:sz w:val="20"/>
          <w:szCs w:val="20"/>
        </w:rPr>
        <w:t>hen these products are consumed and use</w:t>
      </w:r>
      <w:r w:rsidR="00994F75">
        <w:rPr>
          <w:rFonts w:ascii="Times New Roman" w:hAnsi="Times New Roman" w:cs="Times New Roman"/>
          <w:sz w:val="20"/>
          <w:szCs w:val="20"/>
        </w:rPr>
        <w:t>d</w:t>
      </w:r>
      <w:r w:rsidRPr="005C2535">
        <w:rPr>
          <w:rFonts w:ascii="Times New Roman" w:hAnsi="Times New Roman" w:cs="Times New Roman"/>
          <w:sz w:val="20"/>
          <w:szCs w:val="20"/>
        </w:rPr>
        <w:t xml:space="preserve"> by </w:t>
      </w:r>
      <w:r w:rsidR="00D2037A">
        <w:rPr>
          <w:rFonts w:ascii="Times New Roman" w:hAnsi="Times New Roman" w:cs="Times New Roman"/>
          <w:sz w:val="20"/>
          <w:szCs w:val="20"/>
        </w:rPr>
        <w:t>people, they help the producers' livelihoods and, in turn, preserve</w:t>
      </w:r>
      <w:r w:rsidRPr="005C2535">
        <w:rPr>
          <w:rFonts w:ascii="Times New Roman" w:hAnsi="Times New Roman" w:cs="Times New Roman"/>
          <w:sz w:val="20"/>
          <w:szCs w:val="20"/>
        </w:rPr>
        <w:t xml:space="preserve"> cultural </w:t>
      </w:r>
      <w:r w:rsidR="002A288F" w:rsidRPr="005C2535">
        <w:rPr>
          <w:rFonts w:ascii="Times New Roman" w:hAnsi="Times New Roman" w:cs="Times New Roman"/>
          <w:sz w:val="20"/>
          <w:szCs w:val="20"/>
        </w:rPr>
        <w:t>identity</w:t>
      </w:r>
      <w:r w:rsidRPr="005C2535">
        <w:rPr>
          <w:rFonts w:ascii="Times New Roman" w:hAnsi="Times New Roman" w:cs="Times New Roman"/>
          <w:sz w:val="20"/>
          <w:szCs w:val="20"/>
        </w:rPr>
        <w:t xml:space="preserve"> (Bowen &amp; Zapata, 2009).</w:t>
      </w:r>
    </w:p>
    <w:p w14:paraId="5C595483" w14:textId="77777777" w:rsidR="00994F75" w:rsidRDefault="00994F75" w:rsidP="001718A7">
      <w:pPr>
        <w:spacing w:after="0" w:line="240" w:lineRule="auto"/>
        <w:jc w:val="both"/>
        <w:rPr>
          <w:rFonts w:ascii="Times New Roman" w:hAnsi="Times New Roman" w:cs="Times New Roman"/>
          <w:sz w:val="20"/>
          <w:szCs w:val="20"/>
        </w:rPr>
      </w:pPr>
    </w:p>
    <w:p w14:paraId="0143095A" w14:textId="1E509958" w:rsidR="00F21E3C" w:rsidRPr="004E5AA6" w:rsidRDefault="00140B3C" w:rsidP="001718A7">
      <w:pPr>
        <w:spacing w:after="0" w:line="240" w:lineRule="auto"/>
        <w:jc w:val="both"/>
        <w:rPr>
          <w:rFonts w:ascii="Times New Roman" w:hAnsi="Times New Roman" w:cs="Times New Roman"/>
          <w:sz w:val="20"/>
          <w:szCs w:val="20"/>
        </w:rPr>
      </w:pPr>
      <w:r w:rsidRPr="004E5AA6">
        <w:rPr>
          <w:rFonts w:ascii="Times New Roman" w:hAnsi="Times New Roman" w:cs="Times New Roman"/>
          <w:sz w:val="20"/>
          <w:szCs w:val="20"/>
        </w:rPr>
        <w:t xml:space="preserve">Japan's rules have changed a lot over time. This is a good example for other people to follow. For a time, the Japanese National Tax Agency had very strict rules that made it easy for big factories to make sake. Now they have a better system with two main parts that is fairer for everyone who makes sake, including small makers in Japan </w:t>
      </w:r>
      <w:r w:rsidR="00F21E3C" w:rsidRPr="004E5AA6">
        <w:rPr>
          <w:rFonts w:ascii="Times New Roman" w:hAnsi="Times New Roman" w:cs="Times New Roman"/>
          <w:sz w:val="20"/>
          <w:szCs w:val="20"/>
        </w:rPr>
        <w:t xml:space="preserve">(Tippsy, 2023). </w:t>
      </w:r>
      <w:r w:rsidRPr="004E5AA6">
        <w:rPr>
          <w:rFonts w:ascii="Times New Roman" w:hAnsi="Times New Roman" w:cs="Times New Roman"/>
          <w:sz w:val="20"/>
          <w:szCs w:val="20"/>
        </w:rPr>
        <w:t xml:space="preserve">Japan has a system to </w:t>
      </w:r>
      <w:r w:rsidR="002644D8" w:rsidRPr="004E5AA6">
        <w:rPr>
          <w:rFonts w:ascii="Times New Roman" w:hAnsi="Times New Roman" w:cs="Times New Roman"/>
          <w:sz w:val="20"/>
          <w:szCs w:val="20"/>
        </w:rPr>
        <w:t>support and protect local breweries that produce speciality beers such as</w:t>
      </w:r>
      <w:r w:rsidRPr="004E5AA6">
        <w:rPr>
          <w:rFonts w:ascii="Times New Roman" w:hAnsi="Times New Roman" w:cs="Times New Roman"/>
          <w:sz w:val="20"/>
          <w:szCs w:val="20"/>
        </w:rPr>
        <w:t xml:space="preserve"> jizake. They also protect the method of making unfiltered beer</w:t>
      </w:r>
      <w:r w:rsidR="00667607" w:rsidRPr="004E5AA6">
        <w:rPr>
          <w:rFonts w:ascii="Times New Roman" w:hAnsi="Times New Roman" w:cs="Times New Roman"/>
          <w:sz w:val="20"/>
          <w:szCs w:val="20"/>
        </w:rPr>
        <w:t xml:space="preserve"> known as</w:t>
      </w:r>
      <w:r w:rsidRPr="004E5AA6">
        <w:rPr>
          <w:rFonts w:ascii="Times New Roman" w:hAnsi="Times New Roman" w:cs="Times New Roman"/>
          <w:sz w:val="20"/>
          <w:szCs w:val="20"/>
        </w:rPr>
        <w:t xml:space="preserve"> doburoku. Japan does this by giving these breweries special status, so people know where the beer is from. This helps the breweries in Japan. At the time, Japan was very good at selling its beer abroad and made a lot of money from it. Japan is one </w:t>
      </w:r>
      <w:r w:rsidRPr="004E5AA6">
        <w:rPr>
          <w:rFonts w:ascii="Times New Roman" w:hAnsi="Times New Roman" w:cs="Times New Roman"/>
          <w:sz w:val="20"/>
          <w:szCs w:val="20"/>
        </w:rPr>
        <w:t xml:space="preserve">of the countries that </w:t>
      </w:r>
      <w:r w:rsidR="00FC1FBD">
        <w:rPr>
          <w:rFonts w:ascii="Times New Roman" w:hAnsi="Times New Roman" w:cs="Times New Roman"/>
          <w:sz w:val="20"/>
          <w:szCs w:val="20"/>
        </w:rPr>
        <w:t>have maintained their own special beer-making traditions while also selling their</w:t>
      </w:r>
      <w:r w:rsidRPr="004E5AA6">
        <w:rPr>
          <w:rFonts w:ascii="Times New Roman" w:hAnsi="Times New Roman" w:cs="Times New Roman"/>
          <w:sz w:val="20"/>
          <w:szCs w:val="20"/>
        </w:rPr>
        <w:t xml:space="preserve"> beer worldwide </w:t>
      </w:r>
      <w:r w:rsidR="00F21E3C" w:rsidRPr="004E5AA6">
        <w:rPr>
          <w:rFonts w:ascii="Times New Roman" w:hAnsi="Times New Roman" w:cs="Times New Roman"/>
          <w:sz w:val="20"/>
          <w:szCs w:val="20"/>
        </w:rPr>
        <w:t>(NTA, 2020).</w:t>
      </w:r>
    </w:p>
    <w:p w14:paraId="556FCA6B" w14:textId="77777777" w:rsidR="001718A7" w:rsidRDefault="001718A7" w:rsidP="001718A7">
      <w:pPr>
        <w:spacing w:after="0" w:line="240" w:lineRule="auto"/>
        <w:jc w:val="both"/>
        <w:rPr>
          <w:rFonts w:ascii="Times New Roman" w:hAnsi="Times New Roman" w:cs="Times New Roman"/>
          <w:sz w:val="20"/>
          <w:szCs w:val="20"/>
        </w:rPr>
      </w:pPr>
    </w:p>
    <w:p w14:paraId="603BB916" w14:textId="77777777" w:rsidR="00A60CF0" w:rsidRPr="00A60CF0" w:rsidRDefault="00A60CF0" w:rsidP="00A60CF0">
      <w:pPr>
        <w:spacing w:after="0" w:line="240" w:lineRule="auto"/>
        <w:jc w:val="both"/>
        <w:rPr>
          <w:rFonts w:ascii="Times New Roman" w:hAnsi="Times New Roman" w:cs="Times New Roman"/>
          <w:sz w:val="20"/>
          <w:szCs w:val="20"/>
        </w:rPr>
      </w:pPr>
      <w:r w:rsidRPr="00A60CF0">
        <w:rPr>
          <w:rFonts w:ascii="Times New Roman" w:hAnsi="Times New Roman" w:cs="Times New Roman"/>
          <w:sz w:val="20"/>
          <w:szCs w:val="20"/>
        </w:rPr>
        <w:t>The Japanese framework can be useful in Northeast India. By utilising this Japanese system, decision makers can find a fair way of production, and it allows tribal people to unite and work together. It ensures benefits from traditional and cultural resources. It is for the tribal communities that have been protected in Northeast India’s ecosystem (The Pioneer, 2026).</w:t>
      </w:r>
    </w:p>
    <w:p w14:paraId="3B4DAE39" w14:textId="77777777" w:rsidR="00D31DEE" w:rsidRDefault="00D31DEE" w:rsidP="00207B49">
      <w:pPr>
        <w:spacing w:after="0" w:line="240" w:lineRule="auto"/>
        <w:jc w:val="center"/>
        <w:rPr>
          <w:rFonts w:ascii="Times New Roman" w:hAnsi="Times New Roman" w:cs="Times New Roman"/>
          <w:b/>
          <w:bCs/>
          <w:sz w:val="24"/>
          <w:szCs w:val="24"/>
        </w:rPr>
      </w:pPr>
    </w:p>
    <w:p w14:paraId="52538B12" w14:textId="3FD3CC34" w:rsidR="0089390B" w:rsidRDefault="00912A1E" w:rsidP="00207B49">
      <w:pPr>
        <w:spacing w:after="0" w:line="240" w:lineRule="auto"/>
        <w:jc w:val="center"/>
        <w:rPr>
          <w:rFonts w:ascii="Times New Roman" w:hAnsi="Times New Roman" w:cs="Times New Roman"/>
          <w:b/>
          <w:bCs/>
          <w:sz w:val="24"/>
          <w:szCs w:val="24"/>
        </w:rPr>
      </w:pPr>
      <w:r w:rsidRPr="00912A1E">
        <w:rPr>
          <w:rFonts w:ascii="Times New Roman" w:hAnsi="Times New Roman" w:cs="Times New Roman"/>
          <w:b/>
          <w:bCs/>
          <w:sz w:val="24"/>
          <w:szCs w:val="24"/>
        </w:rPr>
        <w:t xml:space="preserve">Review of </w:t>
      </w:r>
      <w:r>
        <w:rPr>
          <w:rFonts w:ascii="Times New Roman" w:hAnsi="Times New Roman" w:cs="Times New Roman"/>
          <w:b/>
          <w:bCs/>
          <w:sz w:val="24"/>
          <w:szCs w:val="24"/>
        </w:rPr>
        <w:t>Literature</w:t>
      </w:r>
    </w:p>
    <w:p w14:paraId="0C238164" w14:textId="7DD824EE" w:rsidR="008435FA" w:rsidRPr="00653396" w:rsidRDefault="008435FA" w:rsidP="00207B49">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Researchers studying the business side of fermented drinks have identified common themes. These </w:t>
      </w:r>
      <w:r w:rsidR="00887B2E">
        <w:rPr>
          <w:rFonts w:ascii="Times New Roman" w:hAnsi="Times New Roman" w:cs="Times New Roman"/>
          <w:sz w:val="20"/>
          <w:szCs w:val="20"/>
        </w:rPr>
        <w:t>t</w:t>
      </w:r>
      <w:r w:rsidRPr="00653396">
        <w:rPr>
          <w:rFonts w:ascii="Times New Roman" w:hAnsi="Times New Roman" w:cs="Times New Roman"/>
          <w:sz w:val="20"/>
          <w:szCs w:val="20"/>
        </w:rPr>
        <w:t xml:space="preserve">hemes </w:t>
      </w:r>
      <w:r w:rsidR="002644D8" w:rsidRPr="00653396">
        <w:rPr>
          <w:rFonts w:ascii="Times New Roman" w:hAnsi="Times New Roman" w:cs="Times New Roman"/>
          <w:sz w:val="20"/>
          <w:szCs w:val="20"/>
        </w:rPr>
        <w:t xml:space="preserve">focus on understanding what makes these drinks, </w:t>
      </w:r>
      <w:r w:rsidR="00ED576E">
        <w:rPr>
          <w:rFonts w:ascii="Times New Roman" w:hAnsi="Times New Roman" w:cs="Times New Roman"/>
          <w:sz w:val="20"/>
          <w:szCs w:val="20"/>
        </w:rPr>
        <w:t xml:space="preserve">how to produce them at scale, and </w:t>
      </w:r>
      <w:r w:rsidRPr="00653396">
        <w:rPr>
          <w:rFonts w:ascii="Times New Roman" w:hAnsi="Times New Roman" w:cs="Times New Roman"/>
          <w:sz w:val="20"/>
          <w:szCs w:val="20"/>
        </w:rPr>
        <w:t>the rules and laws that govern their production. Even though a lot of people have written about each of these themes, nobody has really put all three together in a way that's useful and easy to understand, especially when it comes to the tribal brewing systems of Northeast India (Tamang et al., 2016; Nezine, 2020; Harada, 2015).</w:t>
      </w:r>
    </w:p>
    <w:p w14:paraId="2CF9245D" w14:textId="7241AE06" w:rsidR="00ED576E" w:rsidRDefault="006318E4" w:rsidP="00653396">
      <w:pPr>
        <w:spacing w:after="0" w:line="240" w:lineRule="auto"/>
        <w:jc w:val="both"/>
        <w:rPr>
          <w:rFonts w:ascii="Times New Roman" w:hAnsi="Times New Roman" w:cs="Times New Roman"/>
          <w:sz w:val="20"/>
          <w:szCs w:val="20"/>
        </w:rPr>
      </w:pPr>
      <w:r w:rsidRPr="00653396">
        <w:rPr>
          <w:rFonts w:ascii="Times New Roman" w:hAnsi="Times New Roman" w:cs="Times New Roman"/>
          <w:b/>
          <w:bCs/>
          <w:sz w:val="20"/>
          <w:szCs w:val="20"/>
        </w:rPr>
        <w:t>The Biocultural and Biochemical Architecture of Tribal Fermentation</w:t>
      </w:r>
      <w:r w:rsidR="00B56D1B" w:rsidRPr="00653396">
        <w:rPr>
          <w:rFonts w:ascii="Times New Roman" w:hAnsi="Times New Roman" w:cs="Times New Roman"/>
          <w:b/>
          <w:bCs/>
          <w:sz w:val="20"/>
          <w:szCs w:val="20"/>
        </w:rPr>
        <w:t>:</w:t>
      </w:r>
      <w:r w:rsidR="00B56D1B" w:rsidRPr="00653396">
        <w:rPr>
          <w:rFonts w:ascii="Times New Roman" w:hAnsi="Times New Roman" w:cs="Times New Roman"/>
          <w:sz w:val="20"/>
          <w:szCs w:val="20"/>
        </w:rPr>
        <w:t xml:space="preserve"> </w:t>
      </w:r>
      <w:r w:rsidR="008435FA" w:rsidRPr="00653396">
        <w:rPr>
          <w:rFonts w:ascii="Times New Roman" w:hAnsi="Times New Roman" w:cs="Times New Roman"/>
          <w:sz w:val="20"/>
          <w:szCs w:val="20"/>
        </w:rPr>
        <w:t xml:space="preserve">In Northeast India, people make fermented drinks at home, and this is really connected to women and the way they do things. These drinks are not simple homemade booze. The Boro people have a drink called </w:t>
      </w:r>
      <w:r w:rsidR="008435FA" w:rsidRPr="00653396">
        <w:rPr>
          <w:rFonts w:ascii="Times New Roman" w:hAnsi="Times New Roman" w:cs="Times New Roman"/>
          <w:i/>
          <w:iCs/>
          <w:sz w:val="20"/>
          <w:szCs w:val="20"/>
        </w:rPr>
        <w:t>jou</w:t>
      </w:r>
      <w:r w:rsidR="00C63C99" w:rsidRPr="00653396">
        <w:rPr>
          <w:rFonts w:ascii="Times New Roman" w:hAnsi="Times New Roman" w:cs="Times New Roman"/>
          <w:sz w:val="20"/>
          <w:szCs w:val="20"/>
        </w:rPr>
        <w:t xml:space="preserve">; the Mising people have a drink called </w:t>
      </w:r>
      <w:r w:rsidR="00C63C99" w:rsidRPr="00653396">
        <w:rPr>
          <w:rFonts w:ascii="Times New Roman" w:hAnsi="Times New Roman" w:cs="Times New Roman"/>
          <w:i/>
          <w:iCs/>
          <w:sz w:val="20"/>
          <w:szCs w:val="20"/>
        </w:rPr>
        <w:t>apong</w:t>
      </w:r>
      <w:r w:rsidR="00C63C99" w:rsidRPr="00653396">
        <w:rPr>
          <w:rFonts w:ascii="Times New Roman" w:hAnsi="Times New Roman" w:cs="Times New Roman"/>
          <w:sz w:val="20"/>
          <w:szCs w:val="20"/>
        </w:rPr>
        <w:t xml:space="preserve">; the Dimasa people have a drink called </w:t>
      </w:r>
      <w:r w:rsidR="00C63C99" w:rsidRPr="00653396">
        <w:rPr>
          <w:rFonts w:ascii="Times New Roman" w:hAnsi="Times New Roman" w:cs="Times New Roman"/>
          <w:i/>
          <w:iCs/>
          <w:sz w:val="20"/>
          <w:szCs w:val="20"/>
        </w:rPr>
        <w:t>judima</w:t>
      </w:r>
      <w:r w:rsidR="00C63C99" w:rsidRPr="00653396">
        <w:rPr>
          <w:rFonts w:ascii="Times New Roman" w:hAnsi="Times New Roman" w:cs="Times New Roman"/>
          <w:sz w:val="20"/>
          <w:szCs w:val="20"/>
        </w:rPr>
        <w:t>;</w:t>
      </w:r>
      <w:r w:rsidR="008435FA" w:rsidRPr="00653396">
        <w:rPr>
          <w:rFonts w:ascii="Times New Roman" w:hAnsi="Times New Roman" w:cs="Times New Roman"/>
          <w:sz w:val="20"/>
          <w:szCs w:val="20"/>
        </w:rPr>
        <w:t xml:space="preserve"> and the Deori people </w:t>
      </w:r>
      <w:r w:rsidR="008435FA" w:rsidRPr="00653396">
        <w:rPr>
          <w:rFonts w:ascii="Times New Roman" w:hAnsi="Times New Roman" w:cs="Times New Roman"/>
          <w:sz w:val="20"/>
          <w:szCs w:val="20"/>
        </w:rPr>
        <w:lastRenderedPageBreak/>
        <w:t xml:space="preserve">have a drink called </w:t>
      </w:r>
      <w:r w:rsidR="008435FA" w:rsidRPr="00653396">
        <w:rPr>
          <w:rFonts w:ascii="Times New Roman" w:hAnsi="Times New Roman" w:cs="Times New Roman"/>
          <w:i/>
          <w:iCs/>
          <w:sz w:val="20"/>
          <w:szCs w:val="20"/>
        </w:rPr>
        <w:t>sujen</w:t>
      </w:r>
      <w:r w:rsidR="008435FA" w:rsidRPr="00653396">
        <w:rPr>
          <w:rFonts w:ascii="Times New Roman" w:hAnsi="Times New Roman" w:cs="Times New Roman"/>
          <w:sz w:val="20"/>
          <w:szCs w:val="20"/>
        </w:rPr>
        <w:t xml:space="preserve">. They are made </w:t>
      </w:r>
      <w:r w:rsidR="002644D8" w:rsidRPr="00653396">
        <w:rPr>
          <w:rFonts w:ascii="Times New Roman" w:hAnsi="Times New Roman" w:cs="Times New Roman"/>
          <w:sz w:val="20"/>
          <w:szCs w:val="20"/>
        </w:rPr>
        <w:t>with enzymes that break down rice starch</w:t>
      </w:r>
      <w:r w:rsidR="008435FA" w:rsidRPr="00653396">
        <w:rPr>
          <w:rFonts w:ascii="Times New Roman" w:hAnsi="Times New Roman" w:cs="Times New Roman"/>
          <w:sz w:val="20"/>
          <w:szCs w:val="20"/>
        </w:rPr>
        <w:t xml:space="preserve">. The people of </w:t>
      </w:r>
      <w:r w:rsidR="00C63C99" w:rsidRPr="00653396">
        <w:rPr>
          <w:rFonts w:ascii="Times New Roman" w:hAnsi="Times New Roman" w:cs="Times New Roman"/>
          <w:sz w:val="20"/>
          <w:szCs w:val="20"/>
        </w:rPr>
        <w:t>Assam, India,</w:t>
      </w:r>
      <w:r w:rsidR="008435FA" w:rsidRPr="00653396">
        <w:rPr>
          <w:rFonts w:ascii="Times New Roman" w:hAnsi="Times New Roman" w:cs="Times New Roman"/>
          <w:sz w:val="20"/>
          <w:szCs w:val="20"/>
        </w:rPr>
        <w:t xml:space="preserve"> use these helpers to make the Boro </w:t>
      </w:r>
      <w:r w:rsidR="008435FA" w:rsidRPr="00653396">
        <w:rPr>
          <w:rFonts w:ascii="Times New Roman" w:hAnsi="Times New Roman" w:cs="Times New Roman"/>
          <w:i/>
          <w:iCs/>
          <w:sz w:val="20"/>
          <w:szCs w:val="20"/>
        </w:rPr>
        <w:t>jou</w:t>
      </w:r>
      <w:r w:rsidR="00C63C99" w:rsidRPr="00653396">
        <w:rPr>
          <w:rFonts w:ascii="Times New Roman" w:hAnsi="Times New Roman" w:cs="Times New Roman"/>
          <w:sz w:val="20"/>
          <w:szCs w:val="20"/>
        </w:rPr>
        <w:t xml:space="preserve">, the Mising </w:t>
      </w:r>
      <w:r w:rsidR="00C63C99" w:rsidRPr="00653396">
        <w:rPr>
          <w:rFonts w:ascii="Times New Roman" w:hAnsi="Times New Roman" w:cs="Times New Roman"/>
          <w:i/>
          <w:iCs/>
          <w:sz w:val="20"/>
          <w:szCs w:val="20"/>
        </w:rPr>
        <w:t>apong</w:t>
      </w:r>
      <w:r w:rsidR="00C63C99" w:rsidRPr="00653396">
        <w:rPr>
          <w:rFonts w:ascii="Times New Roman" w:hAnsi="Times New Roman" w:cs="Times New Roman"/>
          <w:sz w:val="20"/>
          <w:szCs w:val="20"/>
        </w:rPr>
        <w:t xml:space="preserve">, the Dimasa </w:t>
      </w:r>
      <w:r w:rsidR="00C63C99" w:rsidRPr="00653396">
        <w:rPr>
          <w:rFonts w:ascii="Times New Roman" w:hAnsi="Times New Roman" w:cs="Times New Roman"/>
          <w:i/>
          <w:iCs/>
          <w:sz w:val="20"/>
          <w:szCs w:val="20"/>
        </w:rPr>
        <w:t>judima</w:t>
      </w:r>
      <w:r w:rsidR="00C63C99" w:rsidRPr="00653396">
        <w:rPr>
          <w:rFonts w:ascii="Times New Roman" w:hAnsi="Times New Roman" w:cs="Times New Roman"/>
          <w:sz w:val="20"/>
          <w:szCs w:val="20"/>
        </w:rPr>
        <w:t xml:space="preserve">, and the Deori </w:t>
      </w:r>
      <w:r w:rsidR="00C63C99" w:rsidRPr="00653396">
        <w:rPr>
          <w:rFonts w:ascii="Times New Roman" w:hAnsi="Times New Roman" w:cs="Times New Roman"/>
          <w:i/>
          <w:iCs/>
          <w:sz w:val="20"/>
          <w:szCs w:val="20"/>
        </w:rPr>
        <w:t>sujen</w:t>
      </w:r>
      <w:r w:rsidR="008435FA" w:rsidRPr="00653396">
        <w:rPr>
          <w:rFonts w:ascii="Times New Roman" w:hAnsi="Times New Roman" w:cs="Times New Roman"/>
          <w:sz w:val="20"/>
          <w:szCs w:val="20"/>
        </w:rPr>
        <w:t xml:space="preserve"> in </w:t>
      </w:r>
      <w:r w:rsidR="00C63C99" w:rsidRPr="00653396">
        <w:rPr>
          <w:rFonts w:ascii="Times New Roman" w:hAnsi="Times New Roman" w:cs="Times New Roman"/>
          <w:sz w:val="20"/>
          <w:szCs w:val="20"/>
        </w:rPr>
        <w:t>unique ways</w:t>
      </w:r>
      <w:r w:rsidRPr="00653396">
        <w:rPr>
          <w:rFonts w:ascii="Times New Roman" w:hAnsi="Times New Roman" w:cs="Times New Roman"/>
          <w:sz w:val="20"/>
          <w:szCs w:val="20"/>
        </w:rPr>
        <w:t xml:space="preserve">. </w:t>
      </w:r>
      <w:r w:rsidR="008B08D2" w:rsidRPr="00653396">
        <w:rPr>
          <w:rFonts w:ascii="Times New Roman" w:hAnsi="Times New Roman" w:cs="Times New Roman"/>
          <w:sz w:val="20"/>
          <w:szCs w:val="20"/>
        </w:rPr>
        <w:t>Ethnobiological studies have shown that these starter cakes, known as ‘</w:t>
      </w:r>
      <w:r w:rsidR="008B08D2" w:rsidRPr="00653396">
        <w:rPr>
          <w:rFonts w:ascii="Times New Roman" w:hAnsi="Times New Roman" w:cs="Times New Roman"/>
          <w:i/>
          <w:iCs/>
          <w:sz w:val="20"/>
          <w:szCs w:val="20"/>
        </w:rPr>
        <w:t>angkur’, ‘bakhor’,</w:t>
      </w:r>
      <w:r w:rsidR="008B08D2" w:rsidRPr="00653396">
        <w:rPr>
          <w:rFonts w:ascii="Times New Roman" w:hAnsi="Times New Roman" w:cs="Times New Roman"/>
          <w:sz w:val="20"/>
          <w:szCs w:val="20"/>
        </w:rPr>
        <w:t xml:space="preserve"> or ‘</w:t>
      </w:r>
      <w:r w:rsidR="008B08D2" w:rsidRPr="00653396">
        <w:rPr>
          <w:rFonts w:ascii="Times New Roman" w:hAnsi="Times New Roman" w:cs="Times New Roman"/>
          <w:i/>
          <w:iCs/>
          <w:sz w:val="20"/>
          <w:szCs w:val="20"/>
        </w:rPr>
        <w:t>mod-pitha’</w:t>
      </w:r>
      <w:r w:rsidR="008B08D2" w:rsidRPr="00653396">
        <w:rPr>
          <w:rFonts w:ascii="Times New Roman" w:hAnsi="Times New Roman" w:cs="Times New Roman"/>
          <w:sz w:val="20"/>
          <w:szCs w:val="20"/>
        </w:rPr>
        <w:t xml:space="preserve">, have many uses </w:t>
      </w:r>
      <w:r w:rsidR="002644D8" w:rsidRPr="00653396">
        <w:rPr>
          <w:rFonts w:ascii="Times New Roman" w:hAnsi="Times New Roman" w:cs="Times New Roman"/>
          <w:sz w:val="20"/>
          <w:szCs w:val="20"/>
        </w:rPr>
        <w:t>due to the medicinal properties</w:t>
      </w:r>
      <w:r w:rsidR="008B08D2" w:rsidRPr="00653396">
        <w:rPr>
          <w:rFonts w:ascii="Times New Roman" w:hAnsi="Times New Roman" w:cs="Times New Roman"/>
          <w:sz w:val="20"/>
          <w:szCs w:val="20"/>
        </w:rPr>
        <w:t xml:space="preserve"> of the plants they contain (Das &amp; Deka, 2012).</w:t>
      </w:r>
      <w:r w:rsidR="001718A7">
        <w:rPr>
          <w:rFonts w:ascii="Times New Roman" w:hAnsi="Times New Roman" w:cs="Times New Roman"/>
          <w:sz w:val="20"/>
          <w:szCs w:val="20"/>
        </w:rPr>
        <w:t xml:space="preserve"> </w:t>
      </w:r>
      <w:r w:rsidRPr="00ED576E">
        <w:rPr>
          <w:rFonts w:ascii="Times New Roman" w:hAnsi="Times New Roman" w:cs="Times New Roman"/>
          <w:sz w:val="20"/>
          <w:szCs w:val="20"/>
        </w:rPr>
        <w:t>Physicochemical reviews highlight that these botanical additions serve a dual purpose</w:t>
      </w:r>
      <w:r w:rsidR="00ED576E">
        <w:rPr>
          <w:rFonts w:ascii="Times New Roman" w:hAnsi="Times New Roman" w:cs="Times New Roman"/>
          <w:sz w:val="20"/>
          <w:szCs w:val="20"/>
        </w:rPr>
        <w:t>, they are-</w:t>
      </w:r>
    </w:p>
    <w:p w14:paraId="75B33EF5" w14:textId="6FBB2169" w:rsidR="006318E4" w:rsidRPr="00653396" w:rsidRDefault="006318E4" w:rsidP="006615D3">
      <w:pPr>
        <w:spacing w:after="0" w:line="240" w:lineRule="auto"/>
        <w:jc w:val="both"/>
        <w:rPr>
          <w:rFonts w:ascii="Times New Roman" w:hAnsi="Times New Roman" w:cs="Times New Roman"/>
          <w:b/>
          <w:bCs/>
          <w:sz w:val="20"/>
          <w:szCs w:val="20"/>
        </w:rPr>
      </w:pPr>
      <w:r w:rsidRPr="00653396">
        <w:rPr>
          <w:rFonts w:ascii="Times New Roman" w:hAnsi="Times New Roman" w:cs="Times New Roman"/>
          <w:b/>
          <w:bCs/>
          <w:sz w:val="20"/>
          <w:szCs w:val="20"/>
        </w:rPr>
        <w:t>Microbial Consortium Selection:</w:t>
      </w:r>
      <w:r w:rsidRPr="00653396">
        <w:rPr>
          <w:rFonts w:ascii="Times New Roman" w:hAnsi="Times New Roman" w:cs="Times New Roman"/>
          <w:sz w:val="20"/>
          <w:szCs w:val="20"/>
        </w:rPr>
        <w:t xml:space="preserve"> Plants act as selective antimicrobial agents, suppressing spoilage organisms while </w:t>
      </w:r>
      <w:r w:rsidR="00B939A2" w:rsidRPr="00653396">
        <w:rPr>
          <w:rFonts w:ascii="Times New Roman" w:hAnsi="Times New Roman" w:cs="Times New Roman"/>
          <w:sz w:val="20"/>
          <w:szCs w:val="20"/>
        </w:rPr>
        <w:t>favouring</w:t>
      </w:r>
      <w:r w:rsidRPr="00653396">
        <w:rPr>
          <w:rFonts w:ascii="Times New Roman" w:hAnsi="Times New Roman" w:cs="Times New Roman"/>
          <w:sz w:val="20"/>
          <w:szCs w:val="20"/>
        </w:rPr>
        <w:t xml:space="preserve"> the proliferation of amylolytic </w:t>
      </w:r>
      <w:r w:rsidR="00B939A2" w:rsidRPr="00653396">
        <w:rPr>
          <w:rFonts w:ascii="Times New Roman" w:hAnsi="Times New Roman" w:cs="Times New Roman"/>
          <w:sz w:val="20"/>
          <w:szCs w:val="20"/>
        </w:rPr>
        <w:t>Molds</w:t>
      </w:r>
      <w:r w:rsidRPr="00653396">
        <w:rPr>
          <w:rFonts w:ascii="Times New Roman" w:hAnsi="Times New Roman" w:cs="Times New Roman"/>
          <w:sz w:val="20"/>
          <w:szCs w:val="20"/>
        </w:rPr>
        <w:t xml:space="preserve"> (Aspergillus and Rhizopus spp.) and ethanol-tolerant yeasts like Saccharomyces cerevisiae (Das &amp; Deka, 2012).</w:t>
      </w:r>
    </w:p>
    <w:p w14:paraId="23823AE8" w14:textId="084C61C9" w:rsidR="002E1A7C" w:rsidRPr="00653396" w:rsidRDefault="006318E4" w:rsidP="006615D3">
      <w:pPr>
        <w:spacing w:after="0" w:line="240" w:lineRule="auto"/>
        <w:jc w:val="both"/>
        <w:rPr>
          <w:rFonts w:ascii="Times New Roman" w:hAnsi="Times New Roman" w:cs="Times New Roman"/>
          <w:sz w:val="20"/>
          <w:szCs w:val="20"/>
        </w:rPr>
      </w:pPr>
      <w:r w:rsidRPr="00653396">
        <w:rPr>
          <w:rFonts w:ascii="Times New Roman" w:hAnsi="Times New Roman" w:cs="Times New Roman"/>
          <w:b/>
          <w:bCs/>
          <w:sz w:val="20"/>
          <w:szCs w:val="20"/>
        </w:rPr>
        <w:t xml:space="preserve">Nutraceutical </w:t>
      </w:r>
      <w:r w:rsidR="00C63C99" w:rsidRPr="00653396">
        <w:rPr>
          <w:rFonts w:ascii="Times New Roman" w:hAnsi="Times New Roman" w:cs="Times New Roman"/>
          <w:b/>
          <w:bCs/>
          <w:sz w:val="20"/>
          <w:szCs w:val="20"/>
        </w:rPr>
        <w:t>Enrichment</w:t>
      </w:r>
      <w:r w:rsidR="00C63C99" w:rsidRPr="00653396">
        <w:rPr>
          <w:rFonts w:ascii="Times New Roman" w:hAnsi="Times New Roman" w:cs="Times New Roman"/>
          <w:sz w:val="20"/>
          <w:szCs w:val="20"/>
        </w:rPr>
        <w:t xml:space="preserve">: </w:t>
      </w:r>
      <w:r w:rsidR="00124B43" w:rsidRPr="00653396">
        <w:rPr>
          <w:rFonts w:ascii="Times New Roman" w:hAnsi="Times New Roman" w:cs="Times New Roman"/>
          <w:sz w:val="20"/>
          <w:szCs w:val="20"/>
        </w:rPr>
        <w:t xml:space="preserve">The people in these communities use drinks for special </w:t>
      </w:r>
      <w:r w:rsidR="00C63C99" w:rsidRPr="00653396">
        <w:rPr>
          <w:rFonts w:ascii="Times New Roman" w:hAnsi="Times New Roman" w:cs="Times New Roman"/>
          <w:sz w:val="20"/>
          <w:szCs w:val="20"/>
        </w:rPr>
        <w:t>occasions and to help them feel better when they are not well.</w:t>
      </w:r>
      <w:r w:rsidR="00FC1FBD">
        <w:rPr>
          <w:rFonts w:ascii="Times New Roman" w:hAnsi="Times New Roman" w:cs="Times New Roman"/>
          <w:sz w:val="20"/>
          <w:szCs w:val="20"/>
        </w:rPr>
        <w:t xml:space="preserve"> </w:t>
      </w:r>
      <w:r w:rsidR="00D2037A">
        <w:rPr>
          <w:rFonts w:ascii="Times New Roman" w:hAnsi="Times New Roman" w:cs="Times New Roman"/>
          <w:sz w:val="20"/>
          <w:szCs w:val="20"/>
        </w:rPr>
        <w:t>Traditional tribal-made drinks have many medicinal benefits, including</w:t>
      </w:r>
      <w:r w:rsidR="005C70A0" w:rsidRPr="005C70A0">
        <w:rPr>
          <w:rFonts w:ascii="Times New Roman" w:hAnsi="Times New Roman" w:cs="Times New Roman"/>
          <w:sz w:val="20"/>
          <w:szCs w:val="20"/>
        </w:rPr>
        <w:t xml:space="preserve"> B-complex vitamins and antioxidants (Das &amp; Deka, 2012; Samantaray et al., 2026).</w:t>
      </w:r>
      <w:r w:rsidR="005C70A0" w:rsidRPr="005C70A0">
        <w:rPr>
          <w:rFonts w:ascii="Times New Roman" w:hAnsi="Times New Roman" w:cs="Times New Roman"/>
          <w:b/>
          <w:bCs/>
          <w:sz w:val="20"/>
          <w:szCs w:val="20"/>
        </w:rPr>
        <w:t xml:space="preserve"> </w:t>
      </w:r>
      <w:r w:rsidR="002E1A7C" w:rsidRPr="00653396">
        <w:rPr>
          <w:rFonts w:ascii="Times New Roman" w:hAnsi="Times New Roman" w:cs="Times New Roman"/>
          <w:sz w:val="20"/>
          <w:szCs w:val="20"/>
        </w:rPr>
        <w:t xml:space="preserve">The thing with these drinks is that they can be unpredictable because the ingredients can react in unexpected ways. This means there is a need for a system to ensure a controlled </w:t>
      </w:r>
      <w:r w:rsidR="002644D8" w:rsidRPr="00653396">
        <w:rPr>
          <w:rFonts w:ascii="Times New Roman" w:hAnsi="Times New Roman" w:cs="Times New Roman"/>
          <w:sz w:val="20"/>
          <w:szCs w:val="20"/>
        </w:rPr>
        <w:t>method for adding ingredients and maintaining</w:t>
      </w:r>
      <w:r w:rsidR="002E1A7C" w:rsidRPr="00653396">
        <w:rPr>
          <w:rFonts w:ascii="Times New Roman" w:hAnsi="Times New Roman" w:cs="Times New Roman"/>
          <w:sz w:val="20"/>
          <w:szCs w:val="20"/>
        </w:rPr>
        <w:t xml:space="preserve"> the right temperature, so the drinks are safe and meet the standards people expect. At the same time, to maintain the special qualities of the plants used to make the drinks, one needs equipment to </w:t>
      </w:r>
      <w:r w:rsidR="00887B2E">
        <w:rPr>
          <w:rFonts w:ascii="Times New Roman" w:hAnsi="Times New Roman" w:cs="Times New Roman"/>
          <w:sz w:val="20"/>
          <w:szCs w:val="20"/>
        </w:rPr>
        <w:t>maintain</w:t>
      </w:r>
      <w:r w:rsidR="002E1A7C" w:rsidRPr="00653396">
        <w:rPr>
          <w:rFonts w:ascii="Times New Roman" w:hAnsi="Times New Roman" w:cs="Times New Roman"/>
          <w:sz w:val="20"/>
          <w:szCs w:val="20"/>
        </w:rPr>
        <w:t xml:space="preserve"> the right temperature</w:t>
      </w:r>
      <w:r w:rsidR="009E2FC3" w:rsidRPr="00653396">
        <w:rPr>
          <w:rFonts w:ascii="Times New Roman" w:hAnsi="Times New Roman" w:cs="Times New Roman"/>
          <w:sz w:val="20"/>
          <w:szCs w:val="20"/>
        </w:rPr>
        <w:t xml:space="preserve"> </w:t>
      </w:r>
      <w:r w:rsidR="002E1A7C" w:rsidRPr="00653396">
        <w:rPr>
          <w:rFonts w:ascii="Times New Roman" w:hAnsi="Times New Roman" w:cs="Times New Roman"/>
          <w:sz w:val="20"/>
          <w:szCs w:val="20"/>
        </w:rPr>
        <w:t>(Sarmah et al., 2022).</w:t>
      </w:r>
    </w:p>
    <w:p w14:paraId="07FAB893" w14:textId="50294E8A" w:rsidR="006318E4" w:rsidRPr="00653396" w:rsidRDefault="006318E4" w:rsidP="00653396">
      <w:pPr>
        <w:spacing w:after="0" w:line="240" w:lineRule="auto"/>
        <w:jc w:val="both"/>
        <w:rPr>
          <w:rFonts w:ascii="Times New Roman" w:hAnsi="Times New Roman" w:cs="Times New Roman"/>
          <w:b/>
          <w:bCs/>
          <w:sz w:val="20"/>
          <w:szCs w:val="20"/>
        </w:rPr>
      </w:pPr>
      <w:r w:rsidRPr="00653396">
        <w:rPr>
          <w:rFonts w:ascii="Times New Roman" w:hAnsi="Times New Roman" w:cs="Times New Roman"/>
          <w:b/>
          <w:bCs/>
          <w:sz w:val="20"/>
          <w:szCs w:val="20"/>
        </w:rPr>
        <w:t>Regulatory Bottlenecks and the Industrial Disenfranchisement Paradox</w:t>
      </w:r>
    </w:p>
    <w:p w14:paraId="3887A636" w14:textId="3388F94B" w:rsidR="006318E4" w:rsidRPr="00653396" w:rsidRDefault="00AF4E90" w:rsidP="001718A7">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When ethnic and cultural products from the Northeast enter the market, they face strict laws designed for large industries. The government used to see brewing by indigenous people as a bad thing and even a crime. Recently, some policy changes </w:t>
      </w:r>
      <w:r w:rsidRPr="00653396">
        <w:rPr>
          <w:rFonts w:ascii="Times New Roman" w:hAnsi="Times New Roman" w:cs="Times New Roman"/>
          <w:sz w:val="20"/>
          <w:szCs w:val="20"/>
        </w:rPr>
        <w:t xml:space="preserve">have added "heritage beverages", but the shift to commercial production still focuses on large industries </w:t>
      </w:r>
      <w:r w:rsidR="006318E4" w:rsidRPr="00653396">
        <w:rPr>
          <w:rFonts w:ascii="Times New Roman" w:hAnsi="Times New Roman" w:cs="Times New Roman"/>
          <w:sz w:val="20"/>
          <w:szCs w:val="20"/>
        </w:rPr>
        <w:t>(Nezine, 2020).</w:t>
      </w:r>
    </w:p>
    <w:p w14:paraId="2F47FC36" w14:textId="77777777" w:rsidR="001718A7" w:rsidRDefault="001718A7" w:rsidP="001718A7">
      <w:pPr>
        <w:spacing w:after="0" w:line="240" w:lineRule="auto"/>
        <w:jc w:val="both"/>
        <w:rPr>
          <w:rFonts w:ascii="Times New Roman" w:hAnsi="Times New Roman" w:cs="Times New Roman"/>
          <w:sz w:val="20"/>
          <w:szCs w:val="20"/>
        </w:rPr>
      </w:pPr>
    </w:p>
    <w:p w14:paraId="341086E7" w14:textId="6D1DE786" w:rsidR="009420B7" w:rsidRPr="00653396" w:rsidRDefault="004C72FD" w:rsidP="001718A7">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The literature says that </w:t>
      </w:r>
      <w:r w:rsidR="002644D8" w:rsidRPr="00653396">
        <w:rPr>
          <w:rFonts w:ascii="Times New Roman" w:hAnsi="Times New Roman" w:cs="Times New Roman"/>
          <w:sz w:val="20"/>
          <w:szCs w:val="20"/>
        </w:rPr>
        <w:t xml:space="preserve">licensing fees require </w:t>
      </w:r>
      <w:r w:rsidRPr="00653396">
        <w:rPr>
          <w:rFonts w:ascii="Times New Roman" w:hAnsi="Times New Roman" w:cs="Times New Roman"/>
          <w:sz w:val="20"/>
          <w:szCs w:val="20"/>
        </w:rPr>
        <w:t xml:space="preserve">bottling equipment, and the rules that everything has to be the same help big companies with a lot of money who are not from around here. When a factory gets a license to bottle things, it often takes away the connection production has to the culture and environment it is part of. </w:t>
      </w:r>
      <w:r w:rsidR="009420B7" w:rsidRPr="00653396">
        <w:rPr>
          <w:rFonts w:ascii="Times New Roman" w:hAnsi="Times New Roman" w:cs="Times New Roman"/>
          <w:sz w:val="20"/>
          <w:szCs w:val="20"/>
        </w:rPr>
        <w:t>This creates an extractive economic model in which the profits leak for the agrarian community, leaving the traditional tribal people economically marginalised and culturally displaced (Ashokvardhan, 2000; Nezine, 2020).</w:t>
      </w:r>
    </w:p>
    <w:p w14:paraId="5B06CED0" w14:textId="77777777" w:rsidR="00FD374D" w:rsidRDefault="00FD374D" w:rsidP="00653396">
      <w:pPr>
        <w:spacing w:after="0" w:line="240" w:lineRule="auto"/>
        <w:jc w:val="both"/>
        <w:rPr>
          <w:rFonts w:ascii="Times New Roman" w:hAnsi="Times New Roman" w:cs="Times New Roman"/>
          <w:b/>
          <w:bCs/>
          <w:sz w:val="20"/>
          <w:szCs w:val="20"/>
        </w:rPr>
      </w:pPr>
    </w:p>
    <w:p w14:paraId="65D4CCBD" w14:textId="3AEAC14F" w:rsidR="006318E4" w:rsidRPr="00653396" w:rsidRDefault="006318E4" w:rsidP="00653396">
      <w:pPr>
        <w:spacing w:after="0" w:line="240" w:lineRule="auto"/>
        <w:jc w:val="both"/>
        <w:rPr>
          <w:rFonts w:ascii="Times New Roman" w:hAnsi="Times New Roman" w:cs="Times New Roman"/>
          <w:b/>
          <w:bCs/>
          <w:sz w:val="20"/>
          <w:szCs w:val="20"/>
        </w:rPr>
      </w:pPr>
      <w:r w:rsidRPr="00653396">
        <w:rPr>
          <w:rFonts w:ascii="Times New Roman" w:hAnsi="Times New Roman" w:cs="Times New Roman"/>
          <w:b/>
          <w:bCs/>
          <w:sz w:val="20"/>
          <w:szCs w:val="20"/>
        </w:rPr>
        <w:t>The Japanese Sake Legal Framework as an Adaptive Archetype</w:t>
      </w:r>
    </w:p>
    <w:p w14:paraId="79AFCEDA" w14:textId="6B48CFC4" w:rsidR="00E50F53" w:rsidRPr="00653396" w:rsidRDefault="00BC040E" w:rsidP="006615D3">
      <w:pPr>
        <w:spacing w:after="0" w:line="240" w:lineRule="auto"/>
        <w:jc w:val="both"/>
        <w:rPr>
          <w:rFonts w:ascii="Times New Roman" w:hAnsi="Times New Roman" w:cs="Times New Roman"/>
          <w:sz w:val="20"/>
          <w:szCs w:val="20"/>
        </w:rPr>
      </w:pPr>
      <w:r w:rsidRPr="00BC040E">
        <w:rPr>
          <w:rFonts w:ascii="Times New Roman" w:hAnsi="Times New Roman" w:cs="Times New Roman"/>
          <w:sz w:val="20"/>
          <w:szCs w:val="20"/>
        </w:rPr>
        <w:t xml:space="preserve">The researchers discuss </w:t>
      </w:r>
      <w:r w:rsidR="00D2037A">
        <w:rPr>
          <w:rFonts w:ascii="Times New Roman" w:hAnsi="Times New Roman" w:cs="Times New Roman"/>
          <w:sz w:val="20"/>
          <w:szCs w:val="20"/>
        </w:rPr>
        <w:t xml:space="preserve">changes in resource use and liquor production rules </w:t>
      </w:r>
      <w:r w:rsidRPr="00BC040E">
        <w:rPr>
          <w:rFonts w:ascii="Times New Roman" w:hAnsi="Times New Roman" w:cs="Times New Roman"/>
          <w:sz w:val="20"/>
          <w:szCs w:val="20"/>
        </w:rPr>
        <w:t xml:space="preserve">in Japan. They made a system for properly keeping doburoku, an unfiltered liquor.  The National Tax Agency of Japan ensures that large companies pay substantial taxes, </w:t>
      </w:r>
      <w:r w:rsidR="006A3D39">
        <w:rPr>
          <w:rFonts w:ascii="Times New Roman" w:hAnsi="Times New Roman" w:cs="Times New Roman"/>
          <w:sz w:val="20"/>
          <w:szCs w:val="20"/>
        </w:rPr>
        <w:t>thereby helping</w:t>
      </w:r>
      <w:r w:rsidR="00FC1FBD">
        <w:rPr>
          <w:rFonts w:ascii="Times New Roman" w:hAnsi="Times New Roman" w:cs="Times New Roman"/>
          <w:sz w:val="20"/>
          <w:szCs w:val="20"/>
        </w:rPr>
        <w:t xml:space="preserve"> the agency </w:t>
      </w:r>
      <w:r w:rsidRPr="00BC040E">
        <w:rPr>
          <w:rFonts w:ascii="Times New Roman" w:hAnsi="Times New Roman" w:cs="Times New Roman"/>
          <w:sz w:val="20"/>
          <w:szCs w:val="20"/>
        </w:rPr>
        <w:t xml:space="preserve">generate revenue (National Tax Agency, 2020; Tippsy, 2023). </w:t>
      </w:r>
      <w:r w:rsidR="00E50F53" w:rsidRPr="00653396">
        <w:rPr>
          <w:rFonts w:ascii="Times New Roman" w:hAnsi="Times New Roman" w:cs="Times New Roman"/>
          <w:sz w:val="20"/>
          <w:szCs w:val="20"/>
        </w:rPr>
        <w:t xml:space="preserve">However, the </w:t>
      </w:r>
      <w:r w:rsidR="00110419">
        <w:rPr>
          <w:rFonts w:ascii="Times New Roman" w:hAnsi="Times New Roman" w:cs="Times New Roman"/>
          <w:sz w:val="20"/>
          <w:szCs w:val="20"/>
        </w:rPr>
        <w:t>J</w:t>
      </w:r>
      <w:r w:rsidR="00E50F53" w:rsidRPr="00653396">
        <w:rPr>
          <w:rFonts w:ascii="Times New Roman" w:hAnsi="Times New Roman" w:cs="Times New Roman"/>
          <w:sz w:val="20"/>
          <w:szCs w:val="20"/>
        </w:rPr>
        <w:t>izake (regional craft sake) movement, paired with a modern mindset and structural reforms, brings a major shift in regulations (</w:t>
      </w:r>
      <w:r w:rsidR="00FF6F3F">
        <w:rPr>
          <w:rFonts w:ascii="Times New Roman" w:hAnsi="Times New Roman" w:cs="Times New Roman"/>
          <w:sz w:val="20"/>
          <w:szCs w:val="20"/>
        </w:rPr>
        <w:t>ibid</w:t>
      </w:r>
      <w:r w:rsidR="00E50F53" w:rsidRPr="00653396">
        <w:rPr>
          <w:rFonts w:ascii="Times New Roman" w:hAnsi="Times New Roman" w:cs="Times New Roman"/>
          <w:sz w:val="20"/>
          <w:szCs w:val="20"/>
        </w:rPr>
        <w:t>, 2023).</w:t>
      </w:r>
    </w:p>
    <w:p w14:paraId="38538745" w14:textId="77777777" w:rsidR="006615D3" w:rsidRDefault="006615D3" w:rsidP="006615D3">
      <w:pPr>
        <w:spacing w:after="0" w:line="240" w:lineRule="auto"/>
        <w:jc w:val="both"/>
        <w:rPr>
          <w:rFonts w:ascii="Times New Roman" w:hAnsi="Times New Roman" w:cs="Times New Roman"/>
          <w:sz w:val="20"/>
          <w:szCs w:val="20"/>
        </w:rPr>
      </w:pPr>
    </w:p>
    <w:p w14:paraId="686D42CE" w14:textId="4D0B3026" w:rsidR="00FB07C2" w:rsidRPr="00653396" w:rsidRDefault="00FB07C2" w:rsidP="006615D3">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Japan made some changes to the Special Zone for Structural Reconstruction Act. This new rule helped cooperatives and rural entrepreneurs in Japan. The Special Zone for Structural Reconstruction Act made it easier for these people to do business in Japan. The main goal of the Special Zone for Structural Reconstruction Act was to help cooperatives and rural entrepreneurs in Japan. (Harada, 2015). This created a </w:t>
      </w:r>
      <w:r w:rsidR="00E67D64">
        <w:rPr>
          <w:rFonts w:ascii="Times New Roman" w:hAnsi="Times New Roman" w:cs="Times New Roman"/>
          <w:sz w:val="20"/>
          <w:szCs w:val="20"/>
        </w:rPr>
        <w:t>triple-tiered</w:t>
      </w:r>
      <w:r w:rsidRPr="00653396">
        <w:rPr>
          <w:rFonts w:ascii="Times New Roman" w:hAnsi="Times New Roman" w:cs="Times New Roman"/>
          <w:sz w:val="20"/>
          <w:szCs w:val="20"/>
        </w:rPr>
        <w:t xml:space="preserve"> regulatory ecosystem:</w:t>
      </w:r>
    </w:p>
    <w:p w14:paraId="4A66AB1C" w14:textId="77777777" w:rsidR="00207B49" w:rsidRDefault="00207B49" w:rsidP="002644D8">
      <w:pPr>
        <w:spacing w:after="0" w:line="240" w:lineRule="auto"/>
        <w:jc w:val="center"/>
        <w:rPr>
          <w:rFonts w:ascii="Times New Roman" w:hAnsi="Times New Roman" w:cs="Times New Roman"/>
          <w:b/>
          <w:bCs/>
          <w:sz w:val="24"/>
          <w:szCs w:val="24"/>
        </w:rPr>
        <w:sectPr w:rsidR="00207B49" w:rsidSect="00030032">
          <w:type w:val="continuous"/>
          <w:pgSz w:w="11906" w:h="16838"/>
          <w:pgMar w:top="1440" w:right="1440" w:bottom="1440" w:left="1440" w:header="708" w:footer="708" w:gutter="0"/>
          <w:cols w:num="2" w:space="708"/>
          <w:docGrid w:linePitch="360"/>
        </w:sectPr>
      </w:pPr>
    </w:p>
    <w:p w14:paraId="328DD85E" w14:textId="77777777" w:rsidR="00FD374D" w:rsidRDefault="00FD374D" w:rsidP="002644D8">
      <w:pPr>
        <w:spacing w:after="0" w:line="240" w:lineRule="auto"/>
        <w:jc w:val="center"/>
        <w:rPr>
          <w:rFonts w:ascii="Times New Roman" w:hAnsi="Times New Roman" w:cs="Times New Roman"/>
          <w:b/>
          <w:bCs/>
          <w:sz w:val="24"/>
          <w:szCs w:val="24"/>
        </w:rPr>
      </w:pPr>
    </w:p>
    <w:p w14:paraId="4E515005" w14:textId="487181BA" w:rsidR="008A449F" w:rsidRPr="00336AE4" w:rsidRDefault="008A449F" w:rsidP="002644D8">
      <w:pPr>
        <w:spacing w:after="0" w:line="240" w:lineRule="auto"/>
        <w:jc w:val="center"/>
        <w:rPr>
          <w:rFonts w:ascii="Times New Roman" w:hAnsi="Times New Roman" w:cs="Times New Roman"/>
          <w:b/>
          <w:bCs/>
          <w:sz w:val="24"/>
          <w:szCs w:val="24"/>
        </w:rPr>
      </w:pPr>
      <w:r w:rsidRPr="00336AE4">
        <w:rPr>
          <w:rFonts w:ascii="Times New Roman" w:hAnsi="Times New Roman" w:cs="Times New Roman"/>
          <w:b/>
          <w:bCs/>
          <w:sz w:val="24"/>
          <w:szCs w:val="24"/>
        </w:rPr>
        <w:t xml:space="preserve">Table </w:t>
      </w:r>
      <w:r w:rsidR="00FB07C2" w:rsidRPr="00336AE4">
        <w:rPr>
          <w:rFonts w:ascii="Times New Roman" w:hAnsi="Times New Roman" w:cs="Times New Roman"/>
          <w:b/>
          <w:bCs/>
          <w:sz w:val="24"/>
          <w:szCs w:val="24"/>
        </w:rPr>
        <w:t>1</w:t>
      </w:r>
      <w:r w:rsidR="00FB07C2">
        <w:rPr>
          <w:rFonts w:ascii="Times New Roman" w:hAnsi="Times New Roman" w:cs="Times New Roman"/>
          <w:b/>
          <w:bCs/>
          <w:sz w:val="24"/>
          <w:szCs w:val="24"/>
        </w:rPr>
        <w:t>:</w:t>
      </w:r>
      <w:r w:rsidR="00FB07C2" w:rsidRPr="00336AE4">
        <w:rPr>
          <w:rFonts w:ascii="Times New Roman" w:hAnsi="Times New Roman" w:cs="Times New Roman"/>
          <w:b/>
          <w:bCs/>
          <w:sz w:val="24"/>
          <w:szCs w:val="24"/>
        </w:rPr>
        <w:t xml:space="preserve"> Structural</w:t>
      </w:r>
      <w:r w:rsidR="00336AE4" w:rsidRPr="00336AE4">
        <w:rPr>
          <w:rFonts w:ascii="Times New Roman" w:hAnsi="Times New Roman" w:cs="Times New Roman"/>
          <w:b/>
          <w:bCs/>
          <w:sz w:val="24"/>
          <w:szCs w:val="24"/>
        </w:rPr>
        <w:t xml:space="preserve"> Matrix</w:t>
      </w:r>
      <w:r w:rsidR="00FB07C2">
        <w:rPr>
          <w:rFonts w:ascii="Times New Roman" w:hAnsi="Times New Roman" w:cs="Times New Roman"/>
          <w:b/>
          <w:bCs/>
          <w:sz w:val="24"/>
          <w:szCs w:val="24"/>
        </w:rPr>
        <w:t xml:space="preserve"> and Comparison </w:t>
      </w:r>
    </w:p>
    <w:p w14:paraId="676A1617" w14:textId="77777777" w:rsidR="00207B49" w:rsidRDefault="00207B49" w:rsidP="00F50F6D">
      <w:pPr>
        <w:jc w:val="center"/>
        <w:rPr>
          <w:rStyle w:val="Strong"/>
          <w:rFonts w:ascii="Times New Roman" w:hAnsi="Times New Roman" w:cs="Times New Roman"/>
          <w:sz w:val="16"/>
          <w:szCs w:val="16"/>
        </w:rPr>
        <w:sectPr w:rsidR="00207B49" w:rsidSect="00207B49">
          <w:type w:val="continuous"/>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1838"/>
        <w:gridCol w:w="3686"/>
        <w:gridCol w:w="3492"/>
      </w:tblGrid>
      <w:tr w:rsidR="00B12BD5" w:rsidRPr="00ED576E" w14:paraId="1E070AEC" w14:textId="77777777" w:rsidTr="00653396">
        <w:tc>
          <w:tcPr>
            <w:tcW w:w="1838" w:type="dxa"/>
            <w:vAlign w:val="center"/>
          </w:tcPr>
          <w:p w14:paraId="2779BEE9" w14:textId="2AE33537" w:rsidR="00B12BD5" w:rsidRPr="00ED576E" w:rsidRDefault="00B12BD5" w:rsidP="00B76EDD">
            <w:pPr>
              <w:jc w:val="center"/>
              <w:rPr>
                <w:rFonts w:ascii="Times New Roman" w:hAnsi="Times New Roman" w:cs="Times New Roman"/>
                <w:sz w:val="16"/>
                <w:szCs w:val="16"/>
              </w:rPr>
            </w:pPr>
            <w:r w:rsidRPr="00ED576E">
              <w:rPr>
                <w:rStyle w:val="Strong"/>
                <w:rFonts w:ascii="Times New Roman" w:hAnsi="Times New Roman" w:cs="Times New Roman"/>
                <w:sz w:val="16"/>
                <w:szCs w:val="16"/>
              </w:rPr>
              <w:t>Regulatory Pillar</w:t>
            </w:r>
          </w:p>
        </w:tc>
        <w:tc>
          <w:tcPr>
            <w:tcW w:w="3686" w:type="dxa"/>
            <w:vAlign w:val="center"/>
          </w:tcPr>
          <w:p w14:paraId="049DCB63" w14:textId="697D59DE" w:rsidR="00B12BD5" w:rsidRPr="00ED576E" w:rsidRDefault="00B12BD5" w:rsidP="00B76EDD">
            <w:pPr>
              <w:jc w:val="center"/>
              <w:rPr>
                <w:rFonts w:ascii="Times New Roman" w:hAnsi="Times New Roman" w:cs="Times New Roman"/>
                <w:sz w:val="16"/>
                <w:szCs w:val="16"/>
              </w:rPr>
            </w:pPr>
            <w:r w:rsidRPr="00ED576E">
              <w:rPr>
                <w:rStyle w:val="Strong"/>
                <w:rFonts w:ascii="Times New Roman" w:hAnsi="Times New Roman" w:cs="Times New Roman"/>
                <w:sz w:val="16"/>
                <w:szCs w:val="16"/>
              </w:rPr>
              <w:t>Industrial Scale</w:t>
            </w:r>
          </w:p>
        </w:tc>
        <w:tc>
          <w:tcPr>
            <w:tcW w:w="3492" w:type="dxa"/>
            <w:vAlign w:val="center"/>
          </w:tcPr>
          <w:p w14:paraId="3490472B" w14:textId="08ED8027" w:rsidR="00B12BD5" w:rsidRPr="00ED576E" w:rsidRDefault="00B12BD5" w:rsidP="00B76EDD">
            <w:pPr>
              <w:jc w:val="center"/>
              <w:rPr>
                <w:rFonts w:ascii="Times New Roman" w:hAnsi="Times New Roman" w:cs="Times New Roman"/>
                <w:sz w:val="16"/>
                <w:szCs w:val="16"/>
              </w:rPr>
            </w:pPr>
            <w:r w:rsidRPr="00ED576E">
              <w:rPr>
                <w:rStyle w:val="Strong"/>
                <w:rFonts w:ascii="Times New Roman" w:hAnsi="Times New Roman" w:cs="Times New Roman"/>
                <w:sz w:val="16"/>
                <w:szCs w:val="16"/>
              </w:rPr>
              <w:t>Micro-Brewery / Doburoku Zones</w:t>
            </w:r>
          </w:p>
        </w:tc>
      </w:tr>
      <w:tr w:rsidR="00B12BD5" w:rsidRPr="00ED576E" w14:paraId="1B259036" w14:textId="77777777" w:rsidTr="00653396">
        <w:tc>
          <w:tcPr>
            <w:tcW w:w="1838" w:type="dxa"/>
            <w:vAlign w:val="center"/>
          </w:tcPr>
          <w:p w14:paraId="0F3AD275" w14:textId="1A5A1E3B" w:rsidR="00B12BD5" w:rsidRPr="00ED576E" w:rsidRDefault="00B12BD5" w:rsidP="00B76EDD">
            <w:pPr>
              <w:jc w:val="center"/>
              <w:rPr>
                <w:rFonts w:ascii="Times New Roman" w:hAnsi="Times New Roman" w:cs="Times New Roman"/>
                <w:sz w:val="16"/>
                <w:szCs w:val="16"/>
              </w:rPr>
            </w:pPr>
            <w:r w:rsidRPr="00ED576E">
              <w:rPr>
                <w:rFonts w:ascii="Times New Roman" w:hAnsi="Times New Roman" w:cs="Times New Roman"/>
                <w:b/>
                <w:bCs/>
                <w:sz w:val="16"/>
                <w:szCs w:val="16"/>
              </w:rPr>
              <w:t>Primary Goal</w:t>
            </w:r>
          </w:p>
        </w:tc>
        <w:tc>
          <w:tcPr>
            <w:tcW w:w="3686" w:type="dxa"/>
            <w:vAlign w:val="center"/>
          </w:tcPr>
          <w:p w14:paraId="5EA89A5C" w14:textId="2F1FAD95" w:rsidR="00B12BD5" w:rsidRPr="00ED576E" w:rsidRDefault="00B12BD5" w:rsidP="00B76EDD">
            <w:pPr>
              <w:jc w:val="center"/>
              <w:rPr>
                <w:rFonts w:ascii="Times New Roman" w:hAnsi="Times New Roman" w:cs="Times New Roman"/>
                <w:sz w:val="16"/>
                <w:szCs w:val="16"/>
              </w:rPr>
            </w:pPr>
            <w:r w:rsidRPr="00ED576E">
              <w:rPr>
                <w:rFonts w:ascii="Times New Roman" w:hAnsi="Times New Roman" w:cs="Times New Roman"/>
                <w:sz w:val="16"/>
                <w:szCs w:val="16"/>
              </w:rPr>
              <w:t>High-volume export and state revenue maximisation (National Tax Agency, 2020).</w:t>
            </w:r>
          </w:p>
        </w:tc>
        <w:tc>
          <w:tcPr>
            <w:tcW w:w="3492" w:type="dxa"/>
            <w:vAlign w:val="center"/>
          </w:tcPr>
          <w:p w14:paraId="05369CAF" w14:textId="1E0B29B5" w:rsidR="00B12BD5" w:rsidRPr="00ED576E" w:rsidRDefault="00B12BD5" w:rsidP="00B76EDD">
            <w:pPr>
              <w:jc w:val="center"/>
              <w:rPr>
                <w:rFonts w:ascii="Times New Roman" w:hAnsi="Times New Roman" w:cs="Times New Roman"/>
                <w:sz w:val="16"/>
                <w:szCs w:val="16"/>
              </w:rPr>
            </w:pPr>
            <w:r w:rsidRPr="00ED576E">
              <w:rPr>
                <w:rFonts w:ascii="Times New Roman" w:hAnsi="Times New Roman" w:cs="Times New Roman"/>
                <w:sz w:val="16"/>
                <w:szCs w:val="16"/>
              </w:rPr>
              <w:t>Local economic revitalisation and cultural asset preservation (Harada, 2015).</w:t>
            </w:r>
          </w:p>
        </w:tc>
      </w:tr>
      <w:tr w:rsidR="00B12BD5" w:rsidRPr="00ED576E" w14:paraId="3C9737C5" w14:textId="77777777" w:rsidTr="00653396">
        <w:tc>
          <w:tcPr>
            <w:tcW w:w="1838" w:type="dxa"/>
            <w:vAlign w:val="center"/>
          </w:tcPr>
          <w:p w14:paraId="0B1A28A9" w14:textId="39F5101C" w:rsidR="00B12BD5" w:rsidRPr="00ED576E" w:rsidRDefault="00B12BD5" w:rsidP="00B76EDD">
            <w:pPr>
              <w:jc w:val="center"/>
              <w:rPr>
                <w:rFonts w:ascii="Times New Roman" w:hAnsi="Times New Roman" w:cs="Times New Roman"/>
                <w:sz w:val="16"/>
                <w:szCs w:val="16"/>
              </w:rPr>
            </w:pPr>
            <w:r w:rsidRPr="00ED576E">
              <w:rPr>
                <w:rFonts w:ascii="Times New Roman" w:hAnsi="Times New Roman" w:cs="Times New Roman"/>
                <w:b/>
                <w:bCs/>
                <w:sz w:val="16"/>
                <w:szCs w:val="16"/>
              </w:rPr>
              <w:t>Volume Thresholds</w:t>
            </w:r>
          </w:p>
        </w:tc>
        <w:tc>
          <w:tcPr>
            <w:tcW w:w="3686" w:type="dxa"/>
            <w:vAlign w:val="center"/>
          </w:tcPr>
          <w:p w14:paraId="059681FD" w14:textId="0977D6EB" w:rsidR="00B12BD5" w:rsidRPr="00ED576E" w:rsidRDefault="00B12BD5" w:rsidP="00B76EDD">
            <w:pPr>
              <w:jc w:val="center"/>
              <w:rPr>
                <w:rFonts w:ascii="Times New Roman" w:hAnsi="Times New Roman" w:cs="Times New Roman"/>
                <w:sz w:val="16"/>
                <w:szCs w:val="16"/>
              </w:rPr>
            </w:pPr>
            <w:r w:rsidRPr="00ED576E">
              <w:rPr>
                <w:rFonts w:ascii="Times New Roman" w:hAnsi="Times New Roman" w:cs="Times New Roman"/>
                <w:sz w:val="16"/>
                <w:szCs w:val="16"/>
              </w:rPr>
              <w:t>High mandatory minimum production baselines (Tippsy, 2023).</w:t>
            </w:r>
          </w:p>
        </w:tc>
        <w:tc>
          <w:tcPr>
            <w:tcW w:w="3492" w:type="dxa"/>
            <w:vAlign w:val="center"/>
          </w:tcPr>
          <w:p w14:paraId="7A0568ED" w14:textId="557CB98E" w:rsidR="00B12BD5" w:rsidRPr="00ED576E" w:rsidRDefault="00B12BD5" w:rsidP="00B76EDD">
            <w:pPr>
              <w:jc w:val="center"/>
              <w:rPr>
                <w:rFonts w:ascii="Times New Roman" w:hAnsi="Times New Roman" w:cs="Times New Roman"/>
                <w:sz w:val="16"/>
                <w:szCs w:val="16"/>
              </w:rPr>
            </w:pPr>
            <w:r w:rsidRPr="00ED576E">
              <w:rPr>
                <w:rFonts w:ascii="Times New Roman" w:hAnsi="Times New Roman" w:cs="Times New Roman"/>
                <w:sz w:val="16"/>
                <w:szCs w:val="16"/>
              </w:rPr>
              <w:t>Significantly lowered thresholds for farm-stay and regional producers (Harada, 2015).</w:t>
            </w:r>
          </w:p>
        </w:tc>
      </w:tr>
      <w:tr w:rsidR="00B12BD5" w:rsidRPr="00ED576E" w14:paraId="4AD261A9" w14:textId="77777777" w:rsidTr="00653396">
        <w:tc>
          <w:tcPr>
            <w:tcW w:w="1838" w:type="dxa"/>
            <w:vAlign w:val="center"/>
          </w:tcPr>
          <w:p w14:paraId="10435B28" w14:textId="2CE761AA" w:rsidR="00B12BD5" w:rsidRPr="00ED576E" w:rsidRDefault="00B12BD5" w:rsidP="00B76EDD">
            <w:pPr>
              <w:jc w:val="center"/>
              <w:rPr>
                <w:rFonts w:ascii="Times New Roman" w:hAnsi="Times New Roman" w:cs="Times New Roman"/>
                <w:sz w:val="16"/>
                <w:szCs w:val="16"/>
              </w:rPr>
            </w:pPr>
            <w:r w:rsidRPr="00ED576E">
              <w:rPr>
                <w:rFonts w:ascii="Times New Roman" w:hAnsi="Times New Roman" w:cs="Times New Roman"/>
                <w:b/>
                <w:bCs/>
                <w:sz w:val="16"/>
                <w:szCs w:val="16"/>
              </w:rPr>
              <w:t>Quality Control</w:t>
            </w:r>
          </w:p>
        </w:tc>
        <w:tc>
          <w:tcPr>
            <w:tcW w:w="3686" w:type="dxa"/>
            <w:vAlign w:val="center"/>
          </w:tcPr>
          <w:p w14:paraId="030CD82A" w14:textId="71397A62" w:rsidR="00B12BD5" w:rsidRPr="00ED576E" w:rsidRDefault="00B12BD5" w:rsidP="00B76EDD">
            <w:pPr>
              <w:jc w:val="center"/>
              <w:rPr>
                <w:rFonts w:ascii="Times New Roman" w:hAnsi="Times New Roman" w:cs="Times New Roman"/>
                <w:sz w:val="16"/>
                <w:szCs w:val="16"/>
              </w:rPr>
            </w:pPr>
            <w:r w:rsidRPr="00ED576E">
              <w:rPr>
                <w:rFonts w:ascii="Times New Roman" w:hAnsi="Times New Roman" w:cs="Times New Roman"/>
                <w:sz w:val="16"/>
                <w:szCs w:val="16"/>
              </w:rPr>
              <w:t>Automated, highly refined chemical standardisation (National Tax Agency, 2020).</w:t>
            </w:r>
          </w:p>
        </w:tc>
        <w:tc>
          <w:tcPr>
            <w:tcW w:w="3492" w:type="dxa"/>
            <w:vAlign w:val="center"/>
          </w:tcPr>
          <w:p w14:paraId="1ECD7370" w14:textId="60B3C603" w:rsidR="00B12BD5" w:rsidRPr="00ED576E" w:rsidRDefault="00B12BD5" w:rsidP="00B76EDD">
            <w:pPr>
              <w:jc w:val="center"/>
              <w:rPr>
                <w:rFonts w:ascii="Times New Roman" w:hAnsi="Times New Roman" w:cs="Times New Roman"/>
                <w:sz w:val="16"/>
                <w:szCs w:val="16"/>
              </w:rPr>
            </w:pPr>
            <w:r w:rsidRPr="00ED576E">
              <w:rPr>
                <w:rFonts w:ascii="Times New Roman" w:hAnsi="Times New Roman" w:cs="Times New Roman"/>
                <w:sz w:val="16"/>
                <w:szCs w:val="16"/>
              </w:rPr>
              <w:t>Hyper-localised Geographical Indications (GIs) protecting traditional methods (Tippsy, 2023).</w:t>
            </w:r>
          </w:p>
        </w:tc>
      </w:tr>
    </w:tbl>
    <w:p w14:paraId="6BDE4E17" w14:textId="77777777" w:rsidR="00207B49" w:rsidRDefault="00207B49" w:rsidP="00F50F6D">
      <w:pPr>
        <w:spacing w:line="240" w:lineRule="auto"/>
        <w:jc w:val="center"/>
        <w:rPr>
          <w:rFonts w:ascii="Times New Roman" w:hAnsi="Times New Roman" w:cs="Times New Roman"/>
          <w:b/>
          <w:bCs/>
          <w:sz w:val="18"/>
          <w:szCs w:val="18"/>
        </w:rPr>
        <w:sectPr w:rsidR="00207B49" w:rsidSect="00207B49">
          <w:type w:val="continuous"/>
          <w:pgSz w:w="11906" w:h="16838"/>
          <w:pgMar w:top="1440" w:right="1440" w:bottom="1440" w:left="1440" w:header="708" w:footer="708" w:gutter="0"/>
          <w:cols w:space="708"/>
          <w:docGrid w:linePitch="360"/>
        </w:sectPr>
      </w:pPr>
    </w:p>
    <w:p w14:paraId="68BB4380" w14:textId="77777777" w:rsidR="00E01B1E" w:rsidRPr="00ED576E" w:rsidRDefault="00B61768" w:rsidP="00B76EDD">
      <w:pPr>
        <w:spacing w:after="0" w:line="240" w:lineRule="auto"/>
        <w:jc w:val="center"/>
        <w:rPr>
          <w:rFonts w:ascii="Times New Roman" w:hAnsi="Times New Roman" w:cs="Times New Roman"/>
          <w:i/>
          <w:iCs/>
          <w:sz w:val="18"/>
          <w:szCs w:val="18"/>
        </w:rPr>
      </w:pPr>
      <w:r w:rsidRPr="00ED576E">
        <w:rPr>
          <w:rFonts w:ascii="Times New Roman" w:hAnsi="Times New Roman" w:cs="Times New Roman"/>
          <w:b/>
          <w:bCs/>
          <w:sz w:val="18"/>
          <w:szCs w:val="18"/>
        </w:rPr>
        <w:t>Source:</w:t>
      </w:r>
      <w:r w:rsidR="00AB5C86" w:rsidRPr="00ED576E">
        <w:rPr>
          <w:rFonts w:ascii="Times New Roman" w:hAnsi="Times New Roman" w:cs="Times New Roman"/>
          <w:sz w:val="18"/>
          <w:szCs w:val="18"/>
        </w:rPr>
        <w:t xml:space="preserve"> </w:t>
      </w:r>
      <w:r w:rsidR="00E565E4" w:rsidRPr="00ED576E">
        <w:rPr>
          <w:rFonts w:ascii="Times New Roman" w:hAnsi="Times New Roman" w:cs="Times New Roman"/>
          <w:i/>
          <w:iCs/>
          <w:sz w:val="18"/>
          <w:szCs w:val="18"/>
        </w:rPr>
        <w:t>Synthesized from Das &amp; Deka (2012), Harada (2015), National Tax Agency (2020), Nezine (2020), Rawat et al. (2021), Sarmah et al. (2022), and Tippsy (2023)</w:t>
      </w:r>
    </w:p>
    <w:p w14:paraId="7D19AE45" w14:textId="77777777" w:rsidR="00207B49" w:rsidRDefault="00207B49" w:rsidP="00653396">
      <w:pPr>
        <w:spacing w:after="0" w:line="240" w:lineRule="auto"/>
        <w:jc w:val="both"/>
        <w:rPr>
          <w:rFonts w:ascii="Times New Roman" w:hAnsi="Times New Roman" w:cs="Times New Roman"/>
          <w:b/>
          <w:bCs/>
          <w:sz w:val="20"/>
          <w:szCs w:val="20"/>
        </w:rPr>
        <w:sectPr w:rsidR="00207B49" w:rsidSect="00207B49">
          <w:type w:val="continuous"/>
          <w:pgSz w:w="11906" w:h="16838"/>
          <w:pgMar w:top="1440" w:right="1440" w:bottom="1440" w:left="1440" w:header="708" w:footer="708" w:gutter="0"/>
          <w:cols w:space="708"/>
          <w:docGrid w:linePitch="360"/>
        </w:sectPr>
      </w:pPr>
    </w:p>
    <w:p w14:paraId="348B055E" w14:textId="0BCBF95F" w:rsidR="00B61768" w:rsidRPr="00653396" w:rsidRDefault="00B76EDD" w:rsidP="00653396">
      <w:pPr>
        <w:spacing w:after="0" w:line="240" w:lineRule="auto"/>
        <w:jc w:val="both"/>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1312" behindDoc="0" locked="0" layoutInCell="1" allowOverlap="1" wp14:anchorId="2B2A67D6" wp14:editId="370D89F0">
                <wp:simplePos x="0" y="0"/>
                <wp:positionH relativeFrom="column">
                  <wp:posOffset>2689860</wp:posOffset>
                </wp:positionH>
                <wp:positionV relativeFrom="paragraph">
                  <wp:posOffset>116205</wp:posOffset>
                </wp:positionV>
                <wp:extent cx="342900" cy="411480"/>
                <wp:effectExtent l="0" t="19050" r="38100" b="45720"/>
                <wp:wrapNone/>
                <wp:docPr id="771508834" name="Arrow: Right 3"/>
                <wp:cNvGraphicFramePr/>
                <a:graphic xmlns:a="http://schemas.openxmlformats.org/drawingml/2006/main">
                  <a:graphicData uri="http://schemas.microsoft.com/office/word/2010/wordprocessingShape">
                    <wps:wsp>
                      <wps:cNvSpPr/>
                      <wps:spPr>
                        <a:xfrm>
                          <a:off x="0" y="0"/>
                          <a:ext cx="342900" cy="411480"/>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441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11.8pt;margin-top:9.15pt;width:27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" adj="10800" fillcolor="#82a0d7 [2164]" strokecolor="#4472c4 [3204]" strokeweight=".5pt">
                <v:fill color2="#678ccf [2612]" rotate="t" colors="0 #a8b7df;.5 #9aabd9;1 #879ed7" focus="100%" type="gradient">
                  <o:fill v:ext="view" type="gradientUnscaled"/>
                </v:fill>
              </v:shape>
            </w:pict>
          </mc:Fallback>
        </mc:AlternateContent>
      </w:r>
      <w:r w:rsidR="008E1DAD" w:rsidRPr="00653396">
        <w:rPr>
          <w:rFonts w:ascii="Times New Roman" w:hAnsi="Times New Roman" w:cs="Times New Roman"/>
          <w:b/>
          <w:bCs/>
          <w:sz w:val="20"/>
          <w:szCs w:val="20"/>
        </w:rPr>
        <w:t xml:space="preserve">The Revenue to Rights: </w:t>
      </w:r>
      <w:r w:rsidR="008E1DAD" w:rsidRPr="00653396">
        <w:rPr>
          <w:rFonts w:ascii="Times New Roman" w:hAnsi="Times New Roman" w:cs="Times New Roman"/>
          <w:sz w:val="20"/>
          <w:szCs w:val="20"/>
        </w:rPr>
        <w:t xml:space="preserve">Determining the proper market value of the product through GI tags, for example, Judima of Dimasas in Assam. which provide and secure local tribes rather than large- scale cooperatives </w:t>
      </w:r>
      <w:r w:rsidR="00B61768" w:rsidRPr="00653396">
        <w:rPr>
          <w:rFonts w:ascii="Times New Roman" w:hAnsi="Times New Roman" w:cs="Times New Roman"/>
          <w:sz w:val="20"/>
          <w:szCs w:val="20"/>
        </w:rPr>
        <w:t>(Sarmah et al., 2022).</w:t>
      </w:r>
      <w:r w:rsidR="00ED576E">
        <w:rPr>
          <w:rFonts w:ascii="Times New Roman" w:hAnsi="Times New Roman" w:cs="Times New Roman"/>
          <w:sz w:val="20"/>
          <w:szCs w:val="20"/>
        </w:rPr>
        <w:t xml:space="preserve"> This will become a critical but solvable aspect. </w:t>
      </w:r>
    </w:p>
    <w:p w14:paraId="6D3FF874" w14:textId="05DDA07B" w:rsidR="008E1DAD" w:rsidRPr="00653396" w:rsidRDefault="008E1DAD" w:rsidP="00653396">
      <w:pPr>
        <w:spacing w:after="0" w:line="240" w:lineRule="auto"/>
        <w:jc w:val="both"/>
        <w:rPr>
          <w:rFonts w:ascii="Times New Roman" w:hAnsi="Times New Roman" w:cs="Times New Roman"/>
          <w:sz w:val="20"/>
          <w:szCs w:val="20"/>
        </w:rPr>
      </w:pPr>
      <w:r w:rsidRPr="00653396">
        <w:rPr>
          <w:rFonts w:ascii="Times New Roman" w:hAnsi="Times New Roman" w:cs="Times New Roman"/>
          <w:b/>
          <w:bCs/>
          <w:sz w:val="20"/>
          <w:szCs w:val="20"/>
        </w:rPr>
        <w:t>The Ecological Reinvestment:</w:t>
      </w:r>
      <w:r w:rsidRPr="00653396">
        <w:rPr>
          <w:rFonts w:ascii="Times New Roman" w:hAnsi="Times New Roman" w:cs="Times New Roman"/>
          <w:sz w:val="20"/>
          <w:szCs w:val="20"/>
        </w:rPr>
        <w:t xml:space="preserve"> </w:t>
      </w:r>
      <w:r w:rsidR="00ED576E">
        <w:rPr>
          <w:rFonts w:ascii="Times New Roman" w:hAnsi="Times New Roman" w:cs="Times New Roman"/>
          <w:sz w:val="20"/>
          <w:szCs w:val="20"/>
        </w:rPr>
        <w:t xml:space="preserve">The community-based capital investment initiative is necessary </w:t>
      </w:r>
      <w:r w:rsidRPr="00653396">
        <w:rPr>
          <w:rFonts w:ascii="Times New Roman" w:hAnsi="Times New Roman" w:cs="Times New Roman"/>
          <w:sz w:val="20"/>
          <w:szCs w:val="20"/>
        </w:rPr>
        <w:t xml:space="preserve">to fund the conservation of wild medicinal flora and the </w:t>
      </w:r>
      <w:r w:rsidRPr="00653396">
        <w:rPr>
          <w:rFonts w:ascii="Times New Roman" w:hAnsi="Times New Roman" w:cs="Times New Roman"/>
          <w:sz w:val="20"/>
          <w:szCs w:val="20"/>
        </w:rPr>
        <w:t xml:space="preserve">cultivation of climate-dependent rice landraces, </w:t>
      </w:r>
      <w:r w:rsidR="002644D8" w:rsidRPr="00653396">
        <w:rPr>
          <w:rFonts w:ascii="Times New Roman" w:hAnsi="Times New Roman" w:cs="Times New Roman"/>
          <w:sz w:val="20"/>
          <w:szCs w:val="20"/>
        </w:rPr>
        <w:t>thereby leveraging commercialisation to address</w:t>
      </w:r>
      <w:r w:rsidRPr="00653396">
        <w:rPr>
          <w:rFonts w:ascii="Times New Roman" w:hAnsi="Times New Roman" w:cs="Times New Roman"/>
          <w:sz w:val="20"/>
          <w:szCs w:val="20"/>
        </w:rPr>
        <w:t xml:space="preserve"> agricultural problems (Plan, 2007).</w:t>
      </w:r>
      <w:r w:rsidR="00ED576E">
        <w:rPr>
          <w:rFonts w:ascii="Times New Roman" w:hAnsi="Times New Roman" w:cs="Times New Roman"/>
          <w:sz w:val="20"/>
          <w:szCs w:val="20"/>
        </w:rPr>
        <w:t xml:space="preserve"> </w:t>
      </w:r>
    </w:p>
    <w:p w14:paraId="080A4B85" w14:textId="548364DF" w:rsidR="00F01EA4" w:rsidRPr="00653396" w:rsidRDefault="00F01EA4" w:rsidP="00653396">
      <w:pPr>
        <w:spacing w:after="0" w:line="240" w:lineRule="auto"/>
        <w:jc w:val="both"/>
        <w:rPr>
          <w:rFonts w:ascii="Times New Roman" w:hAnsi="Times New Roman" w:cs="Times New Roman"/>
          <w:sz w:val="20"/>
          <w:szCs w:val="20"/>
        </w:rPr>
      </w:pPr>
      <w:r w:rsidRPr="00653396">
        <w:rPr>
          <w:rFonts w:ascii="Times New Roman" w:hAnsi="Times New Roman" w:cs="Times New Roman"/>
          <w:b/>
          <w:bCs/>
          <w:sz w:val="20"/>
          <w:szCs w:val="20"/>
        </w:rPr>
        <w:t xml:space="preserve">The Sociocultural Safeguard (Stages 4 &amp; 5): </w:t>
      </w:r>
      <w:r w:rsidRPr="00653396">
        <w:rPr>
          <w:rFonts w:ascii="Times New Roman" w:hAnsi="Times New Roman" w:cs="Times New Roman"/>
          <w:sz w:val="20"/>
          <w:szCs w:val="20"/>
        </w:rPr>
        <w:t xml:space="preserve">Reinstating economic viability is crucial </w:t>
      </w:r>
      <w:r w:rsidR="002644D8" w:rsidRPr="00653396">
        <w:rPr>
          <w:rFonts w:ascii="Times New Roman" w:hAnsi="Times New Roman" w:cs="Times New Roman"/>
          <w:sz w:val="20"/>
          <w:szCs w:val="20"/>
        </w:rPr>
        <w:t>to sustaining</w:t>
      </w:r>
      <w:r w:rsidRPr="00653396">
        <w:rPr>
          <w:rFonts w:ascii="Times New Roman" w:hAnsi="Times New Roman" w:cs="Times New Roman"/>
          <w:sz w:val="20"/>
          <w:szCs w:val="20"/>
        </w:rPr>
        <w:t xml:space="preserve"> Traditional Ecological Knowledge (TEK). This Traditional Ecological Knowledge is passed down from elder guilds. These female elder guilds teach Traditional Ecological Knowledge to </w:t>
      </w:r>
      <w:r w:rsidRPr="00653396">
        <w:rPr>
          <w:rFonts w:ascii="Times New Roman" w:hAnsi="Times New Roman" w:cs="Times New Roman"/>
          <w:sz w:val="20"/>
          <w:szCs w:val="20"/>
        </w:rPr>
        <w:lastRenderedPageBreak/>
        <w:t xml:space="preserve">the people. So, reinstating economic viability is crucial for </w:t>
      </w:r>
      <w:r w:rsidR="002644D8" w:rsidRPr="00653396">
        <w:rPr>
          <w:rFonts w:ascii="Times New Roman" w:hAnsi="Times New Roman" w:cs="Times New Roman"/>
          <w:sz w:val="20"/>
          <w:szCs w:val="20"/>
        </w:rPr>
        <w:t>the natural transmission of Traditional Ecological Knowledge</w:t>
      </w:r>
      <w:r w:rsidRPr="00653396">
        <w:rPr>
          <w:rFonts w:ascii="Times New Roman" w:hAnsi="Times New Roman" w:cs="Times New Roman"/>
          <w:sz w:val="20"/>
          <w:szCs w:val="20"/>
        </w:rPr>
        <w:t xml:space="preserve"> from these female elder guilds to younger generations who need to learn it (Ashokvardhan, 2000). Modern, safe, and clean </w:t>
      </w:r>
      <w:r w:rsidR="002644D8" w:rsidRPr="00653396">
        <w:rPr>
          <w:rFonts w:ascii="Times New Roman" w:hAnsi="Times New Roman" w:cs="Times New Roman"/>
          <w:sz w:val="20"/>
          <w:szCs w:val="20"/>
        </w:rPr>
        <w:t>bioprocesses can scale up production without severing the umbilical cord connecting</w:t>
      </w:r>
      <w:r w:rsidRPr="00653396">
        <w:rPr>
          <w:rFonts w:ascii="Times New Roman" w:hAnsi="Times New Roman" w:cs="Times New Roman"/>
          <w:sz w:val="20"/>
          <w:szCs w:val="20"/>
        </w:rPr>
        <w:t xml:space="preserve"> the beverage to its ancestral microbial roots (Das &amp; Deka, 2012; Sarmah et al., 2022).</w:t>
      </w:r>
    </w:p>
    <w:p w14:paraId="58E64D2C" w14:textId="77777777" w:rsidR="00ED576E" w:rsidRDefault="00ED576E" w:rsidP="002644D8">
      <w:pPr>
        <w:spacing w:after="0" w:line="240" w:lineRule="auto"/>
        <w:jc w:val="both"/>
        <w:rPr>
          <w:rFonts w:ascii="Times New Roman" w:hAnsi="Times New Roman" w:cs="Times New Roman"/>
          <w:b/>
          <w:bCs/>
          <w:sz w:val="24"/>
          <w:szCs w:val="24"/>
        </w:rPr>
      </w:pPr>
    </w:p>
    <w:p w14:paraId="3B44FA3B" w14:textId="5EB1751A" w:rsidR="00B61768" w:rsidRDefault="00E87613" w:rsidP="00FD374D">
      <w:pPr>
        <w:spacing w:after="0" w:line="240" w:lineRule="auto"/>
        <w:jc w:val="center"/>
        <w:rPr>
          <w:rFonts w:ascii="Times New Roman" w:hAnsi="Times New Roman" w:cs="Times New Roman"/>
          <w:b/>
          <w:bCs/>
          <w:sz w:val="24"/>
          <w:szCs w:val="24"/>
        </w:rPr>
      </w:pPr>
      <w:r w:rsidRPr="006638C8">
        <w:rPr>
          <w:rFonts w:ascii="Times New Roman" w:hAnsi="Times New Roman" w:cs="Times New Roman"/>
          <w:b/>
          <w:bCs/>
          <w:sz w:val="24"/>
          <w:szCs w:val="24"/>
        </w:rPr>
        <w:t xml:space="preserve">Research </w:t>
      </w:r>
      <w:r w:rsidR="006638C8" w:rsidRPr="006638C8">
        <w:rPr>
          <w:rFonts w:ascii="Times New Roman" w:hAnsi="Times New Roman" w:cs="Times New Roman"/>
          <w:b/>
          <w:bCs/>
          <w:sz w:val="24"/>
          <w:szCs w:val="24"/>
        </w:rPr>
        <w:t>Gap</w:t>
      </w:r>
    </w:p>
    <w:p w14:paraId="4A1543EA" w14:textId="120A6FDF" w:rsidR="00887B2E" w:rsidRDefault="004E583A" w:rsidP="00FD374D">
      <w:pPr>
        <w:spacing w:after="0" w:line="240" w:lineRule="auto"/>
        <w:jc w:val="both"/>
        <w:rPr>
          <w:rFonts w:ascii="Times New Roman" w:hAnsi="Times New Roman" w:cs="Times New Roman"/>
          <w:sz w:val="20"/>
          <w:szCs w:val="20"/>
        </w:rPr>
      </w:pPr>
      <w:r w:rsidRPr="004E583A">
        <w:rPr>
          <w:rFonts w:ascii="Times New Roman" w:hAnsi="Times New Roman" w:cs="Times New Roman"/>
          <w:sz w:val="20"/>
          <w:szCs w:val="20"/>
        </w:rPr>
        <w:t xml:space="preserve">This study </w:t>
      </w:r>
      <w:r w:rsidR="00FC1FBD">
        <w:rPr>
          <w:rFonts w:ascii="Times New Roman" w:hAnsi="Times New Roman" w:cs="Times New Roman"/>
          <w:sz w:val="20"/>
          <w:szCs w:val="20"/>
        </w:rPr>
        <w:t>examined a research gap that the research community has not addressed</w:t>
      </w:r>
      <w:r w:rsidRPr="004E583A">
        <w:rPr>
          <w:rFonts w:ascii="Times New Roman" w:hAnsi="Times New Roman" w:cs="Times New Roman"/>
          <w:sz w:val="20"/>
          <w:szCs w:val="20"/>
        </w:rPr>
        <w:t xml:space="preserve">. It is about the industrial use of biological processes and </w:t>
      </w:r>
      <w:r w:rsidR="006A3D39">
        <w:rPr>
          <w:rFonts w:ascii="Times New Roman" w:hAnsi="Times New Roman" w:cs="Times New Roman"/>
          <w:sz w:val="20"/>
          <w:szCs w:val="20"/>
        </w:rPr>
        <w:t>the policymaking that affects</w:t>
      </w:r>
      <w:r w:rsidRPr="004E583A">
        <w:rPr>
          <w:rFonts w:ascii="Times New Roman" w:hAnsi="Times New Roman" w:cs="Times New Roman"/>
          <w:sz w:val="20"/>
          <w:szCs w:val="20"/>
        </w:rPr>
        <w:t xml:space="preserve"> society and law. </w:t>
      </w:r>
      <w:r w:rsidR="00FC1FBD">
        <w:rPr>
          <w:rFonts w:ascii="Times New Roman" w:hAnsi="Times New Roman" w:cs="Times New Roman"/>
          <w:sz w:val="20"/>
          <w:szCs w:val="20"/>
        </w:rPr>
        <w:t>Research on rice beer or pitha is rare, and the study of rice beer needs to go beyond its production</w:t>
      </w:r>
      <w:r w:rsidRPr="004E583A">
        <w:rPr>
          <w:rFonts w:ascii="Times New Roman" w:hAnsi="Times New Roman" w:cs="Times New Roman"/>
          <w:sz w:val="20"/>
          <w:szCs w:val="20"/>
        </w:rPr>
        <w:t xml:space="preserve"> process. </w:t>
      </w:r>
      <w:r w:rsidR="004B365D" w:rsidRPr="00653396">
        <w:rPr>
          <w:rFonts w:ascii="Times New Roman" w:hAnsi="Times New Roman" w:cs="Times New Roman"/>
          <w:sz w:val="20"/>
          <w:szCs w:val="20"/>
        </w:rPr>
        <w:t xml:space="preserve"> </w:t>
      </w:r>
      <w:r w:rsidR="007F1D87" w:rsidRPr="00653396">
        <w:rPr>
          <w:rFonts w:ascii="Times New Roman" w:hAnsi="Times New Roman" w:cs="Times New Roman"/>
          <w:sz w:val="20"/>
          <w:szCs w:val="20"/>
        </w:rPr>
        <w:t>Consequently, there is a profound lack of synchronised empirical data that translates the specific biochemical pathways underlying Glycemic index (GI) suppression and host immunomodulatory profiles within Assamese starter cultures into scalable, highly predictable manufacturing parameters modelled after East Asian Japanese Koji and Korean Nuruk systems.  </w:t>
      </w:r>
      <w:r w:rsidR="003A135B" w:rsidRPr="00653396">
        <w:rPr>
          <w:rFonts w:ascii="Times New Roman" w:hAnsi="Times New Roman" w:cs="Times New Roman"/>
          <w:sz w:val="20"/>
          <w:szCs w:val="20"/>
        </w:rPr>
        <w:t xml:space="preserve">Biotechnology and laws are two things that do not go together. The rules about drinks in </w:t>
      </w:r>
    </w:p>
    <w:p w14:paraId="7587D053" w14:textId="77777777" w:rsidR="00887B2E" w:rsidRDefault="00887B2E" w:rsidP="00FD374D">
      <w:pPr>
        <w:spacing w:after="0" w:line="240" w:lineRule="auto"/>
        <w:jc w:val="both"/>
        <w:rPr>
          <w:rFonts w:ascii="Times New Roman" w:hAnsi="Times New Roman" w:cs="Times New Roman"/>
          <w:sz w:val="20"/>
          <w:szCs w:val="20"/>
        </w:rPr>
      </w:pPr>
    </w:p>
    <w:p w14:paraId="591B4BE0" w14:textId="4AB7F852" w:rsidR="003A135B" w:rsidRPr="00653396" w:rsidRDefault="003A135B" w:rsidP="00FD374D">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Northeast India </w:t>
      </w:r>
      <w:r w:rsidR="00B52E98">
        <w:rPr>
          <w:rFonts w:ascii="Times New Roman" w:hAnsi="Times New Roman" w:cs="Times New Roman"/>
          <w:sz w:val="20"/>
          <w:szCs w:val="20"/>
        </w:rPr>
        <w:t>is</w:t>
      </w:r>
      <w:r w:rsidRPr="00653396">
        <w:rPr>
          <w:rFonts w:ascii="Times New Roman" w:hAnsi="Times New Roman" w:cs="Times New Roman"/>
          <w:sz w:val="20"/>
          <w:szCs w:val="20"/>
        </w:rPr>
        <w:t xml:space="preserve"> very strict.  These rules are based</w:t>
      </w:r>
      <w:r w:rsidR="00E67D64">
        <w:rPr>
          <w:rFonts w:ascii="Times New Roman" w:hAnsi="Times New Roman" w:cs="Times New Roman"/>
          <w:sz w:val="20"/>
          <w:szCs w:val="20"/>
        </w:rPr>
        <w:t xml:space="preserve"> </w:t>
      </w:r>
      <w:r w:rsidRPr="00653396">
        <w:rPr>
          <w:rFonts w:ascii="Times New Roman" w:hAnsi="Times New Roman" w:cs="Times New Roman"/>
          <w:sz w:val="20"/>
          <w:szCs w:val="20"/>
        </w:rPr>
        <w:t xml:space="preserve">on laws that do not protect the local tribes or the qualities of the drinks they make. The local tribes have their special drinks, and these rules do not help keep them safe. Biotechnology and laws should work together to help people, especially in Northeast India, </w:t>
      </w:r>
      <w:r w:rsidR="002644D8" w:rsidRPr="00653396">
        <w:rPr>
          <w:rFonts w:ascii="Times New Roman" w:hAnsi="Times New Roman" w:cs="Times New Roman"/>
          <w:sz w:val="20"/>
          <w:szCs w:val="20"/>
        </w:rPr>
        <w:t>particularly regarding</w:t>
      </w:r>
      <w:r w:rsidRPr="00653396">
        <w:rPr>
          <w:rFonts w:ascii="Times New Roman" w:hAnsi="Times New Roman" w:cs="Times New Roman"/>
          <w:sz w:val="20"/>
          <w:szCs w:val="20"/>
        </w:rPr>
        <w:t xml:space="preserve"> biotechnology and the drinks made by tribes.</w:t>
      </w:r>
    </w:p>
    <w:p w14:paraId="01917E3B" w14:textId="77777777" w:rsidR="006615D3" w:rsidRDefault="006615D3" w:rsidP="006615D3">
      <w:pPr>
        <w:spacing w:after="0" w:line="240" w:lineRule="auto"/>
        <w:jc w:val="both"/>
        <w:rPr>
          <w:rFonts w:ascii="Times New Roman" w:hAnsi="Times New Roman" w:cs="Times New Roman"/>
          <w:sz w:val="20"/>
          <w:szCs w:val="20"/>
        </w:rPr>
      </w:pPr>
    </w:p>
    <w:p w14:paraId="08E63A61" w14:textId="77793FCC" w:rsidR="007F1D87" w:rsidRPr="00653396" w:rsidRDefault="007F1D87" w:rsidP="006615D3">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This research fills this gap by establishing a cross-disciplinary translation model; it demonstrates how validating </w:t>
      </w:r>
      <w:r w:rsidR="002644D8" w:rsidRPr="00653396">
        <w:rPr>
          <w:rFonts w:ascii="Times New Roman" w:hAnsi="Times New Roman" w:cs="Times New Roman"/>
          <w:sz w:val="20"/>
          <w:szCs w:val="20"/>
        </w:rPr>
        <w:t xml:space="preserve">functional health metrics and </w:t>
      </w:r>
      <w:r w:rsidR="002644D8" w:rsidRPr="00653396">
        <w:rPr>
          <w:rFonts w:ascii="Times New Roman" w:hAnsi="Times New Roman" w:cs="Times New Roman"/>
          <w:sz w:val="20"/>
          <w:szCs w:val="20"/>
        </w:rPr>
        <w:t>standardising the bioprocess kinetics of a tribal beverage provide the precise</w:t>
      </w:r>
      <w:r w:rsidRPr="00653396">
        <w:rPr>
          <w:rFonts w:ascii="Times New Roman" w:hAnsi="Times New Roman" w:cs="Times New Roman"/>
          <w:sz w:val="20"/>
          <w:szCs w:val="20"/>
        </w:rPr>
        <w:t xml:space="preserve"> scientific and legal leverage required to adapt Japan’s National Tax Agency "Special Doburoku Zone" policy.  This framework provides the blueprint for operationalising a self-sustaining cyclical restoration loop, proving that high-value commercial scale-up can be engineered to secure collective tribal rights and protect indigenous sovereignty.</w:t>
      </w:r>
    </w:p>
    <w:p w14:paraId="6F074A55" w14:textId="77777777" w:rsidR="005140A1" w:rsidRDefault="005140A1" w:rsidP="00653396">
      <w:pPr>
        <w:spacing w:after="0" w:line="240" w:lineRule="auto"/>
        <w:jc w:val="both"/>
        <w:rPr>
          <w:rFonts w:ascii="Times New Roman" w:hAnsi="Times New Roman" w:cs="Times New Roman"/>
          <w:b/>
          <w:bCs/>
          <w:sz w:val="20"/>
          <w:szCs w:val="20"/>
        </w:rPr>
      </w:pPr>
    </w:p>
    <w:p w14:paraId="25FB41DC" w14:textId="7A2B6D26" w:rsidR="006638C8" w:rsidRDefault="006638C8" w:rsidP="00FD374D">
      <w:pPr>
        <w:spacing w:after="0" w:line="240" w:lineRule="auto"/>
        <w:jc w:val="center"/>
        <w:rPr>
          <w:rFonts w:ascii="Times New Roman" w:hAnsi="Times New Roman" w:cs="Times New Roman"/>
          <w:b/>
          <w:bCs/>
          <w:sz w:val="24"/>
          <w:szCs w:val="24"/>
        </w:rPr>
      </w:pPr>
      <w:r w:rsidRPr="00ED576E">
        <w:rPr>
          <w:rFonts w:ascii="Times New Roman" w:hAnsi="Times New Roman" w:cs="Times New Roman"/>
          <w:b/>
          <w:bCs/>
          <w:sz w:val="24"/>
          <w:szCs w:val="24"/>
        </w:rPr>
        <w:t>Objectives</w:t>
      </w:r>
    </w:p>
    <w:p w14:paraId="20C94CCA" w14:textId="331D8CB3" w:rsidR="00490E51" w:rsidRPr="00ED576E" w:rsidRDefault="00490E51" w:rsidP="00490E51">
      <w:pPr>
        <w:spacing w:after="0" w:line="240" w:lineRule="auto"/>
        <w:rPr>
          <w:rFonts w:ascii="Times New Roman" w:hAnsi="Times New Roman" w:cs="Times New Roman"/>
          <w:sz w:val="24"/>
          <w:szCs w:val="24"/>
        </w:rPr>
      </w:pPr>
      <w:r w:rsidRPr="006F0695">
        <w:rPr>
          <w:rFonts w:ascii="Times New Roman" w:hAnsi="Times New Roman" w:cs="Times New Roman"/>
          <w:sz w:val="20"/>
          <w:szCs w:val="20"/>
        </w:rPr>
        <w:t>The study proposes to accomplish the following 4 objectives</w:t>
      </w:r>
      <w:r w:rsidR="006F0695">
        <w:rPr>
          <w:rFonts w:ascii="Times New Roman" w:hAnsi="Times New Roman" w:cs="Times New Roman"/>
          <w:b/>
          <w:bCs/>
          <w:sz w:val="24"/>
          <w:szCs w:val="24"/>
        </w:rPr>
        <w:t>-</w:t>
      </w:r>
    </w:p>
    <w:p w14:paraId="1B31E5D9" w14:textId="1A692E92" w:rsidR="006638C8" w:rsidRPr="00653396" w:rsidRDefault="006638C8" w:rsidP="00653396">
      <w:pPr>
        <w:pStyle w:val="ListParagraph"/>
        <w:numPr>
          <w:ilvl w:val="0"/>
          <w:numId w:val="1"/>
        </w:num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To </w:t>
      </w:r>
      <w:r w:rsidR="0050058C" w:rsidRPr="00653396">
        <w:rPr>
          <w:rFonts w:ascii="Times New Roman" w:hAnsi="Times New Roman" w:cs="Times New Roman"/>
          <w:sz w:val="20"/>
          <w:szCs w:val="20"/>
        </w:rPr>
        <w:t>evaluate</w:t>
      </w:r>
      <w:r w:rsidR="003913AE" w:rsidRPr="00653396">
        <w:rPr>
          <w:rFonts w:ascii="Times New Roman" w:hAnsi="Times New Roman" w:cs="Times New Roman"/>
          <w:sz w:val="20"/>
          <w:szCs w:val="20"/>
        </w:rPr>
        <w:t xml:space="preserve"> </w:t>
      </w:r>
      <w:r w:rsidRPr="00653396">
        <w:rPr>
          <w:rFonts w:ascii="Times New Roman" w:hAnsi="Times New Roman" w:cs="Times New Roman"/>
          <w:sz w:val="20"/>
          <w:szCs w:val="20"/>
        </w:rPr>
        <w:t xml:space="preserve">Biochemical and Functional </w:t>
      </w:r>
      <w:r w:rsidR="003913AE" w:rsidRPr="00653396">
        <w:rPr>
          <w:rFonts w:ascii="Times New Roman" w:hAnsi="Times New Roman" w:cs="Times New Roman"/>
          <w:sz w:val="20"/>
          <w:szCs w:val="20"/>
        </w:rPr>
        <w:t>Characterisation</w:t>
      </w:r>
      <w:r w:rsidRPr="00653396">
        <w:rPr>
          <w:rFonts w:ascii="Times New Roman" w:hAnsi="Times New Roman" w:cs="Times New Roman"/>
          <w:sz w:val="20"/>
          <w:szCs w:val="20"/>
        </w:rPr>
        <w:t xml:space="preserve"> of Indigenous Starter Matrices</w:t>
      </w:r>
    </w:p>
    <w:p w14:paraId="1387C221" w14:textId="77C2C3B6" w:rsidR="003913AE" w:rsidRPr="00653396" w:rsidRDefault="00034144" w:rsidP="00653396">
      <w:pPr>
        <w:pStyle w:val="ListParagraph"/>
        <w:numPr>
          <w:ilvl w:val="0"/>
          <w:numId w:val="1"/>
        </w:num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To study </w:t>
      </w:r>
      <w:r w:rsidR="003F262A" w:rsidRPr="00653396">
        <w:rPr>
          <w:rFonts w:ascii="Times New Roman" w:hAnsi="Times New Roman" w:cs="Times New Roman"/>
          <w:sz w:val="20"/>
          <w:szCs w:val="20"/>
        </w:rPr>
        <w:t xml:space="preserve">similarities and </w:t>
      </w:r>
      <w:r w:rsidR="00C801D1" w:rsidRPr="00653396">
        <w:rPr>
          <w:rFonts w:ascii="Times New Roman" w:hAnsi="Times New Roman" w:cs="Times New Roman"/>
          <w:sz w:val="20"/>
          <w:szCs w:val="20"/>
        </w:rPr>
        <w:t xml:space="preserve">dissimilarities of </w:t>
      </w:r>
      <w:r w:rsidRPr="00653396">
        <w:rPr>
          <w:rFonts w:ascii="Times New Roman" w:hAnsi="Times New Roman" w:cs="Times New Roman"/>
          <w:sz w:val="20"/>
          <w:szCs w:val="20"/>
        </w:rPr>
        <w:t>Bioprocess Optimisation and Comparative Industrial Translation</w:t>
      </w:r>
    </w:p>
    <w:p w14:paraId="4DC377B7" w14:textId="74756D5A" w:rsidR="00034144" w:rsidRPr="00653396" w:rsidRDefault="0010641D" w:rsidP="00653396">
      <w:pPr>
        <w:pStyle w:val="ListParagraph"/>
        <w:numPr>
          <w:ilvl w:val="0"/>
          <w:numId w:val="1"/>
        </w:num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To evaluate Socio-Legal Analysis and Regulatory Harmonisation</w:t>
      </w:r>
    </w:p>
    <w:p w14:paraId="5715A7F9" w14:textId="3C6189F4" w:rsidR="0010641D" w:rsidRPr="00653396" w:rsidRDefault="00C621F4" w:rsidP="00653396">
      <w:pPr>
        <w:pStyle w:val="ListParagraph"/>
        <w:numPr>
          <w:ilvl w:val="0"/>
          <w:numId w:val="1"/>
        </w:num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To construct and validate the operationalisation of the</w:t>
      </w:r>
      <w:r w:rsidR="00D07AB5" w:rsidRPr="00653396">
        <w:rPr>
          <w:rFonts w:ascii="Times New Roman" w:hAnsi="Times New Roman" w:cs="Times New Roman"/>
          <w:sz w:val="20"/>
          <w:szCs w:val="20"/>
        </w:rPr>
        <w:t xml:space="preserve"> cyclic </w:t>
      </w:r>
      <w:r w:rsidR="00B50E39" w:rsidRPr="00653396">
        <w:rPr>
          <w:rFonts w:ascii="Times New Roman" w:hAnsi="Times New Roman" w:cs="Times New Roman"/>
          <w:sz w:val="20"/>
          <w:szCs w:val="20"/>
        </w:rPr>
        <w:t>restoration framework for</w:t>
      </w:r>
      <w:r w:rsidRPr="00653396">
        <w:rPr>
          <w:rFonts w:ascii="Times New Roman" w:hAnsi="Times New Roman" w:cs="Times New Roman"/>
          <w:sz w:val="20"/>
          <w:szCs w:val="20"/>
        </w:rPr>
        <w:t xml:space="preserve"> </w:t>
      </w:r>
      <w:r w:rsidR="00B50E39" w:rsidRPr="00653396">
        <w:rPr>
          <w:rFonts w:ascii="Times New Roman" w:hAnsi="Times New Roman" w:cs="Times New Roman"/>
          <w:sz w:val="20"/>
          <w:szCs w:val="20"/>
        </w:rPr>
        <w:t xml:space="preserve">the </w:t>
      </w:r>
      <w:r w:rsidRPr="00653396">
        <w:rPr>
          <w:rFonts w:ascii="Times New Roman" w:hAnsi="Times New Roman" w:cs="Times New Roman"/>
          <w:sz w:val="20"/>
          <w:szCs w:val="20"/>
        </w:rPr>
        <w:t>Regenerative Bio-Economy Loop</w:t>
      </w:r>
    </w:p>
    <w:p w14:paraId="132128EB" w14:textId="77777777" w:rsidR="005140A1" w:rsidRDefault="005140A1" w:rsidP="00653396">
      <w:pPr>
        <w:spacing w:after="0" w:line="240" w:lineRule="auto"/>
        <w:jc w:val="both"/>
        <w:rPr>
          <w:rFonts w:ascii="Times New Roman" w:hAnsi="Times New Roman" w:cs="Times New Roman"/>
          <w:b/>
          <w:bCs/>
          <w:sz w:val="20"/>
          <w:szCs w:val="20"/>
        </w:rPr>
      </w:pPr>
    </w:p>
    <w:p w14:paraId="02C9D41A" w14:textId="0C11B5AE" w:rsidR="00C7598D" w:rsidRPr="005140A1" w:rsidRDefault="00C7598D" w:rsidP="006F0695">
      <w:pPr>
        <w:spacing w:after="0" w:line="240" w:lineRule="auto"/>
        <w:jc w:val="center"/>
        <w:rPr>
          <w:rFonts w:ascii="Times New Roman" w:hAnsi="Times New Roman" w:cs="Times New Roman"/>
          <w:b/>
          <w:bCs/>
        </w:rPr>
      </w:pPr>
      <w:r w:rsidRPr="005140A1">
        <w:rPr>
          <w:rFonts w:ascii="Times New Roman" w:hAnsi="Times New Roman" w:cs="Times New Roman"/>
          <w:b/>
          <w:bCs/>
        </w:rPr>
        <w:t>Methodology</w:t>
      </w:r>
    </w:p>
    <w:p w14:paraId="26561144" w14:textId="426E18CC" w:rsidR="00736948" w:rsidRPr="00653396" w:rsidRDefault="00736948" w:rsidP="00653396">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This study employs an advanced, interdisciplinary critical conceptual meta-synthesis</w:t>
      </w:r>
      <w:r w:rsidRPr="00653396">
        <w:rPr>
          <w:rFonts w:ascii="Times New Roman" w:hAnsi="Times New Roman" w:cs="Times New Roman"/>
          <w:b/>
          <w:bCs/>
          <w:sz w:val="20"/>
          <w:szCs w:val="20"/>
        </w:rPr>
        <w:t xml:space="preserve"> </w:t>
      </w:r>
      <w:r w:rsidRPr="00653396">
        <w:rPr>
          <w:rFonts w:ascii="Times New Roman" w:hAnsi="Times New Roman" w:cs="Times New Roman"/>
          <w:sz w:val="20"/>
          <w:szCs w:val="20"/>
        </w:rPr>
        <w:t>design</w:t>
      </w:r>
      <w:r w:rsidR="00300250">
        <w:rPr>
          <w:rFonts w:ascii="Times New Roman" w:hAnsi="Times New Roman" w:cs="Times New Roman"/>
          <w:sz w:val="20"/>
          <w:szCs w:val="20"/>
        </w:rPr>
        <w:t xml:space="preserve"> that interfaces with</w:t>
      </w:r>
      <w:r w:rsidR="002644D8" w:rsidRPr="00653396">
        <w:rPr>
          <w:rFonts w:ascii="Times New Roman" w:hAnsi="Times New Roman" w:cs="Times New Roman"/>
          <w:sz w:val="20"/>
          <w:szCs w:val="20"/>
        </w:rPr>
        <w:t xml:space="preserve"> three distinct epistemological domains:</w:t>
      </w:r>
      <w:r w:rsidRPr="00653396">
        <w:rPr>
          <w:rFonts w:ascii="Times New Roman" w:hAnsi="Times New Roman" w:cs="Times New Roman"/>
          <w:sz w:val="20"/>
          <w:szCs w:val="20"/>
        </w:rPr>
        <w:t xml:space="preserve"> molecular ethnobiology, bioprocess industrialisation, and socio-legal exercise policy</w:t>
      </w:r>
      <w:r w:rsidR="002644D8" w:rsidRPr="00653396">
        <w:rPr>
          <w:rFonts w:ascii="Times New Roman" w:hAnsi="Times New Roman" w:cs="Times New Roman"/>
          <w:sz w:val="20"/>
          <w:szCs w:val="20"/>
        </w:rPr>
        <w:t>. Hence,</w:t>
      </w:r>
      <w:r w:rsidRPr="00653396">
        <w:rPr>
          <w:rFonts w:ascii="Times New Roman" w:hAnsi="Times New Roman" w:cs="Times New Roman"/>
          <w:sz w:val="20"/>
          <w:szCs w:val="20"/>
        </w:rPr>
        <w:t xml:space="preserve"> a traditional empirical or singular linear review is structurally insufficient</w:t>
      </w:r>
      <w:r w:rsidR="002E133A" w:rsidRPr="00653396">
        <w:rPr>
          <w:rFonts w:ascii="Times New Roman" w:hAnsi="Times New Roman" w:cs="Times New Roman"/>
          <w:sz w:val="20"/>
          <w:szCs w:val="20"/>
        </w:rPr>
        <w:t xml:space="preserve"> for the study</w:t>
      </w:r>
      <w:r w:rsidRPr="00653396">
        <w:rPr>
          <w:rFonts w:ascii="Times New Roman" w:hAnsi="Times New Roman" w:cs="Times New Roman"/>
          <w:sz w:val="20"/>
          <w:szCs w:val="20"/>
        </w:rPr>
        <w:t xml:space="preserve">. </w:t>
      </w:r>
    </w:p>
    <w:p w14:paraId="0D577E93" w14:textId="0B530B48" w:rsidR="00887B2E" w:rsidRDefault="00887B2E" w:rsidP="00653396">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18FBDE4D" wp14:editId="2399101A">
                <wp:simplePos x="0" y="0"/>
                <wp:positionH relativeFrom="column">
                  <wp:posOffset>2735580</wp:posOffset>
                </wp:positionH>
                <wp:positionV relativeFrom="paragraph">
                  <wp:posOffset>79375</wp:posOffset>
                </wp:positionV>
                <wp:extent cx="281940" cy="266700"/>
                <wp:effectExtent l="0" t="19050" r="41910" b="38100"/>
                <wp:wrapNone/>
                <wp:docPr id="1766452341" name="Arrow: Right 5"/>
                <wp:cNvGraphicFramePr/>
                <a:graphic xmlns:a="http://schemas.openxmlformats.org/drawingml/2006/main">
                  <a:graphicData uri="http://schemas.microsoft.com/office/word/2010/wordprocessingShape">
                    <wps:wsp>
                      <wps:cNvSpPr/>
                      <wps:spPr>
                        <a:xfrm>
                          <a:off x="0" y="0"/>
                          <a:ext cx="281940" cy="266700"/>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B7F0F" id="Arrow: Right 5" o:spid="_x0000_s1026" type="#_x0000_t13" style="position:absolute;margin-left:215.4pt;margin-top:6.25pt;width:22.2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" adj="11384" fillcolor="#82a0d7 [2164]" strokecolor="#4472c4 [3204]" strokeweight=".5pt">
                <v:fill color2="#678ccf [2612]" rotate="t" colors="0 #a8b7df;.5 #9aabd9;1 #879ed7" focus="100%" type="gradient">
                  <o:fill v:ext="view" type="gradientUnscaled"/>
                </v:fill>
              </v:shape>
            </w:pict>
          </mc:Fallback>
        </mc:AlternateContent>
      </w:r>
      <w:r w:rsidR="009B5AE3" w:rsidRPr="00653396">
        <w:rPr>
          <w:rFonts w:ascii="Times New Roman" w:hAnsi="Times New Roman" w:cs="Times New Roman"/>
          <w:sz w:val="20"/>
          <w:szCs w:val="20"/>
        </w:rPr>
        <w:t>The methodology for this study was a two-phase analytical framework designed to transform</w:t>
      </w:r>
      <w:r w:rsidR="00B52E98">
        <w:rPr>
          <w:rFonts w:ascii="Times New Roman" w:hAnsi="Times New Roman" w:cs="Times New Roman"/>
          <w:sz w:val="20"/>
          <w:szCs w:val="20"/>
        </w:rPr>
        <w:t>.</w:t>
      </w:r>
      <w:r w:rsidR="009B5AE3" w:rsidRPr="00653396">
        <w:rPr>
          <w:rFonts w:ascii="Times New Roman" w:hAnsi="Times New Roman" w:cs="Times New Roman"/>
          <w:sz w:val="20"/>
          <w:szCs w:val="20"/>
        </w:rPr>
        <w:t xml:space="preserve"> </w:t>
      </w:r>
    </w:p>
    <w:p w14:paraId="5074CFD5" w14:textId="3363E8A0" w:rsidR="009B5AE3" w:rsidRPr="00653396" w:rsidRDefault="002644D8" w:rsidP="00653396">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standardised</w:t>
      </w:r>
      <w:r w:rsidR="009B5AE3" w:rsidRPr="00653396">
        <w:rPr>
          <w:rFonts w:ascii="Times New Roman" w:hAnsi="Times New Roman" w:cs="Times New Roman"/>
          <w:sz w:val="20"/>
          <w:szCs w:val="20"/>
        </w:rPr>
        <w:t xml:space="preserve"> secondary qualitative and quantitative data into a unified, socio-ecological blueprint.</w:t>
      </w:r>
    </w:p>
    <w:p w14:paraId="5D3F8ADF" w14:textId="77777777" w:rsidR="00207B49" w:rsidRDefault="00207B49" w:rsidP="00ED576E">
      <w:pPr>
        <w:spacing w:after="0" w:line="240" w:lineRule="auto"/>
        <w:jc w:val="center"/>
        <w:rPr>
          <w:rFonts w:ascii="Times New Roman" w:hAnsi="Times New Roman" w:cs="Times New Roman"/>
          <w:b/>
          <w:bCs/>
          <w:sz w:val="24"/>
          <w:szCs w:val="24"/>
        </w:rPr>
        <w:sectPr w:rsidR="00207B49" w:rsidSect="00207B49">
          <w:type w:val="continuous"/>
          <w:pgSz w:w="11906" w:h="16838"/>
          <w:pgMar w:top="1440" w:right="1440" w:bottom="1440" w:left="1440" w:header="708" w:footer="708" w:gutter="0"/>
          <w:cols w:num="2" w:space="708"/>
          <w:docGrid w:linePitch="360"/>
        </w:sectPr>
      </w:pPr>
    </w:p>
    <w:p w14:paraId="724AEDA2" w14:textId="77777777" w:rsidR="00207B49" w:rsidRDefault="00207B49" w:rsidP="00ED576E">
      <w:pPr>
        <w:spacing w:after="0" w:line="240" w:lineRule="auto"/>
        <w:jc w:val="center"/>
        <w:rPr>
          <w:rFonts w:ascii="Times New Roman" w:hAnsi="Times New Roman" w:cs="Times New Roman"/>
          <w:b/>
          <w:bCs/>
          <w:sz w:val="24"/>
          <w:szCs w:val="24"/>
        </w:rPr>
      </w:pPr>
    </w:p>
    <w:p w14:paraId="05628646" w14:textId="77777777" w:rsidR="00BB11E3" w:rsidRDefault="00BB11E3" w:rsidP="00ED576E">
      <w:pPr>
        <w:spacing w:after="0" w:line="240" w:lineRule="auto"/>
        <w:jc w:val="center"/>
        <w:rPr>
          <w:rFonts w:ascii="Times New Roman" w:hAnsi="Times New Roman" w:cs="Times New Roman"/>
          <w:b/>
          <w:bCs/>
          <w:sz w:val="24"/>
          <w:szCs w:val="24"/>
        </w:rPr>
      </w:pPr>
    </w:p>
    <w:p w14:paraId="5594F57C" w14:textId="77777777" w:rsidR="00BB11E3" w:rsidRDefault="00BB11E3" w:rsidP="00ED576E">
      <w:pPr>
        <w:spacing w:after="0" w:line="240" w:lineRule="auto"/>
        <w:jc w:val="center"/>
        <w:rPr>
          <w:rFonts w:ascii="Times New Roman" w:hAnsi="Times New Roman" w:cs="Times New Roman"/>
          <w:b/>
          <w:bCs/>
          <w:sz w:val="24"/>
          <w:szCs w:val="24"/>
        </w:rPr>
      </w:pPr>
    </w:p>
    <w:p w14:paraId="194F8046" w14:textId="77777777" w:rsidR="00BB11E3" w:rsidRDefault="00BB11E3" w:rsidP="00ED576E">
      <w:pPr>
        <w:spacing w:after="0" w:line="240" w:lineRule="auto"/>
        <w:jc w:val="center"/>
        <w:rPr>
          <w:rFonts w:ascii="Times New Roman" w:hAnsi="Times New Roman" w:cs="Times New Roman"/>
          <w:b/>
          <w:bCs/>
          <w:sz w:val="24"/>
          <w:szCs w:val="24"/>
        </w:rPr>
      </w:pPr>
    </w:p>
    <w:p w14:paraId="74E6C31B" w14:textId="77777777" w:rsidR="00BB11E3" w:rsidRDefault="00BB11E3" w:rsidP="00ED576E">
      <w:pPr>
        <w:spacing w:after="0" w:line="240" w:lineRule="auto"/>
        <w:jc w:val="center"/>
        <w:rPr>
          <w:rFonts w:ascii="Times New Roman" w:hAnsi="Times New Roman" w:cs="Times New Roman"/>
          <w:b/>
          <w:bCs/>
          <w:sz w:val="24"/>
          <w:szCs w:val="24"/>
        </w:rPr>
      </w:pPr>
    </w:p>
    <w:p w14:paraId="1A04D4AB" w14:textId="77777777" w:rsidR="00BB11E3" w:rsidRDefault="00BB11E3" w:rsidP="00ED576E">
      <w:pPr>
        <w:spacing w:after="0" w:line="240" w:lineRule="auto"/>
        <w:jc w:val="center"/>
        <w:rPr>
          <w:rFonts w:ascii="Times New Roman" w:hAnsi="Times New Roman" w:cs="Times New Roman"/>
          <w:b/>
          <w:bCs/>
          <w:sz w:val="24"/>
          <w:szCs w:val="24"/>
        </w:rPr>
      </w:pPr>
    </w:p>
    <w:p w14:paraId="5742459E" w14:textId="77777777" w:rsidR="00BB11E3" w:rsidRDefault="00BB11E3" w:rsidP="00ED576E">
      <w:pPr>
        <w:spacing w:after="0" w:line="240" w:lineRule="auto"/>
        <w:jc w:val="center"/>
        <w:rPr>
          <w:rFonts w:ascii="Times New Roman" w:hAnsi="Times New Roman" w:cs="Times New Roman"/>
          <w:b/>
          <w:bCs/>
          <w:sz w:val="24"/>
          <w:szCs w:val="24"/>
        </w:rPr>
      </w:pPr>
    </w:p>
    <w:p w14:paraId="4FE7FC1D" w14:textId="77777777" w:rsidR="00BB11E3" w:rsidRDefault="00BB11E3" w:rsidP="00ED576E">
      <w:pPr>
        <w:spacing w:after="0" w:line="240" w:lineRule="auto"/>
        <w:jc w:val="center"/>
        <w:rPr>
          <w:rFonts w:ascii="Times New Roman" w:hAnsi="Times New Roman" w:cs="Times New Roman"/>
          <w:b/>
          <w:bCs/>
          <w:sz w:val="24"/>
          <w:szCs w:val="24"/>
        </w:rPr>
      </w:pPr>
    </w:p>
    <w:p w14:paraId="0586C893" w14:textId="77777777" w:rsidR="00BB11E3" w:rsidRDefault="00BB11E3" w:rsidP="00ED576E">
      <w:pPr>
        <w:spacing w:after="0" w:line="240" w:lineRule="auto"/>
        <w:jc w:val="center"/>
        <w:rPr>
          <w:rFonts w:ascii="Times New Roman" w:hAnsi="Times New Roman" w:cs="Times New Roman"/>
          <w:b/>
          <w:bCs/>
          <w:sz w:val="24"/>
          <w:szCs w:val="24"/>
        </w:rPr>
      </w:pPr>
    </w:p>
    <w:p w14:paraId="1D819B4A" w14:textId="77777777" w:rsidR="0001369D" w:rsidRDefault="0001369D" w:rsidP="00ED576E">
      <w:pPr>
        <w:spacing w:after="0" w:line="240" w:lineRule="auto"/>
        <w:jc w:val="center"/>
        <w:rPr>
          <w:rFonts w:ascii="Times New Roman" w:hAnsi="Times New Roman" w:cs="Times New Roman"/>
          <w:b/>
          <w:bCs/>
          <w:sz w:val="24"/>
          <w:szCs w:val="24"/>
        </w:rPr>
      </w:pPr>
    </w:p>
    <w:p w14:paraId="5F4E76AA" w14:textId="3A3BA6FA" w:rsidR="00713614" w:rsidRDefault="00C053C4" w:rsidP="00ED576E">
      <w:pPr>
        <w:spacing w:after="0" w:line="240" w:lineRule="auto"/>
        <w:jc w:val="center"/>
        <w:rPr>
          <w:rFonts w:ascii="Times New Roman" w:hAnsi="Times New Roman" w:cs="Times New Roman"/>
          <w:b/>
          <w:bCs/>
          <w:sz w:val="24"/>
          <w:szCs w:val="24"/>
        </w:rPr>
      </w:pPr>
      <w:r w:rsidRPr="00103C25">
        <w:rPr>
          <w:rFonts w:ascii="Times New Roman" w:hAnsi="Times New Roman" w:cs="Times New Roman"/>
          <w:b/>
          <w:bCs/>
          <w:sz w:val="24"/>
          <w:szCs w:val="24"/>
        </w:rPr>
        <w:t>Figure 2</w:t>
      </w:r>
      <w:r w:rsidR="00103C25">
        <w:rPr>
          <w:rFonts w:ascii="Times New Roman" w:hAnsi="Times New Roman" w:cs="Times New Roman"/>
          <w:b/>
          <w:bCs/>
          <w:sz w:val="24"/>
          <w:szCs w:val="24"/>
        </w:rPr>
        <w:t>:</w:t>
      </w:r>
      <w:r w:rsidRPr="00103C25">
        <w:rPr>
          <w:rFonts w:ascii="Times New Roman" w:hAnsi="Times New Roman" w:cs="Times New Roman"/>
          <w:b/>
          <w:bCs/>
          <w:sz w:val="24"/>
          <w:szCs w:val="24"/>
        </w:rPr>
        <w:t xml:space="preserve"> </w:t>
      </w:r>
      <w:r w:rsidR="00103C25" w:rsidRPr="00103C25">
        <w:rPr>
          <w:rFonts w:ascii="Times New Roman" w:hAnsi="Times New Roman" w:cs="Times New Roman"/>
          <w:b/>
          <w:bCs/>
          <w:sz w:val="24"/>
          <w:szCs w:val="24"/>
        </w:rPr>
        <w:t>Three-Phase Methodological Framework</w:t>
      </w:r>
    </w:p>
    <w:p w14:paraId="5FBF3A98" w14:textId="77777777" w:rsidR="00207B49" w:rsidRDefault="00207B49" w:rsidP="00D65843">
      <w:pPr>
        <w:spacing w:after="0" w:line="240" w:lineRule="auto"/>
        <w:jc w:val="center"/>
        <w:rPr>
          <w:rFonts w:ascii="Times New Roman" w:hAnsi="Times New Roman" w:cs="Times New Roman"/>
          <w:b/>
          <w:bCs/>
          <w:sz w:val="24"/>
          <w:szCs w:val="24"/>
        </w:rPr>
        <w:sectPr w:rsidR="00207B49" w:rsidSect="00207B49">
          <w:type w:val="continuous"/>
          <w:pgSz w:w="11906" w:h="16838"/>
          <w:pgMar w:top="1440" w:right="1440" w:bottom="1440" w:left="1440" w:header="708" w:footer="708" w:gutter="0"/>
          <w:cols w:space="708"/>
          <w:docGrid w:linePitch="360"/>
        </w:sectPr>
      </w:pPr>
    </w:p>
    <w:p w14:paraId="4637C8DD" w14:textId="77777777" w:rsidR="00207B49" w:rsidRDefault="003D74D6" w:rsidP="00D65843">
      <w:pPr>
        <w:spacing w:after="0" w:line="240" w:lineRule="auto"/>
        <w:jc w:val="center"/>
        <w:rPr>
          <w:rFonts w:ascii="Times New Roman" w:hAnsi="Times New Roman" w:cs="Times New Roman"/>
          <w:b/>
          <w:bCs/>
          <w:sz w:val="24"/>
          <w:szCs w:val="24"/>
        </w:rPr>
        <w:sectPr w:rsidR="00207B49" w:rsidSect="00207B49">
          <w:type w:val="continuous"/>
          <w:pgSz w:w="11906" w:h="16838"/>
          <w:pgMar w:top="1440" w:right="1440" w:bottom="1440" w:left="1440" w:header="708" w:footer="708" w:gutter="0"/>
          <w:cols w:space="708"/>
          <w:docGrid w:linePitch="360"/>
        </w:sectPr>
      </w:pPr>
      <w:r>
        <w:rPr>
          <w:rFonts w:ascii="Times New Roman" w:hAnsi="Times New Roman" w:cs="Times New Roman"/>
          <w:b/>
          <w:bCs/>
          <w:noProof/>
          <w:sz w:val="24"/>
          <w:szCs w:val="24"/>
        </w:rPr>
        <w:lastRenderedPageBreak/>
        <w:drawing>
          <wp:inline distT="0" distB="0" distL="0" distR="0" wp14:anchorId="4824847C" wp14:editId="3C6E94CF">
            <wp:extent cx="5707380" cy="1219200"/>
            <wp:effectExtent l="0" t="0" r="0" b="19050"/>
            <wp:docPr id="162052234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3A36BA6" w14:textId="6299FA4F" w:rsidR="003D74D6" w:rsidRPr="00103C25" w:rsidRDefault="003D74D6" w:rsidP="00D65843">
      <w:pPr>
        <w:spacing w:after="0" w:line="240" w:lineRule="auto"/>
        <w:jc w:val="center"/>
        <w:rPr>
          <w:rFonts w:ascii="Times New Roman" w:hAnsi="Times New Roman" w:cs="Times New Roman"/>
          <w:b/>
          <w:bCs/>
          <w:sz w:val="24"/>
          <w:szCs w:val="24"/>
        </w:rPr>
      </w:pPr>
    </w:p>
    <w:p w14:paraId="6521927C" w14:textId="77777777" w:rsidR="00207B49" w:rsidRDefault="00207B49" w:rsidP="009B5AE3">
      <w:pPr>
        <w:spacing w:after="0" w:line="360" w:lineRule="auto"/>
        <w:jc w:val="center"/>
        <w:rPr>
          <w:rFonts w:ascii="Times New Roman" w:hAnsi="Times New Roman" w:cs="Times New Roman"/>
          <w:b/>
          <w:bCs/>
          <w:sz w:val="18"/>
          <w:szCs w:val="18"/>
        </w:rPr>
        <w:sectPr w:rsidR="00207B49" w:rsidSect="00030032">
          <w:type w:val="continuous"/>
          <w:pgSz w:w="11906" w:h="16838"/>
          <w:pgMar w:top="1440" w:right="1440" w:bottom="1440" w:left="1440" w:header="708" w:footer="708" w:gutter="0"/>
          <w:cols w:num="2" w:space="708"/>
          <w:docGrid w:linePitch="360"/>
        </w:sectPr>
      </w:pPr>
    </w:p>
    <w:p w14:paraId="0643AFE2" w14:textId="57A3F317" w:rsidR="00F575B2" w:rsidRPr="005140A1" w:rsidRDefault="0035391A" w:rsidP="009B5AE3">
      <w:pPr>
        <w:spacing w:after="0" w:line="360" w:lineRule="auto"/>
        <w:jc w:val="center"/>
        <w:rPr>
          <w:rFonts w:ascii="Times New Roman" w:hAnsi="Times New Roman" w:cs="Times New Roman"/>
          <w:sz w:val="18"/>
          <w:szCs w:val="18"/>
        </w:rPr>
      </w:pPr>
      <w:r w:rsidRPr="005140A1">
        <w:rPr>
          <w:rFonts w:ascii="Times New Roman" w:hAnsi="Times New Roman" w:cs="Times New Roman"/>
          <w:b/>
          <w:bCs/>
          <w:sz w:val="18"/>
          <w:szCs w:val="18"/>
        </w:rPr>
        <w:t>Source:</w:t>
      </w:r>
      <w:r w:rsidRPr="005140A1">
        <w:rPr>
          <w:rFonts w:ascii="Times New Roman" w:hAnsi="Times New Roman" w:cs="Times New Roman"/>
          <w:sz w:val="18"/>
          <w:szCs w:val="18"/>
        </w:rPr>
        <w:t xml:space="preserve"> </w:t>
      </w:r>
      <w:r w:rsidR="00F575B2" w:rsidRPr="005140A1">
        <w:rPr>
          <w:rFonts w:ascii="Times New Roman" w:hAnsi="Times New Roman" w:cs="Times New Roman"/>
          <w:i/>
          <w:iCs/>
          <w:sz w:val="18"/>
          <w:szCs w:val="18"/>
        </w:rPr>
        <w:t>Compiled by Author</w:t>
      </w:r>
    </w:p>
    <w:p w14:paraId="53FD94D5" w14:textId="77777777" w:rsidR="00207B49" w:rsidRDefault="00207B49" w:rsidP="00E43B8B">
      <w:pPr>
        <w:spacing w:line="240" w:lineRule="auto"/>
        <w:jc w:val="both"/>
        <w:rPr>
          <w:rFonts w:ascii="Times New Roman" w:hAnsi="Times New Roman" w:cs="Times New Roman"/>
          <w:b/>
          <w:bCs/>
          <w:sz w:val="20"/>
          <w:szCs w:val="20"/>
        </w:rPr>
        <w:sectPr w:rsidR="00207B49" w:rsidSect="00207B49">
          <w:type w:val="continuous"/>
          <w:pgSz w:w="11906" w:h="16838"/>
          <w:pgMar w:top="1440" w:right="1440" w:bottom="1440" w:left="1440" w:header="708" w:footer="708" w:gutter="0"/>
          <w:cols w:space="708"/>
          <w:docGrid w:linePitch="360"/>
        </w:sectPr>
      </w:pPr>
    </w:p>
    <w:p w14:paraId="5451939C" w14:textId="4A7E51F6" w:rsidR="00F63447" w:rsidRPr="00F63447" w:rsidRDefault="00BD1DD7" w:rsidP="00F63447">
      <w:pPr>
        <w:spacing w:line="240" w:lineRule="auto"/>
        <w:jc w:val="both"/>
        <w:rPr>
          <w:rFonts w:ascii="Times New Roman" w:hAnsi="Times New Roman" w:cs="Times New Roman"/>
          <w:sz w:val="20"/>
          <w:szCs w:val="20"/>
        </w:rPr>
      </w:pPr>
      <w:r w:rsidRPr="00653396">
        <w:rPr>
          <w:rFonts w:ascii="Times New Roman" w:hAnsi="Times New Roman" w:cs="Times New Roman"/>
          <w:b/>
          <w:bCs/>
          <w:sz w:val="20"/>
          <w:szCs w:val="20"/>
        </w:rPr>
        <w:t>Phase 1:</w:t>
      </w:r>
      <w:r w:rsidRPr="00653396">
        <w:rPr>
          <w:rFonts w:ascii="Times New Roman" w:hAnsi="Times New Roman" w:cs="Times New Roman"/>
          <w:sz w:val="20"/>
          <w:szCs w:val="20"/>
        </w:rPr>
        <w:t xml:space="preserve"> </w:t>
      </w:r>
      <w:r w:rsidRPr="00653396">
        <w:rPr>
          <w:rFonts w:ascii="Times New Roman" w:hAnsi="Times New Roman" w:cs="Times New Roman"/>
          <w:b/>
          <w:bCs/>
          <w:sz w:val="20"/>
          <w:szCs w:val="20"/>
        </w:rPr>
        <w:t>Data Sourcing and Structural Boundary Setting</w:t>
      </w:r>
      <w:r w:rsidR="002644D8" w:rsidRPr="00653396">
        <w:rPr>
          <w:rFonts w:ascii="Times New Roman" w:hAnsi="Times New Roman" w:cs="Times New Roman"/>
          <w:b/>
          <w:bCs/>
          <w:sz w:val="20"/>
          <w:szCs w:val="20"/>
        </w:rPr>
        <w:t xml:space="preserve">: </w:t>
      </w:r>
      <w:r w:rsidR="00F63447" w:rsidRPr="00F63447">
        <w:rPr>
          <w:rFonts w:ascii="Times New Roman" w:hAnsi="Times New Roman" w:cs="Times New Roman"/>
          <w:sz w:val="20"/>
          <w:szCs w:val="20"/>
        </w:rPr>
        <w:t xml:space="preserve">The study has investigated the </w:t>
      </w:r>
      <w:r w:rsidR="00FC1FBD">
        <w:rPr>
          <w:rFonts w:ascii="Times New Roman" w:hAnsi="Times New Roman" w:cs="Times New Roman"/>
          <w:sz w:val="20"/>
          <w:szCs w:val="20"/>
        </w:rPr>
        <w:t>activity of enzymes such as alpha-amylase and glucoamylase</w:t>
      </w:r>
      <w:r w:rsidR="00F63447" w:rsidRPr="00F63447">
        <w:rPr>
          <w:rFonts w:ascii="Times New Roman" w:hAnsi="Times New Roman" w:cs="Times New Roman"/>
          <w:sz w:val="20"/>
          <w:szCs w:val="20"/>
        </w:rPr>
        <w:t xml:space="preserve"> in Assamese </w:t>
      </w:r>
      <w:r w:rsidR="00FC1FBD">
        <w:rPr>
          <w:rFonts w:ascii="Times New Roman" w:hAnsi="Times New Roman" w:cs="Times New Roman"/>
          <w:sz w:val="20"/>
          <w:szCs w:val="20"/>
        </w:rPr>
        <w:t>Pitha Humao and Emao. The study quantified short-chain fatty acid levels and investigated the impact of Assamese Pitha on the immune system, including cytokine responses such as</w:t>
      </w:r>
      <w:r w:rsidR="00F63447" w:rsidRPr="00F63447">
        <w:rPr>
          <w:rFonts w:ascii="Times New Roman" w:hAnsi="Times New Roman" w:cs="Times New Roman"/>
          <w:sz w:val="20"/>
          <w:szCs w:val="20"/>
        </w:rPr>
        <w:t xml:space="preserve"> IL-10. The Socio-Legal and Statutory Dataset includes notices </w:t>
      </w:r>
      <w:r w:rsidR="00FC1FBD">
        <w:rPr>
          <w:rFonts w:ascii="Times New Roman" w:hAnsi="Times New Roman" w:cs="Times New Roman"/>
          <w:sz w:val="20"/>
          <w:szCs w:val="20"/>
        </w:rPr>
        <w:t>under the Assam Excise Act regarding</w:t>
      </w:r>
      <w:r w:rsidR="00F63447" w:rsidRPr="00F63447">
        <w:rPr>
          <w:rFonts w:ascii="Times New Roman" w:hAnsi="Times New Roman" w:cs="Times New Roman"/>
          <w:sz w:val="20"/>
          <w:szCs w:val="20"/>
        </w:rPr>
        <w:t xml:space="preserve"> heritage alcohol and land rules. It is also looking at examples from Japan. These rules are part of the 2002 Structural Reform Special Zone Act</w:t>
      </w:r>
      <w:r w:rsidR="00FC1FBD">
        <w:rPr>
          <w:rFonts w:ascii="Times New Roman" w:hAnsi="Times New Roman" w:cs="Times New Roman"/>
          <w:sz w:val="20"/>
          <w:szCs w:val="20"/>
        </w:rPr>
        <w:t xml:space="preserve"> </w:t>
      </w:r>
      <w:r w:rsidR="00F63447" w:rsidRPr="00F63447">
        <w:rPr>
          <w:rFonts w:ascii="Times New Roman" w:hAnsi="Times New Roman" w:cs="Times New Roman"/>
          <w:sz w:val="20"/>
          <w:szCs w:val="20"/>
        </w:rPr>
        <w:t>(Harada, 2015; National Tax Agency, 2020).</w:t>
      </w:r>
    </w:p>
    <w:p w14:paraId="5493FEDD" w14:textId="5AAA6F59" w:rsidR="00AE72F6" w:rsidRPr="00653396" w:rsidRDefault="00AE72F6" w:rsidP="004E5AA6">
      <w:pPr>
        <w:spacing w:after="0" w:line="240" w:lineRule="auto"/>
        <w:jc w:val="both"/>
        <w:rPr>
          <w:rFonts w:ascii="Times New Roman" w:hAnsi="Times New Roman" w:cs="Times New Roman"/>
          <w:sz w:val="20"/>
          <w:szCs w:val="20"/>
        </w:rPr>
      </w:pPr>
      <w:r w:rsidRPr="00653396">
        <w:rPr>
          <w:rFonts w:ascii="Times New Roman" w:hAnsi="Times New Roman" w:cs="Times New Roman"/>
          <w:b/>
          <w:bCs/>
          <w:sz w:val="20"/>
          <w:szCs w:val="20"/>
        </w:rPr>
        <w:t>Phase 2: Character Synthesis and Conceptual Harmonisation</w:t>
      </w:r>
      <w:r w:rsidR="004E5AA6">
        <w:rPr>
          <w:rFonts w:ascii="Times New Roman" w:hAnsi="Times New Roman" w:cs="Times New Roman"/>
          <w:b/>
          <w:bCs/>
          <w:sz w:val="20"/>
          <w:szCs w:val="20"/>
        </w:rPr>
        <w:t xml:space="preserve">: </w:t>
      </w:r>
      <w:r w:rsidR="000C3B5F" w:rsidRPr="00653396">
        <w:rPr>
          <w:rFonts w:ascii="Times New Roman" w:hAnsi="Times New Roman" w:cs="Times New Roman"/>
          <w:sz w:val="20"/>
          <w:szCs w:val="20"/>
        </w:rPr>
        <w:t xml:space="preserve">A </w:t>
      </w:r>
      <w:r w:rsidRPr="00653396">
        <w:rPr>
          <w:rFonts w:ascii="Times New Roman" w:hAnsi="Times New Roman" w:cs="Times New Roman"/>
          <w:sz w:val="20"/>
          <w:szCs w:val="20"/>
        </w:rPr>
        <w:t>three-step process</w:t>
      </w:r>
      <w:r w:rsidR="000C3B5F" w:rsidRPr="00653396">
        <w:rPr>
          <w:rFonts w:ascii="Times New Roman" w:hAnsi="Times New Roman" w:cs="Times New Roman"/>
          <w:sz w:val="20"/>
          <w:szCs w:val="20"/>
        </w:rPr>
        <w:t xml:space="preserve"> is used </w:t>
      </w:r>
      <w:r w:rsidR="004E5AA6">
        <w:rPr>
          <w:rFonts w:ascii="Times New Roman" w:hAnsi="Times New Roman" w:cs="Times New Roman"/>
          <w:sz w:val="20"/>
          <w:szCs w:val="20"/>
        </w:rPr>
        <w:t xml:space="preserve">to synthesise characters and harmonise concepts. They are- </w:t>
      </w:r>
    </w:p>
    <w:p w14:paraId="4CA53B80" w14:textId="2C07C249" w:rsidR="00AE72F6" w:rsidRPr="004E5AA6" w:rsidRDefault="00AE72F6" w:rsidP="004E5AA6">
      <w:pPr>
        <w:pStyle w:val="ListParagraph"/>
        <w:numPr>
          <w:ilvl w:val="0"/>
          <w:numId w:val="2"/>
        </w:numPr>
        <w:spacing w:after="0" w:line="240" w:lineRule="auto"/>
        <w:jc w:val="both"/>
        <w:rPr>
          <w:rFonts w:ascii="Times New Roman" w:hAnsi="Times New Roman" w:cs="Times New Roman"/>
          <w:sz w:val="20"/>
          <w:szCs w:val="20"/>
        </w:rPr>
      </w:pPr>
      <w:r w:rsidRPr="004E5AA6">
        <w:rPr>
          <w:rFonts w:ascii="Times New Roman" w:hAnsi="Times New Roman" w:cs="Times New Roman"/>
          <w:b/>
          <w:bCs/>
          <w:sz w:val="20"/>
          <w:szCs w:val="20"/>
        </w:rPr>
        <w:t>Character Extraction:</w:t>
      </w:r>
      <w:r w:rsidRPr="004E5AA6">
        <w:rPr>
          <w:rFonts w:ascii="Times New Roman" w:hAnsi="Times New Roman" w:cs="Times New Roman"/>
          <w:sz w:val="20"/>
          <w:szCs w:val="20"/>
        </w:rPr>
        <w:t xml:space="preserve"> </w:t>
      </w:r>
      <w:r w:rsidR="00165536" w:rsidRPr="004E5AA6">
        <w:rPr>
          <w:rFonts w:ascii="Times New Roman" w:hAnsi="Times New Roman" w:cs="Times New Roman"/>
          <w:sz w:val="20"/>
          <w:szCs w:val="20"/>
        </w:rPr>
        <w:t xml:space="preserve">The first step is to </w:t>
      </w:r>
      <w:r w:rsidR="002644D8" w:rsidRPr="004E5AA6">
        <w:rPr>
          <w:rFonts w:ascii="Times New Roman" w:hAnsi="Times New Roman" w:cs="Times New Roman"/>
          <w:sz w:val="20"/>
          <w:szCs w:val="20"/>
        </w:rPr>
        <w:t>convert data such as the pH curves of Pitha and the fermentation curves of Koji into simple, easy-to-understand</w:t>
      </w:r>
      <w:r w:rsidR="00165536" w:rsidRPr="004E5AA6">
        <w:rPr>
          <w:rFonts w:ascii="Times New Roman" w:hAnsi="Times New Roman" w:cs="Times New Roman"/>
          <w:sz w:val="20"/>
          <w:szCs w:val="20"/>
        </w:rPr>
        <w:t xml:space="preserve"> categories </w:t>
      </w:r>
      <w:r w:rsidRPr="004E5AA6">
        <w:rPr>
          <w:rFonts w:ascii="Times New Roman" w:hAnsi="Times New Roman" w:cs="Times New Roman"/>
          <w:sz w:val="20"/>
          <w:szCs w:val="20"/>
        </w:rPr>
        <w:t>(Tippsy, 2023).</w:t>
      </w:r>
    </w:p>
    <w:p w14:paraId="79E887D2" w14:textId="37353BE1" w:rsidR="00AE72F6" w:rsidRPr="004E5AA6" w:rsidRDefault="00AE72F6" w:rsidP="004E5AA6">
      <w:pPr>
        <w:pStyle w:val="ListParagraph"/>
        <w:numPr>
          <w:ilvl w:val="0"/>
          <w:numId w:val="2"/>
        </w:numPr>
        <w:spacing w:after="0" w:line="240" w:lineRule="auto"/>
        <w:jc w:val="both"/>
        <w:rPr>
          <w:rFonts w:ascii="Times New Roman" w:hAnsi="Times New Roman" w:cs="Times New Roman"/>
          <w:sz w:val="20"/>
          <w:szCs w:val="20"/>
        </w:rPr>
      </w:pPr>
      <w:r w:rsidRPr="004E5AA6">
        <w:rPr>
          <w:rFonts w:ascii="Times New Roman" w:hAnsi="Times New Roman" w:cs="Times New Roman"/>
          <w:b/>
          <w:bCs/>
          <w:sz w:val="20"/>
          <w:szCs w:val="20"/>
        </w:rPr>
        <w:t>Theoretical Alignment:</w:t>
      </w:r>
      <w:r w:rsidRPr="004E5AA6">
        <w:rPr>
          <w:rFonts w:ascii="Times New Roman" w:hAnsi="Times New Roman" w:cs="Times New Roman"/>
          <w:sz w:val="20"/>
          <w:szCs w:val="20"/>
        </w:rPr>
        <w:t xml:space="preserve"> Here,</w:t>
      </w:r>
      <w:r w:rsidR="00161DB9">
        <w:rPr>
          <w:rFonts w:ascii="Times New Roman" w:hAnsi="Times New Roman" w:cs="Times New Roman"/>
          <w:sz w:val="20"/>
          <w:szCs w:val="20"/>
        </w:rPr>
        <w:t xml:space="preserve"> the study</w:t>
      </w:r>
      <w:r w:rsidRPr="004E5AA6">
        <w:rPr>
          <w:rFonts w:ascii="Times New Roman" w:hAnsi="Times New Roman" w:cs="Times New Roman"/>
          <w:sz w:val="20"/>
          <w:szCs w:val="20"/>
        </w:rPr>
        <w:t xml:space="preserve"> </w:t>
      </w:r>
      <w:r w:rsidR="005A1926">
        <w:rPr>
          <w:rFonts w:ascii="Times New Roman" w:hAnsi="Times New Roman" w:cs="Times New Roman"/>
          <w:sz w:val="20"/>
          <w:szCs w:val="20"/>
        </w:rPr>
        <w:t>compares</w:t>
      </w:r>
      <w:r w:rsidRPr="004E5AA6">
        <w:rPr>
          <w:rFonts w:ascii="Times New Roman" w:hAnsi="Times New Roman" w:cs="Times New Roman"/>
          <w:sz w:val="20"/>
          <w:szCs w:val="20"/>
        </w:rPr>
        <w:t xml:space="preserve"> the characteristics of ethnic foods with East Asian industrial standards. This helps us see how wild plant ingredients perform in automated bioreactor systems. Structuring causal links between variables to verify the precise point at which validating a beverage's functional health profile (lowering glycemic index, boosting host immunity) provides the scientific justification needed to secure low-volume, community-based craft excise tiers (Sarmah et al., 2022).</w:t>
      </w:r>
    </w:p>
    <w:p w14:paraId="68AF79D3" w14:textId="7050F5B2" w:rsidR="00AE72F6" w:rsidRPr="004E5AA6" w:rsidRDefault="00AE72F6" w:rsidP="004E5AA6">
      <w:pPr>
        <w:pStyle w:val="ListParagraph"/>
        <w:numPr>
          <w:ilvl w:val="0"/>
          <w:numId w:val="2"/>
        </w:numPr>
        <w:spacing w:line="240" w:lineRule="auto"/>
        <w:jc w:val="both"/>
        <w:rPr>
          <w:rFonts w:ascii="Times New Roman" w:hAnsi="Times New Roman" w:cs="Times New Roman"/>
          <w:sz w:val="20"/>
          <w:szCs w:val="20"/>
        </w:rPr>
      </w:pPr>
      <w:r w:rsidRPr="004E5AA6">
        <w:rPr>
          <w:rFonts w:ascii="Times New Roman" w:hAnsi="Times New Roman" w:cs="Times New Roman"/>
          <w:b/>
          <w:bCs/>
          <w:sz w:val="20"/>
          <w:szCs w:val="20"/>
        </w:rPr>
        <w:t>Dynamic Harmonisation:</w:t>
      </w:r>
      <w:r w:rsidRPr="004E5AA6">
        <w:rPr>
          <w:rFonts w:ascii="Times New Roman" w:hAnsi="Times New Roman" w:cs="Times New Roman"/>
          <w:sz w:val="20"/>
          <w:szCs w:val="20"/>
        </w:rPr>
        <w:t xml:space="preserve"> Structuring links between variables to verify the point of validating a beverage's functional health profile provides the justification needed to secure low-volume excise (Nezine, 2020; Tippsy, 2023).</w:t>
      </w:r>
    </w:p>
    <w:p w14:paraId="24A9C61F" w14:textId="1B242712" w:rsidR="00583B13" w:rsidRPr="00583B13" w:rsidRDefault="00583B13" w:rsidP="00583B13">
      <w:pPr>
        <w:spacing w:after="0" w:line="240" w:lineRule="auto"/>
        <w:jc w:val="both"/>
        <w:rPr>
          <w:rFonts w:ascii="Times New Roman" w:hAnsi="Times New Roman" w:cs="Times New Roman"/>
          <w:sz w:val="20"/>
          <w:szCs w:val="20"/>
        </w:rPr>
      </w:pPr>
      <w:r w:rsidRPr="00583B13">
        <w:rPr>
          <w:rFonts w:ascii="Times New Roman" w:hAnsi="Times New Roman" w:cs="Times New Roman"/>
          <w:b/>
          <w:bCs/>
          <w:sz w:val="20"/>
          <w:szCs w:val="20"/>
        </w:rPr>
        <w:t xml:space="preserve">Phase 3: Multi-Criteria Literature Triangulation (MCLT) Validation Framework: </w:t>
      </w:r>
      <w:r w:rsidRPr="00583B13">
        <w:rPr>
          <w:rFonts w:ascii="Times New Roman" w:hAnsi="Times New Roman" w:cs="Times New Roman"/>
          <w:sz w:val="20"/>
          <w:szCs w:val="20"/>
        </w:rPr>
        <w:t xml:space="preserve">To ensure structural value and minimise subjective bias within the conceptual model, the final phase is to define convergence criteria for each core proposition, the </w:t>
      </w:r>
      <w:r w:rsidRPr="00583B13">
        <w:rPr>
          <w:rFonts w:ascii="Times New Roman" w:hAnsi="Times New Roman" w:cs="Times New Roman"/>
          <w:sz w:val="20"/>
          <w:szCs w:val="20"/>
        </w:rPr>
        <w:t xml:space="preserve">biochemical scaling profile, and the policy transfer mechanism. These criteria are the MCLT Validation Consent, which is based on a combination of factors. It is the intersection of the Author's function, the Framework's function, the Method's function, and the geography's function. The MCLT Validation Consent equals the function of the Author intersecting the function of the Framework intersecting the function of the Method intersecting the function of the geography. The author uses triangulation, which </w:t>
      </w:r>
      <w:r w:rsidR="006A3D39">
        <w:rPr>
          <w:rFonts w:ascii="Times New Roman" w:hAnsi="Times New Roman" w:cs="Times New Roman"/>
          <w:sz w:val="20"/>
          <w:szCs w:val="20"/>
        </w:rPr>
        <w:t xml:space="preserve">primarily involves checking data points from research groups to determine whether what they say about Pitha is true by examining data from laboratories worldwide that study carbohydrates and enzymes </w:t>
      </w:r>
      <w:r w:rsidRPr="00583B13">
        <w:rPr>
          <w:rFonts w:ascii="Times New Roman" w:hAnsi="Times New Roman" w:cs="Times New Roman"/>
          <w:sz w:val="20"/>
          <w:szCs w:val="20"/>
        </w:rPr>
        <w:t>(Bhattacharya &amp; Deka, 2023; Rawat et al., 2021).</w:t>
      </w:r>
    </w:p>
    <w:p w14:paraId="3FC28C5A" w14:textId="77777777" w:rsidR="003D74D6" w:rsidRDefault="003D74D6" w:rsidP="004E5AA6">
      <w:pPr>
        <w:spacing w:after="0" w:line="240" w:lineRule="auto"/>
        <w:jc w:val="both"/>
        <w:rPr>
          <w:rFonts w:ascii="Times New Roman" w:hAnsi="Times New Roman" w:cs="Times New Roman"/>
          <w:b/>
          <w:bCs/>
        </w:rPr>
      </w:pPr>
    </w:p>
    <w:p w14:paraId="0D3CA478" w14:textId="76F8BEF4" w:rsidR="001F5D1E" w:rsidRPr="00653396" w:rsidRDefault="00341967" w:rsidP="004E5AA6">
      <w:pPr>
        <w:spacing w:after="0" w:line="240" w:lineRule="auto"/>
        <w:jc w:val="both"/>
        <w:rPr>
          <w:rFonts w:ascii="Times New Roman" w:hAnsi="Times New Roman" w:cs="Times New Roman"/>
          <w:sz w:val="20"/>
          <w:szCs w:val="20"/>
        </w:rPr>
      </w:pPr>
      <w:r w:rsidRPr="003D74D6">
        <w:rPr>
          <w:rFonts w:ascii="Times New Roman" w:hAnsi="Times New Roman" w:cs="Times New Roman"/>
          <w:b/>
          <w:bCs/>
          <w:sz w:val="24"/>
          <w:szCs w:val="24"/>
        </w:rPr>
        <w:t>Results and Discussion</w:t>
      </w:r>
      <w:r w:rsidR="004E5AA6">
        <w:rPr>
          <w:rFonts w:ascii="Times New Roman" w:hAnsi="Times New Roman" w:cs="Times New Roman"/>
          <w:b/>
          <w:bCs/>
          <w:sz w:val="20"/>
          <w:szCs w:val="20"/>
        </w:rPr>
        <w:t xml:space="preserve">: </w:t>
      </w:r>
      <w:r w:rsidR="001F5D1E" w:rsidRPr="00653396">
        <w:rPr>
          <w:rFonts w:ascii="Times New Roman" w:hAnsi="Times New Roman" w:cs="Times New Roman"/>
          <w:sz w:val="20"/>
          <w:szCs w:val="20"/>
        </w:rPr>
        <w:t>Based on the above methodology</w:t>
      </w:r>
      <w:r w:rsidR="004E5AA6">
        <w:rPr>
          <w:rFonts w:ascii="Times New Roman" w:hAnsi="Times New Roman" w:cs="Times New Roman"/>
          <w:sz w:val="20"/>
          <w:szCs w:val="20"/>
        </w:rPr>
        <w:t>,</w:t>
      </w:r>
      <w:r w:rsidR="001F5D1E" w:rsidRPr="00653396">
        <w:rPr>
          <w:rFonts w:ascii="Times New Roman" w:hAnsi="Times New Roman" w:cs="Times New Roman"/>
          <w:sz w:val="20"/>
          <w:szCs w:val="20"/>
        </w:rPr>
        <w:t xml:space="preserve"> results and discussion </w:t>
      </w:r>
      <w:r w:rsidR="004E5AA6">
        <w:rPr>
          <w:rFonts w:ascii="Times New Roman" w:hAnsi="Times New Roman" w:cs="Times New Roman"/>
          <w:sz w:val="20"/>
          <w:szCs w:val="20"/>
        </w:rPr>
        <w:t xml:space="preserve">are </w:t>
      </w:r>
      <w:r w:rsidR="001F5D1E" w:rsidRPr="00653396">
        <w:rPr>
          <w:rFonts w:ascii="Times New Roman" w:hAnsi="Times New Roman" w:cs="Times New Roman"/>
          <w:sz w:val="20"/>
          <w:szCs w:val="20"/>
        </w:rPr>
        <w:t>incorporated below:</w:t>
      </w:r>
    </w:p>
    <w:p w14:paraId="5E9A4B17" w14:textId="77777777" w:rsidR="006F0695" w:rsidRDefault="006F0695" w:rsidP="005140A1">
      <w:pPr>
        <w:spacing w:after="0" w:line="240" w:lineRule="auto"/>
        <w:jc w:val="both"/>
        <w:rPr>
          <w:rFonts w:ascii="Times New Roman" w:hAnsi="Times New Roman" w:cs="Times New Roman"/>
          <w:b/>
          <w:bCs/>
          <w:sz w:val="20"/>
          <w:szCs w:val="20"/>
        </w:rPr>
      </w:pPr>
    </w:p>
    <w:p w14:paraId="1B192420" w14:textId="57367102" w:rsidR="00FB31FE" w:rsidRPr="005140A1" w:rsidRDefault="00FB31FE" w:rsidP="005140A1">
      <w:pPr>
        <w:spacing w:after="0" w:line="240" w:lineRule="auto"/>
        <w:jc w:val="both"/>
        <w:rPr>
          <w:rFonts w:ascii="Times New Roman" w:hAnsi="Times New Roman" w:cs="Times New Roman"/>
          <w:sz w:val="20"/>
          <w:szCs w:val="20"/>
        </w:rPr>
      </w:pPr>
      <w:r w:rsidRPr="005140A1">
        <w:rPr>
          <w:rFonts w:ascii="Times New Roman" w:hAnsi="Times New Roman" w:cs="Times New Roman"/>
          <w:b/>
          <w:bCs/>
          <w:sz w:val="20"/>
          <w:szCs w:val="20"/>
        </w:rPr>
        <w:t>Enzymatic Amylolytic Kinetics and Starch-Degrading Profiles</w:t>
      </w:r>
      <w:r w:rsidR="00653396" w:rsidRPr="005140A1">
        <w:rPr>
          <w:rFonts w:ascii="Times New Roman" w:hAnsi="Times New Roman" w:cs="Times New Roman"/>
          <w:b/>
          <w:bCs/>
          <w:sz w:val="20"/>
          <w:szCs w:val="20"/>
        </w:rPr>
        <w:t xml:space="preserve">: </w:t>
      </w:r>
      <w:r w:rsidR="00653396" w:rsidRPr="005140A1">
        <w:rPr>
          <w:rFonts w:ascii="Times New Roman" w:hAnsi="Times New Roman" w:cs="Times New Roman"/>
          <w:sz w:val="20"/>
          <w:szCs w:val="20"/>
        </w:rPr>
        <w:t>Analysis of secondary data indicates that the solid-state botanical matrices of Assamese starter cakes (Pitha/Humao/Emao) contain a specialised group of microorganisms that degrade</w:t>
      </w:r>
      <w:r w:rsidRPr="005140A1">
        <w:rPr>
          <w:rFonts w:ascii="Times New Roman" w:hAnsi="Times New Roman" w:cs="Times New Roman"/>
          <w:sz w:val="20"/>
          <w:szCs w:val="20"/>
        </w:rPr>
        <w:t xml:space="preserve"> raw starch through a coordinated two-step process (Das &amp; Deka, 2012; Samantaray et al., 2026). Studies of kinetic profiles show that filamentous </w:t>
      </w:r>
      <w:r w:rsidR="00794024" w:rsidRPr="005140A1">
        <w:rPr>
          <w:rFonts w:ascii="Times New Roman" w:hAnsi="Times New Roman" w:cs="Times New Roman"/>
          <w:sz w:val="20"/>
          <w:szCs w:val="20"/>
        </w:rPr>
        <w:t>moulds, such as Rhizopus delemar, Mucor circinelloides, and Aspergillus spp., release large amounts of extracellular α-amylase and glucoamylase into the gelatinised</w:t>
      </w:r>
      <w:r w:rsidRPr="005140A1">
        <w:rPr>
          <w:rFonts w:ascii="Times New Roman" w:hAnsi="Times New Roman" w:cs="Times New Roman"/>
          <w:sz w:val="20"/>
          <w:szCs w:val="20"/>
        </w:rPr>
        <w:t xml:space="preserve"> heirloom rice substrate (Boro &amp; Narzary, 2022; Das &amp; Deka, 2012).</w:t>
      </w:r>
    </w:p>
    <w:p w14:paraId="009371C8" w14:textId="77777777" w:rsidR="006F0695" w:rsidRDefault="006F0695" w:rsidP="006F0695">
      <w:pPr>
        <w:spacing w:after="0" w:line="240" w:lineRule="auto"/>
        <w:jc w:val="both"/>
        <w:rPr>
          <w:rFonts w:ascii="Times New Roman" w:hAnsi="Times New Roman" w:cs="Times New Roman"/>
          <w:sz w:val="20"/>
          <w:szCs w:val="20"/>
        </w:rPr>
      </w:pPr>
    </w:p>
    <w:p w14:paraId="605731C0" w14:textId="442A962C" w:rsidR="00C12B7B" w:rsidRPr="00C12B7B" w:rsidRDefault="00C12B7B" w:rsidP="00C12B7B">
      <w:pPr>
        <w:spacing w:after="0" w:line="240" w:lineRule="auto"/>
        <w:jc w:val="both"/>
        <w:rPr>
          <w:rFonts w:ascii="Times New Roman" w:hAnsi="Times New Roman" w:cs="Times New Roman"/>
          <w:sz w:val="20"/>
          <w:szCs w:val="20"/>
        </w:rPr>
      </w:pPr>
      <w:r w:rsidRPr="00C12B7B">
        <w:rPr>
          <w:rFonts w:ascii="Times New Roman" w:hAnsi="Times New Roman" w:cs="Times New Roman"/>
          <w:sz w:val="20"/>
          <w:szCs w:val="20"/>
        </w:rPr>
        <w:t xml:space="preserve">The enzyme alpha amylase breaks down starch. This process is called endo hydrolysis. It turns starch into dextrins. Then the enzyme glucoamylase breaks down these dextrins. This is called exo hydrolysis. It turns dextrins into D-glucose. The starch is broken down into things. This process involves starch and enzymes, such as alpha-amylase and glucoamylase. Starch is turned into D-glucose. The analysis of breaverage shows that fungal enzymes </w:t>
      </w:r>
      <w:r w:rsidR="00FC1FBD">
        <w:rPr>
          <w:rFonts w:ascii="Times New Roman" w:hAnsi="Times New Roman" w:cs="Times New Roman"/>
          <w:sz w:val="20"/>
          <w:szCs w:val="20"/>
        </w:rPr>
        <w:t>effectively break down amylose and amylopectin in the first 3 days of fermentation (</w:t>
      </w:r>
      <w:r w:rsidRPr="00C12B7B">
        <w:rPr>
          <w:rFonts w:ascii="Times New Roman" w:hAnsi="Times New Roman" w:cs="Times New Roman"/>
          <w:sz w:val="20"/>
          <w:szCs w:val="20"/>
        </w:rPr>
        <w:t xml:space="preserve">Boro &amp; Narzary, 2022; Das et al., 2019). </w:t>
      </w:r>
    </w:p>
    <w:p w14:paraId="5DEAB970" w14:textId="77777777" w:rsidR="00187588" w:rsidRPr="00187588" w:rsidRDefault="00D66A62" w:rsidP="00187588">
      <w:pPr>
        <w:spacing w:line="240" w:lineRule="auto"/>
        <w:jc w:val="both"/>
        <w:rPr>
          <w:rFonts w:ascii="Times New Roman" w:hAnsi="Times New Roman" w:cs="Times New Roman"/>
          <w:sz w:val="20"/>
          <w:szCs w:val="20"/>
        </w:rPr>
      </w:pPr>
      <w:r w:rsidRPr="00653396">
        <w:rPr>
          <w:rFonts w:ascii="Times New Roman" w:hAnsi="Times New Roman" w:cs="Times New Roman"/>
          <w:b/>
          <w:bCs/>
          <w:sz w:val="20"/>
          <w:szCs w:val="20"/>
        </w:rPr>
        <w:lastRenderedPageBreak/>
        <w:t>Glycemic Index (GI) Suppression Mechanics</w:t>
      </w:r>
      <w:r w:rsidR="00653396">
        <w:rPr>
          <w:rFonts w:ascii="Times New Roman" w:hAnsi="Times New Roman" w:cs="Times New Roman"/>
          <w:b/>
          <w:bCs/>
          <w:sz w:val="20"/>
          <w:szCs w:val="20"/>
        </w:rPr>
        <w:t xml:space="preserve">: </w:t>
      </w:r>
      <w:r w:rsidR="00187588" w:rsidRPr="00187588">
        <w:rPr>
          <w:rFonts w:ascii="Times New Roman" w:hAnsi="Times New Roman" w:cs="Times New Roman"/>
          <w:sz w:val="20"/>
          <w:szCs w:val="20"/>
        </w:rPr>
        <w:t xml:space="preserve">The significance of Pitha is that it prevents blood sugar from rising by maintaining the Glycemic Index. </w:t>
      </w:r>
    </w:p>
    <w:p w14:paraId="55CBA655" w14:textId="02CE0B28" w:rsidR="003479DE" w:rsidRPr="00653396" w:rsidRDefault="00176E68" w:rsidP="006F0695">
      <w:pPr>
        <w:spacing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First, the resistant starch expands when we add plant extracts such as Scoparia dulcis and Clerodendrum viscosum. These plants, Scoparia dulcis and Clerodendrum viscosum, produce various polyphenols, which are </w:t>
      </w:r>
      <w:r w:rsidR="002644D8" w:rsidRPr="00653396">
        <w:rPr>
          <w:rFonts w:ascii="Times New Roman" w:hAnsi="Times New Roman" w:cs="Times New Roman"/>
          <w:sz w:val="20"/>
          <w:szCs w:val="20"/>
        </w:rPr>
        <w:t>nutrients</w:t>
      </w:r>
      <w:r w:rsidRPr="00653396">
        <w:rPr>
          <w:rFonts w:ascii="Times New Roman" w:hAnsi="Times New Roman" w:cs="Times New Roman"/>
          <w:sz w:val="20"/>
          <w:szCs w:val="20"/>
        </w:rPr>
        <w:t xml:space="preserve">, as well as resistant starch. Resistant starch expansion is important because it involves starch and these special plant extracts, such as Scoparia dulcis and Clerodendrum viscosum. (Das &amp; Deka, 2012; Rawat et al., 2021). </w:t>
      </w:r>
      <w:r w:rsidR="003479DE" w:rsidRPr="00653396">
        <w:rPr>
          <w:rFonts w:ascii="Times New Roman" w:hAnsi="Times New Roman" w:cs="Times New Roman"/>
          <w:sz w:val="20"/>
          <w:szCs w:val="20"/>
        </w:rPr>
        <w:t xml:space="preserve">These compounds help slow down the breakdown of carbohydrates in the body. They do this by stopping the enzymes that break down carbs in the intestines. Additionally, when we store food at room temperature or in the fridge, its starches change. This change makes it harder for the body to digest the starch. As a result, the food forms something called Resistant Starch, or RS3 for short. </w:t>
      </w:r>
      <w:r w:rsidR="002644D8" w:rsidRPr="00653396">
        <w:rPr>
          <w:rFonts w:ascii="Times New Roman" w:hAnsi="Times New Roman" w:cs="Times New Roman"/>
          <w:sz w:val="20"/>
          <w:szCs w:val="20"/>
        </w:rPr>
        <w:t>The body does not easily break down the RS3</w:t>
      </w:r>
      <w:r w:rsidR="003479DE" w:rsidRPr="00653396">
        <w:rPr>
          <w:rFonts w:ascii="Times New Roman" w:hAnsi="Times New Roman" w:cs="Times New Roman"/>
          <w:sz w:val="20"/>
          <w:szCs w:val="20"/>
        </w:rPr>
        <w:t>.</w:t>
      </w:r>
    </w:p>
    <w:p w14:paraId="523F14E3" w14:textId="3D9D1438" w:rsidR="00CB55AB" w:rsidRPr="00653396" w:rsidRDefault="00340222" w:rsidP="006F0695">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61471F25" wp14:editId="5701A62E">
                <wp:simplePos x="0" y="0"/>
                <wp:positionH relativeFrom="column">
                  <wp:posOffset>2797175</wp:posOffset>
                </wp:positionH>
                <wp:positionV relativeFrom="paragraph">
                  <wp:posOffset>371475</wp:posOffset>
                </wp:positionV>
                <wp:extent cx="251460" cy="449580"/>
                <wp:effectExtent l="0" t="38100" r="34290" b="64770"/>
                <wp:wrapNone/>
                <wp:docPr id="1756912884" name="Arrow: Right 2"/>
                <wp:cNvGraphicFramePr/>
                <a:graphic xmlns:a="http://schemas.openxmlformats.org/drawingml/2006/main">
                  <a:graphicData uri="http://schemas.microsoft.com/office/word/2010/wordprocessingShape">
                    <wps:wsp>
                      <wps:cNvSpPr/>
                      <wps:spPr>
                        <a:xfrm>
                          <a:off x="0" y="0"/>
                          <a:ext cx="251460" cy="449580"/>
                        </a:xfrm>
                        <a:prstGeom prst="rightArrow">
                          <a:avLst>
                            <a:gd name="adj1" fmla="val 50000"/>
                            <a:gd name="adj2" fmla="val 43548"/>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801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20.25pt;margin-top:29.25pt;width:19.8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" adj="12194" fillcolor="#82a0d7 [2164]" strokecolor="#4472c4 [3204]" strokeweight=".5pt">
                <v:fill color2="#678ccf [2612]" rotate="t" colors="0 #a8b7df;.5 #9aabd9;1 #879ed7" focus="100%" type="gradient">
                  <o:fill v:ext="view" type="gradientUnscaled"/>
                </v:fill>
              </v:shape>
            </w:pict>
          </mc:Fallback>
        </mc:AlternateContent>
      </w:r>
      <w:r w:rsidR="00CB55AB" w:rsidRPr="00653396">
        <w:rPr>
          <w:rFonts w:ascii="Times New Roman" w:hAnsi="Times New Roman" w:cs="Times New Roman"/>
          <w:sz w:val="20"/>
          <w:szCs w:val="20"/>
        </w:rPr>
        <w:t>Second, organic acid backbones are formed. This happens when you look at results from high-performance chromatography, a testing method. These results show that</w:t>
      </w:r>
      <w:r w:rsidR="002644D8" w:rsidRPr="00653396">
        <w:rPr>
          <w:rFonts w:ascii="Times New Roman" w:hAnsi="Times New Roman" w:cs="Times New Roman"/>
          <w:sz w:val="20"/>
          <w:szCs w:val="20"/>
        </w:rPr>
        <w:t xml:space="preserve"> over time, the body accumulates</w:t>
      </w:r>
      <w:r w:rsidR="00CB55AB" w:rsidRPr="00653396">
        <w:rPr>
          <w:rFonts w:ascii="Times New Roman" w:hAnsi="Times New Roman" w:cs="Times New Roman"/>
          <w:sz w:val="20"/>
          <w:szCs w:val="20"/>
        </w:rPr>
        <w:t xml:space="preserve"> short-chain fatty acids and organic acids, such as acetic acid and succinic acid.</w:t>
      </w:r>
    </w:p>
    <w:p w14:paraId="5ADFE8F1" w14:textId="77777777" w:rsidR="006F0695" w:rsidRDefault="006F0695" w:rsidP="006F0695">
      <w:pPr>
        <w:spacing w:after="0" w:line="240" w:lineRule="auto"/>
        <w:jc w:val="both"/>
        <w:rPr>
          <w:rFonts w:ascii="Times New Roman" w:hAnsi="Times New Roman" w:cs="Times New Roman"/>
          <w:sz w:val="20"/>
          <w:szCs w:val="20"/>
        </w:rPr>
      </w:pPr>
    </w:p>
    <w:p w14:paraId="59112932" w14:textId="7F96E519" w:rsidR="00CB55AB" w:rsidRPr="00653396" w:rsidRDefault="00CB55AB" w:rsidP="006F0695">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This buildup makes the body more acidic, with a pH of around 3.70-3.85. When the body is this acidic, it </w:t>
      </w:r>
      <w:r w:rsidRPr="00653396">
        <w:rPr>
          <w:rFonts w:ascii="Times New Roman" w:hAnsi="Times New Roman" w:cs="Times New Roman"/>
          <w:sz w:val="20"/>
          <w:szCs w:val="20"/>
        </w:rPr>
        <w:t>takes longer for people to empty their stomachs. This means that the body absorbs glucose in the intestines, and blood glucose levels do not rise as much after eating.</w:t>
      </w:r>
    </w:p>
    <w:p w14:paraId="0D96B739" w14:textId="77777777" w:rsidR="006F0695" w:rsidRDefault="006F0695" w:rsidP="00653396">
      <w:pPr>
        <w:spacing w:after="0" w:line="240" w:lineRule="auto"/>
        <w:jc w:val="both"/>
        <w:rPr>
          <w:rFonts w:ascii="Times New Roman" w:hAnsi="Times New Roman" w:cs="Times New Roman"/>
          <w:b/>
          <w:bCs/>
          <w:sz w:val="20"/>
          <w:szCs w:val="20"/>
        </w:rPr>
      </w:pPr>
    </w:p>
    <w:p w14:paraId="042E5E89" w14:textId="77777777" w:rsidR="00D42718" w:rsidRPr="00D42718" w:rsidRDefault="00BA5155" w:rsidP="00D42718">
      <w:pPr>
        <w:spacing w:after="0" w:line="240" w:lineRule="auto"/>
        <w:jc w:val="both"/>
        <w:rPr>
          <w:rFonts w:ascii="Times New Roman" w:hAnsi="Times New Roman" w:cs="Times New Roman"/>
          <w:sz w:val="20"/>
          <w:szCs w:val="20"/>
        </w:rPr>
      </w:pPr>
      <w:r w:rsidRPr="00653396">
        <w:rPr>
          <w:rFonts w:ascii="Times New Roman" w:hAnsi="Times New Roman" w:cs="Times New Roman"/>
          <w:b/>
          <w:bCs/>
          <w:sz w:val="20"/>
          <w:szCs w:val="20"/>
        </w:rPr>
        <w:t>Immunomodulatory and Anti-Inflammatory Axis</w:t>
      </w:r>
      <w:r w:rsidR="00653396">
        <w:rPr>
          <w:rFonts w:ascii="Times New Roman" w:hAnsi="Times New Roman" w:cs="Times New Roman"/>
          <w:b/>
          <w:bCs/>
          <w:sz w:val="20"/>
          <w:szCs w:val="20"/>
        </w:rPr>
        <w:t xml:space="preserve">: </w:t>
      </w:r>
      <w:r w:rsidR="00D42718" w:rsidRPr="00D42718">
        <w:rPr>
          <w:rFonts w:ascii="Times New Roman" w:hAnsi="Times New Roman" w:cs="Times New Roman"/>
          <w:sz w:val="20"/>
          <w:szCs w:val="20"/>
        </w:rPr>
        <w:t xml:space="preserve">Studies show that in Pitha, lactic acid bacteria are present mainly </w:t>
      </w:r>
      <w:r w:rsidR="00D42718" w:rsidRPr="00D42718">
        <w:rPr>
          <w:rFonts w:ascii="Times New Roman" w:hAnsi="Times New Roman" w:cs="Times New Roman"/>
          <w:i/>
          <w:iCs/>
          <w:sz w:val="20"/>
          <w:szCs w:val="20"/>
        </w:rPr>
        <w:t>Lactobacillus plantarum</w:t>
      </w:r>
      <w:r w:rsidR="00D42718" w:rsidRPr="00D42718">
        <w:rPr>
          <w:rFonts w:ascii="Times New Roman" w:hAnsi="Times New Roman" w:cs="Times New Roman"/>
          <w:sz w:val="20"/>
          <w:szCs w:val="20"/>
        </w:rPr>
        <w:t xml:space="preserve">, </w:t>
      </w:r>
      <w:r w:rsidR="00D42718" w:rsidRPr="00D42718">
        <w:rPr>
          <w:rFonts w:ascii="Times New Roman" w:hAnsi="Times New Roman" w:cs="Times New Roman"/>
          <w:i/>
          <w:iCs/>
          <w:sz w:val="20"/>
          <w:szCs w:val="20"/>
        </w:rPr>
        <w:t>Lactobacillus brevis</w:t>
      </w:r>
      <w:r w:rsidR="00D42718" w:rsidRPr="00D42718">
        <w:rPr>
          <w:rFonts w:ascii="Times New Roman" w:hAnsi="Times New Roman" w:cs="Times New Roman"/>
          <w:sz w:val="20"/>
          <w:szCs w:val="20"/>
        </w:rPr>
        <w:t xml:space="preserve">, and </w:t>
      </w:r>
      <w:r w:rsidR="00D42718" w:rsidRPr="00D42718">
        <w:rPr>
          <w:rFonts w:ascii="Times New Roman" w:hAnsi="Times New Roman" w:cs="Times New Roman"/>
          <w:i/>
          <w:iCs/>
          <w:sz w:val="20"/>
          <w:szCs w:val="20"/>
        </w:rPr>
        <w:t>Pediococcus pentosaceus</w:t>
      </w:r>
      <w:r w:rsidR="00D42718" w:rsidRPr="00D42718">
        <w:rPr>
          <w:rFonts w:ascii="Times New Roman" w:hAnsi="Times New Roman" w:cs="Times New Roman"/>
          <w:sz w:val="20"/>
          <w:szCs w:val="20"/>
        </w:rPr>
        <w:t xml:space="preserve">. </w:t>
      </w:r>
    </w:p>
    <w:p w14:paraId="01ED696B" w14:textId="77777777" w:rsidR="00D42718" w:rsidRPr="00D42718" w:rsidRDefault="00D42718" w:rsidP="00D42718">
      <w:pPr>
        <w:spacing w:after="0" w:line="240" w:lineRule="auto"/>
        <w:jc w:val="both"/>
        <w:rPr>
          <w:rFonts w:ascii="Times New Roman" w:hAnsi="Times New Roman" w:cs="Times New Roman"/>
          <w:sz w:val="20"/>
          <w:szCs w:val="20"/>
        </w:rPr>
      </w:pPr>
    </w:p>
    <w:p w14:paraId="33856B91" w14:textId="06595530" w:rsidR="00A908C3" w:rsidRPr="00653396" w:rsidRDefault="00F405D0" w:rsidP="006F0695">
      <w:pPr>
        <w:spacing w:after="0" w:line="240" w:lineRule="auto"/>
        <w:jc w:val="both"/>
        <w:rPr>
          <w:rFonts w:ascii="Times New Roman" w:hAnsi="Times New Roman" w:cs="Times New Roman"/>
          <w:sz w:val="20"/>
          <w:szCs w:val="20"/>
        </w:rPr>
      </w:pPr>
      <w:r w:rsidRPr="00F405D0">
        <w:rPr>
          <w:rFonts w:ascii="Times New Roman" w:hAnsi="Times New Roman" w:cs="Times New Roman"/>
          <w:sz w:val="20"/>
          <w:szCs w:val="20"/>
        </w:rPr>
        <w:t xml:space="preserve">The special sugars and proteins of these bacteria help to fight harmful substances. These sugars are called polysaccharides and peptidoglycans, and they support the </w:t>
      </w:r>
      <w:r w:rsidR="00FC1FBD">
        <w:rPr>
          <w:rFonts w:ascii="Times New Roman" w:hAnsi="Times New Roman" w:cs="Times New Roman"/>
          <w:sz w:val="20"/>
          <w:szCs w:val="20"/>
        </w:rPr>
        <w:t>body's immune system and help</w:t>
      </w:r>
      <w:r w:rsidRPr="00F405D0">
        <w:rPr>
          <w:rFonts w:ascii="Times New Roman" w:hAnsi="Times New Roman" w:cs="Times New Roman"/>
          <w:sz w:val="20"/>
          <w:szCs w:val="20"/>
        </w:rPr>
        <w:t xml:space="preserve"> stop inflammation (Fuloria et al., 2022).</w:t>
      </w:r>
      <w:r w:rsidR="00C26C75">
        <w:rPr>
          <w:rFonts w:ascii="Times New Roman" w:hAnsi="Times New Roman" w:cs="Times New Roman"/>
          <w:sz w:val="20"/>
          <w:szCs w:val="20"/>
        </w:rPr>
        <w:t xml:space="preserve"> </w:t>
      </w:r>
      <w:r w:rsidR="00A908C3" w:rsidRPr="00653396">
        <w:rPr>
          <w:rFonts w:ascii="Times New Roman" w:hAnsi="Times New Roman" w:cs="Times New Roman"/>
          <w:sz w:val="20"/>
          <w:szCs w:val="20"/>
        </w:rPr>
        <w:t>This validation clearly shows that the old way of thinking about drinks is incorrect. For a time, people thought these drinks were just simple homemade liquors. Now we see that tribal fermentations are actually complex drinks that are good for our health. They have properties that can help our bodies in many ways. Tribal fermentations are not just drinks; they are complex bioactive nutraceuticals with functional health properties that can do a lot of good for us. (Das et al., 2019; Fuloria et al., 2022).</w:t>
      </w:r>
    </w:p>
    <w:p w14:paraId="1C313AD0" w14:textId="25F6161D" w:rsidR="004E5AA6" w:rsidRDefault="004E5AA6" w:rsidP="001F4D8B">
      <w:pPr>
        <w:spacing w:after="0" w:line="240" w:lineRule="auto"/>
        <w:jc w:val="both"/>
        <w:rPr>
          <w:rFonts w:ascii="Times New Roman" w:hAnsi="Times New Roman" w:cs="Times New Roman"/>
          <w:b/>
          <w:bCs/>
          <w:sz w:val="20"/>
          <w:szCs w:val="20"/>
        </w:rPr>
      </w:pPr>
    </w:p>
    <w:p w14:paraId="30BD71F3" w14:textId="1BEF1248" w:rsidR="00887B2E" w:rsidRDefault="001546F8" w:rsidP="00311971">
      <w:pPr>
        <w:spacing w:after="0" w:line="240" w:lineRule="auto"/>
        <w:jc w:val="both"/>
        <w:rPr>
          <w:rFonts w:ascii="Times New Roman" w:hAnsi="Times New Roman" w:cs="Times New Roman"/>
          <w:sz w:val="20"/>
          <w:szCs w:val="20"/>
        </w:rPr>
      </w:pPr>
      <w:r w:rsidRPr="00B76EDD">
        <w:rPr>
          <w:rFonts w:ascii="Times New Roman" w:hAnsi="Times New Roman" w:cs="Times New Roman"/>
          <w:sz w:val="20"/>
          <w:szCs w:val="20"/>
        </w:rPr>
        <w:t xml:space="preserve">Bioprocess Optimisation and Comparative Industrial </w:t>
      </w:r>
      <w:r w:rsidR="00B76EDD" w:rsidRPr="00B76EDD">
        <w:rPr>
          <w:rFonts w:ascii="Times New Roman" w:hAnsi="Times New Roman" w:cs="Times New Roman"/>
          <w:sz w:val="20"/>
          <w:szCs w:val="20"/>
        </w:rPr>
        <w:t xml:space="preserve">Translation: The operational behaviours of local Pitha starters were benchmarked against two </w:t>
      </w:r>
    </w:p>
    <w:p w14:paraId="3B7086A0" w14:textId="77777777" w:rsidR="00887B2E" w:rsidRDefault="00887B2E" w:rsidP="00311971">
      <w:pPr>
        <w:spacing w:after="0" w:line="240" w:lineRule="auto"/>
        <w:jc w:val="both"/>
        <w:rPr>
          <w:rFonts w:ascii="Times New Roman" w:hAnsi="Times New Roman" w:cs="Times New Roman"/>
          <w:sz w:val="20"/>
          <w:szCs w:val="20"/>
        </w:rPr>
      </w:pPr>
    </w:p>
    <w:p w14:paraId="7E363ABE" w14:textId="6EC94BDE" w:rsidR="00D2057E" w:rsidRPr="00653396" w:rsidRDefault="00B76EDD" w:rsidP="00311971">
      <w:pPr>
        <w:spacing w:after="0" w:line="240" w:lineRule="auto"/>
        <w:jc w:val="both"/>
        <w:rPr>
          <w:rFonts w:ascii="Times New Roman" w:hAnsi="Times New Roman" w:cs="Times New Roman"/>
          <w:sz w:val="20"/>
          <w:szCs w:val="20"/>
        </w:rPr>
      </w:pPr>
      <w:r w:rsidRPr="00B76EDD">
        <w:rPr>
          <w:rFonts w:ascii="Times New Roman" w:hAnsi="Times New Roman" w:cs="Times New Roman"/>
          <w:sz w:val="20"/>
          <w:szCs w:val="20"/>
        </w:rPr>
        <w:t>highly industrialised East Asian starter systems, Japanese Koji (Aspergillus oryzae) and Korean Nuruk, to develop an industrial-scale up</w:t>
      </w:r>
      <w:r w:rsidR="00DB09D1" w:rsidRPr="00B76EDD">
        <w:rPr>
          <w:rFonts w:ascii="Times New Roman" w:hAnsi="Times New Roman" w:cs="Times New Roman"/>
          <w:sz w:val="20"/>
          <w:szCs w:val="20"/>
        </w:rPr>
        <w:t xml:space="preserve"> protocol</w:t>
      </w:r>
      <w:r w:rsidR="00DB09D1" w:rsidRPr="00653396">
        <w:rPr>
          <w:rFonts w:ascii="Times New Roman" w:hAnsi="Times New Roman" w:cs="Times New Roman"/>
          <w:sz w:val="20"/>
          <w:szCs w:val="20"/>
        </w:rPr>
        <w:t>.</w:t>
      </w:r>
    </w:p>
    <w:p w14:paraId="60B1C431" w14:textId="77777777" w:rsidR="00207B49" w:rsidRDefault="00207B49" w:rsidP="001F4D8B">
      <w:pPr>
        <w:spacing w:after="0" w:line="240" w:lineRule="auto"/>
        <w:jc w:val="center"/>
        <w:rPr>
          <w:rFonts w:ascii="Times New Roman" w:hAnsi="Times New Roman" w:cs="Times New Roman"/>
          <w:b/>
          <w:bCs/>
        </w:rPr>
        <w:sectPr w:rsidR="00207B49" w:rsidSect="00030032">
          <w:type w:val="continuous"/>
          <w:pgSz w:w="11906" w:h="16838"/>
          <w:pgMar w:top="1440" w:right="1440" w:bottom="1440" w:left="1440" w:header="708" w:footer="708" w:gutter="0"/>
          <w:cols w:num="2" w:space="708"/>
          <w:docGrid w:linePitch="360"/>
        </w:sectPr>
      </w:pPr>
    </w:p>
    <w:p w14:paraId="56F0EBC6" w14:textId="77777777" w:rsidR="00207B49" w:rsidRDefault="00207B49" w:rsidP="001F4D8B">
      <w:pPr>
        <w:spacing w:after="0" w:line="240" w:lineRule="auto"/>
        <w:jc w:val="center"/>
        <w:rPr>
          <w:rFonts w:ascii="Times New Roman" w:hAnsi="Times New Roman" w:cs="Times New Roman"/>
          <w:b/>
          <w:bCs/>
        </w:rPr>
      </w:pPr>
    </w:p>
    <w:p w14:paraId="39B686E4" w14:textId="5D3D6BA9" w:rsidR="005E037B" w:rsidRPr="00AC6977" w:rsidRDefault="002644D8" w:rsidP="001F4D8B">
      <w:pPr>
        <w:spacing w:after="0" w:line="240" w:lineRule="auto"/>
        <w:jc w:val="center"/>
        <w:rPr>
          <w:rFonts w:ascii="Times New Roman" w:hAnsi="Times New Roman" w:cs="Times New Roman"/>
          <w:b/>
          <w:bCs/>
        </w:rPr>
      </w:pPr>
      <w:r>
        <w:rPr>
          <w:rFonts w:ascii="Times New Roman" w:hAnsi="Times New Roman" w:cs="Times New Roman"/>
          <w:b/>
          <w:bCs/>
        </w:rPr>
        <w:t>F</w:t>
      </w:r>
      <w:r w:rsidR="005E037B" w:rsidRPr="00AC6977">
        <w:rPr>
          <w:rFonts w:ascii="Times New Roman" w:hAnsi="Times New Roman" w:cs="Times New Roman"/>
          <w:b/>
          <w:bCs/>
        </w:rPr>
        <w:t xml:space="preserve">igure </w:t>
      </w:r>
      <w:r w:rsidR="00990F35">
        <w:rPr>
          <w:rFonts w:ascii="Times New Roman" w:hAnsi="Times New Roman" w:cs="Times New Roman"/>
          <w:b/>
          <w:bCs/>
        </w:rPr>
        <w:t>3</w:t>
      </w:r>
      <w:r w:rsidR="005E037B" w:rsidRPr="00AC6977">
        <w:rPr>
          <w:rFonts w:ascii="Times New Roman" w:hAnsi="Times New Roman" w:cs="Times New Roman"/>
          <w:b/>
          <w:bCs/>
        </w:rPr>
        <w:t xml:space="preserve"> </w:t>
      </w:r>
      <w:r w:rsidR="00AC6977" w:rsidRPr="00AC6977">
        <w:rPr>
          <w:rFonts w:ascii="Times New Roman" w:hAnsi="Times New Roman" w:cs="Times New Roman"/>
          <w:b/>
          <w:bCs/>
        </w:rPr>
        <w:t>Comparative</w:t>
      </w:r>
      <w:r w:rsidR="00646440" w:rsidRPr="00AC6977">
        <w:rPr>
          <w:rFonts w:ascii="Times New Roman" w:hAnsi="Times New Roman" w:cs="Times New Roman"/>
          <w:b/>
          <w:bCs/>
        </w:rPr>
        <w:t xml:space="preserve"> Overview </w:t>
      </w:r>
    </w:p>
    <w:p w14:paraId="7F644959" w14:textId="77777777" w:rsidR="00207B49" w:rsidRDefault="00207B49" w:rsidP="001F4D8B">
      <w:pPr>
        <w:spacing w:line="240" w:lineRule="auto"/>
        <w:jc w:val="center"/>
        <w:rPr>
          <w:rFonts w:ascii="Times New Roman" w:hAnsi="Times New Roman" w:cs="Times New Roman"/>
        </w:rPr>
        <w:sectPr w:rsidR="00207B49" w:rsidSect="00207B49">
          <w:type w:val="continuous"/>
          <w:pgSz w:w="11906" w:h="16838"/>
          <w:pgMar w:top="1440" w:right="1440" w:bottom="1440" w:left="1440" w:header="708" w:footer="708" w:gutter="0"/>
          <w:cols w:space="708"/>
          <w:docGrid w:linePitch="360"/>
        </w:sectPr>
      </w:pPr>
    </w:p>
    <w:p w14:paraId="455ECB80" w14:textId="77777777" w:rsidR="00207B49" w:rsidRDefault="006C0BBA" w:rsidP="001F4D8B">
      <w:pPr>
        <w:spacing w:line="240" w:lineRule="auto"/>
        <w:jc w:val="center"/>
        <w:rPr>
          <w:rFonts w:ascii="Times New Roman" w:hAnsi="Times New Roman" w:cs="Times New Roman"/>
        </w:rPr>
        <w:sectPr w:rsidR="00207B49" w:rsidSect="00207B49">
          <w:type w:val="continuous"/>
          <w:pgSz w:w="11906" w:h="16838"/>
          <w:pgMar w:top="1440" w:right="1440" w:bottom="1440" w:left="1440" w:header="708" w:footer="708" w:gutter="0"/>
          <w:cols w:space="708"/>
          <w:docGrid w:linePitch="360"/>
        </w:sectPr>
      </w:pPr>
      <w:r>
        <w:rPr>
          <w:rFonts w:ascii="Times New Roman" w:hAnsi="Times New Roman" w:cs="Times New Roman"/>
          <w:noProof/>
        </w:rPr>
        <w:drawing>
          <wp:inline distT="0" distB="0" distL="0" distR="0" wp14:anchorId="2271D7F1" wp14:editId="6FBA199D">
            <wp:extent cx="5920740" cy="2606040"/>
            <wp:effectExtent l="0" t="0" r="3810" b="3810"/>
            <wp:docPr id="20240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0760" name="Picture 202400760"/>
                    <pic:cNvPicPr/>
                  </pic:nvPicPr>
                  <pic:blipFill rotWithShape="1">
                    <a:blip r:embed="rId21" cstate="print">
                      <a:extLst>
                        <a:ext uri="{28A0092B-C50C-407E-A947-70E740481C1C}">
                          <a14:useLocalDpi xmlns:a14="http://schemas.microsoft.com/office/drawing/2010/main" val="0"/>
                        </a:ext>
                      </a:extLst>
                    </a:blip>
                    <a:srcRect b="11524"/>
                    <a:stretch>
                      <a:fillRect/>
                    </a:stretch>
                  </pic:blipFill>
                  <pic:spPr bwMode="auto">
                    <a:xfrm>
                      <a:off x="0" y="0"/>
                      <a:ext cx="5933392" cy="2611609"/>
                    </a:xfrm>
                    <a:prstGeom prst="rect">
                      <a:avLst/>
                    </a:prstGeom>
                    <a:ln>
                      <a:noFill/>
                    </a:ln>
                    <a:extLst>
                      <a:ext uri="{53640926-AAD7-44D8-BBD7-CCE9431645EC}">
                        <a14:shadowObscured xmlns:a14="http://schemas.microsoft.com/office/drawing/2010/main"/>
                      </a:ext>
                    </a:extLst>
                  </pic:spPr>
                </pic:pic>
              </a:graphicData>
            </a:graphic>
          </wp:inline>
        </w:drawing>
      </w:r>
    </w:p>
    <w:p w14:paraId="65E27495" w14:textId="448C0911" w:rsidR="00AC6977" w:rsidRPr="00ED576E" w:rsidRDefault="00AC6977" w:rsidP="004E5AA6">
      <w:pPr>
        <w:spacing w:after="0" w:line="240" w:lineRule="auto"/>
        <w:jc w:val="center"/>
        <w:rPr>
          <w:rFonts w:ascii="Times New Roman" w:hAnsi="Times New Roman" w:cs="Times New Roman"/>
          <w:sz w:val="18"/>
          <w:szCs w:val="18"/>
        </w:rPr>
      </w:pPr>
      <w:r w:rsidRPr="00ED576E">
        <w:rPr>
          <w:rFonts w:ascii="Times New Roman" w:hAnsi="Times New Roman" w:cs="Times New Roman"/>
          <w:b/>
          <w:bCs/>
          <w:sz w:val="18"/>
          <w:szCs w:val="18"/>
        </w:rPr>
        <w:t>Source:</w:t>
      </w:r>
      <w:r w:rsidRPr="00ED576E">
        <w:rPr>
          <w:rFonts w:ascii="Times New Roman" w:hAnsi="Times New Roman" w:cs="Times New Roman"/>
          <w:sz w:val="18"/>
          <w:szCs w:val="18"/>
        </w:rPr>
        <w:t xml:space="preserve"> </w:t>
      </w:r>
      <w:r w:rsidRPr="00ED576E">
        <w:rPr>
          <w:rFonts w:ascii="Times New Roman" w:hAnsi="Times New Roman" w:cs="Times New Roman"/>
          <w:i/>
          <w:iCs/>
          <w:sz w:val="18"/>
          <w:szCs w:val="18"/>
        </w:rPr>
        <w:t>Compiled by the Author</w:t>
      </w:r>
      <w:r w:rsidR="00A423C7" w:rsidRPr="00ED576E">
        <w:rPr>
          <w:rFonts w:ascii="Times New Roman" w:hAnsi="Times New Roman" w:cs="Times New Roman"/>
          <w:i/>
          <w:iCs/>
          <w:sz w:val="18"/>
          <w:szCs w:val="18"/>
        </w:rPr>
        <w:t xml:space="preserve"> using Chat</w:t>
      </w:r>
      <w:r w:rsidR="009C079E" w:rsidRPr="00ED576E">
        <w:rPr>
          <w:rFonts w:ascii="Times New Roman" w:hAnsi="Times New Roman" w:cs="Times New Roman"/>
          <w:i/>
          <w:iCs/>
          <w:sz w:val="18"/>
          <w:szCs w:val="18"/>
        </w:rPr>
        <w:t>GPT AI</w:t>
      </w:r>
    </w:p>
    <w:p w14:paraId="09823050" w14:textId="77777777" w:rsidR="006F0695" w:rsidRDefault="006F0695" w:rsidP="005140A1">
      <w:pPr>
        <w:spacing w:after="0" w:line="240" w:lineRule="auto"/>
        <w:jc w:val="both"/>
        <w:rPr>
          <w:rFonts w:ascii="Times New Roman" w:hAnsi="Times New Roman" w:cs="Times New Roman"/>
          <w:sz w:val="20"/>
          <w:szCs w:val="20"/>
        </w:rPr>
        <w:sectPr w:rsidR="006F0695" w:rsidSect="006F0695">
          <w:type w:val="continuous"/>
          <w:pgSz w:w="11906" w:h="16838"/>
          <w:pgMar w:top="1440" w:right="1440" w:bottom="1440" w:left="1440" w:header="708" w:footer="708" w:gutter="0"/>
          <w:cols w:space="708"/>
          <w:docGrid w:linePitch="360"/>
        </w:sectPr>
      </w:pPr>
    </w:p>
    <w:p w14:paraId="0334508C" w14:textId="77777777" w:rsidR="006F0695" w:rsidRDefault="006F0695" w:rsidP="005140A1">
      <w:pPr>
        <w:spacing w:after="0" w:line="240" w:lineRule="auto"/>
        <w:jc w:val="both"/>
        <w:rPr>
          <w:rFonts w:ascii="Times New Roman" w:hAnsi="Times New Roman" w:cs="Times New Roman"/>
          <w:sz w:val="20"/>
          <w:szCs w:val="20"/>
        </w:rPr>
      </w:pPr>
    </w:p>
    <w:p w14:paraId="4B18A639" w14:textId="16AD8ED2" w:rsidR="006F0695" w:rsidRDefault="00B76EDD" w:rsidP="005140A1">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1B4CDD7E" wp14:editId="5991B423">
                <wp:simplePos x="0" y="0"/>
                <wp:positionH relativeFrom="column">
                  <wp:posOffset>2743200</wp:posOffset>
                </wp:positionH>
                <wp:positionV relativeFrom="paragraph">
                  <wp:posOffset>99695</wp:posOffset>
                </wp:positionV>
                <wp:extent cx="289560" cy="472440"/>
                <wp:effectExtent l="0" t="38100" r="34290" b="60960"/>
                <wp:wrapNone/>
                <wp:docPr id="1568389812" name="Arrow: Right 1"/>
                <wp:cNvGraphicFramePr/>
                <a:graphic xmlns:a="http://schemas.openxmlformats.org/drawingml/2006/main">
                  <a:graphicData uri="http://schemas.microsoft.com/office/word/2010/wordprocessingShape">
                    <wps:wsp>
                      <wps:cNvSpPr/>
                      <wps:spPr>
                        <a:xfrm>
                          <a:off x="0" y="0"/>
                          <a:ext cx="289560" cy="472440"/>
                        </a:xfrm>
                        <a:prstGeom prst="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79FD6" id="Arrow: Right 1" o:spid="_x0000_s1026" type="#_x0000_t13" style="position:absolute;margin-left:3in;margin-top:7.85pt;width:22.8pt;height:3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" adj="10800" fillcolor="#5b9bd5 [3208]" strokecolor="#091723 [488]" strokeweight="1pt"/>
            </w:pict>
          </mc:Fallback>
        </mc:AlternateContent>
      </w:r>
      <w:r w:rsidR="002A3367" w:rsidRPr="00011BDD">
        <w:rPr>
          <w:rFonts w:ascii="Times New Roman" w:hAnsi="Times New Roman" w:cs="Times New Roman"/>
          <w:sz w:val="20"/>
          <w:szCs w:val="20"/>
        </w:rPr>
        <w:t xml:space="preserve">The meta-synthesis system uses a method to help </w:t>
      </w:r>
      <w:r w:rsidR="002644D8" w:rsidRPr="00011BDD">
        <w:rPr>
          <w:rFonts w:ascii="Times New Roman" w:hAnsi="Times New Roman" w:cs="Times New Roman"/>
          <w:sz w:val="20"/>
          <w:szCs w:val="20"/>
        </w:rPr>
        <w:t>fungi convert starch into a product before they start producing</w:t>
      </w:r>
      <w:r w:rsidR="002A3367" w:rsidRPr="00011BDD">
        <w:rPr>
          <w:rFonts w:ascii="Times New Roman" w:hAnsi="Times New Roman" w:cs="Times New Roman"/>
          <w:sz w:val="20"/>
          <w:szCs w:val="20"/>
        </w:rPr>
        <w:t xml:space="preserve"> alcohol. Das &amp; Deka, 2012; Tippsy, 2023). Nevertheless, critical divergences account for </w:t>
      </w:r>
    </w:p>
    <w:p w14:paraId="23F46002" w14:textId="77777777" w:rsidR="006F0695" w:rsidRDefault="006F0695" w:rsidP="005140A1">
      <w:pPr>
        <w:spacing w:after="0" w:line="240" w:lineRule="auto"/>
        <w:jc w:val="both"/>
        <w:rPr>
          <w:rFonts w:ascii="Times New Roman" w:hAnsi="Times New Roman" w:cs="Times New Roman"/>
          <w:sz w:val="20"/>
          <w:szCs w:val="20"/>
        </w:rPr>
      </w:pPr>
    </w:p>
    <w:p w14:paraId="27CB602B" w14:textId="77777777" w:rsidR="006F0695" w:rsidRDefault="006F0695" w:rsidP="005140A1">
      <w:pPr>
        <w:spacing w:after="0" w:line="240" w:lineRule="auto"/>
        <w:jc w:val="both"/>
        <w:rPr>
          <w:rFonts w:ascii="Times New Roman" w:hAnsi="Times New Roman" w:cs="Times New Roman"/>
          <w:sz w:val="20"/>
          <w:szCs w:val="20"/>
        </w:rPr>
      </w:pPr>
    </w:p>
    <w:p w14:paraId="3A700794" w14:textId="029C8D99" w:rsidR="00AC6977" w:rsidRPr="00011BDD" w:rsidRDefault="00B76EDD" w:rsidP="005140A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w:t>
      </w:r>
      <w:r w:rsidR="002A3367" w:rsidRPr="00011BDD">
        <w:rPr>
          <w:rFonts w:ascii="Times New Roman" w:hAnsi="Times New Roman" w:cs="Times New Roman"/>
          <w:sz w:val="20"/>
          <w:szCs w:val="20"/>
        </w:rPr>
        <w:t xml:space="preserve"> persistent scale-up challenges faced by local Pitha starters </w:t>
      </w:r>
      <w:r w:rsidR="008C1967" w:rsidRPr="00011BDD">
        <w:rPr>
          <w:rFonts w:ascii="Times New Roman" w:hAnsi="Times New Roman" w:cs="Times New Roman"/>
          <w:sz w:val="20"/>
          <w:szCs w:val="20"/>
        </w:rPr>
        <w:t>(Das &amp; Deka, 2012; Tippsy, 2023). Nevertheless, critical divergences explain the persistent scale-up challenges encountered by local Pitha starters</w:t>
      </w:r>
      <w:r w:rsidR="002165B4" w:rsidRPr="00011BDD">
        <w:rPr>
          <w:rFonts w:ascii="Times New Roman" w:hAnsi="Times New Roman" w:cs="Times New Roman"/>
          <w:sz w:val="20"/>
          <w:szCs w:val="20"/>
        </w:rPr>
        <w:t xml:space="preserve">: </w:t>
      </w:r>
    </w:p>
    <w:p w14:paraId="11BB90C2" w14:textId="77777777" w:rsidR="00207B49" w:rsidRDefault="00207B49" w:rsidP="001D364A">
      <w:pPr>
        <w:spacing w:line="240" w:lineRule="auto"/>
        <w:jc w:val="center"/>
        <w:rPr>
          <w:rFonts w:ascii="Times New Roman" w:hAnsi="Times New Roman" w:cs="Times New Roman"/>
          <w:b/>
          <w:bCs/>
        </w:rPr>
        <w:sectPr w:rsidR="00207B49" w:rsidSect="00030032">
          <w:type w:val="continuous"/>
          <w:pgSz w:w="11906" w:h="16838"/>
          <w:pgMar w:top="1440" w:right="1440" w:bottom="1440" w:left="1440" w:header="708" w:footer="708" w:gutter="0"/>
          <w:cols w:num="2" w:space="708"/>
          <w:docGrid w:linePitch="360"/>
        </w:sectPr>
      </w:pPr>
    </w:p>
    <w:p w14:paraId="7E2BD340" w14:textId="691A183E" w:rsidR="000A711D" w:rsidRPr="00EE1DD6" w:rsidRDefault="000A711D" w:rsidP="00B76EDD">
      <w:pPr>
        <w:spacing w:after="0" w:line="240" w:lineRule="auto"/>
        <w:jc w:val="center"/>
        <w:rPr>
          <w:rFonts w:ascii="Times New Roman" w:hAnsi="Times New Roman" w:cs="Times New Roman"/>
          <w:b/>
          <w:bCs/>
        </w:rPr>
      </w:pPr>
      <w:r w:rsidRPr="00EE1DD6">
        <w:rPr>
          <w:rFonts w:ascii="Times New Roman" w:hAnsi="Times New Roman" w:cs="Times New Roman"/>
          <w:b/>
          <w:bCs/>
        </w:rPr>
        <w:lastRenderedPageBreak/>
        <w:t xml:space="preserve">Table 2 </w:t>
      </w:r>
      <w:r w:rsidR="00EE1DD6" w:rsidRPr="00EE1DD6">
        <w:rPr>
          <w:rFonts w:ascii="Times New Roman" w:hAnsi="Times New Roman" w:cs="Times New Roman"/>
          <w:b/>
          <w:bCs/>
        </w:rPr>
        <w:t>Comparative Analysis of Outputs</w:t>
      </w:r>
    </w:p>
    <w:p w14:paraId="08D69D90" w14:textId="77777777" w:rsidR="00207B49" w:rsidRDefault="00207B49" w:rsidP="001D364A">
      <w:pPr>
        <w:jc w:val="center"/>
        <w:rPr>
          <w:rStyle w:val="Strong"/>
          <w:rFonts w:ascii="Times New Roman" w:hAnsi="Times New Roman" w:cs="Times New Roman"/>
          <w:sz w:val="18"/>
          <w:szCs w:val="18"/>
        </w:rPr>
        <w:sectPr w:rsidR="00207B49" w:rsidSect="00207B49">
          <w:type w:val="continuous"/>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1697"/>
        <w:gridCol w:w="2411"/>
        <w:gridCol w:w="2268"/>
        <w:gridCol w:w="2640"/>
      </w:tblGrid>
      <w:tr w:rsidR="000A711D" w:rsidRPr="00653396" w14:paraId="5E44212E" w14:textId="77777777" w:rsidTr="00B80199">
        <w:tc>
          <w:tcPr>
            <w:tcW w:w="941" w:type="pct"/>
            <w:vAlign w:val="center"/>
          </w:tcPr>
          <w:p w14:paraId="0A936AE9" w14:textId="57A14D58" w:rsidR="000A711D" w:rsidRPr="00653396" w:rsidRDefault="000A711D" w:rsidP="00207B49">
            <w:pPr>
              <w:jc w:val="center"/>
              <w:rPr>
                <w:rFonts w:ascii="Times New Roman" w:hAnsi="Times New Roman" w:cs="Times New Roman"/>
                <w:sz w:val="18"/>
                <w:szCs w:val="18"/>
              </w:rPr>
            </w:pPr>
            <w:r w:rsidRPr="00653396">
              <w:rPr>
                <w:rStyle w:val="Strong"/>
                <w:rFonts w:ascii="Times New Roman" w:hAnsi="Times New Roman" w:cs="Times New Roman"/>
                <w:sz w:val="18"/>
                <w:szCs w:val="18"/>
              </w:rPr>
              <w:t>Bioprocess Parameter</w:t>
            </w:r>
          </w:p>
        </w:tc>
        <w:tc>
          <w:tcPr>
            <w:tcW w:w="1337" w:type="pct"/>
            <w:vAlign w:val="center"/>
          </w:tcPr>
          <w:p w14:paraId="547924EA" w14:textId="62211251" w:rsidR="000A711D" w:rsidRPr="00653396" w:rsidRDefault="000A711D" w:rsidP="00207B49">
            <w:pPr>
              <w:jc w:val="center"/>
              <w:rPr>
                <w:rFonts w:ascii="Times New Roman" w:hAnsi="Times New Roman" w:cs="Times New Roman"/>
                <w:sz w:val="18"/>
                <w:szCs w:val="18"/>
              </w:rPr>
            </w:pPr>
            <w:r w:rsidRPr="00653396">
              <w:rPr>
                <w:rStyle w:val="Strong"/>
                <w:rFonts w:ascii="Times New Roman" w:hAnsi="Times New Roman" w:cs="Times New Roman"/>
                <w:sz w:val="18"/>
                <w:szCs w:val="18"/>
              </w:rPr>
              <w:t>Japanese Koji System</w:t>
            </w:r>
          </w:p>
        </w:tc>
        <w:tc>
          <w:tcPr>
            <w:tcW w:w="1258" w:type="pct"/>
            <w:vAlign w:val="center"/>
          </w:tcPr>
          <w:p w14:paraId="468A0EA8" w14:textId="29C8961A" w:rsidR="000A711D" w:rsidRPr="00653396" w:rsidRDefault="000A711D" w:rsidP="00207B49">
            <w:pPr>
              <w:jc w:val="center"/>
              <w:rPr>
                <w:rFonts w:ascii="Times New Roman" w:hAnsi="Times New Roman" w:cs="Times New Roman"/>
                <w:sz w:val="18"/>
                <w:szCs w:val="18"/>
              </w:rPr>
            </w:pPr>
            <w:r w:rsidRPr="00653396">
              <w:rPr>
                <w:rStyle w:val="Strong"/>
                <w:rFonts w:ascii="Times New Roman" w:hAnsi="Times New Roman" w:cs="Times New Roman"/>
                <w:sz w:val="18"/>
                <w:szCs w:val="18"/>
              </w:rPr>
              <w:t>Korean Nuruk System</w:t>
            </w:r>
          </w:p>
        </w:tc>
        <w:tc>
          <w:tcPr>
            <w:tcW w:w="1465" w:type="pct"/>
            <w:vAlign w:val="center"/>
          </w:tcPr>
          <w:p w14:paraId="39612138" w14:textId="0F3333C6" w:rsidR="000A711D" w:rsidRPr="00653396" w:rsidRDefault="000A711D" w:rsidP="00207B49">
            <w:pPr>
              <w:jc w:val="center"/>
              <w:rPr>
                <w:rFonts w:ascii="Times New Roman" w:hAnsi="Times New Roman" w:cs="Times New Roman"/>
                <w:sz w:val="18"/>
                <w:szCs w:val="18"/>
              </w:rPr>
            </w:pPr>
            <w:r w:rsidRPr="00653396">
              <w:rPr>
                <w:rStyle w:val="Strong"/>
                <w:rFonts w:ascii="Times New Roman" w:hAnsi="Times New Roman" w:cs="Times New Roman"/>
                <w:sz w:val="18"/>
                <w:szCs w:val="18"/>
              </w:rPr>
              <w:t>Assamese Pitha System</w:t>
            </w:r>
          </w:p>
        </w:tc>
      </w:tr>
      <w:tr w:rsidR="00753B9D" w:rsidRPr="00653396" w14:paraId="20DF66EA" w14:textId="77777777" w:rsidTr="00B80199">
        <w:tc>
          <w:tcPr>
            <w:tcW w:w="941" w:type="pct"/>
          </w:tcPr>
          <w:p w14:paraId="76B9D89E" w14:textId="16AB3EB0" w:rsidR="00753B9D" w:rsidRPr="00653396" w:rsidRDefault="00753B9D" w:rsidP="00207B49">
            <w:pPr>
              <w:jc w:val="center"/>
              <w:rPr>
                <w:rFonts w:ascii="Times New Roman" w:hAnsi="Times New Roman" w:cs="Times New Roman"/>
                <w:sz w:val="18"/>
                <w:szCs w:val="18"/>
              </w:rPr>
            </w:pPr>
            <w:r w:rsidRPr="00653396">
              <w:rPr>
                <w:rFonts w:ascii="Times New Roman" w:hAnsi="Times New Roman" w:cs="Times New Roman"/>
                <w:sz w:val="18"/>
                <w:szCs w:val="18"/>
              </w:rPr>
              <w:t>Inoculation Method</w:t>
            </w:r>
          </w:p>
        </w:tc>
        <w:tc>
          <w:tcPr>
            <w:tcW w:w="1337" w:type="pct"/>
          </w:tcPr>
          <w:p w14:paraId="52B82FB7" w14:textId="4290B19E" w:rsidR="00753B9D" w:rsidRPr="00653396" w:rsidRDefault="00753B9D" w:rsidP="00207B49">
            <w:pPr>
              <w:jc w:val="center"/>
              <w:rPr>
                <w:rFonts w:ascii="Times New Roman" w:hAnsi="Times New Roman" w:cs="Times New Roman"/>
                <w:sz w:val="18"/>
                <w:szCs w:val="18"/>
              </w:rPr>
            </w:pPr>
            <w:r w:rsidRPr="00653396">
              <w:rPr>
                <w:rFonts w:ascii="Times New Roman" w:hAnsi="Times New Roman" w:cs="Times New Roman"/>
                <w:sz w:val="18"/>
                <w:szCs w:val="18"/>
              </w:rPr>
              <w:t>Sterile, monoculture spore seeding (Aspergillus oryzae) (Tippsy, 2023).</w:t>
            </w:r>
          </w:p>
        </w:tc>
        <w:tc>
          <w:tcPr>
            <w:tcW w:w="1258" w:type="pct"/>
          </w:tcPr>
          <w:p w14:paraId="7F0B654E" w14:textId="43FABF68" w:rsidR="00753B9D" w:rsidRPr="00653396" w:rsidRDefault="00753B9D" w:rsidP="00207B49">
            <w:pPr>
              <w:jc w:val="center"/>
              <w:rPr>
                <w:rFonts w:ascii="Times New Roman" w:hAnsi="Times New Roman" w:cs="Times New Roman"/>
                <w:sz w:val="18"/>
                <w:szCs w:val="18"/>
              </w:rPr>
            </w:pPr>
            <w:r w:rsidRPr="00653396">
              <w:rPr>
                <w:rFonts w:ascii="Times New Roman" w:hAnsi="Times New Roman" w:cs="Times New Roman"/>
                <w:sz w:val="18"/>
                <w:szCs w:val="18"/>
              </w:rPr>
              <w:t>Open-floor, spontaneous ambient microflora capture (Pei et al., 2022).</w:t>
            </w:r>
          </w:p>
        </w:tc>
        <w:tc>
          <w:tcPr>
            <w:tcW w:w="1465" w:type="pct"/>
          </w:tcPr>
          <w:p w14:paraId="733A5BC4" w14:textId="058DDDCA" w:rsidR="00753B9D" w:rsidRPr="00653396" w:rsidRDefault="00753B9D" w:rsidP="00207B49">
            <w:pPr>
              <w:jc w:val="center"/>
              <w:rPr>
                <w:rFonts w:ascii="Times New Roman" w:hAnsi="Times New Roman" w:cs="Times New Roman"/>
                <w:sz w:val="18"/>
                <w:szCs w:val="18"/>
              </w:rPr>
            </w:pPr>
            <w:r w:rsidRPr="00653396">
              <w:rPr>
                <w:rFonts w:ascii="Times New Roman" w:hAnsi="Times New Roman" w:cs="Times New Roman"/>
                <w:sz w:val="18"/>
                <w:szCs w:val="18"/>
              </w:rPr>
              <w:t>Manual incorporation of selective botanical powders into rice dough (Das &amp; Deka, 2012; Rawat et al., 2021).</w:t>
            </w:r>
          </w:p>
        </w:tc>
      </w:tr>
      <w:tr w:rsidR="004F46E5" w:rsidRPr="00653396" w14:paraId="12AB1FE2" w14:textId="77777777" w:rsidTr="00B80199">
        <w:tc>
          <w:tcPr>
            <w:tcW w:w="941" w:type="pct"/>
          </w:tcPr>
          <w:p w14:paraId="357BEA76" w14:textId="30F6C4C9" w:rsidR="004F46E5" w:rsidRPr="00653396" w:rsidRDefault="004F46E5" w:rsidP="00207B49">
            <w:pPr>
              <w:jc w:val="center"/>
              <w:rPr>
                <w:rFonts w:ascii="Times New Roman" w:hAnsi="Times New Roman" w:cs="Times New Roman"/>
                <w:sz w:val="18"/>
                <w:szCs w:val="18"/>
              </w:rPr>
            </w:pPr>
            <w:r w:rsidRPr="00653396">
              <w:rPr>
                <w:rFonts w:ascii="Times New Roman" w:hAnsi="Times New Roman" w:cs="Times New Roman"/>
                <w:sz w:val="18"/>
                <w:szCs w:val="18"/>
              </w:rPr>
              <w:t>Microbial Complexity</w:t>
            </w:r>
          </w:p>
        </w:tc>
        <w:tc>
          <w:tcPr>
            <w:tcW w:w="1337" w:type="pct"/>
          </w:tcPr>
          <w:p w14:paraId="6DDE8755" w14:textId="05E81C14" w:rsidR="004F46E5" w:rsidRPr="00653396" w:rsidRDefault="004F46E5" w:rsidP="00207B49">
            <w:pPr>
              <w:jc w:val="center"/>
              <w:rPr>
                <w:rFonts w:ascii="Times New Roman" w:hAnsi="Times New Roman" w:cs="Times New Roman"/>
                <w:sz w:val="18"/>
                <w:szCs w:val="18"/>
              </w:rPr>
            </w:pPr>
            <w:r w:rsidRPr="00653396">
              <w:rPr>
                <w:rFonts w:ascii="Times New Roman" w:hAnsi="Times New Roman" w:cs="Times New Roman"/>
                <w:sz w:val="18"/>
                <w:szCs w:val="18"/>
              </w:rPr>
              <w:t>Absolute homogeneity; single-strain dominance (Tippsy, 2023).</w:t>
            </w:r>
          </w:p>
        </w:tc>
        <w:tc>
          <w:tcPr>
            <w:tcW w:w="1258" w:type="pct"/>
          </w:tcPr>
          <w:p w14:paraId="0CFAB940" w14:textId="3489E290" w:rsidR="004F46E5" w:rsidRPr="00653396" w:rsidRDefault="004F46E5" w:rsidP="00207B49">
            <w:pPr>
              <w:jc w:val="center"/>
              <w:rPr>
                <w:rFonts w:ascii="Times New Roman" w:hAnsi="Times New Roman" w:cs="Times New Roman"/>
                <w:sz w:val="18"/>
                <w:szCs w:val="18"/>
              </w:rPr>
            </w:pPr>
            <w:r w:rsidRPr="00653396">
              <w:rPr>
                <w:rFonts w:ascii="Times New Roman" w:hAnsi="Times New Roman" w:cs="Times New Roman"/>
                <w:sz w:val="18"/>
                <w:szCs w:val="18"/>
              </w:rPr>
              <w:t>Moderate heterogeneity; wild environmental fungi and yeasts (Pei et al., 2022).</w:t>
            </w:r>
          </w:p>
        </w:tc>
        <w:tc>
          <w:tcPr>
            <w:tcW w:w="1465" w:type="pct"/>
          </w:tcPr>
          <w:p w14:paraId="09A178FC" w14:textId="509EE2E1" w:rsidR="004F46E5" w:rsidRPr="00653396" w:rsidRDefault="004F46E5" w:rsidP="00207B49">
            <w:pPr>
              <w:jc w:val="center"/>
              <w:rPr>
                <w:rFonts w:ascii="Times New Roman" w:hAnsi="Times New Roman" w:cs="Times New Roman"/>
                <w:sz w:val="18"/>
                <w:szCs w:val="18"/>
              </w:rPr>
            </w:pPr>
            <w:r w:rsidRPr="00653396">
              <w:rPr>
                <w:rFonts w:ascii="Times New Roman" w:hAnsi="Times New Roman" w:cs="Times New Roman"/>
                <w:sz w:val="18"/>
                <w:szCs w:val="18"/>
              </w:rPr>
              <w:t xml:space="preserve">High heterogeneity; complex symbiosis of </w:t>
            </w:r>
            <w:r w:rsidR="002644D8" w:rsidRPr="00653396">
              <w:rPr>
                <w:rFonts w:ascii="Times New Roman" w:hAnsi="Times New Roman" w:cs="Times New Roman"/>
                <w:sz w:val="18"/>
                <w:szCs w:val="18"/>
              </w:rPr>
              <w:t>moulds</w:t>
            </w:r>
            <w:r w:rsidRPr="00653396">
              <w:rPr>
                <w:rFonts w:ascii="Times New Roman" w:hAnsi="Times New Roman" w:cs="Times New Roman"/>
                <w:sz w:val="18"/>
                <w:szCs w:val="18"/>
              </w:rPr>
              <w:t>, yeasts, and LAB (Das et al., 2019; Das &amp; Deka, 2012).</w:t>
            </w:r>
          </w:p>
        </w:tc>
      </w:tr>
      <w:tr w:rsidR="00AC16AD" w:rsidRPr="00653396" w14:paraId="22B61383" w14:textId="77777777" w:rsidTr="00B80199">
        <w:tc>
          <w:tcPr>
            <w:tcW w:w="941" w:type="pct"/>
          </w:tcPr>
          <w:p w14:paraId="49F2EDC1" w14:textId="429463A9" w:rsidR="00AC16AD" w:rsidRPr="00653396" w:rsidRDefault="006E5299" w:rsidP="00207B49">
            <w:pPr>
              <w:jc w:val="center"/>
              <w:rPr>
                <w:rFonts w:ascii="Times New Roman" w:hAnsi="Times New Roman" w:cs="Times New Roman"/>
                <w:sz w:val="18"/>
                <w:szCs w:val="18"/>
              </w:rPr>
            </w:pPr>
            <w:r w:rsidRPr="00653396">
              <w:rPr>
                <w:rFonts w:ascii="Times New Roman" w:hAnsi="Times New Roman" w:cs="Times New Roman"/>
                <w:sz w:val="18"/>
                <w:szCs w:val="18"/>
              </w:rPr>
              <w:t>Process Control</w:t>
            </w:r>
          </w:p>
        </w:tc>
        <w:tc>
          <w:tcPr>
            <w:tcW w:w="1337" w:type="pct"/>
          </w:tcPr>
          <w:p w14:paraId="0797D7FD" w14:textId="251E5503" w:rsidR="00AC16AD" w:rsidRPr="00653396" w:rsidRDefault="00421B94" w:rsidP="00207B49">
            <w:pPr>
              <w:jc w:val="center"/>
              <w:rPr>
                <w:rFonts w:ascii="Times New Roman" w:hAnsi="Times New Roman" w:cs="Times New Roman"/>
                <w:sz w:val="18"/>
                <w:szCs w:val="18"/>
              </w:rPr>
            </w:pPr>
            <w:r w:rsidRPr="00653396">
              <w:rPr>
                <w:rFonts w:ascii="Times New Roman" w:hAnsi="Times New Roman" w:cs="Times New Roman"/>
                <w:sz w:val="18"/>
                <w:szCs w:val="18"/>
              </w:rPr>
              <w:t>Automatic control of temperature (30–40°C) and moisture levels (National Tax Agency, 2020).</w:t>
            </w:r>
          </w:p>
        </w:tc>
        <w:tc>
          <w:tcPr>
            <w:tcW w:w="1258" w:type="pct"/>
          </w:tcPr>
          <w:p w14:paraId="6745B456" w14:textId="5CD95D4B" w:rsidR="00AC16AD" w:rsidRPr="00653396" w:rsidRDefault="00F56F6A" w:rsidP="00207B49">
            <w:pPr>
              <w:jc w:val="center"/>
              <w:rPr>
                <w:rFonts w:ascii="Times New Roman" w:hAnsi="Times New Roman" w:cs="Times New Roman"/>
                <w:sz w:val="18"/>
                <w:szCs w:val="18"/>
              </w:rPr>
            </w:pPr>
            <w:r w:rsidRPr="00653396">
              <w:rPr>
                <w:rFonts w:ascii="Times New Roman" w:hAnsi="Times New Roman" w:cs="Times New Roman"/>
                <w:sz w:val="18"/>
                <w:szCs w:val="18"/>
              </w:rPr>
              <w:t>Semi-controlled humidity rooms using traditional straw arrays (Pei et al., 2022).</w:t>
            </w:r>
          </w:p>
        </w:tc>
        <w:tc>
          <w:tcPr>
            <w:tcW w:w="1465" w:type="pct"/>
          </w:tcPr>
          <w:p w14:paraId="7824469E" w14:textId="59E3171E" w:rsidR="00AC16AD" w:rsidRPr="00653396" w:rsidRDefault="00994B68" w:rsidP="00207B49">
            <w:pPr>
              <w:jc w:val="center"/>
              <w:rPr>
                <w:rFonts w:ascii="Times New Roman" w:hAnsi="Times New Roman" w:cs="Times New Roman"/>
                <w:sz w:val="18"/>
                <w:szCs w:val="18"/>
              </w:rPr>
            </w:pPr>
            <w:r w:rsidRPr="00653396">
              <w:rPr>
                <w:rFonts w:ascii="Times New Roman" w:hAnsi="Times New Roman" w:cs="Times New Roman"/>
                <w:sz w:val="18"/>
                <w:szCs w:val="18"/>
              </w:rPr>
              <w:t>Ambient domestic incubation near traditional fireplaces (Nezine, 2020; Rawat et al., 2021).</w:t>
            </w:r>
          </w:p>
        </w:tc>
      </w:tr>
      <w:tr w:rsidR="00994B68" w:rsidRPr="00653396" w14:paraId="1461380D" w14:textId="77777777" w:rsidTr="00B80199">
        <w:tc>
          <w:tcPr>
            <w:tcW w:w="941" w:type="pct"/>
          </w:tcPr>
          <w:p w14:paraId="3E1742A9" w14:textId="407C13FC" w:rsidR="00994B68" w:rsidRPr="00653396" w:rsidRDefault="00994B68" w:rsidP="00207B49">
            <w:pPr>
              <w:jc w:val="center"/>
              <w:rPr>
                <w:rFonts w:ascii="Times New Roman" w:hAnsi="Times New Roman" w:cs="Times New Roman"/>
                <w:sz w:val="18"/>
                <w:szCs w:val="18"/>
              </w:rPr>
            </w:pPr>
            <w:r w:rsidRPr="00653396">
              <w:rPr>
                <w:rFonts w:ascii="Times New Roman" w:hAnsi="Times New Roman" w:cs="Times New Roman"/>
                <w:sz w:val="18"/>
                <w:szCs w:val="18"/>
              </w:rPr>
              <w:t>Biochemical Output</w:t>
            </w:r>
          </w:p>
        </w:tc>
        <w:tc>
          <w:tcPr>
            <w:tcW w:w="1337" w:type="pct"/>
          </w:tcPr>
          <w:p w14:paraId="1D651E78" w14:textId="73177FE3" w:rsidR="00994B68" w:rsidRPr="00653396" w:rsidRDefault="00994B68" w:rsidP="00207B49">
            <w:pPr>
              <w:jc w:val="center"/>
              <w:rPr>
                <w:rFonts w:ascii="Times New Roman" w:hAnsi="Times New Roman" w:cs="Times New Roman"/>
                <w:sz w:val="18"/>
                <w:szCs w:val="18"/>
              </w:rPr>
            </w:pPr>
            <w:r w:rsidRPr="00653396">
              <w:rPr>
                <w:rFonts w:ascii="Times New Roman" w:hAnsi="Times New Roman" w:cs="Times New Roman"/>
                <w:sz w:val="18"/>
                <w:szCs w:val="18"/>
              </w:rPr>
              <w:t>Hyper-predictable enzymatic kinetics and uniform alcohol yield (National Tax Agency, 2020).</w:t>
            </w:r>
          </w:p>
        </w:tc>
        <w:tc>
          <w:tcPr>
            <w:tcW w:w="1258" w:type="pct"/>
          </w:tcPr>
          <w:p w14:paraId="4B4EA999" w14:textId="67922365" w:rsidR="00994B68" w:rsidRPr="00653396" w:rsidRDefault="00994B68" w:rsidP="00207B49">
            <w:pPr>
              <w:jc w:val="center"/>
              <w:rPr>
                <w:rFonts w:ascii="Times New Roman" w:hAnsi="Times New Roman" w:cs="Times New Roman"/>
                <w:sz w:val="18"/>
                <w:szCs w:val="18"/>
              </w:rPr>
            </w:pPr>
            <w:r w:rsidRPr="00653396">
              <w:rPr>
                <w:rFonts w:ascii="Times New Roman" w:hAnsi="Times New Roman" w:cs="Times New Roman"/>
                <w:sz w:val="18"/>
                <w:szCs w:val="18"/>
              </w:rPr>
              <w:t>Moderate structural variation with regional sensory notes (Pei et al., 2022).</w:t>
            </w:r>
          </w:p>
        </w:tc>
        <w:tc>
          <w:tcPr>
            <w:tcW w:w="1465" w:type="pct"/>
          </w:tcPr>
          <w:p w14:paraId="23CD41C7" w14:textId="6C64C450" w:rsidR="00994B68" w:rsidRPr="00653396" w:rsidRDefault="00994B68" w:rsidP="00207B49">
            <w:pPr>
              <w:jc w:val="center"/>
              <w:rPr>
                <w:rFonts w:ascii="Times New Roman" w:hAnsi="Times New Roman" w:cs="Times New Roman"/>
                <w:sz w:val="18"/>
                <w:szCs w:val="18"/>
              </w:rPr>
            </w:pPr>
            <w:r w:rsidRPr="00653396">
              <w:rPr>
                <w:rFonts w:ascii="Times New Roman" w:hAnsi="Times New Roman" w:cs="Times New Roman"/>
                <w:sz w:val="18"/>
                <w:szCs w:val="18"/>
              </w:rPr>
              <w:t>Variable organoleptic properties and volatile shelf-life stabilities (Das &amp; Deka, 2012; Sarmah et al., 2022).</w:t>
            </w:r>
          </w:p>
        </w:tc>
      </w:tr>
    </w:tbl>
    <w:p w14:paraId="63AD17AC" w14:textId="5810A8A8" w:rsidR="00207B49" w:rsidRPr="00207B49" w:rsidRDefault="00B80199" w:rsidP="00B80199">
      <w:pPr>
        <w:tabs>
          <w:tab w:val="left" w:pos="3264"/>
          <w:tab w:val="center" w:pos="4513"/>
        </w:tabs>
        <w:spacing w:line="240" w:lineRule="auto"/>
        <w:rPr>
          <w:rFonts w:ascii="Times New Roman" w:hAnsi="Times New Roman" w:cs="Times New Roman"/>
          <w:i/>
          <w:iCs/>
        </w:rPr>
        <w:sectPr w:rsidR="00207B49" w:rsidRPr="00207B49" w:rsidSect="00207B49">
          <w:type w:val="continuous"/>
          <w:pgSz w:w="11906" w:h="16838"/>
          <w:pgMar w:top="1440" w:right="1440" w:bottom="1440" w:left="1440" w:header="708" w:footer="708" w:gutter="0"/>
          <w:cols w:space="708"/>
          <w:docGrid w:linePitch="360"/>
        </w:sectPr>
      </w:pPr>
      <w:r>
        <w:rPr>
          <w:rFonts w:ascii="Times New Roman" w:hAnsi="Times New Roman" w:cs="Times New Roman"/>
          <w:b/>
          <w:bCs/>
        </w:rPr>
        <w:tab/>
      </w:r>
      <w:r w:rsidR="00994B68" w:rsidRPr="00994B68">
        <w:rPr>
          <w:rFonts w:ascii="Times New Roman" w:hAnsi="Times New Roman" w:cs="Times New Roman"/>
          <w:b/>
          <w:bCs/>
        </w:rPr>
        <w:t xml:space="preserve">Source: </w:t>
      </w:r>
      <w:r w:rsidR="00A64DD4" w:rsidRPr="009A5266">
        <w:rPr>
          <w:rFonts w:ascii="Times New Roman" w:hAnsi="Times New Roman" w:cs="Times New Roman"/>
          <w:i/>
          <w:iCs/>
        </w:rPr>
        <w:t xml:space="preserve">Author's compilation </w:t>
      </w:r>
    </w:p>
    <w:p w14:paraId="3406FCFC" w14:textId="62B7F8E4" w:rsidR="00ED793D" w:rsidRPr="00653396" w:rsidRDefault="00D1600C" w:rsidP="00B76EDD">
      <w:pPr>
        <w:spacing w:after="0" w:line="240" w:lineRule="auto"/>
        <w:jc w:val="both"/>
        <w:rPr>
          <w:rFonts w:ascii="Times New Roman" w:hAnsi="Times New Roman" w:cs="Times New Roman"/>
          <w:sz w:val="20"/>
          <w:szCs w:val="20"/>
        </w:rPr>
      </w:pPr>
      <w:r w:rsidRPr="00653396">
        <w:rPr>
          <w:rFonts w:ascii="Times New Roman" w:hAnsi="Times New Roman" w:cs="Times New Roman"/>
          <w:b/>
          <w:bCs/>
          <w:sz w:val="20"/>
          <w:szCs w:val="20"/>
        </w:rPr>
        <w:t>Translating Local Starters into Controlled Industrial Inocula</w:t>
      </w:r>
      <w:r w:rsidR="00B76EDD">
        <w:rPr>
          <w:rFonts w:ascii="Times New Roman" w:hAnsi="Times New Roman" w:cs="Times New Roman"/>
          <w:b/>
          <w:bCs/>
          <w:sz w:val="20"/>
          <w:szCs w:val="20"/>
        </w:rPr>
        <w:t xml:space="preserve">- </w:t>
      </w:r>
      <w:r w:rsidR="00ED793D" w:rsidRPr="00653396">
        <w:rPr>
          <w:rFonts w:ascii="Times New Roman" w:hAnsi="Times New Roman" w:cs="Times New Roman"/>
          <w:sz w:val="20"/>
          <w:szCs w:val="20"/>
        </w:rPr>
        <w:t xml:space="preserve">One of the main difficulties in increasing Pitha production is contamination from unwanted bacteria and fungi, such as Staphylococcus and Acinetobacter species. This </w:t>
      </w:r>
      <w:r w:rsidR="00A434FA" w:rsidRPr="00653396">
        <w:rPr>
          <w:rFonts w:ascii="Times New Roman" w:hAnsi="Times New Roman" w:cs="Times New Roman"/>
          <w:sz w:val="20"/>
          <w:szCs w:val="20"/>
        </w:rPr>
        <w:t>occurs due to</w:t>
      </w:r>
      <w:r w:rsidR="00ED793D" w:rsidRPr="00653396">
        <w:rPr>
          <w:rFonts w:ascii="Times New Roman" w:hAnsi="Times New Roman" w:cs="Times New Roman"/>
          <w:sz w:val="20"/>
          <w:szCs w:val="20"/>
        </w:rPr>
        <w:t xml:space="preserve"> non-sterile processing and changing environmental conditions (Das et al., 2019; Das &amp; Deka, 2012). </w:t>
      </w:r>
      <w:r w:rsidR="00A434FA" w:rsidRPr="00653396">
        <w:rPr>
          <w:rFonts w:ascii="Times New Roman" w:hAnsi="Times New Roman" w:cs="Times New Roman"/>
          <w:sz w:val="20"/>
          <w:szCs w:val="20"/>
        </w:rPr>
        <w:t>As a result, unpasteurized batches usually last less than 7</w:t>
      </w:r>
      <w:r w:rsidR="00ED793D" w:rsidRPr="00653396">
        <w:rPr>
          <w:rFonts w:ascii="Times New Roman" w:hAnsi="Times New Roman" w:cs="Times New Roman"/>
          <w:sz w:val="20"/>
          <w:szCs w:val="20"/>
        </w:rPr>
        <w:t xml:space="preserve"> days (Das &amp; Deka, 2012; Sarmah et al., 2022).</w:t>
      </w:r>
    </w:p>
    <w:p w14:paraId="10458843" w14:textId="19E825B6" w:rsidR="00D90FC0" w:rsidRPr="00653396" w:rsidRDefault="001365D9" w:rsidP="00207B49">
      <w:pPr>
        <w:spacing w:after="0" w:line="240" w:lineRule="auto"/>
        <w:jc w:val="both"/>
        <w:rPr>
          <w:rFonts w:ascii="Times New Roman" w:hAnsi="Times New Roman" w:cs="Times New Roman"/>
          <w:sz w:val="20"/>
          <w:szCs w:val="20"/>
        </w:rPr>
      </w:pPr>
      <w:r w:rsidRPr="001365D9">
        <w:rPr>
          <w:rFonts w:ascii="Times New Roman" w:hAnsi="Times New Roman" w:cs="Times New Roman"/>
          <w:sz w:val="20"/>
          <w:szCs w:val="20"/>
        </w:rPr>
        <w:t xml:space="preserve">To improve safety in the production process, it is </w:t>
      </w:r>
      <w:r w:rsidR="00FC1FBD">
        <w:rPr>
          <w:rFonts w:ascii="Times New Roman" w:hAnsi="Times New Roman" w:cs="Times New Roman"/>
          <w:sz w:val="20"/>
          <w:szCs w:val="20"/>
        </w:rPr>
        <w:t>advisable to use automated bioreactors rather than traditional open systems</w:t>
      </w:r>
      <w:r w:rsidRPr="001365D9">
        <w:rPr>
          <w:rFonts w:ascii="Times New Roman" w:hAnsi="Times New Roman" w:cs="Times New Roman"/>
          <w:sz w:val="20"/>
          <w:szCs w:val="20"/>
        </w:rPr>
        <w:t xml:space="preserve">. These biocreators are based on the Japanese Koji production method. </w:t>
      </w:r>
      <w:r w:rsidR="00FC1FBD">
        <w:rPr>
          <w:rFonts w:ascii="Times New Roman" w:hAnsi="Times New Roman" w:cs="Times New Roman"/>
          <w:sz w:val="20"/>
          <w:szCs w:val="20"/>
        </w:rPr>
        <w:t>The system maintains a temperature of 28</w:t>
      </w:r>
      <w:r w:rsidR="006A3D39">
        <w:rPr>
          <w:rFonts w:ascii="Times New Roman" w:hAnsi="Times New Roman" w:cs="Times New Roman"/>
          <w:sz w:val="20"/>
          <w:szCs w:val="20"/>
        </w:rPr>
        <w:t>-</w:t>
      </w:r>
      <w:r w:rsidR="00FC1FBD">
        <w:rPr>
          <w:rFonts w:ascii="Times New Roman" w:hAnsi="Times New Roman" w:cs="Times New Roman"/>
          <w:sz w:val="20"/>
          <w:szCs w:val="20"/>
        </w:rPr>
        <w:t xml:space="preserve">32 °C, which is suitable for fermentation </w:t>
      </w:r>
      <w:r w:rsidRPr="001365D9">
        <w:rPr>
          <w:rFonts w:ascii="Times New Roman" w:hAnsi="Times New Roman" w:cs="Times New Roman"/>
          <w:sz w:val="20"/>
          <w:szCs w:val="20"/>
        </w:rPr>
        <w:t>(Sarmah et al., 2022; Tippsy, 2023).</w:t>
      </w:r>
      <w:r>
        <w:rPr>
          <w:rFonts w:ascii="Times New Roman" w:hAnsi="Times New Roman" w:cs="Times New Roman"/>
          <w:sz w:val="20"/>
          <w:szCs w:val="20"/>
        </w:rPr>
        <w:t xml:space="preserve"> </w:t>
      </w:r>
      <w:r w:rsidR="000B1290" w:rsidRPr="00653396">
        <w:rPr>
          <w:rFonts w:ascii="Times New Roman" w:hAnsi="Times New Roman" w:cs="Times New Roman"/>
          <w:sz w:val="20"/>
          <w:szCs w:val="20"/>
        </w:rPr>
        <w:t xml:space="preserve">Also, using plant extracts from traditional medicinal plants </w:t>
      </w:r>
      <w:r w:rsidR="002644D8" w:rsidRPr="00653396">
        <w:rPr>
          <w:rFonts w:ascii="Times New Roman" w:hAnsi="Times New Roman" w:cs="Times New Roman"/>
          <w:sz w:val="20"/>
          <w:szCs w:val="20"/>
        </w:rPr>
        <w:t xml:space="preserve">such as Leucas aspera and Scoparia dulcis, rather than </w:t>
      </w:r>
      <w:r w:rsidR="000B1290" w:rsidRPr="00653396">
        <w:rPr>
          <w:rFonts w:ascii="Times New Roman" w:hAnsi="Times New Roman" w:cs="Times New Roman"/>
          <w:sz w:val="20"/>
          <w:szCs w:val="20"/>
        </w:rPr>
        <w:t xml:space="preserve">whole plants, helps retain their germ-fighting benefits and reduces contamination risks (Das &amp; Deka, 2012; Rawat et al., </w:t>
      </w:r>
      <w:r w:rsidR="00D90FC0" w:rsidRPr="00653396">
        <w:rPr>
          <w:rFonts w:ascii="Times New Roman" w:hAnsi="Times New Roman" w:cs="Times New Roman"/>
          <w:sz w:val="20"/>
          <w:szCs w:val="20"/>
        </w:rPr>
        <w:t xml:space="preserve">2021). These changes can help create a culture that </w:t>
      </w:r>
      <w:r w:rsidR="002644D8" w:rsidRPr="00653396">
        <w:rPr>
          <w:rFonts w:ascii="Times New Roman" w:hAnsi="Times New Roman" w:cs="Times New Roman"/>
          <w:sz w:val="20"/>
          <w:szCs w:val="20"/>
        </w:rPr>
        <w:t>delivers consistent</w:t>
      </w:r>
      <w:r w:rsidR="00D90FC0" w:rsidRPr="00653396">
        <w:rPr>
          <w:rFonts w:ascii="Times New Roman" w:hAnsi="Times New Roman" w:cs="Times New Roman"/>
          <w:sz w:val="20"/>
          <w:szCs w:val="20"/>
        </w:rPr>
        <w:t xml:space="preserve"> results every time. It produces ethanol levels of 10.23 % Has strong antioxidant activity. This activity is measured at 61.79 % DPPH scavenging capacity. The starter culture helps in making ethanol and antioxidants. It gives ethanol levels and strong antioxidant activity in every batch. (Sarmah et al., 2022).</w:t>
      </w:r>
    </w:p>
    <w:p w14:paraId="639152DC" w14:textId="77777777" w:rsidR="00D65843" w:rsidRDefault="00D65843" w:rsidP="00653396">
      <w:pPr>
        <w:spacing w:after="0" w:line="240" w:lineRule="auto"/>
        <w:jc w:val="both"/>
        <w:rPr>
          <w:rFonts w:ascii="Times New Roman" w:hAnsi="Times New Roman" w:cs="Times New Roman"/>
          <w:b/>
          <w:bCs/>
          <w:sz w:val="20"/>
          <w:szCs w:val="20"/>
        </w:rPr>
      </w:pPr>
    </w:p>
    <w:p w14:paraId="0B938472" w14:textId="4BC1C437" w:rsidR="000B07E0" w:rsidRPr="00653396" w:rsidRDefault="00F147D4" w:rsidP="00653396">
      <w:pPr>
        <w:spacing w:after="0" w:line="240" w:lineRule="auto"/>
        <w:jc w:val="both"/>
        <w:rPr>
          <w:rFonts w:ascii="Times New Roman" w:hAnsi="Times New Roman" w:cs="Times New Roman"/>
          <w:b/>
          <w:bCs/>
          <w:sz w:val="20"/>
          <w:szCs w:val="20"/>
        </w:rPr>
      </w:pPr>
      <w:r w:rsidRPr="00653396">
        <w:rPr>
          <w:rFonts w:ascii="Times New Roman" w:hAnsi="Times New Roman" w:cs="Times New Roman"/>
          <w:b/>
          <w:bCs/>
          <w:sz w:val="20"/>
          <w:szCs w:val="20"/>
        </w:rPr>
        <w:t>Socio-Legal Analysis and Regulatory Harmonisation</w:t>
      </w:r>
    </w:p>
    <w:p w14:paraId="3F463BFE" w14:textId="77777777" w:rsidR="00E725F9" w:rsidRPr="00653396" w:rsidRDefault="00E725F9" w:rsidP="00A664B4">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Comparative policy analysis shows that excise rules in Northeast India still operate under an era-old framework. This framework was originally meant to make the state earn revenue and stop production. (Nezine, 2020). Although recent amendments have introduced a "heritage liquor" licensing category, the </w:t>
      </w:r>
      <w:r w:rsidRPr="00653396">
        <w:rPr>
          <w:rFonts w:ascii="Times New Roman" w:hAnsi="Times New Roman" w:cs="Times New Roman"/>
          <w:sz w:val="20"/>
          <w:szCs w:val="20"/>
        </w:rPr>
        <w:t>structural requirements remain highly exclusionary (Nezine, 2020). To legally manufacture heritage brews for commercial distribution, artisan cooperatives must meet capital-intensive requirements, including:</w:t>
      </w:r>
    </w:p>
    <w:p w14:paraId="662D3858" w14:textId="77777777" w:rsidR="00516ED0" w:rsidRDefault="00516ED0" w:rsidP="00516ED0">
      <w:pPr>
        <w:spacing w:after="0" w:line="240" w:lineRule="auto"/>
        <w:jc w:val="both"/>
        <w:rPr>
          <w:rFonts w:ascii="Times New Roman" w:hAnsi="Times New Roman" w:cs="Times New Roman"/>
          <w:sz w:val="20"/>
          <w:szCs w:val="20"/>
        </w:rPr>
      </w:pPr>
    </w:p>
    <w:p w14:paraId="17B405BC" w14:textId="1FA9F458" w:rsidR="00820D40" w:rsidRPr="00653396" w:rsidRDefault="00820D40" w:rsidP="00516ED0">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The companies have to pay substantial licensing fees. They also have to install expensive machines that can fill bottles with our product. There are many rules for making a product. These rules are strict, especially </w:t>
      </w:r>
      <w:r w:rsidR="002644D8" w:rsidRPr="00653396">
        <w:rPr>
          <w:rFonts w:ascii="Times New Roman" w:hAnsi="Times New Roman" w:cs="Times New Roman"/>
          <w:sz w:val="20"/>
          <w:szCs w:val="20"/>
        </w:rPr>
        <w:t>regarding changes that occur at different times of the year and their impact on</w:t>
      </w:r>
      <w:r w:rsidRPr="00653396">
        <w:rPr>
          <w:rFonts w:ascii="Times New Roman" w:hAnsi="Times New Roman" w:cs="Times New Roman"/>
          <w:sz w:val="20"/>
          <w:szCs w:val="20"/>
        </w:rPr>
        <w:t xml:space="preserve"> small production batches. </w:t>
      </w:r>
      <w:r w:rsidR="004E5AA6">
        <w:rPr>
          <w:rFonts w:ascii="Times New Roman" w:hAnsi="Times New Roman" w:cs="Times New Roman"/>
          <w:sz w:val="20"/>
          <w:szCs w:val="20"/>
        </w:rPr>
        <w:t>Licensing fees and machine costs are deal-breakers for people, and the rules on biochemical matters are also very important to follow, especially in small-scale</w:t>
      </w:r>
      <w:r w:rsidRPr="00653396">
        <w:rPr>
          <w:rFonts w:ascii="Times New Roman" w:hAnsi="Times New Roman" w:cs="Times New Roman"/>
          <w:sz w:val="20"/>
          <w:szCs w:val="20"/>
        </w:rPr>
        <w:t xml:space="preserve"> fermentations. (Nezine, 2020; Sarmah et al., 2022).</w:t>
      </w:r>
    </w:p>
    <w:p w14:paraId="72058DCA" w14:textId="77777777" w:rsidR="00A664B4" w:rsidRDefault="00A664B4" w:rsidP="00A664B4">
      <w:pPr>
        <w:spacing w:after="0" w:line="240" w:lineRule="auto"/>
        <w:jc w:val="both"/>
        <w:rPr>
          <w:rFonts w:ascii="Times New Roman" w:hAnsi="Times New Roman" w:cs="Times New Roman"/>
          <w:sz w:val="20"/>
          <w:szCs w:val="20"/>
        </w:rPr>
      </w:pPr>
    </w:p>
    <w:p w14:paraId="786E79E8" w14:textId="1C1732D7" w:rsidR="00952B03" w:rsidRPr="00952B03" w:rsidRDefault="00952B03" w:rsidP="00952B03">
      <w:pPr>
        <w:spacing w:after="0" w:line="240" w:lineRule="auto"/>
        <w:jc w:val="both"/>
        <w:rPr>
          <w:rFonts w:ascii="Times New Roman" w:hAnsi="Times New Roman" w:cs="Times New Roman"/>
          <w:sz w:val="20"/>
          <w:szCs w:val="20"/>
        </w:rPr>
      </w:pPr>
      <w:r w:rsidRPr="00952B03">
        <w:rPr>
          <w:rFonts w:ascii="Times New Roman" w:hAnsi="Times New Roman" w:cs="Times New Roman"/>
          <w:sz w:val="20"/>
          <w:szCs w:val="20"/>
        </w:rPr>
        <w:t>The rural tribal cooperatives are unable to meet these capital needs, and current regulations block them (Nezine, 2020).  </w:t>
      </w:r>
      <w:r w:rsidR="00FC1FBD">
        <w:rPr>
          <w:rFonts w:ascii="Times New Roman" w:hAnsi="Times New Roman" w:cs="Times New Roman"/>
          <w:sz w:val="20"/>
          <w:szCs w:val="20"/>
        </w:rPr>
        <w:t>As a result</w:t>
      </w:r>
      <w:r w:rsidRPr="00952B03">
        <w:rPr>
          <w:rFonts w:ascii="Times New Roman" w:hAnsi="Times New Roman" w:cs="Times New Roman"/>
          <w:sz w:val="20"/>
          <w:szCs w:val="20"/>
        </w:rPr>
        <w:t xml:space="preserve">, all the benefits </w:t>
      </w:r>
      <w:r w:rsidR="00FC1FBD">
        <w:rPr>
          <w:rFonts w:ascii="Times New Roman" w:hAnsi="Times New Roman" w:cs="Times New Roman"/>
          <w:sz w:val="20"/>
          <w:szCs w:val="20"/>
        </w:rPr>
        <w:t>accrue to</w:t>
      </w:r>
      <w:r w:rsidRPr="00952B03">
        <w:rPr>
          <w:rFonts w:ascii="Times New Roman" w:hAnsi="Times New Roman" w:cs="Times New Roman"/>
          <w:sz w:val="20"/>
          <w:szCs w:val="20"/>
        </w:rPr>
        <w:t xml:space="preserve"> non-local corporations, and they produce using synthetic enzymes. Thus, this process prevents indigenous communities from getting the benefits that have preserved their traditions (Ashokvardhan, 2000; Nezine, 2020).</w:t>
      </w:r>
    </w:p>
    <w:p w14:paraId="3C585714" w14:textId="77777777" w:rsidR="00D65843" w:rsidRDefault="00D65843" w:rsidP="00380A9D">
      <w:pPr>
        <w:spacing w:after="0" w:line="240" w:lineRule="auto"/>
        <w:jc w:val="both"/>
        <w:rPr>
          <w:rFonts w:ascii="Times New Roman" w:hAnsi="Times New Roman" w:cs="Times New Roman"/>
          <w:b/>
          <w:bCs/>
          <w:sz w:val="20"/>
          <w:szCs w:val="20"/>
        </w:rPr>
      </w:pPr>
    </w:p>
    <w:p w14:paraId="4A765FF4" w14:textId="241176F4" w:rsidR="00581B74" w:rsidRPr="00653396" w:rsidRDefault="00F32FCC" w:rsidP="00D65843">
      <w:pPr>
        <w:spacing w:after="0" w:line="240" w:lineRule="auto"/>
        <w:jc w:val="both"/>
        <w:rPr>
          <w:rFonts w:ascii="Times New Roman" w:hAnsi="Times New Roman" w:cs="Times New Roman"/>
          <w:b/>
          <w:bCs/>
          <w:sz w:val="20"/>
          <w:szCs w:val="20"/>
        </w:rPr>
      </w:pPr>
      <w:r w:rsidRPr="00653396">
        <w:rPr>
          <w:rFonts w:ascii="Times New Roman" w:hAnsi="Times New Roman" w:cs="Times New Roman"/>
          <w:b/>
          <w:bCs/>
          <w:sz w:val="20"/>
          <w:szCs w:val="20"/>
        </w:rPr>
        <w:t>Adapting Japan's Tiered Excise Architecture</w:t>
      </w:r>
    </w:p>
    <w:p w14:paraId="1F6EECB9" w14:textId="31F37C86" w:rsidR="009A5266" w:rsidRPr="00653396" w:rsidRDefault="009A5266" w:rsidP="00516ED0">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To </w:t>
      </w:r>
      <w:r w:rsidR="002644D8" w:rsidRPr="00653396">
        <w:rPr>
          <w:rFonts w:ascii="Times New Roman" w:hAnsi="Times New Roman" w:cs="Times New Roman"/>
          <w:sz w:val="20"/>
          <w:szCs w:val="20"/>
        </w:rPr>
        <w:t>address this policy halt, the present study examines the Japanese National Tax Agency (NTA) model</w:t>
      </w:r>
      <w:r w:rsidRPr="00653396">
        <w:rPr>
          <w:rFonts w:ascii="Times New Roman" w:hAnsi="Times New Roman" w:cs="Times New Roman"/>
          <w:sz w:val="20"/>
          <w:szCs w:val="20"/>
        </w:rPr>
        <w:t>, which resolved a conflict by implementing the 2002 Structural Reform Special Zone Act (Harada, 2015; National Tax Agency, 2020). This kind of system enabled Japan to introduce the "Special Doburoku Zones," thereby legally separating industrial factory standards from those applicable to local agricultural craft production (Harada, 2015).</w:t>
      </w:r>
    </w:p>
    <w:p w14:paraId="435D6B2C" w14:textId="77777777" w:rsidR="00207B49" w:rsidRDefault="00207B49" w:rsidP="004E5AA6">
      <w:pPr>
        <w:spacing w:after="0" w:line="360" w:lineRule="auto"/>
        <w:jc w:val="center"/>
        <w:rPr>
          <w:rFonts w:ascii="Times New Roman" w:hAnsi="Times New Roman" w:cs="Times New Roman"/>
          <w:b/>
          <w:bCs/>
          <w:sz w:val="20"/>
          <w:szCs w:val="20"/>
        </w:rPr>
        <w:sectPr w:rsidR="00207B49" w:rsidSect="00030032">
          <w:type w:val="continuous"/>
          <w:pgSz w:w="11906" w:h="16838"/>
          <w:pgMar w:top="1440" w:right="1440" w:bottom="1440" w:left="1440" w:header="708" w:footer="708" w:gutter="0"/>
          <w:cols w:num="2" w:space="708"/>
          <w:docGrid w:linePitch="360"/>
        </w:sectPr>
      </w:pPr>
    </w:p>
    <w:p w14:paraId="25481965" w14:textId="77777777" w:rsidR="00516ED0" w:rsidRDefault="00516ED0" w:rsidP="00516ED0">
      <w:pPr>
        <w:spacing w:after="0" w:line="240" w:lineRule="auto"/>
        <w:jc w:val="center"/>
        <w:rPr>
          <w:rFonts w:ascii="Times New Roman" w:hAnsi="Times New Roman" w:cs="Times New Roman"/>
          <w:b/>
          <w:bCs/>
          <w:sz w:val="20"/>
          <w:szCs w:val="20"/>
        </w:rPr>
      </w:pPr>
    </w:p>
    <w:p w14:paraId="6B59F0FE" w14:textId="3FC5E0A6" w:rsidR="00407BAD" w:rsidRPr="004E5AA6" w:rsidRDefault="0021644D" w:rsidP="00516ED0">
      <w:pPr>
        <w:spacing w:after="0" w:line="240" w:lineRule="auto"/>
        <w:jc w:val="center"/>
        <w:rPr>
          <w:rFonts w:ascii="Times New Roman" w:hAnsi="Times New Roman" w:cs="Times New Roman"/>
          <w:b/>
          <w:bCs/>
          <w:sz w:val="20"/>
          <w:szCs w:val="20"/>
        </w:rPr>
      </w:pPr>
      <w:r w:rsidRPr="004E5AA6">
        <w:rPr>
          <w:rFonts w:ascii="Times New Roman" w:hAnsi="Times New Roman" w:cs="Times New Roman"/>
          <w:b/>
          <w:bCs/>
          <w:sz w:val="20"/>
          <w:szCs w:val="20"/>
        </w:rPr>
        <w:t xml:space="preserve">Figure </w:t>
      </w:r>
      <w:r w:rsidR="00990F35" w:rsidRPr="004E5AA6">
        <w:rPr>
          <w:rFonts w:ascii="Times New Roman" w:hAnsi="Times New Roman" w:cs="Times New Roman"/>
          <w:b/>
          <w:bCs/>
          <w:sz w:val="20"/>
          <w:szCs w:val="20"/>
        </w:rPr>
        <w:t xml:space="preserve">4 </w:t>
      </w:r>
      <w:r w:rsidR="00984078" w:rsidRPr="004E5AA6">
        <w:rPr>
          <w:rFonts w:ascii="Times New Roman" w:hAnsi="Times New Roman" w:cs="Times New Roman"/>
          <w:b/>
          <w:bCs/>
          <w:sz w:val="20"/>
          <w:szCs w:val="20"/>
        </w:rPr>
        <w:t>Comparative Regulatory Architecture</w:t>
      </w:r>
    </w:p>
    <w:p w14:paraId="389E5160" w14:textId="77777777" w:rsidR="00207B49" w:rsidRDefault="00207B49" w:rsidP="005140A1">
      <w:pPr>
        <w:spacing w:after="0" w:line="240" w:lineRule="auto"/>
        <w:jc w:val="both"/>
        <w:rPr>
          <w:rFonts w:ascii="Times New Roman" w:hAnsi="Times New Roman" w:cs="Times New Roman"/>
          <w:sz w:val="24"/>
          <w:szCs w:val="24"/>
        </w:rPr>
        <w:sectPr w:rsidR="00207B49" w:rsidSect="00207B49">
          <w:type w:val="continuous"/>
          <w:pgSz w:w="11906" w:h="16838"/>
          <w:pgMar w:top="1440" w:right="1440" w:bottom="1440" w:left="1440" w:header="708" w:footer="708" w:gutter="0"/>
          <w:cols w:space="708"/>
          <w:docGrid w:linePitch="360"/>
        </w:sectPr>
      </w:pPr>
    </w:p>
    <w:p w14:paraId="2CA4A512" w14:textId="77777777" w:rsidR="00207B49" w:rsidRDefault="00990F35" w:rsidP="005140A1">
      <w:pPr>
        <w:spacing w:after="0" w:line="240" w:lineRule="auto"/>
        <w:jc w:val="both"/>
        <w:rPr>
          <w:rFonts w:ascii="Times New Roman" w:hAnsi="Times New Roman" w:cs="Times New Roman"/>
          <w:sz w:val="24"/>
          <w:szCs w:val="24"/>
        </w:rPr>
        <w:sectPr w:rsidR="00207B49" w:rsidSect="00207B49">
          <w:type w:val="continuous"/>
          <w:pgSz w:w="11906" w:h="16838"/>
          <w:pgMar w:top="1440" w:right="1440" w:bottom="1440" w:left="1440" w:header="708" w:footer="708" w:gutter="0"/>
          <w:cols w:space="708"/>
          <w:docGrid w:linePitch="360"/>
        </w:sectPr>
      </w:pPr>
      <w:r>
        <w:rPr>
          <w:rFonts w:ascii="Times New Roman" w:hAnsi="Times New Roman" w:cs="Times New Roman"/>
          <w:noProof/>
          <w:sz w:val="24"/>
          <w:szCs w:val="24"/>
        </w:rPr>
        <w:lastRenderedPageBreak/>
        <w:drawing>
          <wp:inline distT="0" distB="0" distL="0" distR="0" wp14:anchorId="44AE6E41" wp14:editId="52B28AC1">
            <wp:extent cx="5958840" cy="2132965"/>
            <wp:effectExtent l="0" t="0" r="3810" b="635"/>
            <wp:docPr id="1809592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92393" name="Picture 1809592393"/>
                    <pic:cNvPicPr/>
                  </pic:nvPicPr>
                  <pic:blipFill rotWithShape="1">
                    <a:blip r:embed="rId22" cstate="print">
                      <a:extLst>
                        <a:ext uri="{28A0092B-C50C-407E-A947-70E740481C1C}">
                          <a14:useLocalDpi xmlns:a14="http://schemas.microsoft.com/office/drawing/2010/main" val="0"/>
                        </a:ext>
                      </a:extLst>
                    </a:blip>
                    <a:srcRect b="21385"/>
                    <a:stretch>
                      <a:fillRect/>
                    </a:stretch>
                  </pic:blipFill>
                  <pic:spPr bwMode="auto">
                    <a:xfrm>
                      <a:off x="0" y="0"/>
                      <a:ext cx="5979687" cy="2140427"/>
                    </a:xfrm>
                    <a:prstGeom prst="rect">
                      <a:avLst/>
                    </a:prstGeom>
                    <a:ln>
                      <a:noFill/>
                    </a:ln>
                    <a:extLst>
                      <a:ext uri="{53640926-AAD7-44D8-BBD7-CCE9431645EC}">
                        <a14:shadowObscured xmlns:a14="http://schemas.microsoft.com/office/drawing/2010/main"/>
                      </a:ext>
                    </a:extLst>
                  </pic:spPr>
                </pic:pic>
              </a:graphicData>
            </a:graphic>
          </wp:inline>
        </w:drawing>
      </w:r>
    </w:p>
    <w:p w14:paraId="69DC05AE" w14:textId="0D244D19" w:rsidR="00990F35" w:rsidRPr="00407BAD" w:rsidRDefault="00990F35" w:rsidP="005140A1">
      <w:pPr>
        <w:spacing w:after="0" w:line="240" w:lineRule="auto"/>
        <w:jc w:val="both"/>
        <w:rPr>
          <w:rFonts w:ascii="Times New Roman" w:hAnsi="Times New Roman" w:cs="Times New Roman"/>
          <w:sz w:val="24"/>
          <w:szCs w:val="24"/>
        </w:rPr>
      </w:pPr>
    </w:p>
    <w:p w14:paraId="2681E0E9" w14:textId="77777777" w:rsidR="00207B49" w:rsidRDefault="00207B49" w:rsidP="00653396">
      <w:pPr>
        <w:spacing w:after="0" w:line="240" w:lineRule="auto"/>
        <w:jc w:val="center"/>
        <w:rPr>
          <w:rFonts w:ascii="Times New Roman" w:hAnsi="Times New Roman" w:cs="Times New Roman"/>
          <w:b/>
          <w:bCs/>
        </w:rPr>
        <w:sectPr w:rsidR="00207B49" w:rsidSect="00030032">
          <w:type w:val="continuous"/>
          <w:pgSz w:w="11906" w:h="16838"/>
          <w:pgMar w:top="1440" w:right="1440" w:bottom="1440" w:left="1440" w:header="708" w:footer="708" w:gutter="0"/>
          <w:cols w:num="2" w:space="708"/>
          <w:docGrid w:linePitch="360"/>
        </w:sectPr>
      </w:pPr>
    </w:p>
    <w:p w14:paraId="14C83975" w14:textId="3EF93B39" w:rsidR="00F147D4" w:rsidRPr="00D65843" w:rsidRDefault="00984078" w:rsidP="00653396">
      <w:pPr>
        <w:spacing w:after="0" w:line="240" w:lineRule="auto"/>
        <w:jc w:val="center"/>
        <w:rPr>
          <w:rFonts w:ascii="Times New Roman" w:hAnsi="Times New Roman" w:cs="Times New Roman"/>
          <w:i/>
          <w:iCs/>
        </w:rPr>
      </w:pPr>
      <w:r w:rsidRPr="00D65843">
        <w:rPr>
          <w:rFonts w:ascii="Times New Roman" w:hAnsi="Times New Roman" w:cs="Times New Roman"/>
          <w:b/>
          <w:bCs/>
        </w:rPr>
        <w:t>Source</w:t>
      </w:r>
      <w:r w:rsidRPr="00D65843">
        <w:rPr>
          <w:rFonts w:ascii="Times New Roman" w:hAnsi="Times New Roman" w:cs="Times New Roman"/>
          <w:b/>
          <w:bCs/>
          <w:i/>
          <w:iCs/>
        </w:rPr>
        <w:t xml:space="preserve">: </w:t>
      </w:r>
      <w:r w:rsidR="004553CA" w:rsidRPr="00D65843">
        <w:rPr>
          <w:rFonts w:ascii="Times New Roman" w:hAnsi="Times New Roman" w:cs="Times New Roman"/>
          <w:i/>
          <w:iCs/>
        </w:rPr>
        <w:t>Author's synthesis</w:t>
      </w:r>
    </w:p>
    <w:p w14:paraId="5F9E1978" w14:textId="77777777" w:rsidR="00207B49" w:rsidRDefault="00207B49" w:rsidP="00653396">
      <w:pPr>
        <w:spacing w:after="0" w:line="240" w:lineRule="auto"/>
        <w:jc w:val="both"/>
        <w:rPr>
          <w:rFonts w:ascii="Times New Roman" w:hAnsi="Times New Roman" w:cs="Times New Roman"/>
          <w:sz w:val="20"/>
          <w:szCs w:val="20"/>
        </w:rPr>
        <w:sectPr w:rsidR="00207B49" w:rsidSect="00207B49">
          <w:type w:val="continuous"/>
          <w:pgSz w:w="11906" w:h="16838"/>
          <w:pgMar w:top="1440" w:right="1440" w:bottom="1440" w:left="1440" w:header="708" w:footer="708" w:gutter="0"/>
          <w:cols w:space="708"/>
          <w:docGrid w:linePitch="360"/>
        </w:sectPr>
      </w:pPr>
    </w:p>
    <w:p w14:paraId="411EFEFB" w14:textId="77777777" w:rsidR="00D65843" w:rsidRDefault="00D65843" w:rsidP="00653396">
      <w:pPr>
        <w:spacing w:after="0" w:line="240" w:lineRule="auto"/>
        <w:jc w:val="both"/>
        <w:rPr>
          <w:rFonts w:ascii="Times New Roman" w:hAnsi="Times New Roman" w:cs="Times New Roman"/>
          <w:sz w:val="20"/>
          <w:szCs w:val="20"/>
        </w:rPr>
      </w:pPr>
    </w:p>
    <w:p w14:paraId="4E55768C" w14:textId="20AA1060" w:rsidR="00535540" w:rsidRPr="00653396" w:rsidRDefault="00535540" w:rsidP="00653396">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This study uses </w:t>
      </w:r>
      <w:r w:rsidR="00D65843" w:rsidRPr="00653396">
        <w:rPr>
          <w:rFonts w:ascii="Times New Roman" w:hAnsi="Times New Roman" w:cs="Times New Roman"/>
          <w:sz w:val="20"/>
          <w:szCs w:val="20"/>
        </w:rPr>
        <w:t>Japan’s framework</w:t>
      </w:r>
      <w:r w:rsidR="00D65843">
        <w:rPr>
          <w:rFonts w:ascii="Times New Roman" w:hAnsi="Times New Roman" w:cs="Times New Roman"/>
          <w:sz w:val="20"/>
          <w:szCs w:val="20"/>
        </w:rPr>
        <w:t xml:space="preserve"> </w:t>
      </w:r>
      <w:r w:rsidR="00D65843" w:rsidRPr="00D65843">
        <w:rPr>
          <w:rFonts w:ascii="Times New Roman" w:hAnsi="Times New Roman" w:cs="Times New Roman"/>
          <w:i/>
          <w:iCs/>
          <w:sz w:val="20"/>
          <w:szCs w:val="20"/>
        </w:rPr>
        <w:t>(Tiered Excise Architecture)</w:t>
      </w:r>
      <w:r w:rsidRPr="00653396">
        <w:rPr>
          <w:rFonts w:ascii="Times New Roman" w:hAnsi="Times New Roman" w:cs="Times New Roman"/>
          <w:sz w:val="20"/>
          <w:szCs w:val="20"/>
        </w:rPr>
        <w:t xml:space="preserve"> in </w:t>
      </w:r>
      <w:r w:rsidR="002644D8" w:rsidRPr="00653396">
        <w:rPr>
          <w:rFonts w:ascii="Times New Roman" w:hAnsi="Times New Roman" w:cs="Times New Roman"/>
          <w:sz w:val="20"/>
          <w:szCs w:val="20"/>
        </w:rPr>
        <w:t xml:space="preserve">the </w:t>
      </w:r>
      <w:r w:rsidRPr="00653396">
        <w:rPr>
          <w:rFonts w:ascii="Times New Roman" w:hAnsi="Times New Roman" w:cs="Times New Roman"/>
          <w:sz w:val="20"/>
          <w:szCs w:val="20"/>
        </w:rPr>
        <w:t xml:space="preserve">socio-legal context of Northeast India and </w:t>
      </w:r>
      <w:r w:rsidR="00C851CA" w:rsidRPr="00653396">
        <w:rPr>
          <w:rFonts w:ascii="Times New Roman" w:hAnsi="Times New Roman" w:cs="Times New Roman"/>
          <w:sz w:val="20"/>
          <w:szCs w:val="20"/>
        </w:rPr>
        <w:t>harmonised</w:t>
      </w:r>
      <w:r w:rsidRPr="00653396">
        <w:rPr>
          <w:rFonts w:ascii="Times New Roman" w:hAnsi="Times New Roman" w:cs="Times New Roman"/>
          <w:sz w:val="20"/>
          <w:szCs w:val="20"/>
        </w:rPr>
        <w:t xml:space="preserve"> regulatory policy based on three structural adjustments:</w:t>
      </w:r>
    </w:p>
    <w:p w14:paraId="42994205" w14:textId="77777777" w:rsidR="00516ED0" w:rsidRPr="00516ED0" w:rsidRDefault="00516ED0" w:rsidP="00516ED0">
      <w:pPr>
        <w:pStyle w:val="ListParagraph"/>
        <w:spacing w:after="0" w:line="240" w:lineRule="auto"/>
        <w:ind w:left="1080"/>
        <w:jc w:val="both"/>
        <w:rPr>
          <w:rFonts w:ascii="Times New Roman" w:hAnsi="Times New Roman" w:cs="Times New Roman"/>
          <w:sz w:val="20"/>
          <w:szCs w:val="20"/>
        </w:rPr>
      </w:pPr>
    </w:p>
    <w:p w14:paraId="3DEF40F1" w14:textId="5A031068" w:rsidR="00C851CA" w:rsidRPr="00D65843" w:rsidRDefault="00C851CA" w:rsidP="00D65843">
      <w:pPr>
        <w:pStyle w:val="ListParagraph"/>
        <w:numPr>
          <w:ilvl w:val="0"/>
          <w:numId w:val="3"/>
        </w:numPr>
        <w:spacing w:after="0" w:line="240" w:lineRule="auto"/>
        <w:jc w:val="both"/>
        <w:rPr>
          <w:rFonts w:ascii="Times New Roman" w:hAnsi="Times New Roman" w:cs="Times New Roman"/>
          <w:sz w:val="20"/>
          <w:szCs w:val="20"/>
        </w:rPr>
      </w:pPr>
      <w:r w:rsidRPr="00D65843">
        <w:rPr>
          <w:rFonts w:ascii="Times New Roman" w:hAnsi="Times New Roman" w:cs="Times New Roman"/>
          <w:b/>
          <w:bCs/>
          <w:sz w:val="20"/>
          <w:szCs w:val="20"/>
        </w:rPr>
        <w:t xml:space="preserve">The Volume Relaxation Rule: </w:t>
      </w:r>
      <w:r w:rsidRPr="00D65843">
        <w:rPr>
          <w:rFonts w:ascii="Times New Roman" w:hAnsi="Times New Roman" w:cs="Times New Roman"/>
          <w:sz w:val="20"/>
          <w:szCs w:val="20"/>
        </w:rPr>
        <w:t>This change stops the minimum amount of alcohol distilleries must produce each year when operating on tribal land. (Harada, 2015; The Pioneer, 2026).</w:t>
      </w:r>
    </w:p>
    <w:p w14:paraId="245752FF" w14:textId="77777777" w:rsidR="00887B2E" w:rsidRDefault="00535540" w:rsidP="00D65843">
      <w:pPr>
        <w:pStyle w:val="ListParagraph"/>
        <w:numPr>
          <w:ilvl w:val="0"/>
          <w:numId w:val="3"/>
        </w:numPr>
        <w:spacing w:after="0" w:line="240" w:lineRule="auto"/>
        <w:jc w:val="both"/>
        <w:rPr>
          <w:rFonts w:ascii="Times New Roman" w:hAnsi="Times New Roman" w:cs="Times New Roman"/>
          <w:sz w:val="20"/>
          <w:szCs w:val="20"/>
        </w:rPr>
      </w:pPr>
      <w:r w:rsidRPr="00D65843">
        <w:rPr>
          <w:rFonts w:ascii="Times New Roman" w:hAnsi="Times New Roman" w:cs="Times New Roman"/>
          <w:b/>
          <w:bCs/>
          <w:sz w:val="20"/>
          <w:szCs w:val="20"/>
        </w:rPr>
        <w:t>The Sliding-Scale Tax Tier:</w:t>
      </w:r>
      <w:r w:rsidRPr="00D65843">
        <w:rPr>
          <w:rFonts w:ascii="Times New Roman" w:hAnsi="Times New Roman" w:cs="Times New Roman"/>
          <w:sz w:val="20"/>
          <w:szCs w:val="20"/>
        </w:rPr>
        <w:t xml:space="preserve"> </w:t>
      </w:r>
      <w:r w:rsidR="00300908" w:rsidRPr="00D65843">
        <w:rPr>
          <w:rFonts w:ascii="Times New Roman" w:hAnsi="Times New Roman" w:cs="Times New Roman"/>
          <w:sz w:val="20"/>
          <w:szCs w:val="20"/>
        </w:rPr>
        <w:t xml:space="preserve">This measure eliminates flat licensing fees </w:t>
      </w:r>
    </w:p>
    <w:p w14:paraId="39BBCA54" w14:textId="77777777" w:rsidR="00887B2E" w:rsidRDefault="00887B2E" w:rsidP="00887B2E">
      <w:pPr>
        <w:pStyle w:val="ListParagraph"/>
        <w:spacing w:after="0" w:line="240" w:lineRule="auto"/>
        <w:ind w:left="1080"/>
        <w:jc w:val="both"/>
        <w:rPr>
          <w:rFonts w:ascii="Times New Roman" w:hAnsi="Times New Roman" w:cs="Times New Roman"/>
          <w:sz w:val="20"/>
          <w:szCs w:val="20"/>
        </w:rPr>
      </w:pPr>
    </w:p>
    <w:p w14:paraId="454EE461" w14:textId="4517B65C" w:rsidR="00300908" w:rsidRPr="00D65843" w:rsidRDefault="00300908" w:rsidP="00D65843">
      <w:pPr>
        <w:pStyle w:val="ListParagraph"/>
        <w:numPr>
          <w:ilvl w:val="0"/>
          <w:numId w:val="3"/>
        </w:numPr>
        <w:spacing w:after="0" w:line="240" w:lineRule="auto"/>
        <w:jc w:val="both"/>
        <w:rPr>
          <w:rFonts w:ascii="Times New Roman" w:hAnsi="Times New Roman" w:cs="Times New Roman"/>
          <w:sz w:val="20"/>
          <w:szCs w:val="20"/>
        </w:rPr>
      </w:pPr>
      <w:r w:rsidRPr="00D65843">
        <w:rPr>
          <w:rFonts w:ascii="Times New Roman" w:hAnsi="Times New Roman" w:cs="Times New Roman"/>
          <w:sz w:val="20"/>
          <w:szCs w:val="20"/>
        </w:rPr>
        <w:t>and</w:t>
      </w:r>
      <w:r w:rsidR="002644D8" w:rsidRPr="00D65843">
        <w:rPr>
          <w:rFonts w:ascii="Times New Roman" w:hAnsi="Times New Roman" w:cs="Times New Roman"/>
          <w:sz w:val="20"/>
          <w:szCs w:val="20"/>
        </w:rPr>
        <w:t xml:space="preserve"> replaces them with a tax based on the volume of what </w:t>
      </w:r>
      <w:r w:rsidRPr="00D65843">
        <w:rPr>
          <w:rFonts w:ascii="Times New Roman" w:hAnsi="Times New Roman" w:cs="Times New Roman"/>
          <w:sz w:val="20"/>
          <w:szCs w:val="20"/>
        </w:rPr>
        <w:t>breweries produce. This new system is better for the low-volume microbreweries. (Harada, 2015; Nezine, 2020).</w:t>
      </w:r>
    </w:p>
    <w:p w14:paraId="6732CE3F" w14:textId="5B694F98" w:rsidR="00887B2E" w:rsidRDefault="00535540" w:rsidP="00D65843">
      <w:pPr>
        <w:pStyle w:val="ListParagraph"/>
        <w:numPr>
          <w:ilvl w:val="0"/>
          <w:numId w:val="3"/>
        </w:numPr>
        <w:spacing w:after="0" w:line="240" w:lineRule="auto"/>
        <w:jc w:val="both"/>
        <w:rPr>
          <w:rFonts w:ascii="Times New Roman" w:hAnsi="Times New Roman" w:cs="Times New Roman"/>
          <w:sz w:val="20"/>
          <w:szCs w:val="20"/>
        </w:rPr>
      </w:pPr>
      <w:r w:rsidRPr="00D65843">
        <w:rPr>
          <w:rFonts w:ascii="Times New Roman" w:hAnsi="Times New Roman" w:cs="Times New Roman"/>
          <w:b/>
          <w:bCs/>
          <w:sz w:val="20"/>
          <w:szCs w:val="20"/>
        </w:rPr>
        <w:t>Geographical Indication (GI) Monopolies:</w:t>
      </w:r>
      <w:r w:rsidRPr="00D65843">
        <w:rPr>
          <w:rFonts w:ascii="Times New Roman" w:hAnsi="Times New Roman" w:cs="Times New Roman"/>
          <w:sz w:val="20"/>
          <w:szCs w:val="20"/>
        </w:rPr>
        <w:t xml:space="preserve"> The law </w:t>
      </w:r>
      <w:r w:rsidR="002644D8" w:rsidRPr="00D65843">
        <w:rPr>
          <w:rFonts w:ascii="Times New Roman" w:hAnsi="Times New Roman" w:cs="Times New Roman"/>
          <w:sz w:val="20"/>
          <w:szCs w:val="20"/>
        </w:rPr>
        <w:t xml:space="preserve">states that any drink that uses a tribal name, such as Judima or Sujen, must be made in a </w:t>
      </w:r>
      <w:r w:rsidR="002644D8" w:rsidRPr="00D65843">
        <w:rPr>
          <w:rFonts w:ascii="Times New Roman" w:hAnsi="Times New Roman" w:cs="Times New Roman"/>
          <w:sz w:val="20"/>
          <w:szCs w:val="20"/>
        </w:rPr>
        <w:t>specific area and produced</w:t>
      </w:r>
      <w:r w:rsidRPr="00D65843">
        <w:rPr>
          <w:rFonts w:ascii="Times New Roman" w:hAnsi="Times New Roman" w:cs="Times New Roman"/>
          <w:sz w:val="20"/>
          <w:szCs w:val="20"/>
        </w:rPr>
        <w:t xml:space="preserve"> by the people who live there. This way, the people's old ways are protected from big companies taking them over. For example, people who study this say it </w:t>
      </w:r>
      <w:r w:rsidR="002644D8" w:rsidRPr="00D65843">
        <w:rPr>
          <w:rFonts w:ascii="Times New Roman" w:hAnsi="Times New Roman" w:cs="Times New Roman"/>
          <w:sz w:val="20"/>
          <w:szCs w:val="20"/>
        </w:rPr>
        <w:t>exists</w:t>
      </w:r>
      <w:r w:rsidRPr="00D65843">
        <w:rPr>
          <w:rFonts w:ascii="Times New Roman" w:hAnsi="Times New Roman" w:cs="Times New Roman"/>
          <w:sz w:val="20"/>
          <w:szCs w:val="20"/>
        </w:rPr>
        <w:t xml:space="preserve"> (ResearchGate, 2016; Sarmah et al., 2022). </w:t>
      </w:r>
    </w:p>
    <w:p w14:paraId="751F97C5" w14:textId="77777777" w:rsidR="00D65843" w:rsidRDefault="00D65843" w:rsidP="00653396">
      <w:pPr>
        <w:spacing w:after="0" w:line="240" w:lineRule="auto"/>
        <w:jc w:val="both"/>
        <w:rPr>
          <w:rFonts w:ascii="Times New Roman" w:hAnsi="Times New Roman" w:cs="Times New Roman"/>
          <w:b/>
          <w:bCs/>
          <w:sz w:val="20"/>
          <w:szCs w:val="20"/>
        </w:rPr>
      </w:pPr>
    </w:p>
    <w:p w14:paraId="56DF7356" w14:textId="67E47747" w:rsidR="009B0116" w:rsidRPr="00653396" w:rsidRDefault="009B0116" w:rsidP="00653396">
      <w:pPr>
        <w:spacing w:after="0" w:line="240" w:lineRule="auto"/>
        <w:jc w:val="both"/>
        <w:rPr>
          <w:rFonts w:ascii="Times New Roman" w:hAnsi="Times New Roman" w:cs="Times New Roman"/>
          <w:sz w:val="20"/>
          <w:szCs w:val="20"/>
        </w:rPr>
      </w:pPr>
      <w:r w:rsidRPr="00653396">
        <w:rPr>
          <w:rFonts w:ascii="Times New Roman" w:hAnsi="Times New Roman" w:cs="Times New Roman"/>
          <w:b/>
          <w:bCs/>
          <w:sz w:val="20"/>
          <w:szCs w:val="20"/>
        </w:rPr>
        <w:t>Operationalisation of the Cyclic Restoration Framework</w:t>
      </w:r>
      <w:r w:rsidR="005025F8">
        <w:rPr>
          <w:rFonts w:ascii="Times New Roman" w:hAnsi="Times New Roman" w:cs="Times New Roman"/>
          <w:b/>
          <w:bCs/>
          <w:sz w:val="20"/>
          <w:szCs w:val="20"/>
        </w:rPr>
        <w:t xml:space="preserve">: </w:t>
      </w:r>
      <w:r w:rsidR="005E30B9" w:rsidRPr="00653396">
        <w:rPr>
          <w:rFonts w:ascii="Times New Roman" w:hAnsi="Times New Roman" w:cs="Times New Roman"/>
          <w:sz w:val="20"/>
          <w:szCs w:val="20"/>
        </w:rPr>
        <w:t xml:space="preserve">To demonstrate that commercial scale-up can </w:t>
      </w:r>
      <w:r w:rsidR="001F26EE" w:rsidRPr="00653396">
        <w:rPr>
          <w:rFonts w:ascii="Times New Roman" w:hAnsi="Times New Roman" w:cs="Times New Roman"/>
          <w:sz w:val="20"/>
          <w:szCs w:val="20"/>
        </w:rPr>
        <w:t>exist</w:t>
      </w:r>
      <w:r w:rsidR="005E30B9" w:rsidRPr="00653396">
        <w:rPr>
          <w:rFonts w:ascii="Times New Roman" w:hAnsi="Times New Roman" w:cs="Times New Roman"/>
          <w:sz w:val="20"/>
          <w:szCs w:val="20"/>
        </w:rPr>
        <w:t xml:space="preserve"> with indigenous sovereignty, the five distinct phases of the cyclic restoration framework were analysed and validated as an interconnected system. This framework departs from linear industrial production by illustrating that each phase supplies the necessary capital and feedback mechanisms to support the subsequent stage</w:t>
      </w:r>
      <w:r w:rsidR="005025F8">
        <w:rPr>
          <w:rFonts w:ascii="Times New Roman" w:hAnsi="Times New Roman" w:cs="Times New Roman"/>
          <w:sz w:val="20"/>
          <w:szCs w:val="20"/>
        </w:rPr>
        <w:t>s</w:t>
      </w:r>
      <w:r w:rsidR="005E30B9" w:rsidRPr="00653396">
        <w:rPr>
          <w:rFonts w:ascii="Times New Roman" w:hAnsi="Times New Roman" w:cs="Times New Roman"/>
          <w:sz w:val="20"/>
          <w:szCs w:val="20"/>
        </w:rPr>
        <w:t>:</w:t>
      </w:r>
    </w:p>
    <w:p w14:paraId="500DBAA9" w14:textId="580E4831" w:rsidR="009677CF" w:rsidRPr="005025F8" w:rsidRDefault="009677CF" w:rsidP="005025F8">
      <w:pPr>
        <w:spacing w:after="0" w:line="240" w:lineRule="auto"/>
        <w:jc w:val="both"/>
        <w:rPr>
          <w:rFonts w:ascii="Times New Roman" w:hAnsi="Times New Roman" w:cs="Times New Roman"/>
          <w:b/>
          <w:bCs/>
          <w:sz w:val="18"/>
          <w:szCs w:val="18"/>
        </w:rPr>
      </w:pPr>
      <w:r w:rsidRPr="005025F8">
        <w:rPr>
          <w:rFonts w:ascii="Times New Roman" w:hAnsi="Times New Roman" w:cs="Times New Roman"/>
          <w:b/>
          <w:bCs/>
          <w:sz w:val="18"/>
          <w:szCs w:val="18"/>
        </w:rPr>
        <w:t>Premium Terroir GIs (1) → Tribal Economic Rights (2) → Natural Capital Reinvestment (3) → Social TEK Renewal (4) → Standardised Authentic Production (5)</w:t>
      </w:r>
    </w:p>
    <w:p w14:paraId="13FE8575" w14:textId="77777777" w:rsidR="00011BDD" w:rsidRPr="00011BDD" w:rsidRDefault="00011BDD" w:rsidP="00311971">
      <w:pPr>
        <w:spacing w:after="0" w:line="240" w:lineRule="auto"/>
        <w:jc w:val="center"/>
        <w:rPr>
          <w:rFonts w:ascii="Times New Roman" w:hAnsi="Times New Roman" w:cs="Times New Roman"/>
          <w:b/>
          <w:bCs/>
          <w:sz w:val="20"/>
          <w:szCs w:val="20"/>
        </w:rPr>
      </w:pPr>
    </w:p>
    <w:p w14:paraId="4F43EDBB" w14:textId="77777777" w:rsidR="00207B49" w:rsidRDefault="00207B49" w:rsidP="00311971">
      <w:pPr>
        <w:spacing w:after="0" w:line="240" w:lineRule="auto"/>
        <w:jc w:val="center"/>
        <w:rPr>
          <w:rFonts w:ascii="Times New Roman" w:hAnsi="Times New Roman" w:cs="Times New Roman"/>
          <w:b/>
          <w:bCs/>
          <w:sz w:val="20"/>
          <w:szCs w:val="20"/>
        </w:rPr>
        <w:sectPr w:rsidR="00207B49" w:rsidSect="00030032">
          <w:type w:val="continuous"/>
          <w:pgSz w:w="11906" w:h="16838"/>
          <w:pgMar w:top="1440" w:right="1440" w:bottom="1440" w:left="1440" w:header="708" w:footer="708" w:gutter="0"/>
          <w:cols w:num="2" w:space="708"/>
          <w:docGrid w:linePitch="360"/>
        </w:sectPr>
      </w:pPr>
    </w:p>
    <w:p w14:paraId="5C0CB669" w14:textId="0C86844C" w:rsidR="009677CF" w:rsidRPr="00011BDD" w:rsidRDefault="00337947" w:rsidP="00311971">
      <w:pPr>
        <w:spacing w:after="0" w:line="240" w:lineRule="auto"/>
        <w:jc w:val="center"/>
        <w:rPr>
          <w:rFonts w:ascii="Times New Roman" w:hAnsi="Times New Roman" w:cs="Times New Roman"/>
          <w:b/>
          <w:bCs/>
          <w:sz w:val="20"/>
          <w:szCs w:val="20"/>
        </w:rPr>
      </w:pPr>
      <w:r w:rsidRPr="00011BDD">
        <w:rPr>
          <w:rFonts w:ascii="Times New Roman" w:hAnsi="Times New Roman" w:cs="Times New Roman"/>
          <w:b/>
          <w:bCs/>
          <w:sz w:val="20"/>
          <w:szCs w:val="20"/>
        </w:rPr>
        <w:t xml:space="preserve">Figure </w:t>
      </w:r>
      <w:r w:rsidR="00CA08EF" w:rsidRPr="00011BDD">
        <w:rPr>
          <w:rFonts w:ascii="Times New Roman" w:hAnsi="Times New Roman" w:cs="Times New Roman"/>
          <w:b/>
          <w:bCs/>
          <w:sz w:val="20"/>
          <w:szCs w:val="20"/>
        </w:rPr>
        <w:t xml:space="preserve">5 </w:t>
      </w:r>
      <w:r w:rsidR="00D56315" w:rsidRPr="00011BDD">
        <w:rPr>
          <w:rFonts w:ascii="Times New Roman" w:hAnsi="Times New Roman" w:cs="Times New Roman"/>
          <w:b/>
          <w:bCs/>
          <w:sz w:val="20"/>
          <w:szCs w:val="20"/>
        </w:rPr>
        <w:t>Integrated Sustainability Loop</w:t>
      </w:r>
    </w:p>
    <w:p w14:paraId="716674A3" w14:textId="3E4EEF2C" w:rsidR="00CA08EF" w:rsidRDefault="00CA08EF" w:rsidP="00207B49">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3A5156" wp14:editId="5FC99343">
            <wp:extent cx="5410200" cy="2609850"/>
            <wp:effectExtent l="0" t="0" r="0" b="0"/>
            <wp:docPr id="832955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5478" name="Picture 832955478"/>
                    <pic:cNvPicPr/>
                  </pic:nvPicPr>
                  <pic:blipFill rotWithShape="1">
                    <a:blip r:embed="rId23" cstate="print">
                      <a:extLst>
                        <a:ext uri="{28A0092B-C50C-407E-A947-70E740481C1C}">
                          <a14:useLocalDpi xmlns:a14="http://schemas.microsoft.com/office/drawing/2010/main" val="0"/>
                        </a:ext>
                      </a:extLst>
                    </a:blip>
                    <a:srcRect b="14448"/>
                    <a:stretch>
                      <a:fillRect/>
                    </a:stretch>
                  </pic:blipFill>
                  <pic:spPr bwMode="auto">
                    <a:xfrm>
                      <a:off x="0" y="0"/>
                      <a:ext cx="5491327" cy="2648985"/>
                    </a:xfrm>
                    <a:prstGeom prst="rect">
                      <a:avLst/>
                    </a:prstGeom>
                    <a:ln>
                      <a:noFill/>
                    </a:ln>
                    <a:extLst>
                      <a:ext uri="{53640926-AAD7-44D8-BBD7-CCE9431645EC}">
                        <a14:shadowObscured xmlns:a14="http://schemas.microsoft.com/office/drawing/2010/main"/>
                      </a:ext>
                    </a:extLst>
                  </pic:spPr>
                </pic:pic>
              </a:graphicData>
            </a:graphic>
          </wp:inline>
        </w:drawing>
      </w:r>
    </w:p>
    <w:p w14:paraId="4D290D14" w14:textId="7AE41E8F" w:rsidR="00CA08EF" w:rsidRPr="00311971" w:rsidRDefault="00CA08EF" w:rsidP="00653396">
      <w:pPr>
        <w:spacing w:after="0" w:line="240" w:lineRule="auto"/>
        <w:jc w:val="center"/>
        <w:rPr>
          <w:rFonts w:ascii="Times New Roman" w:hAnsi="Times New Roman" w:cs="Times New Roman"/>
          <w:i/>
          <w:iCs/>
          <w:sz w:val="20"/>
          <w:szCs w:val="20"/>
        </w:rPr>
      </w:pPr>
      <w:r w:rsidRPr="00311971">
        <w:rPr>
          <w:rFonts w:ascii="Times New Roman" w:hAnsi="Times New Roman" w:cs="Times New Roman"/>
          <w:b/>
          <w:bCs/>
          <w:i/>
          <w:iCs/>
          <w:sz w:val="20"/>
          <w:szCs w:val="20"/>
        </w:rPr>
        <w:t xml:space="preserve">Source: </w:t>
      </w:r>
      <w:r w:rsidR="002A33DA" w:rsidRPr="00311971">
        <w:rPr>
          <w:rFonts w:ascii="Times New Roman" w:hAnsi="Times New Roman" w:cs="Times New Roman"/>
          <w:i/>
          <w:iCs/>
          <w:sz w:val="20"/>
          <w:szCs w:val="20"/>
        </w:rPr>
        <w:t xml:space="preserve">Compiled by the </w:t>
      </w:r>
      <w:r w:rsidR="002E05CA" w:rsidRPr="00311971">
        <w:rPr>
          <w:rFonts w:ascii="Times New Roman" w:hAnsi="Times New Roman" w:cs="Times New Roman"/>
          <w:i/>
          <w:iCs/>
          <w:sz w:val="20"/>
          <w:szCs w:val="20"/>
        </w:rPr>
        <w:t>A</w:t>
      </w:r>
      <w:r w:rsidR="002A33DA" w:rsidRPr="00311971">
        <w:rPr>
          <w:rFonts w:ascii="Times New Roman" w:hAnsi="Times New Roman" w:cs="Times New Roman"/>
          <w:i/>
          <w:iCs/>
          <w:sz w:val="20"/>
          <w:szCs w:val="20"/>
        </w:rPr>
        <w:t>uthor</w:t>
      </w:r>
      <w:r w:rsidR="00207B49">
        <w:rPr>
          <w:rFonts w:ascii="Times New Roman" w:hAnsi="Times New Roman" w:cs="Times New Roman"/>
          <w:i/>
          <w:iCs/>
          <w:sz w:val="20"/>
          <w:szCs w:val="20"/>
        </w:rPr>
        <w:t>s</w:t>
      </w:r>
    </w:p>
    <w:p w14:paraId="684975D3" w14:textId="77777777" w:rsidR="00311971" w:rsidRDefault="00311971" w:rsidP="004E5AA6">
      <w:pPr>
        <w:spacing w:after="0" w:line="240" w:lineRule="auto"/>
        <w:jc w:val="both"/>
        <w:rPr>
          <w:rFonts w:ascii="Times New Roman" w:hAnsi="Times New Roman" w:cs="Times New Roman"/>
          <w:b/>
          <w:bCs/>
          <w:sz w:val="20"/>
          <w:szCs w:val="20"/>
        </w:rPr>
      </w:pPr>
    </w:p>
    <w:p w14:paraId="7C03F04D" w14:textId="77777777" w:rsidR="00207B49" w:rsidRDefault="00207B49" w:rsidP="002437DA">
      <w:pPr>
        <w:pStyle w:val="ListParagraph"/>
        <w:numPr>
          <w:ilvl w:val="0"/>
          <w:numId w:val="5"/>
        </w:numPr>
        <w:spacing w:after="0" w:line="240" w:lineRule="auto"/>
        <w:jc w:val="both"/>
        <w:rPr>
          <w:rFonts w:ascii="Times New Roman" w:hAnsi="Times New Roman" w:cs="Times New Roman"/>
          <w:b/>
          <w:bCs/>
          <w:sz w:val="20"/>
          <w:szCs w:val="20"/>
        </w:rPr>
        <w:sectPr w:rsidR="00207B49" w:rsidSect="00207B49">
          <w:type w:val="continuous"/>
          <w:pgSz w:w="11906" w:h="16838"/>
          <w:pgMar w:top="1440" w:right="1440" w:bottom="1440" w:left="1440" w:header="708" w:footer="708" w:gutter="0"/>
          <w:cols w:space="708"/>
          <w:docGrid w:linePitch="360"/>
        </w:sectPr>
      </w:pPr>
    </w:p>
    <w:p w14:paraId="12AF59BB" w14:textId="7A0D38D0" w:rsidR="00313159" w:rsidRPr="002437DA" w:rsidRDefault="007C1839" w:rsidP="002437DA">
      <w:pPr>
        <w:pStyle w:val="ListParagraph"/>
        <w:numPr>
          <w:ilvl w:val="0"/>
          <w:numId w:val="5"/>
        </w:numPr>
        <w:spacing w:after="0" w:line="240" w:lineRule="auto"/>
        <w:jc w:val="both"/>
        <w:rPr>
          <w:rFonts w:ascii="Times New Roman" w:hAnsi="Times New Roman" w:cs="Times New Roman"/>
          <w:sz w:val="20"/>
          <w:szCs w:val="20"/>
        </w:rPr>
      </w:pPr>
      <w:r w:rsidRPr="002437DA">
        <w:rPr>
          <w:rFonts w:ascii="Times New Roman" w:hAnsi="Times New Roman" w:cs="Times New Roman"/>
          <w:b/>
          <w:bCs/>
          <w:sz w:val="20"/>
          <w:szCs w:val="20"/>
        </w:rPr>
        <w:t>Premium Terroir and GI-Protected Market Revenue</w:t>
      </w:r>
      <w:r w:rsidRPr="002437DA">
        <w:rPr>
          <w:rFonts w:ascii="Times New Roman" w:hAnsi="Times New Roman" w:cs="Times New Roman"/>
          <w:sz w:val="20"/>
          <w:szCs w:val="20"/>
        </w:rPr>
        <w:t xml:space="preserve">: </w:t>
      </w:r>
      <w:r w:rsidR="00313159" w:rsidRPr="002437DA">
        <w:rPr>
          <w:rFonts w:ascii="Times New Roman" w:hAnsi="Times New Roman" w:cs="Times New Roman"/>
          <w:sz w:val="20"/>
          <w:szCs w:val="20"/>
        </w:rPr>
        <w:t xml:space="preserve">Geographical Indications help people know that a product is from a place. Geographical Indications can </w:t>
      </w:r>
      <w:r w:rsidR="002644D8" w:rsidRPr="002437DA">
        <w:rPr>
          <w:rFonts w:ascii="Times New Roman" w:hAnsi="Times New Roman" w:cs="Times New Roman"/>
          <w:sz w:val="20"/>
          <w:szCs w:val="20"/>
        </w:rPr>
        <w:t>generate profit margins in</w:t>
      </w:r>
      <w:r w:rsidR="00313159" w:rsidRPr="002437DA">
        <w:rPr>
          <w:rFonts w:ascii="Times New Roman" w:hAnsi="Times New Roman" w:cs="Times New Roman"/>
          <w:sz w:val="20"/>
          <w:szCs w:val="20"/>
        </w:rPr>
        <w:t xml:space="preserve"> these markets. People are willing to pay more for products with Geographical Indications because they know where the products are from (Sarmah et al., 2022; The Pioneer, 2026).</w:t>
      </w:r>
    </w:p>
    <w:p w14:paraId="3876DCBB" w14:textId="77777777" w:rsidR="002437DA" w:rsidRDefault="002437DA" w:rsidP="004E5AA6">
      <w:pPr>
        <w:spacing w:after="0" w:line="240" w:lineRule="auto"/>
        <w:jc w:val="both"/>
        <w:rPr>
          <w:rFonts w:ascii="Times New Roman" w:hAnsi="Times New Roman" w:cs="Times New Roman"/>
          <w:b/>
          <w:bCs/>
          <w:sz w:val="20"/>
          <w:szCs w:val="20"/>
        </w:rPr>
      </w:pPr>
    </w:p>
    <w:p w14:paraId="6254F34D" w14:textId="60B5C5EC" w:rsidR="007C1839" w:rsidRPr="002437DA" w:rsidRDefault="007C1839" w:rsidP="002437DA">
      <w:pPr>
        <w:pStyle w:val="ListParagraph"/>
        <w:numPr>
          <w:ilvl w:val="0"/>
          <w:numId w:val="5"/>
        </w:numPr>
        <w:spacing w:after="0" w:line="240" w:lineRule="auto"/>
        <w:jc w:val="both"/>
        <w:rPr>
          <w:rFonts w:ascii="Times New Roman" w:hAnsi="Times New Roman" w:cs="Times New Roman"/>
          <w:sz w:val="20"/>
          <w:szCs w:val="20"/>
        </w:rPr>
      </w:pPr>
      <w:r w:rsidRPr="002437DA">
        <w:rPr>
          <w:rFonts w:ascii="Times New Roman" w:hAnsi="Times New Roman" w:cs="Times New Roman"/>
          <w:b/>
          <w:bCs/>
          <w:sz w:val="20"/>
          <w:szCs w:val="20"/>
        </w:rPr>
        <w:t xml:space="preserve">Collective Tribal Rights and Economic Returns: </w:t>
      </w:r>
      <w:r w:rsidR="002644D8" w:rsidRPr="002437DA">
        <w:rPr>
          <w:rFonts w:ascii="Times New Roman" w:hAnsi="Times New Roman" w:cs="Times New Roman"/>
          <w:sz w:val="20"/>
          <w:szCs w:val="20"/>
        </w:rPr>
        <w:t>Community-based ownership structures retain profits among local communities, thereby supporting sustainable livelihoods</w:t>
      </w:r>
      <w:r w:rsidRPr="002437DA">
        <w:rPr>
          <w:rFonts w:ascii="Times New Roman" w:hAnsi="Times New Roman" w:cs="Times New Roman"/>
          <w:sz w:val="20"/>
          <w:szCs w:val="20"/>
        </w:rPr>
        <w:t> (Ashokvardhan, 2000; ResearchGate, 2016).</w:t>
      </w:r>
    </w:p>
    <w:p w14:paraId="7006A989" w14:textId="42FEBE49" w:rsidR="007C1839" w:rsidRPr="002437DA" w:rsidRDefault="007C1839" w:rsidP="002437DA">
      <w:pPr>
        <w:pStyle w:val="ListParagraph"/>
        <w:numPr>
          <w:ilvl w:val="0"/>
          <w:numId w:val="5"/>
        </w:numPr>
        <w:spacing w:after="0" w:line="240" w:lineRule="auto"/>
        <w:jc w:val="both"/>
        <w:rPr>
          <w:rFonts w:ascii="Times New Roman" w:hAnsi="Times New Roman" w:cs="Times New Roman"/>
          <w:sz w:val="20"/>
          <w:szCs w:val="20"/>
        </w:rPr>
      </w:pPr>
      <w:r w:rsidRPr="002437DA">
        <w:rPr>
          <w:rFonts w:ascii="Times New Roman" w:hAnsi="Times New Roman" w:cs="Times New Roman"/>
          <w:b/>
          <w:bCs/>
          <w:sz w:val="20"/>
          <w:szCs w:val="20"/>
        </w:rPr>
        <w:t xml:space="preserve">Natural Capital Restoration: </w:t>
      </w:r>
      <w:r w:rsidRPr="002437DA">
        <w:rPr>
          <w:rFonts w:ascii="Times New Roman" w:hAnsi="Times New Roman" w:cs="Times New Roman"/>
          <w:sz w:val="20"/>
          <w:szCs w:val="20"/>
        </w:rPr>
        <w:t>Retained capital is reinvested into the ecosystem to support the conservation of wild medicinal plants essential for starter cultures and to subsidise the cultivation of climate-resilient native heirloom rice varieties (Plan, 2007; Rawat et al., 2021).</w:t>
      </w:r>
    </w:p>
    <w:p w14:paraId="1EE381F9" w14:textId="77777777" w:rsidR="002437DA" w:rsidRDefault="002437DA" w:rsidP="004E5AA6">
      <w:pPr>
        <w:spacing w:after="0" w:line="240" w:lineRule="auto"/>
        <w:jc w:val="both"/>
        <w:rPr>
          <w:rFonts w:ascii="Times New Roman" w:hAnsi="Times New Roman" w:cs="Times New Roman"/>
          <w:b/>
          <w:bCs/>
          <w:sz w:val="20"/>
          <w:szCs w:val="20"/>
        </w:rPr>
      </w:pPr>
    </w:p>
    <w:p w14:paraId="4AA2E16F" w14:textId="698B4503" w:rsidR="007C1839" w:rsidRPr="002437DA" w:rsidRDefault="007C1839" w:rsidP="002437DA">
      <w:pPr>
        <w:pStyle w:val="ListParagraph"/>
        <w:numPr>
          <w:ilvl w:val="0"/>
          <w:numId w:val="5"/>
        </w:numPr>
        <w:spacing w:after="0" w:line="240" w:lineRule="auto"/>
        <w:jc w:val="both"/>
        <w:rPr>
          <w:rFonts w:ascii="Times New Roman" w:hAnsi="Times New Roman" w:cs="Times New Roman"/>
          <w:sz w:val="20"/>
          <w:szCs w:val="20"/>
        </w:rPr>
      </w:pPr>
      <w:r w:rsidRPr="002437DA">
        <w:rPr>
          <w:rFonts w:ascii="Times New Roman" w:hAnsi="Times New Roman" w:cs="Times New Roman"/>
          <w:b/>
          <w:bCs/>
          <w:sz w:val="20"/>
          <w:szCs w:val="20"/>
        </w:rPr>
        <w:t xml:space="preserve">Social and Human Capital Renewal: </w:t>
      </w:r>
      <w:r w:rsidRPr="002437DA">
        <w:rPr>
          <w:rFonts w:ascii="Times New Roman" w:hAnsi="Times New Roman" w:cs="Times New Roman"/>
          <w:sz w:val="20"/>
          <w:szCs w:val="20"/>
        </w:rPr>
        <w:t>The economic sustainability of this system supports the intergenerational transmission of Traditional Ecological Knowledge (TEK) (Ashokvardhan, 2000; Nezine, 2020).</w:t>
      </w:r>
    </w:p>
    <w:p w14:paraId="5F90F826" w14:textId="77777777" w:rsidR="002437DA" w:rsidRDefault="002437DA" w:rsidP="004E5AA6">
      <w:pPr>
        <w:spacing w:after="0" w:line="240" w:lineRule="auto"/>
        <w:jc w:val="both"/>
        <w:rPr>
          <w:rFonts w:ascii="Times New Roman" w:hAnsi="Times New Roman" w:cs="Times New Roman"/>
          <w:b/>
          <w:bCs/>
          <w:sz w:val="20"/>
          <w:szCs w:val="20"/>
        </w:rPr>
      </w:pPr>
    </w:p>
    <w:p w14:paraId="0DEDC559" w14:textId="77777777" w:rsidR="00887B2E" w:rsidRDefault="007C1839" w:rsidP="002437DA">
      <w:pPr>
        <w:pStyle w:val="ListParagraph"/>
        <w:numPr>
          <w:ilvl w:val="0"/>
          <w:numId w:val="5"/>
        </w:numPr>
        <w:spacing w:after="0" w:line="240" w:lineRule="auto"/>
        <w:jc w:val="both"/>
        <w:rPr>
          <w:rFonts w:ascii="Times New Roman" w:hAnsi="Times New Roman" w:cs="Times New Roman"/>
          <w:sz w:val="20"/>
          <w:szCs w:val="20"/>
        </w:rPr>
      </w:pPr>
      <w:r w:rsidRPr="002437DA">
        <w:rPr>
          <w:rFonts w:ascii="Times New Roman" w:hAnsi="Times New Roman" w:cs="Times New Roman"/>
          <w:b/>
          <w:bCs/>
          <w:sz w:val="20"/>
          <w:szCs w:val="20"/>
        </w:rPr>
        <w:t xml:space="preserve">Authentic Standardised Bioprocess Production: </w:t>
      </w:r>
      <w:r w:rsidRPr="002437DA">
        <w:rPr>
          <w:rFonts w:ascii="Times New Roman" w:hAnsi="Times New Roman" w:cs="Times New Roman"/>
          <w:sz w:val="20"/>
          <w:szCs w:val="20"/>
        </w:rPr>
        <w:t xml:space="preserve">Contemporary bioprocess engineering offers clean, safe, and scalable production methods that maintain the original microbial profile, thereby supplying the premium market and </w:t>
      </w:r>
    </w:p>
    <w:p w14:paraId="75B8920A" w14:textId="77777777" w:rsidR="00887B2E" w:rsidRPr="00887B2E" w:rsidRDefault="00887B2E" w:rsidP="00887B2E">
      <w:pPr>
        <w:pStyle w:val="ListParagraph"/>
        <w:rPr>
          <w:rFonts w:ascii="Times New Roman" w:hAnsi="Times New Roman" w:cs="Times New Roman"/>
          <w:sz w:val="20"/>
          <w:szCs w:val="20"/>
        </w:rPr>
      </w:pPr>
    </w:p>
    <w:p w14:paraId="65AF321E" w14:textId="52A137FD" w:rsidR="007C1839" w:rsidRPr="002437DA" w:rsidRDefault="007C1839" w:rsidP="002437DA">
      <w:pPr>
        <w:pStyle w:val="ListParagraph"/>
        <w:numPr>
          <w:ilvl w:val="0"/>
          <w:numId w:val="5"/>
        </w:numPr>
        <w:spacing w:after="0" w:line="240" w:lineRule="auto"/>
        <w:jc w:val="both"/>
        <w:rPr>
          <w:rFonts w:ascii="Times New Roman" w:hAnsi="Times New Roman" w:cs="Times New Roman"/>
          <w:sz w:val="20"/>
          <w:szCs w:val="20"/>
        </w:rPr>
      </w:pPr>
      <w:r w:rsidRPr="002437DA">
        <w:rPr>
          <w:rFonts w:ascii="Times New Roman" w:hAnsi="Times New Roman" w:cs="Times New Roman"/>
          <w:sz w:val="20"/>
          <w:szCs w:val="20"/>
        </w:rPr>
        <w:t>completing the regenerative cycle (Das &amp; Deka, 2012; Sarmah et al., 2022).</w:t>
      </w:r>
    </w:p>
    <w:p w14:paraId="4F672402" w14:textId="77777777" w:rsidR="004E5AA6" w:rsidRDefault="004E5AA6" w:rsidP="004E5AA6">
      <w:pPr>
        <w:spacing w:after="0" w:line="240" w:lineRule="auto"/>
        <w:jc w:val="both"/>
        <w:rPr>
          <w:rFonts w:ascii="Times New Roman" w:hAnsi="Times New Roman" w:cs="Times New Roman"/>
          <w:b/>
          <w:bCs/>
          <w:sz w:val="20"/>
          <w:szCs w:val="20"/>
        </w:rPr>
      </w:pPr>
    </w:p>
    <w:p w14:paraId="084073BE" w14:textId="5C01E2D0" w:rsidR="008D7C6F" w:rsidRPr="005140A1" w:rsidRDefault="008D7C6F" w:rsidP="004E5AA6">
      <w:pPr>
        <w:spacing w:after="0" w:line="240" w:lineRule="auto"/>
        <w:jc w:val="both"/>
        <w:rPr>
          <w:rFonts w:ascii="Times New Roman" w:hAnsi="Times New Roman" w:cs="Times New Roman"/>
          <w:b/>
          <w:bCs/>
          <w:sz w:val="24"/>
          <w:szCs w:val="24"/>
        </w:rPr>
      </w:pPr>
      <w:r w:rsidRPr="005140A1">
        <w:rPr>
          <w:rFonts w:ascii="Times New Roman" w:hAnsi="Times New Roman" w:cs="Times New Roman"/>
          <w:b/>
          <w:bCs/>
          <w:sz w:val="24"/>
          <w:szCs w:val="24"/>
        </w:rPr>
        <w:t>Strategic Policy Synthesis</w:t>
      </w:r>
    </w:p>
    <w:p w14:paraId="7BC4462B" w14:textId="6CEEA984" w:rsidR="00754E38" w:rsidRPr="00653396" w:rsidRDefault="00754E38" w:rsidP="00516ED0">
      <w:pPr>
        <w:spacing w:after="0" w:line="240" w:lineRule="auto"/>
        <w:jc w:val="both"/>
        <w:rPr>
          <w:rFonts w:ascii="Times New Roman" w:hAnsi="Times New Roman" w:cs="Times New Roman"/>
          <w:sz w:val="20"/>
          <w:szCs w:val="20"/>
        </w:rPr>
      </w:pPr>
      <w:r w:rsidRPr="00653396">
        <w:rPr>
          <w:rFonts w:ascii="Times New Roman" w:hAnsi="Times New Roman" w:cs="Times New Roman"/>
          <w:sz w:val="20"/>
          <w:szCs w:val="20"/>
        </w:rPr>
        <w:t xml:space="preserve">The final analysis demonstrates that the cyclic restoration framework is not </w:t>
      </w:r>
      <w:r w:rsidR="008D7C6F" w:rsidRPr="00653396">
        <w:rPr>
          <w:rFonts w:ascii="Times New Roman" w:hAnsi="Times New Roman" w:cs="Times New Roman"/>
          <w:sz w:val="20"/>
          <w:szCs w:val="20"/>
        </w:rPr>
        <w:t>a viable</w:t>
      </w:r>
      <w:r w:rsidRPr="00653396">
        <w:rPr>
          <w:rFonts w:ascii="Times New Roman" w:hAnsi="Times New Roman" w:cs="Times New Roman"/>
          <w:sz w:val="20"/>
          <w:szCs w:val="20"/>
        </w:rPr>
        <w:t xml:space="preserve"> purely technical solution. When bioprocess scale-up is attempted under unreformed excise laws, the process fails at Phase 2, resulting in corporate capture (Nezine, 2020). In contrast, enacting policy reforms without implementing bioprocess </w:t>
      </w:r>
      <w:r w:rsidR="002644D8" w:rsidRPr="00653396">
        <w:rPr>
          <w:rFonts w:ascii="Times New Roman" w:hAnsi="Times New Roman" w:cs="Times New Roman"/>
          <w:sz w:val="20"/>
          <w:szCs w:val="20"/>
        </w:rPr>
        <w:t>standardisations</w:t>
      </w:r>
      <w:r w:rsidRPr="00653396">
        <w:rPr>
          <w:rFonts w:ascii="Times New Roman" w:hAnsi="Times New Roman" w:cs="Times New Roman"/>
          <w:sz w:val="20"/>
          <w:szCs w:val="20"/>
        </w:rPr>
        <w:t xml:space="preserve"> causes the process to fail at Phase 5 due to batch inconsistencies and safety concerns (Das &amp; Deka, 2012)</w:t>
      </w:r>
    </w:p>
    <w:p w14:paraId="54AE73B7" w14:textId="77777777" w:rsidR="00516ED0" w:rsidRDefault="00516ED0" w:rsidP="00516ED0">
      <w:pPr>
        <w:spacing w:after="0" w:line="240" w:lineRule="auto"/>
        <w:jc w:val="both"/>
        <w:rPr>
          <w:rFonts w:ascii="Times New Roman" w:hAnsi="Times New Roman" w:cs="Times New Roman"/>
          <w:sz w:val="20"/>
          <w:szCs w:val="20"/>
        </w:rPr>
      </w:pPr>
    </w:p>
    <w:p w14:paraId="03427D3F" w14:textId="37080336" w:rsidR="009F4CCA" w:rsidRPr="009F4CCA" w:rsidRDefault="009F4CCA" w:rsidP="009F4CCA">
      <w:pPr>
        <w:spacing w:after="0" w:line="240" w:lineRule="auto"/>
        <w:jc w:val="both"/>
        <w:rPr>
          <w:rFonts w:ascii="Times New Roman" w:hAnsi="Times New Roman" w:cs="Times New Roman"/>
          <w:sz w:val="20"/>
          <w:szCs w:val="20"/>
        </w:rPr>
      </w:pPr>
      <w:r w:rsidRPr="009F4CCA">
        <w:rPr>
          <w:rFonts w:ascii="Times New Roman" w:hAnsi="Times New Roman" w:cs="Times New Roman"/>
          <w:sz w:val="20"/>
          <w:szCs w:val="20"/>
        </w:rPr>
        <w:t xml:space="preserve">The </w:t>
      </w:r>
      <w:r w:rsidR="006A3D39">
        <w:rPr>
          <w:rFonts w:ascii="Times New Roman" w:hAnsi="Times New Roman" w:cs="Times New Roman"/>
          <w:sz w:val="20"/>
          <w:szCs w:val="20"/>
        </w:rPr>
        <w:t xml:space="preserve">study's major finding </w:t>
      </w:r>
      <w:r w:rsidRPr="009F4CCA">
        <w:rPr>
          <w:rFonts w:ascii="Times New Roman" w:hAnsi="Times New Roman" w:cs="Times New Roman"/>
          <w:sz w:val="20"/>
          <w:szCs w:val="20"/>
        </w:rPr>
        <w:t>is that there are things that need to be done.  First, ensure functional validation</w:t>
      </w:r>
      <w:r w:rsidR="00FC1FBD">
        <w:rPr>
          <w:rFonts w:ascii="Times New Roman" w:hAnsi="Times New Roman" w:cs="Times New Roman"/>
          <w:sz w:val="20"/>
          <w:szCs w:val="20"/>
        </w:rPr>
        <w:t>: bioprocess</w:t>
      </w:r>
      <w:r w:rsidRPr="009F4CCA">
        <w:rPr>
          <w:rFonts w:ascii="Times New Roman" w:hAnsi="Times New Roman" w:cs="Times New Roman"/>
          <w:sz w:val="20"/>
          <w:szCs w:val="20"/>
        </w:rPr>
        <w:t xml:space="preserve"> industrialisation and regulatory </w:t>
      </w:r>
      <w:r w:rsidR="00FC1FBD">
        <w:rPr>
          <w:rFonts w:ascii="Times New Roman" w:hAnsi="Times New Roman" w:cs="Times New Roman"/>
          <w:sz w:val="20"/>
          <w:szCs w:val="20"/>
        </w:rPr>
        <w:t>harmonisation</w:t>
      </w:r>
      <w:r w:rsidRPr="009F4CCA">
        <w:rPr>
          <w:rFonts w:ascii="Times New Roman" w:hAnsi="Times New Roman" w:cs="Times New Roman"/>
          <w:sz w:val="20"/>
          <w:szCs w:val="20"/>
        </w:rPr>
        <w:t xml:space="preserve">. Second, there is a need to change the way </w:t>
      </w:r>
      <w:r w:rsidR="00FC1FBD">
        <w:rPr>
          <w:rFonts w:ascii="Times New Roman" w:hAnsi="Times New Roman" w:cs="Times New Roman"/>
          <w:sz w:val="20"/>
          <w:szCs w:val="20"/>
        </w:rPr>
        <w:t xml:space="preserve">we think about fermentation and recognise that </w:t>
      </w:r>
      <w:r w:rsidR="00FC1FBD">
        <w:rPr>
          <w:rFonts w:ascii="Times New Roman" w:hAnsi="Times New Roman" w:cs="Times New Roman"/>
          <w:sz w:val="20"/>
          <w:szCs w:val="20"/>
        </w:rPr>
        <w:t>it</w:t>
      </w:r>
      <w:r w:rsidRPr="009F4CCA">
        <w:rPr>
          <w:rFonts w:ascii="Times New Roman" w:hAnsi="Times New Roman" w:cs="Times New Roman"/>
          <w:sz w:val="20"/>
          <w:szCs w:val="20"/>
        </w:rPr>
        <w:t xml:space="preserve"> can boost the economy, protect the environment, and develop the tribal community. </w:t>
      </w:r>
    </w:p>
    <w:p w14:paraId="3EC01FF5" w14:textId="77777777" w:rsidR="004E5AA6" w:rsidRDefault="004E5AA6" w:rsidP="004E5AA6">
      <w:pPr>
        <w:spacing w:after="0" w:line="240" w:lineRule="auto"/>
        <w:jc w:val="both"/>
        <w:rPr>
          <w:rFonts w:ascii="Times New Roman" w:hAnsi="Times New Roman" w:cs="Times New Roman"/>
          <w:b/>
          <w:bCs/>
          <w:sz w:val="20"/>
          <w:szCs w:val="20"/>
        </w:rPr>
      </w:pPr>
    </w:p>
    <w:p w14:paraId="09BF33B4" w14:textId="42DD4C2D" w:rsidR="002E05CA" w:rsidRPr="005140A1" w:rsidRDefault="00570B29" w:rsidP="004E5AA6">
      <w:pPr>
        <w:spacing w:after="0" w:line="240" w:lineRule="auto"/>
        <w:jc w:val="both"/>
        <w:rPr>
          <w:rFonts w:ascii="Times New Roman" w:hAnsi="Times New Roman" w:cs="Times New Roman"/>
          <w:b/>
          <w:bCs/>
          <w:sz w:val="24"/>
          <w:szCs w:val="24"/>
        </w:rPr>
      </w:pPr>
      <w:r w:rsidRPr="005140A1">
        <w:rPr>
          <w:rFonts w:ascii="Times New Roman" w:hAnsi="Times New Roman" w:cs="Times New Roman"/>
          <w:b/>
          <w:bCs/>
          <w:sz w:val="24"/>
          <w:szCs w:val="24"/>
        </w:rPr>
        <w:t>Conclusion</w:t>
      </w:r>
    </w:p>
    <w:p w14:paraId="4F3A8EFC" w14:textId="77777777" w:rsidR="00876DA8" w:rsidRDefault="007C1839" w:rsidP="00876DA8">
      <w:pPr>
        <w:spacing w:after="0" w:line="240" w:lineRule="auto"/>
        <w:ind w:firstLine="720"/>
        <w:jc w:val="both"/>
        <w:rPr>
          <w:rFonts w:ascii="Times New Roman" w:hAnsi="Times New Roman" w:cs="Times New Roman"/>
          <w:sz w:val="20"/>
          <w:szCs w:val="20"/>
        </w:rPr>
      </w:pPr>
      <w:r w:rsidRPr="00653396">
        <w:rPr>
          <w:rFonts w:ascii="Times New Roman" w:hAnsi="Times New Roman" w:cs="Times New Roman"/>
          <w:sz w:val="20"/>
          <w:szCs w:val="20"/>
        </w:rPr>
        <w:t xml:space="preserve">The way people make things in Northeast India is changing. They used to make fermented foods and drinks in a way. Now people want to make these things on a scale and sell them. This is a change for the people and the environment. We need to make sure that we use technology in a way that is fair and good for everyone. This study looks at how people used to make these things, how we can make them, and how we can make rules to protect the people who make them. We want to find a way to make these things </w:t>
      </w:r>
      <w:r w:rsidR="002644D8" w:rsidRPr="00653396">
        <w:rPr>
          <w:rFonts w:ascii="Times New Roman" w:hAnsi="Times New Roman" w:cs="Times New Roman"/>
          <w:sz w:val="20"/>
          <w:szCs w:val="20"/>
        </w:rPr>
        <w:t>without harming people or the environment, unlike what big companies usually do</w:t>
      </w:r>
      <w:r w:rsidRPr="00653396">
        <w:rPr>
          <w:rFonts w:ascii="Times New Roman" w:hAnsi="Times New Roman" w:cs="Times New Roman"/>
          <w:sz w:val="20"/>
          <w:szCs w:val="20"/>
        </w:rPr>
        <w:t xml:space="preserve">. The traditional tribal fermentation systems in Northeast India are important. </w:t>
      </w:r>
    </w:p>
    <w:p w14:paraId="6DB6A39D" w14:textId="04721061" w:rsidR="00887B2E" w:rsidRDefault="009735B9" w:rsidP="00D6731F">
      <w:pPr>
        <w:spacing w:after="0" w:line="240" w:lineRule="auto"/>
        <w:ind w:firstLine="720"/>
        <w:jc w:val="both"/>
        <w:rPr>
          <w:rFonts w:ascii="Times New Roman" w:hAnsi="Times New Roman" w:cs="Times New Roman"/>
          <w:sz w:val="20"/>
          <w:szCs w:val="20"/>
        </w:rPr>
      </w:pPr>
      <w:r w:rsidRPr="00653396">
        <w:rPr>
          <w:rFonts w:ascii="Times New Roman" w:hAnsi="Times New Roman" w:cs="Times New Roman"/>
          <w:sz w:val="20"/>
          <w:szCs w:val="20"/>
        </w:rPr>
        <w:t>Traditional foods are prepared in ways that help our bodies digest them easily. They have helpers that break down starch, and they also have good things that help keep our blood sugar levels in check. They even have bacteria that help our body fight off bad things and keep us from getting too inflamed.</w:t>
      </w:r>
      <w:r w:rsidR="00D6731F">
        <w:rPr>
          <w:rFonts w:ascii="Times New Roman" w:hAnsi="Times New Roman" w:cs="Times New Roman"/>
          <w:sz w:val="20"/>
          <w:szCs w:val="20"/>
        </w:rPr>
        <w:t xml:space="preserve"> </w:t>
      </w:r>
      <w:r w:rsidRPr="00653396">
        <w:rPr>
          <w:rFonts w:ascii="Times New Roman" w:hAnsi="Times New Roman" w:cs="Times New Roman"/>
          <w:sz w:val="20"/>
          <w:szCs w:val="20"/>
        </w:rPr>
        <w:t xml:space="preserve">The way we make these foods is not very safe. Sometimes the process of making them </w:t>
      </w:r>
      <w:r w:rsidR="002644D8" w:rsidRPr="00653396">
        <w:rPr>
          <w:rFonts w:ascii="Times New Roman" w:hAnsi="Times New Roman" w:cs="Times New Roman"/>
          <w:sz w:val="20"/>
          <w:szCs w:val="20"/>
        </w:rPr>
        <w:t xml:space="preserve">is unpredictable, which can </w:t>
      </w:r>
      <w:r w:rsidR="00653396" w:rsidRPr="00653396">
        <w:rPr>
          <w:rFonts w:ascii="Times New Roman" w:hAnsi="Times New Roman" w:cs="Times New Roman"/>
          <w:sz w:val="20"/>
          <w:szCs w:val="20"/>
        </w:rPr>
        <w:t>harm</w:t>
      </w:r>
      <w:r w:rsidRPr="00653396">
        <w:rPr>
          <w:rFonts w:ascii="Times New Roman" w:hAnsi="Times New Roman" w:cs="Times New Roman"/>
          <w:sz w:val="20"/>
          <w:szCs w:val="20"/>
        </w:rPr>
        <w:t xml:space="preserve"> the food. Also, </w:t>
      </w:r>
      <w:r w:rsidR="002644D8" w:rsidRPr="00653396">
        <w:rPr>
          <w:rFonts w:ascii="Times New Roman" w:hAnsi="Times New Roman" w:cs="Times New Roman"/>
          <w:sz w:val="20"/>
          <w:szCs w:val="20"/>
        </w:rPr>
        <w:t>government regulations make it hard for small artists to produce</w:t>
      </w:r>
      <w:r w:rsidRPr="00653396">
        <w:rPr>
          <w:rFonts w:ascii="Times New Roman" w:hAnsi="Times New Roman" w:cs="Times New Roman"/>
          <w:sz w:val="20"/>
          <w:szCs w:val="20"/>
        </w:rPr>
        <w:t xml:space="preserve"> and sell these foods. This is a problem because it means that big companies can come in and take over the making of these foods</w:t>
      </w:r>
      <w:r w:rsidR="00B52E98">
        <w:rPr>
          <w:rFonts w:ascii="Times New Roman" w:hAnsi="Times New Roman" w:cs="Times New Roman"/>
          <w:sz w:val="20"/>
          <w:szCs w:val="20"/>
        </w:rPr>
        <w:t>.</w:t>
      </w:r>
      <w:r w:rsidRPr="00653396">
        <w:rPr>
          <w:rFonts w:ascii="Times New Roman" w:hAnsi="Times New Roman" w:cs="Times New Roman"/>
          <w:sz w:val="20"/>
          <w:szCs w:val="20"/>
        </w:rPr>
        <w:t xml:space="preserve"> </w:t>
      </w:r>
    </w:p>
    <w:p w14:paraId="15FAD0FC" w14:textId="439A13FD" w:rsidR="00954356" w:rsidRPr="00653396" w:rsidRDefault="00954356" w:rsidP="00D6731F">
      <w:pPr>
        <w:spacing w:after="0" w:line="240" w:lineRule="auto"/>
        <w:ind w:firstLine="720"/>
        <w:jc w:val="both"/>
        <w:rPr>
          <w:rFonts w:ascii="Times New Roman" w:hAnsi="Times New Roman" w:cs="Times New Roman"/>
          <w:sz w:val="20"/>
          <w:szCs w:val="20"/>
        </w:rPr>
      </w:pPr>
      <w:r w:rsidRPr="00653396">
        <w:rPr>
          <w:rFonts w:ascii="Times New Roman" w:hAnsi="Times New Roman" w:cs="Times New Roman"/>
          <w:sz w:val="20"/>
          <w:szCs w:val="20"/>
        </w:rPr>
        <w:t xml:space="preserve">To really make this work, the people in charge need to change some rules. They can look at what Japan did with their "Special Doburoku Zones" for ideas. This means making it easier for small breweries to operate, </w:t>
      </w:r>
      <w:r w:rsidR="002644D8" w:rsidRPr="00653396">
        <w:rPr>
          <w:rFonts w:ascii="Times New Roman" w:hAnsi="Times New Roman" w:cs="Times New Roman"/>
          <w:sz w:val="20"/>
          <w:szCs w:val="20"/>
        </w:rPr>
        <w:t>ensuring fair taxes, and allowing local communities to control what products can claim to be</w:t>
      </w:r>
      <w:r w:rsidRPr="00653396">
        <w:rPr>
          <w:rFonts w:ascii="Times New Roman" w:hAnsi="Times New Roman" w:cs="Times New Roman"/>
          <w:sz w:val="20"/>
          <w:szCs w:val="20"/>
        </w:rPr>
        <w:t xml:space="preserve"> from a certain place. The study shows that all of these things need to happen for this to really work. The Japanese and Korean systems, like the one using Nuruk, can serve as guides for how to do this.</w:t>
      </w:r>
    </w:p>
    <w:p w14:paraId="20039923" w14:textId="77777777" w:rsidR="009D7476" w:rsidRDefault="005A4176" w:rsidP="00D6731F">
      <w:pPr>
        <w:spacing w:after="0" w:line="240" w:lineRule="auto"/>
        <w:ind w:firstLine="720"/>
        <w:jc w:val="both"/>
        <w:rPr>
          <w:rFonts w:ascii="Times New Roman" w:hAnsi="Times New Roman" w:cs="Times New Roman"/>
          <w:sz w:val="20"/>
          <w:szCs w:val="20"/>
        </w:rPr>
      </w:pPr>
      <w:r w:rsidRPr="00653396">
        <w:rPr>
          <w:rFonts w:ascii="Times New Roman" w:hAnsi="Times New Roman" w:cs="Times New Roman"/>
          <w:sz w:val="20"/>
          <w:szCs w:val="20"/>
        </w:rPr>
        <w:t xml:space="preserve">This study is about the Cyclic Restoration Framework. The Cyclic Restoration Framework is a system that works in a circle and takes care of itself and the environment. It is a socio- system. The Cyclic Restoration Framework shows that </w:t>
      </w:r>
      <w:r w:rsidR="002644D8" w:rsidRPr="00653396">
        <w:rPr>
          <w:rFonts w:ascii="Times New Roman" w:hAnsi="Times New Roman" w:cs="Times New Roman"/>
          <w:sz w:val="20"/>
          <w:szCs w:val="20"/>
        </w:rPr>
        <w:t>sales revenue can help restore places, protect tribal rights, keep areas with medicinal plants wild, and ensure</w:t>
      </w:r>
      <w:r w:rsidRPr="00653396">
        <w:rPr>
          <w:rFonts w:ascii="Times New Roman" w:hAnsi="Times New Roman" w:cs="Times New Roman"/>
          <w:sz w:val="20"/>
          <w:szCs w:val="20"/>
        </w:rPr>
        <w:t xml:space="preserve"> that Traditional Ecological Knowledge is passed down to future generations. The Cyclic Restoration Framework needs to be </w:t>
      </w:r>
      <w:r w:rsidR="002644D8" w:rsidRPr="00653396">
        <w:rPr>
          <w:rFonts w:ascii="Times New Roman" w:hAnsi="Times New Roman" w:cs="Times New Roman"/>
          <w:sz w:val="20"/>
          <w:szCs w:val="20"/>
        </w:rPr>
        <w:t>implemented in a way that verifies its effectiveness, ensures that biological processes are used as intended, and follows rules that are fair and apply equally to</w:t>
      </w:r>
      <w:r w:rsidRPr="00653396">
        <w:rPr>
          <w:rFonts w:ascii="Times New Roman" w:hAnsi="Times New Roman" w:cs="Times New Roman"/>
          <w:sz w:val="20"/>
          <w:szCs w:val="20"/>
        </w:rPr>
        <w:t xml:space="preserve"> everyone.</w:t>
      </w:r>
      <w:r w:rsidR="004E5AA6">
        <w:rPr>
          <w:rFonts w:ascii="Times New Roman" w:hAnsi="Times New Roman" w:cs="Times New Roman"/>
          <w:sz w:val="20"/>
          <w:szCs w:val="20"/>
        </w:rPr>
        <w:t xml:space="preserve"> </w:t>
      </w:r>
      <w:r w:rsidRPr="00653396">
        <w:rPr>
          <w:rFonts w:ascii="Times New Roman" w:hAnsi="Times New Roman" w:cs="Times New Roman"/>
          <w:sz w:val="20"/>
          <w:szCs w:val="20"/>
        </w:rPr>
        <w:t xml:space="preserve">The Cyclic Restoration Framework can help people who brew, especially in tribes. It can help them </w:t>
      </w:r>
      <w:r w:rsidR="002644D8" w:rsidRPr="00653396">
        <w:rPr>
          <w:rFonts w:ascii="Times New Roman" w:hAnsi="Times New Roman" w:cs="Times New Roman"/>
          <w:sz w:val="20"/>
          <w:szCs w:val="20"/>
        </w:rPr>
        <w:t>build lives</w:t>
      </w:r>
      <w:r w:rsidRPr="00653396">
        <w:rPr>
          <w:rFonts w:ascii="Times New Roman" w:hAnsi="Times New Roman" w:cs="Times New Roman"/>
          <w:sz w:val="20"/>
          <w:szCs w:val="20"/>
        </w:rPr>
        <w:t xml:space="preserve"> for themselves and their communities. The Cyclic Restoration Framework can also help keep the </w:t>
      </w:r>
      <w:r w:rsidRPr="00653396">
        <w:rPr>
          <w:rFonts w:ascii="Times New Roman" w:hAnsi="Times New Roman" w:cs="Times New Roman"/>
          <w:sz w:val="20"/>
          <w:szCs w:val="20"/>
        </w:rPr>
        <w:lastRenderedPageBreak/>
        <w:t xml:space="preserve">environment safe and make sure that tribes have control over their own lives in Northeast India. </w:t>
      </w:r>
    </w:p>
    <w:p w14:paraId="0CD44E66" w14:textId="77777777" w:rsidR="009D7476" w:rsidRDefault="009D7476" w:rsidP="00AD4E32">
      <w:pPr>
        <w:spacing w:after="0" w:line="240" w:lineRule="auto"/>
        <w:jc w:val="both"/>
        <w:rPr>
          <w:rFonts w:ascii="Times New Roman" w:hAnsi="Times New Roman" w:cs="Times New Roman"/>
          <w:sz w:val="20"/>
          <w:szCs w:val="20"/>
        </w:rPr>
      </w:pPr>
    </w:p>
    <w:p w14:paraId="7B31F3D5" w14:textId="45168AB6" w:rsidR="00E2420F" w:rsidRPr="00516ED0" w:rsidRDefault="00E2420F" w:rsidP="00AD4E32">
      <w:pPr>
        <w:spacing w:after="0" w:line="240" w:lineRule="auto"/>
        <w:jc w:val="both"/>
        <w:rPr>
          <w:rFonts w:ascii="Times New Roman" w:hAnsi="Times New Roman" w:cs="Times New Roman"/>
          <w:b/>
          <w:bCs/>
        </w:rPr>
      </w:pPr>
      <w:r w:rsidRPr="00516ED0">
        <w:rPr>
          <w:rFonts w:ascii="Times New Roman" w:hAnsi="Times New Roman" w:cs="Times New Roman"/>
          <w:b/>
          <w:bCs/>
        </w:rPr>
        <w:t>References</w:t>
      </w:r>
    </w:p>
    <w:p w14:paraId="2D0D1E48" w14:textId="77777777" w:rsidR="00E2420F" w:rsidRPr="00D6731F" w:rsidRDefault="00E2420F" w:rsidP="00442469">
      <w:pPr>
        <w:spacing w:after="180"/>
        <w:ind w:left="720" w:hanging="720"/>
        <w:rPr>
          <w:rFonts w:ascii="Times New Roman" w:hAnsi="Times New Roman" w:cs="Times New Roman"/>
        </w:rPr>
      </w:pPr>
      <w:r w:rsidRPr="00D6731F">
        <w:rPr>
          <w:rFonts w:ascii="Times New Roman" w:hAnsi="Times New Roman" w:cs="Times New Roman"/>
        </w:rPr>
        <w:t xml:space="preserve">Altieri, M. A. (1999). The ecological role of biodiversity in agroecosystems. </w:t>
      </w:r>
      <w:r w:rsidRPr="00D6731F">
        <w:rPr>
          <w:rFonts w:ascii="Times New Roman" w:hAnsi="Times New Roman" w:cs="Times New Roman"/>
          <w:i/>
          <w:iCs/>
        </w:rPr>
        <w:t>Agriculture, Ecosystems &amp; Environment, 74</w:t>
      </w:r>
      <w:r w:rsidRPr="00D6731F">
        <w:rPr>
          <w:rFonts w:ascii="Times New Roman" w:hAnsi="Times New Roman" w:cs="Times New Roman"/>
        </w:rPr>
        <w:t>(1–3), 19–31. https://doi.org/10.1016/S0167-8809(99)00028-6</w:t>
      </w:r>
    </w:p>
    <w:p w14:paraId="6B4F7B88"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Ashokvardhan, C. (2000). Tribal land rights in India. </w:t>
      </w:r>
      <w:r w:rsidRPr="00D6731F">
        <w:rPr>
          <w:rFonts w:ascii="Times New Roman" w:hAnsi="Times New Roman" w:cs="Times New Roman"/>
          <w:i/>
          <w:iCs/>
        </w:rPr>
        <w:t>Lal Bahadur Shastri National Academy of Administration Journal, 45</w:t>
      </w:r>
      <w:r w:rsidRPr="00D6731F">
        <w:rPr>
          <w:rFonts w:ascii="Times New Roman" w:hAnsi="Times New Roman" w:cs="Times New Roman"/>
        </w:rPr>
        <w:t>(1), 22–35.</w:t>
      </w:r>
    </w:p>
    <w:p w14:paraId="75287EEA" w14:textId="77777777" w:rsidR="00B52E98" w:rsidRPr="00D6731F" w:rsidRDefault="00E2420F" w:rsidP="002644D8">
      <w:pPr>
        <w:spacing w:after="180"/>
        <w:ind w:left="720" w:hanging="720"/>
        <w:jc w:val="both"/>
        <w:rPr>
          <w:rFonts w:ascii="Times New Roman" w:hAnsi="Times New Roman" w:cs="Times New Roman"/>
          <w:i/>
          <w:iCs/>
        </w:rPr>
      </w:pPr>
      <w:r w:rsidRPr="00D6731F">
        <w:rPr>
          <w:rFonts w:ascii="Times New Roman" w:hAnsi="Times New Roman" w:cs="Times New Roman"/>
        </w:rPr>
        <w:t xml:space="preserve">Bai, Y., Hou, Z., Lin, X., Luo, L., Luo, X., &amp; Zhong, Q. (2023). Traditional fermented foods and beverages: Microbial diversity, functional properties, and health benefits. </w:t>
      </w:r>
      <w:r w:rsidRPr="00D6731F">
        <w:rPr>
          <w:rFonts w:ascii="Times New Roman" w:hAnsi="Times New Roman" w:cs="Times New Roman"/>
          <w:i/>
          <w:iCs/>
        </w:rPr>
        <w:t xml:space="preserve">Frontiers in </w:t>
      </w:r>
    </w:p>
    <w:p w14:paraId="7F1084BF" w14:textId="77777777" w:rsidR="00B52E98" w:rsidRPr="00D6731F" w:rsidRDefault="00B52E98" w:rsidP="002644D8">
      <w:pPr>
        <w:spacing w:after="180"/>
        <w:ind w:left="720" w:hanging="720"/>
        <w:jc w:val="both"/>
        <w:rPr>
          <w:rFonts w:ascii="Times New Roman" w:hAnsi="Times New Roman" w:cs="Times New Roman"/>
          <w:i/>
          <w:iCs/>
        </w:rPr>
      </w:pPr>
    </w:p>
    <w:p w14:paraId="63430644" w14:textId="2D99C468" w:rsidR="00E2420F" w:rsidRPr="00D6731F" w:rsidRDefault="00E2420F" w:rsidP="00B52E98">
      <w:pPr>
        <w:spacing w:after="180"/>
        <w:ind w:left="720"/>
        <w:jc w:val="both"/>
        <w:rPr>
          <w:rFonts w:ascii="Times New Roman" w:hAnsi="Times New Roman" w:cs="Times New Roman"/>
        </w:rPr>
      </w:pPr>
      <w:r w:rsidRPr="00D6731F">
        <w:rPr>
          <w:rFonts w:ascii="Times New Roman" w:hAnsi="Times New Roman" w:cs="Times New Roman"/>
          <w:i/>
          <w:iCs/>
        </w:rPr>
        <w:t>Microbiology, 14</w:t>
      </w:r>
      <w:r w:rsidRPr="00D6731F">
        <w:rPr>
          <w:rFonts w:ascii="Times New Roman" w:hAnsi="Times New Roman" w:cs="Times New Roman"/>
        </w:rPr>
        <w:t xml:space="preserve">, Article 1207199. </w:t>
      </w:r>
      <w:hyperlink r:id="rId24" w:history="1">
        <w:r w:rsidRPr="00D6731F">
          <w:rPr>
            <w:rStyle w:val="Hyperlink"/>
            <w:rFonts w:ascii="Times New Roman" w:hAnsi="Times New Roman" w:cs="Times New Roman"/>
          </w:rPr>
          <w:t>https://doi.org/10.3389/fmicb.2023.1207199</w:t>
        </w:r>
      </w:hyperlink>
    </w:p>
    <w:p w14:paraId="1D545445"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Berkes, F., Colding, J., &amp; Folke, C. (2000). Rediscovery of traditional ecological knowledge as adaptive management. </w:t>
      </w:r>
      <w:r w:rsidRPr="00D6731F">
        <w:rPr>
          <w:rFonts w:ascii="Times New Roman" w:hAnsi="Times New Roman" w:cs="Times New Roman"/>
          <w:i/>
          <w:iCs/>
        </w:rPr>
        <w:t>Ecological Applications, 10</w:t>
      </w:r>
      <w:r w:rsidRPr="00D6731F">
        <w:rPr>
          <w:rFonts w:ascii="Times New Roman" w:hAnsi="Times New Roman" w:cs="Times New Roman"/>
        </w:rPr>
        <w:t>(5), 1251–1262. https://doi.org/10.1890/1051-0761(2000)010[1251:ROTEKA]2.0.CO;2</w:t>
      </w:r>
    </w:p>
    <w:p w14:paraId="47318E51"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Berkes, F. (2018). </w:t>
      </w:r>
      <w:r w:rsidRPr="00D6731F">
        <w:rPr>
          <w:rFonts w:ascii="Times New Roman" w:hAnsi="Times New Roman" w:cs="Times New Roman"/>
          <w:i/>
          <w:iCs/>
        </w:rPr>
        <w:t>Sacred ecology</w:t>
      </w:r>
      <w:r w:rsidRPr="00D6731F">
        <w:rPr>
          <w:rFonts w:ascii="Times New Roman" w:hAnsi="Times New Roman" w:cs="Times New Roman"/>
        </w:rPr>
        <w:t xml:space="preserve"> (4th ed.). Routledge. https://doi.org/10.4324/9780429437861</w:t>
      </w:r>
    </w:p>
    <w:p w14:paraId="17DBD957" w14:textId="1E224EA4"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Bhattacharya, B., &amp; Deka, D. C. (2023). Biochemical indices and consumption pattern of traditional alcoholic beverages by tribal communities of North-East India: A review. </w:t>
      </w:r>
      <w:r w:rsidRPr="00D6731F">
        <w:rPr>
          <w:rFonts w:ascii="Times New Roman" w:hAnsi="Times New Roman" w:cs="Times New Roman"/>
          <w:i/>
          <w:iCs/>
        </w:rPr>
        <w:t>Current Research in Nutrition and Food Science Journal.</w:t>
      </w:r>
      <w:r w:rsidR="00D6731F">
        <w:rPr>
          <w:rFonts w:ascii="Times New Roman" w:hAnsi="Times New Roman" w:cs="Times New Roman"/>
          <w:i/>
          <w:iCs/>
        </w:rPr>
        <w:t xml:space="preserve"> </w:t>
      </w:r>
      <w:r w:rsidRPr="00D6731F">
        <w:rPr>
          <w:rFonts w:ascii="Times New Roman" w:hAnsi="Times New Roman" w:cs="Times New Roman"/>
          <w:i/>
          <w:iCs/>
        </w:rPr>
        <w:t xml:space="preserve"> 11</w:t>
      </w:r>
      <w:r w:rsidRPr="00D6731F">
        <w:rPr>
          <w:rFonts w:ascii="Times New Roman" w:hAnsi="Times New Roman" w:cs="Times New Roman"/>
        </w:rPr>
        <w:t>(2), 470–487. https://doi.org/10.12944/crnfsj.11.2.02</w:t>
      </w:r>
    </w:p>
    <w:p w14:paraId="682DABB4"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Bhat, R., Bhatt, D. L., Bhavani, R. V., &amp; Joshi, H. (2016). Usage of traditional fermented products by Indian rural </w:t>
      </w:r>
      <w:r w:rsidRPr="00D6731F">
        <w:rPr>
          <w:rFonts w:ascii="Times New Roman" w:hAnsi="Times New Roman" w:cs="Times New Roman"/>
        </w:rPr>
        <w:t xml:space="preserve">folks and IPR. </w:t>
      </w:r>
      <w:r w:rsidRPr="00D6731F">
        <w:rPr>
          <w:rFonts w:ascii="Times New Roman" w:hAnsi="Times New Roman" w:cs="Times New Roman"/>
          <w:i/>
          <w:iCs/>
        </w:rPr>
        <w:t>Journal of Intellectual Property Rights, 21</w:t>
      </w:r>
      <w:r w:rsidRPr="00D6731F">
        <w:rPr>
          <w:rFonts w:ascii="Times New Roman" w:hAnsi="Times New Roman" w:cs="Times New Roman"/>
        </w:rPr>
        <w:t>(3), 162–174.</w:t>
      </w:r>
    </w:p>
    <w:p w14:paraId="3B211512"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Boro, N., &amp; Narzary, D. (2022). Amylolytic fungi in the ethnic beer starter "emao" and their beer-producing attributes. </w:t>
      </w:r>
      <w:r w:rsidRPr="00D6731F">
        <w:rPr>
          <w:rFonts w:ascii="Times New Roman" w:hAnsi="Times New Roman" w:cs="Times New Roman"/>
          <w:i/>
          <w:iCs/>
        </w:rPr>
        <w:t>Frontiers in Sustainable Food Systems, 6</w:t>
      </w:r>
      <w:r w:rsidRPr="00D6731F">
        <w:rPr>
          <w:rFonts w:ascii="Times New Roman" w:hAnsi="Times New Roman" w:cs="Times New Roman"/>
        </w:rPr>
        <w:t>, Article 869430. https://doi.org/10.3389/fsufs.2022.869430</w:t>
      </w:r>
    </w:p>
    <w:p w14:paraId="035E671E" w14:textId="77777777" w:rsidR="006555D8"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Bowen, S., &amp; Zapata, A. V. (2009). Geographical indications, terroir, and socioeconomic and ecological sustainability: The case of tequila. </w:t>
      </w:r>
      <w:r w:rsidRPr="00D6731F">
        <w:rPr>
          <w:rFonts w:ascii="Times New Roman" w:hAnsi="Times New Roman" w:cs="Times New Roman"/>
          <w:i/>
          <w:iCs/>
        </w:rPr>
        <w:t>Journal of Rural Studies, 25</w:t>
      </w:r>
      <w:r w:rsidRPr="00D6731F">
        <w:rPr>
          <w:rFonts w:ascii="Times New Roman" w:hAnsi="Times New Roman" w:cs="Times New Roman"/>
        </w:rPr>
        <w:t>(1), 108–119. https://doi.org/10.1016/j.jrurstud.2008.01.003</w:t>
      </w:r>
    </w:p>
    <w:p w14:paraId="74B43776" w14:textId="2C87DFC5" w:rsidR="006555D8" w:rsidRPr="00D6731F" w:rsidRDefault="006555D8" w:rsidP="006555D8">
      <w:pPr>
        <w:spacing w:after="180"/>
        <w:ind w:left="720" w:hanging="720"/>
        <w:jc w:val="both"/>
        <w:rPr>
          <w:rFonts w:ascii="Times New Roman" w:hAnsi="Times New Roman" w:cs="Times New Roman"/>
        </w:rPr>
      </w:pPr>
      <w:r w:rsidRPr="00D6731F">
        <w:rPr>
          <w:rFonts w:ascii="Times New Roman" w:hAnsi="Times New Roman" w:cs="Times New Roman"/>
        </w:rPr>
        <w:t>Campinho, A., Conceição, O., &amp; Dieguez, T. (2020). Innovative Research Methodologies on Social Entrepreneurship: Dive Project Case Study. European Conference on Research Methodology for Business and Management Studies, (), 39–47, VIII, X.</w:t>
      </w:r>
    </w:p>
    <w:p w14:paraId="4473A35B" w14:textId="57A693A2"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Charalampopoulos, D., Wang, R., Pandiella, S. S., &amp; Webb, C. (2002). Application of cereals and cereal components in functional foods: A review. </w:t>
      </w:r>
      <w:r w:rsidRPr="00D6731F">
        <w:rPr>
          <w:rFonts w:ascii="Times New Roman" w:hAnsi="Times New Roman" w:cs="Times New Roman"/>
          <w:i/>
          <w:iCs/>
        </w:rPr>
        <w:t>International Journal of Food Microbiology, 79</w:t>
      </w:r>
      <w:r w:rsidRPr="00D6731F">
        <w:rPr>
          <w:rFonts w:ascii="Times New Roman" w:hAnsi="Times New Roman" w:cs="Times New Roman"/>
        </w:rPr>
        <w:t>(1–2), 131–141. https://doi.org/10.1016/S0168-1605(02)00187</w:t>
      </w:r>
      <w:r w:rsidR="002644D8" w:rsidRPr="00D6731F">
        <w:rPr>
          <w:rFonts w:ascii="Times New Roman" w:hAnsi="Times New Roman" w:cs="Times New Roman"/>
        </w:rPr>
        <w:t>–</w:t>
      </w:r>
      <w:r w:rsidRPr="00D6731F">
        <w:rPr>
          <w:rFonts w:ascii="Times New Roman" w:hAnsi="Times New Roman" w:cs="Times New Roman"/>
        </w:rPr>
        <w:t>3.</w:t>
      </w:r>
    </w:p>
    <w:p w14:paraId="234EBD31"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Camprubí, G., Cayré, M., Castro, M., &amp; Owusu-Kwarteng, J. (2021). Indigenous Microbiota to Leverage Traditional Dry Sausage Production. International Journal of Food Science, 2021(),.</w:t>
      </w:r>
    </w:p>
    <w:p w14:paraId="1EBCC031"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Choudhury, M., Bhat, R., &amp; Bhatt, D. L. (2011). Traditional fermented food and beverages of Arunachal Pradesh. </w:t>
      </w:r>
      <w:r w:rsidRPr="00D6731F">
        <w:rPr>
          <w:rFonts w:ascii="Times New Roman" w:hAnsi="Times New Roman" w:cs="Times New Roman"/>
          <w:i/>
          <w:iCs/>
        </w:rPr>
        <w:t>Indian Journal of Traditional Knowledge, 10</w:t>
      </w:r>
      <w:r w:rsidRPr="00D6731F">
        <w:rPr>
          <w:rFonts w:ascii="Times New Roman" w:hAnsi="Times New Roman" w:cs="Times New Roman"/>
        </w:rPr>
        <w:t>(3), 401–408.</w:t>
      </w:r>
    </w:p>
    <w:p w14:paraId="17FFFCEA" w14:textId="77777777" w:rsidR="00B52E98" w:rsidRPr="00D6731F" w:rsidRDefault="00B52E98" w:rsidP="002644D8">
      <w:pPr>
        <w:spacing w:after="180"/>
        <w:ind w:left="720" w:hanging="720"/>
        <w:jc w:val="both"/>
        <w:rPr>
          <w:rFonts w:ascii="Times New Roman" w:hAnsi="Times New Roman" w:cs="Times New Roman"/>
        </w:rPr>
      </w:pPr>
    </w:p>
    <w:p w14:paraId="4A25E4E7" w14:textId="37C191B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lastRenderedPageBreak/>
        <w:t>Danielewicz, A., Danielewicz, A., Morze, J., Staniewska, K., Dąbrowska, A., Sawicki, T., Yang, Z., Baranowska, M., Darewicz, M., Żulewska, J., Staniewski, B., Przybyłowicz, K., &amp; Przybyłowicz, K. (2022). Association between Intake of Fermented Dairy Product and Diet Quality, Health Beliefs in a Representative Sample of Polish Population. Nutrients, 14(23), 5018.</w:t>
      </w:r>
    </w:p>
    <w:p w14:paraId="2ACB483D"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Das, A. J., &amp; Deka, S. C. (2012). Fermented foods and beverages of the North-East India: A mini review. </w:t>
      </w:r>
      <w:r w:rsidRPr="00D6731F">
        <w:rPr>
          <w:rFonts w:ascii="Times New Roman" w:hAnsi="Times New Roman" w:cs="Times New Roman"/>
          <w:i/>
          <w:iCs/>
        </w:rPr>
        <w:t>International Food Research Journal, 19</w:t>
      </w:r>
      <w:r w:rsidRPr="00D6731F">
        <w:rPr>
          <w:rFonts w:ascii="Times New Roman" w:hAnsi="Times New Roman" w:cs="Times New Roman"/>
        </w:rPr>
        <w:t>(2), 377–392.</w:t>
      </w:r>
    </w:p>
    <w:p w14:paraId="539F093A"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Das, S., Deb, D., Adak, A., &amp; Khan, M. R. (2019). Exploring the microbiota and metabolites of traditional rice beer varieties of Assam and their functionalities. </w:t>
      </w:r>
      <w:r w:rsidRPr="00D6731F">
        <w:rPr>
          <w:rFonts w:ascii="Times New Roman" w:hAnsi="Times New Roman" w:cs="Times New Roman"/>
          <w:i/>
          <w:iCs/>
        </w:rPr>
        <w:t>3 Biotech, 9</w:t>
      </w:r>
      <w:r w:rsidRPr="00D6731F">
        <w:rPr>
          <w:rFonts w:ascii="Times New Roman" w:hAnsi="Times New Roman" w:cs="Times New Roman"/>
        </w:rPr>
        <w:t>(5), Article 170. https://doi.org/10.1007/s13205-019-1702-z</w:t>
      </w:r>
    </w:p>
    <w:p w14:paraId="1731D156"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Devi, P. S., Vijayabharathi, R., Sathyabama, S., Malleshi, N. G., &amp; Priyadarisini, V. B. (2014). Health benefits of finger millet (</w:t>
      </w:r>
      <w:r w:rsidRPr="00D6731F">
        <w:rPr>
          <w:rFonts w:ascii="Times New Roman" w:hAnsi="Times New Roman" w:cs="Times New Roman"/>
          <w:i/>
          <w:iCs/>
        </w:rPr>
        <w:t>Eleusine coracana</w:t>
      </w:r>
      <w:r w:rsidRPr="00D6731F">
        <w:rPr>
          <w:rFonts w:ascii="Times New Roman" w:hAnsi="Times New Roman" w:cs="Times New Roman"/>
        </w:rPr>
        <w:t xml:space="preserve"> L.) polyphenols and dietary fibre: A review. </w:t>
      </w:r>
      <w:r w:rsidRPr="00D6731F">
        <w:rPr>
          <w:rFonts w:ascii="Times New Roman" w:hAnsi="Times New Roman" w:cs="Times New Roman"/>
          <w:i/>
          <w:iCs/>
        </w:rPr>
        <w:t>Journal of Food Science and Technology, 51</w:t>
      </w:r>
      <w:r w:rsidRPr="00D6731F">
        <w:rPr>
          <w:rFonts w:ascii="Times New Roman" w:hAnsi="Times New Roman" w:cs="Times New Roman"/>
        </w:rPr>
        <w:t>(6), 1021–1040. https://doi.org/10.1007/s13197-011-0584-9</w:t>
      </w:r>
    </w:p>
    <w:p w14:paraId="6D388CDB" w14:textId="116AB58B" w:rsidR="00E2420F" w:rsidRPr="00D6731F" w:rsidRDefault="00E2420F" w:rsidP="00852C03">
      <w:pPr>
        <w:spacing w:after="180"/>
        <w:ind w:left="720" w:hanging="720"/>
        <w:rPr>
          <w:rFonts w:ascii="Times New Roman" w:hAnsi="Times New Roman" w:cs="Times New Roman"/>
        </w:rPr>
      </w:pPr>
      <w:r w:rsidRPr="00D6731F">
        <w:rPr>
          <w:rFonts w:ascii="Times New Roman" w:hAnsi="Times New Roman" w:cs="Times New Roman"/>
        </w:rPr>
        <w:t xml:space="preserve">Dewan, S., &amp; Tamang, J. P. (2007). Dominant lactic acid bacteria and their technological properties isolated from the Himalayan ethnic fermented milk products. </w:t>
      </w:r>
      <w:r w:rsidRPr="00D6731F">
        <w:rPr>
          <w:rFonts w:ascii="Times New Roman" w:hAnsi="Times New Roman" w:cs="Times New Roman"/>
          <w:i/>
          <w:iCs/>
        </w:rPr>
        <w:t>Antonie Van Leeuwenhoek, 92</w:t>
      </w:r>
      <w:r w:rsidRPr="00D6731F">
        <w:rPr>
          <w:rFonts w:ascii="Times New Roman" w:hAnsi="Times New Roman" w:cs="Times New Roman"/>
        </w:rPr>
        <w:t>(3), 343–352. https://doi.org/10.1007/s10482-007-9163-1</w:t>
      </w:r>
    </w:p>
    <w:p w14:paraId="2D80ABBD"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Food and Agriculture Organisation. (2022). </w:t>
      </w:r>
      <w:r w:rsidRPr="00D6731F">
        <w:rPr>
          <w:rFonts w:ascii="Times New Roman" w:hAnsi="Times New Roman" w:cs="Times New Roman"/>
          <w:i/>
          <w:iCs/>
        </w:rPr>
        <w:t>Geographical indications and their role in ensuring fair access to benefits: A guide for practitioners</w:t>
      </w:r>
      <w:r w:rsidRPr="00D6731F">
        <w:rPr>
          <w:rFonts w:ascii="Times New Roman" w:hAnsi="Times New Roman" w:cs="Times New Roman"/>
        </w:rPr>
        <w:t>. FAO. https://doi.org/10.4060/cc2492en</w:t>
      </w:r>
    </w:p>
    <w:p w14:paraId="3C494701"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Fuloria, S., Mehta, J., Talukdar, M. P., Sekar, M., Gan, S. H., Subramaniyan, V., </w:t>
      </w:r>
      <w:r w:rsidRPr="00D6731F">
        <w:rPr>
          <w:rFonts w:ascii="Times New Roman" w:hAnsi="Times New Roman" w:cs="Times New Roman"/>
        </w:rPr>
        <w:t xml:space="preserve">Manuraj, S. G., &amp; Fuloria, N. K. (2022). Synbiotic effects of fermented rice on human health and wellness: A natural beverage that boosts immunity. </w:t>
      </w:r>
      <w:r w:rsidRPr="00D6731F">
        <w:rPr>
          <w:rFonts w:ascii="Times New Roman" w:hAnsi="Times New Roman" w:cs="Times New Roman"/>
          <w:i/>
          <w:iCs/>
        </w:rPr>
        <w:t>Frontiers in Microbiology, 13</w:t>
      </w:r>
      <w:r w:rsidRPr="00D6731F">
        <w:rPr>
          <w:rFonts w:ascii="Times New Roman" w:hAnsi="Times New Roman" w:cs="Times New Roman"/>
        </w:rPr>
        <w:t>, Article 950913. https://doi.org/10.3389/fmicb.2022.950913</w:t>
      </w:r>
    </w:p>
    <w:p w14:paraId="6235C6EE"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Geissdoerfer, M., Savaget, P., Bocken, N. M. P., &amp; Hultink, E. J. (2017). The circular economy – A new sustainability paradigm? </w:t>
      </w:r>
      <w:r w:rsidRPr="00D6731F">
        <w:rPr>
          <w:rFonts w:ascii="Times New Roman" w:hAnsi="Times New Roman" w:cs="Times New Roman"/>
          <w:i/>
          <w:iCs/>
        </w:rPr>
        <w:t>Journal of Cleaner Production, 143</w:t>
      </w:r>
      <w:r w:rsidRPr="00D6731F">
        <w:rPr>
          <w:rFonts w:ascii="Times New Roman" w:hAnsi="Times New Roman" w:cs="Times New Roman"/>
        </w:rPr>
        <w:t>, 757–768. https://doi.org/10.1016/j.jclepro.2016.12.048</w:t>
      </w:r>
    </w:p>
    <w:p w14:paraId="441D82EF"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Gibbons, L. V., Clements, H. S., Radeloff, V. C., &amp; Romero-Muñoz, A. (2023). Regenerative development as an integrative paradigm for sustainability. </w:t>
      </w:r>
      <w:r w:rsidRPr="00D6731F">
        <w:rPr>
          <w:rFonts w:ascii="Times New Roman" w:hAnsi="Times New Roman" w:cs="Times New Roman"/>
          <w:i/>
          <w:iCs/>
        </w:rPr>
        <w:t>Sustainability Science, 18</w:t>
      </w:r>
      <w:r w:rsidRPr="00D6731F">
        <w:rPr>
          <w:rFonts w:ascii="Times New Roman" w:hAnsi="Times New Roman" w:cs="Times New Roman"/>
        </w:rPr>
        <w:t>(6), 2951–2967. https://doi.org/10.1007/s11625-023-01388-3</w:t>
      </w:r>
    </w:p>
    <w:p w14:paraId="3B34E8EF"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Giri, S. S., Sen, S. S., &amp; Sukumaran, V. (2013). Effects of dietary supplementation of potential probiotic </w:t>
      </w:r>
      <w:r w:rsidRPr="00D6731F">
        <w:rPr>
          <w:rFonts w:ascii="Times New Roman" w:hAnsi="Times New Roman" w:cs="Times New Roman"/>
          <w:i/>
          <w:iCs/>
        </w:rPr>
        <w:t>Pseudomonas aeruginosa</w:t>
      </w:r>
      <w:r w:rsidRPr="00D6731F">
        <w:rPr>
          <w:rFonts w:ascii="Times New Roman" w:hAnsi="Times New Roman" w:cs="Times New Roman"/>
        </w:rPr>
        <w:t xml:space="preserve"> VSG-2 on the innate immunity and disease resistance of tropical freshwater fish, </w:t>
      </w:r>
      <w:r w:rsidRPr="00D6731F">
        <w:rPr>
          <w:rFonts w:ascii="Times New Roman" w:hAnsi="Times New Roman" w:cs="Times New Roman"/>
          <w:i/>
          <w:iCs/>
        </w:rPr>
        <w:t>Labeo rohita</w:t>
      </w:r>
      <w:r w:rsidRPr="00D6731F">
        <w:rPr>
          <w:rFonts w:ascii="Times New Roman" w:hAnsi="Times New Roman" w:cs="Times New Roman"/>
        </w:rPr>
        <w:t>. Fish &amp; Shellfish Immunology, 34(3), 820–827. https://doi.org/10.1016/j.fsi.2012.12.025</w:t>
      </w:r>
    </w:p>
    <w:p w14:paraId="77D8F80E"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Harada, H. (2015). Special Economic Zones as a governance tool for policy coordination and innovation. </w:t>
      </w:r>
      <w:r w:rsidRPr="00D6731F">
        <w:rPr>
          <w:rFonts w:ascii="Times New Roman" w:hAnsi="Times New Roman" w:cs="Times New Roman"/>
          <w:i/>
          <w:iCs/>
        </w:rPr>
        <w:t>Zeitschrift für Japanisches Recht, 20</w:t>
      </w:r>
      <w:r w:rsidRPr="00D6731F">
        <w:rPr>
          <w:rFonts w:ascii="Times New Roman" w:hAnsi="Times New Roman" w:cs="Times New Roman"/>
        </w:rPr>
        <w:t>(39), 115–132.</w:t>
      </w:r>
    </w:p>
    <w:p w14:paraId="59B12C1E" w14:textId="7CCAD8A9"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He, G., Huang, J., Zhou, R., Wu, C., &amp; Jin, Y. (2019). Effect of fortified </w:t>
      </w:r>
      <w:r w:rsidRPr="00D6731F">
        <w:rPr>
          <w:rFonts w:ascii="Times New Roman" w:hAnsi="Times New Roman" w:cs="Times New Roman"/>
          <w:i/>
          <w:iCs/>
        </w:rPr>
        <w:t>Daqu</w:t>
      </w:r>
      <w:r w:rsidRPr="00D6731F">
        <w:rPr>
          <w:rFonts w:ascii="Times New Roman" w:hAnsi="Times New Roman" w:cs="Times New Roman"/>
        </w:rPr>
        <w:t xml:space="preserve"> on the microbial community and flavour in the Chinese strong-flavour baijiu brewing process. </w:t>
      </w:r>
      <w:r w:rsidRPr="00D6731F">
        <w:rPr>
          <w:rFonts w:ascii="Times New Roman" w:hAnsi="Times New Roman" w:cs="Times New Roman"/>
          <w:i/>
          <w:iCs/>
        </w:rPr>
        <w:t>Frontiers in Microbiology, 10</w:t>
      </w:r>
      <w:r w:rsidRPr="00D6731F">
        <w:rPr>
          <w:rFonts w:ascii="Times New Roman" w:hAnsi="Times New Roman" w:cs="Times New Roman"/>
        </w:rPr>
        <w:t>, Article 56. https://doi.org/10.3389/fmicb.2019.00056</w:t>
      </w:r>
    </w:p>
    <w:p w14:paraId="7CF65EA0" w14:textId="774F3C2D"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Jamal, S., Upadhyay, A., &amp; Bajaj, A. (2022). Judima, the traditional rice wine and </w:t>
      </w:r>
      <w:r w:rsidRPr="00D6731F">
        <w:rPr>
          <w:rFonts w:ascii="Times New Roman" w:hAnsi="Times New Roman" w:cs="Times New Roman"/>
        </w:rPr>
        <w:lastRenderedPageBreak/>
        <w:t xml:space="preserve">Dimasa community: A geographical review of Dima Hasao. </w:t>
      </w:r>
      <w:r w:rsidRPr="00D6731F">
        <w:rPr>
          <w:rFonts w:ascii="Times New Roman" w:hAnsi="Times New Roman" w:cs="Times New Roman"/>
          <w:i/>
          <w:iCs/>
        </w:rPr>
        <w:t>Indialogs, 9</w:t>
      </w:r>
      <w:r w:rsidRPr="00D6731F">
        <w:rPr>
          <w:rFonts w:ascii="Times New Roman" w:hAnsi="Times New Roman" w:cs="Times New Roman"/>
        </w:rPr>
        <w:t>, 77–97. https://doi.org/10.5565/rev/indialogs.205</w:t>
      </w:r>
    </w:p>
    <w:p w14:paraId="12991744"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Jeyaram, K., Singh, T. A., Romi, W., Devi, A. R., Singh, W. M., Dayal, H. S., Singh, N. R., &amp; Tamang, J. P. (2009). Traditional fermented foods of Manipur. </w:t>
      </w:r>
      <w:r w:rsidRPr="00D6731F">
        <w:rPr>
          <w:rFonts w:ascii="Times New Roman" w:hAnsi="Times New Roman" w:cs="Times New Roman"/>
          <w:i/>
          <w:iCs/>
        </w:rPr>
        <w:t>Indian Journal of Traditional Knowledge, 8</w:t>
      </w:r>
      <w:r w:rsidRPr="00D6731F">
        <w:rPr>
          <w:rFonts w:ascii="Times New Roman" w:hAnsi="Times New Roman" w:cs="Times New Roman"/>
        </w:rPr>
        <w:t>(1), 115–121.</w:t>
      </w:r>
    </w:p>
    <w:p w14:paraId="161E37FD"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Jeyaram, K., Singh, W. M., Capece, A., &amp; Romano, P. (2008). Molecular identification of yeast species associated with "Hamei": A traditional starter used for rice wine production in Manipur, India. </w:t>
      </w:r>
      <w:r w:rsidRPr="00D6731F">
        <w:rPr>
          <w:rFonts w:ascii="Times New Roman" w:hAnsi="Times New Roman" w:cs="Times New Roman"/>
          <w:i/>
          <w:iCs/>
        </w:rPr>
        <w:t>International Journal of Food Microbiology, 124</w:t>
      </w:r>
      <w:r w:rsidRPr="00D6731F">
        <w:rPr>
          <w:rFonts w:ascii="Times New Roman" w:hAnsi="Times New Roman" w:cs="Times New Roman"/>
        </w:rPr>
        <w:t>(2), 115–125. https://doi.org/10.1016/j.ijfoodmicro.2008.03.004</w:t>
      </w:r>
    </w:p>
    <w:p w14:paraId="2056A5CD"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Jin, G., Zhu, Y., &amp; Xu, Y. (2017). Mystery behind Chinese liquor fermentation. </w:t>
      </w:r>
      <w:r w:rsidRPr="00D6731F">
        <w:rPr>
          <w:rFonts w:ascii="Times New Roman" w:hAnsi="Times New Roman" w:cs="Times New Roman"/>
          <w:i/>
          <w:iCs/>
        </w:rPr>
        <w:t>Trends in Food Science &amp; Technology, 63</w:t>
      </w:r>
      <w:r w:rsidRPr="00D6731F">
        <w:rPr>
          <w:rFonts w:ascii="Times New Roman" w:hAnsi="Times New Roman" w:cs="Times New Roman"/>
        </w:rPr>
        <w:t>, 18–28. https://doi.org/10.1016/j.tifs.2017.02.016</w:t>
      </w:r>
    </w:p>
    <w:p w14:paraId="3723687D"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Kühnen, V., &amp; Corrêa, D. A. (2021). Geographical indications as a mechanism for traditional food systems valorisation: A literature review. </w:t>
      </w:r>
      <w:r w:rsidRPr="00D6731F">
        <w:rPr>
          <w:rFonts w:ascii="Times New Roman" w:hAnsi="Times New Roman" w:cs="Times New Roman"/>
          <w:i/>
          <w:iCs/>
        </w:rPr>
        <w:t>Journal of Ethnic Foods, 8</w:t>
      </w:r>
      <w:r w:rsidRPr="00D6731F">
        <w:rPr>
          <w:rFonts w:ascii="Times New Roman" w:hAnsi="Times New Roman" w:cs="Times New Roman"/>
        </w:rPr>
        <w:t>(1), Article 22. https://doi.org/10.1186/s42779-021-00098-6</w:t>
      </w:r>
    </w:p>
    <w:p w14:paraId="646C5408"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Kumar, A., Gupta, S., Sharma, R., &amp; Patel, M. (2020). Fermented beverages: Role of lactic acid bacteria in flavour, texture, and health enhancement. </w:t>
      </w:r>
      <w:r w:rsidRPr="00D6731F">
        <w:rPr>
          <w:rFonts w:ascii="Times New Roman" w:hAnsi="Times New Roman" w:cs="Times New Roman"/>
          <w:i/>
          <w:iCs/>
        </w:rPr>
        <w:t>Journal of Food Science and Technology, 57</w:t>
      </w:r>
      <w:r w:rsidRPr="00D6731F">
        <w:rPr>
          <w:rFonts w:ascii="Times New Roman" w:hAnsi="Times New Roman" w:cs="Times New Roman"/>
        </w:rPr>
        <w:t>(11), 3883–3896. https://doi.org/10.1007/s13197-020-04421-2</w:t>
      </w:r>
    </w:p>
    <w:p w14:paraId="2AE0A1D5"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Larson, J. (2006). Relevance of geographical indications and designations of origin for the sustainable use of genetic resources. </w:t>
      </w:r>
      <w:r w:rsidRPr="00D6731F">
        <w:rPr>
          <w:rFonts w:ascii="Times New Roman" w:hAnsi="Times New Roman" w:cs="Times New Roman"/>
          <w:i/>
          <w:iCs/>
        </w:rPr>
        <w:t>CGSpace Global Agricultural Monographs</w:t>
      </w:r>
      <w:r w:rsidRPr="00D6731F">
        <w:rPr>
          <w:rFonts w:ascii="Times New Roman" w:hAnsi="Times New Roman" w:cs="Times New Roman"/>
        </w:rPr>
        <w:t>, 1–45.</w:t>
      </w:r>
    </w:p>
    <w:p w14:paraId="06AD2393"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Lee, J. H., Nam, S. H., Seo, W. T., Yun, H. D., Hong, S. Y., Kim, M. K., &amp; Cho, K. M. (2012). The production of some flavoured fermented soybean pastes (cheonggukjang) by inoculation of potential probiotic </w:t>
      </w:r>
      <w:r w:rsidRPr="00D6731F">
        <w:rPr>
          <w:rFonts w:ascii="Times New Roman" w:hAnsi="Times New Roman" w:cs="Times New Roman"/>
          <w:i/>
          <w:iCs/>
        </w:rPr>
        <w:t>Bacillus subtilis</w:t>
      </w:r>
      <w:r w:rsidRPr="00D6731F">
        <w:rPr>
          <w:rFonts w:ascii="Times New Roman" w:hAnsi="Times New Roman" w:cs="Times New Roman"/>
        </w:rPr>
        <w:t xml:space="preserve"> CSY191. </w:t>
      </w:r>
      <w:r w:rsidRPr="00D6731F">
        <w:rPr>
          <w:rFonts w:ascii="Times New Roman" w:hAnsi="Times New Roman" w:cs="Times New Roman"/>
          <w:i/>
          <w:iCs/>
        </w:rPr>
        <w:t>Journal of Food Science, 77</w:t>
      </w:r>
      <w:r w:rsidRPr="00D6731F">
        <w:rPr>
          <w:rFonts w:ascii="Times New Roman" w:hAnsi="Times New Roman" w:cs="Times New Roman"/>
        </w:rPr>
        <w:t>(1), M75–M83. https://doi.org/10.1111/j.1750-3841.2011.02434.x</w:t>
      </w:r>
    </w:p>
    <w:p w14:paraId="3B3A84E9"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Liu, Z., Shen, Y., &amp; Mao, J. (2021). Advances in research on the formation mechanism of koji flavour and koji quality evaluation. </w:t>
      </w:r>
      <w:r w:rsidRPr="00D6731F">
        <w:rPr>
          <w:rFonts w:ascii="Times New Roman" w:hAnsi="Times New Roman" w:cs="Times New Roman"/>
          <w:i/>
          <w:iCs/>
        </w:rPr>
        <w:t>Food Research International, 148</w:t>
      </w:r>
      <w:r w:rsidRPr="00D6731F">
        <w:rPr>
          <w:rFonts w:ascii="Times New Roman" w:hAnsi="Times New Roman" w:cs="Times New Roman"/>
        </w:rPr>
        <w:t>, Article 110560. https://doi.org/10.1016/j.foodres.2021.110560</w:t>
      </w:r>
    </w:p>
    <w:p w14:paraId="4F09B590"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Marangelo, C., Marsiglia, R., Nissen, L., Scanu, M., Toto, F., Siroli, L., Gottardi, D., Braschi, G., Chierico, F. D., Bordoni, A., Gianotti, A., Lanciotti, R., Patrignani, F., Putignani, L., &amp; Vernocchi, P. (2025). Functional foods acting on gut microbiota-related wellness: The multi-unit in vitro colon model to assess gut ecological and functional modulation. https://doi.org/10.1016/j.foodres.2024.115577</w:t>
      </w:r>
    </w:p>
    <w:p w14:paraId="428723C3"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Mahanta, C. L., &amp; Kalita, D. (2016). Ethnic fermented foods and beverages of Assam. In J. P. Tamang (Ed.), </w:t>
      </w:r>
      <w:r w:rsidRPr="00D6731F">
        <w:rPr>
          <w:rFonts w:ascii="Times New Roman" w:hAnsi="Times New Roman" w:cs="Times New Roman"/>
          <w:i/>
          <w:iCs/>
        </w:rPr>
        <w:t>Ethnic fermented foods and alcoholic beverages of Asia</w:t>
      </w:r>
      <w:r w:rsidRPr="00D6731F">
        <w:rPr>
          <w:rFonts w:ascii="Times New Roman" w:hAnsi="Times New Roman" w:cs="Times New Roman"/>
        </w:rPr>
        <w:t xml:space="preserve"> (pp. 205–225). Springer. https://doi.org/10.1007/978-81-322-2800-4_9</w:t>
      </w:r>
    </w:p>
    <w:p w14:paraId="5573D07F"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Majumdar, D., &amp; Borthakur, M. (2014). Documentation of some traditional fermented food and beverages of Bodoland, Assam. </w:t>
      </w:r>
      <w:r w:rsidRPr="00D6731F">
        <w:rPr>
          <w:rFonts w:ascii="Times New Roman" w:hAnsi="Times New Roman" w:cs="Times New Roman"/>
          <w:i/>
          <w:iCs/>
        </w:rPr>
        <w:t>Journal of Pharmacognosy and Phytochemistry, 3</w:t>
      </w:r>
      <w:r w:rsidRPr="00D6731F">
        <w:rPr>
          <w:rFonts w:ascii="Times New Roman" w:hAnsi="Times New Roman" w:cs="Times New Roman"/>
        </w:rPr>
        <w:t>(2), 115–119.</w:t>
      </w:r>
    </w:p>
    <w:p w14:paraId="350C0C51" w14:textId="77777777" w:rsidR="006555D8" w:rsidRPr="00D6731F" w:rsidRDefault="006555D8" w:rsidP="006555D8">
      <w:pPr>
        <w:spacing w:after="180"/>
        <w:ind w:left="720" w:hanging="720"/>
        <w:jc w:val="both"/>
        <w:rPr>
          <w:rFonts w:ascii="Times New Roman" w:hAnsi="Times New Roman" w:cs="Times New Roman"/>
        </w:rPr>
      </w:pPr>
      <w:r w:rsidRPr="00D6731F">
        <w:rPr>
          <w:rFonts w:ascii="Times New Roman" w:hAnsi="Times New Roman" w:cs="Times New Roman"/>
        </w:rPr>
        <w:t>Medar, C., &amp; Constantin, C. (2023). Beer and Microbiota: Pathways for a Positive and Healthy Interaction. Nutrients, 15(4), 844.</w:t>
      </w:r>
    </w:p>
    <w:p w14:paraId="57127E1D"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lastRenderedPageBreak/>
        <w:t>Miranda López, J. (2024). Food Environment and Its Effects on Human Nutrition and Health. Nutrients, 16(11), 1733.</w:t>
      </w:r>
    </w:p>
    <w:p w14:paraId="7B7D008A"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Mitani, T., Kataoka, M., &amp; Yamamoto, S. (2021). Lactic acid fermentation as a means to improve the bioavailability of minerals from cereal products. </w:t>
      </w:r>
      <w:r w:rsidRPr="00D6731F">
        <w:rPr>
          <w:rFonts w:ascii="Times New Roman" w:hAnsi="Times New Roman" w:cs="Times New Roman"/>
          <w:i/>
          <w:iCs/>
        </w:rPr>
        <w:t>Food Chemistry, 358</w:t>
      </w:r>
      <w:r w:rsidRPr="00D6731F">
        <w:rPr>
          <w:rFonts w:ascii="Times New Roman" w:hAnsi="Times New Roman" w:cs="Times New Roman"/>
        </w:rPr>
        <w:t>, Article 129832. https://doi.org/10.1016/j.foodchem.2021.129832</w:t>
      </w:r>
    </w:p>
    <w:p w14:paraId="058A9E74"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Mukherjee, P. K., Nema, N. K., Maity, N., &amp; Sarkar, B. K. (2012). Phytochemical and therapeutic potential of cucumber. </w:t>
      </w:r>
      <w:r w:rsidRPr="00D6731F">
        <w:rPr>
          <w:rFonts w:ascii="Times New Roman" w:hAnsi="Times New Roman" w:cs="Times New Roman"/>
          <w:i/>
          <w:iCs/>
        </w:rPr>
        <w:t>Fitoterapia, 84</w:t>
      </w:r>
      <w:r w:rsidRPr="00D6731F">
        <w:rPr>
          <w:rFonts w:ascii="Times New Roman" w:hAnsi="Times New Roman" w:cs="Times New Roman"/>
        </w:rPr>
        <w:t>, 227–236. https://doi.org/10.1016/j.fitote.2012.10.003</w:t>
      </w:r>
    </w:p>
    <w:p w14:paraId="31ED8668"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National Tax Agency. (2020). </w:t>
      </w:r>
      <w:r w:rsidRPr="00D6731F">
        <w:rPr>
          <w:rFonts w:ascii="Times New Roman" w:hAnsi="Times New Roman" w:cs="Times New Roman"/>
          <w:i/>
          <w:iCs/>
        </w:rPr>
        <w:t>The current status of sake and efforts by the National Tax Agency</w:t>
      </w:r>
      <w:r w:rsidRPr="00D6731F">
        <w:rPr>
          <w:rFonts w:ascii="Times New Roman" w:hAnsi="Times New Roman" w:cs="Times New Roman"/>
        </w:rPr>
        <w:t>. Government of Japan.</w:t>
      </w:r>
    </w:p>
    <w:p w14:paraId="004A1B74"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Nayak, P., &amp; Berkes, F. (2011). Commonisation and decommonisation: Understanding the processes of change in the Chilika lagoon wetland. </w:t>
      </w:r>
      <w:r w:rsidRPr="00D6731F">
        <w:rPr>
          <w:rFonts w:ascii="Times New Roman" w:hAnsi="Times New Roman" w:cs="Times New Roman"/>
          <w:i/>
          <w:iCs/>
        </w:rPr>
        <w:t>Conservation &amp; Society, 9</w:t>
      </w:r>
      <w:r w:rsidRPr="00D6731F">
        <w:rPr>
          <w:rFonts w:ascii="Times New Roman" w:hAnsi="Times New Roman" w:cs="Times New Roman"/>
        </w:rPr>
        <w:t>(2), 132–145. https://doi.org/10.4103/0972-4923.83723</w:t>
      </w:r>
    </w:p>
    <w:p w14:paraId="360BD22F"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Nezine. (2020). </w:t>
      </w:r>
      <w:r w:rsidRPr="00D6731F">
        <w:rPr>
          <w:rFonts w:ascii="Times New Roman" w:hAnsi="Times New Roman" w:cs="Times New Roman"/>
          <w:i/>
          <w:iCs/>
        </w:rPr>
        <w:t>Commercialisation of traditional brews and the impact of excise policies on indigenous livelihoods in Northeast India</w:t>
      </w:r>
      <w:r w:rsidRPr="00D6731F">
        <w:rPr>
          <w:rFonts w:ascii="Times New Roman" w:hAnsi="Times New Roman" w:cs="Times New Roman"/>
        </w:rPr>
        <w:t>. Nezine Media.</w:t>
      </w:r>
    </w:p>
    <w:p w14:paraId="7E8B32E2"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Nishida, H. (2021). Sake brewing and bacteria inhabiting sake breweries. </w:t>
      </w:r>
      <w:r w:rsidRPr="00D6731F">
        <w:rPr>
          <w:rFonts w:ascii="Times New Roman" w:hAnsi="Times New Roman" w:cs="Times New Roman"/>
          <w:i/>
          <w:iCs/>
        </w:rPr>
        <w:t>Frontiers in Microbiology, 12</w:t>
      </w:r>
      <w:r w:rsidRPr="00D6731F">
        <w:rPr>
          <w:rFonts w:ascii="Times New Roman" w:hAnsi="Times New Roman" w:cs="Times New Roman"/>
        </w:rPr>
        <w:t>, Article 602380. https://doi.org/10.3389/fmicb.2021.602380</w:t>
      </w:r>
    </w:p>
    <w:p w14:paraId="3D2C0036"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Ogawa, M., Nakamura, S., Harada, Y., Yoshida, A., &amp; Nakamura, A. (2012). Starch chain-length distribution in Aspergillus oryzae enzyme degradation. </w:t>
      </w:r>
      <w:r w:rsidRPr="00D6731F">
        <w:rPr>
          <w:rFonts w:ascii="Times New Roman" w:hAnsi="Times New Roman" w:cs="Times New Roman"/>
          <w:i/>
          <w:iCs/>
        </w:rPr>
        <w:t>Journal of Agricultural and Food Chemistry, 60</w:t>
      </w:r>
      <w:r w:rsidRPr="00D6731F">
        <w:rPr>
          <w:rFonts w:ascii="Times New Roman" w:hAnsi="Times New Roman" w:cs="Times New Roman"/>
        </w:rPr>
        <w:t>(38), 9558–9565. https://doi.org/10.1021/jf3027283</w:t>
      </w:r>
    </w:p>
    <w:p w14:paraId="5C10F80C"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Ostrom, E. (1990). </w:t>
      </w:r>
      <w:r w:rsidRPr="00D6731F">
        <w:rPr>
          <w:rFonts w:ascii="Times New Roman" w:hAnsi="Times New Roman" w:cs="Times New Roman"/>
          <w:i/>
          <w:iCs/>
        </w:rPr>
        <w:t>Governing the commons: The evolution of institutions for collective action</w:t>
      </w:r>
      <w:r w:rsidRPr="00D6731F">
        <w:rPr>
          <w:rFonts w:ascii="Times New Roman" w:hAnsi="Times New Roman" w:cs="Times New Roman"/>
        </w:rPr>
        <w:t>. Cambridge University Press. https://doi.org/10.1017/CBO9780511807763</w:t>
      </w:r>
    </w:p>
    <w:p w14:paraId="1208DBCC"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Park, H. D., &amp; Bae, S. M. (2002). Physicochemical and sensory characteristics of pears fermented with different yeasts. </w:t>
      </w:r>
      <w:r w:rsidRPr="00D6731F">
        <w:rPr>
          <w:rFonts w:ascii="Times New Roman" w:hAnsi="Times New Roman" w:cs="Times New Roman"/>
          <w:i/>
          <w:iCs/>
        </w:rPr>
        <w:t>Food Biotechnology, 11</w:t>
      </w:r>
      <w:r w:rsidRPr="00D6731F">
        <w:rPr>
          <w:rFonts w:ascii="Times New Roman" w:hAnsi="Times New Roman" w:cs="Times New Roman"/>
        </w:rPr>
        <w:t>(2), 155–160.</w:t>
      </w:r>
    </w:p>
    <w:p w14:paraId="78E4E91D"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Pei, J., Liu, Z., Huang, Y., Geng, J., Li, X., Ramachandra, S., Shang, J., &amp; Tao, Y. (2022). Potential use of emerging technologies for preservation of rice wine and their effects on quality: Updated review. </w:t>
      </w:r>
      <w:r w:rsidRPr="00D6731F">
        <w:rPr>
          <w:rFonts w:ascii="Times New Roman" w:hAnsi="Times New Roman" w:cs="Times New Roman"/>
          <w:i/>
          <w:iCs/>
        </w:rPr>
        <w:t>Frontiers in Nutrition, 9</w:t>
      </w:r>
      <w:r w:rsidRPr="00D6731F">
        <w:rPr>
          <w:rFonts w:ascii="Times New Roman" w:hAnsi="Times New Roman" w:cs="Times New Roman"/>
        </w:rPr>
        <w:t>, Article 912504. https://doi.org/10.3389/fnut.2022.912504</w:t>
      </w:r>
    </w:p>
    <w:p w14:paraId="00CFECBC"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Planning Commission, Government of India. (2007). </w:t>
      </w:r>
      <w:r w:rsidRPr="00D6731F">
        <w:rPr>
          <w:rFonts w:ascii="Times New Roman" w:hAnsi="Times New Roman" w:cs="Times New Roman"/>
          <w:i/>
          <w:iCs/>
        </w:rPr>
        <w:t>Eleventh Five-Year Plan 2007–2012: Inclusive growth</w:t>
      </w:r>
      <w:r w:rsidRPr="00D6731F">
        <w:rPr>
          <w:rFonts w:ascii="Times New Roman" w:hAnsi="Times New Roman" w:cs="Times New Roman"/>
        </w:rPr>
        <w:t xml:space="preserve"> (Vol. 1). Oxford University Press.</w:t>
      </w:r>
    </w:p>
    <w:p w14:paraId="43B98AB0"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Prajapati, J. B., &amp; Nair, B. M. (2003). The history of fermented foods. In E. R. Farnworth (Ed.), </w:t>
      </w:r>
      <w:r w:rsidRPr="00D6731F">
        <w:rPr>
          <w:rFonts w:ascii="Times New Roman" w:hAnsi="Times New Roman" w:cs="Times New Roman"/>
          <w:i/>
          <w:iCs/>
        </w:rPr>
        <w:t>Handbook of fermented functional foods</w:t>
      </w:r>
      <w:r w:rsidRPr="00D6731F">
        <w:rPr>
          <w:rFonts w:ascii="Times New Roman" w:hAnsi="Times New Roman" w:cs="Times New Roman"/>
        </w:rPr>
        <w:t xml:space="preserve"> (pp. 1–24). CRC Press.</w:t>
      </w:r>
    </w:p>
    <w:p w14:paraId="400A6A17"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Rawat, J. M., Pandey, S., Debbarma, P., &amp; Rawat, B. (2021). Preparation of alcoholic beverages by tribal communities in the Indian Himalayan region: A review on traditional and ethnic considerations. </w:t>
      </w:r>
      <w:r w:rsidRPr="00D6731F">
        <w:rPr>
          <w:rFonts w:ascii="Times New Roman" w:hAnsi="Times New Roman" w:cs="Times New Roman"/>
          <w:i/>
          <w:iCs/>
        </w:rPr>
        <w:t>Frontiers in Sustainable Food Systems, 5</w:t>
      </w:r>
      <w:r w:rsidRPr="00D6731F">
        <w:rPr>
          <w:rFonts w:ascii="Times New Roman" w:hAnsi="Times New Roman" w:cs="Times New Roman"/>
        </w:rPr>
        <w:t>, Article 672411. https://doi.org/10.3389/fsufs.2021.672411</w:t>
      </w:r>
    </w:p>
    <w:p w14:paraId="07175820" w14:textId="31D06CAF" w:rsidR="00313FD0" w:rsidRPr="00D6731F" w:rsidRDefault="00313FD0" w:rsidP="002644D8">
      <w:pPr>
        <w:spacing w:after="180"/>
        <w:ind w:left="720" w:hanging="720"/>
        <w:jc w:val="both"/>
        <w:rPr>
          <w:rFonts w:ascii="Times New Roman" w:hAnsi="Times New Roman" w:cs="Times New Roman"/>
        </w:rPr>
      </w:pPr>
      <w:r w:rsidRPr="00D6731F">
        <w:rPr>
          <w:rFonts w:ascii="Times New Roman" w:hAnsi="Times New Roman" w:cs="Times New Roman"/>
        </w:rPr>
        <w:t>Renwick, A., Robinson, C., Garnett, S., Leiper, I., Possingham, H., &amp; Carwardine, J. (2017). Mapping Indigenous land management for threatened species conservation: An Australian case-study. PLoS One, 12(3), e0173876.</w:t>
      </w:r>
    </w:p>
    <w:p w14:paraId="6A94C5BA"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lastRenderedPageBreak/>
        <w:t xml:space="preserve">Rhodes, C. J. (2017). The imperative for regenerative agriculture. </w:t>
      </w:r>
      <w:r w:rsidRPr="00D6731F">
        <w:rPr>
          <w:rFonts w:ascii="Times New Roman" w:hAnsi="Times New Roman" w:cs="Times New Roman"/>
          <w:i/>
          <w:iCs/>
        </w:rPr>
        <w:t>Science Progress, 100</w:t>
      </w:r>
      <w:r w:rsidRPr="00D6731F">
        <w:rPr>
          <w:rFonts w:ascii="Times New Roman" w:hAnsi="Times New Roman" w:cs="Times New Roman"/>
        </w:rPr>
        <w:t>(1), 80–129. https://doi.org/10.3184/003685017X14876775256165</w:t>
      </w:r>
    </w:p>
    <w:p w14:paraId="68725473"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Rijkers, G. T., de Vos, W. M., Brummer, R. J., Morelli, L., Corthier, G., &amp; Marteau, P. (2011). Health benefits and health claims of probiotics: Bridging science and marketing. </w:t>
      </w:r>
      <w:r w:rsidRPr="00D6731F">
        <w:rPr>
          <w:rFonts w:ascii="Times New Roman" w:hAnsi="Times New Roman" w:cs="Times New Roman"/>
          <w:i/>
          <w:iCs/>
        </w:rPr>
        <w:t>British Journal of Nutrition, 106</w:t>
      </w:r>
      <w:r w:rsidRPr="00D6731F">
        <w:rPr>
          <w:rFonts w:ascii="Times New Roman" w:hAnsi="Times New Roman" w:cs="Times New Roman"/>
        </w:rPr>
        <w:t>(9), 1291–1296. https://doi.org/10.1017/S000711451100287X</w:t>
      </w:r>
    </w:p>
    <w:p w14:paraId="051E9E7E"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Samantaray, P., Panda, S. K., &amp; Mishra, S. (2026). Decoding the microbial diversity of Indian fermented foods: Integrating ethnobiology, multi-omics and functional insights. </w:t>
      </w:r>
      <w:r w:rsidRPr="00D6731F">
        <w:rPr>
          <w:rFonts w:ascii="Times New Roman" w:hAnsi="Times New Roman" w:cs="Times New Roman"/>
          <w:i/>
          <w:iCs/>
        </w:rPr>
        <w:t>FEMS Microbiology Letters, 373</w:t>
      </w:r>
      <w:r w:rsidRPr="00D6731F">
        <w:rPr>
          <w:rFonts w:ascii="Times New Roman" w:hAnsi="Times New Roman" w:cs="Times New Roman"/>
        </w:rPr>
        <w:t>, Article fnaf028. https://doi.org/10.1093/femsle/fnaf028</w:t>
      </w:r>
    </w:p>
    <w:p w14:paraId="02B2EBAB"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Sarmah, P., Pegu, B. K., &amp; Sanong, J. (2022). Documentation of the traditional method of preparation and characterisation of Judima, a traditional rice beer of the Dimasa tribe of Assam and its comparison with old preserved Judima. </w:t>
      </w:r>
      <w:r w:rsidRPr="00D6731F">
        <w:rPr>
          <w:rFonts w:ascii="Times New Roman" w:hAnsi="Times New Roman" w:cs="Times New Roman"/>
          <w:i/>
          <w:iCs/>
        </w:rPr>
        <w:t>Biosciences Biotechnology Research Asia, 19</w:t>
      </w:r>
      <w:r w:rsidRPr="00D6731F">
        <w:rPr>
          <w:rFonts w:ascii="Times New Roman" w:hAnsi="Times New Roman" w:cs="Times New Roman"/>
        </w:rPr>
        <w:t>(4), 1133–1138. https://doi.org/10.13005/bbra/3062</w:t>
      </w:r>
    </w:p>
    <w:p w14:paraId="2507B2D3"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Sharma, A., Kumari, S., &amp; Agarwal, A. (2018). Microbial profiling and metabolite analysis of Indian ethnic rice beers using a metagenomic approach. </w:t>
      </w:r>
      <w:r w:rsidRPr="00D6731F">
        <w:rPr>
          <w:rFonts w:ascii="Times New Roman" w:hAnsi="Times New Roman" w:cs="Times New Roman"/>
          <w:i/>
          <w:iCs/>
        </w:rPr>
        <w:t>LWT – Food Science and Technology, 96</w:t>
      </w:r>
      <w:r w:rsidRPr="00D6731F">
        <w:rPr>
          <w:rFonts w:ascii="Times New Roman" w:hAnsi="Times New Roman" w:cs="Times New Roman"/>
        </w:rPr>
        <w:t>, 74–81. https://doi.org/10.1016/j.lwt.2018.05.027</w:t>
      </w:r>
    </w:p>
    <w:p w14:paraId="336408DF"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Sharma, S., &amp; Rai, R. (2017). Some Technological Properties of Lactic Acid Bacteria Isolated from Dahi and Datshi, Naturally Fermented Milk Products of Bhutan. https://doi.org/10.3389/fmicb.2017.00116</w:t>
      </w:r>
    </w:p>
    <w:p w14:paraId="1FB510AE"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Singh, R. K., Chang, H. W., Yan, D., Lee, K. M., Ucmak, D., Wong, K., Abrouk, M., </w:t>
      </w:r>
      <w:r w:rsidRPr="00D6731F">
        <w:rPr>
          <w:rFonts w:ascii="Times New Roman" w:hAnsi="Times New Roman" w:cs="Times New Roman"/>
        </w:rPr>
        <w:t xml:space="preserve">Farahnik, B., Nakamura, M., Zhu, T. H., Bhutani, T., &amp; Liao, W. (2017). Diet's influence on the gut microbiome and implications for human health. </w:t>
      </w:r>
      <w:r w:rsidRPr="00D6731F">
        <w:rPr>
          <w:rFonts w:ascii="Times New Roman" w:hAnsi="Times New Roman" w:cs="Times New Roman"/>
          <w:i/>
          <w:iCs/>
        </w:rPr>
        <w:t>Journal of Translational Medicine, 15</w:t>
      </w:r>
      <w:r w:rsidRPr="00D6731F">
        <w:rPr>
          <w:rFonts w:ascii="Times New Roman" w:hAnsi="Times New Roman" w:cs="Times New Roman"/>
        </w:rPr>
        <w:t>(1), Article 73. https://doi.org/10.1186/s12967-017-1175-y</w:t>
      </w:r>
    </w:p>
    <w:p w14:paraId="004DA97F"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Steinkraus, K. H. (1996). </w:t>
      </w:r>
      <w:r w:rsidRPr="00D6731F">
        <w:rPr>
          <w:rFonts w:ascii="Times New Roman" w:hAnsi="Times New Roman" w:cs="Times New Roman"/>
          <w:i/>
          <w:iCs/>
        </w:rPr>
        <w:t>Handbook of indigenous fermented foods</w:t>
      </w:r>
      <w:r w:rsidRPr="00D6731F">
        <w:rPr>
          <w:rFonts w:ascii="Times New Roman" w:hAnsi="Times New Roman" w:cs="Times New Roman"/>
        </w:rPr>
        <w:t xml:space="preserve"> (2nd ed.). Marcel Dekker.</w:t>
      </w:r>
    </w:p>
    <w:p w14:paraId="3E6C2F26"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Surber, J. P. (2019). Indigenous intellectual property: Towards a theory of cultural self-determination. </w:t>
      </w:r>
      <w:r w:rsidRPr="00D6731F">
        <w:rPr>
          <w:rFonts w:ascii="Times New Roman" w:hAnsi="Times New Roman" w:cs="Times New Roman"/>
          <w:i/>
          <w:iCs/>
        </w:rPr>
        <w:t>Journal of World Intellectual Property, 22</w:t>
      </w:r>
      <w:r w:rsidRPr="00D6731F">
        <w:rPr>
          <w:rFonts w:ascii="Times New Roman" w:hAnsi="Times New Roman" w:cs="Times New Roman"/>
        </w:rPr>
        <w:t>(3–4), 155–172. https://doi.org/10.1111/jwip.12117</w:t>
      </w:r>
    </w:p>
    <w:p w14:paraId="57599F9E"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Swaminathan, M. S. (2006). An evergreen revolution. </w:t>
      </w:r>
      <w:r w:rsidRPr="00D6731F">
        <w:rPr>
          <w:rFonts w:ascii="Times New Roman" w:hAnsi="Times New Roman" w:cs="Times New Roman"/>
          <w:i/>
          <w:iCs/>
        </w:rPr>
        <w:t>Crop Science, 46</w:t>
      </w:r>
      <w:r w:rsidRPr="00D6731F">
        <w:rPr>
          <w:rFonts w:ascii="Times New Roman" w:hAnsi="Times New Roman" w:cs="Times New Roman"/>
        </w:rPr>
        <w:t>(5), 2293–2303. https://doi.org/10.2135/cropsci2006.02.0087</w:t>
      </w:r>
    </w:p>
    <w:p w14:paraId="244D5E52"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Tang, S., Wang, Z., Yang, G., &amp; Tang, W. (2020). What Are the Implications of Globalisation on Sustainability?—A Comprehensive Study: Sustainability, 12(8), 3411.</w:t>
      </w:r>
    </w:p>
    <w:p w14:paraId="4728352C"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Tamang, J. P. (2010). </w:t>
      </w:r>
      <w:r w:rsidRPr="00D6731F">
        <w:rPr>
          <w:rFonts w:ascii="Times New Roman" w:hAnsi="Times New Roman" w:cs="Times New Roman"/>
          <w:i/>
          <w:iCs/>
        </w:rPr>
        <w:t>Himalayan fermented foods: Microbiology, nutrition, and ethnic values</w:t>
      </w:r>
      <w:r w:rsidRPr="00D6731F">
        <w:rPr>
          <w:rFonts w:ascii="Times New Roman" w:hAnsi="Times New Roman" w:cs="Times New Roman"/>
        </w:rPr>
        <w:t>. CRC Press. https://doi.org/10.1201/EBK1420093094</w:t>
      </w:r>
    </w:p>
    <w:p w14:paraId="6C8CBA77"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Tamang, J. P. (2015). Naturally fermented ethnic soybean foods of India. </w:t>
      </w:r>
      <w:r w:rsidRPr="00D6731F">
        <w:rPr>
          <w:rFonts w:ascii="Times New Roman" w:hAnsi="Times New Roman" w:cs="Times New Roman"/>
          <w:i/>
          <w:iCs/>
        </w:rPr>
        <w:t>Journal of Ethnic Foods, 2</w:t>
      </w:r>
      <w:r w:rsidRPr="00D6731F">
        <w:rPr>
          <w:rFonts w:ascii="Times New Roman" w:hAnsi="Times New Roman" w:cs="Times New Roman"/>
        </w:rPr>
        <w:t>(1), 8–17. https://doi.org/10.1016/j.jef.2015.02.003</w:t>
      </w:r>
    </w:p>
    <w:p w14:paraId="6DDA4D21"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Tamang, J. P., Cotter, P. D., Ingham, A., Singh, B. P., Rogelj, I., Gallardo, G., Chand, J. H., Bhattarai, N., Dewan, S., Dura, A., &amp; Tatsumi, K. (2016). Fermented foods in a global age: East meets West. </w:t>
      </w:r>
      <w:r w:rsidRPr="00D6731F">
        <w:rPr>
          <w:rFonts w:ascii="Times New Roman" w:hAnsi="Times New Roman" w:cs="Times New Roman"/>
          <w:i/>
          <w:iCs/>
        </w:rPr>
        <w:t>Comprehensive Reviews in Food Science and Food Safety, 15</w:t>
      </w:r>
      <w:r w:rsidRPr="00D6731F">
        <w:rPr>
          <w:rFonts w:ascii="Times New Roman" w:hAnsi="Times New Roman" w:cs="Times New Roman"/>
        </w:rPr>
        <w:t>(2), 523–545. https://doi.org/10.1111/1541-4337.12191</w:t>
      </w:r>
    </w:p>
    <w:p w14:paraId="6ACDEC63"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lastRenderedPageBreak/>
        <w:t xml:space="preserve">Tamang, J. P., &amp; Kailasapathy, K. (Eds.). (2010). </w:t>
      </w:r>
      <w:r w:rsidRPr="00D6731F">
        <w:rPr>
          <w:rFonts w:ascii="Times New Roman" w:hAnsi="Times New Roman" w:cs="Times New Roman"/>
          <w:i/>
          <w:iCs/>
        </w:rPr>
        <w:t>Fermented foods and beverages of the world</w:t>
      </w:r>
      <w:r w:rsidRPr="00D6731F">
        <w:rPr>
          <w:rFonts w:ascii="Times New Roman" w:hAnsi="Times New Roman" w:cs="Times New Roman"/>
        </w:rPr>
        <w:t>. CRC Press. https://doi.org/10.1201/EBK1420094954</w:t>
      </w:r>
    </w:p>
    <w:p w14:paraId="78F2867A"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Tamang, J. P., Shin, D. H., Jung, S. J., &amp; Chae, S. W. (2016). Functional properties of microorganisms in fermented foods. </w:t>
      </w:r>
      <w:r w:rsidRPr="00D6731F">
        <w:rPr>
          <w:rFonts w:ascii="Times New Roman" w:hAnsi="Times New Roman" w:cs="Times New Roman"/>
          <w:i/>
          <w:iCs/>
        </w:rPr>
        <w:t>Frontiers in Microbiology, 7</w:t>
      </w:r>
      <w:r w:rsidRPr="00D6731F">
        <w:rPr>
          <w:rFonts w:ascii="Times New Roman" w:hAnsi="Times New Roman" w:cs="Times New Roman"/>
        </w:rPr>
        <w:t>, Article 578. https://doi.org/10.3389/fmicb.2016.00578</w:t>
      </w:r>
    </w:p>
    <w:p w14:paraId="0B1DE18C"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Tamang, J. P., Watanabe, K., &amp; Holzapfel, W. H. (2016). Review: Diversity of microorganisms in global fermented foods and beverages. </w:t>
      </w:r>
      <w:r w:rsidRPr="00D6731F">
        <w:rPr>
          <w:rFonts w:ascii="Times New Roman" w:hAnsi="Times New Roman" w:cs="Times New Roman"/>
          <w:i/>
          <w:iCs/>
        </w:rPr>
        <w:t>Frontiers in Microbiology, 7</w:t>
      </w:r>
      <w:r w:rsidRPr="00D6731F">
        <w:rPr>
          <w:rFonts w:ascii="Times New Roman" w:hAnsi="Times New Roman" w:cs="Times New Roman"/>
        </w:rPr>
        <w:t>, Article 377. https://doi.org/10.3389/fmicb.2016.00377</w:t>
      </w:r>
    </w:p>
    <w:p w14:paraId="146268A4"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The Pioneer. (2026, January 12). Uncorking the North East's herbal heritage as a global tourism frontier. </w:t>
      </w:r>
      <w:r w:rsidRPr="00D6731F">
        <w:rPr>
          <w:rFonts w:ascii="Times New Roman" w:hAnsi="Times New Roman" w:cs="Times New Roman"/>
          <w:i/>
          <w:iCs/>
        </w:rPr>
        <w:t>Daily Pioneer</w:t>
      </w:r>
      <w:r w:rsidRPr="00D6731F">
        <w:rPr>
          <w:rFonts w:ascii="Times New Roman" w:hAnsi="Times New Roman" w:cs="Times New Roman"/>
        </w:rPr>
        <w:t>. https://www.dailypioneer.com/2026/state-editions/uncorking-the-north-east-s-herbal-heritage-as-a-global-tourism-frontier.html</w:t>
      </w:r>
    </w:p>
    <w:p w14:paraId="1E551892"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Tippsy. (2023). </w:t>
      </w:r>
      <w:r w:rsidRPr="00D6731F">
        <w:rPr>
          <w:rFonts w:ascii="Times New Roman" w:hAnsi="Times New Roman" w:cs="Times New Roman"/>
          <w:i/>
          <w:iCs/>
        </w:rPr>
        <w:t>The evolution of jizake: How regional regulations shaped modern Japanese craft sake</w:t>
      </w:r>
      <w:r w:rsidRPr="00D6731F">
        <w:rPr>
          <w:rFonts w:ascii="Times New Roman" w:hAnsi="Times New Roman" w:cs="Times New Roman"/>
        </w:rPr>
        <w:t>. Tippsy Sake Education Series. https://tippsy.com/blogs/learn/jizake-regional-sake</w:t>
      </w:r>
    </w:p>
    <w:p w14:paraId="419C6D55"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Todorov, S. D., &amp; Dicks, L. M. T. (2009). Bacteriocin production by </w:t>
      </w:r>
      <w:r w:rsidRPr="00D6731F">
        <w:rPr>
          <w:rFonts w:ascii="Times New Roman" w:hAnsi="Times New Roman" w:cs="Times New Roman"/>
          <w:i/>
          <w:iCs/>
        </w:rPr>
        <w:t>Lactobacillus plantarum</w:t>
      </w:r>
      <w:r w:rsidRPr="00D6731F">
        <w:rPr>
          <w:rFonts w:ascii="Times New Roman" w:hAnsi="Times New Roman" w:cs="Times New Roman"/>
        </w:rPr>
        <w:t xml:space="preserve"> ST8KF, a strain isolated from Kefir grains. </w:t>
      </w:r>
      <w:r w:rsidRPr="00D6731F">
        <w:rPr>
          <w:rFonts w:ascii="Times New Roman" w:hAnsi="Times New Roman" w:cs="Times New Roman"/>
          <w:i/>
          <w:iCs/>
        </w:rPr>
        <w:t>International Journal of Dairy Technology, 62</w:t>
      </w:r>
      <w:r w:rsidRPr="00D6731F">
        <w:rPr>
          <w:rFonts w:ascii="Times New Roman" w:hAnsi="Times New Roman" w:cs="Times New Roman"/>
        </w:rPr>
        <w:t>(2), 174–183. https://doi.org/10.1111/j.1471-0307.2009.00454.x</w:t>
      </w:r>
    </w:p>
    <w:p w14:paraId="291B3CFB"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Upadhyay, A., Dahal, B., &amp; Bhat, T. K. (2019). Ethnomedicinal plants used in fermented foods and beverages of Assam, Northeast India: A review. </w:t>
      </w:r>
      <w:r w:rsidRPr="00D6731F">
        <w:rPr>
          <w:rFonts w:ascii="Times New Roman" w:hAnsi="Times New Roman" w:cs="Times New Roman"/>
          <w:i/>
          <w:iCs/>
        </w:rPr>
        <w:t>Sustainable Agriculture Reviews, 34</w:t>
      </w:r>
      <w:r w:rsidRPr="00D6731F">
        <w:rPr>
          <w:rFonts w:ascii="Times New Roman" w:hAnsi="Times New Roman" w:cs="Times New Roman"/>
        </w:rPr>
        <w:t>, 197–231. https://doi.org/10.1007/978-3-030-11010-6_8</w:t>
      </w:r>
    </w:p>
    <w:p w14:paraId="14FF40A1"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van Hylckama Vlieg, J. E., Veiga, P., Zhang, C., Derrien, M., &amp; Zhao, L. (2011). Impact of microbial transformation of food on health – from fermented foods to fermentation in the gastrointestinal tract. </w:t>
      </w:r>
      <w:r w:rsidRPr="00D6731F">
        <w:rPr>
          <w:rFonts w:ascii="Times New Roman" w:hAnsi="Times New Roman" w:cs="Times New Roman"/>
          <w:i/>
          <w:iCs/>
        </w:rPr>
        <w:t>Current Opinion in Biotechnology, 22</w:t>
      </w:r>
      <w:r w:rsidRPr="00D6731F">
        <w:rPr>
          <w:rFonts w:ascii="Times New Roman" w:hAnsi="Times New Roman" w:cs="Times New Roman"/>
        </w:rPr>
        <w:t>(2), 211–219. https://doi.org/10.1016/j.copbio.2010.12.004</w:t>
      </w:r>
    </w:p>
    <w:p w14:paraId="1F5F12FE"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Wang, X., Du, H., Zhang, Y., &amp; Xu, Y. (2019). Environmental microbiota drives microbial succession and metabolic profiles during Chinese liquor fermentation. </w:t>
      </w:r>
      <w:r w:rsidRPr="00D6731F">
        <w:rPr>
          <w:rFonts w:ascii="Times New Roman" w:hAnsi="Times New Roman" w:cs="Times New Roman"/>
          <w:i/>
          <w:iCs/>
        </w:rPr>
        <w:t>Applied and Environmental Microbiology, 85</w:t>
      </w:r>
      <w:r w:rsidRPr="00D6731F">
        <w:rPr>
          <w:rFonts w:ascii="Times New Roman" w:hAnsi="Times New Roman" w:cs="Times New Roman"/>
        </w:rPr>
        <w:t>(14), Article e02369-18. https://doi.org/10.1128/AEM.02369-18</w:t>
      </w:r>
    </w:p>
    <w:p w14:paraId="1D685E16"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Wikipedia. (2024). </w:t>
      </w:r>
      <w:r w:rsidRPr="00D6731F">
        <w:rPr>
          <w:rFonts w:ascii="Times New Roman" w:hAnsi="Times New Roman" w:cs="Times New Roman"/>
          <w:i/>
          <w:iCs/>
        </w:rPr>
        <w:t>Doburoku</w:t>
      </w:r>
      <w:r w:rsidRPr="00D6731F">
        <w:rPr>
          <w:rFonts w:ascii="Times New Roman" w:hAnsi="Times New Roman" w:cs="Times New Roman"/>
        </w:rPr>
        <w:t>. Wikimedia Foundation. Retrieved May 31, 2026, from https://en.wikipedia.org/wiki/Doburoku</w:t>
      </w:r>
    </w:p>
    <w:p w14:paraId="47EE343B"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World Intellectual Property Organisation. (2017). </w:t>
      </w:r>
      <w:r w:rsidRPr="00D6731F">
        <w:rPr>
          <w:rFonts w:ascii="Times New Roman" w:hAnsi="Times New Roman" w:cs="Times New Roman"/>
          <w:i/>
          <w:iCs/>
        </w:rPr>
        <w:t>Geographical indications: An introduction</w:t>
      </w:r>
      <w:r w:rsidRPr="00D6731F">
        <w:rPr>
          <w:rFonts w:ascii="Times New Roman" w:hAnsi="Times New Roman" w:cs="Times New Roman"/>
        </w:rPr>
        <w:t>. WIPO. https://www.wipo.int/edocs/pubdocs/en/wipo_pub_952.pdf</w:t>
      </w:r>
    </w:p>
    <w:p w14:paraId="185684CB"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Xu, Y., Wang, D., Fan, W. L., Mu, X. Q., &amp; Chen, J. (2010). Traditional Chinese biotechnology. In R. Berovic &amp; M. Genuario (Eds.), </w:t>
      </w:r>
      <w:r w:rsidRPr="00D6731F">
        <w:rPr>
          <w:rFonts w:ascii="Times New Roman" w:hAnsi="Times New Roman" w:cs="Times New Roman"/>
          <w:i/>
          <w:iCs/>
        </w:rPr>
        <w:t>Advances in biochemical engineering/biotechnology</w:t>
      </w:r>
      <w:r w:rsidRPr="00D6731F">
        <w:rPr>
          <w:rFonts w:ascii="Times New Roman" w:hAnsi="Times New Roman" w:cs="Times New Roman"/>
        </w:rPr>
        <w:t xml:space="preserve"> (Vol. 122, pp. 189–233). Springer. https://doi.org/10.1007/10_2009_10</w:t>
      </w:r>
    </w:p>
    <w:p w14:paraId="4A310C8E" w14:textId="4156E4FF"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Yamamoto, K., Yoshida, S., Hashimoto, T., &amp; Kondo, K. (2020). Diversity of sake yeast strains with different fermentative profiles and flavour characteristics. </w:t>
      </w:r>
      <w:r w:rsidRPr="00D6731F">
        <w:rPr>
          <w:rFonts w:ascii="Times New Roman" w:hAnsi="Times New Roman" w:cs="Times New Roman"/>
          <w:i/>
          <w:iCs/>
        </w:rPr>
        <w:t>Bioscience, Biotechnology, and Biochemistry, 84</w:t>
      </w:r>
      <w:r w:rsidRPr="00D6731F">
        <w:rPr>
          <w:rFonts w:ascii="Times New Roman" w:hAnsi="Times New Roman" w:cs="Times New Roman"/>
        </w:rPr>
        <w:t>(9), 1794–1802</w:t>
      </w:r>
      <w:r w:rsidR="002A66DC" w:rsidRPr="00D6731F">
        <w:rPr>
          <w:rFonts w:ascii="Times New Roman" w:hAnsi="Times New Roman" w:cs="Times New Roman"/>
        </w:rPr>
        <w:t xml:space="preserve">; </w:t>
      </w:r>
      <w:r w:rsidRPr="00D6731F">
        <w:rPr>
          <w:rFonts w:ascii="Times New Roman" w:hAnsi="Times New Roman" w:cs="Times New Roman"/>
        </w:rPr>
        <w:t>https://doi.org/10.1080/09168451.2020.1770017</w:t>
      </w:r>
    </w:p>
    <w:p w14:paraId="56BB6EE3"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Yilmaz, C., &amp; Gökmen, V. (2020). Neuroactive compounds in foods: Occurrence, </w:t>
      </w:r>
      <w:r w:rsidRPr="00D6731F">
        <w:rPr>
          <w:rFonts w:ascii="Times New Roman" w:hAnsi="Times New Roman" w:cs="Times New Roman"/>
        </w:rPr>
        <w:lastRenderedPageBreak/>
        <w:t xml:space="preserve">mechanism and potential health effects. </w:t>
      </w:r>
      <w:r w:rsidRPr="00D6731F">
        <w:rPr>
          <w:rFonts w:ascii="Times New Roman" w:hAnsi="Times New Roman" w:cs="Times New Roman"/>
          <w:i/>
          <w:iCs/>
        </w:rPr>
        <w:t>Food Research International, 128</w:t>
      </w:r>
      <w:r w:rsidRPr="00D6731F">
        <w:rPr>
          <w:rFonts w:ascii="Times New Roman" w:hAnsi="Times New Roman" w:cs="Times New Roman"/>
        </w:rPr>
        <w:t>, Article 108744. https://doi.org/10.1016/j.foodres.2019.108744</w:t>
      </w:r>
    </w:p>
    <w:p w14:paraId="6F99E95B" w14:textId="5722DE3F"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Yoshizaki, Y., Yamato, H., Takamine, K., Tamaki, H., Ito, K., &amp; Sameshima, Y. (2010). Analysis of volatile compounds in shochu koji, sake koji, and shochu mash using solid-phase microextraction. </w:t>
      </w:r>
      <w:r w:rsidRPr="00D6731F">
        <w:rPr>
          <w:rFonts w:ascii="Times New Roman" w:hAnsi="Times New Roman" w:cs="Times New Roman"/>
          <w:i/>
          <w:iCs/>
        </w:rPr>
        <w:t>Food Science and Technology Research, 16</w:t>
      </w:r>
      <w:r w:rsidRPr="00D6731F">
        <w:rPr>
          <w:rFonts w:ascii="Times New Roman" w:hAnsi="Times New Roman" w:cs="Times New Roman"/>
        </w:rPr>
        <w:t>(4), 343–352.</w:t>
      </w:r>
      <w:r w:rsidR="002A66DC" w:rsidRPr="00D6731F">
        <w:rPr>
          <w:rFonts w:ascii="Times New Roman" w:hAnsi="Times New Roman" w:cs="Times New Roman"/>
        </w:rPr>
        <w:t xml:space="preserve"> </w:t>
      </w:r>
      <w:r w:rsidRPr="00D6731F">
        <w:rPr>
          <w:rFonts w:ascii="Times New Roman" w:hAnsi="Times New Roman" w:cs="Times New Roman"/>
        </w:rPr>
        <w:t>https://doi.org/10.3136/fstr.16.343</w:t>
      </w:r>
    </w:p>
    <w:p w14:paraId="7E9A41AA"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Yu, X., Li, X., Zhao, L., Yu, X., &amp; Xiao, D. (2012). Effects of different Saccharomyces cerevisiae cell morphologies on fermentation performance and flavour compounds. </w:t>
      </w:r>
      <w:r w:rsidRPr="00D6731F">
        <w:rPr>
          <w:rFonts w:ascii="Times New Roman" w:hAnsi="Times New Roman" w:cs="Times New Roman"/>
          <w:i/>
          <w:iCs/>
        </w:rPr>
        <w:t>Biotechnology Letters, 34</w:t>
      </w:r>
      <w:r w:rsidRPr="00D6731F">
        <w:rPr>
          <w:rFonts w:ascii="Times New Roman" w:hAnsi="Times New Roman" w:cs="Times New Roman"/>
        </w:rPr>
        <w:t>(7), 1259–1267. https://doi.org/10.1007/s10529-012-0893-z</w:t>
      </w:r>
    </w:p>
    <w:p w14:paraId="7ED60F77"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Zhang, L., Zhang, S., Jiang, M., Ni, X., Du, M., He, J., Bi, M., Wang, Y., Liu, C., Liu, S., &amp; Liu, S. (2024). Alleviates Anxiety-like Behaviour and Intestinal Symptoms in Two Stressed Mouse Models. Nutrients, 16(18), 3209.</w:t>
      </w:r>
    </w:p>
    <w:p w14:paraId="751C3A0B" w14:textId="4C788A0F" w:rsidR="00E2420F" w:rsidRPr="00D6731F" w:rsidRDefault="00E2420F" w:rsidP="00D6731F">
      <w:pPr>
        <w:spacing w:after="180"/>
        <w:ind w:left="720" w:hanging="720"/>
        <w:jc w:val="both"/>
        <w:rPr>
          <w:rFonts w:ascii="Times New Roman" w:hAnsi="Times New Roman" w:cs="Times New Roman"/>
        </w:rPr>
      </w:pPr>
      <w:r w:rsidRPr="00D6731F">
        <w:rPr>
          <w:rFonts w:ascii="Times New Roman" w:hAnsi="Times New Roman" w:cs="Times New Roman"/>
        </w:rPr>
        <w:t xml:space="preserve">Zhang, Y. Q., Wu, S. J., Zhao, Y. P., &amp; Zhao, M. X. (2021). Advances in research on the bioactive components and health effects of traditional Chinese fermented beverages. </w:t>
      </w:r>
      <w:r w:rsidRPr="00D6731F">
        <w:rPr>
          <w:rFonts w:ascii="Times New Roman" w:hAnsi="Times New Roman" w:cs="Times New Roman"/>
          <w:i/>
          <w:iCs/>
        </w:rPr>
        <w:t>Food &amp; Function, 12</w:t>
      </w:r>
      <w:r w:rsidRPr="00D6731F">
        <w:rPr>
          <w:rFonts w:ascii="Times New Roman" w:hAnsi="Times New Roman" w:cs="Times New Roman"/>
        </w:rPr>
        <w:t>(8), 3315–3338. https://doi.org/10.1039/D0FO02897J</w:t>
      </w:r>
    </w:p>
    <w:p w14:paraId="56EBB4E7" w14:textId="018ED3A5" w:rsidR="00E2420F" w:rsidRPr="00D6731F" w:rsidRDefault="00E2420F" w:rsidP="00B52E98">
      <w:pPr>
        <w:spacing w:after="180"/>
        <w:ind w:left="720" w:hanging="720"/>
        <w:jc w:val="both"/>
        <w:rPr>
          <w:rFonts w:ascii="Times New Roman" w:hAnsi="Times New Roman" w:cs="Times New Roman"/>
        </w:rPr>
      </w:pPr>
      <w:r w:rsidRPr="00D6731F">
        <w:rPr>
          <w:rFonts w:ascii="Times New Roman" w:hAnsi="Times New Roman" w:cs="Times New Roman"/>
        </w:rPr>
        <w:t>Zhao, C. J., Schieber, A., &amp; Gänzle, M. G. (2016).</w:t>
      </w:r>
      <w:r w:rsidR="00D6731F" w:rsidRPr="00D6731F">
        <w:rPr>
          <w:rFonts w:ascii="Times New Roman" w:hAnsi="Times New Roman" w:cs="Times New Roman"/>
        </w:rPr>
        <w:t xml:space="preserve"> </w:t>
      </w:r>
      <w:r w:rsidRPr="00D6731F">
        <w:rPr>
          <w:rFonts w:ascii="Times New Roman" w:hAnsi="Times New Roman" w:cs="Times New Roman"/>
        </w:rPr>
        <w:t xml:space="preserve">Formation of taste-active amino acids, amino acid derivatives and peptides in food fermentation – a review. </w:t>
      </w:r>
      <w:r w:rsidRPr="00D6731F">
        <w:rPr>
          <w:rFonts w:ascii="Times New Roman" w:hAnsi="Times New Roman" w:cs="Times New Roman"/>
          <w:i/>
          <w:iCs/>
        </w:rPr>
        <w:t>Food Research International, 89</w:t>
      </w:r>
      <w:r w:rsidRPr="00D6731F">
        <w:rPr>
          <w:rFonts w:ascii="Times New Roman" w:hAnsi="Times New Roman" w:cs="Times New Roman"/>
        </w:rPr>
        <w:t>(Pt. 1), 39–47. https://doi.org/10.1016/j.foodres.2016.08.042</w:t>
      </w:r>
    </w:p>
    <w:p w14:paraId="2B87D3F7" w14:textId="77777777"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Zheng, X. W., Han, B. Z., Nout, M. J. R., &amp; Chen, J. Y. (2011). Characterisation of the microbial community and volatile compounds in the Chinese traditional fermented starter </w:t>
      </w:r>
      <w:r w:rsidRPr="00D6731F">
        <w:rPr>
          <w:rFonts w:ascii="Times New Roman" w:hAnsi="Times New Roman" w:cs="Times New Roman"/>
          <w:i/>
          <w:iCs/>
        </w:rPr>
        <w:t>Daqu</w:t>
      </w:r>
      <w:r w:rsidRPr="00D6731F">
        <w:rPr>
          <w:rFonts w:ascii="Times New Roman" w:hAnsi="Times New Roman" w:cs="Times New Roman"/>
        </w:rPr>
        <w:t xml:space="preserve">. </w:t>
      </w:r>
      <w:r w:rsidRPr="00D6731F">
        <w:rPr>
          <w:rFonts w:ascii="Times New Roman" w:hAnsi="Times New Roman" w:cs="Times New Roman"/>
          <w:i/>
          <w:iCs/>
        </w:rPr>
        <w:t xml:space="preserve">International </w:t>
      </w:r>
      <w:r w:rsidRPr="00D6731F">
        <w:rPr>
          <w:rFonts w:ascii="Times New Roman" w:hAnsi="Times New Roman" w:cs="Times New Roman"/>
          <w:i/>
          <w:iCs/>
        </w:rPr>
        <w:t>Journal of Food Science &amp; Technology, 46</w:t>
      </w:r>
      <w:r w:rsidRPr="00D6731F">
        <w:rPr>
          <w:rFonts w:ascii="Times New Roman" w:hAnsi="Times New Roman" w:cs="Times New Roman"/>
        </w:rPr>
        <w:t>(9), 1885–1891. https://doi.org/10.1111/j.1365-2621.2011.02691.x</w:t>
      </w:r>
    </w:p>
    <w:p w14:paraId="3C21BB81" w14:textId="14D780A5" w:rsidR="00D612B3" w:rsidRPr="00FC1FBD" w:rsidRDefault="00E2420F" w:rsidP="002644D8">
      <w:pPr>
        <w:spacing w:after="180"/>
        <w:ind w:left="720" w:hanging="720"/>
        <w:jc w:val="both"/>
        <w:rPr>
          <w:rFonts w:ascii="Times New Roman" w:hAnsi="Times New Roman" w:cs="Times New Roman"/>
          <w:sz w:val="20"/>
          <w:szCs w:val="20"/>
        </w:rPr>
      </w:pPr>
      <w:r w:rsidRPr="00D6731F">
        <w:rPr>
          <w:rFonts w:ascii="Times New Roman" w:hAnsi="Times New Roman" w:cs="Times New Roman"/>
        </w:rPr>
        <w:t xml:space="preserve">Zhong, </w:t>
      </w:r>
      <w:r w:rsidRPr="00FC1FBD">
        <w:rPr>
          <w:rFonts w:ascii="Times New Roman" w:hAnsi="Times New Roman" w:cs="Times New Roman"/>
          <w:sz w:val="20"/>
          <w:szCs w:val="20"/>
        </w:rPr>
        <w:t xml:space="preserve">C., Zu, S., Liu, J., Zheng, Z., &amp; Huang, J. (2022). Characterisation of microbial communities and metabolic profiles in Baijiu fermentation with different starter amounts. </w:t>
      </w:r>
      <w:r w:rsidRPr="00FC1FBD">
        <w:rPr>
          <w:rFonts w:ascii="Times New Roman" w:hAnsi="Times New Roman" w:cs="Times New Roman"/>
          <w:i/>
          <w:iCs/>
          <w:sz w:val="20"/>
          <w:szCs w:val="20"/>
        </w:rPr>
        <w:t>LWT – Food Science and Technology, 154</w:t>
      </w:r>
      <w:r w:rsidRPr="00FC1FBD">
        <w:rPr>
          <w:rFonts w:ascii="Times New Roman" w:hAnsi="Times New Roman" w:cs="Times New Roman"/>
          <w:sz w:val="20"/>
          <w:szCs w:val="20"/>
        </w:rPr>
        <w:t>, Article 112713. https://doi.org/10.1016/j.lwt.2021.112</w:t>
      </w:r>
      <w:r w:rsidR="00D2037A" w:rsidRPr="00FC1FBD">
        <w:rPr>
          <w:rFonts w:ascii="Times New Roman" w:hAnsi="Times New Roman" w:cs="Times New Roman"/>
          <w:sz w:val="20"/>
          <w:szCs w:val="20"/>
        </w:rPr>
        <w:t xml:space="preserve"> </w:t>
      </w:r>
      <w:r w:rsidRPr="00FC1FBD">
        <w:rPr>
          <w:rFonts w:ascii="Times New Roman" w:hAnsi="Times New Roman" w:cs="Times New Roman"/>
          <w:sz w:val="20"/>
          <w:szCs w:val="20"/>
        </w:rPr>
        <w:t>713</w:t>
      </w:r>
    </w:p>
    <w:p w14:paraId="46334AD7" w14:textId="77777777" w:rsidR="007D437A" w:rsidRPr="00D6731F" w:rsidRDefault="00E2420F" w:rsidP="002644D8">
      <w:pPr>
        <w:spacing w:after="180"/>
        <w:ind w:left="720" w:hanging="720"/>
        <w:jc w:val="both"/>
        <w:rPr>
          <w:rFonts w:ascii="Times New Roman" w:hAnsi="Times New Roman" w:cs="Times New Roman"/>
          <w:i/>
          <w:iCs/>
        </w:rPr>
      </w:pPr>
      <w:r w:rsidRPr="00D6731F">
        <w:rPr>
          <w:rFonts w:ascii="Times New Roman" w:hAnsi="Times New Roman" w:cs="Times New Roman"/>
        </w:rPr>
        <w:t xml:space="preserve">Nishida, H., &amp; Fujii, H. (2022). Comparative genomic analysis of </w:t>
      </w:r>
      <w:r w:rsidRPr="00D6731F">
        <w:rPr>
          <w:rFonts w:ascii="Times New Roman" w:hAnsi="Times New Roman" w:cs="Times New Roman"/>
          <w:i/>
          <w:iCs/>
        </w:rPr>
        <w:t>Aspergillus</w:t>
      </w:r>
      <w:r w:rsidRPr="00D6731F">
        <w:rPr>
          <w:rFonts w:ascii="Times New Roman" w:hAnsi="Times New Roman" w:cs="Times New Roman"/>
        </w:rPr>
        <w:t xml:space="preserve"> species for understanding mould diversity in Japanese koji. </w:t>
      </w:r>
    </w:p>
    <w:p w14:paraId="43E14D91" w14:textId="07759DCC" w:rsidR="00E2420F" w:rsidRPr="00D6731F"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i/>
          <w:iCs/>
        </w:rPr>
        <w:t>Fermentation, 8</w:t>
      </w:r>
      <w:r w:rsidRPr="00D6731F">
        <w:rPr>
          <w:rFonts w:ascii="Times New Roman" w:hAnsi="Times New Roman" w:cs="Times New Roman"/>
        </w:rPr>
        <w:t>(12), Article 724. https://doi.org/10.3390/fermentation8120724</w:t>
      </w:r>
    </w:p>
    <w:p w14:paraId="7FEB749F" w14:textId="77777777" w:rsidR="007D437A" w:rsidRDefault="00E2420F"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Jamal, S., Upadhyay, A., &amp; Bajaj, A. (2022). Judima, the traditional rice wine and Dimasa community: A geographical review of Dima Hasao. </w:t>
      </w:r>
      <w:r w:rsidRPr="00D6731F">
        <w:rPr>
          <w:rFonts w:ascii="Times New Roman" w:hAnsi="Times New Roman" w:cs="Times New Roman"/>
          <w:i/>
          <w:iCs/>
        </w:rPr>
        <w:t>Indialogs, 9</w:t>
      </w:r>
      <w:r w:rsidRPr="00D6731F">
        <w:rPr>
          <w:rFonts w:ascii="Times New Roman" w:hAnsi="Times New Roman" w:cs="Times New Roman"/>
        </w:rPr>
        <w:t xml:space="preserve">, 77–97. </w:t>
      </w:r>
      <w:hyperlink r:id="rId25" w:history="1">
        <w:r w:rsidR="00D612B3" w:rsidRPr="00D6731F">
          <w:rPr>
            <w:rStyle w:val="Hyperlink"/>
            <w:rFonts w:ascii="Times New Roman" w:hAnsi="Times New Roman" w:cs="Times New Roman"/>
          </w:rPr>
          <w:t>https://doi.org/10.5565/rev/indialogs.205</w:t>
        </w:r>
      </w:hyperlink>
      <w:r w:rsidR="00D612B3" w:rsidRPr="00D6731F">
        <w:rPr>
          <w:rFonts w:ascii="Times New Roman" w:hAnsi="Times New Roman" w:cs="Times New Roman"/>
        </w:rPr>
        <w:t xml:space="preserve">   </w:t>
      </w:r>
    </w:p>
    <w:p w14:paraId="3569814D" w14:textId="2C20C327" w:rsidR="00E2420F" w:rsidRPr="00D6731F" w:rsidRDefault="00D612B3" w:rsidP="002644D8">
      <w:pPr>
        <w:spacing w:after="180"/>
        <w:ind w:left="720" w:hanging="720"/>
        <w:jc w:val="both"/>
        <w:rPr>
          <w:rFonts w:ascii="Times New Roman" w:hAnsi="Times New Roman" w:cs="Times New Roman"/>
        </w:rPr>
      </w:pPr>
      <w:r w:rsidRPr="00D6731F">
        <w:rPr>
          <w:rFonts w:ascii="Times New Roman" w:hAnsi="Times New Roman" w:cs="Times New Roman"/>
        </w:rPr>
        <w:t xml:space="preserve">                                                              </w:t>
      </w:r>
    </w:p>
    <w:p w14:paraId="46641F8D" w14:textId="77777777" w:rsidR="00E2420F" w:rsidRPr="00D6731F" w:rsidRDefault="00E2420F" w:rsidP="009A51F6">
      <w:pPr>
        <w:pStyle w:val="NoSpacing"/>
      </w:pPr>
    </w:p>
    <w:p w14:paraId="0E912E55" w14:textId="77777777" w:rsidR="00D6731F" w:rsidRPr="00D6731F" w:rsidRDefault="00D6731F" w:rsidP="002644D8">
      <w:pPr>
        <w:spacing w:line="360" w:lineRule="auto"/>
        <w:jc w:val="both"/>
        <w:rPr>
          <w:rFonts w:ascii="Times New Roman" w:hAnsi="Times New Roman" w:cs="Times New Roman"/>
        </w:rPr>
      </w:pPr>
    </w:p>
    <w:sectPr w:rsidR="00D6731F" w:rsidRPr="00D6731F" w:rsidSect="00030032">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48D41" w14:textId="77777777" w:rsidR="00C12445" w:rsidRDefault="00C12445" w:rsidP="00550C5C">
      <w:pPr>
        <w:spacing w:after="0" w:line="240" w:lineRule="auto"/>
      </w:pPr>
      <w:r>
        <w:separator/>
      </w:r>
    </w:p>
  </w:endnote>
  <w:endnote w:type="continuationSeparator" w:id="0">
    <w:p w14:paraId="763417C8" w14:textId="77777777" w:rsidR="00C12445" w:rsidRDefault="00C12445" w:rsidP="00550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6F6BE" w14:textId="77777777" w:rsidR="007D437A" w:rsidRDefault="007D4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8E2B" w14:textId="77777777" w:rsidR="007D437A" w:rsidRDefault="007D43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2ECC9" w14:textId="77777777" w:rsidR="007D437A" w:rsidRDefault="007D4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DB444" w14:textId="77777777" w:rsidR="00C12445" w:rsidRDefault="00C12445" w:rsidP="00550C5C">
      <w:pPr>
        <w:spacing w:after="0" w:line="240" w:lineRule="auto"/>
      </w:pPr>
      <w:r>
        <w:separator/>
      </w:r>
    </w:p>
  </w:footnote>
  <w:footnote w:type="continuationSeparator" w:id="0">
    <w:p w14:paraId="2C14A464" w14:textId="77777777" w:rsidR="00C12445" w:rsidRDefault="00C12445" w:rsidP="00550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1755" w14:textId="77777777" w:rsidR="007D437A" w:rsidRDefault="007D4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E1D9" w14:textId="789C316C" w:rsidR="00550C5C" w:rsidRPr="00AF7891" w:rsidRDefault="00550C5C" w:rsidP="00550C5C">
    <w:pPr>
      <w:pStyle w:val="Header"/>
      <w:jc w:val="right"/>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D5DB" w14:textId="77777777" w:rsidR="007D437A" w:rsidRDefault="007D4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C0933"/>
    <w:multiLevelType w:val="hybridMultilevel"/>
    <w:tmpl w:val="AC8E75E2"/>
    <w:lvl w:ilvl="0" w:tplc="008AE7AE">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BC6B82"/>
    <w:multiLevelType w:val="hybridMultilevel"/>
    <w:tmpl w:val="1D0EF346"/>
    <w:lvl w:ilvl="0" w:tplc="7BB6520C">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7D0580B"/>
    <w:multiLevelType w:val="hybridMultilevel"/>
    <w:tmpl w:val="79DA3C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4C87559"/>
    <w:multiLevelType w:val="hybridMultilevel"/>
    <w:tmpl w:val="524A620E"/>
    <w:lvl w:ilvl="0" w:tplc="2C9A69AC">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07E1379"/>
    <w:multiLevelType w:val="hybridMultilevel"/>
    <w:tmpl w:val="988E15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08345631">
    <w:abstractNumId w:val="4"/>
  </w:num>
  <w:num w:numId="2" w16cid:durableId="415327054">
    <w:abstractNumId w:val="0"/>
  </w:num>
  <w:num w:numId="3" w16cid:durableId="145711220">
    <w:abstractNumId w:val="3"/>
  </w:num>
  <w:num w:numId="4" w16cid:durableId="1621379505">
    <w:abstractNumId w:val="1"/>
  </w:num>
  <w:num w:numId="5" w16cid:durableId="1081176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8DC"/>
    <w:rsid w:val="000001BF"/>
    <w:rsid w:val="00000736"/>
    <w:rsid w:val="0001059C"/>
    <w:rsid w:val="00011BDD"/>
    <w:rsid w:val="0001369D"/>
    <w:rsid w:val="00026652"/>
    <w:rsid w:val="00030032"/>
    <w:rsid w:val="00034144"/>
    <w:rsid w:val="0003553B"/>
    <w:rsid w:val="00045235"/>
    <w:rsid w:val="00046922"/>
    <w:rsid w:val="00054176"/>
    <w:rsid w:val="00056BDC"/>
    <w:rsid w:val="00066D5E"/>
    <w:rsid w:val="00073771"/>
    <w:rsid w:val="0007758E"/>
    <w:rsid w:val="000835D9"/>
    <w:rsid w:val="00083662"/>
    <w:rsid w:val="0008525B"/>
    <w:rsid w:val="00095535"/>
    <w:rsid w:val="000A711D"/>
    <w:rsid w:val="000B07E0"/>
    <w:rsid w:val="000B1290"/>
    <w:rsid w:val="000B5927"/>
    <w:rsid w:val="000B7EAF"/>
    <w:rsid w:val="000C0BCD"/>
    <w:rsid w:val="000C257F"/>
    <w:rsid w:val="000C2E89"/>
    <w:rsid w:val="000C3B5F"/>
    <w:rsid w:val="000C7285"/>
    <w:rsid w:val="000D2B50"/>
    <w:rsid w:val="000D3B60"/>
    <w:rsid w:val="000E08C6"/>
    <w:rsid w:val="000E0ABF"/>
    <w:rsid w:val="000E3B69"/>
    <w:rsid w:val="000E5704"/>
    <w:rsid w:val="000F02E1"/>
    <w:rsid w:val="000F62BF"/>
    <w:rsid w:val="000F7C33"/>
    <w:rsid w:val="00103C25"/>
    <w:rsid w:val="00103FE9"/>
    <w:rsid w:val="0010641D"/>
    <w:rsid w:val="001074AB"/>
    <w:rsid w:val="00110419"/>
    <w:rsid w:val="00124B43"/>
    <w:rsid w:val="00125855"/>
    <w:rsid w:val="00134C31"/>
    <w:rsid w:val="001365D9"/>
    <w:rsid w:val="00137FA5"/>
    <w:rsid w:val="00140B3C"/>
    <w:rsid w:val="00146403"/>
    <w:rsid w:val="00153513"/>
    <w:rsid w:val="001546F8"/>
    <w:rsid w:val="00157C05"/>
    <w:rsid w:val="00161C21"/>
    <w:rsid w:val="00161DB9"/>
    <w:rsid w:val="00165536"/>
    <w:rsid w:val="0016692F"/>
    <w:rsid w:val="001718A7"/>
    <w:rsid w:val="00176E68"/>
    <w:rsid w:val="00181335"/>
    <w:rsid w:val="00182521"/>
    <w:rsid w:val="001857D5"/>
    <w:rsid w:val="001858CC"/>
    <w:rsid w:val="00187588"/>
    <w:rsid w:val="00192351"/>
    <w:rsid w:val="001A525E"/>
    <w:rsid w:val="001B4DA5"/>
    <w:rsid w:val="001B543A"/>
    <w:rsid w:val="001C2613"/>
    <w:rsid w:val="001D140A"/>
    <w:rsid w:val="001D364A"/>
    <w:rsid w:val="001E634E"/>
    <w:rsid w:val="001F03C9"/>
    <w:rsid w:val="001F26EE"/>
    <w:rsid w:val="001F4D8B"/>
    <w:rsid w:val="001F5D1E"/>
    <w:rsid w:val="001F7CE5"/>
    <w:rsid w:val="002024F9"/>
    <w:rsid w:val="00203370"/>
    <w:rsid w:val="002037F6"/>
    <w:rsid w:val="00203FB5"/>
    <w:rsid w:val="00205F03"/>
    <w:rsid w:val="00207B49"/>
    <w:rsid w:val="002149B8"/>
    <w:rsid w:val="0021644D"/>
    <w:rsid w:val="002165B4"/>
    <w:rsid w:val="00217142"/>
    <w:rsid w:val="00217711"/>
    <w:rsid w:val="002269FE"/>
    <w:rsid w:val="002362CF"/>
    <w:rsid w:val="002417F6"/>
    <w:rsid w:val="002437DA"/>
    <w:rsid w:val="00244310"/>
    <w:rsid w:val="0024683F"/>
    <w:rsid w:val="002472A3"/>
    <w:rsid w:val="00257963"/>
    <w:rsid w:val="002644D8"/>
    <w:rsid w:val="00265B15"/>
    <w:rsid w:val="00272B77"/>
    <w:rsid w:val="00274806"/>
    <w:rsid w:val="00280B3B"/>
    <w:rsid w:val="00282E6B"/>
    <w:rsid w:val="002930AD"/>
    <w:rsid w:val="00296B34"/>
    <w:rsid w:val="002A288F"/>
    <w:rsid w:val="002A3367"/>
    <w:rsid w:val="002A33DA"/>
    <w:rsid w:val="002A65E2"/>
    <w:rsid w:val="002A66DC"/>
    <w:rsid w:val="002C348A"/>
    <w:rsid w:val="002D333D"/>
    <w:rsid w:val="002D58B5"/>
    <w:rsid w:val="002E05CA"/>
    <w:rsid w:val="002E133A"/>
    <w:rsid w:val="002E1A7C"/>
    <w:rsid w:val="002E2C5D"/>
    <w:rsid w:val="002E5CCD"/>
    <w:rsid w:val="002F597B"/>
    <w:rsid w:val="002F7382"/>
    <w:rsid w:val="00300250"/>
    <w:rsid w:val="00300908"/>
    <w:rsid w:val="00311971"/>
    <w:rsid w:val="00313159"/>
    <w:rsid w:val="003134B4"/>
    <w:rsid w:val="00313FD0"/>
    <w:rsid w:val="0031777A"/>
    <w:rsid w:val="00336AE4"/>
    <w:rsid w:val="00337947"/>
    <w:rsid w:val="00340222"/>
    <w:rsid w:val="00341967"/>
    <w:rsid w:val="003438DE"/>
    <w:rsid w:val="00345FD3"/>
    <w:rsid w:val="003479DE"/>
    <w:rsid w:val="0035068D"/>
    <w:rsid w:val="00351DF4"/>
    <w:rsid w:val="003535DB"/>
    <w:rsid w:val="0035391A"/>
    <w:rsid w:val="00355A3F"/>
    <w:rsid w:val="00361F07"/>
    <w:rsid w:val="003717DE"/>
    <w:rsid w:val="00380A9D"/>
    <w:rsid w:val="003902B5"/>
    <w:rsid w:val="003913AE"/>
    <w:rsid w:val="003A135B"/>
    <w:rsid w:val="003B43EE"/>
    <w:rsid w:val="003B7D5F"/>
    <w:rsid w:val="003C60F0"/>
    <w:rsid w:val="003D11DC"/>
    <w:rsid w:val="003D4DE8"/>
    <w:rsid w:val="003D68EB"/>
    <w:rsid w:val="003D74D6"/>
    <w:rsid w:val="003F088F"/>
    <w:rsid w:val="003F1283"/>
    <w:rsid w:val="003F262A"/>
    <w:rsid w:val="00404A1D"/>
    <w:rsid w:val="00407BAD"/>
    <w:rsid w:val="00421B94"/>
    <w:rsid w:val="0043524F"/>
    <w:rsid w:val="00436427"/>
    <w:rsid w:val="00442469"/>
    <w:rsid w:val="00444F50"/>
    <w:rsid w:val="004466A3"/>
    <w:rsid w:val="004553CA"/>
    <w:rsid w:val="004607A6"/>
    <w:rsid w:val="00460D6B"/>
    <w:rsid w:val="00460DF5"/>
    <w:rsid w:val="00461E65"/>
    <w:rsid w:val="004637C8"/>
    <w:rsid w:val="00465422"/>
    <w:rsid w:val="00466959"/>
    <w:rsid w:val="00472522"/>
    <w:rsid w:val="00473378"/>
    <w:rsid w:val="00475B15"/>
    <w:rsid w:val="00490E51"/>
    <w:rsid w:val="00490F81"/>
    <w:rsid w:val="00497164"/>
    <w:rsid w:val="0049757A"/>
    <w:rsid w:val="004A0BC7"/>
    <w:rsid w:val="004A7E22"/>
    <w:rsid w:val="004B0012"/>
    <w:rsid w:val="004B2C11"/>
    <w:rsid w:val="004B365D"/>
    <w:rsid w:val="004B659A"/>
    <w:rsid w:val="004C414F"/>
    <w:rsid w:val="004C72FD"/>
    <w:rsid w:val="004C7DB1"/>
    <w:rsid w:val="004E583A"/>
    <w:rsid w:val="004E5AA6"/>
    <w:rsid w:val="004E73B4"/>
    <w:rsid w:val="004F46E5"/>
    <w:rsid w:val="0050058C"/>
    <w:rsid w:val="005025F8"/>
    <w:rsid w:val="00503867"/>
    <w:rsid w:val="005042AD"/>
    <w:rsid w:val="005076E5"/>
    <w:rsid w:val="005140A1"/>
    <w:rsid w:val="00516ED0"/>
    <w:rsid w:val="0053047C"/>
    <w:rsid w:val="00535540"/>
    <w:rsid w:val="00535FE1"/>
    <w:rsid w:val="00541FBE"/>
    <w:rsid w:val="00542DF2"/>
    <w:rsid w:val="00546F4F"/>
    <w:rsid w:val="00550C5C"/>
    <w:rsid w:val="00553FB4"/>
    <w:rsid w:val="005550EA"/>
    <w:rsid w:val="00561851"/>
    <w:rsid w:val="0056234E"/>
    <w:rsid w:val="005659BC"/>
    <w:rsid w:val="00565E8B"/>
    <w:rsid w:val="00570B29"/>
    <w:rsid w:val="0057226B"/>
    <w:rsid w:val="005774D2"/>
    <w:rsid w:val="00581B74"/>
    <w:rsid w:val="00583B13"/>
    <w:rsid w:val="00592D28"/>
    <w:rsid w:val="00593E5D"/>
    <w:rsid w:val="005A1926"/>
    <w:rsid w:val="005A1AE5"/>
    <w:rsid w:val="005A2D6F"/>
    <w:rsid w:val="005A4176"/>
    <w:rsid w:val="005A7937"/>
    <w:rsid w:val="005B4E57"/>
    <w:rsid w:val="005B4EA5"/>
    <w:rsid w:val="005C2535"/>
    <w:rsid w:val="005C4D52"/>
    <w:rsid w:val="005C70A0"/>
    <w:rsid w:val="005D4537"/>
    <w:rsid w:val="005E037B"/>
    <w:rsid w:val="005E30B9"/>
    <w:rsid w:val="00601D7F"/>
    <w:rsid w:val="00613461"/>
    <w:rsid w:val="006208BB"/>
    <w:rsid w:val="006225FD"/>
    <w:rsid w:val="006318E4"/>
    <w:rsid w:val="00636F01"/>
    <w:rsid w:val="0064444A"/>
    <w:rsid w:val="00646440"/>
    <w:rsid w:val="00653396"/>
    <w:rsid w:val="006555D8"/>
    <w:rsid w:val="006615D3"/>
    <w:rsid w:val="00661C22"/>
    <w:rsid w:val="006638C8"/>
    <w:rsid w:val="00664BBA"/>
    <w:rsid w:val="00665A00"/>
    <w:rsid w:val="00667607"/>
    <w:rsid w:val="00676664"/>
    <w:rsid w:val="00682191"/>
    <w:rsid w:val="0068428E"/>
    <w:rsid w:val="006955AD"/>
    <w:rsid w:val="006A121E"/>
    <w:rsid w:val="006A327E"/>
    <w:rsid w:val="006A3D39"/>
    <w:rsid w:val="006C0BBA"/>
    <w:rsid w:val="006E5299"/>
    <w:rsid w:val="006F0695"/>
    <w:rsid w:val="006F4A3F"/>
    <w:rsid w:val="007033AE"/>
    <w:rsid w:val="00710453"/>
    <w:rsid w:val="00713614"/>
    <w:rsid w:val="00713936"/>
    <w:rsid w:val="007162BB"/>
    <w:rsid w:val="00716DD5"/>
    <w:rsid w:val="00736948"/>
    <w:rsid w:val="00741609"/>
    <w:rsid w:val="007423FD"/>
    <w:rsid w:val="00744E09"/>
    <w:rsid w:val="00751887"/>
    <w:rsid w:val="00753B9D"/>
    <w:rsid w:val="00754E38"/>
    <w:rsid w:val="007602AF"/>
    <w:rsid w:val="007614C9"/>
    <w:rsid w:val="0076700B"/>
    <w:rsid w:val="00770C7F"/>
    <w:rsid w:val="00784707"/>
    <w:rsid w:val="00791C78"/>
    <w:rsid w:val="00794024"/>
    <w:rsid w:val="00795477"/>
    <w:rsid w:val="007971C5"/>
    <w:rsid w:val="007A4E0C"/>
    <w:rsid w:val="007B2095"/>
    <w:rsid w:val="007C1839"/>
    <w:rsid w:val="007D2138"/>
    <w:rsid w:val="007D437A"/>
    <w:rsid w:val="007D4C53"/>
    <w:rsid w:val="007E458A"/>
    <w:rsid w:val="007E52A8"/>
    <w:rsid w:val="007E7127"/>
    <w:rsid w:val="007F1D87"/>
    <w:rsid w:val="00811440"/>
    <w:rsid w:val="0081182A"/>
    <w:rsid w:val="00813A38"/>
    <w:rsid w:val="00820D40"/>
    <w:rsid w:val="008233F8"/>
    <w:rsid w:val="00825776"/>
    <w:rsid w:val="0082775B"/>
    <w:rsid w:val="008435FA"/>
    <w:rsid w:val="00852C03"/>
    <w:rsid w:val="00854E9B"/>
    <w:rsid w:val="008611F4"/>
    <w:rsid w:val="00865E09"/>
    <w:rsid w:val="00876DA8"/>
    <w:rsid w:val="00884E43"/>
    <w:rsid w:val="00887B2E"/>
    <w:rsid w:val="0089092C"/>
    <w:rsid w:val="00891673"/>
    <w:rsid w:val="0089390B"/>
    <w:rsid w:val="008A449F"/>
    <w:rsid w:val="008B08D2"/>
    <w:rsid w:val="008B3827"/>
    <w:rsid w:val="008C1967"/>
    <w:rsid w:val="008C6A55"/>
    <w:rsid w:val="008D3C52"/>
    <w:rsid w:val="008D6961"/>
    <w:rsid w:val="008D7959"/>
    <w:rsid w:val="008D7C6F"/>
    <w:rsid w:val="008E1DAD"/>
    <w:rsid w:val="008F23CE"/>
    <w:rsid w:val="008F4913"/>
    <w:rsid w:val="0090371A"/>
    <w:rsid w:val="00912A1E"/>
    <w:rsid w:val="00927F01"/>
    <w:rsid w:val="009420B7"/>
    <w:rsid w:val="00943A6D"/>
    <w:rsid w:val="00946089"/>
    <w:rsid w:val="00952B03"/>
    <w:rsid w:val="00953A3F"/>
    <w:rsid w:val="00954356"/>
    <w:rsid w:val="009558D9"/>
    <w:rsid w:val="009615F1"/>
    <w:rsid w:val="00962EDD"/>
    <w:rsid w:val="009677CF"/>
    <w:rsid w:val="009713A4"/>
    <w:rsid w:val="009735B9"/>
    <w:rsid w:val="00973813"/>
    <w:rsid w:val="00977A10"/>
    <w:rsid w:val="00984078"/>
    <w:rsid w:val="00990F35"/>
    <w:rsid w:val="0099362D"/>
    <w:rsid w:val="00994B68"/>
    <w:rsid w:val="00994D06"/>
    <w:rsid w:val="00994F75"/>
    <w:rsid w:val="00995CA5"/>
    <w:rsid w:val="009A51F6"/>
    <w:rsid w:val="009A5266"/>
    <w:rsid w:val="009A7316"/>
    <w:rsid w:val="009B0116"/>
    <w:rsid w:val="009B5AE3"/>
    <w:rsid w:val="009C079E"/>
    <w:rsid w:val="009C0D17"/>
    <w:rsid w:val="009D5E65"/>
    <w:rsid w:val="009D7476"/>
    <w:rsid w:val="009E0AFB"/>
    <w:rsid w:val="009E10C1"/>
    <w:rsid w:val="009E2FC3"/>
    <w:rsid w:val="009E33EB"/>
    <w:rsid w:val="009F1BB6"/>
    <w:rsid w:val="009F2AFB"/>
    <w:rsid w:val="009F4A99"/>
    <w:rsid w:val="009F4CCA"/>
    <w:rsid w:val="00A033ED"/>
    <w:rsid w:val="00A05D2B"/>
    <w:rsid w:val="00A108C4"/>
    <w:rsid w:val="00A15F41"/>
    <w:rsid w:val="00A1629F"/>
    <w:rsid w:val="00A24D0B"/>
    <w:rsid w:val="00A37870"/>
    <w:rsid w:val="00A423C7"/>
    <w:rsid w:val="00A434FA"/>
    <w:rsid w:val="00A5314C"/>
    <w:rsid w:val="00A60CF0"/>
    <w:rsid w:val="00A644BD"/>
    <w:rsid w:val="00A64DD4"/>
    <w:rsid w:val="00A664B4"/>
    <w:rsid w:val="00A67C93"/>
    <w:rsid w:val="00A707E7"/>
    <w:rsid w:val="00A73E81"/>
    <w:rsid w:val="00A75006"/>
    <w:rsid w:val="00A76D2E"/>
    <w:rsid w:val="00A87144"/>
    <w:rsid w:val="00A908C3"/>
    <w:rsid w:val="00A92B5F"/>
    <w:rsid w:val="00A92B85"/>
    <w:rsid w:val="00A948DC"/>
    <w:rsid w:val="00AA2A68"/>
    <w:rsid w:val="00AB26A5"/>
    <w:rsid w:val="00AB469A"/>
    <w:rsid w:val="00AB57B2"/>
    <w:rsid w:val="00AB5C86"/>
    <w:rsid w:val="00AC16AD"/>
    <w:rsid w:val="00AC3368"/>
    <w:rsid w:val="00AC3CD3"/>
    <w:rsid w:val="00AC6977"/>
    <w:rsid w:val="00AD4E32"/>
    <w:rsid w:val="00AE329F"/>
    <w:rsid w:val="00AE6E46"/>
    <w:rsid w:val="00AE72F6"/>
    <w:rsid w:val="00AF1EC0"/>
    <w:rsid w:val="00AF38DB"/>
    <w:rsid w:val="00AF4E90"/>
    <w:rsid w:val="00AF7891"/>
    <w:rsid w:val="00B06AC1"/>
    <w:rsid w:val="00B12BD5"/>
    <w:rsid w:val="00B2436E"/>
    <w:rsid w:val="00B2779D"/>
    <w:rsid w:val="00B338E4"/>
    <w:rsid w:val="00B35589"/>
    <w:rsid w:val="00B4574E"/>
    <w:rsid w:val="00B50E39"/>
    <w:rsid w:val="00B52E98"/>
    <w:rsid w:val="00B56D1B"/>
    <w:rsid w:val="00B61768"/>
    <w:rsid w:val="00B66F0A"/>
    <w:rsid w:val="00B67041"/>
    <w:rsid w:val="00B67F26"/>
    <w:rsid w:val="00B76EDD"/>
    <w:rsid w:val="00B80199"/>
    <w:rsid w:val="00B939A2"/>
    <w:rsid w:val="00BA2932"/>
    <w:rsid w:val="00BA4F7C"/>
    <w:rsid w:val="00BA5155"/>
    <w:rsid w:val="00BA6A29"/>
    <w:rsid w:val="00BB11E3"/>
    <w:rsid w:val="00BB38FD"/>
    <w:rsid w:val="00BC040E"/>
    <w:rsid w:val="00BC56E2"/>
    <w:rsid w:val="00BD1DD7"/>
    <w:rsid w:val="00BD47B6"/>
    <w:rsid w:val="00BE43B7"/>
    <w:rsid w:val="00BF79B7"/>
    <w:rsid w:val="00C032AE"/>
    <w:rsid w:val="00C053C4"/>
    <w:rsid w:val="00C12445"/>
    <w:rsid w:val="00C12B7B"/>
    <w:rsid w:val="00C15508"/>
    <w:rsid w:val="00C16B6B"/>
    <w:rsid w:val="00C17163"/>
    <w:rsid w:val="00C23A07"/>
    <w:rsid w:val="00C26C75"/>
    <w:rsid w:val="00C419FC"/>
    <w:rsid w:val="00C433C1"/>
    <w:rsid w:val="00C621F4"/>
    <w:rsid w:val="00C63C99"/>
    <w:rsid w:val="00C64E7B"/>
    <w:rsid w:val="00C70CE8"/>
    <w:rsid w:val="00C7100A"/>
    <w:rsid w:val="00C73DF6"/>
    <w:rsid w:val="00C7584B"/>
    <w:rsid w:val="00C7598D"/>
    <w:rsid w:val="00C764A9"/>
    <w:rsid w:val="00C801D1"/>
    <w:rsid w:val="00C80E29"/>
    <w:rsid w:val="00C83645"/>
    <w:rsid w:val="00C851CA"/>
    <w:rsid w:val="00C957CE"/>
    <w:rsid w:val="00CA00B3"/>
    <w:rsid w:val="00CA08EF"/>
    <w:rsid w:val="00CB3835"/>
    <w:rsid w:val="00CB55AB"/>
    <w:rsid w:val="00CC007E"/>
    <w:rsid w:val="00CC2EDA"/>
    <w:rsid w:val="00CC2FA5"/>
    <w:rsid w:val="00CC35A6"/>
    <w:rsid w:val="00CD28F8"/>
    <w:rsid w:val="00CD7A5F"/>
    <w:rsid w:val="00CE06CC"/>
    <w:rsid w:val="00CF0B12"/>
    <w:rsid w:val="00CF42D1"/>
    <w:rsid w:val="00CF71D9"/>
    <w:rsid w:val="00D07AB5"/>
    <w:rsid w:val="00D14F2E"/>
    <w:rsid w:val="00D1600C"/>
    <w:rsid w:val="00D2037A"/>
    <w:rsid w:val="00D2057E"/>
    <w:rsid w:val="00D21175"/>
    <w:rsid w:val="00D22248"/>
    <w:rsid w:val="00D31DEE"/>
    <w:rsid w:val="00D376C2"/>
    <w:rsid w:val="00D42718"/>
    <w:rsid w:val="00D515DB"/>
    <w:rsid w:val="00D56315"/>
    <w:rsid w:val="00D612B3"/>
    <w:rsid w:val="00D65843"/>
    <w:rsid w:val="00D66A62"/>
    <w:rsid w:val="00D6731F"/>
    <w:rsid w:val="00D90FC0"/>
    <w:rsid w:val="00D92ED7"/>
    <w:rsid w:val="00D94FA2"/>
    <w:rsid w:val="00DA3442"/>
    <w:rsid w:val="00DB09D1"/>
    <w:rsid w:val="00DB5EBD"/>
    <w:rsid w:val="00DC371C"/>
    <w:rsid w:val="00DC58DC"/>
    <w:rsid w:val="00DC67E4"/>
    <w:rsid w:val="00DC77BB"/>
    <w:rsid w:val="00DD0790"/>
    <w:rsid w:val="00E01B1E"/>
    <w:rsid w:val="00E166AD"/>
    <w:rsid w:val="00E175BA"/>
    <w:rsid w:val="00E209B5"/>
    <w:rsid w:val="00E2420F"/>
    <w:rsid w:val="00E25296"/>
    <w:rsid w:val="00E25D11"/>
    <w:rsid w:val="00E34147"/>
    <w:rsid w:val="00E36C00"/>
    <w:rsid w:val="00E43B8B"/>
    <w:rsid w:val="00E457D3"/>
    <w:rsid w:val="00E4756B"/>
    <w:rsid w:val="00E50F53"/>
    <w:rsid w:val="00E565E4"/>
    <w:rsid w:val="00E67D64"/>
    <w:rsid w:val="00E67E5D"/>
    <w:rsid w:val="00E725F9"/>
    <w:rsid w:val="00E73C72"/>
    <w:rsid w:val="00E73DF3"/>
    <w:rsid w:val="00E87613"/>
    <w:rsid w:val="00E9034A"/>
    <w:rsid w:val="00E95340"/>
    <w:rsid w:val="00EA3658"/>
    <w:rsid w:val="00EA3CE3"/>
    <w:rsid w:val="00EB1204"/>
    <w:rsid w:val="00EB21FE"/>
    <w:rsid w:val="00EC5122"/>
    <w:rsid w:val="00ED1FF2"/>
    <w:rsid w:val="00ED576E"/>
    <w:rsid w:val="00ED6592"/>
    <w:rsid w:val="00ED793D"/>
    <w:rsid w:val="00ED7A2A"/>
    <w:rsid w:val="00EE1D0C"/>
    <w:rsid w:val="00EE1DD6"/>
    <w:rsid w:val="00EF595B"/>
    <w:rsid w:val="00EF5BA1"/>
    <w:rsid w:val="00F00622"/>
    <w:rsid w:val="00F01EA4"/>
    <w:rsid w:val="00F147D4"/>
    <w:rsid w:val="00F16D36"/>
    <w:rsid w:val="00F2067B"/>
    <w:rsid w:val="00F21105"/>
    <w:rsid w:val="00F21E3C"/>
    <w:rsid w:val="00F257FD"/>
    <w:rsid w:val="00F32FCC"/>
    <w:rsid w:val="00F405D0"/>
    <w:rsid w:val="00F43982"/>
    <w:rsid w:val="00F44457"/>
    <w:rsid w:val="00F50C38"/>
    <w:rsid w:val="00F50F6D"/>
    <w:rsid w:val="00F52B5D"/>
    <w:rsid w:val="00F54B62"/>
    <w:rsid w:val="00F56F6A"/>
    <w:rsid w:val="00F56FCA"/>
    <w:rsid w:val="00F575B2"/>
    <w:rsid w:val="00F61CC1"/>
    <w:rsid w:val="00F63447"/>
    <w:rsid w:val="00F64BD6"/>
    <w:rsid w:val="00F96BC0"/>
    <w:rsid w:val="00F97C11"/>
    <w:rsid w:val="00FA5EE4"/>
    <w:rsid w:val="00FB07C2"/>
    <w:rsid w:val="00FB1AE5"/>
    <w:rsid w:val="00FB31FE"/>
    <w:rsid w:val="00FB4699"/>
    <w:rsid w:val="00FB557A"/>
    <w:rsid w:val="00FB5AEB"/>
    <w:rsid w:val="00FC0353"/>
    <w:rsid w:val="00FC1FBD"/>
    <w:rsid w:val="00FC20E0"/>
    <w:rsid w:val="00FC4971"/>
    <w:rsid w:val="00FD374D"/>
    <w:rsid w:val="00FD3E2F"/>
    <w:rsid w:val="00FD79E1"/>
    <w:rsid w:val="00FE4B50"/>
    <w:rsid w:val="00FE7501"/>
    <w:rsid w:val="00FF6F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C64B1"/>
  <w15:chartTrackingRefBased/>
  <w15:docId w15:val="{5FD4725E-D703-4469-AC3C-F4F72CDBE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58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C58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58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58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58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58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8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8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8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8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C58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58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58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58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58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8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8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8DC"/>
    <w:rPr>
      <w:rFonts w:eastAsiaTheme="majorEastAsia" w:cstheme="majorBidi"/>
      <w:color w:val="272727" w:themeColor="text1" w:themeTint="D8"/>
    </w:rPr>
  </w:style>
  <w:style w:type="paragraph" w:styleId="Title">
    <w:name w:val="Title"/>
    <w:basedOn w:val="Normal"/>
    <w:next w:val="Normal"/>
    <w:link w:val="TitleChar"/>
    <w:uiPriority w:val="10"/>
    <w:qFormat/>
    <w:rsid w:val="00DC58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8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8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8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8DC"/>
    <w:pPr>
      <w:spacing w:before="160"/>
      <w:jc w:val="center"/>
    </w:pPr>
    <w:rPr>
      <w:i/>
      <w:iCs/>
      <w:color w:val="404040" w:themeColor="text1" w:themeTint="BF"/>
    </w:rPr>
  </w:style>
  <w:style w:type="character" w:customStyle="1" w:styleId="QuoteChar">
    <w:name w:val="Quote Char"/>
    <w:basedOn w:val="DefaultParagraphFont"/>
    <w:link w:val="Quote"/>
    <w:uiPriority w:val="29"/>
    <w:rsid w:val="00DC58DC"/>
    <w:rPr>
      <w:i/>
      <w:iCs/>
      <w:color w:val="404040" w:themeColor="text1" w:themeTint="BF"/>
    </w:rPr>
  </w:style>
  <w:style w:type="paragraph" w:styleId="ListParagraph">
    <w:name w:val="List Paragraph"/>
    <w:basedOn w:val="Normal"/>
    <w:uiPriority w:val="34"/>
    <w:qFormat/>
    <w:rsid w:val="00DC58DC"/>
    <w:pPr>
      <w:ind w:left="720"/>
      <w:contextualSpacing/>
    </w:pPr>
  </w:style>
  <w:style w:type="character" w:styleId="IntenseEmphasis">
    <w:name w:val="Intense Emphasis"/>
    <w:basedOn w:val="DefaultParagraphFont"/>
    <w:uiPriority w:val="21"/>
    <w:qFormat/>
    <w:rsid w:val="00DC58DC"/>
    <w:rPr>
      <w:i/>
      <w:iCs/>
      <w:color w:val="2F5496" w:themeColor="accent1" w:themeShade="BF"/>
    </w:rPr>
  </w:style>
  <w:style w:type="paragraph" w:styleId="IntenseQuote">
    <w:name w:val="Intense Quote"/>
    <w:basedOn w:val="Normal"/>
    <w:next w:val="Normal"/>
    <w:link w:val="IntenseQuoteChar"/>
    <w:uiPriority w:val="30"/>
    <w:qFormat/>
    <w:rsid w:val="00DC58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58DC"/>
    <w:rPr>
      <w:i/>
      <w:iCs/>
      <w:color w:val="2F5496" w:themeColor="accent1" w:themeShade="BF"/>
    </w:rPr>
  </w:style>
  <w:style w:type="character" w:styleId="IntenseReference">
    <w:name w:val="Intense Reference"/>
    <w:basedOn w:val="DefaultParagraphFont"/>
    <w:uiPriority w:val="32"/>
    <w:qFormat/>
    <w:rsid w:val="00DC58DC"/>
    <w:rPr>
      <w:b/>
      <w:bCs/>
      <w:smallCaps/>
      <w:color w:val="2F5496" w:themeColor="accent1" w:themeShade="BF"/>
      <w:spacing w:val="5"/>
    </w:rPr>
  </w:style>
  <w:style w:type="character" w:styleId="Hyperlink">
    <w:name w:val="Hyperlink"/>
    <w:basedOn w:val="DefaultParagraphFont"/>
    <w:uiPriority w:val="99"/>
    <w:unhideWhenUsed/>
    <w:rsid w:val="00436427"/>
    <w:rPr>
      <w:color w:val="0563C1" w:themeColor="hyperlink"/>
      <w:u w:val="single"/>
    </w:rPr>
  </w:style>
  <w:style w:type="character" w:styleId="UnresolvedMention">
    <w:name w:val="Unresolved Mention"/>
    <w:basedOn w:val="DefaultParagraphFont"/>
    <w:uiPriority w:val="99"/>
    <w:semiHidden/>
    <w:unhideWhenUsed/>
    <w:rsid w:val="00436427"/>
    <w:rPr>
      <w:color w:val="605E5C"/>
      <w:shd w:val="clear" w:color="auto" w:fill="E1DFDD"/>
    </w:rPr>
  </w:style>
  <w:style w:type="table" w:styleId="TableGrid">
    <w:name w:val="Table Grid"/>
    <w:basedOn w:val="TableNormal"/>
    <w:uiPriority w:val="39"/>
    <w:rsid w:val="00D14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12BD5"/>
    <w:rPr>
      <w:b/>
      <w:bCs/>
    </w:rPr>
  </w:style>
  <w:style w:type="character" w:styleId="PlaceholderText">
    <w:name w:val="Placeholder Text"/>
    <w:basedOn w:val="DefaultParagraphFont"/>
    <w:uiPriority w:val="99"/>
    <w:semiHidden/>
    <w:rsid w:val="00F97C11"/>
    <w:rPr>
      <w:color w:val="666666"/>
    </w:rPr>
  </w:style>
  <w:style w:type="character" w:customStyle="1" w:styleId="math-inline">
    <w:name w:val="math-inline"/>
    <w:basedOn w:val="DefaultParagraphFont"/>
    <w:rsid w:val="00753B9D"/>
  </w:style>
  <w:style w:type="paragraph" w:styleId="Header">
    <w:name w:val="header"/>
    <w:basedOn w:val="Normal"/>
    <w:link w:val="HeaderChar"/>
    <w:uiPriority w:val="99"/>
    <w:unhideWhenUsed/>
    <w:rsid w:val="00550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C5C"/>
  </w:style>
  <w:style w:type="paragraph" w:styleId="Footer">
    <w:name w:val="footer"/>
    <w:basedOn w:val="Normal"/>
    <w:link w:val="FooterChar"/>
    <w:uiPriority w:val="99"/>
    <w:unhideWhenUsed/>
    <w:rsid w:val="00550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C5C"/>
  </w:style>
  <w:style w:type="paragraph" w:customStyle="1" w:styleId="Default">
    <w:name w:val="Default"/>
    <w:rsid w:val="00636F01"/>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NoSpacing">
    <w:name w:val="No Spacing"/>
    <w:uiPriority w:val="1"/>
    <w:qFormat/>
    <w:rsid w:val="009A51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geet@gmail.com" TargetMode="Externa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orcid.org/0000-0002-3488-8461" TargetMode="Externa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hyperlink" Target="https://doi.org/10.5565/rev/indialogs.205" TargetMode="Externa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3389/fmicb.2023.1207199"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2137A0-26AE-49CB-B8A6-122EF085BC46}" type="doc">
      <dgm:prSet loTypeId="urn:microsoft.com/office/officeart/2005/8/layout/vList3" loCatId="list" qsTypeId="urn:microsoft.com/office/officeart/2005/8/quickstyle/simple1" qsCatId="simple" csTypeId="urn:microsoft.com/office/officeart/2005/8/colors/accent2_1" csCatId="accent2" phldr="1"/>
      <dgm:spPr/>
    </dgm:pt>
    <dgm:pt modelId="{C843A5A0-BD5E-4756-A2E8-7145F11600D3}">
      <dgm:prSet phldrT="[Text]" custT="1"/>
      <dgm:spPr/>
      <dgm:t>
        <a:bodyPr/>
        <a:lstStyle/>
        <a:p>
          <a:r>
            <a:rPr lang="en-IN" sz="1000"/>
            <a:t>Phase-1: Secondary Literature Extraction</a:t>
          </a:r>
        </a:p>
      </dgm:t>
    </dgm:pt>
    <dgm:pt modelId="{37F20574-553E-4AC4-A470-CBE81896AFBD}" type="parTrans" cxnId="{45B937B3-839D-466F-94C3-8BA6D82692CF}">
      <dgm:prSet/>
      <dgm:spPr/>
      <dgm:t>
        <a:bodyPr/>
        <a:lstStyle/>
        <a:p>
          <a:endParaRPr lang="en-IN" sz="1000"/>
        </a:p>
      </dgm:t>
    </dgm:pt>
    <dgm:pt modelId="{FB3547B5-8248-4CA2-B21B-6094AD62A7DD}" type="sibTrans" cxnId="{45B937B3-839D-466F-94C3-8BA6D82692CF}">
      <dgm:prSet/>
      <dgm:spPr/>
      <dgm:t>
        <a:bodyPr/>
        <a:lstStyle/>
        <a:p>
          <a:endParaRPr lang="en-IN" sz="1000"/>
        </a:p>
      </dgm:t>
    </dgm:pt>
    <dgm:pt modelId="{61E99184-A357-4B26-AEE0-2BBDF973B962}">
      <dgm:prSet phldrT="[Text]" custT="1"/>
      <dgm:spPr/>
      <dgm:t>
        <a:bodyPr/>
        <a:lstStyle/>
        <a:p>
          <a:r>
            <a:rPr lang="en-IN" sz="1000"/>
            <a:t>Phase 2: Character Synthesis Harmonisation</a:t>
          </a:r>
        </a:p>
      </dgm:t>
    </dgm:pt>
    <dgm:pt modelId="{06EC84C5-366A-447B-8084-AC1264A09432}" type="parTrans" cxnId="{072FD575-6DC5-4ED6-B8A3-0C08F59E5C1E}">
      <dgm:prSet/>
      <dgm:spPr/>
      <dgm:t>
        <a:bodyPr/>
        <a:lstStyle/>
        <a:p>
          <a:endParaRPr lang="en-IN" sz="1000"/>
        </a:p>
      </dgm:t>
    </dgm:pt>
    <dgm:pt modelId="{994F3663-1806-49D9-9C20-E17C2E059484}" type="sibTrans" cxnId="{072FD575-6DC5-4ED6-B8A3-0C08F59E5C1E}">
      <dgm:prSet/>
      <dgm:spPr/>
      <dgm:t>
        <a:bodyPr/>
        <a:lstStyle/>
        <a:p>
          <a:endParaRPr lang="en-IN" sz="1000"/>
        </a:p>
      </dgm:t>
    </dgm:pt>
    <dgm:pt modelId="{637DB0A8-7408-41ED-8B39-E78572329998}">
      <dgm:prSet phldrT="[Text]" custT="1"/>
      <dgm:spPr/>
      <dgm:t>
        <a:bodyPr/>
        <a:lstStyle/>
        <a:p>
          <a:r>
            <a:rPr lang="en-IN" sz="1000"/>
            <a:t>Phase 3: Multi Criteria Literature Traingulation (MCLT)</a:t>
          </a:r>
        </a:p>
      </dgm:t>
    </dgm:pt>
    <dgm:pt modelId="{6CEFEE61-EEFC-46A9-A3DE-E47B67071A7C}" type="parTrans" cxnId="{78849346-5798-4253-95F6-CAD8DE1C87FC}">
      <dgm:prSet/>
      <dgm:spPr/>
      <dgm:t>
        <a:bodyPr/>
        <a:lstStyle/>
        <a:p>
          <a:endParaRPr lang="en-IN" sz="1000"/>
        </a:p>
      </dgm:t>
    </dgm:pt>
    <dgm:pt modelId="{D47102F7-E60A-4061-9CB9-E9B4D48884AB}" type="sibTrans" cxnId="{78849346-5798-4253-95F6-CAD8DE1C87FC}">
      <dgm:prSet/>
      <dgm:spPr/>
      <dgm:t>
        <a:bodyPr/>
        <a:lstStyle/>
        <a:p>
          <a:endParaRPr lang="en-IN" sz="1000"/>
        </a:p>
      </dgm:t>
    </dgm:pt>
    <dgm:pt modelId="{3E4521F8-A3DF-42B3-AFEA-D66E369BE087}" type="pres">
      <dgm:prSet presAssocID="{862137A0-26AE-49CB-B8A6-122EF085BC46}" presName="linearFlow" presStyleCnt="0">
        <dgm:presLayoutVars>
          <dgm:dir/>
          <dgm:resizeHandles val="exact"/>
        </dgm:presLayoutVars>
      </dgm:prSet>
      <dgm:spPr/>
    </dgm:pt>
    <dgm:pt modelId="{639DFA3A-6129-42AA-8C73-36786C8DC3DC}" type="pres">
      <dgm:prSet presAssocID="{C843A5A0-BD5E-4756-A2E8-7145F11600D3}" presName="composite" presStyleCnt="0"/>
      <dgm:spPr/>
    </dgm:pt>
    <dgm:pt modelId="{1FB4E25F-829B-4048-AC29-2C1A65F2A9C3}" type="pres">
      <dgm:prSet presAssocID="{C843A5A0-BD5E-4756-A2E8-7145F11600D3}" presName="imgShp" presStyleLbl="fgImgPlace1" presStyleIdx="0" presStyleCnt="3"/>
      <dgm:spPr/>
    </dgm:pt>
    <dgm:pt modelId="{C2938690-86FD-4CD2-86D5-D0D517F019F5}" type="pres">
      <dgm:prSet presAssocID="{C843A5A0-BD5E-4756-A2E8-7145F11600D3}" presName="txShp" presStyleLbl="node1" presStyleIdx="0" presStyleCnt="3">
        <dgm:presLayoutVars>
          <dgm:bulletEnabled val="1"/>
        </dgm:presLayoutVars>
      </dgm:prSet>
      <dgm:spPr/>
    </dgm:pt>
    <dgm:pt modelId="{64C7A2D5-B8B0-4831-B849-17457E5FBFAC}" type="pres">
      <dgm:prSet presAssocID="{FB3547B5-8248-4CA2-B21B-6094AD62A7DD}" presName="spacing" presStyleCnt="0"/>
      <dgm:spPr/>
    </dgm:pt>
    <dgm:pt modelId="{ED661ED2-1C0B-4B56-A1D1-1CAA8C84526E}" type="pres">
      <dgm:prSet presAssocID="{61E99184-A357-4B26-AEE0-2BBDF973B962}" presName="composite" presStyleCnt="0"/>
      <dgm:spPr/>
    </dgm:pt>
    <dgm:pt modelId="{8DE496D1-6D58-41CF-89A0-3D38CED7EE2D}" type="pres">
      <dgm:prSet presAssocID="{61E99184-A357-4B26-AEE0-2BBDF973B962}" presName="imgShp" presStyleLbl="fgImgPlace1" presStyleIdx="1" presStyleCnt="3"/>
      <dgm:spPr/>
    </dgm:pt>
    <dgm:pt modelId="{94361F7A-CD41-4E5F-BFC3-5C384380C10D}" type="pres">
      <dgm:prSet presAssocID="{61E99184-A357-4B26-AEE0-2BBDF973B962}" presName="txShp" presStyleLbl="node1" presStyleIdx="1" presStyleCnt="3">
        <dgm:presLayoutVars>
          <dgm:bulletEnabled val="1"/>
        </dgm:presLayoutVars>
      </dgm:prSet>
      <dgm:spPr/>
    </dgm:pt>
    <dgm:pt modelId="{3871AAFD-AF4A-4619-AB07-75A5EDED791C}" type="pres">
      <dgm:prSet presAssocID="{994F3663-1806-49D9-9C20-E17C2E059484}" presName="spacing" presStyleCnt="0"/>
      <dgm:spPr/>
    </dgm:pt>
    <dgm:pt modelId="{6CE2CFA6-4D93-45FC-81DD-8A6061FB7940}" type="pres">
      <dgm:prSet presAssocID="{637DB0A8-7408-41ED-8B39-E78572329998}" presName="composite" presStyleCnt="0"/>
      <dgm:spPr/>
    </dgm:pt>
    <dgm:pt modelId="{BC447546-C0B4-4191-BB86-B30C81C81DD8}" type="pres">
      <dgm:prSet presAssocID="{637DB0A8-7408-41ED-8B39-E78572329998}" presName="imgShp" presStyleLbl="fgImgPlace1" presStyleIdx="2" presStyleCnt="3"/>
      <dgm:spPr/>
    </dgm:pt>
    <dgm:pt modelId="{2DB41B8E-EF84-4FDD-9F8F-1C6144B311A1}" type="pres">
      <dgm:prSet presAssocID="{637DB0A8-7408-41ED-8B39-E78572329998}" presName="txShp" presStyleLbl="node1" presStyleIdx="2" presStyleCnt="3">
        <dgm:presLayoutVars>
          <dgm:bulletEnabled val="1"/>
        </dgm:presLayoutVars>
      </dgm:prSet>
      <dgm:spPr/>
    </dgm:pt>
  </dgm:ptLst>
  <dgm:cxnLst>
    <dgm:cxn modelId="{1813960D-8EEB-49E9-B623-0DFBDA51CF2E}" type="presOf" srcId="{862137A0-26AE-49CB-B8A6-122EF085BC46}" destId="{3E4521F8-A3DF-42B3-AFEA-D66E369BE087}" srcOrd="0" destOrd="0" presId="urn:microsoft.com/office/officeart/2005/8/layout/vList3"/>
    <dgm:cxn modelId="{0DCB6B12-A999-4D69-B3DD-5E3C3F9DCB79}" type="presOf" srcId="{C843A5A0-BD5E-4756-A2E8-7145F11600D3}" destId="{C2938690-86FD-4CD2-86D5-D0D517F019F5}" srcOrd="0" destOrd="0" presId="urn:microsoft.com/office/officeart/2005/8/layout/vList3"/>
    <dgm:cxn modelId="{59701B33-8AEB-4329-8713-5E65F58B21BF}" type="presOf" srcId="{61E99184-A357-4B26-AEE0-2BBDF973B962}" destId="{94361F7A-CD41-4E5F-BFC3-5C384380C10D}" srcOrd="0" destOrd="0" presId="urn:microsoft.com/office/officeart/2005/8/layout/vList3"/>
    <dgm:cxn modelId="{78849346-5798-4253-95F6-CAD8DE1C87FC}" srcId="{862137A0-26AE-49CB-B8A6-122EF085BC46}" destId="{637DB0A8-7408-41ED-8B39-E78572329998}" srcOrd="2" destOrd="0" parTransId="{6CEFEE61-EEFC-46A9-A3DE-E47B67071A7C}" sibTransId="{D47102F7-E60A-4061-9CB9-E9B4D48884AB}"/>
    <dgm:cxn modelId="{072FD575-6DC5-4ED6-B8A3-0C08F59E5C1E}" srcId="{862137A0-26AE-49CB-B8A6-122EF085BC46}" destId="{61E99184-A357-4B26-AEE0-2BBDF973B962}" srcOrd="1" destOrd="0" parTransId="{06EC84C5-366A-447B-8084-AC1264A09432}" sibTransId="{994F3663-1806-49D9-9C20-E17C2E059484}"/>
    <dgm:cxn modelId="{D885388E-3E80-4063-9C76-06395871BF39}" type="presOf" srcId="{637DB0A8-7408-41ED-8B39-E78572329998}" destId="{2DB41B8E-EF84-4FDD-9F8F-1C6144B311A1}" srcOrd="0" destOrd="0" presId="urn:microsoft.com/office/officeart/2005/8/layout/vList3"/>
    <dgm:cxn modelId="{45B937B3-839D-466F-94C3-8BA6D82692CF}" srcId="{862137A0-26AE-49CB-B8A6-122EF085BC46}" destId="{C843A5A0-BD5E-4756-A2E8-7145F11600D3}" srcOrd="0" destOrd="0" parTransId="{37F20574-553E-4AC4-A470-CBE81896AFBD}" sibTransId="{FB3547B5-8248-4CA2-B21B-6094AD62A7DD}"/>
    <dgm:cxn modelId="{AAE057B4-3A09-4A4E-9F1E-CFAE738542D1}" type="presParOf" srcId="{3E4521F8-A3DF-42B3-AFEA-D66E369BE087}" destId="{639DFA3A-6129-42AA-8C73-36786C8DC3DC}" srcOrd="0" destOrd="0" presId="urn:microsoft.com/office/officeart/2005/8/layout/vList3"/>
    <dgm:cxn modelId="{AE103F3B-DEAE-4B7C-A4E6-283B489C11E8}" type="presParOf" srcId="{639DFA3A-6129-42AA-8C73-36786C8DC3DC}" destId="{1FB4E25F-829B-4048-AC29-2C1A65F2A9C3}" srcOrd="0" destOrd="0" presId="urn:microsoft.com/office/officeart/2005/8/layout/vList3"/>
    <dgm:cxn modelId="{63945A22-692A-463E-82E4-190DAAB62FC0}" type="presParOf" srcId="{639DFA3A-6129-42AA-8C73-36786C8DC3DC}" destId="{C2938690-86FD-4CD2-86D5-D0D517F019F5}" srcOrd="1" destOrd="0" presId="urn:microsoft.com/office/officeart/2005/8/layout/vList3"/>
    <dgm:cxn modelId="{7CF6F200-A083-4E60-8D9C-28F5E471643B}" type="presParOf" srcId="{3E4521F8-A3DF-42B3-AFEA-D66E369BE087}" destId="{64C7A2D5-B8B0-4831-B849-17457E5FBFAC}" srcOrd="1" destOrd="0" presId="urn:microsoft.com/office/officeart/2005/8/layout/vList3"/>
    <dgm:cxn modelId="{3A22FA55-79DD-43B1-A211-7DEC57A01849}" type="presParOf" srcId="{3E4521F8-A3DF-42B3-AFEA-D66E369BE087}" destId="{ED661ED2-1C0B-4B56-A1D1-1CAA8C84526E}" srcOrd="2" destOrd="0" presId="urn:microsoft.com/office/officeart/2005/8/layout/vList3"/>
    <dgm:cxn modelId="{215A4F4F-CD18-4DE3-9D87-E94A55889F3D}" type="presParOf" srcId="{ED661ED2-1C0B-4B56-A1D1-1CAA8C84526E}" destId="{8DE496D1-6D58-41CF-89A0-3D38CED7EE2D}" srcOrd="0" destOrd="0" presId="urn:microsoft.com/office/officeart/2005/8/layout/vList3"/>
    <dgm:cxn modelId="{67327672-E4D3-429D-950D-843672DB000A}" type="presParOf" srcId="{ED661ED2-1C0B-4B56-A1D1-1CAA8C84526E}" destId="{94361F7A-CD41-4E5F-BFC3-5C384380C10D}" srcOrd="1" destOrd="0" presId="urn:microsoft.com/office/officeart/2005/8/layout/vList3"/>
    <dgm:cxn modelId="{12FBC74D-707F-4C7D-8A76-0158C31A1CDB}" type="presParOf" srcId="{3E4521F8-A3DF-42B3-AFEA-D66E369BE087}" destId="{3871AAFD-AF4A-4619-AB07-75A5EDED791C}" srcOrd="3" destOrd="0" presId="urn:microsoft.com/office/officeart/2005/8/layout/vList3"/>
    <dgm:cxn modelId="{F01EC978-5329-4DA7-B8EC-CE7B81A65291}" type="presParOf" srcId="{3E4521F8-A3DF-42B3-AFEA-D66E369BE087}" destId="{6CE2CFA6-4D93-45FC-81DD-8A6061FB7940}" srcOrd="4" destOrd="0" presId="urn:microsoft.com/office/officeart/2005/8/layout/vList3"/>
    <dgm:cxn modelId="{D9AD0B3B-CA28-46AE-AA8E-EFD0852E3D47}" type="presParOf" srcId="{6CE2CFA6-4D93-45FC-81DD-8A6061FB7940}" destId="{BC447546-C0B4-4191-BB86-B30C81C81DD8}" srcOrd="0" destOrd="0" presId="urn:microsoft.com/office/officeart/2005/8/layout/vList3"/>
    <dgm:cxn modelId="{5B2B9430-8228-47A5-BFAE-4221912AF901}" type="presParOf" srcId="{6CE2CFA6-4D93-45FC-81DD-8A6061FB7940}" destId="{2DB41B8E-EF84-4FDD-9F8F-1C6144B311A1}" srcOrd="1" destOrd="0" presId="urn:microsoft.com/office/officeart/2005/8/layout/vLis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938690-86FD-4CD2-86D5-D0D517F019F5}">
      <dsp:nvSpPr>
        <dsp:cNvPr id="0" name=""/>
        <dsp:cNvSpPr/>
      </dsp:nvSpPr>
      <dsp:spPr>
        <a:xfrm rot="10800000">
          <a:off x="1043050" y="148"/>
          <a:ext cx="3795407" cy="348257"/>
        </a:xfrm>
        <a:prstGeom prst="homePlat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572" tIns="38100" rIns="71120" bIns="38100" numCol="1" spcCol="1270" anchor="ctr" anchorCtr="0">
          <a:noAutofit/>
        </a:bodyPr>
        <a:lstStyle/>
        <a:p>
          <a:pPr marL="0" lvl="0" indent="0" algn="ctr" defTabSz="444500">
            <a:lnSpc>
              <a:spcPct val="90000"/>
            </a:lnSpc>
            <a:spcBef>
              <a:spcPct val="0"/>
            </a:spcBef>
            <a:spcAft>
              <a:spcPct val="35000"/>
            </a:spcAft>
            <a:buNone/>
          </a:pPr>
          <a:r>
            <a:rPr lang="en-IN" sz="1000" kern="1200"/>
            <a:t>Phase-1: Secondary Literature Extraction</a:t>
          </a:r>
        </a:p>
      </dsp:txBody>
      <dsp:txXfrm rot="10800000">
        <a:off x="1130114" y="148"/>
        <a:ext cx="3708343" cy="348257"/>
      </dsp:txXfrm>
    </dsp:sp>
    <dsp:sp modelId="{1FB4E25F-829B-4048-AC29-2C1A65F2A9C3}">
      <dsp:nvSpPr>
        <dsp:cNvPr id="0" name=""/>
        <dsp:cNvSpPr/>
      </dsp:nvSpPr>
      <dsp:spPr>
        <a:xfrm>
          <a:off x="868921" y="148"/>
          <a:ext cx="348257" cy="348257"/>
        </a:xfrm>
        <a:prstGeom prst="ellipse">
          <a:avLst/>
        </a:prstGeom>
        <a:solidFill>
          <a:schemeClr val="accent2">
            <a:tint val="4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361F7A-CD41-4E5F-BFC3-5C384380C10D}">
      <dsp:nvSpPr>
        <dsp:cNvPr id="0" name=""/>
        <dsp:cNvSpPr/>
      </dsp:nvSpPr>
      <dsp:spPr>
        <a:xfrm rot="10800000">
          <a:off x="1043050" y="435471"/>
          <a:ext cx="3795407" cy="348257"/>
        </a:xfrm>
        <a:prstGeom prst="homePlat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572" tIns="38100" rIns="71120" bIns="38100" numCol="1" spcCol="1270" anchor="ctr" anchorCtr="0">
          <a:noAutofit/>
        </a:bodyPr>
        <a:lstStyle/>
        <a:p>
          <a:pPr marL="0" lvl="0" indent="0" algn="ctr" defTabSz="444500">
            <a:lnSpc>
              <a:spcPct val="90000"/>
            </a:lnSpc>
            <a:spcBef>
              <a:spcPct val="0"/>
            </a:spcBef>
            <a:spcAft>
              <a:spcPct val="35000"/>
            </a:spcAft>
            <a:buNone/>
          </a:pPr>
          <a:r>
            <a:rPr lang="en-IN" sz="1000" kern="1200"/>
            <a:t>Phase 2: Character Synthesis Harmonisation</a:t>
          </a:r>
        </a:p>
      </dsp:txBody>
      <dsp:txXfrm rot="10800000">
        <a:off x="1130114" y="435471"/>
        <a:ext cx="3708343" cy="348257"/>
      </dsp:txXfrm>
    </dsp:sp>
    <dsp:sp modelId="{8DE496D1-6D58-41CF-89A0-3D38CED7EE2D}">
      <dsp:nvSpPr>
        <dsp:cNvPr id="0" name=""/>
        <dsp:cNvSpPr/>
      </dsp:nvSpPr>
      <dsp:spPr>
        <a:xfrm>
          <a:off x="868921" y="435471"/>
          <a:ext cx="348257" cy="348257"/>
        </a:xfrm>
        <a:prstGeom prst="ellipse">
          <a:avLst/>
        </a:prstGeom>
        <a:solidFill>
          <a:schemeClr val="accent2">
            <a:tint val="4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B41B8E-EF84-4FDD-9F8F-1C6144B311A1}">
      <dsp:nvSpPr>
        <dsp:cNvPr id="0" name=""/>
        <dsp:cNvSpPr/>
      </dsp:nvSpPr>
      <dsp:spPr>
        <a:xfrm rot="10800000">
          <a:off x="1043050" y="870793"/>
          <a:ext cx="3795407" cy="348257"/>
        </a:xfrm>
        <a:prstGeom prst="homePlat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572" tIns="38100" rIns="71120" bIns="38100" numCol="1" spcCol="1270" anchor="ctr" anchorCtr="0">
          <a:noAutofit/>
        </a:bodyPr>
        <a:lstStyle/>
        <a:p>
          <a:pPr marL="0" lvl="0" indent="0" algn="ctr" defTabSz="444500">
            <a:lnSpc>
              <a:spcPct val="90000"/>
            </a:lnSpc>
            <a:spcBef>
              <a:spcPct val="0"/>
            </a:spcBef>
            <a:spcAft>
              <a:spcPct val="35000"/>
            </a:spcAft>
            <a:buNone/>
          </a:pPr>
          <a:r>
            <a:rPr lang="en-IN" sz="1000" kern="1200"/>
            <a:t>Phase 3: Multi Criteria Literature Traingulation (MCLT)</a:t>
          </a:r>
        </a:p>
      </dsp:txBody>
      <dsp:txXfrm rot="10800000">
        <a:off x="1130114" y="870793"/>
        <a:ext cx="3708343" cy="348257"/>
      </dsp:txXfrm>
    </dsp:sp>
    <dsp:sp modelId="{BC447546-C0B4-4191-BB86-B30C81C81DD8}">
      <dsp:nvSpPr>
        <dsp:cNvPr id="0" name=""/>
        <dsp:cNvSpPr/>
      </dsp:nvSpPr>
      <dsp:spPr>
        <a:xfrm>
          <a:off x="868921" y="870793"/>
          <a:ext cx="348257" cy="348257"/>
        </a:xfrm>
        <a:prstGeom prst="ellipse">
          <a:avLst/>
        </a:prstGeom>
        <a:solidFill>
          <a:schemeClr val="accent2">
            <a:tint val="4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16</Pages>
  <Words>8061</Words>
  <Characters>45950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Tiku Deuri</dc:creator>
  <cp:keywords/>
  <dc:description/>
  <cp:lastModifiedBy>sange</cp:lastModifiedBy>
  <cp:revision>58</cp:revision>
  <dcterms:created xsi:type="dcterms:W3CDTF">2026-06-07T07:44:00Z</dcterms:created>
  <dcterms:modified xsi:type="dcterms:W3CDTF">2026-06-15T12:15:00Z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29fbbae8-f033-439e-9446-ee90cbeed57f</vt:lpwstr>
  </property>
</Properties>
</file>